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42B390" w14:textId="77777777" w:rsidR="00844B16" w:rsidRPr="00CB2BDB" w:rsidRDefault="00844B16" w:rsidP="00844B16">
      <w:pPr>
        <w:jc w:val="center"/>
        <w:rPr>
          <w:sz w:val="24"/>
          <w:szCs w:val="24"/>
        </w:rPr>
      </w:pPr>
      <w:bookmarkStart w:id="0" w:name="_Toc351026043"/>
      <w:r w:rsidRPr="00CB2BDB">
        <w:rPr>
          <w:noProof/>
          <w:sz w:val="24"/>
          <w:szCs w:val="24"/>
        </w:rPr>
        <w:drawing>
          <wp:inline distT="0" distB="0" distL="0" distR="0" wp14:anchorId="79E305E1" wp14:editId="15656FC5">
            <wp:extent cx="502942" cy="684000"/>
            <wp:effectExtent l="0" t="0" r="0" b="1905"/>
            <wp:docPr id="140187775" name="Picture 14018777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CB2BDB">
        <w:rPr>
          <w:sz w:val="24"/>
          <w:szCs w:val="24"/>
        </w:rPr>
        <w:fldChar w:fldCharType="begin"/>
      </w:r>
      <w:r w:rsidRPr="00CB2BDB">
        <w:rPr>
          <w:sz w:val="24"/>
          <w:szCs w:val="24"/>
        </w:rPr>
        <w:instrText xml:space="preserve"> INCLUDEPICTURE "http://www.inet.hr/~box/images/grb-rh.gif" \* MERGEFORMATINET </w:instrText>
      </w:r>
      <w:r w:rsidRPr="00CB2BDB">
        <w:rPr>
          <w:sz w:val="24"/>
          <w:szCs w:val="24"/>
        </w:rPr>
        <w:fldChar w:fldCharType="end"/>
      </w:r>
    </w:p>
    <w:p w14:paraId="7DEF62F1" w14:textId="77777777" w:rsidR="00844B16" w:rsidRPr="00CB2BDB" w:rsidRDefault="00844B16" w:rsidP="00844B16">
      <w:pPr>
        <w:spacing w:before="60" w:after="1680"/>
        <w:jc w:val="center"/>
        <w:rPr>
          <w:sz w:val="28"/>
          <w:szCs w:val="24"/>
        </w:rPr>
      </w:pPr>
      <w:r w:rsidRPr="00CB2BDB">
        <w:rPr>
          <w:sz w:val="28"/>
          <w:szCs w:val="24"/>
        </w:rPr>
        <w:t>VLADA REPUBLIKE HRVATSKE</w:t>
      </w:r>
    </w:p>
    <w:p w14:paraId="63B3AA44" w14:textId="77777777" w:rsidR="00844B16" w:rsidRPr="00CB2BDB" w:rsidRDefault="00844B16" w:rsidP="00844B16">
      <w:pPr>
        <w:rPr>
          <w:sz w:val="24"/>
          <w:szCs w:val="24"/>
        </w:rPr>
      </w:pPr>
    </w:p>
    <w:p w14:paraId="7E97D023" w14:textId="1C6DC2ED" w:rsidR="00844B16" w:rsidRPr="00CB2BDB" w:rsidRDefault="00844B16" w:rsidP="00844B16">
      <w:pPr>
        <w:spacing w:after="2400"/>
        <w:jc w:val="right"/>
        <w:rPr>
          <w:sz w:val="24"/>
          <w:szCs w:val="24"/>
        </w:rPr>
      </w:pPr>
      <w:r w:rsidRPr="00CB2BDB">
        <w:rPr>
          <w:sz w:val="24"/>
          <w:szCs w:val="24"/>
        </w:rPr>
        <w:t xml:space="preserve">Zagreb, </w:t>
      </w:r>
      <w:r w:rsidR="00310FA2">
        <w:rPr>
          <w:sz w:val="24"/>
          <w:szCs w:val="24"/>
        </w:rPr>
        <w:t>21</w:t>
      </w:r>
      <w:bookmarkStart w:id="1" w:name="_GoBack"/>
      <w:bookmarkEnd w:id="1"/>
      <w:r w:rsidR="005E6E46">
        <w:rPr>
          <w:sz w:val="24"/>
          <w:szCs w:val="24"/>
        </w:rPr>
        <w:t xml:space="preserve">. </w:t>
      </w:r>
      <w:r>
        <w:rPr>
          <w:sz w:val="24"/>
          <w:szCs w:val="24"/>
        </w:rPr>
        <w:t>prosinc</w:t>
      </w:r>
      <w:r w:rsidR="005E6E46">
        <w:rPr>
          <w:sz w:val="24"/>
          <w:szCs w:val="24"/>
        </w:rPr>
        <w:t>a</w:t>
      </w:r>
      <w:r w:rsidRPr="00CB2BDB">
        <w:rPr>
          <w:sz w:val="24"/>
          <w:szCs w:val="24"/>
        </w:rPr>
        <w:t xml:space="preserve"> 202</w:t>
      </w:r>
      <w:r>
        <w:rPr>
          <w:sz w:val="24"/>
          <w:szCs w:val="24"/>
        </w:rPr>
        <w:t>3</w:t>
      </w:r>
      <w:r w:rsidRPr="00CB2BDB">
        <w:rPr>
          <w:sz w:val="24"/>
          <w:szCs w:val="24"/>
        </w:rPr>
        <w:t>.</w:t>
      </w:r>
    </w:p>
    <w:p w14:paraId="2118BBF6" w14:textId="77777777" w:rsidR="00844B16" w:rsidRDefault="00844B16" w:rsidP="00844B16">
      <w:pPr>
        <w:tabs>
          <w:tab w:val="right" w:pos="1701"/>
          <w:tab w:val="left" w:pos="1843"/>
        </w:tabs>
        <w:spacing w:line="360" w:lineRule="auto"/>
        <w:ind w:left="1843" w:hanging="1843"/>
        <w:rPr>
          <w:b/>
          <w:smallCaps/>
          <w:sz w:val="24"/>
          <w:szCs w:val="24"/>
        </w:rPr>
      </w:pPr>
    </w:p>
    <w:p w14:paraId="4CEF9FE9" w14:textId="77777777" w:rsidR="00844B16" w:rsidRPr="00B4029C" w:rsidRDefault="00844B16" w:rsidP="00844B16">
      <w:pPr>
        <w:spacing w:line="360" w:lineRule="auto"/>
        <w:rPr>
          <w:sz w:val="24"/>
          <w:szCs w:val="24"/>
        </w:rPr>
      </w:pPr>
      <w:r w:rsidRPr="00B4029C">
        <w:rPr>
          <w:sz w:val="24"/>
          <w:szCs w:val="24"/>
        </w:rPr>
        <w:t>__________________________________________________________________________</w:t>
      </w:r>
    </w:p>
    <w:p w14:paraId="1FD69BCB" w14:textId="77777777" w:rsidR="00844B16" w:rsidRPr="00B4029C" w:rsidRDefault="00844B16" w:rsidP="00844B16">
      <w:pPr>
        <w:tabs>
          <w:tab w:val="right" w:pos="1701"/>
          <w:tab w:val="left" w:pos="1843"/>
        </w:tabs>
        <w:spacing w:line="360" w:lineRule="auto"/>
        <w:ind w:left="1843" w:hanging="1843"/>
        <w:rPr>
          <w:b/>
          <w:smallCaps/>
          <w:sz w:val="24"/>
          <w:szCs w:val="24"/>
        </w:rPr>
        <w:sectPr w:rsidR="00844B16" w:rsidRPr="00B4029C" w:rsidSect="00844B16">
          <w:footerReference w:type="default" r:id="rId13"/>
          <w:pgSz w:w="11906" w:h="16838"/>
          <w:pgMar w:top="993" w:right="1417" w:bottom="1417" w:left="1417" w:header="709" w:footer="658" w:gutter="0"/>
          <w:cols w:space="708"/>
          <w:docGrid w:linePitch="360"/>
        </w:sectPr>
      </w:pP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844B16" w:rsidRPr="00B4029C" w14:paraId="0833A7FA" w14:textId="77777777" w:rsidTr="00FB58F0">
        <w:tc>
          <w:tcPr>
            <w:tcW w:w="1951" w:type="dxa"/>
          </w:tcPr>
          <w:p w14:paraId="07236EAD" w14:textId="77777777" w:rsidR="00844B16" w:rsidRPr="00B4029C" w:rsidRDefault="00844B16" w:rsidP="00FB58F0">
            <w:pPr>
              <w:spacing w:line="360" w:lineRule="auto"/>
              <w:jc w:val="right"/>
              <w:rPr>
                <w:sz w:val="24"/>
                <w:szCs w:val="24"/>
                <w:lang w:val="hr-HR" w:eastAsia="hr-HR"/>
              </w:rPr>
            </w:pPr>
            <w:r w:rsidRPr="00B4029C">
              <w:rPr>
                <w:b/>
                <w:smallCaps/>
                <w:sz w:val="24"/>
                <w:szCs w:val="24"/>
                <w:lang w:val="hr-HR" w:eastAsia="hr-HR"/>
              </w:rPr>
              <w:t>Predlagatelj</w:t>
            </w:r>
            <w:r w:rsidRPr="00B4029C">
              <w:rPr>
                <w:b/>
                <w:sz w:val="24"/>
                <w:szCs w:val="24"/>
                <w:lang w:val="hr-HR" w:eastAsia="hr-HR"/>
              </w:rPr>
              <w:t>:</w:t>
            </w:r>
          </w:p>
        </w:tc>
        <w:tc>
          <w:tcPr>
            <w:tcW w:w="7229" w:type="dxa"/>
          </w:tcPr>
          <w:p w14:paraId="7559919A" w14:textId="77777777" w:rsidR="00844B16" w:rsidRPr="00B4029C" w:rsidRDefault="00844B16" w:rsidP="00FB58F0">
            <w:pPr>
              <w:spacing w:line="360" w:lineRule="auto"/>
              <w:jc w:val="both"/>
              <w:rPr>
                <w:sz w:val="24"/>
                <w:szCs w:val="24"/>
                <w:lang w:val="hr-HR" w:eastAsia="hr-HR"/>
              </w:rPr>
            </w:pPr>
            <w:r w:rsidRPr="00B4029C">
              <w:rPr>
                <w:sz w:val="24"/>
                <w:szCs w:val="24"/>
                <w:lang w:val="hr-HR" w:eastAsia="hr-HR"/>
              </w:rPr>
              <w:t>MINISTARSTVO REGIONALNOGA RAZVOJA I FONDOVA EUROPSKE UNIJE</w:t>
            </w:r>
          </w:p>
        </w:tc>
      </w:tr>
    </w:tbl>
    <w:p w14:paraId="40BFCC01" w14:textId="77777777" w:rsidR="00844B16" w:rsidRPr="00B4029C" w:rsidRDefault="00844B16" w:rsidP="00844B16">
      <w:pPr>
        <w:spacing w:line="360" w:lineRule="auto"/>
        <w:rPr>
          <w:sz w:val="24"/>
          <w:szCs w:val="24"/>
        </w:rPr>
      </w:pPr>
      <w:r w:rsidRPr="00B4029C">
        <w:rPr>
          <w:sz w:val="24"/>
          <w:szCs w:val="24"/>
        </w:rPr>
        <w:t>__________________________________________________________________________</w:t>
      </w: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8"/>
        <w:gridCol w:w="7134"/>
      </w:tblGrid>
      <w:tr w:rsidR="00844B16" w:rsidRPr="00B4029C" w14:paraId="3D3CECF1" w14:textId="77777777" w:rsidTr="00FB58F0">
        <w:tc>
          <w:tcPr>
            <w:tcW w:w="1938" w:type="dxa"/>
          </w:tcPr>
          <w:p w14:paraId="19022652" w14:textId="77777777" w:rsidR="00844B16" w:rsidRPr="00B4029C" w:rsidRDefault="00844B16" w:rsidP="00FB58F0">
            <w:pPr>
              <w:spacing w:line="360" w:lineRule="auto"/>
              <w:jc w:val="right"/>
              <w:rPr>
                <w:sz w:val="24"/>
                <w:szCs w:val="24"/>
                <w:lang w:val="hr-HR" w:eastAsia="hr-HR"/>
              </w:rPr>
            </w:pPr>
            <w:r w:rsidRPr="00B4029C">
              <w:rPr>
                <w:b/>
                <w:smallCaps/>
                <w:sz w:val="24"/>
                <w:szCs w:val="24"/>
                <w:lang w:val="hr-HR" w:eastAsia="hr-HR"/>
              </w:rPr>
              <w:t>Predmet</w:t>
            </w:r>
            <w:r w:rsidRPr="00B4029C">
              <w:rPr>
                <w:b/>
                <w:sz w:val="24"/>
                <w:szCs w:val="24"/>
                <w:lang w:val="hr-HR" w:eastAsia="hr-HR"/>
              </w:rPr>
              <w:t>:</w:t>
            </w:r>
          </w:p>
        </w:tc>
        <w:tc>
          <w:tcPr>
            <w:tcW w:w="7134" w:type="dxa"/>
          </w:tcPr>
          <w:p w14:paraId="0284D71C" w14:textId="74405642" w:rsidR="00844B16" w:rsidRPr="00B4029C" w:rsidRDefault="00844B16" w:rsidP="00FB58F0">
            <w:pPr>
              <w:spacing w:line="360" w:lineRule="auto"/>
              <w:jc w:val="both"/>
              <w:rPr>
                <w:sz w:val="24"/>
                <w:szCs w:val="24"/>
                <w:lang w:val="hr-HR" w:eastAsia="hr-HR"/>
              </w:rPr>
            </w:pPr>
            <w:r w:rsidRPr="00B4029C">
              <w:rPr>
                <w:sz w:val="24"/>
                <w:szCs w:val="24"/>
                <w:lang w:val="hr-HR" w:eastAsia="hr-HR"/>
              </w:rPr>
              <w:t xml:space="preserve">IZVJEŠĆE O KORIŠTENJU EUROPSKIH STRUKTURNIH I INVESTICIJSKIH FONDOVA I PRETPRISTUPNIH PROGRAMA POMOĆI EUROPSKE UNIJE ZA RAZDOBLJE OD 1. </w:t>
            </w:r>
            <w:r w:rsidRPr="00844B16">
              <w:rPr>
                <w:sz w:val="24"/>
                <w:szCs w:val="24"/>
                <w:lang w:val="hr-HR" w:eastAsia="hr-HR"/>
              </w:rPr>
              <w:t>SIJEČNJA DO 30. LIPNJA 2023.</w:t>
            </w:r>
          </w:p>
        </w:tc>
      </w:tr>
    </w:tbl>
    <w:p w14:paraId="655AB3FD" w14:textId="77777777" w:rsidR="00844B16" w:rsidRPr="00B4029C" w:rsidRDefault="00844B16" w:rsidP="00844B16">
      <w:pPr>
        <w:tabs>
          <w:tab w:val="left" w:pos="1843"/>
        </w:tabs>
        <w:spacing w:line="360" w:lineRule="auto"/>
        <w:rPr>
          <w:b/>
          <w:smallCaps/>
          <w:sz w:val="24"/>
          <w:szCs w:val="24"/>
        </w:rPr>
        <w:sectPr w:rsidR="00844B16" w:rsidRPr="00B4029C" w:rsidSect="00691271">
          <w:type w:val="continuous"/>
          <w:pgSz w:w="11906" w:h="16838"/>
          <w:pgMar w:top="993" w:right="1417" w:bottom="1417" w:left="1417" w:header="709" w:footer="658" w:gutter="0"/>
          <w:cols w:space="708"/>
          <w:docGrid w:linePitch="360"/>
        </w:sectPr>
      </w:pPr>
      <w:r w:rsidRPr="00B4029C">
        <w:rPr>
          <w:sz w:val="24"/>
          <w:szCs w:val="24"/>
        </w:rPr>
        <w:t>_________________________________________________________________________</w:t>
      </w:r>
    </w:p>
    <w:p w14:paraId="63B7EAF7" w14:textId="77777777" w:rsidR="00844B16" w:rsidRPr="00CB2BDB" w:rsidRDefault="00844B16" w:rsidP="00844B16">
      <w:pPr>
        <w:tabs>
          <w:tab w:val="right" w:pos="1701"/>
          <w:tab w:val="left" w:pos="1843"/>
        </w:tabs>
        <w:spacing w:line="360" w:lineRule="auto"/>
        <w:ind w:left="1843" w:hanging="1843"/>
        <w:rPr>
          <w:b/>
          <w:smallCaps/>
          <w:sz w:val="24"/>
          <w:szCs w:val="24"/>
        </w:rPr>
        <w:sectPr w:rsidR="00844B16" w:rsidRPr="00CB2BDB" w:rsidSect="000969AF">
          <w:footerReference w:type="default" r:id="rId14"/>
          <w:type w:val="continuous"/>
          <w:pgSz w:w="11906" w:h="16838"/>
          <w:pgMar w:top="993" w:right="1417" w:bottom="1417" w:left="1417" w:header="709" w:footer="658" w:gutter="0"/>
          <w:cols w:space="708"/>
          <w:docGrid w:linePitch="360"/>
        </w:sectPr>
      </w:pPr>
    </w:p>
    <w:p w14:paraId="4524879E" w14:textId="77777777" w:rsidR="0035619D" w:rsidRPr="00C8184D" w:rsidRDefault="0035619D" w:rsidP="00BA03D8">
      <w:pPr>
        <w:pBdr>
          <w:bottom w:val="single" w:sz="12" w:space="1" w:color="auto"/>
        </w:pBdr>
        <w:suppressAutoHyphens/>
        <w:jc w:val="right"/>
        <w:rPr>
          <w:b/>
          <w:spacing w:val="-3"/>
          <w:sz w:val="24"/>
          <w:szCs w:val="24"/>
        </w:rPr>
      </w:pPr>
    </w:p>
    <w:p w14:paraId="2573A1C0" w14:textId="77777777" w:rsidR="00D57F47" w:rsidRPr="00332AB5" w:rsidRDefault="00D57F47" w:rsidP="00D57F47">
      <w:pPr>
        <w:pBdr>
          <w:bottom w:val="single" w:sz="12" w:space="1" w:color="auto"/>
        </w:pBdr>
        <w:suppressAutoHyphens/>
        <w:jc w:val="center"/>
        <w:rPr>
          <w:b/>
          <w:spacing w:val="-3"/>
          <w:sz w:val="24"/>
          <w:szCs w:val="24"/>
        </w:rPr>
      </w:pPr>
      <w:r w:rsidRPr="00332AB5">
        <w:rPr>
          <w:b/>
          <w:spacing w:val="-3"/>
          <w:sz w:val="24"/>
          <w:szCs w:val="24"/>
        </w:rPr>
        <w:t>VLADA REPUBLIKE HRVATSKE</w:t>
      </w:r>
    </w:p>
    <w:p w14:paraId="6011050F" w14:textId="77777777" w:rsidR="00D57F47" w:rsidRPr="00332AB5" w:rsidRDefault="00D57F47" w:rsidP="00D57F47">
      <w:pPr>
        <w:suppressAutoHyphens/>
        <w:jc w:val="center"/>
        <w:rPr>
          <w:b/>
          <w:spacing w:val="-3"/>
          <w:sz w:val="24"/>
          <w:szCs w:val="24"/>
        </w:rPr>
      </w:pPr>
    </w:p>
    <w:p w14:paraId="07FC0724" w14:textId="77777777" w:rsidR="00D57F47" w:rsidRPr="00332AB5" w:rsidRDefault="00D57F47" w:rsidP="00D57F47">
      <w:pPr>
        <w:suppressAutoHyphens/>
        <w:jc w:val="center"/>
        <w:rPr>
          <w:b/>
          <w:spacing w:val="-3"/>
          <w:sz w:val="24"/>
          <w:szCs w:val="24"/>
        </w:rPr>
      </w:pPr>
    </w:p>
    <w:p w14:paraId="6AAA98C3" w14:textId="77777777" w:rsidR="00D57F47" w:rsidRPr="00332AB5" w:rsidRDefault="00D57F47" w:rsidP="00D57F47">
      <w:pPr>
        <w:suppressAutoHyphens/>
        <w:jc w:val="center"/>
        <w:rPr>
          <w:b/>
          <w:spacing w:val="-3"/>
          <w:sz w:val="24"/>
          <w:szCs w:val="24"/>
        </w:rPr>
      </w:pPr>
    </w:p>
    <w:p w14:paraId="2DB362E2" w14:textId="77777777" w:rsidR="00D57F47" w:rsidRPr="00332AB5" w:rsidRDefault="00D57F47" w:rsidP="00D57F47">
      <w:pPr>
        <w:suppressAutoHyphens/>
        <w:jc w:val="center"/>
        <w:rPr>
          <w:b/>
          <w:spacing w:val="-3"/>
          <w:sz w:val="24"/>
          <w:szCs w:val="24"/>
        </w:rPr>
      </w:pPr>
    </w:p>
    <w:p w14:paraId="55E53D1C" w14:textId="77777777" w:rsidR="00D57F47" w:rsidRPr="00332AB5" w:rsidRDefault="00D57F47" w:rsidP="00D57F47">
      <w:pPr>
        <w:suppressAutoHyphens/>
        <w:jc w:val="center"/>
        <w:rPr>
          <w:b/>
          <w:spacing w:val="-3"/>
          <w:sz w:val="24"/>
          <w:szCs w:val="24"/>
        </w:rPr>
      </w:pPr>
    </w:p>
    <w:p w14:paraId="5666402D" w14:textId="77777777" w:rsidR="00D57F47" w:rsidRPr="00332AB5" w:rsidRDefault="00D57F47" w:rsidP="00D57F47">
      <w:pPr>
        <w:suppressAutoHyphens/>
        <w:jc w:val="center"/>
        <w:rPr>
          <w:b/>
          <w:spacing w:val="-3"/>
          <w:sz w:val="24"/>
          <w:szCs w:val="24"/>
        </w:rPr>
      </w:pPr>
    </w:p>
    <w:p w14:paraId="2BB8D27E" w14:textId="77777777" w:rsidR="00D57F47" w:rsidRPr="00332AB5" w:rsidRDefault="00D57F47" w:rsidP="00D57F47">
      <w:pPr>
        <w:suppressAutoHyphens/>
        <w:jc w:val="center"/>
        <w:rPr>
          <w:b/>
          <w:spacing w:val="-3"/>
          <w:sz w:val="24"/>
          <w:szCs w:val="24"/>
        </w:rPr>
      </w:pPr>
    </w:p>
    <w:p w14:paraId="6C7004F0" w14:textId="77777777" w:rsidR="00D57F47" w:rsidRPr="00332AB5" w:rsidRDefault="00D57F47" w:rsidP="00D57F47">
      <w:pPr>
        <w:suppressAutoHyphens/>
        <w:jc w:val="center"/>
        <w:rPr>
          <w:b/>
          <w:spacing w:val="-3"/>
          <w:sz w:val="24"/>
          <w:szCs w:val="24"/>
        </w:rPr>
      </w:pPr>
    </w:p>
    <w:p w14:paraId="207A4AE0" w14:textId="77777777" w:rsidR="00D57F47" w:rsidRPr="00332AB5" w:rsidRDefault="00D57F47" w:rsidP="00D57F47">
      <w:pPr>
        <w:suppressAutoHyphens/>
        <w:jc w:val="center"/>
        <w:rPr>
          <w:b/>
          <w:spacing w:val="-3"/>
          <w:sz w:val="24"/>
          <w:szCs w:val="24"/>
        </w:rPr>
      </w:pPr>
    </w:p>
    <w:p w14:paraId="0E972535" w14:textId="77777777" w:rsidR="00D57F47" w:rsidRPr="00332AB5" w:rsidRDefault="00D57F47" w:rsidP="00D57F47">
      <w:pPr>
        <w:suppressAutoHyphens/>
        <w:jc w:val="center"/>
        <w:rPr>
          <w:b/>
          <w:spacing w:val="-3"/>
          <w:sz w:val="24"/>
          <w:szCs w:val="24"/>
        </w:rPr>
      </w:pPr>
    </w:p>
    <w:p w14:paraId="577B0DB6" w14:textId="77777777" w:rsidR="00D57F47" w:rsidRPr="00332AB5" w:rsidRDefault="00D57F47" w:rsidP="00D57F47">
      <w:pPr>
        <w:suppressAutoHyphens/>
        <w:jc w:val="center"/>
        <w:rPr>
          <w:b/>
          <w:spacing w:val="-3"/>
          <w:sz w:val="24"/>
          <w:szCs w:val="24"/>
        </w:rPr>
      </w:pPr>
    </w:p>
    <w:p w14:paraId="26C9E672" w14:textId="77777777" w:rsidR="00D57F47" w:rsidRPr="00332AB5" w:rsidRDefault="00D57F47" w:rsidP="00D57F47">
      <w:pPr>
        <w:suppressAutoHyphens/>
        <w:jc w:val="center"/>
        <w:rPr>
          <w:b/>
          <w:spacing w:val="-3"/>
          <w:sz w:val="24"/>
          <w:szCs w:val="24"/>
        </w:rPr>
      </w:pPr>
    </w:p>
    <w:p w14:paraId="2A9A6966" w14:textId="77777777" w:rsidR="00D57F47" w:rsidRPr="00332AB5" w:rsidRDefault="00D57F47" w:rsidP="00D57F47">
      <w:pPr>
        <w:suppressAutoHyphens/>
        <w:jc w:val="center"/>
        <w:rPr>
          <w:b/>
          <w:spacing w:val="-3"/>
          <w:sz w:val="24"/>
          <w:szCs w:val="24"/>
        </w:rPr>
      </w:pPr>
    </w:p>
    <w:p w14:paraId="00CA3A90" w14:textId="77777777" w:rsidR="00D57F47" w:rsidRPr="00332AB5" w:rsidRDefault="00D57F47" w:rsidP="00D57F47">
      <w:pPr>
        <w:suppressAutoHyphens/>
        <w:jc w:val="center"/>
        <w:rPr>
          <w:b/>
          <w:spacing w:val="-3"/>
          <w:sz w:val="24"/>
          <w:szCs w:val="24"/>
        </w:rPr>
      </w:pPr>
    </w:p>
    <w:p w14:paraId="693544E2" w14:textId="77777777" w:rsidR="00D57F47" w:rsidRPr="00332AB5" w:rsidRDefault="00D57F47" w:rsidP="00D57F47">
      <w:pPr>
        <w:suppressAutoHyphens/>
        <w:jc w:val="center"/>
        <w:rPr>
          <w:b/>
          <w:spacing w:val="-3"/>
          <w:sz w:val="24"/>
          <w:szCs w:val="24"/>
        </w:rPr>
      </w:pPr>
    </w:p>
    <w:p w14:paraId="3BA07023" w14:textId="072D5EE8" w:rsidR="00D57F47" w:rsidRPr="00332AB5" w:rsidRDefault="00D57F47" w:rsidP="00D57F47">
      <w:pPr>
        <w:suppressAutoHyphens/>
        <w:jc w:val="center"/>
        <w:rPr>
          <w:b/>
          <w:spacing w:val="-3"/>
          <w:sz w:val="24"/>
          <w:szCs w:val="24"/>
        </w:rPr>
      </w:pPr>
    </w:p>
    <w:p w14:paraId="729EACF7" w14:textId="678D6526" w:rsidR="0055617E" w:rsidRPr="00332AB5" w:rsidRDefault="0055617E" w:rsidP="00D57F47">
      <w:pPr>
        <w:suppressAutoHyphens/>
        <w:jc w:val="center"/>
        <w:rPr>
          <w:b/>
          <w:spacing w:val="-3"/>
          <w:sz w:val="24"/>
          <w:szCs w:val="24"/>
        </w:rPr>
      </w:pPr>
    </w:p>
    <w:p w14:paraId="14FAD273" w14:textId="28A95D17" w:rsidR="00D57F47" w:rsidRPr="00332AB5" w:rsidRDefault="00D57F47" w:rsidP="00D57F47">
      <w:pPr>
        <w:suppressAutoHyphens/>
        <w:jc w:val="center"/>
        <w:rPr>
          <w:b/>
          <w:spacing w:val="-3"/>
          <w:sz w:val="24"/>
          <w:szCs w:val="24"/>
        </w:rPr>
      </w:pPr>
    </w:p>
    <w:p w14:paraId="7568302F" w14:textId="77777777" w:rsidR="00D57F47" w:rsidRPr="00332AB5" w:rsidRDefault="00D57F47" w:rsidP="00D57F47">
      <w:pPr>
        <w:suppressAutoHyphens/>
        <w:jc w:val="center"/>
        <w:rPr>
          <w:b/>
          <w:spacing w:val="-3"/>
          <w:sz w:val="24"/>
          <w:szCs w:val="24"/>
        </w:rPr>
      </w:pPr>
    </w:p>
    <w:p w14:paraId="390D73EF" w14:textId="77777777" w:rsidR="00D57F47" w:rsidRPr="00332AB5" w:rsidRDefault="00D57F47" w:rsidP="00D57F47">
      <w:pPr>
        <w:suppressAutoHyphens/>
        <w:jc w:val="center"/>
        <w:rPr>
          <w:b/>
          <w:spacing w:val="-3"/>
          <w:sz w:val="24"/>
          <w:szCs w:val="24"/>
        </w:rPr>
      </w:pPr>
    </w:p>
    <w:p w14:paraId="54257136" w14:textId="77777777" w:rsidR="00D57F47" w:rsidRPr="00332AB5" w:rsidRDefault="00D57F47" w:rsidP="00D57F47">
      <w:pPr>
        <w:suppressAutoHyphens/>
        <w:jc w:val="center"/>
        <w:rPr>
          <w:b/>
          <w:spacing w:val="-3"/>
          <w:sz w:val="24"/>
          <w:szCs w:val="24"/>
        </w:rPr>
      </w:pPr>
    </w:p>
    <w:p w14:paraId="3B751935" w14:textId="77777777" w:rsidR="00D57F47" w:rsidRPr="00332AB5" w:rsidRDefault="00D57F47" w:rsidP="00D57F47">
      <w:pPr>
        <w:jc w:val="center"/>
        <w:rPr>
          <w:b/>
          <w:bCs/>
          <w:sz w:val="24"/>
          <w:szCs w:val="24"/>
        </w:rPr>
      </w:pPr>
      <w:bookmarkStart w:id="2" w:name="_Hlk523318791"/>
      <w:r w:rsidRPr="00332AB5">
        <w:rPr>
          <w:b/>
          <w:bCs/>
          <w:sz w:val="24"/>
          <w:szCs w:val="24"/>
        </w:rPr>
        <w:t>IZVJEŠĆE O KORIŠTENJU EUROPSKIH STRUKTURNIH I INVESTICIJSKIH FONDOVA I PRETPRISTUPNIH PROGRAMA POMOĆI</w:t>
      </w:r>
    </w:p>
    <w:p w14:paraId="1654D202" w14:textId="77777777" w:rsidR="00D57F47" w:rsidRPr="00332AB5" w:rsidRDefault="00D57F47" w:rsidP="00D57F47">
      <w:pPr>
        <w:jc w:val="center"/>
        <w:rPr>
          <w:b/>
          <w:bCs/>
          <w:sz w:val="24"/>
          <w:szCs w:val="24"/>
        </w:rPr>
      </w:pPr>
      <w:r w:rsidRPr="00332AB5">
        <w:rPr>
          <w:b/>
          <w:bCs/>
          <w:sz w:val="24"/>
          <w:szCs w:val="24"/>
        </w:rPr>
        <w:t>EUROPSKE UNIJE ZA RAZDOBLJE</w:t>
      </w:r>
    </w:p>
    <w:p w14:paraId="4F0962B4" w14:textId="27B0AEAE" w:rsidR="00D57F47" w:rsidRPr="00332AB5" w:rsidRDefault="002B4348" w:rsidP="00D57F47">
      <w:pPr>
        <w:jc w:val="center"/>
        <w:rPr>
          <w:b/>
          <w:sz w:val="24"/>
          <w:szCs w:val="24"/>
        </w:rPr>
      </w:pPr>
      <w:r w:rsidRPr="00332AB5">
        <w:rPr>
          <w:b/>
          <w:bCs/>
          <w:sz w:val="24"/>
          <w:szCs w:val="24"/>
        </w:rPr>
        <w:t xml:space="preserve">OD </w:t>
      </w:r>
      <w:r w:rsidR="0011067E" w:rsidRPr="00332AB5">
        <w:rPr>
          <w:b/>
          <w:bCs/>
          <w:sz w:val="24"/>
          <w:szCs w:val="24"/>
        </w:rPr>
        <w:t>1. SIJEČNJA DO 30. LIPNJA 2023.</w:t>
      </w:r>
      <w:r w:rsidR="006909FF" w:rsidRPr="00332AB5">
        <w:rPr>
          <w:b/>
          <w:bCs/>
          <w:sz w:val="24"/>
          <w:szCs w:val="24"/>
        </w:rPr>
        <w:t xml:space="preserve"> </w:t>
      </w:r>
    </w:p>
    <w:bookmarkEnd w:id="2"/>
    <w:p w14:paraId="361C7446" w14:textId="77777777" w:rsidR="00D57F47" w:rsidRPr="00332AB5" w:rsidRDefault="00D57F47" w:rsidP="00D57F47">
      <w:pPr>
        <w:jc w:val="center"/>
        <w:rPr>
          <w:b/>
          <w:sz w:val="24"/>
          <w:szCs w:val="24"/>
        </w:rPr>
      </w:pPr>
    </w:p>
    <w:p w14:paraId="7CA575F2" w14:textId="77777777" w:rsidR="00D57F47" w:rsidRPr="00332AB5" w:rsidRDefault="00D57F47" w:rsidP="00D57F47">
      <w:pPr>
        <w:tabs>
          <w:tab w:val="left" w:pos="-720"/>
        </w:tabs>
        <w:suppressAutoHyphens/>
        <w:jc w:val="center"/>
        <w:rPr>
          <w:spacing w:val="-3"/>
          <w:sz w:val="24"/>
          <w:szCs w:val="24"/>
        </w:rPr>
      </w:pPr>
    </w:p>
    <w:p w14:paraId="72AAC0EB" w14:textId="77777777" w:rsidR="00D57F47" w:rsidRPr="00332AB5" w:rsidRDefault="00D57F47" w:rsidP="00D57F47">
      <w:pPr>
        <w:suppressAutoHyphens/>
        <w:jc w:val="center"/>
        <w:rPr>
          <w:sz w:val="24"/>
          <w:szCs w:val="24"/>
        </w:rPr>
      </w:pPr>
    </w:p>
    <w:p w14:paraId="796E2D7E" w14:textId="77777777" w:rsidR="00D57F47" w:rsidRPr="00332AB5" w:rsidRDefault="00D57F47" w:rsidP="00D57F47">
      <w:pPr>
        <w:suppressAutoHyphens/>
        <w:jc w:val="center"/>
        <w:rPr>
          <w:sz w:val="24"/>
          <w:szCs w:val="24"/>
        </w:rPr>
      </w:pPr>
    </w:p>
    <w:p w14:paraId="12D44398" w14:textId="77777777" w:rsidR="00D57F47" w:rsidRPr="00332AB5" w:rsidRDefault="00D57F47" w:rsidP="00D57F47">
      <w:pPr>
        <w:suppressAutoHyphens/>
        <w:jc w:val="center"/>
        <w:rPr>
          <w:sz w:val="24"/>
          <w:szCs w:val="24"/>
        </w:rPr>
      </w:pPr>
    </w:p>
    <w:p w14:paraId="7431EBC4" w14:textId="62987A02" w:rsidR="00D57F47" w:rsidRPr="00332AB5" w:rsidRDefault="005F4574" w:rsidP="005F4574">
      <w:pPr>
        <w:tabs>
          <w:tab w:val="left" w:pos="3255"/>
        </w:tabs>
        <w:suppressAutoHyphens/>
        <w:rPr>
          <w:sz w:val="24"/>
          <w:szCs w:val="24"/>
        </w:rPr>
      </w:pPr>
      <w:r w:rsidRPr="00332AB5">
        <w:rPr>
          <w:sz w:val="24"/>
          <w:szCs w:val="24"/>
        </w:rPr>
        <w:tab/>
      </w:r>
    </w:p>
    <w:p w14:paraId="3A2EBE55" w14:textId="77777777" w:rsidR="00D57F47" w:rsidRPr="00332AB5" w:rsidRDefault="00D57F47" w:rsidP="00D57F47">
      <w:pPr>
        <w:suppressAutoHyphens/>
        <w:jc w:val="center"/>
        <w:rPr>
          <w:sz w:val="24"/>
          <w:szCs w:val="24"/>
        </w:rPr>
      </w:pPr>
    </w:p>
    <w:p w14:paraId="2E488DBC" w14:textId="77777777" w:rsidR="00D57F47" w:rsidRPr="00332AB5" w:rsidRDefault="00D57F47" w:rsidP="00D57F47">
      <w:pPr>
        <w:suppressAutoHyphens/>
        <w:jc w:val="center"/>
        <w:rPr>
          <w:sz w:val="24"/>
          <w:szCs w:val="24"/>
        </w:rPr>
      </w:pPr>
    </w:p>
    <w:p w14:paraId="30722A62" w14:textId="77777777" w:rsidR="00D57F47" w:rsidRPr="00332AB5" w:rsidRDefault="00D57F47" w:rsidP="00D57F47">
      <w:pPr>
        <w:suppressAutoHyphens/>
        <w:jc w:val="center"/>
        <w:rPr>
          <w:sz w:val="24"/>
          <w:szCs w:val="24"/>
        </w:rPr>
      </w:pPr>
    </w:p>
    <w:p w14:paraId="26D0B736" w14:textId="77777777" w:rsidR="00D57F47" w:rsidRPr="00332AB5" w:rsidRDefault="00D57F47" w:rsidP="00D57F47">
      <w:pPr>
        <w:jc w:val="center"/>
        <w:rPr>
          <w:sz w:val="24"/>
          <w:szCs w:val="24"/>
        </w:rPr>
      </w:pPr>
    </w:p>
    <w:p w14:paraId="301162A4" w14:textId="77777777" w:rsidR="00D57F47" w:rsidRPr="00332AB5" w:rsidRDefault="00D57F47" w:rsidP="00D57F47">
      <w:pPr>
        <w:jc w:val="center"/>
        <w:rPr>
          <w:sz w:val="24"/>
          <w:szCs w:val="24"/>
        </w:rPr>
      </w:pPr>
    </w:p>
    <w:p w14:paraId="2602071F" w14:textId="77777777" w:rsidR="00D57F47" w:rsidRPr="00332AB5" w:rsidRDefault="00D57F47" w:rsidP="00D57F47">
      <w:pPr>
        <w:tabs>
          <w:tab w:val="left" w:pos="8647"/>
        </w:tabs>
        <w:jc w:val="center"/>
        <w:rPr>
          <w:sz w:val="22"/>
        </w:rPr>
      </w:pPr>
    </w:p>
    <w:p w14:paraId="36D7E610" w14:textId="77777777" w:rsidR="00D57F47" w:rsidRPr="00332AB5" w:rsidRDefault="00D57F47" w:rsidP="00D57F47">
      <w:pPr>
        <w:tabs>
          <w:tab w:val="left" w:pos="8647"/>
        </w:tabs>
        <w:jc w:val="center"/>
        <w:rPr>
          <w:sz w:val="22"/>
        </w:rPr>
      </w:pPr>
    </w:p>
    <w:p w14:paraId="13A1B753" w14:textId="77777777" w:rsidR="00D57F47" w:rsidRPr="00332AB5" w:rsidRDefault="00D57F47" w:rsidP="00D57F47">
      <w:pPr>
        <w:tabs>
          <w:tab w:val="left" w:pos="8647"/>
        </w:tabs>
        <w:jc w:val="center"/>
        <w:rPr>
          <w:sz w:val="22"/>
        </w:rPr>
      </w:pPr>
    </w:p>
    <w:p w14:paraId="3E02B7E1" w14:textId="77777777" w:rsidR="00D57F47" w:rsidRPr="00332AB5" w:rsidRDefault="00D57F47" w:rsidP="00D57F47">
      <w:pPr>
        <w:tabs>
          <w:tab w:val="left" w:pos="8647"/>
        </w:tabs>
        <w:jc w:val="center"/>
        <w:rPr>
          <w:sz w:val="22"/>
        </w:rPr>
      </w:pPr>
    </w:p>
    <w:p w14:paraId="09550C95" w14:textId="77777777" w:rsidR="00D57F47" w:rsidRPr="00332AB5" w:rsidRDefault="00D57F47" w:rsidP="00D57F47">
      <w:pPr>
        <w:tabs>
          <w:tab w:val="left" w:pos="8647"/>
        </w:tabs>
        <w:jc w:val="center"/>
        <w:rPr>
          <w:sz w:val="22"/>
        </w:rPr>
      </w:pPr>
    </w:p>
    <w:p w14:paraId="1ED05B71" w14:textId="77777777" w:rsidR="00D57F47" w:rsidRPr="00332AB5" w:rsidRDefault="00D57F47" w:rsidP="00D57F47">
      <w:pPr>
        <w:tabs>
          <w:tab w:val="left" w:pos="8647"/>
        </w:tabs>
        <w:jc w:val="center"/>
        <w:rPr>
          <w:sz w:val="22"/>
        </w:rPr>
      </w:pPr>
    </w:p>
    <w:p w14:paraId="791CF99C" w14:textId="52750573" w:rsidR="00121302" w:rsidRPr="00332AB5" w:rsidRDefault="00121302" w:rsidP="00D57F47">
      <w:pPr>
        <w:tabs>
          <w:tab w:val="left" w:pos="8647"/>
        </w:tabs>
        <w:jc w:val="center"/>
        <w:rPr>
          <w:sz w:val="22"/>
        </w:rPr>
      </w:pPr>
    </w:p>
    <w:p w14:paraId="6E5EF85F" w14:textId="5871C72E" w:rsidR="008825DF" w:rsidRPr="00332AB5" w:rsidRDefault="008825DF" w:rsidP="00D57F47">
      <w:pPr>
        <w:tabs>
          <w:tab w:val="left" w:pos="8647"/>
        </w:tabs>
        <w:jc w:val="center"/>
        <w:rPr>
          <w:sz w:val="22"/>
        </w:rPr>
      </w:pPr>
    </w:p>
    <w:p w14:paraId="1FF3037C" w14:textId="77777777" w:rsidR="008825DF" w:rsidRPr="00332AB5" w:rsidRDefault="008825DF" w:rsidP="00D57F47">
      <w:pPr>
        <w:tabs>
          <w:tab w:val="left" w:pos="8647"/>
        </w:tabs>
        <w:jc w:val="center"/>
        <w:rPr>
          <w:sz w:val="22"/>
        </w:rPr>
      </w:pPr>
    </w:p>
    <w:p w14:paraId="16ED4A06" w14:textId="77777777" w:rsidR="00D57F47" w:rsidRPr="00332AB5" w:rsidRDefault="00D57F47" w:rsidP="00D57F47">
      <w:pPr>
        <w:tabs>
          <w:tab w:val="left" w:pos="8647"/>
        </w:tabs>
        <w:jc w:val="center"/>
        <w:rPr>
          <w:sz w:val="22"/>
        </w:rPr>
      </w:pPr>
    </w:p>
    <w:p w14:paraId="283D82B3" w14:textId="77777777" w:rsidR="00D57F47" w:rsidRPr="00332AB5" w:rsidRDefault="00D57F47" w:rsidP="00D57F47">
      <w:pPr>
        <w:tabs>
          <w:tab w:val="left" w:pos="8647"/>
        </w:tabs>
        <w:jc w:val="center"/>
        <w:rPr>
          <w:sz w:val="22"/>
        </w:rPr>
      </w:pPr>
    </w:p>
    <w:p w14:paraId="5ACBE18C" w14:textId="77777777" w:rsidR="00D57F47" w:rsidRPr="00332AB5" w:rsidRDefault="00D57F47" w:rsidP="00D57F47">
      <w:pPr>
        <w:pBdr>
          <w:bottom w:val="single" w:sz="12" w:space="1" w:color="auto"/>
        </w:pBdr>
        <w:tabs>
          <w:tab w:val="left" w:pos="8647"/>
        </w:tabs>
        <w:jc w:val="center"/>
        <w:rPr>
          <w:sz w:val="22"/>
        </w:rPr>
      </w:pPr>
    </w:p>
    <w:p w14:paraId="5A988D80" w14:textId="12FF237C" w:rsidR="00C75AE3" w:rsidRPr="00332AB5" w:rsidRDefault="00D57F47" w:rsidP="00D57F47">
      <w:pPr>
        <w:tabs>
          <w:tab w:val="left" w:pos="8647"/>
        </w:tabs>
        <w:jc w:val="center"/>
        <w:rPr>
          <w:b/>
          <w:sz w:val="24"/>
          <w:szCs w:val="24"/>
        </w:rPr>
        <w:sectPr w:rsidR="00C75AE3" w:rsidRPr="00332AB5" w:rsidSect="00207E50">
          <w:footerReference w:type="default" r:id="rId15"/>
          <w:footerReference w:type="first" r:id="rId16"/>
          <w:pgSz w:w="11907" w:h="16839" w:code="9"/>
          <w:pgMar w:top="1418" w:right="1327" w:bottom="1418" w:left="1418" w:header="709" w:footer="709" w:gutter="0"/>
          <w:pgNumType w:start="1"/>
          <w:cols w:space="708"/>
          <w:titlePg/>
          <w:docGrid w:linePitch="360"/>
        </w:sectPr>
      </w:pPr>
      <w:r w:rsidRPr="00332AB5">
        <w:rPr>
          <w:b/>
          <w:sz w:val="24"/>
          <w:szCs w:val="24"/>
        </w:rPr>
        <w:t>Zagreb,</w:t>
      </w:r>
      <w:r w:rsidR="0055617E" w:rsidRPr="00332AB5">
        <w:rPr>
          <w:b/>
          <w:sz w:val="24"/>
          <w:szCs w:val="24"/>
        </w:rPr>
        <w:t xml:space="preserve"> </w:t>
      </w:r>
      <w:r w:rsidR="002B282B" w:rsidRPr="00332AB5">
        <w:rPr>
          <w:b/>
          <w:sz w:val="24"/>
          <w:szCs w:val="24"/>
        </w:rPr>
        <w:t>prosinac</w:t>
      </w:r>
      <w:r w:rsidR="00D54560" w:rsidRPr="00332AB5">
        <w:rPr>
          <w:b/>
          <w:sz w:val="24"/>
          <w:szCs w:val="24"/>
        </w:rPr>
        <w:t xml:space="preserve"> </w:t>
      </w:r>
      <w:r w:rsidR="004932EC" w:rsidRPr="00332AB5">
        <w:rPr>
          <w:b/>
          <w:sz w:val="24"/>
          <w:szCs w:val="24"/>
        </w:rPr>
        <w:t>202</w:t>
      </w:r>
      <w:r w:rsidR="000351E8" w:rsidRPr="00332AB5">
        <w:rPr>
          <w:b/>
          <w:sz w:val="24"/>
          <w:szCs w:val="24"/>
        </w:rPr>
        <w:t>3</w:t>
      </w:r>
      <w:r w:rsidRPr="00332AB5">
        <w:rPr>
          <w:b/>
          <w:sz w:val="24"/>
          <w:szCs w:val="24"/>
        </w:rPr>
        <w:t>.</w:t>
      </w:r>
    </w:p>
    <w:sdt>
      <w:sdtPr>
        <w:rPr>
          <w:bCs/>
          <w:noProof/>
          <w:sz w:val="24"/>
          <w:szCs w:val="24"/>
        </w:rPr>
        <w:id w:val="1735971383"/>
        <w:docPartObj>
          <w:docPartGallery w:val="Table of Contents"/>
          <w:docPartUnique/>
        </w:docPartObj>
      </w:sdtPr>
      <w:sdtEndPr>
        <w:rPr>
          <w:rStyle w:val="Hyperlink"/>
          <w:color w:val="0000FF"/>
          <w:u w:val="single"/>
        </w:rPr>
      </w:sdtEndPr>
      <w:sdtContent>
        <w:p w14:paraId="297958F1" w14:textId="77777777" w:rsidR="00CC6CD2" w:rsidRPr="00332AB5" w:rsidRDefault="00CC6CD2" w:rsidP="00CC6CD2">
          <w:pPr>
            <w:tabs>
              <w:tab w:val="left" w:pos="8647"/>
            </w:tabs>
            <w:jc w:val="center"/>
            <w:rPr>
              <w:bCs/>
              <w:sz w:val="22"/>
            </w:rPr>
          </w:pPr>
          <w:r w:rsidRPr="00332AB5">
            <w:rPr>
              <w:bCs/>
              <w:sz w:val="24"/>
            </w:rPr>
            <w:t>SADRŽAJ</w:t>
          </w:r>
        </w:p>
        <w:p w14:paraId="1D476728" w14:textId="773CF075" w:rsidR="00E910EE" w:rsidRPr="00332AB5" w:rsidRDefault="008C2CC3">
          <w:pPr>
            <w:pStyle w:val="TOC1"/>
            <w:rPr>
              <w:rFonts w:asciiTheme="minorHAnsi" w:eastAsiaTheme="minorEastAsia" w:hAnsiTheme="minorHAnsi" w:cstheme="minorBidi"/>
              <w:bCs/>
              <w:kern w:val="2"/>
              <w:sz w:val="22"/>
              <w:szCs w:val="22"/>
              <w14:ligatures w14:val="standardContextual"/>
            </w:rPr>
          </w:pPr>
          <w:r w:rsidRPr="00332AB5">
            <w:rPr>
              <w:rStyle w:val="Hyperlink"/>
              <w:bCs/>
              <w:noProof w:val="0"/>
              <w:color w:val="auto"/>
            </w:rPr>
            <w:fldChar w:fldCharType="begin"/>
          </w:r>
          <w:r w:rsidR="00596CD2" w:rsidRPr="00332AB5">
            <w:rPr>
              <w:rStyle w:val="Hyperlink"/>
              <w:bCs/>
              <w:noProof w:val="0"/>
              <w:color w:val="auto"/>
            </w:rPr>
            <w:instrText xml:space="preserve"> TOC \o "1-3" \h \z \u </w:instrText>
          </w:r>
          <w:r w:rsidRPr="00332AB5">
            <w:rPr>
              <w:rStyle w:val="Hyperlink"/>
              <w:bCs/>
              <w:noProof w:val="0"/>
              <w:color w:val="auto"/>
            </w:rPr>
            <w:fldChar w:fldCharType="separate"/>
          </w:r>
          <w:hyperlink w:anchor="_Toc152595213" w:history="1">
            <w:r w:rsidR="00E910EE" w:rsidRPr="00332AB5">
              <w:rPr>
                <w:rStyle w:val="Hyperlink"/>
                <w:bCs/>
              </w:rPr>
              <w:t>1.</w:t>
            </w:r>
            <w:r w:rsidR="00E910EE" w:rsidRPr="00332AB5">
              <w:rPr>
                <w:rFonts w:asciiTheme="minorHAnsi" w:eastAsiaTheme="minorEastAsia" w:hAnsiTheme="minorHAnsi" w:cstheme="minorBidi"/>
                <w:bCs/>
                <w:kern w:val="2"/>
                <w:sz w:val="22"/>
                <w:szCs w:val="22"/>
                <w14:ligatures w14:val="standardContextual"/>
              </w:rPr>
              <w:tab/>
            </w:r>
            <w:r w:rsidR="00E910EE" w:rsidRPr="00332AB5">
              <w:rPr>
                <w:rStyle w:val="Hyperlink"/>
                <w:bCs/>
              </w:rPr>
              <w:t>UVOD</w:t>
            </w:r>
            <w:r w:rsidR="00E910EE" w:rsidRPr="00332AB5">
              <w:rPr>
                <w:bCs/>
                <w:webHidden/>
              </w:rPr>
              <w:tab/>
            </w:r>
            <w:r w:rsidR="00E910EE" w:rsidRPr="00332AB5">
              <w:rPr>
                <w:bCs/>
                <w:webHidden/>
              </w:rPr>
              <w:fldChar w:fldCharType="begin"/>
            </w:r>
            <w:r w:rsidR="00E910EE" w:rsidRPr="00332AB5">
              <w:rPr>
                <w:bCs/>
                <w:webHidden/>
              </w:rPr>
              <w:instrText xml:space="preserve"> PAGEREF _Toc152595213 \h </w:instrText>
            </w:r>
            <w:r w:rsidR="00E910EE" w:rsidRPr="00332AB5">
              <w:rPr>
                <w:bCs/>
                <w:webHidden/>
              </w:rPr>
            </w:r>
            <w:r w:rsidR="00E910EE" w:rsidRPr="00332AB5">
              <w:rPr>
                <w:bCs/>
                <w:webHidden/>
              </w:rPr>
              <w:fldChar w:fldCharType="separate"/>
            </w:r>
            <w:r w:rsidR="005E6E46">
              <w:rPr>
                <w:bCs/>
                <w:webHidden/>
              </w:rPr>
              <w:t>4</w:t>
            </w:r>
            <w:r w:rsidR="00E910EE" w:rsidRPr="00332AB5">
              <w:rPr>
                <w:bCs/>
                <w:webHidden/>
              </w:rPr>
              <w:fldChar w:fldCharType="end"/>
            </w:r>
          </w:hyperlink>
        </w:p>
        <w:p w14:paraId="574D3BBA" w14:textId="50824BED" w:rsidR="00E910EE" w:rsidRPr="00332AB5" w:rsidRDefault="00310FA2">
          <w:pPr>
            <w:pStyle w:val="TOC1"/>
            <w:rPr>
              <w:rFonts w:asciiTheme="minorHAnsi" w:eastAsiaTheme="minorEastAsia" w:hAnsiTheme="minorHAnsi" w:cstheme="minorBidi"/>
              <w:bCs/>
              <w:kern w:val="2"/>
              <w:sz w:val="22"/>
              <w:szCs w:val="22"/>
              <w14:ligatures w14:val="standardContextual"/>
            </w:rPr>
          </w:pPr>
          <w:hyperlink w:anchor="_Toc152595214" w:history="1">
            <w:r w:rsidR="00E910EE" w:rsidRPr="00332AB5">
              <w:rPr>
                <w:rStyle w:val="Hyperlink"/>
                <w:bCs/>
              </w:rPr>
              <w:t>2.</w:t>
            </w:r>
            <w:r w:rsidR="00E910EE" w:rsidRPr="00332AB5">
              <w:rPr>
                <w:rFonts w:asciiTheme="minorHAnsi" w:eastAsiaTheme="minorEastAsia" w:hAnsiTheme="minorHAnsi" w:cstheme="minorBidi"/>
                <w:bCs/>
                <w:kern w:val="2"/>
                <w:sz w:val="22"/>
                <w:szCs w:val="22"/>
                <w14:ligatures w14:val="standardContextual"/>
              </w:rPr>
              <w:tab/>
            </w:r>
            <w:r w:rsidR="00E910EE" w:rsidRPr="00332AB5">
              <w:rPr>
                <w:rStyle w:val="Hyperlink"/>
                <w:bCs/>
              </w:rPr>
              <w:t xml:space="preserve">SAŽETI PREGLED PROVEDBE </w:t>
            </w:r>
            <w:r w:rsidR="00E910EE" w:rsidRPr="00332AB5">
              <w:rPr>
                <w:rStyle w:val="Hyperlink"/>
                <w:bCs/>
                <w:spacing w:val="-4"/>
              </w:rPr>
              <w:t>EUROPSKIH STRUKTURNIH I INVESTICIJSKIH FONDOVA, INSTRUMENATA NEXT GENERATION EU, STRUKTURNIH INSTRUMENATA EUROPSKE UNIJE I INSTRUMENTA PRETPRISTUPNE POMOĆI PROGRAMA IPA</w:t>
            </w:r>
            <w:r w:rsidR="00E910EE" w:rsidRPr="00332AB5">
              <w:rPr>
                <w:bCs/>
                <w:webHidden/>
              </w:rPr>
              <w:tab/>
            </w:r>
            <w:r w:rsidR="00E910EE" w:rsidRPr="00332AB5">
              <w:rPr>
                <w:bCs/>
                <w:webHidden/>
              </w:rPr>
              <w:fldChar w:fldCharType="begin"/>
            </w:r>
            <w:r w:rsidR="00E910EE" w:rsidRPr="00332AB5">
              <w:rPr>
                <w:bCs/>
                <w:webHidden/>
              </w:rPr>
              <w:instrText xml:space="preserve"> PAGEREF _Toc152595214 \h </w:instrText>
            </w:r>
            <w:r w:rsidR="00E910EE" w:rsidRPr="00332AB5">
              <w:rPr>
                <w:bCs/>
                <w:webHidden/>
              </w:rPr>
            </w:r>
            <w:r w:rsidR="00E910EE" w:rsidRPr="00332AB5">
              <w:rPr>
                <w:bCs/>
                <w:webHidden/>
              </w:rPr>
              <w:fldChar w:fldCharType="separate"/>
            </w:r>
            <w:r w:rsidR="005E6E46">
              <w:rPr>
                <w:bCs/>
                <w:webHidden/>
              </w:rPr>
              <w:t>6</w:t>
            </w:r>
            <w:r w:rsidR="00E910EE" w:rsidRPr="00332AB5">
              <w:rPr>
                <w:bCs/>
                <w:webHidden/>
              </w:rPr>
              <w:fldChar w:fldCharType="end"/>
            </w:r>
          </w:hyperlink>
        </w:p>
        <w:p w14:paraId="48F93260" w14:textId="04930801" w:rsidR="00E910EE" w:rsidRPr="00332AB5" w:rsidRDefault="00310FA2">
          <w:pPr>
            <w:pStyle w:val="TOC2"/>
            <w:rPr>
              <w:rFonts w:asciiTheme="minorHAnsi" w:eastAsiaTheme="minorEastAsia" w:hAnsiTheme="minorHAnsi" w:cstheme="minorBidi"/>
              <w:kern w:val="2"/>
              <w:sz w:val="22"/>
              <w:szCs w:val="22"/>
              <w:lang w:eastAsia="hr-HR"/>
              <w14:ligatures w14:val="standardContextual"/>
            </w:rPr>
          </w:pPr>
          <w:hyperlink w:anchor="_Toc152595215" w:history="1">
            <w:r w:rsidR="00E910EE" w:rsidRPr="00332AB5">
              <w:rPr>
                <w:rStyle w:val="Hyperlink"/>
              </w:rPr>
              <w:t>2.1.</w:t>
            </w:r>
            <w:r w:rsidR="00E910EE" w:rsidRPr="00332AB5">
              <w:rPr>
                <w:rFonts w:asciiTheme="minorHAnsi" w:eastAsiaTheme="minorEastAsia" w:hAnsiTheme="minorHAnsi" w:cstheme="minorBidi"/>
                <w:kern w:val="2"/>
                <w:sz w:val="22"/>
                <w:szCs w:val="22"/>
                <w:lang w:eastAsia="hr-HR"/>
                <w14:ligatures w14:val="standardContextual"/>
              </w:rPr>
              <w:tab/>
            </w:r>
            <w:r w:rsidR="00E910EE" w:rsidRPr="00332AB5">
              <w:rPr>
                <w:rStyle w:val="Hyperlink"/>
              </w:rPr>
              <w:t>PREGLED PROVEDBE (OPERATIVNIH) PROGRAMA FINANCIJSKOG RAZDOBLJA 2014. – 2020.</w:t>
            </w:r>
            <w:r w:rsidR="00E910EE" w:rsidRPr="00332AB5">
              <w:rPr>
                <w:webHidden/>
              </w:rPr>
              <w:tab/>
            </w:r>
            <w:r w:rsidR="00E910EE" w:rsidRPr="00332AB5">
              <w:rPr>
                <w:webHidden/>
              </w:rPr>
              <w:fldChar w:fldCharType="begin"/>
            </w:r>
            <w:r w:rsidR="00E910EE" w:rsidRPr="00332AB5">
              <w:rPr>
                <w:webHidden/>
              </w:rPr>
              <w:instrText xml:space="preserve"> PAGEREF _Toc152595215 \h </w:instrText>
            </w:r>
            <w:r w:rsidR="00E910EE" w:rsidRPr="00332AB5">
              <w:rPr>
                <w:webHidden/>
              </w:rPr>
            </w:r>
            <w:r w:rsidR="00E910EE" w:rsidRPr="00332AB5">
              <w:rPr>
                <w:webHidden/>
              </w:rPr>
              <w:fldChar w:fldCharType="separate"/>
            </w:r>
            <w:r w:rsidR="005E6E46">
              <w:rPr>
                <w:webHidden/>
              </w:rPr>
              <w:t>6</w:t>
            </w:r>
            <w:r w:rsidR="00E910EE" w:rsidRPr="00332AB5">
              <w:rPr>
                <w:webHidden/>
              </w:rPr>
              <w:fldChar w:fldCharType="end"/>
            </w:r>
          </w:hyperlink>
        </w:p>
        <w:p w14:paraId="1B0E649E" w14:textId="72C06E47" w:rsidR="00E910EE" w:rsidRPr="00332AB5" w:rsidRDefault="00310FA2">
          <w:pPr>
            <w:pStyle w:val="TOC2"/>
            <w:rPr>
              <w:rFonts w:asciiTheme="minorHAnsi" w:eastAsiaTheme="minorEastAsia" w:hAnsiTheme="minorHAnsi" w:cstheme="minorBidi"/>
              <w:kern w:val="2"/>
              <w:sz w:val="22"/>
              <w:szCs w:val="22"/>
              <w:lang w:eastAsia="hr-HR"/>
              <w14:ligatures w14:val="standardContextual"/>
            </w:rPr>
          </w:pPr>
          <w:hyperlink w:anchor="_Toc152595216" w:history="1">
            <w:r w:rsidR="00E910EE" w:rsidRPr="00332AB5">
              <w:rPr>
                <w:rStyle w:val="Hyperlink"/>
              </w:rPr>
              <w:t>2.2.</w:t>
            </w:r>
            <w:r w:rsidR="00E910EE" w:rsidRPr="00332AB5">
              <w:rPr>
                <w:rFonts w:asciiTheme="minorHAnsi" w:eastAsiaTheme="minorEastAsia" w:hAnsiTheme="minorHAnsi" w:cstheme="minorBidi"/>
                <w:kern w:val="2"/>
                <w:sz w:val="22"/>
                <w:szCs w:val="22"/>
                <w:lang w:eastAsia="hr-HR"/>
                <w14:ligatures w14:val="standardContextual"/>
              </w:rPr>
              <w:tab/>
            </w:r>
            <w:r w:rsidR="00E910EE" w:rsidRPr="00332AB5">
              <w:rPr>
                <w:rStyle w:val="Hyperlink"/>
              </w:rPr>
              <w:t>PREGLED PROVEDBE INSTRUMENATA NEXT GENERATION EU</w:t>
            </w:r>
            <w:r w:rsidR="00E910EE" w:rsidRPr="00332AB5">
              <w:rPr>
                <w:webHidden/>
              </w:rPr>
              <w:tab/>
            </w:r>
            <w:r w:rsidR="00E910EE" w:rsidRPr="00332AB5">
              <w:rPr>
                <w:webHidden/>
              </w:rPr>
              <w:fldChar w:fldCharType="begin"/>
            </w:r>
            <w:r w:rsidR="00E910EE" w:rsidRPr="00332AB5">
              <w:rPr>
                <w:webHidden/>
              </w:rPr>
              <w:instrText xml:space="preserve"> PAGEREF _Toc152595216 \h </w:instrText>
            </w:r>
            <w:r w:rsidR="00E910EE" w:rsidRPr="00332AB5">
              <w:rPr>
                <w:webHidden/>
              </w:rPr>
            </w:r>
            <w:r w:rsidR="00E910EE" w:rsidRPr="00332AB5">
              <w:rPr>
                <w:webHidden/>
              </w:rPr>
              <w:fldChar w:fldCharType="separate"/>
            </w:r>
            <w:r w:rsidR="005E6E46">
              <w:rPr>
                <w:webHidden/>
              </w:rPr>
              <w:t>8</w:t>
            </w:r>
            <w:r w:rsidR="00E910EE" w:rsidRPr="00332AB5">
              <w:rPr>
                <w:webHidden/>
              </w:rPr>
              <w:fldChar w:fldCharType="end"/>
            </w:r>
          </w:hyperlink>
        </w:p>
        <w:p w14:paraId="1236CFC7" w14:textId="2CC9D11E" w:rsidR="00E910EE" w:rsidRPr="00332AB5" w:rsidRDefault="00310FA2">
          <w:pPr>
            <w:pStyle w:val="TOC2"/>
            <w:rPr>
              <w:rFonts w:asciiTheme="minorHAnsi" w:eastAsiaTheme="minorEastAsia" w:hAnsiTheme="minorHAnsi" w:cstheme="minorBidi"/>
              <w:kern w:val="2"/>
              <w:sz w:val="22"/>
              <w:szCs w:val="22"/>
              <w:lang w:eastAsia="hr-HR"/>
              <w14:ligatures w14:val="standardContextual"/>
            </w:rPr>
          </w:pPr>
          <w:hyperlink w:anchor="_Toc152595217" w:history="1">
            <w:r w:rsidR="00E910EE" w:rsidRPr="00332AB5">
              <w:rPr>
                <w:rStyle w:val="Hyperlink"/>
              </w:rPr>
              <w:t>2.3.</w:t>
            </w:r>
            <w:r w:rsidR="00E910EE" w:rsidRPr="00332AB5">
              <w:rPr>
                <w:rFonts w:asciiTheme="minorHAnsi" w:eastAsiaTheme="minorEastAsia" w:hAnsiTheme="minorHAnsi" w:cstheme="minorBidi"/>
                <w:kern w:val="2"/>
                <w:sz w:val="22"/>
                <w:szCs w:val="22"/>
                <w:lang w:eastAsia="hr-HR"/>
                <w14:ligatures w14:val="standardContextual"/>
              </w:rPr>
              <w:tab/>
            </w:r>
            <w:r w:rsidR="00E910EE" w:rsidRPr="00332AB5">
              <w:rPr>
                <w:rStyle w:val="Hyperlink"/>
              </w:rPr>
              <w:t>PREGLED PROVEDBE KOMPONENTI PROGRAMA IPA I OPERATIVNIH PROGRAMA FINANCIJSKOG RAZDOBLJA 2007. – 2013.</w:t>
            </w:r>
            <w:r w:rsidR="00E910EE" w:rsidRPr="00332AB5">
              <w:rPr>
                <w:webHidden/>
              </w:rPr>
              <w:tab/>
            </w:r>
            <w:r w:rsidR="00E910EE" w:rsidRPr="00332AB5">
              <w:rPr>
                <w:webHidden/>
              </w:rPr>
              <w:fldChar w:fldCharType="begin"/>
            </w:r>
            <w:r w:rsidR="00E910EE" w:rsidRPr="00332AB5">
              <w:rPr>
                <w:webHidden/>
              </w:rPr>
              <w:instrText xml:space="preserve"> PAGEREF _Toc152595217 \h </w:instrText>
            </w:r>
            <w:r w:rsidR="00E910EE" w:rsidRPr="00332AB5">
              <w:rPr>
                <w:webHidden/>
              </w:rPr>
            </w:r>
            <w:r w:rsidR="00E910EE" w:rsidRPr="00332AB5">
              <w:rPr>
                <w:webHidden/>
              </w:rPr>
              <w:fldChar w:fldCharType="separate"/>
            </w:r>
            <w:r w:rsidR="005E6E46">
              <w:rPr>
                <w:webHidden/>
              </w:rPr>
              <w:t>9</w:t>
            </w:r>
            <w:r w:rsidR="00E910EE" w:rsidRPr="00332AB5">
              <w:rPr>
                <w:webHidden/>
              </w:rPr>
              <w:fldChar w:fldCharType="end"/>
            </w:r>
          </w:hyperlink>
        </w:p>
        <w:p w14:paraId="5BCDB89E" w14:textId="17548E5E" w:rsidR="00E910EE" w:rsidRPr="00332AB5" w:rsidRDefault="00310FA2">
          <w:pPr>
            <w:pStyle w:val="TOC1"/>
            <w:rPr>
              <w:rFonts w:asciiTheme="minorHAnsi" w:eastAsiaTheme="minorEastAsia" w:hAnsiTheme="minorHAnsi" w:cstheme="minorBidi"/>
              <w:bCs/>
              <w:kern w:val="2"/>
              <w:sz w:val="22"/>
              <w:szCs w:val="22"/>
              <w14:ligatures w14:val="standardContextual"/>
            </w:rPr>
          </w:pPr>
          <w:hyperlink w:anchor="_Toc152595218" w:history="1">
            <w:r w:rsidR="00E910EE" w:rsidRPr="00332AB5">
              <w:rPr>
                <w:rStyle w:val="Hyperlink"/>
                <w:bCs/>
              </w:rPr>
              <w:t>3.</w:t>
            </w:r>
            <w:r w:rsidR="00E910EE" w:rsidRPr="00332AB5">
              <w:rPr>
                <w:rFonts w:asciiTheme="minorHAnsi" w:eastAsiaTheme="minorEastAsia" w:hAnsiTheme="minorHAnsi" w:cstheme="minorBidi"/>
                <w:bCs/>
                <w:kern w:val="2"/>
                <w:sz w:val="22"/>
                <w:szCs w:val="22"/>
                <w14:ligatures w14:val="standardContextual"/>
              </w:rPr>
              <w:tab/>
            </w:r>
            <w:r w:rsidR="00E910EE" w:rsidRPr="00332AB5">
              <w:rPr>
                <w:rStyle w:val="Hyperlink"/>
                <w:bCs/>
              </w:rPr>
              <w:t>DETALJNI PREGLED PROVEDBE (OPERATIVNIH) PROGRAMA FINANCIJSKE PERSPEKTIVE 2014. – 2020.</w:t>
            </w:r>
            <w:r w:rsidR="00E910EE" w:rsidRPr="00332AB5">
              <w:rPr>
                <w:bCs/>
                <w:webHidden/>
              </w:rPr>
              <w:tab/>
            </w:r>
            <w:r w:rsidR="00E910EE" w:rsidRPr="00332AB5">
              <w:rPr>
                <w:bCs/>
                <w:webHidden/>
              </w:rPr>
              <w:fldChar w:fldCharType="begin"/>
            </w:r>
            <w:r w:rsidR="00E910EE" w:rsidRPr="00332AB5">
              <w:rPr>
                <w:bCs/>
                <w:webHidden/>
              </w:rPr>
              <w:instrText xml:space="preserve"> PAGEREF _Toc152595218 \h </w:instrText>
            </w:r>
            <w:r w:rsidR="00E910EE" w:rsidRPr="00332AB5">
              <w:rPr>
                <w:bCs/>
                <w:webHidden/>
              </w:rPr>
            </w:r>
            <w:r w:rsidR="00E910EE" w:rsidRPr="00332AB5">
              <w:rPr>
                <w:bCs/>
                <w:webHidden/>
              </w:rPr>
              <w:fldChar w:fldCharType="separate"/>
            </w:r>
            <w:r w:rsidR="005E6E46">
              <w:rPr>
                <w:bCs/>
                <w:webHidden/>
              </w:rPr>
              <w:t>10</w:t>
            </w:r>
            <w:r w:rsidR="00E910EE" w:rsidRPr="00332AB5">
              <w:rPr>
                <w:bCs/>
                <w:webHidden/>
              </w:rPr>
              <w:fldChar w:fldCharType="end"/>
            </w:r>
          </w:hyperlink>
        </w:p>
        <w:p w14:paraId="7E306F7E" w14:textId="200316E0" w:rsidR="00E910EE" w:rsidRPr="00332AB5" w:rsidRDefault="00310FA2">
          <w:pPr>
            <w:pStyle w:val="TOC2"/>
            <w:rPr>
              <w:rFonts w:asciiTheme="minorHAnsi" w:eastAsiaTheme="minorEastAsia" w:hAnsiTheme="minorHAnsi" w:cstheme="minorBidi"/>
              <w:kern w:val="2"/>
              <w:sz w:val="22"/>
              <w:szCs w:val="22"/>
              <w:lang w:eastAsia="hr-HR"/>
              <w14:ligatures w14:val="standardContextual"/>
            </w:rPr>
          </w:pPr>
          <w:hyperlink w:anchor="_Toc152595219" w:history="1">
            <w:r w:rsidR="00E910EE" w:rsidRPr="00332AB5">
              <w:rPr>
                <w:rStyle w:val="Hyperlink"/>
              </w:rPr>
              <w:t>3.1.</w:t>
            </w:r>
            <w:r w:rsidR="00E910EE" w:rsidRPr="00332AB5">
              <w:rPr>
                <w:rFonts w:asciiTheme="minorHAnsi" w:eastAsiaTheme="minorEastAsia" w:hAnsiTheme="minorHAnsi" w:cstheme="minorBidi"/>
                <w:kern w:val="2"/>
                <w:sz w:val="22"/>
                <w:szCs w:val="22"/>
                <w:lang w:eastAsia="hr-HR"/>
                <w14:ligatures w14:val="standardContextual"/>
              </w:rPr>
              <w:tab/>
            </w:r>
            <w:r w:rsidR="00E910EE" w:rsidRPr="00332AB5">
              <w:rPr>
                <w:rStyle w:val="Hyperlink"/>
              </w:rPr>
              <w:t>OPERATIVNI PROGRAM „KONKURENTNOST I KOHEZIJA“</w:t>
            </w:r>
            <w:r w:rsidR="00E910EE" w:rsidRPr="00332AB5">
              <w:rPr>
                <w:webHidden/>
              </w:rPr>
              <w:tab/>
            </w:r>
            <w:r w:rsidR="00E910EE" w:rsidRPr="00332AB5">
              <w:rPr>
                <w:webHidden/>
              </w:rPr>
              <w:fldChar w:fldCharType="begin"/>
            </w:r>
            <w:r w:rsidR="00E910EE" w:rsidRPr="00332AB5">
              <w:rPr>
                <w:webHidden/>
              </w:rPr>
              <w:instrText xml:space="preserve"> PAGEREF _Toc152595219 \h </w:instrText>
            </w:r>
            <w:r w:rsidR="00E910EE" w:rsidRPr="00332AB5">
              <w:rPr>
                <w:webHidden/>
              </w:rPr>
            </w:r>
            <w:r w:rsidR="00E910EE" w:rsidRPr="00332AB5">
              <w:rPr>
                <w:webHidden/>
              </w:rPr>
              <w:fldChar w:fldCharType="separate"/>
            </w:r>
            <w:r w:rsidR="005E6E46">
              <w:rPr>
                <w:webHidden/>
              </w:rPr>
              <w:t>10</w:t>
            </w:r>
            <w:r w:rsidR="00E910EE" w:rsidRPr="00332AB5">
              <w:rPr>
                <w:webHidden/>
              </w:rPr>
              <w:fldChar w:fldCharType="end"/>
            </w:r>
          </w:hyperlink>
        </w:p>
        <w:p w14:paraId="23323CC5" w14:textId="2D680F3D" w:rsidR="00E910EE" w:rsidRPr="00332AB5" w:rsidRDefault="00310FA2">
          <w:pPr>
            <w:pStyle w:val="TOC2"/>
            <w:rPr>
              <w:rFonts w:asciiTheme="minorHAnsi" w:eastAsiaTheme="minorEastAsia" w:hAnsiTheme="minorHAnsi" w:cstheme="minorBidi"/>
              <w:kern w:val="2"/>
              <w:sz w:val="22"/>
              <w:szCs w:val="22"/>
              <w:lang w:eastAsia="hr-HR"/>
              <w14:ligatures w14:val="standardContextual"/>
            </w:rPr>
          </w:pPr>
          <w:hyperlink w:anchor="_Toc152595220" w:history="1">
            <w:r w:rsidR="00E910EE" w:rsidRPr="00332AB5">
              <w:rPr>
                <w:rStyle w:val="Hyperlink"/>
              </w:rPr>
              <w:t>3.2.</w:t>
            </w:r>
            <w:r w:rsidR="00E910EE" w:rsidRPr="00332AB5">
              <w:rPr>
                <w:rFonts w:asciiTheme="minorHAnsi" w:eastAsiaTheme="minorEastAsia" w:hAnsiTheme="minorHAnsi" w:cstheme="minorBidi"/>
                <w:kern w:val="2"/>
                <w:sz w:val="22"/>
                <w:szCs w:val="22"/>
                <w:lang w:eastAsia="hr-HR"/>
                <w14:ligatures w14:val="standardContextual"/>
              </w:rPr>
              <w:tab/>
            </w:r>
            <w:r w:rsidR="00E910EE" w:rsidRPr="00332AB5">
              <w:rPr>
                <w:rStyle w:val="Hyperlink"/>
              </w:rPr>
              <w:t>OPERATIVNI PROGRAM „UČINKOVITI LJUDSKI POTENCIJALI“</w:t>
            </w:r>
            <w:r w:rsidR="00E910EE" w:rsidRPr="00332AB5">
              <w:rPr>
                <w:webHidden/>
              </w:rPr>
              <w:tab/>
            </w:r>
            <w:r w:rsidR="00E910EE" w:rsidRPr="00332AB5">
              <w:rPr>
                <w:webHidden/>
              </w:rPr>
              <w:fldChar w:fldCharType="begin"/>
            </w:r>
            <w:r w:rsidR="00E910EE" w:rsidRPr="00332AB5">
              <w:rPr>
                <w:webHidden/>
              </w:rPr>
              <w:instrText xml:space="preserve"> PAGEREF _Toc152595220 \h </w:instrText>
            </w:r>
            <w:r w:rsidR="00E910EE" w:rsidRPr="00332AB5">
              <w:rPr>
                <w:webHidden/>
              </w:rPr>
            </w:r>
            <w:r w:rsidR="00E910EE" w:rsidRPr="00332AB5">
              <w:rPr>
                <w:webHidden/>
              </w:rPr>
              <w:fldChar w:fldCharType="separate"/>
            </w:r>
            <w:r w:rsidR="005E6E46">
              <w:rPr>
                <w:webHidden/>
              </w:rPr>
              <w:t>16</w:t>
            </w:r>
            <w:r w:rsidR="00E910EE" w:rsidRPr="00332AB5">
              <w:rPr>
                <w:webHidden/>
              </w:rPr>
              <w:fldChar w:fldCharType="end"/>
            </w:r>
          </w:hyperlink>
        </w:p>
        <w:p w14:paraId="59521F1E" w14:textId="5E8255D2" w:rsidR="00E910EE" w:rsidRPr="00332AB5" w:rsidRDefault="00310FA2">
          <w:pPr>
            <w:pStyle w:val="TOC2"/>
            <w:rPr>
              <w:rFonts w:asciiTheme="minorHAnsi" w:eastAsiaTheme="minorEastAsia" w:hAnsiTheme="minorHAnsi" w:cstheme="minorBidi"/>
              <w:kern w:val="2"/>
              <w:sz w:val="22"/>
              <w:szCs w:val="22"/>
              <w:lang w:eastAsia="hr-HR"/>
              <w14:ligatures w14:val="standardContextual"/>
            </w:rPr>
          </w:pPr>
          <w:hyperlink w:anchor="_Toc152595221" w:history="1">
            <w:r w:rsidR="00E910EE" w:rsidRPr="00332AB5">
              <w:rPr>
                <w:rStyle w:val="Hyperlink"/>
              </w:rPr>
              <w:t>3.3.</w:t>
            </w:r>
            <w:r w:rsidR="00E910EE" w:rsidRPr="00332AB5">
              <w:rPr>
                <w:rFonts w:asciiTheme="minorHAnsi" w:eastAsiaTheme="minorEastAsia" w:hAnsiTheme="minorHAnsi" w:cstheme="minorBidi"/>
                <w:kern w:val="2"/>
                <w:sz w:val="22"/>
                <w:szCs w:val="22"/>
                <w:lang w:eastAsia="hr-HR"/>
                <w14:ligatures w14:val="standardContextual"/>
              </w:rPr>
              <w:tab/>
            </w:r>
            <w:r w:rsidR="00E910EE" w:rsidRPr="00332AB5">
              <w:rPr>
                <w:rStyle w:val="Hyperlink"/>
              </w:rPr>
              <w:t>PROGRAM RURALNOG RAZVOJA REPUBLIKE HRVATSKE ZA RAZDOBLJE 2014. – 2022.</w:t>
            </w:r>
            <w:r w:rsidR="00E910EE" w:rsidRPr="00332AB5">
              <w:rPr>
                <w:webHidden/>
              </w:rPr>
              <w:tab/>
            </w:r>
            <w:r w:rsidR="00E910EE" w:rsidRPr="00332AB5">
              <w:rPr>
                <w:webHidden/>
              </w:rPr>
              <w:fldChar w:fldCharType="begin"/>
            </w:r>
            <w:r w:rsidR="00E910EE" w:rsidRPr="00332AB5">
              <w:rPr>
                <w:webHidden/>
              </w:rPr>
              <w:instrText xml:space="preserve"> PAGEREF _Toc152595221 \h </w:instrText>
            </w:r>
            <w:r w:rsidR="00E910EE" w:rsidRPr="00332AB5">
              <w:rPr>
                <w:webHidden/>
              </w:rPr>
            </w:r>
            <w:r w:rsidR="00E910EE" w:rsidRPr="00332AB5">
              <w:rPr>
                <w:webHidden/>
              </w:rPr>
              <w:fldChar w:fldCharType="separate"/>
            </w:r>
            <w:r w:rsidR="005E6E46">
              <w:rPr>
                <w:webHidden/>
              </w:rPr>
              <w:t>20</w:t>
            </w:r>
            <w:r w:rsidR="00E910EE" w:rsidRPr="00332AB5">
              <w:rPr>
                <w:webHidden/>
              </w:rPr>
              <w:fldChar w:fldCharType="end"/>
            </w:r>
          </w:hyperlink>
        </w:p>
        <w:p w14:paraId="3E809BAA" w14:textId="67AC5C4E" w:rsidR="00E910EE" w:rsidRPr="00332AB5" w:rsidRDefault="00310FA2">
          <w:pPr>
            <w:pStyle w:val="TOC2"/>
            <w:rPr>
              <w:rFonts w:asciiTheme="minorHAnsi" w:eastAsiaTheme="minorEastAsia" w:hAnsiTheme="minorHAnsi" w:cstheme="minorBidi"/>
              <w:kern w:val="2"/>
              <w:sz w:val="22"/>
              <w:szCs w:val="22"/>
              <w:lang w:eastAsia="hr-HR"/>
              <w14:ligatures w14:val="standardContextual"/>
            </w:rPr>
          </w:pPr>
          <w:hyperlink w:anchor="_Toc152595222" w:history="1">
            <w:r w:rsidR="00E910EE" w:rsidRPr="00332AB5">
              <w:rPr>
                <w:rStyle w:val="Hyperlink"/>
              </w:rPr>
              <w:t>3.4.</w:t>
            </w:r>
            <w:r w:rsidR="00E910EE" w:rsidRPr="00332AB5">
              <w:rPr>
                <w:rFonts w:asciiTheme="minorHAnsi" w:eastAsiaTheme="minorEastAsia" w:hAnsiTheme="minorHAnsi" w:cstheme="minorBidi"/>
                <w:kern w:val="2"/>
                <w:sz w:val="22"/>
                <w:szCs w:val="22"/>
                <w:lang w:eastAsia="hr-HR"/>
                <w14:ligatures w14:val="standardContextual"/>
              </w:rPr>
              <w:tab/>
            </w:r>
            <w:r w:rsidR="00E910EE" w:rsidRPr="00332AB5">
              <w:rPr>
                <w:rStyle w:val="Hyperlink"/>
              </w:rPr>
              <w:t>OPERATIVNI PROGRAM ZA POMORSTVO I RIBARSTVO REPUBLIKE HRVATSKE ZA PROGRAMSKO RAZDOBLJE 2014. - 2020.</w:t>
            </w:r>
            <w:r w:rsidR="00E910EE" w:rsidRPr="00332AB5">
              <w:rPr>
                <w:webHidden/>
              </w:rPr>
              <w:tab/>
            </w:r>
            <w:r w:rsidR="00E910EE" w:rsidRPr="00332AB5">
              <w:rPr>
                <w:webHidden/>
              </w:rPr>
              <w:fldChar w:fldCharType="begin"/>
            </w:r>
            <w:r w:rsidR="00E910EE" w:rsidRPr="00332AB5">
              <w:rPr>
                <w:webHidden/>
              </w:rPr>
              <w:instrText xml:space="preserve"> PAGEREF _Toc152595222 \h </w:instrText>
            </w:r>
            <w:r w:rsidR="00E910EE" w:rsidRPr="00332AB5">
              <w:rPr>
                <w:webHidden/>
              </w:rPr>
            </w:r>
            <w:r w:rsidR="00E910EE" w:rsidRPr="00332AB5">
              <w:rPr>
                <w:webHidden/>
              </w:rPr>
              <w:fldChar w:fldCharType="separate"/>
            </w:r>
            <w:r w:rsidR="005E6E46">
              <w:rPr>
                <w:webHidden/>
              </w:rPr>
              <w:t>26</w:t>
            </w:r>
            <w:r w:rsidR="00E910EE" w:rsidRPr="00332AB5">
              <w:rPr>
                <w:webHidden/>
              </w:rPr>
              <w:fldChar w:fldCharType="end"/>
            </w:r>
          </w:hyperlink>
        </w:p>
        <w:p w14:paraId="66E09376" w14:textId="6218C9C0" w:rsidR="00E910EE" w:rsidRPr="00332AB5" w:rsidRDefault="00310FA2">
          <w:pPr>
            <w:pStyle w:val="TOC2"/>
            <w:rPr>
              <w:rFonts w:asciiTheme="minorHAnsi" w:eastAsiaTheme="minorEastAsia" w:hAnsiTheme="minorHAnsi" w:cstheme="minorBidi"/>
              <w:kern w:val="2"/>
              <w:sz w:val="22"/>
              <w:szCs w:val="22"/>
              <w:lang w:eastAsia="hr-HR"/>
              <w14:ligatures w14:val="standardContextual"/>
            </w:rPr>
          </w:pPr>
          <w:hyperlink w:anchor="_Toc152595223" w:history="1">
            <w:r w:rsidR="00E910EE" w:rsidRPr="00332AB5">
              <w:rPr>
                <w:rStyle w:val="Hyperlink"/>
              </w:rPr>
              <w:t>3.5.</w:t>
            </w:r>
            <w:r w:rsidR="00E910EE" w:rsidRPr="00332AB5">
              <w:rPr>
                <w:rFonts w:asciiTheme="minorHAnsi" w:eastAsiaTheme="minorEastAsia" w:hAnsiTheme="minorHAnsi" w:cstheme="minorBidi"/>
                <w:kern w:val="2"/>
                <w:sz w:val="22"/>
                <w:szCs w:val="22"/>
                <w:lang w:eastAsia="hr-HR"/>
                <w14:ligatures w14:val="standardContextual"/>
              </w:rPr>
              <w:tab/>
            </w:r>
            <w:r w:rsidR="00E910EE" w:rsidRPr="00332AB5">
              <w:rPr>
                <w:rStyle w:val="Hyperlink"/>
              </w:rPr>
              <w:t>OPERATIVNI PROGRAM ZA HRANU I/ILI OSNOVNU MATERIJALNU POMOĆ U OKVIRU FONDA EUROPSKE POMOĆI ZA NAJPOTREBITIJE</w:t>
            </w:r>
            <w:r w:rsidR="00E910EE" w:rsidRPr="00332AB5">
              <w:rPr>
                <w:webHidden/>
              </w:rPr>
              <w:tab/>
            </w:r>
            <w:r w:rsidR="00E910EE" w:rsidRPr="00332AB5">
              <w:rPr>
                <w:webHidden/>
              </w:rPr>
              <w:fldChar w:fldCharType="begin"/>
            </w:r>
            <w:r w:rsidR="00E910EE" w:rsidRPr="00332AB5">
              <w:rPr>
                <w:webHidden/>
              </w:rPr>
              <w:instrText xml:space="preserve"> PAGEREF _Toc152595223 \h </w:instrText>
            </w:r>
            <w:r w:rsidR="00E910EE" w:rsidRPr="00332AB5">
              <w:rPr>
                <w:webHidden/>
              </w:rPr>
            </w:r>
            <w:r w:rsidR="00E910EE" w:rsidRPr="00332AB5">
              <w:rPr>
                <w:webHidden/>
              </w:rPr>
              <w:fldChar w:fldCharType="separate"/>
            </w:r>
            <w:r w:rsidR="005E6E46">
              <w:rPr>
                <w:webHidden/>
              </w:rPr>
              <w:t>30</w:t>
            </w:r>
            <w:r w:rsidR="00E910EE" w:rsidRPr="00332AB5">
              <w:rPr>
                <w:webHidden/>
              </w:rPr>
              <w:fldChar w:fldCharType="end"/>
            </w:r>
          </w:hyperlink>
        </w:p>
        <w:p w14:paraId="5085F361" w14:textId="7243892B" w:rsidR="00E910EE" w:rsidRPr="00332AB5" w:rsidRDefault="00310FA2">
          <w:pPr>
            <w:pStyle w:val="TOC2"/>
            <w:rPr>
              <w:rFonts w:asciiTheme="minorHAnsi" w:eastAsiaTheme="minorEastAsia" w:hAnsiTheme="minorHAnsi" w:cstheme="minorBidi"/>
              <w:kern w:val="2"/>
              <w:sz w:val="22"/>
              <w:szCs w:val="22"/>
              <w:lang w:eastAsia="hr-HR"/>
              <w14:ligatures w14:val="standardContextual"/>
            </w:rPr>
          </w:pPr>
          <w:hyperlink w:anchor="_Toc152595224" w:history="1">
            <w:r w:rsidR="00E910EE" w:rsidRPr="00332AB5">
              <w:rPr>
                <w:rStyle w:val="Hyperlink"/>
              </w:rPr>
              <w:t>3.6.</w:t>
            </w:r>
            <w:r w:rsidR="00E910EE" w:rsidRPr="00332AB5">
              <w:rPr>
                <w:rFonts w:asciiTheme="minorHAnsi" w:eastAsiaTheme="minorEastAsia" w:hAnsiTheme="minorHAnsi" w:cstheme="minorBidi"/>
                <w:kern w:val="2"/>
                <w:sz w:val="22"/>
                <w:szCs w:val="22"/>
                <w:lang w:eastAsia="hr-HR"/>
                <w14:ligatures w14:val="standardContextual"/>
              </w:rPr>
              <w:tab/>
            </w:r>
            <w:r w:rsidR="00E910EE" w:rsidRPr="00332AB5">
              <w:rPr>
                <w:rStyle w:val="Hyperlink"/>
              </w:rPr>
              <w:t>PROGRAMI TERITORIJALNE SURADNJE ZA FINANCIJSKO RAZDOBLJE 2014. – 2020.</w:t>
            </w:r>
            <w:r w:rsidR="00E910EE" w:rsidRPr="00332AB5">
              <w:rPr>
                <w:webHidden/>
              </w:rPr>
              <w:tab/>
            </w:r>
            <w:r w:rsidR="00E910EE" w:rsidRPr="00332AB5">
              <w:rPr>
                <w:webHidden/>
              </w:rPr>
              <w:fldChar w:fldCharType="begin"/>
            </w:r>
            <w:r w:rsidR="00E910EE" w:rsidRPr="00332AB5">
              <w:rPr>
                <w:webHidden/>
              </w:rPr>
              <w:instrText xml:space="preserve"> PAGEREF _Toc152595224 \h </w:instrText>
            </w:r>
            <w:r w:rsidR="00E910EE" w:rsidRPr="00332AB5">
              <w:rPr>
                <w:webHidden/>
              </w:rPr>
            </w:r>
            <w:r w:rsidR="00E910EE" w:rsidRPr="00332AB5">
              <w:rPr>
                <w:webHidden/>
              </w:rPr>
              <w:fldChar w:fldCharType="separate"/>
            </w:r>
            <w:r w:rsidR="005E6E46">
              <w:rPr>
                <w:webHidden/>
              </w:rPr>
              <w:t>32</w:t>
            </w:r>
            <w:r w:rsidR="00E910EE" w:rsidRPr="00332AB5">
              <w:rPr>
                <w:webHidden/>
              </w:rPr>
              <w:fldChar w:fldCharType="end"/>
            </w:r>
          </w:hyperlink>
        </w:p>
        <w:p w14:paraId="3DD69E17" w14:textId="1BE96887" w:rsidR="00E910EE" w:rsidRPr="00332AB5" w:rsidRDefault="00310FA2">
          <w:pPr>
            <w:pStyle w:val="TOC3"/>
            <w:rPr>
              <w:rFonts w:asciiTheme="minorHAnsi" w:eastAsiaTheme="minorEastAsia" w:hAnsiTheme="minorHAnsi" w:cstheme="minorBidi"/>
              <w:bCs/>
              <w:kern w:val="2"/>
              <w:sz w:val="22"/>
              <w:szCs w:val="22"/>
              <w14:ligatures w14:val="standardContextual"/>
            </w:rPr>
          </w:pPr>
          <w:hyperlink w:anchor="_Toc152595225" w:history="1">
            <w:r w:rsidR="00E910EE" w:rsidRPr="00332AB5">
              <w:rPr>
                <w:rStyle w:val="Hyperlink"/>
                <w:bCs/>
              </w:rPr>
              <w:t>3.6.1.</w:t>
            </w:r>
            <w:r w:rsidR="00E910EE" w:rsidRPr="00332AB5">
              <w:rPr>
                <w:rFonts w:asciiTheme="minorHAnsi" w:eastAsiaTheme="minorEastAsia" w:hAnsiTheme="minorHAnsi" w:cstheme="minorBidi"/>
                <w:bCs/>
                <w:kern w:val="2"/>
                <w:sz w:val="22"/>
                <w:szCs w:val="22"/>
                <w14:ligatures w14:val="standardContextual"/>
              </w:rPr>
              <w:tab/>
            </w:r>
            <w:r w:rsidR="00E910EE" w:rsidRPr="00332AB5">
              <w:rPr>
                <w:rStyle w:val="Hyperlink"/>
                <w:bCs/>
              </w:rPr>
              <w:t xml:space="preserve">Interreg IPA program prekogranične suradnje </w:t>
            </w:r>
            <w:r w:rsidR="00E910EE" w:rsidRPr="00332AB5">
              <w:rPr>
                <w:rStyle w:val="Hyperlink"/>
                <w:rFonts w:eastAsia="Calibri"/>
                <w:bCs/>
              </w:rPr>
              <w:t>Hrvatska – Bosna i  Hercegovina – Crna Gora</w:t>
            </w:r>
            <w:r w:rsidR="00E910EE" w:rsidRPr="00332AB5">
              <w:rPr>
                <w:rStyle w:val="Hyperlink"/>
                <w:bCs/>
              </w:rPr>
              <w:t xml:space="preserve"> 2014. – 2020.</w:t>
            </w:r>
            <w:r w:rsidR="00E910EE" w:rsidRPr="00332AB5">
              <w:rPr>
                <w:bCs/>
                <w:webHidden/>
              </w:rPr>
              <w:tab/>
            </w:r>
            <w:r w:rsidR="00E910EE" w:rsidRPr="00332AB5">
              <w:rPr>
                <w:bCs/>
                <w:webHidden/>
              </w:rPr>
              <w:fldChar w:fldCharType="begin"/>
            </w:r>
            <w:r w:rsidR="00E910EE" w:rsidRPr="00332AB5">
              <w:rPr>
                <w:bCs/>
                <w:webHidden/>
              </w:rPr>
              <w:instrText xml:space="preserve"> PAGEREF _Toc152595225 \h </w:instrText>
            </w:r>
            <w:r w:rsidR="00E910EE" w:rsidRPr="00332AB5">
              <w:rPr>
                <w:bCs/>
                <w:webHidden/>
              </w:rPr>
            </w:r>
            <w:r w:rsidR="00E910EE" w:rsidRPr="00332AB5">
              <w:rPr>
                <w:bCs/>
                <w:webHidden/>
              </w:rPr>
              <w:fldChar w:fldCharType="separate"/>
            </w:r>
            <w:r w:rsidR="005E6E46">
              <w:rPr>
                <w:bCs/>
                <w:webHidden/>
              </w:rPr>
              <w:t>32</w:t>
            </w:r>
            <w:r w:rsidR="00E910EE" w:rsidRPr="00332AB5">
              <w:rPr>
                <w:bCs/>
                <w:webHidden/>
              </w:rPr>
              <w:fldChar w:fldCharType="end"/>
            </w:r>
          </w:hyperlink>
        </w:p>
        <w:p w14:paraId="6D7BA7A1" w14:textId="2CB546A8" w:rsidR="00E910EE" w:rsidRPr="00332AB5" w:rsidRDefault="00310FA2">
          <w:pPr>
            <w:pStyle w:val="TOC3"/>
            <w:rPr>
              <w:rFonts w:asciiTheme="minorHAnsi" w:eastAsiaTheme="minorEastAsia" w:hAnsiTheme="minorHAnsi" w:cstheme="minorBidi"/>
              <w:bCs/>
              <w:kern w:val="2"/>
              <w:sz w:val="22"/>
              <w:szCs w:val="22"/>
              <w14:ligatures w14:val="standardContextual"/>
            </w:rPr>
          </w:pPr>
          <w:hyperlink w:anchor="_Toc152595226" w:history="1">
            <w:r w:rsidR="00E910EE" w:rsidRPr="00332AB5">
              <w:rPr>
                <w:rStyle w:val="Hyperlink"/>
                <w:bCs/>
              </w:rPr>
              <w:t>3.6.2.</w:t>
            </w:r>
            <w:r w:rsidR="00E910EE" w:rsidRPr="00332AB5">
              <w:rPr>
                <w:rFonts w:asciiTheme="minorHAnsi" w:eastAsiaTheme="minorEastAsia" w:hAnsiTheme="minorHAnsi" w:cstheme="minorBidi"/>
                <w:bCs/>
                <w:kern w:val="2"/>
                <w:sz w:val="22"/>
                <w:szCs w:val="22"/>
                <w14:ligatures w14:val="standardContextual"/>
              </w:rPr>
              <w:tab/>
            </w:r>
            <w:r w:rsidR="00E910EE" w:rsidRPr="00332AB5">
              <w:rPr>
                <w:rStyle w:val="Hyperlink"/>
                <w:bCs/>
              </w:rPr>
              <w:t>Interreg IPA program prekogranične suradnje Hrvatska – Srbija 2014. –  2020.</w:t>
            </w:r>
            <w:r w:rsidR="00E910EE" w:rsidRPr="00332AB5">
              <w:rPr>
                <w:bCs/>
                <w:webHidden/>
              </w:rPr>
              <w:tab/>
            </w:r>
            <w:r w:rsidR="00E910EE" w:rsidRPr="00332AB5">
              <w:rPr>
                <w:bCs/>
                <w:webHidden/>
              </w:rPr>
              <w:fldChar w:fldCharType="begin"/>
            </w:r>
            <w:r w:rsidR="00E910EE" w:rsidRPr="00332AB5">
              <w:rPr>
                <w:bCs/>
                <w:webHidden/>
              </w:rPr>
              <w:instrText xml:space="preserve"> PAGEREF _Toc152595226 \h </w:instrText>
            </w:r>
            <w:r w:rsidR="00E910EE" w:rsidRPr="00332AB5">
              <w:rPr>
                <w:bCs/>
                <w:webHidden/>
              </w:rPr>
            </w:r>
            <w:r w:rsidR="00E910EE" w:rsidRPr="00332AB5">
              <w:rPr>
                <w:bCs/>
                <w:webHidden/>
              </w:rPr>
              <w:fldChar w:fldCharType="separate"/>
            </w:r>
            <w:r w:rsidR="005E6E46">
              <w:rPr>
                <w:bCs/>
                <w:webHidden/>
              </w:rPr>
              <w:t>32</w:t>
            </w:r>
            <w:r w:rsidR="00E910EE" w:rsidRPr="00332AB5">
              <w:rPr>
                <w:bCs/>
                <w:webHidden/>
              </w:rPr>
              <w:fldChar w:fldCharType="end"/>
            </w:r>
          </w:hyperlink>
        </w:p>
        <w:p w14:paraId="3BDAAC12" w14:textId="4135B69D" w:rsidR="00E910EE" w:rsidRPr="00332AB5" w:rsidRDefault="00310FA2">
          <w:pPr>
            <w:pStyle w:val="TOC3"/>
            <w:rPr>
              <w:rFonts w:asciiTheme="minorHAnsi" w:eastAsiaTheme="minorEastAsia" w:hAnsiTheme="minorHAnsi" w:cstheme="minorBidi"/>
              <w:bCs/>
              <w:kern w:val="2"/>
              <w:sz w:val="22"/>
              <w:szCs w:val="22"/>
              <w14:ligatures w14:val="standardContextual"/>
            </w:rPr>
          </w:pPr>
          <w:hyperlink w:anchor="_Toc152595227" w:history="1">
            <w:r w:rsidR="00E910EE" w:rsidRPr="00332AB5">
              <w:rPr>
                <w:rStyle w:val="Hyperlink"/>
                <w:bCs/>
              </w:rPr>
              <w:t>3.6.3.</w:t>
            </w:r>
            <w:r w:rsidR="00E910EE" w:rsidRPr="00332AB5">
              <w:rPr>
                <w:rFonts w:asciiTheme="minorHAnsi" w:eastAsiaTheme="minorEastAsia" w:hAnsiTheme="minorHAnsi" w:cstheme="minorBidi"/>
                <w:bCs/>
                <w:kern w:val="2"/>
                <w:sz w:val="22"/>
                <w:szCs w:val="22"/>
                <w14:ligatures w14:val="standardContextual"/>
              </w:rPr>
              <w:tab/>
            </w:r>
            <w:r w:rsidR="00E910EE" w:rsidRPr="00332AB5">
              <w:rPr>
                <w:rStyle w:val="Hyperlink"/>
                <w:bCs/>
              </w:rPr>
              <w:t>Program prekogranične suradnje Interreg V-A Italija – Hrvatska 2014. –  2020.</w:t>
            </w:r>
            <w:r w:rsidR="00E910EE" w:rsidRPr="00332AB5">
              <w:rPr>
                <w:bCs/>
                <w:webHidden/>
              </w:rPr>
              <w:tab/>
            </w:r>
            <w:r w:rsidR="00E910EE" w:rsidRPr="00332AB5">
              <w:rPr>
                <w:bCs/>
                <w:webHidden/>
              </w:rPr>
              <w:fldChar w:fldCharType="begin"/>
            </w:r>
            <w:r w:rsidR="00E910EE" w:rsidRPr="00332AB5">
              <w:rPr>
                <w:bCs/>
                <w:webHidden/>
              </w:rPr>
              <w:instrText xml:space="preserve"> PAGEREF _Toc152595227 \h </w:instrText>
            </w:r>
            <w:r w:rsidR="00E910EE" w:rsidRPr="00332AB5">
              <w:rPr>
                <w:bCs/>
                <w:webHidden/>
              </w:rPr>
            </w:r>
            <w:r w:rsidR="00E910EE" w:rsidRPr="00332AB5">
              <w:rPr>
                <w:bCs/>
                <w:webHidden/>
              </w:rPr>
              <w:fldChar w:fldCharType="separate"/>
            </w:r>
            <w:r w:rsidR="005E6E46">
              <w:rPr>
                <w:bCs/>
                <w:webHidden/>
              </w:rPr>
              <w:t>33</w:t>
            </w:r>
            <w:r w:rsidR="00E910EE" w:rsidRPr="00332AB5">
              <w:rPr>
                <w:bCs/>
                <w:webHidden/>
              </w:rPr>
              <w:fldChar w:fldCharType="end"/>
            </w:r>
          </w:hyperlink>
        </w:p>
        <w:p w14:paraId="4F080D9F" w14:textId="00F01768" w:rsidR="00E910EE" w:rsidRPr="00332AB5" w:rsidRDefault="00310FA2">
          <w:pPr>
            <w:pStyle w:val="TOC3"/>
            <w:rPr>
              <w:rFonts w:asciiTheme="minorHAnsi" w:eastAsiaTheme="minorEastAsia" w:hAnsiTheme="minorHAnsi" w:cstheme="minorBidi"/>
              <w:bCs/>
              <w:kern w:val="2"/>
              <w:sz w:val="22"/>
              <w:szCs w:val="22"/>
              <w14:ligatures w14:val="standardContextual"/>
            </w:rPr>
          </w:pPr>
          <w:hyperlink w:anchor="_Toc152595228" w:history="1">
            <w:r w:rsidR="00E910EE" w:rsidRPr="00332AB5">
              <w:rPr>
                <w:rStyle w:val="Hyperlink"/>
                <w:bCs/>
              </w:rPr>
              <w:t>3.6.4.</w:t>
            </w:r>
            <w:r w:rsidR="00E910EE" w:rsidRPr="00332AB5">
              <w:rPr>
                <w:rFonts w:asciiTheme="minorHAnsi" w:eastAsiaTheme="minorEastAsia" w:hAnsiTheme="minorHAnsi" w:cstheme="minorBidi"/>
                <w:bCs/>
                <w:kern w:val="2"/>
                <w:sz w:val="22"/>
                <w:szCs w:val="22"/>
                <w14:ligatures w14:val="standardContextual"/>
              </w:rPr>
              <w:tab/>
            </w:r>
            <w:r w:rsidR="00E910EE" w:rsidRPr="00332AB5">
              <w:rPr>
                <w:rStyle w:val="Hyperlink"/>
                <w:bCs/>
              </w:rPr>
              <w:t>Program prekogranične suradnje Interreg V-A Slovenija – Hrvatska 2014.  – 2020.</w:t>
            </w:r>
            <w:r w:rsidR="00E910EE" w:rsidRPr="00332AB5">
              <w:rPr>
                <w:bCs/>
                <w:webHidden/>
              </w:rPr>
              <w:tab/>
            </w:r>
            <w:r w:rsidR="00E910EE" w:rsidRPr="00332AB5">
              <w:rPr>
                <w:bCs/>
                <w:webHidden/>
              </w:rPr>
              <w:fldChar w:fldCharType="begin"/>
            </w:r>
            <w:r w:rsidR="00E910EE" w:rsidRPr="00332AB5">
              <w:rPr>
                <w:bCs/>
                <w:webHidden/>
              </w:rPr>
              <w:instrText xml:space="preserve"> PAGEREF _Toc152595228 \h </w:instrText>
            </w:r>
            <w:r w:rsidR="00E910EE" w:rsidRPr="00332AB5">
              <w:rPr>
                <w:bCs/>
                <w:webHidden/>
              </w:rPr>
            </w:r>
            <w:r w:rsidR="00E910EE" w:rsidRPr="00332AB5">
              <w:rPr>
                <w:bCs/>
                <w:webHidden/>
              </w:rPr>
              <w:fldChar w:fldCharType="separate"/>
            </w:r>
            <w:r w:rsidR="005E6E46">
              <w:rPr>
                <w:bCs/>
                <w:webHidden/>
              </w:rPr>
              <w:t>33</w:t>
            </w:r>
            <w:r w:rsidR="00E910EE" w:rsidRPr="00332AB5">
              <w:rPr>
                <w:bCs/>
                <w:webHidden/>
              </w:rPr>
              <w:fldChar w:fldCharType="end"/>
            </w:r>
          </w:hyperlink>
        </w:p>
        <w:p w14:paraId="02FF79DD" w14:textId="4D2EEF78" w:rsidR="00E910EE" w:rsidRPr="00332AB5" w:rsidRDefault="00310FA2">
          <w:pPr>
            <w:pStyle w:val="TOC3"/>
            <w:rPr>
              <w:rFonts w:asciiTheme="minorHAnsi" w:eastAsiaTheme="minorEastAsia" w:hAnsiTheme="minorHAnsi" w:cstheme="minorBidi"/>
              <w:bCs/>
              <w:kern w:val="2"/>
              <w:sz w:val="22"/>
              <w:szCs w:val="22"/>
              <w14:ligatures w14:val="standardContextual"/>
            </w:rPr>
          </w:pPr>
          <w:hyperlink w:anchor="_Toc152595229" w:history="1">
            <w:r w:rsidR="00E910EE" w:rsidRPr="00332AB5">
              <w:rPr>
                <w:rStyle w:val="Hyperlink"/>
                <w:bCs/>
              </w:rPr>
              <w:t>3.6.5.</w:t>
            </w:r>
            <w:r w:rsidR="00E910EE" w:rsidRPr="00332AB5">
              <w:rPr>
                <w:rFonts w:asciiTheme="minorHAnsi" w:eastAsiaTheme="minorEastAsia" w:hAnsiTheme="minorHAnsi" w:cstheme="minorBidi"/>
                <w:bCs/>
                <w:kern w:val="2"/>
                <w:sz w:val="22"/>
                <w:szCs w:val="22"/>
                <w14:ligatures w14:val="standardContextual"/>
              </w:rPr>
              <w:tab/>
            </w:r>
            <w:r w:rsidR="00E910EE" w:rsidRPr="00332AB5">
              <w:rPr>
                <w:rStyle w:val="Hyperlink"/>
                <w:bCs/>
              </w:rPr>
              <w:t>Program prekogranične suradnje Interreg V-A Mađarska – Hrvatska  2014. – 2020.</w:t>
            </w:r>
            <w:r w:rsidR="00E910EE" w:rsidRPr="00332AB5">
              <w:rPr>
                <w:bCs/>
                <w:webHidden/>
              </w:rPr>
              <w:tab/>
            </w:r>
            <w:r w:rsidR="00E910EE" w:rsidRPr="00332AB5">
              <w:rPr>
                <w:bCs/>
                <w:webHidden/>
              </w:rPr>
              <w:fldChar w:fldCharType="begin"/>
            </w:r>
            <w:r w:rsidR="00E910EE" w:rsidRPr="00332AB5">
              <w:rPr>
                <w:bCs/>
                <w:webHidden/>
              </w:rPr>
              <w:instrText xml:space="preserve"> PAGEREF _Toc152595229 \h </w:instrText>
            </w:r>
            <w:r w:rsidR="00E910EE" w:rsidRPr="00332AB5">
              <w:rPr>
                <w:bCs/>
                <w:webHidden/>
              </w:rPr>
            </w:r>
            <w:r w:rsidR="00E910EE" w:rsidRPr="00332AB5">
              <w:rPr>
                <w:bCs/>
                <w:webHidden/>
              </w:rPr>
              <w:fldChar w:fldCharType="separate"/>
            </w:r>
            <w:r w:rsidR="005E6E46">
              <w:rPr>
                <w:bCs/>
                <w:webHidden/>
              </w:rPr>
              <w:t>33</w:t>
            </w:r>
            <w:r w:rsidR="00E910EE" w:rsidRPr="00332AB5">
              <w:rPr>
                <w:bCs/>
                <w:webHidden/>
              </w:rPr>
              <w:fldChar w:fldCharType="end"/>
            </w:r>
          </w:hyperlink>
        </w:p>
        <w:p w14:paraId="1DF2B262" w14:textId="1AEF23E1" w:rsidR="00E910EE" w:rsidRPr="00332AB5" w:rsidRDefault="00310FA2">
          <w:pPr>
            <w:pStyle w:val="TOC3"/>
            <w:rPr>
              <w:rFonts w:asciiTheme="minorHAnsi" w:eastAsiaTheme="minorEastAsia" w:hAnsiTheme="minorHAnsi" w:cstheme="minorBidi"/>
              <w:bCs/>
              <w:kern w:val="2"/>
              <w:sz w:val="22"/>
              <w:szCs w:val="22"/>
              <w14:ligatures w14:val="standardContextual"/>
            </w:rPr>
          </w:pPr>
          <w:hyperlink w:anchor="_Toc152595230" w:history="1">
            <w:r w:rsidR="00E910EE" w:rsidRPr="00332AB5">
              <w:rPr>
                <w:rStyle w:val="Hyperlink"/>
                <w:bCs/>
              </w:rPr>
              <w:t>3.6.6.</w:t>
            </w:r>
            <w:r w:rsidR="00E910EE" w:rsidRPr="00332AB5">
              <w:rPr>
                <w:rFonts w:asciiTheme="minorHAnsi" w:eastAsiaTheme="minorEastAsia" w:hAnsiTheme="minorHAnsi" w:cstheme="minorBidi"/>
                <w:bCs/>
                <w:kern w:val="2"/>
                <w:sz w:val="22"/>
                <w:szCs w:val="22"/>
                <w14:ligatures w14:val="standardContextual"/>
              </w:rPr>
              <w:tab/>
            </w:r>
            <w:r w:rsidR="00E910EE" w:rsidRPr="00332AB5">
              <w:rPr>
                <w:rStyle w:val="Hyperlink"/>
                <w:bCs/>
              </w:rPr>
              <w:t>Program transnacionalne suradnje Interreg V-B Dunav 2014. – 2020.</w:t>
            </w:r>
            <w:r w:rsidR="00E910EE" w:rsidRPr="00332AB5">
              <w:rPr>
                <w:bCs/>
                <w:webHidden/>
              </w:rPr>
              <w:tab/>
            </w:r>
            <w:r w:rsidR="00E910EE" w:rsidRPr="00332AB5">
              <w:rPr>
                <w:bCs/>
                <w:webHidden/>
              </w:rPr>
              <w:fldChar w:fldCharType="begin"/>
            </w:r>
            <w:r w:rsidR="00E910EE" w:rsidRPr="00332AB5">
              <w:rPr>
                <w:bCs/>
                <w:webHidden/>
              </w:rPr>
              <w:instrText xml:space="preserve"> PAGEREF _Toc152595230 \h </w:instrText>
            </w:r>
            <w:r w:rsidR="00E910EE" w:rsidRPr="00332AB5">
              <w:rPr>
                <w:bCs/>
                <w:webHidden/>
              </w:rPr>
            </w:r>
            <w:r w:rsidR="00E910EE" w:rsidRPr="00332AB5">
              <w:rPr>
                <w:bCs/>
                <w:webHidden/>
              </w:rPr>
              <w:fldChar w:fldCharType="separate"/>
            </w:r>
            <w:r w:rsidR="005E6E46">
              <w:rPr>
                <w:bCs/>
                <w:webHidden/>
              </w:rPr>
              <w:t>34</w:t>
            </w:r>
            <w:r w:rsidR="00E910EE" w:rsidRPr="00332AB5">
              <w:rPr>
                <w:bCs/>
                <w:webHidden/>
              </w:rPr>
              <w:fldChar w:fldCharType="end"/>
            </w:r>
          </w:hyperlink>
        </w:p>
        <w:p w14:paraId="02B21BB2" w14:textId="2F7B9D7F" w:rsidR="00E910EE" w:rsidRPr="00332AB5" w:rsidRDefault="00310FA2">
          <w:pPr>
            <w:pStyle w:val="TOC3"/>
            <w:rPr>
              <w:rFonts w:asciiTheme="minorHAnsi" w:eastAsiaTheme="minorEastAsia" w:hAnsiTheme="minorHAnsi" w:cstheme="minorBidi"/>
              <w:bCs/>
              <w:kern w:val="2"/>
              <w:sz w:val="22"/>
              <w:szCs w:val="22"/>
              <w14:ligatures w14:val="standardContextual"/>
            </w:rPr>
          </w:pPr>
          <w:hyperlink w:anchor="_Toc152595231" w:history="1">
            <w:r w:rsidR="00E910EE" w:rsidRPr="00332AB5">
              <w:rPr>
                <w:rStyle w:val="Hyperlink"/>
                <w:bCs/>
              </w:rPr>
              <w:t>3.6.7.</w:t>
            </w:r>
            <w:r w:rsidR="00E910EE" w:rsidRPr="00332AB5">
              <w:rPr>
                <w:rFonts w:asciiTheme="minorHAnsi" w:eastAsiaTheme="minorEastAsia" w:hAnsiTheme="minorHAnsi" w:cstheme="minorBidi"/>
                <w:bCs/>
                <w:kern w:val="2"/>
                <w:sz w:val="22"/>
                <w:szCs w:val="22"/>
                <w14:ligatures w14:val="standardContextual"/>
              </w:rPr>
              <w:tab/>
            </w:r>
            <w:r w:rsidR="00E910EE" w:rsidRPr="00332AB5">
              <w:rPr>
                <w:rStyle w:val="Hyperlink"/>
                <w:bCs/>
              </w:rPr>
              <w:t>Interreg V-B Jadransko-jonski program transnacionalne suradnje 2014. –  2020.</w:t>
            </w:r>
            <w:r w:rsidR="00E910EE" w:rsidRPr="00332AB5">
              <w:rPr>
                <w:bCs/>
                <w:webHidden/>
              </w:rPr>
              <w:tab/>
            </w:r>
            <w:r w:rsidR="00E910EE" w:rsidRPr="00332AB5">
              <w:rPr>
                <w:bCs/>
                <w:webHidden/>
              </w:rPr>
              <w:fldChar w:fldCharType="begin"/>
            </w:r>
            <w:r w:rsidR="00E910EE" w:rsidRPr="00332AB5">
              <w:rPr>
                <w:bCs/>
                <w:webHidden/>
              </w:rPr>
              <w:instrText xml:space="preserve"> PAGEREF _Toc152595231 \h </w:instrText>
            </w:r>
            <w:r w:rsidR="00E910EE" w:rsidRPr="00332AB5">
              <w:rPr>
                <w:bCs/>
                <w:webHidden/>
              </w:rPr>
            </w:r>
            <w:r w:rsidR="00E910EE" w:rsidRPr="00332AB5">
              <w:rPr>
                <w:bCs/>
                <w:webHidden/>
              </w:rPr>
              <w:fldChar w:fldCharType="separate"/>
            </w:r>
            <w:r w:rsidR="005E6E46">
              <w:rPr>
                <w:bCs/>
                <w:webHidden/>
              </w:rPr>
              <w:t>34</w:t>
            </w:r>
            <w:r w:rsidR="00E910EE" w:rsidRPr="00332AB5">
              <w:rPr>
                <w:bCs/>
                <w:webHidden/>
              </w:rPr>
              <w:fldChar w:fldCharType="end"/>
            </w:r>
          </w:hyperlink>
        </w:p>
        <w:p w14:paraId="05DD27BA" w14:textId="5E8351BC" w:rsidR="00E910EE" w:rsidRPr="00332AB5" w:rsidRDefault="00310FA2">
          <w:pPr>
            <w:pStyle w:val="TOC3"/>
            <w:rPr>
              <w:rFonts w:asciiTheme="minorHAnsi" w:eastAsiaTheme="minorEastAsia" w:hAnsiTheme="minorHAnsi" w:cstheme="minorBidi"/>
              <w:bCs/>
              <w:kern w:val="2"/>
              <w:sz w:val="22"/>
              <w:szCs w:val="22"/>
              <w14:ligatures w14:val="standardContextual"/>
            </w:rPr>
          </w:pPr>
          <w:hyperlink w:anchor="_Toc152595232" w:history="1">
            <w:r w:rsidR="00E910EE" w:rsidRPr="00332AB5">
              <w:rPr>
                <w:rStyle w:val="Hyperlink"/>
                <w:bCs/>
              </w:rPr>
              <w:t>3.6.8.</w:t>
            </w:r>
            <w:r w:rsidR="00E910EE" w:rsidRPr="00332AB5">
              <w:rPr>
                <w:rFonts w:asciiTheme="minorHAnsi" w:eastAsiaTheme="minorEastAsia" w:hAnsiTheme="minorHAnsi" w:cstheme="minorBidi"/>
                <w:bCs/>
                <w:kern w:val="2"/>
                <w:sz w:val="22"/>
                <w:szCs w:val="22"/>
                <w14:ligatures w14:val="standardContextual"/>
              </w:rPr>
              <w:tab/>
            </w:r>
            <w:r w:rsidR="00E910EE" w:rsidRPr="00332AB5">
              <w:rPr>
                <w:rStyle w:val="Hyperlink"/>
                <w:bCs/>
              </w:rPr>
              <w:t>Program transnacionalne suradnje Interreg V-B Mediteran 2014. – 2020.</w:t>
            </w:r>
            <w:r w:rsidR="00E910EE" w:rsidRPr="00332AB5">
              <w:rPr>
                <w:bCs/>
                <w:webHidden/>
              </w:rPr>
              <w:tab/>
            </w:r>
            <w:r w:rsidR="00E910EE" w:rsidRPr="00332AB5">
              <w:rPr>
                <w:bCs/>
                <w:webHidden/>
              </w:rPr>
              <w:fldChar w:fldCharType="begin"/>
            </w:r>
            <w:r w:rsidR="00E910EE" w:rsidRPr="00332AB5">
              <w:rPr>
                <w:bCs/>
                <w:webHidden/>
              </w:rPr>
              <w:instrText xml:space="preserve"> PAGEREF _Toc152595232 \h </w:instrText>
            </w:r>
            <w:r w:rsidR="00E910EE" w:rsidRPr="00332AB5">
              <w:rPr>
                <w:bCs/>
                <w:webHidden/>
              </w:rPr>
            </w:r>
            <w:r w:rsidR="00E910EE" w:rsidRPr="00332AB5">
              <w:rPr>
                <w:bCs/>
                <w:webHidden/>
              </w:rPr>
              <w:fldChar w:fldCharType="separate"/>
            </w:r>
            <w:r w:rsidR="005E6E46">
              <w:rPr>
                <w:bCs/>
                <w:webHidden/>
              </w:rPr>
              <w:t>34</w:t>
            </w:r>
            <w:r w:rsidR="00E910EE" w:rsidRPr="00332AB5">
              <w:rPr>
                <w:bCs/>
                <w:webHidden/>
              </w:rPr>
              <w:fldChar w:fldCharType="end"/>
            </w:r>
          </w:hyperlink>
        </w:p>
        <w:p w14:paraId="1049B68F" w14:textId="26CA9721" w:rsidR="00E910EE" w:rsidRPr="00332AB5" w:rsidRDefault="00310FA2">
          <w:pPr>
            <w:pStyle w:val="TOC3"/>
            <w:rPr>
              <w:rFonts w:asciiTheme="minorHAnsi" w:eastAsiaTheme="minorEastAsia" w:hAnsiTheme="minorHAnsi" w:cstheme="minorBidi"/>
              <w:bCs/>
              <w:kern w:val="2"/>
              <w:sz w:val="22"/>
              <w:szCs w:val="22"/>
              <w14:ligatures w14:val="standardContextual"/>
            </w:rPr>
          </w:pPr>
          <w:hyperlink w:anchor="_Toc152595233" w:history="1">
            <w:r w:rsidR="00E910EE" w:rsidRPr="00332AB5">
              <w:rPr>
                <w:rStyle w:val="Hyperlink"/>
                <w:bCs/>
              </w:rPr>
              <w:t>3.6.9.</w:t>
            </w:r>
            <w:r w:rsidR="00E910EE" w:rsidRPr="00332AB5">
              <w:rPr>
                <w:rFonts w:asciiTheme="minorHAnsi" w:eastAsiaTheme="minorEastAsia" w:hAnsiTheme="minorHAnsi" w:cstheme="minorBidi"/>
                <w:bCs/>
                <w:kern w:val="2"/>
                <w:sz w:val="22"/>
                <w:szCs w:val="22"/>
                <w14:ligatures w14:val="standardContextual"/>
              </w:rPr>
              <w:tab/>
            </w:r>
            <w:r w:rsidR="00E910EE" w:rsidRPr="00332AB5">
              <w:rPr>
                <w:rStyle w:val="Hyperlink"/>
                <w:bCs/>
              </w:rPr>
              <w:t>Program transnacionalne suradnje Interreg V-B Središnja Europa 2014. –  2020.</w:t>
            </w:r>
            <w:r w:rsidR="00E910EE" w:rsidRPr="00332AB5">
              <w:rPr>
                <w:bCs/>
                <w:webHidden/>
              </w:rPr>
              <w:tab/>
            </w:r>
            <w:r w:rsidR="00E910EE" w:rsidRPr="00332AB5">
              <w:rPr>
                <w:bCs/>
                <w:webHidden/>
              </w:rPr>
              <w:fldChar w:fldCharType="begin"/>
            </w:r>
            <w:r w:rsidR="00E910EE" w:rsidRPr="00332AB5">
              <w:rPr>
                <w:bCs/>
                <w:webHidden/>
              </w:rPr>
              <w:instrText xml:space="preserve"> PAGEREF _Toc152595233 \h </w:instrText>
            </w:r>
            <w:r w:rsidR="00E910EE" w:rsidRPr="00332AB5">
              <w:rPr>
                <w:bCs/>
                <w:webHidden/>
              </w:rPr>
            </w:r>
            <w:r w:rsidR="00E910EE" w:rsidRPr="00332AB5">
              <w:rPr>
                <w:bCs/>
                <w:webHidden/>
              </w:rPr>
              <w:fldChar w:fldCharType="separate"/>
            </w:r>
            <w:r w:rsidR="005E6E46">
              <w:rPr>
                <w:bCs/>
                <w:webHidden/>
              </w:rPr>
              <w:t>35</w:t>
            </w:r>
            <w:r w:rsidR="00E910EE" w:rsidRPr="00332AB5">
              <w:rPr>
                <w:bCs/>
                <w:webHidden/>
              </w:rPr>
              <w:fldChar w:fldCharType="end"/>
            </w:r>
          </w:hyperlink>
        </w:p>
        <w:p w14:paraId="76ED47F4" w14:textId="430373B0" w:rsidR="00E910EE" w:rsidRPr="00332AB5" w:rsidRDefault="00310FA2">
          <w:pPr>
            <w:pStyle w:val="TOC3"/>
            <w:rPr>
              <w:rFonts w:asciiTheme="minorHAnsi" w:eastAsiaTheme="minorEastAsia" w:hAnsiTheme="minorHAnsi" w:cstheme="minorBidi"/>
              <w:bCs/>
              <w:kern w:val="2"/>
              <w:sz w:val="22"/>
              <w:szCs w:val="22"/>
              <w14:ligatures w14:val="standardContextual"/>
            </w:rPr>
          </w:pPr>
          <w:hyperlink w:anchor="_Toc152595234" w:history="1">
            <w:r w:rsidR="00E910EE" w:rsidRPr="00332AB5">
              <w:rPr>
                <w:rStyle w:val="Hyperlink"/>
                <w:bCs/>
              </w:rPr>
              <w:t>3.6.10.</w:t>
            </w:r>
            <w:r w:rsidR="00E910EE" w:rsidRPr="00332AB5">
              <w:rPr>
                <w:rFonts w:asciiTheme="minorHAnsi" w:eastAsiaTheme="minorEastAsia" w:hAnsiTheme="minorHAnsi" w:cstheme="minorBidi"/>
                <w:bCs/>
                <w:kern w:val="2"/>
                <w:sz w:val="22"/>
                <w:szCs w:val="22"/>
                <w14:ligatures w14:val="standardContextual"/>
              </w:rPr>
              <w:tab/>
            </w:r>
            <w:r w:rsidR="00E910EE" w:rsidRPr="00332AB5">
              <w:rPr>
                <w:rStyle w:val="Hyperlink"/>
                <w:bCs/>
              </w:rPr>
              <w:t>Program međuregionalne suradnje INTERREG Europe 2014. – 2020.</w:t>
            </w:r>
            <w:r w:rsidR="00E910EE" w:rsidRPr="00332AB5">
              <w:rPr>
                <w:bCs/>
                <w:webHidden/>
              </w:rPr>
              <w:tab/>
            </w:r>
            <w:r w:rsidR="00E910EE" w:rsidRPr="00332AB5">
              <w:rPr>
                <w:bCs/>
                <w:webHidden/>
              </w:rPr>
              <w:fldChar w:fldCharType="begin"/>
            </w:r>
            <w:r w:rsidR="00E910EE" w:rsidRPr="00332AB5">
              <w:rPr>
                <w:bCs/>
                <w:webHidden/>
              </w:rPr>
              <w:instrText xml:space="preserve"> PAGEREF _Toc152595234 \h </w:instrText>
            </w:r>
            <w:r w:rsidR="00E910EE" w:rsidRPr="00332AB5">
              <w:rPr>
                <w:bCs/>
                <w:webHidden/>
              </w:rPr>
            </w:r>
            <w:r w:rsidR="00E910EE" w:rsidRPr="00332AB5">
              <w:rPr>
                <w:bCs/>
                <w:webHidden/>
              </w:rPr>
              <w:fldChar w:fldCharType="separate"/>
            </w:r>
            <w:r w:rsidR="005E6E46">
              <w:rPr>
                <w:bCs/>
                <w:webHidden/>
              </w:rPr>
              <w:t>35</w:t>
            </w:r>
            <w:r w:rsidR="00E910EE" w:rsidRPr="00332AB5">
              <w:rPr>
                <w:bCs/>
                <w:webHidden/>
              </w:rPr>
              <w:fldChar w:fldCharType="end"/>
            </w:r>
          </w:hyperlink>
        </w:p>
        <w:p w14:paraId="07EE5F8E" w14:textId="4411C638" w:rsidR="00E910EE" w:rsidRPr="00332AB5" w:rsidRDefault="00310FA2">
          <w:pPr>
            <w:pStyle w:val="TOC3"/>
            <w:rPr>
              <w:rFonts w:asciiTheme="minorHAnsi" w:eastAsiaTheme="minorEastAsia" w:hAnsiTheme="minorHAnsi" w:cstheme="minorBidi"/>
              <w:bCs/>
              <w:kern w:val="2"/>
              <w:sz w:val="22"/>
              <w:szCs w:val="22"/>
              <w14:ligatures w14:val="standardContextual"/>
            </w:rPr>
          </w:pPr>
          <w:hyperlink w:anchor="_Toc152595235" w:history="1">
            <w:r w:rsidR="00E910EE" w:rsidRPr="00332AB5">
              <w:rPr>
                <w:rStyle w:val="Hyperlink"/>
                <w:bCs/>
              </w:rPr>
              <w:t>3.6.11.</w:t>
            </w:r>
            <w:r w:rsidR="00E910EE" w:rsidRPr="00332AB5">
              <w:rPr>
                <w:rFonts w:asciiTheme="minorHAnsi" w:eastAsiaTheme="minorEastAsia" w:hAnsiTheme="minorHAnsi" w:cstheme="minorBidi"/>
                <w:bCs/>
                <w:kern w:val="2"/>
                <w:sz w:val="22"/>
                <w:szCs w:val="22"/>
                <w14:ligatures w14:val="standardContextual"/>
              </w:rPr>
              <w:tab/>
            </w:r>
            <w:r w:rsidR="00E910EE" w:rsidRPr="00332AB5">
              <w:rPr>
                <w:rStyle w:val="Hyperlink"/>
                <w:bCs/>
              </w:rPr>
              <w:t>Program međuregionalne suradnje INTERACT III 2014. – 2020.</w:t>
            </w:r>
            <w:r w:rsidR="00E910EE" w:rsidRPr="00332AB5">
              <w:rPr>
                <w:bCs/>
                <w:webHidden/>
              </w:rPr>
              <w:tab/>
            </w:r>
            <w:r w:rsidR="00E910EE" w:rsidRPr="00332AB5">
              <w:rPr>
                <w:bCs/>
                <w:webHidden/>
              </w:rPr>
              <w:fldChar w:fldCharType="begin"/>
            </w:r>
            <w:r w:rsidR="00E910EE" w:rsidRPr="00332AB5">
              <w:rPr>
                <w:bCs/>
                <w:webHidden/>
              </w:rPr>
              <w:instrText xml:space="preserve"> PAGEREF _Toc152595235 \h </w:instrText>
            </w:r>
            <w:r w:rsidR="00E910EE" w:rsidRPr="00332AB5">
              <w:rPr>
                <w:bCs/>
                <w:webHidden/>
              </w:rPr>
            </w:r>
            <w:r w:rsidR="00E910EE" w:rsidRPr="00332AB5">
              <w:rPr>
                <w:bCs/>
                <w:webHidden/>
              </w:rPr>
              <w:fldChar w:fldCharType="separate"/>
            </w:r>
            <w:r w:rsidR="005E6E46">
              <w:rPr>
                <w:bCs/>
                <w:webHidden/>
              </w:rPr>
              <w:t>36</w:t>
            </w:r>
            <w:r w:rsidR="00E910EE" w:rsidRPr="00332AB5">
              <w:rPr>
                <w:bCs/>
                <w:webHidden/>
              </w:rPr>
              <w:fldChar w:fldCharType="end"/>
            </w:r>
          </w:hyperlink>
        </w:p>
        <w:p w14:paraId="5ED488DA" w14:textId="65BFC61F" w:rsidR="00E910EE" w:rsidRPr="00332AB5" w:rsidRDefault="00310FA2">
          <w:pPr>
            <w:pStyle w:val="TOC3"/>
            <w:rPr>
              <w:rFonts w:asciiTheme="minorHAnsi" w:eastAsiaTheme="minorEastAsia" w:hAnsiTheme="minorHAnsi" w:cstheme="minorBidi"/>
              <w:bCs/>
              <w:kern w:val="2"/>
              <w:sz w:val="22"/>
              <w:szCs w:val="22"/>
              <w14:ligatures w14:val="standardContextual"/>
            </w:rPr>
          </w:pPr>
          <w:hyperlink w:anchor="_Toc152595236" w:history="1">
            <w:r w:rsidR="00E910EE" w:rsidRPr="00332AB5">
              <w:rPr>
                <w:rStyle w:val="Hyperlink"/>
                <w:bCs/>
              </w:rPr>
              <w:t>3.6.12.</w:t>
            </w:r>
            <w:r w:rsidR="00E910EE" w:rsidRPr="00332AB5">
              <w:rPr>
                <w:rFonts w:asciiTheme="minorHAnsi" w:eastAsiaTheme="minorEastAsia" w:hAnsiTheme="minorHAnsi" w:cstheme="minorBidi"/>
                <w:bCs/>
                <w:kern w:val="2"/>
                <w:sz w:val="22"/>
                <w:szCs w:val="22"/>
                <w14:ligatures w14:val="standardContextual"/>
              </w:rPr>
              <w:tab/>
            </w:r>
            <w:r w:rsidR="00E910EE" w:rsidRPr="00332AB5">
              <w:rPr>
                <w:rStyle w:val="Hyperlink"/>
                <w:bCs/>
              </w:rPr>
              <w:t>Program međuregionalne suradnje URBACT III 2014. – 2020.</w:t>
            </w:r>
            <w:r w:rsidR="00E910EE" w:rsidRPr="00332AB5">
              <w:rPr>
                <w:bCs/>
                <w:webHidden/>
              </w:rPr>
              <w:tab/>
            </w:r>
            <w:r w:rsidR="00E910EE" w:rsidRPr="00332AB5">
              <w:rPr>
                <w:bCs/>
                <w:webHidden/>
              </w:rPr>
              <w:fldChar w:fldCharType="begin"/>
            </w:r>
            <w:r w:rsidR="00E910EE" w:rsidRPr="00332AB5">
              <w:rPr>
                <w:bCs/>
                <w:webHidden/>
              </w:rPr>
              <w:instrText xml:space="preserve"> PAGEREF _Toc152595236 \h </w:instrText>
            </w:r>
            <w:r w:rsidR="00E910EE" w:rsidRPr="00332AB5">
              <w:rPr>
                <w:bCs/>
                <w:webHidden/>
              </w:rPr>
            </w:r>
            <w:r w:rsidR="00E910EE" w:rsidRPr="00332AB5">
              <w:rPr>
                <w:bCs/>
                <w:webHidden/>
              </w:rPr>
              <w:fldChar w:fldCharType="separate"/>
            </w:r>
            <w:r w:rsidR="005E6E46">
              <w:rPr>
                <w:bCs/>
                <w:webHidden/>
              </w:rPr>
              <w:t>36</w:t>
            </w:r>
            <w:r w:rsidR="00E910EE" w:rsidRPr="00332AB5">
              <w:rPr>
                <w:bCs/>
                <w:webHidden/>
              </w:rPr>
              <w:fldChar w:fldCharType="end"/>
            </w:r>
          </w:hyperlink>
        </w:p>
        <w:p w14:paraId="1A92EADD" w14:textId="3F08AD75" w:rsidR="00E910EE" w:rsidRPr="00332AB5" w:rsidRDefault="00310FA2">
          <w:pPr>
            <w:pStyle w:val="TOC3"/>
            <w:rPr>
              <w:rFonts w:asciiTheme="minorHAnsi" w:eastAsiaTheme="minorEastAsia" w:hAnsiTheme="minorHAnsi" w:cstheme="minorBidi"/>
              <w:bCs/>
              <w:kern w:val="2"/>
              <w:sz w:val="22"/>
              <w:szCs w:val="22"/>
              <w14:ligatures w14:val="standardContextual"/>
            </w:rPr>
          </w:pPr>
          <w:hyperlink w:anchor="_Toc152595237" w:history="1">
            <w:r w:rsidR="00E910EE" w:rsidRPr="00332AB5">
              <w:rPr>
                <w:rStyle w:val="Hyperlink"/>
                <w:bCs/>
              </w:rPr>
              <w:t>3.6.13.</w:t>
            </w:r>
            <w:r w:rsidR="00E910EE" w:rsidRPr="00332AB5">
              <w:rPr>
                <w:rFonts w:asciiTheme="minorHAnsi" w:eastAsiaTheme="minorEastAsia" w:hAnsiTheme="minorHAnsi" w:cstheme="minorBidi"/>
                <w:bCs/>
                <w:kern w:val="2"/>
                <w:sz w:val="22"/>
                <w:szCs w:val="22"/>
                <w14:ligatures w14:val="standardContextual"/>
              </w:rPr>
              <w:tab/>
            </w:r>
            <w:r w:rsidR="00E910EE" w:rsidRPr="00332AB5">
              <w:rPr>
                <w:rStyle w:val="Hyperlink"/>
                <w:bCs/>
              </w:rPr>
              <w:t>Program međuregionalne suradnje ESPON 2020</w:t>
            </w:r>
            <w:r w:rsidR="00E910EE" w:rsidRPr="00332AB5">
              <w:rPr>
                <w:bCs/>
                <w:webHidden/>
              </w:rPr>
              <w:tab/>
            </w:r>
            <w:r w:rsidR="00E910EE" w:rsidRPr="00332AB5">
              <w:rPr>
                <w:bCs/>
                <w:webHidden/>
              </w:rPr>
              <w:fldChar w:fldCharType="begin"/>
            </w:r>
            <w:r w:rsidR="00E910EE" w:rsidRPr="00332AB5">
              <w:rPr>
                <w:bCs/>
                <w:webHidden/>
              </w:rPr>
              <w:instrText xml:space="preserve"> PAGEREF _Toc152595237 \h </w:instrText>
            </w:r>
            <w:r w:rsidR="00E910EE" w:rsidRPr="00332AB5">
              <w:rPr>
                <w:bCs/>
                <w:webHidden/>
              </w:rPr>
            </w:r>
            <w:r w:rsidR="00E910EE" w:rsidRPr="00332AB5">
              <w:rPr>
                <w:bCs/>
                <w:webHidden/>
              </w:rPr>
              <w:fldChar w:fldCharType="separate"/>
            </w:r>
            <w:r w:rsidR="005E6E46">
              <w:rPr>
                <w:bCs/>
                <w:webHidden/>
              </w:rPr>
              <w:t>36</w:t>
            </w:r>
            <w:r w:rsidR="00E910EE" w:rsidRPr="00332AB5">
              <w:rPr>
                <w:bCs/>
                <w:webHidden/>
              </w:rPr>
              <w:fldChar w:fldCharType="end"/>
            </w:r>
          </w:hyperlink>
        </w:p>
        <w:p w14:paraId="1148E7B2" w14:textId="715DA372" w:rsidR="00E910EE" w:rsidRPr="00332AB5" w:rsidRDefault="00310FA2">
          <w:pPr>
            <w:pStyle w:val="TOC2"/>
            <w:rPr>
              <w:rFonts w:asciiTheme="minorHAnsi" w:eastAsiaTheme="minorEastAsia" w:hAnsiTheme="minorHAnsi" w:cstheme="minorBidi"/>
              <w:kern w:val="2"/>
              <w:sz w:val="22"/>
              <w:szCs w:val="22"/>
              <w:lang w:eastAsia="hr-HR"/>
              <w14:ligatures w14:val="standardContextual"/>
            </w:rPr>
          </w:pPr>
          <w:hyperlink w:anchor="_Toc152595238" w:history="1">
            <w:r w:rsidR="00E910EE" w:rsidRPr="00332AB5">
              <w:rPr>
                <w:rStyle w:val="Hyperlink"/>
              </w:rPr>
              <w:t>3.7.</w:t>
            </w:r>
            <w:r w:rsidR="00E910EE" w:rsidRPr="00332AB5">
              <w:rPr>
                <w:rFonts w:asciiTheme="minorHAnsi" w:eastAsiaTheme="minorEastAsia" w:hAnsiTheme="minorHAnsi" w:cstheme="minorBidi"/>
                <w:kern w:val="2"/>
                <w:sz w:val="22"/>
                <w:szCs w:val="22"/>
                <w:lang w:eastAsia="hr-HR"/>
                <w14:ligatures w14:val="standardContextual"/>
              </w:rPr>
              <w:tab/>
            </w:r>
            <w:r w:rsidR="00E910EE" w:rsidRPr="00332AB5">
              <w:rPr>
                <w:rStyle w:val="Hyperlink"/>
              </w:rPr>
              <w:t>NAUČENE LEKCIJE</w:t>
            </w:r>
            <w:r w:rsidR="00E910EE" w:rsidRPr="00332AB5">
              <w:rPr>
                <w:webHidden/>
              </w:rPr>
              <w:tab/>
            </w:r>
            <w:r w:rsidR="00E910EE" w:rsidRPr="00332AB5">
              <w:rPr>
                <w:webHidden/>
              </w:rPr>
              <w:fldChar w:fldCharType="begin"/>
            </w:r>
            <w:r w:rsidR="00E910EE" w:rsidRPr="00332AB5">
              <w:rPr>
                <w:webHidden/>
              </w:rPr>
              <w:instrText xml:space="preserve"> PAGEREF _Toc152595238 \h </w:instrText>
            </w:r>
            <w:r w:rsidR="00E910EE" w:rsidRPr="00332AB5">
              <w:rPr>
                <w:webHidden/>
              </w:rPr>
            </w:r>
            <w:r w:rsidR="00E910EE" w:rsidRPr="00332AB5">
              <w:rPr>
                <w:webHidden/>
              </w:rPr>
              <w:fldChar w:fldCharType="separate"/>
            </w:r>
            <w:r w:rsidR="005E6E46">
              <w:rPr>
                <w:webHidden/>
              </w:rPr>
              <w:t>37</w:t>
            </w:r>
            <w:r w:rsidR="00E910EE" w:rsidRPr="00332AB5">
              <w:rPr>
                <w:webHidden/>
              </w:rPr>
              <w:fldChar w:fldCharType="end"/>
            </w:r>
          </w:hyperlink>
        </w:p>
        <w:p w14:paraId="34ED4F1D" w14:textId="2D3A1914" w:rsidR="00E910EE" w:rsidRPr="00332AB5" w:rsidRDefault="00310FA2">
          <w:pPr>
            <w:pStyle w:val="TOC1"/>
            <w:rPr>
              <w:rFonts w:asciiTheme="minorHAnsi" w:eastAsiaTheme="minorEastAsia" w:hAnsiTheme="minorHAnsi" w:cstheme="minorBidi"/>
              <w:bCs/>
              <w:kern w:val="2"/>
              <w:sz w:val="22"/>
              <w:szCs w:val="22"/>
              <w14:ligatures w14:val="standardContextual"/>
            </w:rPr>
          </w:pPr>
          <w:hyperlink w:anchor="_Toc152595239" w:history="1">
            <w:r w:rsidR="00E910EE" w:rsidRPr="00332AB5">
              <w:rPr>
                <w:rStyle w:val="Hyperlink"/>
                <w:rFonts w:eastAsia="SimSun"/>
                <w:bCs/>
              </w:rPr>
              <w:t>4.</w:t>
            </w:r>
            <w:r w:rsidR="00E910EE" w:rsidRPr="00332AB5">
              <w:rPr>
                <w:rFonts w:asciiTheme="minorHAnsi" w:eastAsiaTheme="minorEastAsia" w:hAnsiTheme="minorHAnsi" w:cstheme="minorBidi"/>
                <w:bCs/>
                <w:kern w:val="2"/>
                <w:sz w:val="22"/>
                <w:szCs w:val="22"/>
                <w14:ligatures w14:val="standardContextual"/>
              </w:rPr>
              <w:tab/>
            </w:r>
            <w:r w:rsidR="00E910EE" w:rsidRPr="00332AB5">
              <w:rPr>
                <w:rStyle w:val="Hyperlink"/>
                <w:rFonts w:eastAsia="SimSun"/>
                <w:bCs/>
              </w:rPr>
              <w:t>NEPRAVILNOSTI</w:t>
            </w:r>
            <w:r w:rsidR="00E910EE" w:rsidRPr="00332AB5">
              <w:rPr>
                <w:bCs/>
                <w:webHidden/>
              </w:rPr>
              <w:tab/>
            </w:r>
            <w:r w:rsidR="00E910EE" w:rsidRPr="00332AB5">
              <w:rPr>
                <w:bCs/>
                <w:webHidden/>
              </w:rPr>
              <w:fldChar w:fldCharType="begin"/>
            </w:r>
            <w:r w:rsidR="00E910EE" w:rsidRPr="00332AB5">
              <w:rPr>
                <w:bCs/>
                <w:webHidden/>
              </w:rPr>
              <w:instrText xml:space="preserve"> PAGEREF _Toc152595239 \h </w:instrText>
            </w:r>
            <w:r w:rsidR="00E910EE" w:rsidRPr="00332AB5">
              <w:rPr>
                <w:bCs/>
                <w:webHidden/>
              </w:rPr>
            </w:r>
            <w:r w:rsidR="00E910EE" w:rsidRPr="00332AB5">
              <w:rPr>
                <w:bCs/>
                <w:webHidden/>
              </w:rPr>
              <w:fldChar w:fldCharType="separate"/>
            </w:r>
            <w:r w:rsidR="005E6E46">
              <w:rPr>
                <w:bCs/>
                <w:webHidden/>
              </w:rPr>
              <w:t>50</w:t>
            </w:r>
            <w:r w:rsidR="00E910EE" w:rsidRPr="00332AB5">
              <w:rPr>
                <w:bCs/>
                <w:webHidden/>
              </w:rPr>
              <w:fldChar w:fldCharType="end"/>
            </w:r>
          </w:hyperlink>
        </w:p>
        <w:p w14:paraId="0F00CEE6" w14:textId="54F397D2" w:rsidR="00E910EE" w:rsidRPr="00332AB5" w:rsidRDefault="00310FA2">
          <w:pPr>
            <w:pStyle w:val="TOC1"/>
            <w:rPr>
              <w:rFonts w:asciiTheme="minorHAnsi" w:eastAsiaTheme="minorEastAsia" w:hAnsiTheme="minorHAnsi" w:cstheme="minorBidi"/>
              <w:bCs/>
              <w:kern w:val="2"/>
              <w:sz w:val="22"/>
              <w:szCs w:val="22"/>
              <w14:ligatures w14:val="standardContextual"/>
            </w:rPr>
          </w:pPr>
          <w:hyperlink w:anchor="_Toc152595240" w:history="1">
            <w:r w:rsidR="00E910EE" w:rsidRPr="00332AB5">
              <w:rPr>
                <w:rStyle w:val="Hyperlink"/>
                <w:bCs/>
              </w:rPr>
              <w:t>5.</w:t>
            </w:r>
            <w:r w:rsidR="00E910EE" w:rsidRPr="00332AB5">
              <w:rPr>
                <w:rFonts w:asciiTheme="minorHAnsi" w:eastAsiaTheme="minorEastAsia" w:hAnsiTheme="minorHAnsi" w:cstheme="minorBidi"/>
                <w:bCs/>
                <w:kern w:val="2"/>
                <w:sz w:val="22"/>
                <w:szCs w:val="22"/>
                <w14:ligatures w14:val="standardContextual"/>
              </w:rPr>
              <w:tab/>
            </w:r>
            <w:r w:rsidR="00E910EE" w:rsidRPr="00332AB5">
              <w:rPr>
                <w:rStyle w:val="Hyperlink"/>
                <w:bCs/>
              </w:rPr>
              <w:t>INSTRUMENTI NEXT GENERATION EU</w:t>
            </w:r>
            <w:r w:rsidR="00E910EE" w:rsidRPr="00332AB5">
              <w:rPr>
                <w:bCs/>
                <w:webHidden/>
              </w:rPr>
              <w:tab/>
            </w:r>
            <w:r w:rsidR="00E910EE" w:rsidRPr="00332AB5">
              <w:rPr>
                <w:bCs/>
                <w:webHidden/>
              </w:rPr>
              <w:fldChar w:fldCharType="begin"/>
            </w:r>
            <w:r w:rsidR="00E910EE" w:rsidRPr="00332AB5">
              <w:rPr>
                <w:bCs/>
                <w:webHidden/>
              </w:rPr>
              <w:instrText xml:space="preserve"> PAGEREF _Toc152595240 \h </w:instrText>
            </w:r>
            <w:r w:rsidR="00E910EE" w:rsidRPr="00332AB5">
              <w:rPr>
                <w:bCs/>
                <w:webHidden/>
              </w:rPr>
            </w:r>
            <w:r w:rsidR="00E910EE" w:rsidRPr="00332AB5">
              <w:rPr>
                <w:bCs/>
                <w:webHidden/>
              </w:rPr>
              <w:fldChar w:fldCharType="separate"/>
            </w:r>
            <w:r w:rsidR="005E6E46">
              <w:rPr>
                <w:bCs/>
                <w:webHidden/>
              </w:rPr>
              <w:t>64</w:t>
            </w:r>
            <w:r w:rsidR="00E910EE" w:rsidRPr="00332AB5">
              <w:rPr>
                <w:bCs/>
                <w:webHidden/>
              </w:rPr>
              <w:fldChar w:fldCharType="end"/>
            </w:r>
          </w:hyperlink>
        </w:p>
        <w:p w14:paraId="2D0E0C59" w14:textId="4213F126" w:rsidR="00E910EE" w:rsidRPr="00332AB5" w:rsidRDefault="00310FA2">
          <w:pPr>
            <w:pStyle w:val="TOC2"/>
            <w:rPr>
              <w:rFonts w:asciiTheme="minorHAnsi" w:eastAsiaTheme="minorEastAsia" w:hAnsiTheme="minorHAnsi" w:cstheme="minorBidi"/>
              <w:kern w:val="2"/>
              <w:sz w:val="22"/>
              <w:szCs w:val="22"/>
              <w:lang w:eastAsia="hr-HR"/>
              <w14:ligatures w14:val="standardContextual"/>
            </w:rPr>
          </w:pPr>
          <w:hyperlink w:anchor="_Toc152595241" w:history="1">
            <w:r w:rsidR="00E910EE" w:rsidRPr="00332AB5">
              <w:rPr>
                <w:rStyle w:val="Hyperlink"/>
              </w:rPr>
              <w:t>5.1.</w:t>
            </w:r>
            <w:r w:rsidR="00E910EE" w:rsidRPr="00332AB5">
              <w:rPr>
                <w:rFonts w:asciiTheme="minorHAnsi" w:eastAsiaTheme="minorEastAsia" w:hAnsiTheme="minorHAnsi" w:cstheme="minorBidi"/>
                <w:kern w:val="2"/>
                <w:sz w:val="22"/>
                <w:szCs w:val="22"/>
                <w:lang w:eastAsia="hr-HR"/>
                <w14:ligatures w14:val="standardContextual"/>
              </w:rPr>
              <w:tab/>
            </w:r>
            <w:r w:rsidR="00E910EE" w:rsidRPr="00332AB5">
              <w:rPr>
                <w:rStyle w:val="Hyperlink"/>
              </w:rPr>
              <w:t>POMOĆ ZA OPORAVAK ZA KOHEZIJU I EUROPSKA PODRUČJA („REACT-EU”)</w:t>
            </w:r>
            <w:r w:rsidR="00E910EE" w:rsidRPr="00332AB5">
              <w:rPr>
                <w:webHidden/>
              </w:rPr>
              <w:tab/>
            </w:r>
            <w:r w:rsidR="00E910EE" w:rsidRPr="00332AB5">
              <w:rPr>
                <w:webHidden/>
              </w:rPr>
              <w:fldChar w:fldCharType="begin"/>
            </w:r>
            <w:r w:rsidR="00E910EE" w:rsidRPr="00332AB5">
              <w:rPr>
                <w:webHidden/>
              </w:rPr>
              <w:instrText xml:space="preserve"> PAGEREF _Toc152595241 \h </w:instrText>
            </w:r>
            <w:r w:rsidR="00E910EE" w:rsidRPr="00332AB5">
              <w:rPr>
                <w:webHidden/>
              </w:rPr>
            </w:r>
            <w:r w:rsidR="00E910EE" w:rsidRPr="00332AB5">
              <w:rPr>
                <w:webHidden/>
              </w:rPr>
              <w:fldChar w:fldCharType="separate"/>
            </w:r>
            <w:r w:rsidR="005E6E46">
              <w:rPr>
                <w:webHidden/>
              </w:rPr>
              <w:t>64</w:t>
            </w:r>
            <w:r w:rsidR="00E910EE" w:rsidRPr="00332AB5">
              <w:rPr>
                <w:webHidden/>
              </w:rPr>
              <w:fldChar w:fldCharType="end"/>
            </w:r>
          </w:hyperlink>
        </w:p>
        <w:p w14:paraId="0EFC6E0E" w14:textId="1D8EC74B" w:rsidR="00E910EE" w:rsidRPr="00332AB5" w:rsidRDefault="00310FA2">
          <w:pPr>
            <w:pStyle w:val="TOC3"/>
            <w:rPr>
              <w:rFonts w:asciiTheme="minorHAnsi" w:eastAsiaTheme="minorEastAsia" w:hAnsiTheme="minorHAnsi" w:cstheme="minorBidi"/>
              <w:bCs/>
              <w:kern w:val="2"/>
              <w:sz w:val="22"/>
              <w:szCs w:val="22"/>
              <w14:ligatures w14:val="standardContextual"/>
            </w:rPr>
          </w:pPr>
          <w:hyperlink w:anchor="_Toc152595242" w:history="1">
            <w:r w:rsidR="00E910EE" w:rsidRPr="00332AB5">
              <w:rPr>
                <w:rStyle w:val="Hyperlink"/>
                <w:bCs/>
              </w:rPr>
              <w:t>5.1.1.</w:t>
            </w:r>
            <w:r w:rsidR="00E910EE" w:rsidRPr="00332AB5">
              <w:rPr>
                <w:rFonts w:asciiTheme="minorHAnsi" w:eastAsiaTheme="minorEastAsia" w:hAnsiTheme="minorHAnsi" w:cstheme="minorBidi"/>
                <w:bCs/>
                <w:kern w:val="2"/>
                <w:sz w:val="22"/>
                <w:szCs w:val="22"/>
                <w14:ligatures w14:val="standardContextual"/>
              </w:rPr>
              <w:tab/>
            </w:r>
            <w:r w:rsidR="00E910EE" w:rsidRPr="00332AB5">
              <w:rPr>
                <w:rStyle w:val="Hyperlink"/>
                <w:bCs/>
              </w:rPr>
              <w:t>OPERATIVNI PROGRAM „KONKURENTNOST I KOHEZIJA“</w:t>
            </w:r>
            <w:r w:rsidR="00E910EE" w:rsidRPr="00332AB5">
              <w:rPr>
                <w:bCs/>
                <w:webHidden/>
              </w:rPr>
              <w:tab/>
            </w:r>
            <w:r w:rsidR="00E910EE" w:rsidRPr="00332AB5">
              <w:rPr>
                <w:bCs/>
                <w:webHidden/>
              </w:rPr>
              <w:fldChar w:fldCharType="begin"/>
            </w:r>
            <w:r w:rsidR="00E910EE" w:rsidRPr="00332AB5">
              <w:rPr>
                <w:bCs/>
                <w:webHidden/>
              </w:rPr>
              <w:instrText xml:space="preserve"> PAGEREF _Toc152595242 \h </w:instrText>
            </w:r>
            <w:r w:rsidR="00E910EE" w:rsidRPr="00332AB5">
              <w:rPr>
                <w:bCs/>
                <w:webHidden/>
              </w:rPr>
            </w:r>
            <w:r w:rsidR="00E910EE" w:rsidRPr="00332AB5">
              <w:rPr>
                <w:bCs/>
                <w:webHidden/>
              </w:rPr>
              <w:fldChar w:fldCharType="separate"/>
            </w:r>
            <w:r w:rsidR="005E6E46">
              <w:rPr>
                <w:bCs/>
                <w:webHidden/>
              </w:rPr>
              <w:t>64</w:t>
            </w:r>
            <w:r w:rsidR="00E910EE" w:rsidRPr="00332AB5">
              <w:rPr>
                <w:bCs/>
                <w:webHidden/>
              </w:rPr>
              <w:fldChar w:fldCharType="end"/>
            </w:r>
          </w:hyperlink>
        </w:p>
        <w:p w14:paraId="0516B9A6" w14:textId="1A293B3B" w:rsidR="00E910EE" w:rsidRPr="00332AB5" w:rsidRDefault="00310FA2">
          <w:pPr>
            <w:pStyle w:val="TOC3"/>
            <w:rPr>
              <w:rFonts w:asciiTheme="minorHAnsi" w:eastAsiaTheme="minorEastAsia" w:hAnsiTheme="minorHAnsi" w:cstheme="minorBidi"/>
              <w:bCs/>
              <w:kern w:val="2"/>
              <w:sz w:val="22"/>
              <w:szCs w:val="22"/>
              <w14:ligatures w14:val="standardContextual"/>
            </w:rPr>
          </w:pPr>
          <w:hyperlink w:anchor="_Toc152595243" w:history="1">
            <w:r w:rsidR="00E910EE" w:rsidRPr="00332AB5">
              <w:rPr>
                <w:rStyle w:val="Hyperlink"/>
                <w:bCs/>
              </w:rPr>
              <w:t>5.1.2.</w:t>
            </w:r>
            <w:r w:rsidR="00E910EE" w:rsidRPr="00332AB5">
              <w:rPr>
                <w:rFonts w:asciiTheme="minorHAnsi" w:eastAsiaTheme="minorEastAsia" w:hAnsiTheme="minorHAnsi" w:cstheme="minorBidi"/>
                <w:bCs/>
                <w:kern w:val="2"/>
                <w:sz w:val="22"/>
                <w:szCs w:val="22"/>
                <w14:ligatures w14:val="standardContextual"/>
              </w:rPr>
              <w:tab/>
            </w:r>
            <w:r w:rsidR="00E910EE" w:rsidRPr="00332AB5">
              <w:rPr>
                <w:rStyle w:val="Hyperlink"/>
                <w:bCs/>
              </w:rPr>
              <w:t>OPERATIVNI PROGRAM „UČINKOVITI LJUDSKI POTENCIJALI“</w:t>
            </w:r>
            <w:r w:rsidR="00E910EE" w:rsidRPr="00332AB5">
              <w:rPr>
                <w:bCs/>
                <w:webHidden/>
              </w:rPr>
              <w:tab/>
            </w:r>
            <w:r w:rsidR="00E910EE" w:rsidRPr="00332AB5">
              <w:rPr>
                <w:bCs/>
                <w:webHidden/>
              </w:rPr>
              <w:fldChar w:fldCharType="begin"/>
            </w:r>
            <w:r w:rsidR="00E910EE" w:rsidRPr="00332AB5">
              <w:rPr>
                <w:bCs/>
                <w:webHidden/>
              </w:rPr>
              <w:instrText xml:space="preserve"> PAGEREF _Toc152595243 \h </w:instrText>
            </w:r>
            <w:r w:rsidR="00E910EE" w:rsidRPr="00332AB5">
              <w:rPr>
                <w:bCs/>
                <w:webHidden/>
              </w:rPr>
            </w:r>
            <w:r w:rsidR="00E910EE" w:rsidRPr="00332AB5">
              <w:rPr>
                <w:bCs/>
                <w:webHidden/>
              </w:rPr>
              <w:fldChar w:fldCharType="separate"/>
            </w:r>
            <w:r w:rsidR="005E6E46">
              <w:rPr>
                <w:bCs/>
                <w:webHidden/>
              </w:rPr>
              <w:t>65</w:t>
            </w:r>
            <w:r w:rsidR="00E910EE" w:rsidRPr="00332AB5">
              <w:rPr>
                <w:bCs/>
                <w:webHidden/>
              </w:rPr>
              <w:fldChar w:fldCharType="end"/>
            </w:r>
          </w:hyperlink>
        </w:p>
        <w:p w14:paraId="53DCCF60" w14:textId="27782E45" w:rsidR="00E910EE" w:rsidRPr="00332AB5" w:rsidRDefault="00310FA2">
          <w:pPr>
            <w:pStyle w:val="TOC3"/>
            <w:rPr>
              <w:rFonts w:asciiTheme="minorHAnsi" w:eastAsiaTheme="minorEastAsia" w:hAnsiTheme="minorHAnsi" w:cstheme="minorBidi"/>
              <w:bCs/>
              <w:kern w:val="2"/>
              <w:sz w:val="22"/>
              <w:szCs w:val="22"/>
              <w14:ligatures w14:val="standardContextual"/>
            </w:rPr>
          </w:pPr>
          <w:hyperlink w:anchor="_Toc152595244" w:history="1">
            <w:r w:rsidR="00E910EE" w:rsidRPr="00332AB5">
              <w:rPr>
                <w:rStyle w:val="Hyperlink"/>
                <w:bCs/>
              </w:rPr>
              <w:t>5.1.3.</w:t>
            </w:r>
            <w:r w:rsidR="00E910EE" w:rsidRPr="00332AB5">
              <w:rPr>
                <w:rFonts w:asciiTheme="minorHAnsi" w:eastAsiaTheme="minorEastAsia" w:hAnsiTheme="minorHAnsi" w:cstheme="minorBidi"/>
                <w:bCs/>
                <w:kern w:val="2"/>
                <w:sz w:val="22"/>
                <w:szCs w:val="22"/>
                <w14:ligatures w14:val="standardContextual"/>
              </w:rPr>
              <w:tab/>
            </w:r>
            <w:r w:rsidR="00E910EE" w:rsidRPr="00332AB5">
              <w:rPr>
                <w:rStyle w:val="Hyperlink"/>
                <w:bCs/>
              </w:rPr>
              <w:t>OPERATIVNI PROGRAM ZA HRANU I/ILI OSNOVNU MATERIJALNU POMOĆ U OKVIRU FONDA EUROPSKE POMOĆI ZA NAJPOTREBITIJE</w:t>
            </w:r>
            <w:r w:rsidR="00E910EE" w:rsidRPr="00332AB5">
              <w:rPr>
                <w:bCs/>
                <w:webHidden/>
              </w:rPr>
              <w:tab/>
            </w:r>
            <w:r w:rsidR="00E910EE" w:rsidRPr="00332AB5">
              <w:rPr>
                <w:bCs/>
                <w:webHidden/>
              </w:rPr>
              <w:fldChar w:fldCharType="begin"/>
            </w:r>
            <w:r w:rsidR="00E910EE" w:rsidRPr="00332AB5">
              <w:rPr>
                <w:bCs/>
                <w:webHidden/>
              </w:rPr>
              <w:instrText xml:space="preserve"> PAGEREF _Toc152595244 \h </w:instrText>
            </w:r>
            <w:r w:rsidR="00E910EE" w:rsidRPr="00332AB5">
              <w:rPr>
                <w:bCs/>
                <w:webHidden/>
              </w:rPr>
            </w:r>
            <w:r w:rsidR="00E910EE" w:rsidRPr="00332AB5">
              <w:rPr>
                <w:bCs/>
                <w:webHidden/>
              </w:rPr>
              <w:fldChar w:fldCharType="separate"/>
            </w:r>
            <w:r w:rsidR="005E6E46">
              <w:rPr>
                <w:bCs/>
                <w:webHidden/>
              </w:rPr>
              <w:t>66</w:t>
            </w:r>
            <w:r w:rsidR="00E910EE" w:rsidRPr="00332AB5">
              <w:rPr>
                <w:bCs/>
                <w:webHidden/>
              </w:rPr>
              <w:fldChar w:fldCharType="end"/>
            </w:r>
          </w:hyperlink>
        </w:p>
        <w:p w14:paraId="590C66F2" w14:textId="6C590C19" w:rsidR="00E910EE" w:rsidRPr="00332AB5" w:rsidRDefault="00310FA2">
          <w:pPr>
            <w:pStyle w:val="TOC2"/>
            <w:rPr>
              <w:rFonts w:asciiTheme="minorHAnsi" w:eastAsiaTheme="minorEastAsia" w:hAnsiTheme="minorHAnsi" w:cstheme="minorBidi"/>
              <w:kern w:val="2"/>
              <w:sz w:val="22"/>
              <w:szCs w:val="22"/>
              <w:lang w:eastAsia="hr-HR"/>
              <w14:ligatures w14:val="standardContextual"/>
            </w:rPr>
          </w:pPr>
          <w:hyperlink w:anchor="_Toc152595245" w:history="1">
            <w:r w:rsidR="00E910EE" w:rsidRPr="00332AB5">
              <w:rPr>
                <w:rStyle w:val="Hyperlink"/>
              </w:rPr>
              <w:t>5.2.</w:t>
            </w:r>
            <w:r w:rsidR="00E910EE" w:rsidRPr="00332AB5">
              <w:rPr>
                <w:rFonts w:asciiTheme="minorHAnsi" w:eastAsiaTheme="minorEastAsia" w:hAnsiTheme="minorHAnsi" w:cstheme="minorBidi"/>
                <w:kern w:val="2"/>
                <w:sz w:val="22"/>
                <w:szCs w:val="22"/>
                <w:lang w:eastAsia="hr-HR"/>
                <w14:ligatures w14:val="standardContextual"/>
              </w:rPr>
              <w:tab/>
            </w:r>
            <w:r w:rsidR="00E910EE" w:rsidRPr="00332AB5">
              <w:rPr>
                <w:rStyle w:val="Hyperlink"/>
              </w:rPr>
              <w:t>PROGRAM RURALNOG RAZVOJA - EURI</w:t>
            </w:r>
            <w:r w:rsidR="00E910EE" w:rsidRPr="00332AB5">
              <w:rPr>
                <w:webHidden/>
              </w:rPr>
              <w:tab/>
            </w:r>
            <w:r w:rsidR="00E910EE" w:rsidRPr="00332AB5">
              <w:rPr>
                <w:webHidden/>
              </w:rPr>
              <w:fldChar w:fldCharType="begin"/>
            </w:r>
            <w:r w:rsidR="00E910EE" w:rsidRPr="00332AB5">
              <w:rPr>
                <w:webHidden/>
              </w:rPr>
              <w:instrText xml:space="preserve"> PAGEREF _Toc152595245 \h </w:instrText>
            </w:r>
            <w:r w:rsidR="00E910EE" w:rsidRPr="00332AB5">
              <w:rPr>
                <w:webHidden/>
              </w:rPr>
            </w:r>
            <w:r w:rsidR="00E910EE" w:rsidRPr="00332AB5">
              <w:rPr>
                <w:webHidden/>
              </w:rPr>
              <w:fldChar w:fldCharType="separate"/>
            </w:r>
            <w:r w:rsidR="005E6E46">
              <w:rPr>
                <w:webHidden/>
              </w:rPr>
              <w:t>67</w:t>
            </w:r>
            <w:r w:rsidR="00E910EE" w:rsidRPr="00332AB5">
              <w:rPr>
                <w:webHidden/>
              </w:rPr>
              <w:fldChar w:fldCharType="end"/>
            </w:r>
          </w:hyperlink>
        </w:p>
        <w:p w14:paraId="4BD64048" w14:textId="2EE64182" w:rsidR="00E910EE" w:rsidRPr="00332AB5" w:rsidRDefault="00310FA2">
          <w:pPr>
            <w:pStyle w:val="TOC1"/>
            <w:rPr>
              <w:rFonts w:asciiTheme="minorHAnsi" w:eastAsiaTheme="minorEastAsia" w:hAnsiTheme="minorHAnsi" w:cstheme="minorBidi"/>
              <w:bCs/>
              <w:kern w:val="2"/>
              <w:sz w:val="22"/>
              <w:szCs w:val="22"/>
              <w14:ligatures w14:val="standardContextual"/>
            </w:rPr>
          </w:pPr>
          <w:hyperlink w:anchor="_Toc152595246" w:history="1">
            <w:r w:rsidR="00E910EE" w:rsidRPr="00332AB5">
              <w:rPr>
                <w:rStyle w:val="Hyperlink"/>
                <w:bCs/>
              </w:rPr>
              <w:t>6.</w:t>
            </w:r>
            <w:r w:rsidR="00E910EE" w:rsidRPr="00332AB5">
              <w:rPr>
                <w:rFonts w:asciiTheme="minorHAnsi" w:eastAsiaTheme="minorEastAsia" w:hAnsiTheme="minorHAnsi" w:cstheme="minorBidi"/>
                <w:bCs/>
                <w:kern w:val="2"/>
                <w:sz w:val="22"/>
                <w:szCs w:val="22"/>
                <w14:ligatures w14:val="standardContextual"/>
              </w:rPr>
              <w:tab/>
            </w:r>
            <w:r w:rsidR="00E910EE" w:rsidRPr="00332AB5">
              <w:rPr>
                <w:rStyle w:val="Hyperlink"/>
                <w:bCs/>
              </w:rPr>
              <w:t>JAČANJE SUSTAVA I POVEĆANJE UČINKOVITOSTI PROVEDBE EUROPSKIH STRUKTURNIH I INVESTICIJSKIH FONDOVA</w:t>
            </w:r>
            <w:r w:rsidR="00E910EE" w:rsidRPr="00332AB5">
              <w:rPr>
                <w:bCs/>
                <w:webHidden/>
              </w:rPr>
              <w:tab/>
            </w:r>
            <w:r w:rsidR="00E910EE" w:rsidRPr="00332AB5">
              <w:rPr>
                <w:bCs/>
                <w:webHidden/>
              </w:rPr>
              <w:fldChar w:fldCharType="begin"/>
            </w:r>
            <w:r w:rsidR="00E910EE" w:rsidRPr="00332AB5">
              <w:rPr>
                <w:bCs/>
                <w:webHidden/>
              </w:rPr>
              <w:instrText xml:space="preserve"> PAGEREF _Toc152595246 \h </w:instrText>
            </w:r>
            <w:r w:rsidR="00E910EE" w:rsidRPr="00332AB5">
              <w:rPr>
                <w:bCs/>
                <w:webHidden/>
              </w:rPr>
            </w:r>
            <w:r w:rsidR="00E910EE" w:rsidRPr="00332AB5">
              <w:rPr>
                <w:bCs/>
                <w:webHidden/>
              </w:rPr>
              <w:fldChar w:fldCharType="separate"/>
            </w:r>
            <w:r w:rsidR="005E6E46">
              <w:rPr>
                <w:bCs/>
                <w:webHidden/>
              </w:rPr>
              <w:t>69</w:t>
            </w:r>
            <w:r w:rsidR="00E910EE" w:rsidRPr="00332AB5">
              <w:rPr>
                <w:bCs/>
                <w:webHidden/>
              </w:rPr>
              <w:fldChar w:fldCharType="end"/>
            </w:r>
          </w:hyperlink>
        </w:p>
        <w:p w14:paraId="756CF959" w14:textId="10ED7677" w:rsidR="00E910EE" w:rsidRPr="00332AB5" w:rsidRDefault="00310FA2">
          <w:pPr>
            <w:pStyle w:val="TOC1"/>
            <w:rPr>
              <w:rFonts w:asciiTheme="minorHAnsi" w:eastAsiaTheme="minorEastAsia" w:hAnsiTheme="minorHAnsi" w:cstheme="minorBidi"/>
              <w:bCs/>
              <w:kern w:val="2"/>
              <w:sz w:val="22"/>
              <w:szCs w:val="22"/>
              <w14:ligatures w14:val="standardContextual"/>
            </w:rPr>
          </w:pPr>
          <w:hyperlink w:anchor="_Toc152595247" w:history="1">
            <w:r w:rsidR="00E910EE" w:rsidRPr="00332AB5">
              <w:rPr>
                <w:rStyle w:val="Hyperlink"/>
                <w:bCs/>
              </w:rPr>
              <w:t>7.</w:t>
            </w:r>
            <w:r w:rsidR="00E910EE" w:rsidRPr="00332AB5">
              <w:rPr>
                <w:rFonts w:asciiTheme="minorHAnsi" w:eastAsiaTheme="minorEastAsia" w:hAnsiTheme="minorHAnsi" w:cstheme="minorBidi"/>
                <w:bCs/>
                <w:kern w:val="2"/>
                <w:sz w:val="22"/>
                <w:szCs w:val="22"/>
                <w14:ligatures w14:val="standardContextual"/>
              </w:rPr>
              <w:tab/>
            </w:r>
            <w:r w:rsidR="00E910EE" w:rsidRPr="00332AB5">
              <w:rPr>
                <w:rStyle w:val="Hyperlink"/>
                <w:bCs/>
              </w:rPr>
              <w:t>AKTIVNOSTI INFORMIRANJA I KOMUNIKACIJE</w:t>
            </w:r>
            <w:r w:rsidR="00E910EE" w:rsidRPr="00332AB5">
              <w:rPr>
                <w:bCs/>
                <w:webHidden/>
              </w:rPr>
              <w:tab/>
            </w:r>
            <w:r w:rsidR="00E910EE" w:rsidRPr="00332AB5">
              <w:rPr>
                <w:bCs/>
                <w:webHidden/>
              </w:rPr>
              <w:fldChar w:fldCharType="begin"/>
            </w:r>
            <w:r w:rsidR="00E910EE" w:rsidRPr="00332AB5">
              <w:rPr>
                <w:bCs/>
                <w:webHidden/>
              </w:rPr>
              <w:instrText xml:space="preserve"> PAGEREF _Toc152595247 \h </w:instrText>
            </w:r>
            <w:r w:rsidR="00E910EE" w:rsidRPr="00332AB5">
              <w:rPr>
                <w:bCs/>
                <w:webHidden/>
              </w:rPr>
            </w:r>
            <w:r w:rsidR="00E910EE" w:rsidRPr="00332AB5">
              <w:rPr>
                <w:bCs/>
                <w:webHidden/>
              </w:rPr>
              <w:fldChar w:fldCharType="separate"/>
            </w:r>
            <w:r w:rsidR="005E6E46">
              <w:rPr>
                <w:bCs/>
                <w:webHidden/>
              </w:rPr>
              <w:t>71</w:t>
            </w:r>
            <w:r w:rsidR="00E910EE" w:rsidRPr="00332AB5">
              <w:rPr>
                <w:bCs/>
                <w:webHidden/>
              </w:rPr>
              <w:fldChar w:fldCharType="end"/>
            </w:r>
          </w:hyperlink>
        </w:p>
        <w:p w14:paraId="70A6BA73" w14:textId="22B9D706" w:rsidR="00E910EE" w:rsidRPr="00332AB5" w:rsidRDefault="00310FA2">
          <w:pPr>
            <w:pStyle w:val="TOC1"/>
            <w:rPr>
              <w:rFonts w:asciiTheme="minorHAnsi" w:eastAsiaTheme="minorEastAsia" w:hAnsiTheme="minorHAnsi" w:cstheme="minorBidi"/>
              <w:bCs/>
              <w:kern w:val="2"/>
              <w:sz w:val="22"/>
              <w:szCs w:val="22"/>
              <w14:ligatures w14:val="standardContextual"/>
            </w:rPr>
          </w:pPr>
          <w:hyperlink w:anchor="_Toc152595248" w:history="1">
            <w:r w:rsidR="00E910EE" w:rsidRPr="00332AB5">
              <w:rPr>
                <w:rStyle w:val="Hyperlink"/>
                <w:bCs/>
              </w:rPr>
              <w:t>8.</w:t>
            </w:r>
            <w:r w:rsidR="00E910EE" w:rsidRPr="00332AB5">
              <w:rPr>
                <w:rFonts w:asciiTheme="minorHAnsi" w:eastAsiaTheme="minorEastAsia" w:hAnsiTheme="minorHAnsi" w:cstheme="minorBidi"/>
                <w:bCs/>
                <w:kern w:val="2"/>
                <w:sz w:val="22"/>
                <w:szCs w:val="22"/>
                <w14:ligatures w14:val="standardContextual"/>
              </w:rPr>
              <w:tab/>
            </w:r>
            <w:r w:rsidR="00E910EE" w:rsidRPr="00332AB5">
              <w:rPr>
                <w:rStyle w:val="Hyperlink"/>
                <w:bCs/>
              </w:rPr>
              <w:t>FINANCIJSKA PERSPEKTIVA 2021. - 2027.</w:t>
            </w:r>
            <w:r w:rsidR="00E910EE" w:rsidRPr="00332AB5">
              <w:rPr>
                <w:bCs/>
                <w:webHidden/>
              </w:rPr>
              <w:tab/>
            </w:r>
            <w:r w:rsidR="00E910EE" w:rsidRPr="00332AB5">
              <w:rPr>
                <w:bCs/>
                <w:webHidden/>
              </w:rPr>
              <w:fldChar w:fldCharType="begin"/>
            </w:r>
            <w:r w:rsidR="00E910EE" w:rsidRPr="00332AB5">
              <w:rPr>
                <w:bCs/>
                <w:webHidden/>
              </w:rPr>
              <w:instrText xml:space="preserve"> PAGEREF _Toc152595248 \h </w:instrText>
            </w:r>
            <w:r w:rsidR="00E910EE" w:rsidRPr="00332AB5">
              <w:rPr>
                <w:bCs/>
                <w:webHidden/>
              </w:rPr>
            </w:r>
            <w:r w:rsidR="00E910EE" w:rsidRPr="00332AB5">
              <w:rPr>
                <w:bCs/>
                <w:webHidden/>
              </w:rPr>
              <w:fldChar w:fldCharType="separate"/>
            </w:r>
            <w:r w:rsidR="005E6E46">
              <w:rPr>
                <w:bCs/>
                <w:webHidden/>
              </w:rPr>
              <w:t>73</w:t>
            </w:r>
            <w:r w:rsidR="00E910EE" w:rsidRPr="00332AB5">
              <w:rPr>
                <w:bCs/>
                <w:webHidden/>
              </w:rPr>
              <w:fldChar w:fldCharType="end"/>
            </w:r>
          </w:hyperlink>
        </w:p>
        <w:p w14:paraId="474BB601" w14:textId="547A0DD1" w:rsidR="00E910EE" w:rsidRPr="00332AB5" w:rsidRDefault="00310FA2">
          <w:pPr>
            <w:pStyle w:val="TOC2"/>
            <w:rPr>
              <w:rFonts w:asciiTheme="minorHAnsi" w:eastAsiaTheme="minorEastAsia" w:hAnsiTheme="minorHAnsi" w:cstheme="minorBidi"/>
              <w:kern w:val="2"/>
              <w:sz w:val="22"/>
              <w:szCs w:val="22"/>
              <w:lang w:eastAsia="hr-HR"/>
              <w14:ligatures w14:val="standardContextual"/>
            </w:rPr>
          </w:pPr>
          <w:hyperlink w:anchor="_Toc152595249" w:history="1">
            <w:r w:rsidR="00E910EE" w:rsidRPr="00332AB5">
              <w:rPr>
                <w:rStyle w:val="Hyperlink"/>
              </w:rPr>
              <w:t>8.1.</w:t>
            </w:r>
            <w:r w:rsidR="00E910EE" w:rsidRPr="00332AB5">
              <w:rPr>
                <w:rFonts w:asciiTheme="minorHAnsi" w:eastAsiaTheme="minorEastAsia" w:hAnsiTheme="minorHAnsi" w:cstheme="minorBidi"/>
                <w:kern w:val="2"/>
                <w:sz w:val="22"/>
                <w:szCs w:val="22"/>
                <w:lang w:eastAsia="hr-HR"/>
                <w14:ligatures w14:val="standardContextual"/>
              </w:rPr>
              <w:tab/>
            </w:r>
            <w:r w:rsidR="00E910EE" w:rsidRPr="00332AB5">
              <w:rPr>
                <w:rStyle w:val="Hyperlink"/>
              </w:rPr>
              <w:t>PROGRAM KONKURENTNOST I KOHEZIJA 2021. - 2027.</w:t>
            </w:r>
            <w:r w:rsidR="00E910EE" w:rsidRPr="00332AB5">
              <w:rPr>
                <w:webHidden/>
              </w:rPr>
              <w:tab/>
            </w:r>
            <w:r w:rsidR="00E910EE" w:rsidRPr="00332AB5">
              <w:rPr>
                <w:webHidden/>
              </w:rPr>
              <w:fldChar w:fldCharType="begin"/>
            </w:r>
            <w:r w:rsidR="00E910EE" w:rsidRPr="00332AB5">
              <w:rPr>
                <w:webHidden/>
              </w:rPr>
              <w:instrText xml:space="preserve"> PAGEREF _Toc152595249 \h </w:instrText>
            </w:r>
            <w:r w:rsidR="00E910EE" w:rsidRPr="00332AB5">
              <w:rPr>
                <w:webHidden/>
              </w:rPr>
            </w:r>
            <w:r w:rsidR="00E910EE" w:rsidRPr="00332AB5">
              <w:rPr>
                <w:webHidden/>
              </w:rPr>
              <w:fldChar w:fldCharType="separate"/>
            </w:r>
            <w:r w:rsidR="005E6E46">
              <w:rPr>
                <w:webHidden/>
              </w:rPr>
              <w:t>73</w:t>
            </w:r>
            <w:r w:rsidR="00E910EE" w:rsidRPr="00332AB5">
              <w:rPr>
                <w:webHidden/>
              </w:rPr>
              <w:fldChar w:fldCharType="end"/>
            </w:r>
          </w:hyperlink>
        </w:p>
        <w:p w14:paraId="3E921151" w14:textId="2B4CE1A5" w:rsidR="00E910EE" w:rsidRPr="00332AB5" w:rsidRDefault="00310FA2">
          <w:pPr>
            <w:pStyle w:val="TOC2"/>
            <w:rPr>
              <w:rFonts w:asciiTheme="minorHAnsi" w:eastAsiaTheme="minorEastAsia" w:hAnsiTheme="minorHAnsi" w:cstheme="minorBidi"/>
              <w:kern w:val="2"/>
              <w:sz w:val="22"/>
              <w:szCs w:val="22"/>
              <w:lang w:eastAsia="hr-HR"/>
              <w14:ligatures w14:val="standardContextual"/>
            </w:rPr>
          </w:pPr>
          <w:hyperlink w:anchor="_Toc152595250" w:history="1">
            <w:r w:rsidR="00E910EE" w:rsidRPr="00332AB5">
              <w:rPr>
                <w:rStyle w:val="Hyperlink"/>
              </w:rPr>
              <w:t>8.2.</w:t>
            </w:r>
            <w:r w:rsidR="00E910EE" w:rsidRPr="00332AB5">
              <w:rPr>
                <w:rFonts w:asciiTheme="minorHAnsi" w:eastAsiaTheme="minorEastAsia" w:hAnsiTheme="minorHAnsi" w:cstheme="minorBidi"/>
                <w:kern w:val="2"/>
                <w:sz w:val="22"/>
                <w:szCs w:val="22"/>
                <w:lang w:eastAsia="hr-HR"/>
                <w14:ligatures w14:val="standardContextual"/>
              </w:rPr>
              <w:tab/>
            </w:r>
            <w:r w:rsidR="00E910EE" w:rsidRPr="00332AB5">
              <w:rPr>
                <w:rStyle w:val="Hyperlink"/>
              </w:rPr>
              <w:t>PROGRAM UČINKOVITI LJUDSKI POTENCIJALI 2021. - 2027.</w:t>
            </w:r>
            <w:r w:rsidR="00E910EE" w:rsidRPr="00332AB5">
              <w:rPr>
                <w:webHidden/>
              </w:rPr>
              <w:tab/>
            </w:r>
            <w:r w:rsidR="00E910EE" w:rsidRPr="00332AB5">
              <w:rPr>
                <w:webHidden/>
              </w:rPr>
              <w:fldChar w:fldCharType="begin"/>
            </w:r>
            <w:r w:rsidR="00E910EE" w:rsidRPr="00332AB5">
              <w:rPr>
                <w:webHidden/>
              </w:rPr>
              <w:instrText xml:space="preserve"> PAGEREF _Toc152595250 \h </w:instrText>
            </w:r>
            <w:r w:rsidR="00E910EE" w:rsidRPr="00332AB5">
              <w:rPr>
                <w:webHidden/>
              </w:rPr>
            </w:r>
            <w:r w:rsidR="00E910EE" w:rsidRPr="00332AB5">
              <w:rPr>
                <w:webHidden/>
              </w:rPr>
              <w:fldChar w:fldCharType="separate"/>
            </w:r>
            <w:r w:rsidR="005E6E46">
              <w:rPr>
                <w:webHidden/>
              </w:rPr>
              <w:t>74</w:t>
            </w:r>
            <w:r w:rsidR="00E910EE" w:rsidRPr="00332AB5">
              <w:rPr>
                <w:webHidden/>
              </w:rPr>
              <w:fldChar w:fldCharType="end"/>
            </w:r>
          </w:hyperlink>
        </w:p>
        <w:p w14:paraId="04AF18CF" w14:textId="281AA880" w:rsidR="00E910EE" w:rsidRPr="00332AB5" w:rsidRDefault="00310FA2">
          <w:pPr>
            <w:pStyle w:val="TOC2"/>
            <w:rPr>
              <w:rFonts w:asciiTheme="minorHAnsi" w:eastAsiaTheme="minorEastAsia" w:hAnsiTheme="minorHAnsi" w:cstheme="minorBidi"/>
              <w:kern w:val="2"/>
              <w:sz w:val="22"/>
              <w:szCs w:val="22"/>
              <w:lang w:eastAsia="hr-HR"/>
              <w14:ligatures w14:val="standardContextual"/>
            </w:rPr>
          </w:pPr>
          <w:hyperlink w:anchor="_Toc152595251" w:history="1">
            <w:r w:rsidR="00E910EE" w:rsidRPr="00332AB5">
              <w:rPr>
                <w:rStyle w:val="Hyperlink"/>
              </w:rPr>
              <w:t>8.3.</w:t>
            </w:r>
            <w:r w:rsidR="00E910EE" w:rsidRPr="00332AB5">
              <w:rPr>
                <w:rFonts w:asciiTheme="minorHAnsi" w:eastAsiaTheme="minorEastAsia" w:hAnsiTheme="minorHAnsi" w:cstheme="minorBidi"/>
                <w:kern w:val="2"/>
                <w:sz w:val="22"/>
                <w:szCs w:val="22"/>
                <w:lang w:eastAsia="hr-HR"/>
                <w14:ligatures w14:val="standardContextual"/>
              </w:rPr>
              <w:tab/>
            </w:r>
            <w:r w:rsidR="00E910EE" w:rsidRPr="00332AB5">
              <w:rPr>
                <w:rStyle w:val="Hyperlink"/>
              </w:rPr>
              <w:t>INTEGRIRANI TERITORIJALNI PROGRAM 2021. - 2027.</w:t>
            </w:r>
            <w:r w:rsidR="00E910EE" w:rsidRPr="00332AB5">
              <w:rPr>
                <w:webHidden/>
              </w:rPr>
              <w:tab/>
            </w:r>
            <w:r w:rsidR="00E910EE" w:rsidRPr="00332AB5">
              <w:rPr>
                <w:webHidden/>
              </w:rPr>
              <w:fldChar w:fldCharType="begin"/>
            </w:r>
            <w:r w:rsidR="00E910EE" w:rsidRPr="00332AB5">
              <w:rPr>
                <w:webHidden/>
              </w:rPr>
              <w:instrText xml:space="preserve"> PAGEREF _Toc152595251 \h </w:instrText>
            </w:r>
            <w:r w:rsidR="00E910EE" w:rsidRPr="00332AB5">
              <w:rPr>
                <w:webHidden/>
              </w:rPr>
            </w:r>
            <w:r w:rsidR="00E910EE" w:rsidRPr="00332AB5">
              <w:rPr>
                <w:webHidden/>
              </w:rPr>
              <w:fldChar w:fldCharType="separate"/>
            </w:r>
            <w:r w:rsidR="005E6E46">
              <w:rPr>
                <w:webHidden/>
              </w:rPr>
              <w:t>75</w:t>
            </w:r>
            <w:r w:rsidR="00E910EE" w:rsidRPr="00332AB5">
              <w:rPr>
                <w:webHidden/>
              </w:rPr>
              <w:fldChar w:fldCharType="end"/>
            </w:r>
          </w:hyperlink>
        </w:p>
        <w:p w14:paraId="4C578282" w14:textId="3614371F" w:rsidR="00E910EE" w:rsidRPr="00332AB5" w:rsidRDefault="00310FA2">
          <w:pPr>
            <w:pStyle w:val="TOC2"/>
            <w:rPr>
              <w:rFonts w:asciiTheme="minorHAnsi" w:eastAsiaTheme="minorEastAsia" w:hAnsiTheme="minorHAnsi" w:cstheme="minorBidi"/>
              <w:kern w:val="2"/>
              <w:sz w:val="22"/>
              <w:szCs w:val="22"/>
              <w:lang w:eastAsia="hr-HR"/>
              <w14:ligatures w14:val="standardContextual"/>
            </w:rPr>
          </w:pPr>
          <w:hyperlink w:anchor="_Toc152595252" w:history="1">
            <w:r w:rsidR="00E910EE" w:rsidRPr="00332AB5">
              <w:rPr>
                <w:rStyle w:val="Hyperlink"/>
              </w:rPr>
              <w:t>8.4.</w:t>
            </w:r>
            <w:r w:rsidR="00E910EE" w:rsidRPr="00332AB5">
              <w:rPr>
                <w:rFonts w:asciiTheme="minorHAnsi" w:eastAsiaTheme="minorEastAsia" w:hAnsiTheme="minorHAnsi" w:cstheme="minorBidi"/>
                <w:kern w:val="2"/>
                <w:sz w:val="22"/>
                <w:szCs w:val="22"/>
                <w:lang w:eastAsia="hr-HR"/>
                <w14:ligatures w14:val="standardContextual"/>
              </w:rPr>
              <w:tab/>
            </w:r>
            <w:r w:rsidR="00E910EE" w:rsidRPr="00332AB5">
              <w:rPr>
                <w:rStyle w:val="Hyperlink"/>
              </w:rPr>
              <w:t>STRATEŠKI PLAN ZAJEDNIČKE POLJOPRIVREDNE POLITIKE 2023. – 2027.</w:t>
            </w:r>
            <w:r w:rsidR="00E910EE" w:rsidRPr="00332AB5">
              <w:rPr>
                <w:webHidden/>
              </w:rPr>
              <w:tab/>
            </w:r>
            <w:r w:rsidR="00E910EE" w:rsidRPr="00332AB5">
              <w:rPr>
                <w:webHidden/>
              </w:rPr>
              <w:fldChar w:fldCharType="begin"/>
            </w:r>
            <w:r w:rsidR="00E910EE" w:rsidRPr="00332AB5">
              <w:rPr>
                <w:webHidden/>
              </w:rPr>
              <w:instrText xml:space="preserve"> PAGEREF _Toc152595252 \h </w:instrText>
            </w:r>
            <w:r w:rsidR="00E910EE" w:rsidRPr="00332AB5">
              <w:rPr>
                <w:webHidden/>
              </w:rPr>
            </w:r>
            <w:r w:rsidR="00E910EE" w:rsidRPr="00332AB5">
              <w:rPr>
                <w:webHidden/>
              </w:rPr>
              <w:fldChar w:fldCharType="separate"/>
            </w:r>
            <w:r w:rsidR="005E6E46">
              <w:rPr>
                <w:webHidden/>
              </w:rPr>
              <w:t>75</w:t>
            </w:r>
            <w:r w:rsidR="00E910EE" w:rsidRPr="00332AB5">
              <w:rPr>
                <w:webHidden/>
              </w:rPr>
              <w:fldChar w:fldCharType="end"/>
            </w:r>
          </w:hyperlink>
        </w:p>
        <w:p w14:paraId="54368FBD" w14:textId="7153508F" w:rsidR="00E910EE" w:rsidRPr="00332AB5" w:rsidRDefault="00310FA2">
          <w:pPr>
            <w:pStyle w:val="TOC2"/>
            <w:rPr>
              <w:rFonts w:asciiTheme="minorHAnsi" w:eastAsiaTheme="minorEastAsia" w:hAnsiTheme="minorHAnsi" w:cstheme="minorBidi"/>
              <w:kern w:val="2"/>
              <w:sz w:val="22"/>
              <w:szCs w:val="22"/>
              <w:lang w:eastAsia="hr-HR"/>
              <w14:ligatures w14:val="standardContextual"/>
            </w:rPr>
          </w:pPr>
          <w:hyperlink w:anchor="_Toc152595253" w:history="1">
            <w:r w:rsidR="00E910EE" w:rsidRPr="00332AB5">
              <w:rPr>
                <w:rStyle w:val="Hyperlink"/>
              </w:rPr>
              <w:t>8.5.</w:t>
            </w:r>
            <w:r w:rsidR="00E910EE" w:rsidRPr="00332AB5">
              <w:rPr>
                <w:rFonts w:asciiTheme="minorHAnsi" w:eastAsiaTheme="minorEastAsia" w:hAnsiTheme="minorHAnsi" w:cstheme="minorBidi"/>
                <w:kern w:val="2"/>
                <w:sz w:val="22"/>
                <w:szCs w:val="22"/>
                <w:lang w:eastAsia="hr-HR"/>
                <w14:ligatures w14:val="standardContextual"/>
              </w:rPr>
              <w:tab/>
            </w:r>
            <w:r w:rsidR="00E910EE" w:rsidRPr="00332AB5">
              <w:rPr>
                <w:rStyle w:val="Hyperlink"/>
              </w:rPr>
              <w:t>PROGRAM ZA RIBARSTVO I AKVAKULTURU REPUBLIKE HRVATSKE ZA PROGRAMSKO RAZDOBLJE 2021. - 2027.</w:t>
            </w:r>
            <w:r w:rsidR="00E910EE" w:rsidRPr="00332AB5">
              <w:rPr>
                <w:webHidden/>
              </w:rPr>
              <w:tab/>
            </w:r>
            <w:r w:rsidR="00E910EE" w:rsidRPr="00332AB5">
              <w:rPr>
                <w:webHidden/>
              </w:rPr>
              <w:fldChar w:fldCharType="begin"/>
            </w:r>
            <w:r w:rsidR="00E910EE" w:rsidRPr="00332AB5">
              <w:rPr>
                <w:webHidden/>
              </w:rPr>
              <w:instrText xml:space="preserve"> PAGEREF _Toc152595253 \h </w:instrText>
            </w:r>
            <w:r w:rsidR="00E910EE" w:rsidRPr="00332AB5">
              <w:rPr>
                <w:webHidden/>
              </w:rPr>
            </w:r>
            <w:r w:rsidR="00E910EE" w:rsidRPr="00332AB5">
              <w:rPr>
                <w:webHidden/>
              </w:rPr>
              <w:fldChar w:fldCharType="separate"/>
            </w:r>
            <w:r w:rsidR="005E6E46">
              <w:rPr>
                <w:webHidden/>
              </w:rPr>
              <w:t>76</w:t>
            </w:r>
            <w:r w:rsidR="00E910EE" w:rsidRPr="00332AB5">
              <w:rPr>
                <w:webHidden/>
              </w:rPr>
              <w:fldChar w:fldCharType="end"/>
            </w:r>
          </w:hyperlink>
        </w:p>
        <w:p w14:paraId="4C352FAF" w14:textId="3DF56044" w:rsidR="00E910EE" w:rsidRPr="00332AB5" w:rsidRDefault="00310FA2">
          <w:pPr>
            <w:pStyle w:val="TOC2"/>
            <w:rPr>
              <w:rFonts w:asciiTheme="minorHAnsi" w:eastAsiaTheme="minorEastAsia" w:hAnsiTheme="minorHAnsi" w:cstheme="minorBidi"/>
              <w:kern w:val="2"/>
              <w:sz w:val="22"/>
              <w:szCs w:val="22"/>
              <w:lang w:eastAsia="hr-HR"/>
              <w14:ligatures w14:val="standardContextual"/>
            </w:rPr>
          </w:pPr>
          <w:hyperlink w:anchor="_Toc152595254" w:history="1">
            <w:r w:rsidR="00E910EE" w:rsidRPr="00332AB5">
              <w:rPr>
                <w:rStyle w:val="Hyperlink"/>
              </w:rPr>
              <w:t>8.6.</w:t>
            </w:r>
            <w:r w:rsidR="00E910EE" w:rsidRPr="00332AB5">
              <w:rPr>
                <w:rFonts w:asciiTheme="minorHAnsi" w:eastAsiaTheme="minorEastAsia" w:hAnsiTheme="minorHAnsi" w:cstheme="minorBidi"/>
                <w:kern w:val="2"/>
                <w:sz w:val="22"/>
                <w:szCs w:val="22"/>
                <w:lang w:eastAsia="hr-HR"/>
                <w14:ligatures w14:val="standardContextual"/>
              </w:rPr>
              <w:tab/>
            </w:r>
            <w:r w:rsidR="00E910EE" w:rsidRPr="00332AB5">
              <w:rPr>
                <w:rStyle w:val="Hyperlink"/>
              </w:rPr>
              <w:t>PROGRAM FONDA ZA AZIL, MIGRACIJE I INTEGRACIJU 2021. - 2027.</w:t>
            </w:r>
            <w:r w:rsidR="00E910EE" w:rsidRPr="00332AB5">
              <w:rPr>
                <w:webHidden/>
              </w:rPr>
              <w:tab/>
            </w:r>
            <w:r w:rsidR="00E910EE" w:rsidRPr="00332AB5">
              <w:rPr>
                <w:webHidden/>
              </w:rPr>
              <w:fldChar w:fldCharType="begin"/>
            </w:r>
            <w:r w:rsidR="00E910EE" w:rsidRPr="00332AB5">
              <w:rPr>
                <w:webHidden/>
              </w:rPr>
              <w:instrText xml:space="preserve"> PAGEREF _Toc152595254 \h </w:instrText>
            </w:r>
            <w:r w:rsidR="00E910EE" w:rsidRPr="00332AB5">
              <w:rPr>
                <w:webHidden/>
              </w:rPr>
            </w:r>
            <w:r w:rsidR="00E910EE" w:rsidRPr="00332AB5">
              <w:rPr>
                <w:webHidden/>
              </w:rPr>
              <w:fldChar w:fldCharType="separate"/>
            </w:r>
            <w:r w:rsidR="005E6E46">
              <w:rPr>
                <w:webHidden/>
              </w:rPr>
              <w:t>77</w:t>
            </w:r>
            <w:r w:rsidR="00E910EE" w:rsidRPr="00332AB5">
              <w:rPr>
                <w:webHidden/>
              </w:rPr>
              <w:fldChar w:fldCharType="end"/>
            </w:r>
          </w:hyperlink>
        </w:p>
        <w:p w14:paraId="2F73273D" w14:textId="4965609C" w:rsidR="00E910EE" w:rsidRPr="00332AB5" w:rsidRDefault="00310FA2">
          <w:pPr>
            <w:pStyle w:val="TOC2"/>
            <w:rPr>
              <w:rFonts w:asciiTheme="minorHAnsi" w:eastAsiaTheme="minorEastAsia" w:hAnsiTheme="minorHAnsi" w:cstheme="minorBidi"/>
              <w:kern w:val="2"/>
              <w:sz w:val="22"/>
              <w:szCs w:val="22"/>
              <w:lang w:eastAsia="hr-HR"/>
              <w14:ligatures w14:val="standardContextual"/>
            </w:rPr>
          </w:pPr>
          <w:hyperlink w:anchor="_Toc152595255" w:history="1">
            <w:r w:rsidR="00E910EE" w:rsidRPr="00332AB5">
              <w:rPr>
                <w:rStyle w:val="Hyperlink"/>
              </w:rPr>
              <w:t>8.7.</w:t>
            </w:r>
            <w:r w:rsidR="00E910EE" w:rsidRPr="00332AB5">
              <w:rPr>
                <w:rFonts w:asciiTheme="minorHAnsi" w:eastAsiaTheme="minorEastAsia" w:hAnsiTheme="minorHAnsi" w:cstheme="minorBidi"/>
                <w:kern w:val="2"/>
                <w:sz w:val="22"/>
                <w:szCs w:val="22"/>
                <w:lang w:eastAsia="hr-HR"/>
                <w14:ligatures w14:val="standardContextual"/>
              </w:rPr>
              <w:tab/>
            </w:r>
            <w:r w:rsidR="00E910EE" w:rsidRPr="00332AB5">
              <w:rPr>
                <w:rStyle w:val="Hyperlink"/>
              </w:rPr>
              <w:t>PROGRAM FONDA ZA UNUTARNJU SIGURNOST 2021. - 2027.</w:t>
            </w:r>
            <w:r w:rsidR="00E910EE" w:rsidRPr="00332AB5">
              <w:rPr>
                <w:webHidden/>
              </w:rPr>
              <w:tab/>
            </w:r>
            <w:r w:rsidR="00E910EE" w:rsidRPr="00332AB5">
              <w:rPr>
                <w:webHidden/>
              </w:rPr>
              <w:fldChar w:fldCharType="begin"/>
            </w:r>
            <w:r w:rsidR="00E910EE" w:rsidRPr="00332AB5">
              <w:rPr>
                <w:webHidden/>
              </w:rPr>
              <w:instrText xml:space="preserve"> PAGEREF _Toc152595255 \h </w:instrText>
            </w:r>
            <w:r w:rsidR="00E910EE" w:rsidRPr="00332AB5">
              <w:rPr>
                <w:webHidden/>
              </w:rPr>
            </w:r>
            <w:r w:rsidR="00E910EE" w:rsidRPr="00332AB5">
              <w:rPr>
                <w:webHidden/>
              </w:rPr>
              <w:fldChar w:fldCharType="separate"/>
            </w:r>
            <w:r w:rsidR="005E6E46">
              <w:rPr>
                <w:webHidden/>
              </w:rPr>
              <w:t>78</w:t>
            </w:r>
            <w:r w:rsidR="00E910EE" w:rsidRPr="00332AB5">
              <w:rPr>
                <w:webHidden/>
              </w:rPr>
              <w:fldChar w:fldCharType="end"/>
            </w:r>
          </w:hyperlink>
        </w:p>
        <w:p w14:paraId="6FB520C1" w14:textId="720A31FD" w:rsidR="00E910EE" w:rsidRPr="00332AB5" w:rsidRDefault="00310FA2">
          <w:pPr>
            <w:pStyle w:val="TOC2"/>
            <w:rPr>
              <w:rFonts w:asciiTheme="minorHAnsi" w:eastAsiaTheme="minorEastAsia" w:hAnsiTheme="minorHAnsi" w:cstheme="minorBidi"/>
              <w:kern w:val="2"/>
              <w:sz w:val="22"/>
              <w:szCs w:val="22"/>
              <w:lang w:eastAsia="hr-HR"/>
              <w14:ligatures w14:val="standardContextual"/>
            </w:rPr>
          </w:pPr>
          <w:hyperlink w:anchor="_Toc152595256" w:history="1">
            <w:r w:rsidR="00E910EE" w:rsidRPr="00332AB5">
              <w:rPr>
                <w:rStyle w:val="Hyperlink"/>
              </w:rPr>
              <w:t>8.8.</w:t>
            </w:r>
            <w:r w:rsidR="00E910EE" w:rsidRPr="00332AB5">
              <w:rPr>
                <w:rFonts w:asciiTheme="minorHAnsi" w:eastAsiaTheme="minorEastAsia" w:hAnsiTheme="minorHAnsi" w:cstheme="minorBidi"/>
                <w:kern w:val="2"/>
                <w:sz w:val="22"/>
                <w:szCs w:val="22"/>
                <w:lang w:eastAsia="hr-HR"/>
                <w14:ligatures w14:val="standardContextual"/>
              </w:rPr>
              <w:tab/>
            </w:r>
            <w:r w:rsidR="00E910EE" w:rsidRPr="00332AB5">
              <w:rPr>
                <w:rStyle w:val="Hyperlink"/>
              </w:rPr>
              <w:t>PROGRAM FONDA ZA INTEGRIRANO UPRAVLJANJE GRANICAMA – INSTRUMENTA ZA FINANCIJSKU POTPORU U PODRUČJU UPRAVLJANJA GRANICAMA I VIZNE POLITIKE 2021. – 2027.</w:t>
            </w:r>
            <w:r w:rsidR="00E910EE" w:rsidRPr="00332AB5">
              <w:rPr>
                <w:webHidden/>
              </w:rPr>
              <w:tab/>
            </w:r>
            <w:r w:rsidR="00E910EE" w:rsidRPr="00332AB5">
              <w:rPr>
                <w:webHidden/>
              </w:rPr>
              <w:fldChar w:fldCharType="begin"/>
            </w:r>
            <w:r w:rsidR="00E910EE" w:rsidRPr="00332AB5">
              <w:rPr>
                <w:webHidden/>
              </w:rPr>
              <w:instrText xml:space="preserve"> PAGEREF _Toc152595256 \h </w:instrText>
            </w:r>
            <w:r w:rsidR="00E910EE" w:rsidRPr="00332AB5">
              <w:rPr>
                <w:webHidden/>
              </w:rPr>
            </w:r>
            <w:r w:rsidR="00E910EE" w:rsidRPr="00332AB5">
              <w:rPr>
                <w:webHidden/>
              </w:rPr>
              <w:fldChar w:fldCharType="separate"/>
            </w:r>
            <w:r w:rsidR="005E6E46">
              <w:rPr>
                <w:webHidden/>
              </w:rPr>
              <w:t>78</w:t>
            </w:r>
            <w:r w:rsidR="00E910EE" w:rsidRPr="00332AB5">
              <w:rPr>
                <w:webHidden/>
              </w:rPr>
              <w:fldChar w:fldCharType="end"/>
            </w:r>
          </w:hyperlink>
        </w:p>
        <w:p w14:paraId="12B684E7" w14:textId="2A5FC686" w:rsidR="00E910EE" w:rsidRPr="00332AB5" w:rsidRDefault="00310FA2">
          <w:pPr>
            <w:pStyle w:val="TOC2"/>
            <w:rPr>
              <w:rFonts w:asciiTheme="minorHAnsi" w:eastAsiaTheme="minorEastAsia" w:hAnsiTheme="minorHAnsi" w:cstheme="minorBidi"/>
              <w:kern w:val="2"/>
              <w:sz w:val="22"/>
              <w:szCs w:val="22"/>
              <w:lang w:eastAsia="hr-HR"/>
              <w14:ligatures w14:val="standardContextual"/>
            </w:rPr>
          </w:pPr>
          <w:hyperlink w:anchor="_Toc152595257" w:history="1">
            <w:r w:rsidR="00E910EE" w:rsidRPr="00332AB5">
              <w:rPr>
                <w:rStyle w:val="Hyperlink"/>
              </w:rPr>
              <w:t>8.9.</w:t>
            </w:r>
            <w:r w:rsidR="00E910EE" w:rsidRPr="00332AB5">
              <w:rPr>
                <w:rFonts w:asciiTheme="minorHAnsi" w:eastAsiaTheme="minorEastAsia" w:hAnsiTheme="minorHAnsi" w:cstheme="minorBidi"/>
                <w:kern w:val="2"/>
                <w:sz w:val="22"/>
                <w:szCs w:val="22"/>
                <w:lang w:eastAsia="hr-HR"/>
                <w14:ligatures w14:val="standardContextual"/>
              </w:rPr>
              <w:tab/>
            </w:r>
            <w:r w:rsidR="00E910EE" w:rsidRPr="00332AB5">
              <w:rPr>
                <w:rStyle w:val="Hyperlink"/>
              </w:rPr>
              <w:t>PROGRAMI TERITORIJALNE SURADNJE ZA FINANCIJSKO RAZDOBLJE 2021. – 2027.</w:t>
            </w:r>
            <w:r w:rsidR="00E910EE" w:rsidRPr="00332AB5">
              <w:rPr>
                <w:webHidden/>
              </w:rPr>
              <w:tab/>
            </w:r>
            <w:r w:rsidR="00E910EE" w:rsidRPr="00332AB5">
              <w:rPr>
                <w:webHidden/>
              </w:rPr>
              <w:fldChar w:fldCharType="begin"/>
            </w:r>
            <w:r w:rsidR="00E910EE" w:rsidRPr="00332AB5">
              <w:rPr>
                <w:webHidden/>
              </w:rPr>
              <w:instrText xml:space="preserve"> PAGEREF _Toc152595257 \h </w:instrText>
            </w:r>
            <w:r w:rsidR="00E910EE" w:rsidRPr="00332AB5">
              <w:rPr>
                <w:webHidden/>
              </w:rPr>
            </w:r>
            <w:r w:rsidR="00E910EE" w:rsidRPr="00332AB5">
              <w:rPr>
                <w:webHidden/>
              </w:rPr>
              <w:fldChar w:fldCharType="separate"/>
            </w:r>
            <w:r w:rsidR="005E6E46">
              <w:rPr>
                <w:webHidden/>
              </w:rPr>
              <w:t>78</w:t>
            </w:r>
            <w:r w:rsidR="00E910EE" w:rsidRPr="00332AB5">
              <w:rPr>
                <w:webHidden/>
              </w:rPr>
              <w:fldChar w:fldCharType="end"/>
            </w:r>
          </w:hyperlink>
        </w:p>
        <w:p w14:paraId="7F153DE6" w14:textId="09E07920" w:rsidR="00E910EE" w:rsidRPr="00332AB5" w:rsidRDefault="00310FA2">
          <w:pPr>
            <w:pStyle w:val="TOC3"/>
            <w:rPr>
              <w:rFonts w:asciiTheme="minorHAnsi" w:eastAsiaTheme="minorEastAsia" w:hAnsiTheme="minorHAnsi" w:cstheme="minorBidi"/>
              <w:bCs/>
              <w:kern w:val="2"/>
              <w:sz w:val="22"/>
              <w:szCs w:val="22"/>
              <w14:ligatures w14:val="standardContextual"/>
            </w:rPr>
          </w:pPr>
          <w:hyperlink w:anchor="_Toc152595258" w:history="1">
            <w:r w:rsidR="00E910EE" w:rsidRPr="00332AB5">
              <w:rPr>
                <w:rStyle w:val="Hyperlink"/>
                <w:bCs/>
              </w:rPr>
              <w:t>8.9.1.</w:t>
            </w:r>
            <w:r w:rsidR="00E910EE" w:rsidRPr="00332AB5">
              <w:rPr>
                <w:rFonts w:asciiTheme="minorHAnsi" w:eastAsiaTheme="minorEastAsia" w:hAnsiTheme="minorHAnsi" w:cstheme="minorBidi"/>
                <w:bCs/>
                <w:kern w:val="2"/>
                <w:sz w:val="22"/>
                <w:szCs w:val="22"/>
                <w14:ligatures w14:val="standardContextual"/>
              </w:rPr>
              <w:tab/>
            </w:r>
            <w:r w:rsidR="00E910EE" w:rsidRPr="00332AB5">
              <w:rPr>
                <w:rStyle w:val="Hyperlink"/>
                <w:bCs/>
              </w:rPr>
              <w:t xml:space="preserve">Interreg IPA program prekogranične suradnje </w:t>
            </w:r>
            <w:r w:rsidR="00E910EE" w:rsidRPr="00332AB5">
              <w:rPr>
                <w:rStyle w:val="Hyperlink"/>
                <w:rFonts w:eastAsia="Calibri"/>
                <w:bCs/>
              </w:rPr>
              <w:t>Hrvatska – Bosna i  Hercegovina – Crna Gora</w:t>
            </w:r>
            <w:r w:rsidR="00E910EE" w:rsidRPr="00332AB5">
              <w:rPr>
                <w:rStyle w:val="Hyperlink"/>
                <w:bCs/>
              </w:rPr>
              <w:t xml:space="preserve"> 2021. – 2027.</w:t>
            </w:r>
            <w:r w:rsidR="00E910EE" w:rsidRPr="00332AB5">
              <w:rPr>
                <w:bCs/>
                <w:webHidden/>
              </w:rPr>
              <w:tab/>
            </w:r>
            <w:r w:rsidR="00E910EE" w:rsidRPr="00332AB5">
              <w:rPr>
                <w:bCs/>
                <w:webHidden/>
              </w:rPr>
              <w:fldChar w:fldCharType="begin"/>
            </w:r>
            <w:r w:rsidR="00E910EE" w:rsidRPr="00332AB5">
              <w:rPr>
                <w:bCs/>
                <w:webHidden/>
              </w:rPr>
              <w:instrText xml:space="preserve"> PAGEREF _Toc152595258 \h </w:instrText>
            </w:r>
            <w:r w:rsidR="00E910EE" w:rsidRPr="00332AB5">
              <w:rPr>
                <w:bCs/>
                <w:webHidden/>
              </w:rPr>
            </w:r>
            <w:r w:rsidR="00E910EE" w:rsidRPr="00332AB5">
              <w:rPr>
                <w:bCs/>
                <w:webHidden/>
              </w:rPr>
              <w:fldChar w:fldCharType="separate"/>
            </w:r>
            <w:r w:rsidR="005E6E46">
              <w:rPr>
                <w:bCs/>
                <w:webHidden/>
              </w:rPr>
              <w:t>78</w:t>
            </w:r>
            <w:r w:rsidR="00E910EE" w:rsidRPr="00332AB5">
              <w:rPr>
                <w:bCs/>
                <w:webHidden/>
              </w:rPr>
              <w:fldChar w:fldCharType="end"/>
            </w:r>
          </w:hyperlink>
        </w:p>
        <w:p w14:paraId="6CF4924B" w14:textId="4D9A1B6F" w:rsidR="00E910EE" w:rsidRPr="00332AB5" w:rsidRDefault="00310FA2">
          <w:pPr>
            <w:pStyle w:val="TOC3"/>
            <w:rPr>
              <w:rFonts w:asciiTheme="minorHAnsi" w:eastAsiaTheme="minorEastAsia" w:hAnsiTheme="minorHAnsi" w:cstheme="minorBidi"/>
              <w:bCs/>
              <w:kern w:val="2"/>
              <w:sz w:val="22"/>
              <w:szCs w:val="22"/>
              <w14:ligatures w14:val="standardContextual"/>
            </w:rPr>
          </w:pPr>
          <w:hyperlink w:anchor="_Toc152595259" w:history="1">
            <w:r w:rsidR="00E910EE" w:rsidRPr="00332AB5">
              <w:rPr>
                <w:rStyle w:val="Hyperlink"/>
                <w:bCs/>
              </w:rPr>
              <w:t>8.9.2.</w:t>
            </w:r>
            <w:r w:rsidR="00E910EE" w:rsidRPr="00332AB5">
              <w:rPr>
                <w:rFonts w:asciiTheme="minorHAnsi" w:eastAsiaTheme="minorEastAsia" w:hAnsiTheme="minorHAnsi" w:cstheme="minorBidi"/>
                <w:bCs/>
                <w:kern w:val="2"/>
                <w:sz w:val="22"/>
                <w:szCs w:val="22"/>
                <w14:ligatures w14:val="standardContextual"/>
              </w:rPr>
              <w:tab/>
            </w:r>
            <w:r w:rsidR="00E910EE" w:rsidRPr="00332AB5">
              <w:rPr>
                <w:rStyle w:val="Hyperlink"/>
                <w:bCs/>
              </w:rPr>
              <w:t>Interreg IPA program prekogranične suradnje Hrvatska – Srbija 2021. –  2027.</w:t>
            </w:r>
            <w:r w:rsidR="00E910EE" w:rsidRPr="00332AB5">
              <w:rPr>
                <w:bCs/>
                <w:webHidden/>
              </w:rPr>
              <w:tab/>
            </w:r>
            <w:r w:rsidR="00E910EE" w:rsidRPr="00332AB5">
              <w:rPr>
                <w:bCs/>
                <w:webHidden/>
              </w:rPr>
              <w:fldChar w:fldCharType="begin"/>
            </w:r>
            <w:r w:rsidR="00E910EE" w:rsidRPr="00332AB5">
              <w:rPr>
                <w:bCs/>
                <w:webHidden/>
              </w:rPr>
              <w:instrText xml:space="preserve"> PAGEREF _Toc152595259 \h </w:instrText>
            </w:r>
            <w:r w:rsidR="00E910EE" w:rsidRPr="00332AB5">
              <w:rPr>
                <w:bCs/>
                <w:webHidden/>
              </w:rPr>
            </w:r>
            <w:r w:rsidR="00E910EE" w:rsidRPr="00332AB5">
              <w:rPr>
                <w:bCs/>
                <w:webHidden/>
              </w:rPr>
              <w:fldChar w:fldCharType="separate"/>
            </w:r>
            <w:r w:rsidR="005E6E46">
              <w:rPr>
                <w:bCs/>
                <w:webHidden/>
              </w:rPr>
              <w:t>79</w:t>
            </w:r>
            <w:r w:rsidR="00E910EE" w:rsidRPr="00332AB5">
              <w:rPr>
                <w:bCs/>
                <w:webHidden/>
              </w:rPr>
              <w:fldChar w:fldCharType="end"/>
            </w:r>
          </w:hyperlink>
        </w:p>
        <w:p w14:paraId="7D9D3D41" w14:textId="2C3991CA" w:rsidR="00E910EE" w:rsidRPr="00332AB5" w:rsidRDefault="00310FA2">
          <w:pPr>
            <w:pStyle w:val="TOC3"/>
            <w:rPr>
              <w:rFonts w:asciiTheme="minorHAnsi" w:eastAsiaTheme="minorEastAsia" w:hAnsiTheme="minorHAnsi" w:cstheme="minorBidi"/>
              <w:bCs/>
              <w:kern w:val="2"/>
              <w:sz w:val="22"/>
              <w:szCs w:val="22"/>
              <w14:ligatures w14:val="standardContextual"/>
            </w:rPr>
          </w:pPr>
          <w:hyperlink w:anchor="_Toc152595260" w:history="1">
            <w:r w:rsidR="00E910EE" w:rsidRPr="00332AB5">
              <w:rPr>
                <w:rStyle w:val="Hyperlink"/>
                <w:bCs/>
              </w:rPr>
              <w:t>8.9.3.</w:t>
            </w:r>
            <w:r w:rsidR="00E910EE" w:rsidRPr="00332AB5">
              <w:rPr>
                <w:rFonts w:asciiTheme="minorHAnsi" w:eastAsiaTheme="minorEastAsia" w:hAnsiTheme="minorHAnsi" w:cstheme="minorBidi"/>
                <w:bCs/>
                <w:kern w:val="2"/>
                <w:sz w:val="22"/>
                <w:szCs w:val="22"/>
                <w14:ligatures w14:val="standardContextual"/>
              </w:rPr>
              <w:tab/>
            </w:r>
            <w:r w:rsidR="00E910EE" w:rsidRPr="00332AB5">
              <w:rPr>
                <w:rStyle w:val="Hyperlink"/>
                <w:bCs/>
              </w:rPr>
              <w:t>Program prekogranične suradnje Interreg VI-A Italija – Hrvatska 2021. –  2027.</w:t>
            </w:r>
            <w:r w:rsidR="00E910EE" w:rsidRPr="00332AB5">
              <w:rPr>
                <w:bCs/>
                <w:webHidden/>
              </w:rPr>
              <w:tab/>
            </w:r>
            <w:r w:rsidR="00E910EE" w:rsidRPr="00332AB5">
              <w:rPr>
                <w:bCs/>
                <w:webHidden/>
              </w:rPr>
              <w:fldChar w:fldCharType="begin"/>
            </w:r>
            <w:r w:rsidR="00E910EE" w:rsidRPr="00332AB5">
              <w:rPr>
                <w:bCs/>
                <w:webHidden/>
              </w:rPr>
              <w:instrText xml:space="preserve"> PAGEREF _Toc152595260 \h </w:instrText>
            </w:r>
            <w:r w:rsidR="00E910EE" w:rsidRPr="00332AB5">
              <w:rPr>
                <w:bCs/>
                <w:webHidden/>
              </w:rPr>
            </w:r>
            <w:r w:rsidR="00E910EE" w:rsidRPr="00332AB5">
              <w:rPr>
                <w:bCs/>
                <w:webHidden/>
              </w:rPr>
              <w:fldChar w:fldCharType="separate"/>
            </w:r>
            <w:r w:rsidR="005E6E46">
              <w:rPr>
                <w:bCs/>
                <w:webHidden/>
              </w:rPr>
              <w:t>79</w:t>
            </w:r>
            <w:r w:rsidR="00E910EE" w:rsidRPr="00332AB5">
              <w:rPr>
                <w:bCs/>
                <w:webHidden/>
              </w:rPr>
              <w:fldChar w:fldCharType="end"/>
            </w:r>
          </w:hyperlink>
        </w:p>
        <w:p w14:paraId="1443EA1E" w14:textId="43AB9127" w:rsidR="00E910EE" w:rsidRPr="00332AB5" w:rsidRDefault="00310FA2">
          <w:pPr>
            <w:pStyle w:val="TOC3"/>
            <w:rPr>
              <w:rFonts w:asciiTheme="minorHAnsi" w:eastAsiaTheme="minorEastAsia" w:hAnsiTheme="minorHAnsi" w:cstheme="minorBidi"/>
              <w:bCs/>
              <w:kern w:val="2"/>
              <w:sz w:val="22"/>
              <w:szCs w:val="22"/>
              <w14:ligatures w14:val="standardContextual"/>
            </w:rPr>
          </w:pPr>
          <w:hyperlink w:anchor="_Toc152595261" w:history="1">
            <w:r w:rsidR="00E910EE" w:rsidRPr="00332AB5">
              <w:rPr>
                <w:rStyle w:val="Hyperlink"/>
                <w:bCs/>
              </w:rPr>
              <w:t>8.9.4.</w:t>
            </w:r>
            <w:r w:rsidR="00E910EE" w:rsidRPr="00332AB5">
              <w:rPr>
                <w:rFonts w:asciiTheme="minorHAnsi" w:eastAsiaTheme="minorEastAsia" w:hAnsiTheme="minorHAnsi" w:cstheme="minorBidi"/>
                <w:bCs/>
                <w:kern w:val="2"/>
                <w:sz w:val="22"/>
                <w:szCs w:val="22"/>
                <w14:ligatures w14:val="standardContextual"/>
              </w:rPr>
              <w:tab/>
            </w:r>
            <w:r w:rsidR="00E910EE" w:rsidRPr="00332AB5">
              <w:rPr>
                <w:rStyle w:val="Hyperlink"/>
                <w:bCs/>
              </w:rPr>
              <w:t>Program prekogranične suradnje Interreg VI-A Slovenija – Hrvatska 2021. – 2027.</w:t>
            </w:r>
            <w:r w:rsidR="00E910EE" w:rsidRPr="00332AB5">
              <w:rPr>
                <w:bCs/>
                <w:webHidden/>
              </w:rPr>
              <w:tab/>
            </w:r>
            <w:r w:rsidR="00E910EE" w:rsidRPr="00332AB5">
              <w:rPr>
                <w:bCs/>
                <w:webHidden/>
              </w:rPr>
              <w:fldChar w:fldCharType="begin"/>
            </w:r>
            <w:r w:rsidR="00E910EE" w:rsidRPr="00332AB5">
              <w:rPr>
                <w:bCs/>
                <w:webHidden/>
              </w:rPr>
              <w:instrText xml:space="preserve"> PAGEREF _Toc152595261 \h </w:instrText>
            </w:r>
            <w:r w:rsidR="00E910EE" w:rsidRPr="00332AB5">
              <w:rPr>
                <w:bCs/>
                <w:webHidden/>
              </w:rPr>
            </w:r>
            <w:r w:rsidR="00E910EE" w:rsidRPr="00332AB5">
              <w:rPr>
                <w:bCs/>
                <w:webHidden/>
              </w:rPr>
              <w:fldChar w:fldCharType="separate"/>
            </w:r>
            <w:r w:rsidR="005E6E46">
              <w:rPr>
                <w:bCs/>
                <w:webHidden/>
              </w:rPr>
              <w:t>79</w:t>
            </w:r>
            <w:r w:rsidR="00E910EE" w:rsidRPr="00332AB5">
              <w:rPr>
                <w:bCs/>
                <w:webHidden/>
              </w:rPr>
              <w:fldChar w:fldCharType="end"/>
            </w:r>
          </w:hyperlink>
        </w:p>
        <w:p w14:paraId="0C792BFC" w14:textId="32DD37B3" w:rsidR="00E910EE" w:rsidRPr="00332AB5" w:rsidRDefault="00310FA2">
          <w:pPr>
            <w:pStyle w:val="TOC3"/>
            <w:rPr>
              <w:rFonts w:asciiTheme="minorHAnsi" w:eastAsiaTheme="minorEastAsia" w:hAnsiTheme="minorHAnsi" w:cstheme="minorBidi"/>
              <w:bCs/>
              <w:kern w:val="2"/>
              <w:sz w:val="22"/>
              <w:szCs w:val="22"/>
              <w14:ligatures w14:val="standardContextual"/>
            </w:rPr>
          </w:pPr>
          <w:hyperlink w:anchor="_Toc152595262" w:history="1">
            <w:r w:rsidR="00E910EE" w:rsidRPr="00332AB5">
              <w:rPr>
                <w:rStyle w:val="Hyperlink"/>
                <w:bCs/>
              </w:rPr>
              <w:t>8.9.5.</w:t>
            </w:r>
            <w:r w:rsidR="00E910EE" w:rsidRPr="00332AB5">
              <w:rPr>
                <w:rFonts w:asciiTheme="minorHAnsi" w:eastAsiaTheme="minorEastAsia" w:hAnsiTheme="minorHAnsi" w:cstheme="minorBidi"/>
                <w:bCs/>
                <w:kern w:val="2"/>
                <w:sz w:val="22"/>
                <w:szCs w:val="22"/>
                <w14:ligatures w14:val="standardContextual"/>
              </w:rPr>
              <w:tab/>
            </w:r>
            <w:r w:rsidR="00E910EE" w:rsidRPr="00332AB5">
              <w:rPr>
                <w:rStyle w:val="Hyperlink"/>
                <w:bCs/>
              </w:rPr>
              <w:t>Program prekogranične suradnje Interreg VI-A Mađarska – Hrvatska  2021. – 2027.</w:t>
            </w:r>
            <w:r w:rsidR="00E910EE" w:rsidRPr="00332AB5">
              <w:rPr>
                <w:bCs/>
                <w:webHidden/>
              </w:rPr>
              <w:tab/>
            </w:r>
            <w:r w:rsidR="00E910EE" w:rsidRPr="00332AB5">
              <w:rPr>
                <w:bCs/>
                <w:webHidden/>
              </w:rPr>
              <w:fldChar w:fldCharType="begin"/>
            </w:r>
            <w:r w:rsidR="00E910EE" w:rsidRPr="00332AB5">
              <w:rPr>
                <w:bCs/>
                <w:webHidden/>
              </w:rPr>
              <w:instrText xml:space="preserve"> PAGEREF _Toc152595262 \h </w:instrText>
            </w:r>
            <w:r w:rsidR="00E910EE" w:rsidRPr="00332AB5">
              <w:rPr>
                <w:bCs/>
                <w:webHidden/>
              </w:rPr>
            </w:r>
            <w:r w:rsidR="00E910EE" w:rsidRPr="00332AB5">
              <w:rPr>
                <w:bCs/>
                <w:webHidden/>
              </w:rPr>
              <w:fldChar w:fldCharType="separate"/>
            </w:r>
            <w:r w:rsidR="005E6E46">
              <w:rPr>
                <w:bCs/>
                <w:webHidden/>
              </w:rPr>
              <w:t>79</w:t>
            </w:r>
            <w:r w:rsidR="00E910EE" w:rsidRPr="00332AB5">
              <w:rPr>
                <w:bCs/>
                <w:webHidden/>
              </w:rPr>
              <w:fldChar w:fldCharType="end"/>
            </w:r>
          </w:hyperlink>
        </w:p>
        <w:p w14:paraId="1F992709" w14:textId="260625D9" w:rsidR="00E910EE" w:rsidRPr="00332AB5" w:rsidRDefault="00310FA2">
          <w:pPr>
            <w:pStyle w:val="TOC3"/>
            <w:rPr>
              <w:rFonts w:asciiTheme="minorHAnsi" w:eastAsiaTheme="minorEastAsia" w:hAnsiTheme="minorHAnsi" w:cstheme="minorBidi"/>
              <w:bCs/>
              <w:kern w:val="2"/>
              <w:sz w:val="22"/>
              <w:szCs w:val="22"/>
              <w14:ligatures w14:val="standardContextual"/>
            </w:rPr>
          </w:pPr>
          <w:hyperlink w:anchor="_Toc152595263" w:history="1">
            <w:r w:rsidR="00E910EE" w:rsidRPr="00332AB5">
              <w:rPr>
                <w:rStyle w:val="Hyperlink"/>
                <w:bCs/>
              </w:rPr>
              <w:t>8.9.6.</w:t>
            </w:r>
            <w:r w:rsidR="00E910EE" w:rsidRPr="00332AB5">
              <w:rPr>
                <w:rFonts w:asciiTheme="minorHAnsi" w:eastAsiaTheme="minorEastAsia" w:hAnsiTheme="minorHAnsi" w:cstheme="minorBidi"/>
                <w:bCs/>
                <w:kern w:val="2"/>
                <w:sz w:val="22"/>
                <w:szCs w:val="22"/>
                <w14:ligatures w14:val="standardContextual"/>
              </w:rPr>
              <w:tab/>
            </w:r>
            <w:r w:rsidR="00E910EE" w:rsidRPr="00332AB5">
              <w:rPr>
                <w:rStyle w:val="Hyperlink"/>
                <w:bCs/>
              </w:rPr>
              <w:t>Program transnacionalne suradnje Dunavske regije 2021. – 2027.</w:t>
            </w:r>
            <w:r w:rsidR="00E910EE" w:rsidRPr="00332AB5">
              <w:rPr>
                <w:bCs/>
                <w:webHidden/>
              </w:rPr>
              <w:tab/>
            </w:r>
            <w:r w:rsidR="00E910EE" w:rsidRPr="00332AB5">
              <w:rPr>
                <w:bCs/>
                <w:webHidden/>
              </w:rPr>
              <w:fldChar w:fldCharType="begin"/>
            </w:r>
            <w:r w:rsidR="00E910EE" w:rsidRPr="00332AB5">
              <w:rPr>
                <w:bCs/>
                <w:webHidden/>
              </w:rPr>
              <w:instrText xml:space="preserve"> PAGEREF _Toc152595263 \h </w:instrText>
            </w:r>
            <w:r w:rsidR="00E910EE" w:rsidRPr="00332AB5">
              <w:rPr>
                <w:bCs/>
                <w:webHidden/>
              </w:rPr>
            </w:r>
            <w:r w:rsidR="00E910EE" w:rsidRPr="00332AB5">
              <w:rPr>
                <w:bCs/>
                <w:webHidden/>
              </w:rPr>
              <w:fldChar w:fldCharType="separate"/>
            </w:r>
            <w:r w:rsidR="005E6E46">
              <w:rPr>
                <w:bCs/>
                <w:webHidden/>
              </w:rPr>
              <w:t>79</w:t>
            </w:r>
            <w:r w:rsidR="00E910EE" w:rsidRPr="00332AB5">
              <w:rPr>
                <w:bCs/>
                <w:webHidden/>
              </w:rPr>
              <w:fldChar w:fldCharType="end"/>
            </w:r>
          </w:hyperlink>
        </w:p>
        <w:p w14:paraId="517B387E" w14:textId="3449DBB6" w:rsidR="00E910EE" w:rsidRPr="00332AB5" w:rsidRDefault="00310FA2">
          <w:pPr>
            <w:pStyle w:val="TOC3"/>
            <w:rPr>
              <w:rFonts w:asciiTheme="minorHAnsi" w:eastAsiaTheme="minorEastAsia" w:hAnsiTheme="minorHAnsi" w:cstheme="minorBidi"/>
              <w:bCs/>
              <w:kern w:val="2"/>
              <w:sz w:val="22"/>
              <w:szCs w:val="22"/>
              <w14:ligatures w14:val="standardContextual"/>
            </w:rPr>
          </w:pPr>
          <w:hyperlink w:anchor="_Toc152595264" w:history="1">
            <w:r w:rsidR="00E910EE" w:rsidRPr="00332AB5">
              <w:rPr>
                <w:rStyle w:val="Hyperlink"/>
                <w:bCs/>
              </w:rPr>
              <w:t>8.9.7.</w:t>
            </w:r>
            <w:r w:rsidR="00E910EE" w:rsidRPr="00332AB5">
              <w:rPr>
                <w:rFonts w:asciiTheme="minorHAnsi" w:eastAsiaTheme="minorEastAsia" w:hAnsiTheme="minorHAnsi" w:cstheme="minorBidi"/>
                <w:bCs/>
                <w:kern w:val="2"/>
                <w:sz w:val="22"/>
                <w:szCs w:val="22"/>
                <w14:ligatures w14:val="standardContextual"/>
              </w:rPr>
              <w:tab/>
            </w:r>
            <w:r w:rsidR="00E910EE" w:rsidRPr="00332AB5">
              <w:rPr>
                <w:rStyle w:val="Hyperlink"/>
                <w:bCs/>
              </w:rPr>
              <w:t>Interreg Jadransko-jonski program transnacionalne suradnje 2021. –  2027.</w:t>
            </w:r>
            <w:r w:rsidR="00E910EE" w:rsidRPr="00332AB5">
              <w:rPr>
                <w:bCs/>
                <w:webHidden/>
              </w:rPr>
              <w:tab/>
            </w:r>
            <w:r w:rsidR="00E910EE" w:rsidRPr="00332AB5">
              <w:rPr>
                <w:bCs/>
                <w:webHidden/>
              </w:rPr>
              <w:fldChar w:fldCharType="begin"/>
            </w:r>
            <w:r w:rsidR="00E910EE" w:rsidRPr="00332AB5">
              <w:rPr>
                <w:bCs/>
                <w:webHidden/>
              </w:rPr>
              <w:instrText xml:space="preserve"> PAGEREF _Toc152595264 \h </w:instrText>
            </w:r>
            <w:r w:rsidR="00E910EE" w:rsidRPr="00332AB5">
              <w:rPr>
                <w:bCs/>
                <w:webHidden/>
              </w:rPr>
            </w:r>
            <w:r w:rsidR="00E910EE" w:rsidRPr="00332AB5">
              <w:rPr>
                <w:bCs/>
                <w:webHidden/>
              </w:rPr>
              <w:fldChar w:fldCharType="separate"/>
            </w:r>
            <w:r w:rsidR="005E6E46">
              <w:rPr>
                <w:bCs/>
                <w:webHidden/>
              </w:rPr>
              <w:t>80</w:t>
            </w:r>
            <w:r w:rsidR="00E910EE" w:rsidRPr="00332AB5">
              <w:rPr>
                <w:bCs/>
                <w:webHidden/>
              </w:rPr>
              <w:fldChar w:fldCharType="end"/>
            </w:r>
          </w:hyperlink>
        </w:p>
        <w:p w14:paraId="7F332AC3" w14:textId="65899001" w:rsidR="00E910EE" w:rsidRPr="00332AB5" w:rsidRDefault="00310FA2">
          <w:pPr>
            <w:pStyle w:val="TOC3"/>
            <w:rPr>
              <w:rFonts w:asciiTheme="minorHAnsi" w:eastAsiaTheme="minorEastAsia" w:hAnsiTheme="minorHAnsi" w:cstheme="minorBidi"/>
              <w:bCs/>
              <w:kern w:val="2"/>
              <w:sz w:val="22"/>
              <w:szCs w:val="22"/>
              <w14:ligatures w14:val="standardContextual"/>
            </w:rPr>
          </w:pPr>
          <w:hyperlink w:anchor="_Toc152595265" w:history="1">
            <w:r w:rsidR="00E910EE" w:rsidRPr="00332AB5">
              <w:rPr>
                <w:rStyle w:val="Hyperlink"/>
                <w:bCs/>
              </w:rPr>
              <w:t>8.9.8.</w:t>
            </w:r>
            <w:r w:rsidR="00E910EE" w:rsidRPr="00332AB5">
              <w:rPr>
                <w:rFonts w:asciiTheme="minorHAnsi" w:eastAsiaTheme="minorEastAsia" w:hAnsiTheme="minorHAnsi" w:cstheme="minorBidi"/>
                <w:bCs/>
                <w:kern w:val="2"/>
                <w:sz w:val="22"/>
                <w:szCs w:val="22"/>
                <w14:ligatures w14:val="standardContextual"/>
              </w:rPr>
              <w:tab/>
            </w:r>
            <w:r w:rsidR="00E910EE" w:rsidRPr="00332AB5">
              <w:rPr>
                <w:rStyle w:val="Hyperlink"/>
                <w:bCs/>
              </w:rPr>
              <w:t>Program transnacionalne suradnje Interreg VI-B Mediteran 2021. – 2027.</w:t>
            </w:r>
            <w:r w:rsidR="00E910EE" w:rsidRPr="00332AB5">
              <w:rPr>
                <w:bCs/>
                <w:webHidden/>
              </w:rPr>
              <w:tab/>
            </w:r>
            <w:r w:rsidR="00E910EE" w:rsidRPr="00332AB5">
              <w:rPr>
                <w:bCs/>
                <w:webHidden/>
              </w:rPr>
              <w:fldChar w:fldCharType="begin"/>
            </w:r>
            <w:r w:rsidR="00E910EE" w:rsidRPr="00332AB5">
              <w:rPr>
                <w:bCs/>
                <w:webHidden/>
              </w:rPr>
              <w:instrText xml:space="preserve"> PAGEREF _Toc152595265 \h </w:instrText>
            </w:r>
            <w:r w:rsidR="00E910EE" w:rsidRPr="00332AB5">
              <w:rPr>
                <w:bCs/>
                <w:webHidden/>
              </w:rPr>
            </w:r>
            <w:r w:rsidR="00E910EE" w:rsidRPr="00332AB5">
              <w:rPr>
                <w:bCs/>
                <w:webHidden/>
              </w:rPr>
              <w:fldChar w:fldCharType="separate"/>
            </w:r>
            <w:r w:rsidR="005E6E46">
              <w:rPr>
                <w:bCs/>
                <w:webHidden/>
              </w:rPr>
              <w:t>80</w:t>
            </w:r>
            <w:r w:rsidR="00E910EE" w:rsidRPr="00332AB5">
              <w:rPr>
                <w:bCs/>
                <w:webHidden/>
              </w:rPr>
              <w:fldChar w:fldCharType="end"/>
            </w:r>
          </w:hyperlink>
        </w:p>
        <w:p w14:paraId="68FC77BE" w14:textId="17531338" w:rsidR="00E910EE" w:rsidRPr="00332AB5" w:rsidRDefault="00310FA2">
          <w:pPr>
            <w:pStyle w:val="TOC3"/>
            <w:rPr>
              <w:rFonts w:asciiTheme="minorHAnsi" w:eastAsiaTheme="minorEastAsia" w:hAnsiTheme="minorHAnsi" w:cstheme="minorBidi"/>
              <w:bCs/>
              <w:kern w:val="2"/>
              <w:sz w:val="22"/>
              <w:szCs w:val="22"/>
              <w14:ligatures w14:val="standardContextual"/>
            </w:rPr>
          </w:pPr>
          <w:hyperlink w:anchor="_Toc152595266" w:history="1">
            <w:r w:rsidR="00E910EE" w:rsidRPr="00332AB5">
              <w:rPr>
                <w:rStyle w:val="Hyperlink"/>
                <w:bCs/>
              </w:rPr>
              <w:t>8.9.9.</w:t>
            </w:r>
            <w:r w:rsidR="00E910EE" w:rsidRPr="00332AB5">
              <w:rPr>
                <w:rFonts w:asciiTheme="minorHAnsi" w:eastAsiaTheme="minorEastAsia" w:hAnsiTheme="minorHAnsi" w:cstheme="minorBidi"/>
                <w:bCs/>
                <w:kern w:val="2"/>
                <w:sz w:val="22"/>
                <w:szCs w:val="22"/>
                <w14:ligatures w14:val="standardContextual"/>
              </w:rPr>
              <w:tab/>
            </w:r>
            <w:r w:rsidR="00E910EE" w:rsidRPr="00332AB5">
              <w:rPr>
                <w:rStyle w:val="Hyperlink"/>
                <w:bCs/>
              </w:rPr>
              <w:t>Program transnacionalne suradnje Interreg VI-B Središnja Europa 2021. –  2027.</w:t>
            </w:r>
            <w:r w:rsidR="00E910EE" w:rsidRPr="00332AB5">
              <w:rPr>
                <w:bCs/>
                <w:webHidden/>
              </w:rPr>
              <w:tab/>
            </w:r>
            <w:r w:rsidR="00E910EE" w:rsidRPr="00332AB5">
              <w:rPr>
                <w:bCs/>
                <w:webHidden/>
              </w:rPr>
              <w:fldChar w:fldCharType="begin"/>
            </w:r>
            <w:r w:rsidR="00E910EE" w:rsidRPr="00332AB5">
              <w:rPr>
                <w:bCs/>
                <w:webHidden/>
              </w:rPr>
              <w:instrText xml:space="preserve"> PAGEREF _Toc152595266 \h </w:instrText>
            </w:r>
            <w:r w:rsidR="00E910EE" w:rsidRPr="00332AB5">
              <w:rPr>
                <w:bCs/>
                <w:webHidden/>
              </w:rPr>
            </w:r>
            <w:r w:rsidR="00E910EE" w:rsidRPr="00332AB5">
              <w:rPr>
                <w:bCs/>
                <w:webHidden/>
              </w:rPr>
              <w:fldChar w:fldCharType="separate"/>
            </w:r>
            <w:r w:rsidR="005E6E46">
              <w:rPr>
                <w:bCs/>
                <w:webHidden/>
              </w:rPr>
              <w:t>80</w:t>
            </w:r>
            <w:r w:rsidR="00E910EE" w:rsidRPr="00332AB5">
              <w:rPr>
                <w:bCs/>
                <w:webHidden/>
              </w:rPr>
              <w:fldChar w:fldCharType="end"/>
            </w:r>
          </w:hyperlink>
        </w:p>
        <w:p w14:paraId="388AAC6F" w14:textId="651ED45B" w:rsidR="00E910EE" w:rsidRPr="00332AB5" w:rsidRDefault="00310FA2">
          <w:pPr>
            <w:pStyle w:val="TOC3"/>
            <w:rPr>
              <w:rFonts w:asciiTheme="minorHAnsi" w:eastAsiaTheme="minorEastAsia" w:hAnsiTheme="minorHAnsi" w:cstheme="minorBidi"/>
              <w:bCs/>
              <w:kern w:val="2"/>
              <w:sz w:val="22"/>
              <w:szCs w:val="22"/>
              <w14:ligatures w14:val="standardContextual"/>
            </w:rPr>
          </w:pPr>
          <w:hyperlink w:anchor="_Toc152595267" w:history="1">
            <w:r w:rsidR="00E910EE" w:rsidRPr="00332AB5">
              <w:rPr>
                <w:rStyle w:val="Hyperlink"/>
                <w:bCs/>
              </w:rPr>
              <w:t>8.9.10.</w:t>
            </w:r>
            <w:r w:rsidR="00E910EE" w:rsidRPr="00332AB5">
              <w:rPr>
                <w:rFonts w:asciiTheme="minorHAnsi" w:eastAsiaTheme="minorEastAsia" w:hAnsiTheme="minorHAnsi" w:cstheme="minorBidi"/>
                <w:bCs/>
                <w:kern w:val="2"/>
                <w:sz w:val="22"/>
                <w:szCs w:val="22"/>
                <w14:ligatures w14:val="standardContextual"/>
              </w:rPr>
              <w:tab/>
            </w:r>
            <w:r w:rsidR="00E910EE" w:rsidRPr="00332AB5">
              <w:rPr>
                <w:rStyle w:val="Hyperlink"/>
                <w:bCs/>
              </w:rPr>
              <w:t>Program međuregionalne suradnje INTERREG Europe 2021. – 2027.</w:t>
            </w:r>
            <w:r w:rsidR="00E910EE" w:rsidRPr="00332AB5">
              <w:rPr>
                <w:bCs/>
                <w:webHidden/>
              </w:rPr>
              <w:tab/>
            </w:r>
            <w:r w:rsidR="00E910EE" w:rsidRPr="00332AB5">
              <w:rPr>
                <w:bCs/>
                <w:webHidden/>
              </w:rPr>
              <w:fldChar w:fldCharType="begin"/>
            </w:r>
            <w:r w:rsidR="00E910EE" w:rsidRPr="00332AB5">
              <w:rPr>
                <w:bCs/>
                <w:webHidden/>
              </w:rPr>
              <w:instrText xml:space="preserve"> PAGEREF _Toc152595267 \h </w:instrText>
            </w:r>
            <w:r w:rsidR="00E910EE" w:rsidRPr="00332AB5">
              <w:rPr>
                <w:bCs/>
                <w:webHidden/>
              </w:rPr>
            </w:r>
            <w:r w:rsidR="00E910EE" w:rsidRPr="00332AB5">
              <w:rPr>
                <w:bCs/>
                <w:webHidden/>
              </w:rPr>
              <w:fldChar w:fldCharType="separate"/>
            </w:r>
            <w:r w:rsidR="005E6E46">
              <w:rPr>
                <w:bCs/>
                <w:webHidden/>
              </w:rPr>
              <w:t>80</w:t>
            </w:r>
            <w:r w:rsidR="00E910EE" w:rsidRPr="00332AB5">
              <w:rPr>
                <w:bCs/>
                <w:webHidden/>
              </w:rPr>
              <w:fldChar w:fldCharType="end"/>
            </w:r>
          </w:hyperlink>
        </w:p>
        <w:p w14:paraId="3B05F431" w14:textId="399D9ECF" w:rsidR="00E910EE" w:rsidRPr="00332AB5" w:rsidRDefault="00310FA2">
          <w:pPr>
            <w:pStyle w:val="TOC3"/>
            <w:rPr>
              <w:rFonts w:asciiTheme="minorHAnsi" w:eastAsiaTheme="minorEastAsia" w:hAnsiTheme="minorHAnsi" w:cstheme="minorBidi"/>
              <w:bCs/>
              <w:kern w:val="2"/>
              <w:sz w:val="22"/>
              <w:szCs w:val="22"/>
              <w14:ligatures w14:val="standardContextual"/>
            </w:rPr>
          </w:pPr>
          <w:hyperlink w:anchor="_Toc152595268" w:history="1">
            <w:r w:rsidR="00E910EE" w:rsidRPr="00332AB5">
              <w:rPr>
                <w:rStyle w:val="Hyperlink"/>
                <w:bCs/>
              </w:rPr>
              <w:t>8.9.11.</w:t>
            </w:r>
            <w:r w:rsidR="00E910EE" w:rsidRPr="00332AB5">
              <w:rPr>
                <w:rFonts w:asciiTheme="minorHAnsi" w:eastAsiaTheme="minorEastAsia" w:hAnsiTheme="minorHAnsi" w:cstheme="minorBidi"/>
                <w:bCs/>
                <w:kern w:val="2"/>
                <w:sz w:val="22"/>
                <w:szCs w:val="22"/>
                <w14:ligatures w14:val="standardContextual"/>
              </w:rPr>
              <w:tab/>
            </w:r>
            <w:r w:rsidR="00E910EE" w:rsidRPr="00332AB5">
              <w:rPr>
                <w:rStyle w:val="Hyperlink"/>
                <w:bCs/>
              </w:rPr>
              <w:t>Program međuregionalne suradnje INTERACT 2021. – 2027.</w:t>
            </w:r>
            <w:r w:rsidR="00E910EE" w:rsidRPr="00332AB5">
              <w:rPr>
                <w:bCs/>
                <w:webHidden/>
              </w:rPr>
              <w:tab/>
            </w:r>
            <w:r w:rsidR="00E910EE" w:rsidRPr="00332AB5">
              <w:rPr>
                <w:bCs/>
                <w:webHidden/>
              </w:rPr>
              <w:fldChar w:fldCharType="begin"/>
            </w:r>
            <w:r w:rsidR="00E910EE" w:rsidRPr="00332AB5">
              <w:rPr>
                <w:bCs/>
                <w:webHidden/>
              </w:rPr>
              <w:instrText xml:space="preserve"> PAGEREF _Toc152595268 \h </w:instrText>
            </w:r>
            <w:r w:rsidR="00E910EE" w:rsidRPr="00332AB5">
              <w:rPr>
                <w:bCs/>
                <w:webHidden/>
              </w:rPr>
            </w:r>
            <w:r w:rsidR="00E910EE" w:rsidRPr="00332AB5">
              <w:rPr>
                <w:bCs/>
                <w:webHidden/>
              </w:rPr>
              <w:fldChar w:fldCharType="separate"/>
            </w:r>
            <w:r w:rsidR="005E6E46">
              <w:rPr>
                <w:bCs/>
                <w:webHidden/>
              </w:rPr>
              <w:t>81</w:t>
            </w:r>
            <w:r w:rsidR="00E910EE" w:rsidRPr="00332AB5">
              <w:rPr>
                <w:bCs/>
                <w:webHidden/>
              </w:rPr>
              <w:fldChar w:fldCharType="end"/>
            </w:r>
          </w:hyperlink>
        </w:p>
        <w:p w14:paraId="6E75DBC8" w14:textId="781AF257" w:rsidR="00E910EE" w:rsidRPr="00332AB5" w:rsidRDefault="00310FA2">
          <w:pPr>
            <w:pStyle w:val="TOC3"/>
            <w:rPr>
              <w:rFonts w:asciiTheme="minorHAnsi" w:eastAsiaTheme="minorEastAsia" w:hAnsiTheme="minorHAnsi" w:cstheme="minorBidi"/>
              <w:bCs/>
              <w:kern w:val="2"/>
              <w:sz w:val="22"/>
              <w:szCs w:val="22"/>
              <w14:ligatures w14:val="standardContextual"/>
            </w:rPr>
          </w:pPr>
          <w:hyperlink w:anchor="_Toc152595269" w:history="1">
            <w:r w:rsidR="00E910EE" w:rsidRPr="00332AB5">
              <w:rPr>
                <w:rStyle w:val="Hyperlink"/>
                <w:bCs/>
              </w:rPr>
              <w:t>8.9.12.</w:t>
            </w:r>
            <w:r w:rsidR="00E910EE" w:rsidRPr="00332AB5">
              <w:rPr>
                <w:rFonts w:asciiTheme="minorHAnsi" w:eastAsiaTheme="minorEastAsia" w:hAnsiTheme="minorHAnsi" w:cstheme="minorBidi"/>
                <w:bCs/>
                <w:kern w:val="2"/>
                <w:sz w:val="22"/>
                <w:szCs w:val="22"/>
                <w14:ligatures w14:val="standardContextual"/>
              </w:rPr>
              <w:tab/>
            </w:r>
            <w:r w:rsidR="00E910EE" w:rsidRPr="00332AB5">
              <w:rPr>
                <w:rStyle w:val="Hyperlink"/>
                <w:bCs/>
              </w:rPr>
              <w:t>Program međuregionalne suradnje URBACT IV 2021. – 2027.</w:t>
            </w:r>
            <w:r w:rsidR="00E910EE" w:rsidRPr="00332AB5">
              <w:rPr>
                <w:bCs/>
                <w:webHidden/>
              </w:rPr>
              <w:tab/>
            </w:r>
            <w:r w:rsidR="00E910EE" w:rsidRPr="00332AB5">
              <w:rPr>
                <w:bCs/>
                <w:webHidden/>
              </w:rPr>
              <w:fldChar w:fldCharType="begin"/>
            </w:r>
            <w:r w:rsidR="00E910EE" w:rsidRPr="00332AB5">
              <w:rPr>
                <w:bCs/>
                <w:webHidden/>
              </w:rPr>
              <w:instrText xml:space="preserve"> PAGEREF _Toc152595269 \h </w:instrText>
            </w:r>
            <w:r w:rsidR="00E910EE" w:rsidRPr="00332AB5">
              <w:rPr>
                <w:bCs/>
                <w:webHidden/>
              </w:rPr>
            </w:r>
            <w:r w:rsidR="00E910EE" w:rsidRPr="00332AB5">
              <w:rPr>
                <w:bCs/>
                <w:webHidden/>
              </w:rPr>
              <w:fldChar w:fldCharType="separate"/>
            </w:r>
            <w:r w:rsidR="005E6E46">
              <w:rPr>
                <w:bCs/>
                <w:webHidden/>
              </w:rPr>
              <w:t>81</w:t>
            </w:r>
            <w:r w:rsidR="00E910EE" w:rsidRPr="00332AB5">
              <w:rPr>
                <w:bCs/>
                <w:webHidden/>
              </w:rPr>
              <w:fldChar w:fldCharType="end"/>
            </w:r>
          </w:hyperlink>
        </w:p>
        <w:p w14:paraId="3A7D7BA5" w14:textId="0CD54B79" w:rsidR="00E910EE" w:rsidRPr="00332AB5" w:rsidRDefault="00310FA2">
          <w:pPr>
            <w:pStyle w:val="TOC3"/>
            <w:rPr>
              <w:rFonts w:asciiTheme="minorHAnsi" w:eastAsiaTheme="minorEastAsia" w:hAnsiTheme="minorHAnsi" w:cstheme="minorBidi"/>
              <w:bCs/>
              <w:kern w:val="2"/>
              <w:sz w:val="22"/>
              <w:szCs w:val="22"/>
              <w14:ligatures w14:val="standardContextual"/>
            </w:rPr>
          </w:pPr>
          <w:hyperlink w:anchor="_Toc152595270" w:history="1">
            <w:r w:rsidR="00E910EE" w:rsidRPr="00332AB5">
              <w:rPr>
                <w:rStyle w:val="Hyperlink"/>
                <w:bCs/>
              </w:rPr>
              <w:t>8.9.13.</w:t>
            </w:r>
            <w:r w:rsidR="00E910EE" w:rsidRPr="00332AB5">
              <w:rPr>
                <w:rFonts w:asciiTheme="minorHAnsi" w:eastAsiaTheme="minorEastAsia" w:hAnsiTheme="minorHAnsi" w:cstheme="minorBidi"/>
                <w:bCs/>
                <w:kern w:val="2"/>
                <w:sz w:val="22"/>
                <w:szCs w:val="22"/>
                <w14:ligatures w14:val="standardContextual"/>
              </w:rPr>
              <w:tab/>
            </w:r>
            <w:r w:rsidR="00E910EE" w:rsidRPr="00332AB5">
              <w:rPr>
                <w:rStyle w:val="Hyperlink"/>
                <w:bCs/>
              </w:rPr>
              <w:t>Program međuregionalne suradnje ESPON 2030 2021. – 2027.</w:t>
            </w:r>
            <w:r w:rsidR="00E910EE" w:rsidRPr="00332AB5">
              <w:rPr>
                <w:bCs/>
                <w:webHidden/>
              </w:rPr>
              <w:tab/>
            </w:r>
            <w:r w:rsidR="00E910EE" w:rsidRPr="00332AB5">
              <w:rPr>
                <w:bCs/>
                <w:webHidden/>
              </w:rPr>
              <w:fldChar w:fldCharType="begin"/>
            </w:r>
            <w:r w:rsidR="00E910EE" w:rsidRPr="00332AB5">
              <w:rPr>
                <w:bCs/>
                <w:webHidden/>
              </w:rPr>
              <w:instrText xml:space="preserve"> PAGEREF _Toc152595270 \h </w:instrText>
            </w:r>
            <w:r w:rsidR="00E910EE" w:rsidRPr="00332AB5">
              <w:rPr>
                <w:bCs/>
                <w:webHidden/>
              </w:rPr>
            </w:r>
            <w:r w:rsidR="00E910EE" w:rsidRPr="00332AB5">
              <w:rPr>
                <w:bCs/>
                <w:webHidden/>
              </w:rPr>
              <w:fldChar w:fldCharType="separate"/>
            </w:r>
            <w:r w:rsidR="005E6E46">
              <w:rPr>
                <w:bCs/>
                <w:webHidden/>
              </w:rPr>
              <w:t>81</w:t>
            </w:r>
            <w:r w:rsidR="00E910EE" w:rsidRPr="00332AB5">
              <w:rPr>
                <w:bCs/>
                <w:webHidden/>
              </w:rPr>
              <w:fldChar w:fldCharType="end"/>
            </w:r>
          </w:hyperlink>
        </w:p>
        <w:p w14:paraId="7AFD49AC" w14:textId="09ABD92A" w:rsidR="00E910EE" w:rsidRPr="00332AB5" w:rsidRDefault="00310FA2">
          <w:pPr>
            <w:pStyle w:val="TOC1"/>
            <w:rPr>
              <w:rFonts w:asciiTheme="minorHAnsi" w:eastAsiaTheme="minorEastAsia" w:hAnsiTheme="minorHAnsi" w:cstheme="minorBidi"/>
              <w:bCs/>
              <w:kern w:val="2"/>
              <w:sz w:val="22"/>
              <w:szCs w:val="22"/>
              <w14:ligatures w14:val="standardContextual"/>
            </w:rPr>
          </w:pPr>
          <w:hyperlink w:anchor="_Toc152595271" w:history="1">
            <w:r w:rsidR="00E910EE" w:rsidRPr="00332AB5">
              <w:rPr>
                <w:rStyle w:val="Hyperlink"/>
                <w:bCs/>
              </w:rPr>
              <w:t>9.</w:t>
            </w:r>
            <w:r w:rsidR="00E910EE" w:rsidRPr="00332AB5">
              <w:rPr>
                <w:rFonts w:asciiTheme="minorHAnsi" w:eastAsiaTheme="minorEastAsia" w:hAnsiTheme="minorHAnsi" w:cstheme="minorBidi"/>
                <w:bCs/>
                <w:kern w:val="2"/>
                <w:sz w:val="22"/>
                <w:szCs w:val="22"/>
                <w14:ligatures w14:val="standardContextual"/>
              </w:rPr>
              <w:tab/>
            </w:r>
            <w:r w:rsidR="00E910EE" w:rsidRPr="00332AB5">
              <w:rPr>
                <w:rStyle w:val="Hyperlink"/>
                <w:bCs/>
              </w:rPr>
              <w:t>ZAKLJUČAK</w:t>
            </w:r>
            <w:r w:rsidR="00E910EE" w:rsidRPr="00332AB5">
              <w:rPr>
                <w:bCs/>
                <w:webHidden/>
              </w:rPr>
              <w:tab/>
            </w:r>
            <w:r w:rsidR="00E910EE" w:rsidRPr="00332AB5">
              <w:rPr>
                <w:bCs/>
                <w:webHidden/>
              </w:rPr>
              <w:fldChar w:fldCharType="begin"/>
            </w:r>
            <w:r w:rsidR="00E910EE" w:rsidRPr="00332AB5">
              <w:rPr>
                <w:bCs/>
                <w:webHidden/>
              </w:rPr>
              <w:instrText xml:space="preserve"> PAGEREF _Toc152595271 \h </w:instrText>
            </w:r>
            <w:r w:rsidR="00E910EE" w:rsidRPr="00332AB5">
              <w:rPr>
                <w:bCs/>
                <w:webHidden/>
              </w:rPr>
            </w:r>
            <w:r w:rsidR="00E910EE" w:rsidRPr="00332AB5">
              <w:rPr>
                <w:bCs/>
                <w:webHidden/>
              </w:rPr>
              <w:fldChar w:fldCharType="separate"/>
            </w:r>
            <w:r w:rsidR="005E6E46">
              <w:rPr>
                <w:bCs/>
                <w:webHidden/>
              </w:rPr>
              <w:t>83</w:t>
            </w:r>
            <w:r w:rsidR="00E910EE" w:rsidRPr="00332AB5">
              <w:rPr>
                <w:bCs/>
                <w:webHidden/>
              </w:rPr>
              <w:fldChar w:fldCharType="end"/>
            </w:r>
          </w:hyperlink>
        </w:p>
        <w:p w14:paraId="6200386E" w14:textId="20A667D1" w:rsidR="00E910EE" w:rsidRPr="00332AB5" w:rsidRDefault="00310FA2">
          <w:pPr>
            <w:pStyle w:val="TOC1"/>
            <w:rPr>
              <w:rFonts w:asciiTheme="minorHAnsi" w:eastAsiaTheme="minorEastAsia" w:hAnsiTheme="minorHAnsi" w:cstheme="minorBidi"/>
              <w:bCs/>
              <w:kern w:val="2"/>
              <w:sz w:val="22"/>
              <w:szCs w:val="22"/>
              <w14:ligatures w14:val="standardContextual"/>
            </w:rPr>
          </w:pPr>
          <w:hyperlink w:anchor="_Toc152595272" w:history="1">
            <w:r w:rsidR="00E910EE" w:rsidRPr="00332AB5">
              <w:rPr>
                <w:rStyle w:val="Hyperlink"/>
                <w:bCs/>
              </w:rPr>
              <w:t>Kratice</w:t>
            </w:r>
            <w:r w:rsidR="00E910EE" w:rsidRPr="00332AB5">
              <w:rPr>
                <w:bCs/>
                <w:webHidden/>
              </w:rPr>
              <w:tab/>
            </w:r>
            <w:r w:rsidR="00E910EE" w:rsidRPr="00332AB5">
              <w:rPr>
                <w:bCs/>
                <w:webHidden/>
              </w:rPr>
              <w:fldChar w:fldCharType="begin"/>
            </w:r>
            <w:r w:rsidR="00E910EE" w:rsidRPr="00332AB5">
              <w:rPr>
                <w:bCs/>
                <w:webHidden/>
              </w:rPr>
              <w:instrText xml:space="preserve"> PAGEREF _Toc152595272 \h </w:instrText>
            </w:r>
            <w:r w:rsidR="00E910EE" w:rsidRPr="00332AB5">
              <w:rPr>
                <w:bCs/>
                <w:webHidden/>
              </w:rPr>
            </w:r>
            <w:r w:rsidR="00E910EE" w:rsidRPr="00332AB5">
              <w:rPr>
                <w:bCs/>
                <w:webHidden/>
              </w:rPr>
              <w:fldChar w:fldCharType="separate"/>
            </w:r>
            <w:r w:rsidR="005E6E46">
              <w:rPr>
                <w:bCs/>
                <w:webHidden/>
              </w:rPr>
              <w:t>85</w:t>
            </w:r>
            <w:r w:rsidR="00E910EE" w:rsidRPr="00332AB5">
              <w:rPr>
                <w:bCs/>
                <w:webHidden/>
              </w:rPr>
              <w:fldChar w:fldCharType="end"/>
            </w:r>
          </w:hyperlink>
        </w:p>
        <w:p w14:paraId="3D81B1FF" w14:textId="5A8F59CF" w:rsidR="00E910EE" w:rsidRPr="00332AB5" w:rsidRDefault="00310FA2">
          <w:pPr>
            <w:pStyle w:val="TOC1"/>
            <w:rPr>
              <w:rFonts w:asciiTheme="minorHAnsi" w:eastAsiaTheme="minorEastAsia" w:hAnsiTheme="minorHAnsi" w:cstheme="minorBidi"/>
              <w:bCs/>
              <w:kern w:val="2"/>
              <w:sz w:val="22"/>
              <w:szCs w:val="22"/>
              <w14:ligatures w14:val="standardContextual"/>
            </w:rPr>
          </w:pPr>
          <w:hyperlink w:anchor="_Toc152595273" w:history="1">
            <w:r w:rsidR="00E910EE" w:rsidRPr="00332AB5">
              <w:rPr>
                <w:rStyle w:val="Hyperlink"/>
                <w:bCs/>
              </w:rPr>
              <w:t>Popis grafikona</w:t>
            </w:r>
            <w:r w:rsidR="00E910EE" w:rsidRPr="00332AB5">
              <w:rPr>
                <w:bCs/>
                <w:webHidden/>
              </w:rPr>
              <w:tab/>
            </w:r>
            <w:r w:rsidR="00E910EE" w:rsidRPr="00332AB5">
              <w:rPr>
                <w:bCs/>
                <w:webHidden/>
              </w:rPr>
              <w:fldChar w:fldCharType="begin"/>
            </w:r>
            <w:r w:rsidR="00E910EE" w:rsidRPr="00332AB5">
              <w:rPr>
                <w:bCs/>
                <w:webHidden/>
              </w:rPr>
              <w:instrText xml:space="preserve"> PAGEREF _Toc152595273 \h </w:instrText>
            </w:r>
            <w:r w:rsidR="00E910EE" w:rsidRPr="00332AB5">
              <w:rPr>
                <w:bCs/>
                <w:webHidden/>
              </w:rPr>
            </w:r>
            <w:r w:rsidR="00E910EE" w:rsidRPr="00332AB5">
              <w:rPr>
                <w:bCs/>
                <w:webHidden/>
              </w:rPr>
              <w:fldChar w:fldCharType="separate"/>
            </w:r>
            <w:r w:rsidR="005E6E46">
              <w:rPr>
                <w:bCs/>
                <w:webHidden/>
              </w:rPr>
              <w:t>88</w:t>
            </w:r>
            <w:r w:rsidR="00E910EE" w:rsidRPr="00332AB5">
              <w:rPr>
                <w:bCs/>
                <w:webHidden/>
              </w:rPr>
              <w:fldChar w:fldCharType="end"/>
            </w:r>
          </w:hyperlink>
        </w:p>
        <w:p w14:paraId="33965BE7" w14:textId="571A4A1C" w:rsidR="00E910EE" w:rsidRPr="00332AB5" w:rsidRDefault="00310FA2">
          <w:pPr>
            <w:pStyle w:val="TOC1"/>
            <w:rPr>
              <w:rFonts w:asciiTheme="minorHAnsi" w:eastAsiaTheme="minorEastAsia" w:hAnsiTheme="minorHAnsi" w:cstheme="minorBidi"/>
              <w:bCs/>
              <w:kern w:val="2"/>
              <w:sz w:val="22"/>
              <w:szCs w:val="22"/>
              <w14:ligatures w14:val="standardContextual"/>
            </w:rPr>
          </w:pPr>
          <w:hyperlink w:anchor="_Toc152595274" w:history="1">
            <w:r w:rsidR="00E910EE" w:rsidRPr="00332AB5">
              <w:rPr>
                <w:rStyle w:val="Hyperlink"/>
                <w:bCs/>
              </w:rPr>
              <w:t>Popis tablica</w:t>
            </w:r>
            <w:r w:rsidR="00E910EE" w:rsidRPr="00332AB5">
              <w:rPr>
                <w:bCs/>
                <w:webHidden/>
              </w:rPr>
              <w:tab/>
            </w:r>
            <w:r w:rsidR="00E910EE" w:rsidRPr="00332AB5">
              <w:rPr>
                <w:bCs/>
                <w:webHidden/>
              </w:rPr>
              <w:fldChar w:fldCharType="begin"/>
            </w:r>
            <w:r w:rsidR="00E910EE" w:rsidRPr="00332AB5">
              <w:rPr>
                <w:bCs/>
                <w:webHidden/>
              </w:rPr>
              <w:instrText xml:space="preserve"> PAGEREF _Toc152595274 \h </w:instrText>
            </w:r>
            <w:r w:rsidR="00E910EE" w:rsidRPr="00332AB5">
              <w:rPr>
                <w:bCs/>
                <w:webHidden/>
              </w:rPr>
            </w:r>
            <w:r w:rsidR="00E910EE" w:rsidRPr="00332AB5">
              <w:rPr>
                <w:bCs/>
                <w:webHidden/>
              </w:rPr>
              <w:fldChar w:fldCharType="separate"/>
            </w:r>
            <w:r w:rsidR="005E6E46">
              <w:rPr>
                <w:bCs/>
                <w:webHidden/>
              </w:rPr>
              <w:t>89</w:t>
            </w:r>
            <w:r w:rsidR="00E910EE" w:rsidRPr="00332AB5">
              <w:rPr>
                <w:bCs/>
                <w:webHidden/>
              </w:rPr>
              <w:fldChar w:fldCharType="end"/>
            </w:r>
          </w:hyperlink>
        </w:p>
        <w:p w14:paraId="15298240" w14:textId="2A5085B6" w:rsidR="00596CD2" w:rsidRPr="00332AB5" w:rsidRDefault="008C2CC3" w:rsidP="00640658">
          <w:pPr>
            <w:pStyle w:val="TOC1"/>
            <w:rPr>
              <w:rStyle w:val="Hyperlink"/>
              <w:bCs/>
              <w:noProof w:val="0"/>
              <w:color w:val="auto"/>
            </w:rPr>
          </w:pPr>
          <w:r w:rsidRPr="00332AB5">
            <w:rPr>
              <w:rStyle w:val="Hyperlink"/>
              <w:bCs/>
              <w:noProof w:val="0"/>
              <w:color w:val="auto"/>
            </w:rPr>
            <w:fldChar w:fldCharType="end"/>
          </w:r>
        </w:p>
      </w:sdtContent>
    </w:sdt>
    <w:p w14:paraId="7476919C" w14:textId="353031F2" w:rsidR="00CA204E" w:rsidRPr="00332AB5" w:rsidRDefault="006E2DA7" w:rsidP="00E2152B">
      <w:pPr>
        <w:rPr>
          <w:bCs/>
          <w:sz w:val="24"/>
          <w:szCs w:val="24"/>
        </w:rPr>
      </w:pPr>
      <w:r w:rsidRPr="00332AB5">
        <w:rPr>
          <w:bCs/>
          <w:sz w:val="24"/>
          <w:szCs w:val="24"/>
        </w:rPr>
        <w:br w:type="page"/>
      </w:r>
    </w:p>
    <w:p w14:paraId="03BD0F01" w14:textId="77777777" w:rsidR="00EC09A7" w:rsidRPr="00332AB5" w:rsidRDefault="00EC09A7" w:rsidP="00E2152B">
      <w:pPr>
        <w:tabs>
          <w:tab w:val="right" w:leader="dot" w:pos="9923"/>
          <w:tab w:val="right" w:leader="dot" w:pos="10206"/>
        </w:tabs>
        <w:ind w:left="426" w:right="1082" w:hanging="993"/>
        <w:jc w:val="both"/>
        <w:rPr>
          <w:lang w:eastAsia="en-US"/>
        </w:rPr>
        <w:sectPr w:rsidR="00EC09A7" w:rsidRPr="00332AB5" w:rsidSect="00C75AE3">
          <w:pgSz w:w="11907" w:h="16839" w:code="9"/>
          <w:pgMar w:top="1418" w:right="1327" w:bottom="1418" w:left="1418" w:header="709" w:footer="709" w:gutter="0"/>
          <w:pgNumType w:start="1"/>
          <w:cols w:space="708"/>
          <w:titlePg/>
          <w:docGrid w:linePitch="360"/>
        </w:sectPr>
      </w:pPr>
      <w:bookmarkStart w:id="3" w:name="_Toc351465556"/>
      <w:bookmarkStart w:id="4" w:name="_Toc357071060"/>
      <w:bookmarkEnd w:id="0"/>
    </w:p>
    <w:p w14:paraId="06F53A43" w14:textId="77777777" w:rsidR="00B1639F" w:rsidRPr="00332AB5" w:rsidRDefault="00121C93" w:rsidP="00E2152B">
      <w:pPr>
        <w:pStyle w:val="Heading1"/>
      </w:pPr>
      <w:bookmarkStart w:id="5" w:name="_Toc372635448"/>
      <w:bookmarkStart w:id="6" w:name="_Toc152595213"/>
      <w:r w:rsidRPr="00332AB5">
        <w:lastRenderedPageBreak/>
        <w:t>UVO</w:t>
      </w:r>
      <w:bookmarkEnd w:id="3"/>
      <w:bookmarkEnd w:id="4"/>
      <w:bookmarkEnd w:id="5"/>
      <w:r w:rsidR="00513776" w:rsidRPr="00332AB5">
        <w:t>D</w:t>
      </w:r>
      <w:bookmarkEnd w:id="6"/>
    </w:p>
    <w:p w14:paraId="08C8C5DB" w14:textId="0939EA74" w:rsidR="00B34176" w:rsidRPr="00332AB5" w:rsidRDefault="00B34176" w:rsidP="00741C5E">
      <w:pPr>
        <w:spacing w:before="120" w:after="120"/>
        <w:jc w:val="both"/>
        <w:rPr>
          <w:sz w:val="24"/>
          <w:szCs w:val="24"/>
        </w:rPr>
      </w:pPr>
      <w:r w:rsidRPr="00332AB5">
        <w:rPr>
          <w:sz w:val="24"/>
          <w:szCs w:val="24"/>
        </w:rPr>
        <w:t>Temeljem Zaključka Hrvatskoga sabora donesenog na 14. sjednici održanoj 24. listopada 2014., Vlada Republike Hrvatske (VRH) obvezna je Hrvatskom</w:t>
      </w:r>
      <w:r w:rsidR="000C006E" w:rsidRPr="00332AB5">
        <w:rPr>
          <w:sz w:val="24"/>
          <w:szCs w:val="24"/>
        </w:rPr>
        <w:t>e</w:t>
      </w:r>
      <w:r w:rsidRPr="00332AB5">
        <w:rPr>
          <w:sz w:val="24"/>
          <w:szCs w:val="24"/>
        </w:rPr>
        <w:t xml:space="preserve"> saboru podnositi redovna šestomjesečna </w:t>
      </w:r>
      <w:r w:rsidR="00920F22" w:rsidRPr="00332AB5">
        <w:rPr>
          <w:sz w:val="24"/>
          <w:szCs w:val="24"/>
        </w:rPr>
        <w:t>i</w:t>
      </w:r>
      <w:r w:rsidRPr="00332AB5">
        <w:rPr>
          <w:sz w:val="24"/>
          <w:szCs w:val="24"/>
        </w:rPr>
        <w:t xml:space="preserve">zvješća o korištenju </w:t>
      </w:r>
      <w:r w:rsidR="00920F22" w:rsidRPr="00332AB5">
        <w:rPr>
          <w:sz w:val="24"/>
          <w:szCs w:val="24"/>
        </w:rPr>
        <w:t>E</w:t>
      </w:r>
      <w:r w:rsidRPr="00332AB5">
        <w:rPr>
          <w:sz w:val="24"/>
          <w:szCs w:val="24"/>
        </w:rPr>
        <w:t>uropskih strukturnih i investicijskih (ESI) fondova i pretpristupnih programa pomoći Europske unije (EU).</w:t>
      </w:r>
    </w:p>
    <w:p w14:paraId="195B07CD" w14:textId="4E45DF7D" w:rsidR="00B34176" w:rsidRPr="00332AB5" w:rsidRDefault="00B34176" w:rsidP="00741C5E">
      <w:pPr>
        <w:spacing w:before="120" w:after="120"/>
        <w:jc w:val="both"/>
        <w:rPr>
          <w:sz w:val="24"/>
          <w:szCs w:val="24"/>
        </w:rPr>
      </w:pPr>
      <w:r w:rsidRPr="00332AB5">
        <w:rPr>
          <w:sz w:val="24"/>
          <w:szCs w:val="24"/>
        </w:rPr>
        <w:t xml:space="preserve">Izvješće o korištenju ESI fondova i pretpristupnih programa pomoći EU za razdoblje od </w:t>
      </w:r>
      <w:bookmarkStart w:id="7" w:name="_Hlk127520780"/>
      <w:r w:rsidR="0011067E" w:rsidRPr="00332AB5">
        <w:rPr>
          <w:sz w:val="24"/>
          <w:szCs w:val="24"/>
        </w:rPr>
        <w:t>1. siječnja</w:t>
      </w:r>
      <w:r w:rsidR="00F35A99" w:rsidRPr="00332AB5">
        <w:rPr>
          <w:sz w:val="24"/>
          <w:szCs w:val="24"/>
        </w:rPr>
        <w:t xml:space="preserve"> do </w:t>
      </w:r>
      <w:r w:rsidR="0011067E" w:rsidRPr="00332AB5">
        <w:rPr>
          <w:sz w:val="24"/>
          <w:szCs w:val="24"/>
        </w:rPr>
        <w:t>30. lipnja 2023.</w:t>
      </w:r>
      <w:r w:rsidRPr="00332AB5">
        <w:rPr>
          <w:sz w:val="24"/>
          <w:szCs w:val="24"/>
        </w:rPr>
        <w:t xml:space="preserve"> </w:t>
      </w:r>
      <w:bookmarkEnd w:id="7"/>
      <w:r w:rsidRPr="00332AB5">
        <w:rPr>
          <w:sz w:val="24"/>
          <w:szCs w:val="24"/>
        </w:rPr>
        <w:t xml:space="preserve">(u daljnjem tekstu: Izvješće) obuhvaća ključne podatke o provedbi (operativnih) programa financijskog razdoblja 2014. – 2020.: Operativnog programa Konkurentnost i kohezija (OPKK), Operativnog programa Učinkoviti ljudski potencijali (OPULJP), Programa ruralnog razvoja (PRR) i Operativnog programa za pomorstvo i ribarstvo (OPPiR) polazeći od financijskih pokazatelja uspješnosti apsorpcije pojedinog (operativnog) programa, i to statusa ugovaranja, plaćanja i ovjeravanja, s posebnim osvrtom na trendove koji se mogu identificirati u odnosu na prethodno izvještajno razdoblje. Pored </w:t>
      </w:r>
      <w:r w:rsidR="009D07D6" w:rsidRPr="00332AB5">
        <w:rPr>
          <w:sz w:val="24"/>
          <w:szCs w:val="24"/>
        </w:rPr>
        <w:t>financijskih</w:t>
      </w:r>
      <w:r w:rsidRPr="00332AB5">
        <w:rPr>
          <w:sz w:val="24"/>
          <w:szCs w:val="24"/>
        </w:rPr>
        <w:t xml:space="preserve"> pokazatelja iskorištenosti ESI fondova za svaki (operativni) program, Izvješće daje opisni prikaz stanja provedbe </w:t>
      </w:r>
      <w:r w:rsidRPr="00332AB5">
        <w:rPr>
          <w:sz w:val="24"/>
          <w:szCs w:val="24"/>
          <w:lang w:bidi="ta-IN"/>
        </w:rPr>
        <w:t>korištenja sredstava iz ESI fondova kroz prikaz pojedinih (operativnih) programa, s informacijama o tijelima u sustavu upravljanja i kontrole, pregledu objavljenih postupaka dodjele bespovratnih sredstava i drugim informacijama relevantnim za izvještajno razdoblje.</w:t>
      </w:r>
    </w:p>
    <w:p w14:paraId="54470183" w14:textId="413610B1" w:rsidR="00B42605" w:rsidRPr="00332AB5" w:rsidRDefault="002609CC" w:rsidP="00741C5E">
      <w:pPr>
        <w:spacing w:before="120" w:after="120"/>
        <w:jc w:val="both"/>
        <w:rPr>
          <w:sz w:val="24"/>
          <w:szCs w:val="24"/>
        </w:rPr>
      </w:pPr>
      <w:r w:rsidRPr="00332AB5">
        <w:rPr>
          <w:sz w:val="24"/>
          <w:szCs w:val="24"/>
        </w:rPr>
        <w:t xml:space="preserve">Također, Izvješće </w:t>
      </w:r>
      <w:r w:rsidR="000A6058" w:rsidRPr="00332AB5">
        <w:rPr>
          <w:sz w:val="24"/>
          <w:szCs w:val="24"/>
        </w:rPr>
        <w:t xml:space="preserve">obuhvaća ključne podatke o </w:t>
      </w:r>
      <w:r w:rsidR="00B42605" w:rsidRPr="00332AB5">
        <w:rPr>
          <w:sz w:val="24"/>
          <w:szCs w:val="24"/>
        </w:rPr>
        <w:t>provedbi Operativnih programa „Promet“</w:t>
      </w:r>
      <w:r w:rsidR="00EC09A7" w:rsidRPr="00332AB5">
        <w:rPr>
          <w:sz w:val="24"/>
          <w:szCs w:val="24"/>
        </w:rPr>
        <w:t xml:space="preserve"> (OPP)</w:t>
      </w:r>
      <w:r w:rsidR="00B42605" w:rsidRPr="00332AB5">
        <w:rPr>
          <w:sz w:val="24"/>
          <w:szCs w:val="24"/>
        </w:rPr>
        <w:t>, „Zaštita okoliša“</w:t>
      </w:r>
      <w:r w:rsidR="00EC09A7" w:rsidRPr="00332AB5">
        <w:rPr>
          <w:sz w:val="24"/>
          <w:szCs w:val="24"/>
        </w:rPr>
        <w:t xml:space="preserve"> (OPZO)</w:t>
      </w:r>
      <w:r w:rsidR="00B42605" w:rsidRPr="00332AB5">
        <w:rPr>
          <w:sz w:val="24"/>
          <w:szCs w:val="24"/>
        </w:rPr>
        <w:t>, „Regionalna konkurentnost“</w:t>
      </w:r>
      <w:r w:rsidR="00EC09A7" w:rsidRPr="00332AB5">
        <w:rPr>
          <w:sz w:val="24"/>
          <w:szCs w:val="24"/>
        </w:rPr>
        <w:t xml:space="preserve"> (OPRK)</w:t>
      </w:r>
      <w:r w:rsidR="00B42605" w:rsidRPr="00332AB5">
        <w:rPr>
          <w:sz w:val="24"/>
          <w:szCs w:val="24"/>
        </w:rPr>
        <w:t>, „Razvoj ljudskih potencijala“</w:t>
      </w:r>
      <w:r w:rsidR="00EC09A7" w:rsidRPr="00332AB5">
        <w:rPr>
          <w:sz w:val="24"/>
          <w:szCs w:val="24"/>
        </w:rPr>
        <w:t xml:space="preserve"> (OPRLJP)</w:t>
      </w:r>
      <w:r w:rsidR="00B42605" w:rsidRPr="00332AB5">
        <w:rPr>
          <w:sz w:val="24"/>
          <w:szCs w:val="24"/>
        </w:rPr>
        <w:t xml:space="preserve"> i Operativnog programa za ribarstvo</w:t>
      </w:r>
      <w:r w:rsidR="008657B2" w:rsidRPr="00332AB5">
        <w:rPr>
          <w:sz w:val="24"/>
          <w:szCs w:val="24"/>
        </w:rPr>
        <w:t xml:space="preserve"> (OPR)</w:t>
      </w:r>
      <w:r w:rsidR="00B42605" w:rsidRPr="00332AB5">
        <w:rPr>
          <w:sz w:val="24"/>
          <w:szCs w:val="24"/>
        </w:rPr>
        <w:t xml:space="preserve">, I, II i V komponente programa </w:t>
      </w:r>
      <w:r w:rsidR="00EC09A7" w:rsidRPr="00332AB5">
        <w:rPr>
          <w:sz w:val="24"/>
          <w:szCs w:val="24"/>
        </w:rPr>
        <w:t>Instrumenta pretpristupne pomoći (</w:t>
      </w:r>
      <w:r w:rsidR="00B42605" w:rsidRPr="00332AB5">
        <w:rPr>
          <w:sz w:val="24"/>
          <w:szCs w:val="24"/>
        </w:rPr>
        <w:t>IPA</w:t>
      </w:r>
      <w:r w:rsidR="00EC09A7" w:rsidRPr="00332AB5">
        <w:rPr>
          <w:sz w:val="24"/>
          <w:szCs w:val="24"/>
        </w:rPr>
        <w:t>)</w:t>
      </w:r>
      <w:r w:rsidR="00B42605" w:rsidRPr="00332AB5">
        <w:rPr>
          <w:sz w:val="24"/>
          <w:szCs w:val="24"/>
        </w:rPr>
        <w:t xml:space="preserve"> u financijskom razdoblju 2007.</w:t>
      </w:r>
      <w:r w:rsidR="007D34AE" w:rsidRPr="00332AB5">
        <w:rPr>
          <w:sz w:val="24"/>
          <w:szCs w:val="24"/>
        </w:rPr>
        <w:t xml:space="preserve"> – </w:t>
      </w:r>
      <w:r w:rsidR="00B42605" w:rsidRPr="00332AB5">
        <w:rPr>
          <w:sz w:val="24"/>
          <w:szCs w:val="24"/>
        </w:rPr>
        <w:t>2013</w:t>
      </w:r>
      <w:r w:rsidR="00D37208" w:rsidRPr="00332AB5">
        <w:rPr>
          <w:sz w:val="24"/>
          <w:szCs w:val="24"/>
        </w:rPr>
        <w:t>.</w:t>
      </w:r>
      <w:r w:rsidR="00B42605" w:rsidRPr="00332AB5">
        <w:rPr>
          <w:sz w:val="24"/>
          <w:szCs w:val="24"/>
        </w:rPr>
        <w:t xml:space="preserve"> Također, Izvješće sadrži i informacije o regionalnoj pokrivenosti (na razini županija, izraženo u postocima) ugovorenih projekata, tamo gdje su predmetni podaci dostupni s obzirom na status provedbe</w:t>
      </w:r>
      <w:r w:rsidR="003B2928" w:rsidRPr="00332AB5">
        <w:rPr>
          <w:sz w:val="24"/>
          <w:szCs w:val="24"/>
        </w:rPr>
        <w:t xml:space="preserve"> te informacije o novoj financijskoj perspektivi 2021.</w:t>
      </w:r>
      <w:r w:rsidR="001E6CF6" w:rsidRPr="00332AB5">
        <w:rPr>
          <w:sz w:val="24"/>
          <w:szCs w:val="24"/>
        </w:rPr>
        <w:t xml:space="preserve"> </w:t>
      </w:r>
      <w:r w:rsidR="003B2928" w:rsidRPr="00332AB5">
        <w:rPr>
          <w:sz w:val="24"/>
          <w:szCs w:val="24"/>
        </w:rPr>
        <w:t>-</w:t>
      </w:r>
      <w:r w:rsidR="007E1376" w:rsidRPr="00332AB5">
        <w:rPr>
          <w:sz w:val="24"/>
          <w:szCs w:val="24"/>
        </w:rPr>
        <w:t xml:space="preserve"> </w:t>
      </w:r>
      <w:r w:rsidR="003B2928" w:rsidRPr="00332AB5">
        <w:rPr>
          <w:sz w:val="24"/>
          <w:szCs w:val="24"/>
        </w:rPr>
        <w:t>2027.</w:t>
      </w:r>
      <w:r w:rsidR="00A86EA2" w:rsidRPr="00332AB5">
        <w:rPr>
          <w:sz w:val="24"/>
          <w:szCs w:val="24"/>
        </w:rPr>
        <w:t xml:space="preserve"> </w:t>
      </w:r>
      <w:r w:rsidR="00B63348" w:rsidRPr="00332AB5">
        <w:rPr>
          <w:sz w:val="24"/>
          <w:szCs w:val="24"/>
        </w:rPr>
        <w:t xml:space="preserve">i </w:t>
      </w:r>
      <w:r w:rsidR="00A0378E" w:rsidRPr="00332AB5">
        <w:rPr>
          <w:sz w:val="24"/>
          <w:szCs w:val="24"/>
        </w:rPr>
        <w:t xml:space="preserve">informacije o </w:t>
      </w:r>
      <w:r w:rsidR="00647523" w:rsidRPr="00332AB5">
        <w:rPr>
          <w:sz w:val="24"/>
          <w:szCs w:val="24"/>
        </w:rPr>
        <w:t>instrumentu Next Generation EU</w:t>
      </w:r>
      <w:r w:rsidR="00A0378E" w:rsidRPr="00332AB5">
        <w:rPr>
          <w:sz w:val="24"/>
          <w:szCs w:val="24"/>
        </w:rPr>
        <w:t>.</w:t>
      </w:r>
    </w:p>
    <w:p w14:paraId="4311E7B7" w14:textId="130F8F8B" w:rsidR="00B655C7" w:rsidRPr="00332AB5" w:rsidRDefault="00B655C7" w:rsidP="00741C5E">
      <w:pPr>
        <w:spacing w:before="120" w:after="120"/>
        <w:jc w:val="both"/>
        <w:rPr>
          <w:sz w:val="24"/>
          <w:szCs w:val="24"/>
        </w:rPr>
      </w:pPr>
      <w:r w:rsidRPr="00332AB5">
        <w:rPr>
          <w:sz w:val="24"/>
          <w:szCs w:val="24"/>
        </w:rPr>
        <w:t>S jedne strane prikazuje se status koji se odnosi na predmetno izvještajno razdoblje (</w:t>
      </w:r>
      <w:r w:rsidR="00E34970" w:rsidRPr="00332AB5">
        <w:rPr>
          <w:sz w:val="24"/>
          <w:szCs w:val="24"/>
        </w:rPr>
        <w:t xml:space="preserve">od </w:t>
      </w:r>
      <w:r w:rsidR="0011067E" w:rsidRPr="00332AB5">
        <w:rPr>
          <w:sz w:val="24"/>
          <w:szCs w:val="24"/>
        </w:rPr>
        <w:t>1. siječnja</w:t>
      </w:r>
      <w:r w:rsidR="000351E8" w:rsidRPr="00332AB5">
        <w:rPr>
          <w:sz w:val="24"/>
          <w:szCs w:val="24"/>
        </w:rPr>
        <w:t xml:space="preserve"> do </w:t>
      </w:r>
      <w:r w:rsidR="0011067E" w:rsidRPr="00332AB5">
        <w:rPr>
          <w:sz w:val="24"/>
          <w:szCs w:val="24"/>
        </w:rPr>
        <w:t>30. lipnja 2023.</w:t>
      </w:r>
      <w:r w:rsidR="00DE4BC5" w:rsidRPr="00332AB5">
        <w:rPr>
          <w:sz w:val="24"/>
          <w:szCs w:val="24"/>
        </w:rPr>
        <w:t>)</w:t>
      </w:r>
      <w:r w:rsidR="00420A6C" w:rsidRPr="00332AB5">
        <w:rPr>
          <w:sz w:val="24"/>
          <w:szCs w:val="24"/>
        </w:rPr>
        <w:t>, a</w:t>
      </w:r>
      <w:r w:rsidRPr="00332AB5">
        <w:rPr>
          <w:sz w:val="24"/>
          <w:szCs w:val="24"/>
        </w:rPr>
        <w:t xml:space="preserve"> s druge strane status koji se odnosi na ukupno, kumulativno razdoblje od početka provedbe zaključno s </w:t>
      </w:r>
      <w:r w:rsidR="0011067E" w:rsidRPr="00332AB5">
        <w:rPr>
          <w:sz w:val="24"/>
          <w:szCs w:val="24"/>
        </w:rPr>
        <w:t>30. lipnja 2023.</w:t>
      </w:r>
    </w:p>
    <w:p w14:paraId="20F32B41" w14:textId="77777777" w:rsidR="00103071" w:rsidRPr="00332AB5" w:rsidRDefault="00CE7D82" w:rsidP="00741C5E">
      <w:pPr>
        <w:spacing w:before="120" w:after="120"/>
        <w:jc w:val="both"/>
        <w:rPr>
          <w:sz w:val="24"/>
          <w:szCs w:val="24"/>
        </w:rPr>
      </w:pPr>
      <w:r w:rsidRPr="00332AB5">
        <w:rPr>
          <w:sz w:val="24"/>
          <w:szCs w:val="24"/>
        </w:rPr>
        <w:t>Nadalje</w:t>
      </w:r>
      <w:r w:rsidR="00B42605" w:rsidRPr="00332AB5">
        <w:rPr>
          <w:sz w:val="24"/>
          <w:szCs w:val="24"/>
        </w:rPr>
        <w:t xml:space="preserve">, Izvješće nudi sažeti pregled utvrđenih nepravilnosti u korištenju fondova </w:t>
      </w:r>
      <w:r w:rsidR="00EC09A7" w:rsidRPr="00332AB5">
        <w:rPr>
          <w:sz w:val="24"/>
          <w:szCs w:val="24"/>
        </w:rPr>
        <w:t>EU</w:t>
      </w:r>
      <w:r w:rsidR="00B42605" w:rsidRPr="00332AB5">
        <w:rPr>
          <w:sz w:val="24"/>
          <w:szCs w:val="24"/>
        </w:rPr>
        <w:t xml:space="preserve"> i poduzetih postupanja po istima</w:t>
      </w:r>
      <w:r w:rsidR="005330F3" w:rsidRPr="00332AB5">
        <w:rPr>
          <w:sz w:val="24"/>
          <w:szCs w:val="24"/>
        </w:rPr>
        <w:t>.</w:t>
      </w:r>
    </w:p>
    <w:p w14:paraId="18F5CFAC" w14:textId="5DA57D0F" w:rsidR="00C14E65" w:rsidRPr="00332AB5" w:rsidRDefault="00C14E65" w:rsidP="00C14E65">
      <w:pPr>
        <w:spacing w:before="120" w:after="120"/>
        <w:jc w:val="both"/>
        <w:rPr>
          <w:sz w:val="24"/>
          <w:szCs w:val="24"/>
        </w:rPr>
      </w:pPr>
      <w:bookmarkStart w:id="8" w:name="_Hlk66869688"/>
      <w:r w:rsidRPr="00332AB5">
        <w:rPr>
          <w:sz w:val="24"/>
          <w:szCs w:val="24"/>
        </w:rPr>
        <w:t xml:space="preserve">Prema podacima Ministarstva financija (MFIN), Republika Hrvatska je od pristupanja Europskoj uniji do 30. lipnja 2023. uplatila u europski proračun oko 5,03 milijardi eura, dok je u istom razdoblju Republici Hrvatskoj iz europskog proračuna uplaćeno 15,93 milijardi eura. U okviru fondova i programa obuhvaćenih ovim Izvješćem u državni proračun RH u </w:t>
      </w:r>
      <w:r w:rsidR="00EB675D" w:rsidRPr="00332AB5">
        <w:rPr>
          <w:sz w:val="24"/>
          <w:szCs w:val="24"/>
        </w:rPr>
        <w:t>razdoblju</w:t>
      </w:r>
      <w:r w:rsidRPr="00332AB5">
        <w:rPr>
          <w:sz w:val="24"/>
          <w:szCs w:val="24"/>
        </w:rPr>
        <w:t xml:space="preserve"> od 1. siječnja do 30. lipnja 2023. uplaćeno je 1,29 milijardi eura. </w:t>
      </w:r>
      <w:bookmarkEnd w:id="8"/>
      <w:r w:rsidRPr="00332AB5">
        <w:rPr>
          <w:sz w:val="24"/>
          <w:szCs w:val="24"/>
        </w:rPr>
        <w:t xml:space="preserve">Bitno je napomenuti da je u okviru komponenti programa IPA i operativnih programa financijskog razdoblja 2007. – 2013. Republici Hrvatskoj ukupno doznačeno 1,13 milijardi eura, a iznos od 852,96 milijuna naveden u tablici ispod </w:t>
      </w:r>
      <w:r w:rsidRPr="00332AB5">
        <w:rPr>
          <w:sz w:val="24"/>
          <w:szCs w:val="24"/>
        </w:rPr>
        <w:lastRenderedPageBreak/>
        <w:t>odnosi se na sredstva doznačena nakon pristupanja Republike Hrvatske Europskoj uniji.</w:t>
      </w:r>
    </w:p>
    <w:p w14:paraId="4991D59E" w14:textId="77777777" w:rsidR="00C14E65" w:rsidRPr="00332AB5" w:rsidRDefault="00C14E65" w:rsidP="00C14E65">
      <w:pPr>
        <w:spacing w:before="120" w:after="120"/>
        <w:jc w:val="both"/>
        <w:rPr>
          <w:sz w:val="24"/>
          <w:szCs w:val="24"/>
        </w:rPr>
      </w:pPr>
    </w:p>
    <w:tbl>
      <w:tblPr>
        <w:tblW w:w="4438" w:type="dxa"/>
        <w:tblLook w:val="04A0" w:firstRow="1" w:lastRow="0" w:firstColumn="1" w:lastColumn="0" w:noHBand="0" w:noVBand="1"/>
      </w:tblPr>
      <w:tblGrid>
        <w:gridCol w:w="2542"/>
        <w:gridCol w:w="2016"/>
      </w:tblGrid>
      <w:tr w:rsidR="00C14E65" w:rsidRPr="00332AB5" w14:paraId="2151049C" w14:textId="77777777" w:rsidTr="00120E3A">
        <w:trPr>
          <w:trHeight w:val="315"/>
        </w:trPr>
        <w:tc>
          <w:tcPr>
            <w:tcW w:w="2542"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7ABCF6FF" w14:textId="77777777" w:rsidR="00C14E65" w:rsidRPr="00332AB5" w:rsidRDefault="00C14E65" w:rsidP="00D274B6">
            <w:pPr>
              <w:rPr>
                <w:color w:val="000000"/>
                <w:sz w:val="22"/>
                <w:szCs w:val="22"/>
              </w:rPr>
            </w:pPr>
            <w:r w:rsidRPr="00332AB5">
              <w:rPr>
                <w:color w:val="000000"/>
                <w:sz w:val="22"/>
                <w:szCs w:val="22"/>
              </w:rPr>
              <w:t>Izvor</w:t>
            </w:r>
          </w:p>
          <w:p w14:paraId="3E5C845B" w14:textId="77777777" w:rsidR="00C14E65" w:rsidRPr="00332AB5" w:rsidRDefault="00C14E65" w:rsidP="00D274B6">
            <w:pPr>
              <w:rPr>
                <w:color w:val="000000"/>
                <w:sz w:val="22"/>
                <w:szCs w:val="22"/>
              </w:rPr>
            </w:pPr>
          </w:p>
        </w:tc>
        <w:tc>
          <w:tcPr>
            <w:tcW w:w="1896" w:type="dxa"/>
            <w:tcBorders>
              <w:top w:val="single" w:sz="8" w:space="0" w:color="000000"/>
              <w:left w:val="nil"/>
              <w:bottom w:val="single" w:sz="8" w:space="0" w:color="000000"/>
              <w:right w:val="single" w:sz="8" w:space="0" w:color="000000"/>
            </w:tcBorders>
            <w:shd w:val="clear" w:color="000000" w:fill="FFFFFF"/>
            <w:noWrap/>
            <w:vAlign w:val="center"/>
            <w:hideMark/>
          </w:tcPr>
          <w:p w14:paraId="7E4E6A4D" w14:textId="77777777" w:rsidR="00C14E65" w:rsidRPr="00332AB5" w:rsidRDefault="00C14E65" w:rsidP="00D274B6">
            <w:pPr>
              <w:rPr>
                <w:color w:val="000000"/>
                <w:sz w:val="22"/>
                <w:szCs w:val="22"/>
              </w:rPr>
            </w:pPr>
            <w:r w:rsidRPr="00332AB5">
              <w:rPr>
                <w:color w:val="000000"/>
                <w:sz w:val="22"/>
                <w:szCs w:val="22"/>
              </w:rPr>
              <w:t>Uplaćeni iznos (EUR)</w:t>
            </w:r>
          </w:p>
        </w:tc>
      </w:tr>
      <w:tr w:rsidR="00120E3A" w:rsidRPr="00332AB5" w14:paraId="02CDCFC9" w14:textId="77777777" w:rsidTr="00120E3A">
        <w:trPr>
          <w:trHeight w:val="315"/>
        </w:trPr>
        <w:tc>
          <w:tcPr>
            <w:tcW w:w="2542" w:type="dxa"/>
            <w:tcBorders>
              <w:top w:val="nil"/>
              <w:left w:val="single" w:sz="8" w:space="0" w:color="000000"/>
              <w:bottom w:val="single" w:sz="8" w:space="0" w:color="000000"/>
              <w:right w:val="single" w:sz="8" w:space="0" w:color="000000"/>
            </w:tcBorders>
            <w:shd w:val="clear" w:color="auto" w:fill="auto"/>
            <w:noWrap/>
            <w:vAlign w:val="center"/>
          </w:tcPr>
          <w:p w14:paraId="3C2A993B" w14:textId="77777777" w:rsidR="00120E3A" w:rsidRPr="00332AB5" w:rsidRDefault="00120E3A" w:rsidP="00120E3A">
            <w:pPr>
              <w:rPr>
                <w:color w:val="000000"/>
                <w:sz w:val="22"/>
                <w:szCs w:val="22"/>
              </w:rPr>
            </w:pPr>
            <w:r w:rsidRPr="00332AB5">
              <w:rPr>
                <w:color w:val="000000"/>
                <w:sz w:val="22"/>
                <w:szCs w:val="22"/>
              </w:rPr>
              <w:t>ESIF 2021. - 2027.</w:t>
            </w:r>
          </w:p>
        </w:tc>
        <w:tc>
          <w:tcPr>
            <w:tcW w:w="1896" w:type="dxa"/>
            <w:tcBorders>
              <w:top w:val="nil"/>
              <w:left w:val="nil"/>
              <w:bottom w:val="single" w:sz="8" w:space="0" w:color="000000"/>
              <w:right w:val="single" w:sz="8" w:space="0" w:color="000000"/>
            </w:tcBorders>
            <w:shd w:val="clear" w:color="auto" w:fill="auto"/>
            <w:noWrap/>
            <w:vAlign w:val="center"/>
          </w:tcPr>
          <w:p w14:paraId="49454DFD" w14:textId="625FB9EA" w:rsidR="00120E3A" w:rsidRPr="00332AB5" w:rsidRDefault="00120E3A" w:rsidP="00120E3A">
            <w:pPr>
              <w:jc w:val="right"/>
              <w:rPr>
                <w:color w:val="000000"/>
                <w:sz w:val="24"/>
                <w:szCs w:val="24"/>
              </w:rPr>
            </w:pPr>
            <w:r w:rsidRPr="00332AB5">
              <w:rPr>
                <w:color w:val="000000"/>
                <w:sz w:val="24"/>
                <w:szCs w:val="24"/>
              </w:rPr>
              <w:t>234.036.467,24</w:t>
            </w:r>
          </w:p>
        </w:tc>
      </w:tr>
      <w:tr w:rsidR="00120E3A" w:rsidRPr="00332AB5" w14:paraId="4044CF8B" w14:textId="77777777" w:rsidTr="00120E3A">
        <w:trPr>
          <w:trHeight w:val="315"/>
        </w:trPr>
        <w:tc>
          <w:tcPr>
            <w:tcW w:w="2542" w:type="dxa"/>
            <w:tcBorders>
              <w:top w:val="nil"/>
              <w:left w:val="single" w:sz="8" w:space="0" w:color="000000"/>
              <w:bottom w:val="single" w:sz="8" w:space="0" w:color="000000"/>
              <w:right w:val="single" w:sz="8" w:space="0" w:color="000000"/>
            </w:tcBorders>
            <w:shd w:val="clear" w:color="auto" w:fill="auto"/>
            <w:noWrap/>
            <w:vAlign w:val="center"/>
          </w:tcPr>
          <w:p w14:paraId="2CA90293" w14:textId="4144B24D" w:rsidR="00120E3A" w:rsidRPr="00332AB5" w:rsidRDefault="00120E3A" w:rsidP="00120E3A">
            <w:pPr>
              <w:rPr>
                <w:color w:val="000000"/>
                <w:sz w:val="22"/>
                <w:szCs w:val="22"/>
              </w:rPr>
            </w:pPr>
            <w:r w:rsidRPr="00332AB5">
              <w:rPr>
                <w:color w:val="000000"/>
                <w:sz w:val="22"/>
                <w:szCs w:val="22"/>
              </w:rPr>
              <w:t>ESI</w:t>
            </w:r>
            <w:r w:rsidR="007316A2" w:rsidRPr="00332AB5">
              <w:rPr>
                <w:color w:val="000000"/>
                <w:sz w:val="22"/>
                <w:szCs w:val="22"/>
              </w:rPr>
              <w:t>F</w:t>
            </w:r>
            <w:r w:rsidRPr="00332AB5">
              <w:rPr>
                <w:color w:val="000000"/>
                <w:sz w:val="22"/>
                <w:szCs w:val="22"/>
              </w:rPr>
              <w:t xml:space="preserve"> 2014. - 2020.</w:t>
            </w:r>
          </w:p>
        </w:tc>
        <w:tc>
          <w:tcPr>
            <w:tcW w:w="1896" w:type="dxa"/>
            <w:tcBorders>
              <w:top w:val="nil"/>
              <w:left w:val="nil"/>
              <w:bottom w:val="single" w:sz="8" w:space="0" w:color="000000"/>
              <w:right w:val="single" w:sz="8" w:space="0" w:color="000000"/>
            </w:tcBorders>
            <w:shd w:val="clear" w:color="auto" w:fill="auto"/>
            <w:noWrap/>
            <w:vAlign w:val="center"/>
          </w:tcPr>
          <w:p w14:paraId="779F95DA" w14:textId="3B19758D" w:rsidR="00120E3A" w:rsidRPr="00332AB5" w:rsidRDefault="00120E3A" w:rsidP="00120E3A">
            <w:pPr>
              <w:jc w:val="right"/>
              <w:rPr>
                <w:color w:val="000000"/>
                <w:sz w:val="24"/>
                <w:szCs w:val="24"/>
              </w:rPr>
            </w:pPr>
            <w:r w:rsidRPr="00332AB5">
              <w:rPr>
                <w:color w:val="000000"/>
                <w:sz w:val="24"/>
                <w:szCs w:val="24"/>
              </w:rPr>
              <w:t>8.422.738.108,48</w:t>
            </w:r>
          </w:p>
        </w:tc>
      </w:tr>
      <w:tr w:rsidR="00120E3A" w:rsidRPr="00332AB5" w14:paraId="10127C01" w14:textId="77777777" w:rsidTr="00120E3A">
        <w:trPr>
          <w:trHeight w:val="315"/>
        </w:trPr>
        <w:tc>
          <w:tcPr>
            <w:tcW w:w="2542"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2ADAF15F" w14:textId="77777777" w:rsidR="00120E3A" w:rsidRPr="00332AB5" w:rsidRDefault="00120E3A" w:rsidP="00120E3A">
            <w:pPr>
              <w:rPr>
                <w:color w:val="000000"/>
                <w:sz w:val="22"/>
                <w:szCs w:val="22"/>
              </w:rPr>
            </w:pPr>
            <w:r w:rsidRPr="00332AB5">
              <w:rPr>
                <w:color w:val="000000"/>
                <w:sz w:val="22"/>
                <w:szCs w:val="22"/>
              </w:rPr>
              <w:t>ESI 2007. - 2013.</w:t>
            </w:r>
          </w:p>
        </w:tc>
        <w:tc>
          <w:tcPr>
            <w:tcW w:w="1896" w:type="dxa"/>
            <w:tcBorders>
              <w:top w:val="single" w:sz="8" w:space="0" w:color="000000"/>
              <w:left w:val="nil"/>
              <w:bottom w:val="single" w:sz="8" w:space="0" w:color="000000"/>
              <w:right w:val="single" w:sz="8" w:space="0" w:color="000000"/>
            </w:tcBorders>
            <w:shd w:val="clear" w:color="auto" w:fill="auto"/>
            <w:noWrap/>
            <w:vAlign w:val="center"/>
            <w:hideMark/>
          </w:tcPr>
          <w:p w14:paraId="2C6A963D" w14:textId="7BC5A8FC" w:rsidR="00120E3A" w:rsidRPr="00332AB5" w:rsidRDefault="00120E3A" w:rsidP="00120E3A">
            <w:pPr>
              <w:jc w:val="right"/>
              <w:rPr>
                <w:color w:val="000000"/>
                <w:sz w:val="24"/>
                <w:szCs w:val="24"/>
              </w:rPr>
            </w:pPr>
            <w:r w:rsidRPr="00332AB5">
              <w:rPr>
                <w:sz w:val="24"/>
                <w:szCs w:val="24"/>
              </w:rPr>
              <w:t>852.961.058,62</w:t>
            </w:r>
          </w:p>
        </w:tc>
      </w:tr>
      <w:tr w:rsidR="00120E3A" w:rsidRPr="00332AB5" w14:paraId="4B69A79A" w14:textId="77777777" w:rsidTr="00120E3A">
        <w:trPr>
          <w:trHeight w:val="315"/>
        </w:trPr>
        <w:tc>
          <w:tcPr>
            <w:tcW w:w="2542" w:type="dxa"/>
            <w:tcBorders>
              <w:top w:val="nil"/>
              <w:left w:val="single" w:sz="8" w:space="0" w:color="000000"/>
              <w:bottom w:val="single" w:sz="8" w:space="0" w:color="000000"/>
              <w:right w:val="single" w:sz="8" w:space="0" w:color="000000"/>
            </w:tcBorders>
            <w:shd w:val="clear" w:color="auto" w:fill="auto"/>
            <w:noWrap/>
            <w:vAlign w:val="center"/>
            <w:hideMark/>
          </w:tcPr>
          <w:p w14:paraId="302BDDAC" w14:textId="77777777" w:rsidR="00120E3A" w:rsidRPr="00332AB5" w:rsidRDefault="00120E3A" w:rsidP="00120E3A">
            <w:pPr>
              <w:rPr>
                <w:color w:val="000000"/>
                <w:sz w:val="22"/>
                <w:szCs w:val="22"/>
              </w:rPr>
            </w:pPr>
            <w:r w:rsidRPr="00332AB5">
              <w:rPr>
                <w:color w:val="000000"/>
                <w:sz w:val="22"/>
                <w:szCs w:val="22"/>
              </w:rPr>
              <w:t>Izravna plaćanja</w:t>
            </w:r>
          </w:p>
        </w:tc>
        <w:tc>
          <w:tcPr>
            <w:tcW w:w="1896" w:type="dxa"/>
            <w:tcBorders>
              <w:top w:val="nil"/>
              <w:left w:val="nil"/>
              <w:bottom w:val="single" w:sz="8" w:space="0" w:color="000000"/>
              <w:right w:val="single" w:sz="8" w:space="0" w:color="000000"/>
            </w:tcBorders>
            <w:shd w:val="clear" w:color="auto" w:fill="auto"/>
            <w:noWrap/>
            <w:vAlign w:val="center"/>
            <w:hideMark/>
          </w:tcPr>
          <w:p w14:paraId="1DE3E8E0" w14:textId="79944D2F" w:rsidR="00120E3A" w:rsidRPr="00332AB5" w:rsidRDefault="00120E3A" w:rsidP="00120E3A">
            <w:pPr>
              <w:jc w:val="right"/>
              <w:rPr>
                <w:color w:val="000000"/>
                <w:sz w:val="24"/>
                <w:szCs w:val="24"/>
              </w:rPr>
            </w:pPr>
            <w:r w:rsidRPr="00332AB5">
              <w:rPr>
                <w:color w:val="000000"/>
                <w:sz w:val="24"/>
                <w:szCs w:val="24"/>
              </w:rPr>
              <w:t>2.593.570.440,11</w:t>
            </w:r>
          </w:p>
        </w:tc>
      </w:tr>
      <w:tr w:rsidR="00120E3A" w:rsidRPr="00332AB5" w14:paraId="2E61243F" w14:textId="77777777" w:rsidTr="00120E3A">
        <w:trPr>
          <w:trHeight w:val="315"/>
        </w:trPr>
        <w:tc>
          <w:tcPr>
            <w:tcW w:w="2542" w:type="dxa"/>
            <w:tcBorders>
              <w:top w:val="nil"/>
              <w:left w:val="single" w:sz="8" w:space="0" w:color="000000"/>
              <w:bottom w:val="single" w:sz="8" w:space="0" w:color="000000"/>
              <w:right w:val="single" w:sz="8" w:space="0" w:color="000000"/>
            </w:tcBorders>
            <w:shd w:val="clear" w:color="auto" w:fill="auto"/>
            <w:noWrap/>
            <w:vAlign w:val="center"/>
          </w:tcPr>
          <w:p w14:paraId="2F4F8AB3" w14:textId="77777777" w:rsidR="00120E3A" w:rsidRPr="00332AB5" w:rsidRDefault="00120E3A" w:rsidP="00120E3A">
            <w:pPr>
              <w:rPr>
                <w:color w:val="000000"/>
                <w:sz w:val="22"/>
                <w:szCs w:val="22"/>
              </w:rPr>
            </w:pPr>
            <w:r w:rsidRPr="00332AB5">
              <w:rPr>
                <w:color w:val="000000"/>
                <w:sz w:val="22"/>
                <w:szCs w:val="22"/>
              </w:rPr>
              <w:t>NPOO</w:t>
            </w:r>
          </w:p>
        </w:tc>
        <w:tc>
          <w:tcPr>
            <w:tcW w:w="1896" w:type="dxa"/>
            <w:tcBorders>
              <w:top w:val="nil"/>
              <w:left w:val="nil"/>
              <w:bottom w:val="single" w:sz="8" w:space="0" w:color="000000"/>
              <w:right w:val="single" w:sz="8" w:space="0" w:color="000000"/>
            </w:tcBorders>
            <w:shd w:val="clear" w:color="auto" w:fill="auto"/>
            <w:noWrap/>
            <w:vAlign w:val="center"/>
          </w:tcPr>
          <w:p w14:paraId="1988C102" w14:textId="4D0C2EFD" w:rsidR="00120E3A" w:rsidRPr="00332AB5" w:rsidRDefault="00120E3A" w:rsidP="00120E3A">
            <w:pPr>
              <w:jc w:val="right"/>
              <w:rPr>
                <w:color w:val="000000"/>
                <w:sz w:val="24"/>
                <w:szCs w:val="24"/>
              </w:rPr>
            </w:pPr>
            <w:r w:rsidRPr="00332AB5">
              <w:rPr>
                <w:color w:val="000000"/>
                <w:sz w:val="24"/>
                <w:szCs w:val="24"/>
              </w:rPr>
              <w:t>2.218.406.049,00</w:t>
            </w:r>
          </w:p>
        </w:tc>
      </w:tr>
      <w:tr w:rsidR="00120E3A" w:rsidRPr="00332AB5" w14:paraId="54C4E0AD" w14:textId="77777777" w:rsidTr="00120E3A">
        <w:trPr>
          <w:trHeight w:val="315"/>
        </w:trPr>
        <w:tc>
          <w:tcPr>
            <w:tcW w:w="2542" w:type="dxa"/>
            <w:tcBorders>
              <w:top w:val="nil"/>
              <w:left w:val="single" w:sz="8" w:space="0" w:color="000000"/>
              <w:bottom w:val="single" w:sz="8" w:space="0" w:color="000000"/>
              <w:right w:val="single" w:sz="8" w:space="0" w:color="000000"/>
            </w:tcBorders>
            <w:shd w:val="clear" w:color="auto" w:fill="auto"/>
            <w:noWrap/>
            <w:vAlign w:val="center"/>
            <w:hideMark/>
          </w:tcPr>
          <w:p w14:paraId="5FB85967" w14:textId="77777777" w:rsidR="00120E3A" w:rsidRPr="00332AB5" w:rsidRDefault="00120E3A" w:rsidP="00120E3A">
            <w:pPr>
              <w:rPr>
                <w:color w:val="000000"/>
                <w:sz w:val="22"/>
                <w:szCs w:val="22"/>
              </w:rPr>
            </w:pPr>
            <w:r w:rsidRPr="00332AB5">
              <w:rPr>
                <w:color w:val="000000"/>
                <w:sz w:val="22"/>
                <w:szCs w:val="22"/>
              </w:rPr>
              <w:t>Ostali izvori</w:t>
            </w:r>
          </w:p>
        </w:tc>
        <w:tc>
          <w:tcPr>
            <w:tcW w:w="1896" w:type="dxa"/>
            <w:tcBorders>
              <w:top w:val="nil"/>
              <w:left w:val="nil"/>
              <w:bottom w:val="single" w:sz="8" w:space="0" w:color="000000"/>
              <w:right w:val="single" w:sz="8" w:space="0" w:color="000000"/>
            </w:tcBorders>
            <w:shd w:val="clear" w:color="auto" w:fill="auto"/>
            <w:noWrap/>
            <w:vAlign w:val="center"/>
            <w:hideMark/>
          </w:tcPr>
          <w:p w14:paraId="3E4AC06D" w14:textId="5877DC6D" w:rsidR="00120E3A" w:rsidRPr="00332AB5" w:rsidRDefault="00120E3A" w:rsidP="00120E3A">
            <w:pPr>
              <w:jc w:val="right"/>
              <w:rPr>
                <w:color w:val="000000"/>
                <w:sz w:val="24"/>
                <w:szCs w:val="24"/>
              </w:rPr>
            </w:pPr>
            <w:r w:rsidRPr="00332AB5">
              <w:rPr>
                <w:color w:val="000000"/>
                <w:sz w:val="24"/>
                <w:szCs w:val="24"/>
              </w:rPr>
              <w:t>1.609.343.018,15</w:t>
            </w:r>
          </w:p>
        </w:tc>
      </w:tr>
      <w:tr w:rsidR="00120E3A" w:rsidRPr="00332AB5" w14:paraId="63D18BC1" w14:textId="77777777" w:rsidTr="00120E3A">
        <w:trPr>
          <w:trHeight w:val="557"/>
        </w:trPr>
        <w:tc>
          <w:tcPr>
            <w:tcW w:w="2542" w:type="dxa"/>
            <w:tcBorders>
              <w:top w:val="nil"/>
              <w:left w:val="single" w:sz="8" w:space="0" w:color="000000"/>
              <w:bottom w:val="single" w:sz="8" w:space="0" w:color="000000"/>
              <w:right w:val="single" w:sz="8" w:space="0" w:color="000000"/>
            </w:tcBorders>
            <w:shd w:val="clear" w:color="auto" w:fill="auto"/>
            <w:noWrap/>
            <w:vAlign w:val="center"/>
            <w:hideMark/>
          </w:tcPr>
          <w:p w14:paraId="1FEC26D7" w14:textId="77777777" w:rsidR="00120E3A" w:rsidRPr="00332AB5" w:rsidRDefault="00120E3A" w:rsidP="00120E3A">
            <w:pPr>
              <w:rPr>
                <w:b/>
                <w:bCs/>
                <w:color w:val="000000"/>
                <w:sz w:val="22"/>
                <w:szCs w:val="22"/>
              </w:rPr>
            </w:pPr>
            <w:r w:rsidRPr="00332AB5">
              <w:rPr>
                <w:b/>
                <w:bCs/>
                <w:color w:val="000000"/>
                <w:sz w:val="22"/>
                <w:szCs w:val="22"/>
              </w:rPr>
              <w:t>UKUPNO</w:t>
            </w:r>
          </w:p>
        </w:tc>
        <w:tc>
          <w:tcPr>
            <w:tcW w:w="1896" w:type="dxa"/>
            <w:tcBorders>
              <w:top w:val="nil"/>
              <w:left w:val="nil"/>
              <w:bottom w:val="single" w:sz="8" w:space="0" w:color="000000"/>
              <w:right w:val="single" w:sz="8" w:space="0" w:color="000000"/>
            </w:tcBorders>
            <w:shd w:val="clear" w:color="auto" w:fill="auto"/>
            <w:noWrap/>
            <w:vAlign w:val="center"/>
            <w:hideMark/>
          </w:tcPr>
          <w:p w14:paraId="6EF2631F" w14:textId="13866695" w:rsidR="00120E3A" w:rsidRPr="00332AB5" w:rsidRDefault="00120E3A" w:rsidP="00120E3A">
            <w:pPr>
              <w:jc w:val="right"/>
              <w:rPr>
                <w:b/>
                <w:bCs/>
                <w:sz w:val="22"/>
                <w:szCs w:val="22"/>
              </w:rPr>
            </w:pPr>
            <w:r w:rsidRPr="00332AB5">
              <w:rPr>
                <w:b/>
                <w:bCs/>
                <w:color w:val="000000"/>
                <w:sz w:val="24"/>
                <w:szCs w:val="24"/>
              </w:rPr>
              <w:t>15.931.055.141,60</w:t>
            </w:r>
          </w:p>
        </w:tc>
      </w:tr>
    </w:tbl>
    <w:p w14:paraId="42877526" w14:textId="67041BF1" w:rsidR="00560573" w:rsidRPr="00332AB5" w:rsidRDefault="00C14E65" w:rsidP="00741C5E">
      <w:pPr>
        <w:spacing w:before="120" w:after="120"/>
        <w:jc w:val="both"/>
        <w:rPr>
          <w:sz w:val="24"/>
          <w:szCs w:val="24"/>
        </w:rPr>
      </w:pPr>
      <w:r w:rsidRPr="00332AB5">
        <w:rPr>
          <w:sz w:val="24"/>
          <w:szCs w:val="24"/>
        </w:rPr>
        <w:t xml:space="preserve">Tablica I: Iznosi uplaćeni iz europskog proračuna u proračun RH od pristupanja Europskoj uniji do 30. lipnja 2023. </w:t>
      </w:r>
      <w:r w:rsidR="00560573" w:rsidRPr="00332AB5">
        <w:rPr>
          <w:sz w:val="24"/>
          <w:szCs w:val="24"/>
        </w:rPr>
        <w:br w:type="page"/>
      </w:r>
    </w:p>
    <w:p w14:paraId="61A60513" w14:textId="4C52869E" w:rsidR="00E46443" w:rsidRPr="00332AB5" w:rsidRDefault="0087678A" w:rsidP="00E2152B">
      <w:pPr>
        <w:pStyle w:val="Heading1"/>
        <w:jc w:val="both"/>
      </w:pPr>
      <w:bookmarkStart w:id="9" w:name="_Toc351026056"/>
      <w:bookmarkStart w:id="10" w:name="_Toc351361250"/>
      <w:bookmarkStart w:id="11" w:name="_Toc351361495"/>
      <w:bookmarkStart w:id="12" w:name="_Toc351361536"/>
      <w:bookmarkStart w:id="13" w:name="_Toc351361583"/>
      <w:bookmarkStart w:id="14" w:name="_Toc351444782"/>
      <w:bookmarkStart w:id="15" w:name="_Toc351465557"/>
      <w:bookmarkStart w:id="16" w:name="_Toc357071061"/>
      <w:bookmarkStart w:id="17" w:name="_Toc372635449"/>
      <w:bookmarkStart w:id="18" w:name="_Toc152595214"/>
      <w:r w:rsidRPr="00332AB5">
        <w:lastRenderedPageBreak/>
        <w:t xml:space="preserve">SAŽETI PREGLED PROVEDBE </w:t>
      </w:r>
      <w:r w:rsidR="00B34176" w:rsidRPr="00332AB5">
        <w:rPr>
          <w:spacing w:val="-4"/>
        </w:rPr>
        <w:t xml:space="preserve">EUROPSKIH STRUKTURNIH I INVESTICIJSKIH FONDOVA, </w:t>
      </w:r>
      <w:r w:rsidR="00AE21C3" w:rsidRPr="00332AB5">
        <w:rPr>
          <w:spacing w:val="-4"/>
        </w:rPr>
        <w:t xml:space="preserve">INSTRUMENATA NEXT GENERATION EU, </w:t>
      </w:r>
      <w:r w:rsidR="00B34176" w:rsidRPr="00332AB5">
        <w:rPr>
          <w:spacing w:val="-4"/>
        </w:rPr>
        <w:t>STRUKTURNIH INSTRUMENATA EUROPSKE UNIJE I INSTRUMENTA PRETPRISTUPNE POMOĆI PROGRAMA IPA</w:t>
      </w:r>
      <w:bookmarkStart w:id="19" w:name="_Toc357071065"/>
      <w:bookmarkStart w:id="20" w:name="_Toc372635452"/>
      <w:bookmarkStart w:id="21" w:name="_Toc351444784"/>
      <w:bookmarkStart w:id="22" w:name="_Toc351465558"/>
      <w:bookmarkEnd w:id="9"/>
      <w:bookmarkEnd w:id="10"/>
      <w:bookmarkEnd w:id="11"/>
      <w:bookmarkEnd w:id="12"/>
      <w:bookmarkEnd w:id="13"/>
      <w:bookmarkEnd w:id="14"/>
      <w:bookmarkEnd w:id="15"/>
      <w:bookmarkEnd w:id="16"/>
      <w:bookmarkEnd w:id="17"/>
      <w:bookmarkEnd w:id="18"/>
    </w:p>
    <w:p w14:paraId="391D94AD" w14:textId="77777777" w:rsidR="00476225" w:rsidRPr="00332AB5" w:rsidRDefault="00476225" w:rsidP="00E2152B">
      <w:pPr>
        <w:pStyle w:val="Heading2"/>
        <w:numPr>
          <w:ilvl w:val="1"/>
          <w:numId w:val="3"/>
        </w:numPr>
      </w:pPr>
      <w:bookmarkStart w:id="23" w:name="_Toc152595215"/>
      <w:bookmarkStart w:id="24" w:name="_Hlk148442892"/>
      <w:r w:rsidRPr="00332AB5">
        <w:t xml:space="preserve">PREGLED PROVEDBE </w:t>
      </w:r>
      <w:r w:rsidR="00185551" w:rsidRPr="00332AB5">
        <w:t>(</w:t>
      </w:r>
      <w:r w:rsidRPr="00332AB5">
        <w:t>OPERATIVNIH</w:t>
      </w:r>
      <w:r w:rsidR="00185551" w:rsidRPr="00332AB5">
        <w:t>)</w:t>
      </w:r>
      <w:r w:rsidRPr="00332AB5">
        <w:t xml:space="preserve"> PROGRAMA FINANCIJSKOG RAZDOBLJA 2014. – 2020.</w:t>
      </w:r>
      <w:bookmarkEnd w:id="23"/>
    </w:p>
    <w:p w14:paraId="51981495" w14:textId="187CF8E9" w:rsidR="00815206" w:rsidRPr="00332AB5" w:rsidRDefault="007E7544" w:rsidP="00815206">
      <w:pPr>
        <w:spacing w:before="120" w:after="120"/>
        <w:jc w:val="both"/>
        <w:rPr>
          <w:sz w:val="24"/>
          <w:szCs w:val="24"/>
        </w:rPr>
      </w:pPr>
      <w:bookmarkStart w:id="25" w:name="_Hlk61439430"/>
      <w:r w:rsidRPr="00332AB5">
        <w:rPr>
          <w:sz w:val="24"/>
          <w:szCs w:val="24"/>
          <w:lang w:bidi="ta-IN"/>
        </w:rPr>
        <w:t xml:space="preserve">U izvještajnom razdoblju došlo je do rasta svih financijskih pokazatelja provedbe. Ugovoreno je projekata u vrijednosti od </w:t>
      </w:r>
      <w:r w:rsidR="009D0DF4" w:rsidRPr="00332AB5">
        <w:rPr>
          <w:sz w:val="24"/>
          <w:szCs w:val="24"/>
          <w:lang w:bidi="ta-IN"/>
        </w:rPr>
        <w:t>265,71</w:t>
      </w:r>
      <w:r w:rsidRPr="00332AB5">
        <w:rPr>
          <w:sz w:val="24"/>
          <w:szCs w:val="24"/>
          <w:lang w:bidi="ta-IN"/>
        </w:rPr>
        <w:t xml:space="preserve"> milijuna eura, odnosno </w:t>
      </w:r>
      <w:r w:rsidR="002658DB" w:rsidRPr="00332AB5">
        <w:rPr>
          <w:sz w:val="24"/>
          <w:szCs w:val="24"/>
          <w:lang w:bidi="ta-IN"/>
        </w:rPr>
        <w:t>1,</w:t>
      </w:r>
      <w:r w:rsidR="009D0DF4" w:rsidRPr="00332AB5">
        <w:rPr>
          <w:sz w:val="24"/>
          <w:szCs w:val="24"/>
          <w:lang w:bidi="ta-IN"/>
        </w:rPr>
        <w:t>89</w:t>
      </w:r>
      <w:r w:rsidRPr="00332AB5">
        <w:rPr>
          <w:sz w:val="24"/>
          <w:szCs w:val="24"/>
          <w:lang w:bidi="ta-IN"/>
        </w:rPr>
        <w:t xml:space="preserve"> % od ukupno ugovorenih sredstava od početka provedbe. Krajnjim korisnicima i ugovarateljima plaćeno je </w:t>
      </w:r>
      <w:r w:rsidR="009D0DF4" w:rsidRPr="00332AB5">
        <w:rPr>
          <w:sz w:val="24"/>
          <w:szCs w:val="24"/>
          <w:lang w:bidi="ta-IN"/>
        </w:rPr>
        <w:t>895,09</w:t>
      </w:r>
      <w:r w:rsidRPr="00332AB5">
        <w:rPr>
          <w:sz w:val="24"/>
          <w:szCs w:val="24"/>
          <w:lang w:bidi="ta-IN"/>
        </w:rPr>
        <w:t xml:space="preserve"> milijuna eura, odnosno </w:t>
      </w:r>
      <w:r w:rsidR="009D0DF4" w:rsidRPr="00332AB5">
        <w:rPr>
          <w:sz w:val="24"/>
          <w:szCs w:val="24"/>
          <w:lang w:bidi="ta-IN"/>
        </w:rPr>
        <w:t>9,27</w:t>
      </w:r>
      <w:r w:rsidRPr="00332AB5">
        <w:rPr>
          <w:sz w:val="24"/>
          <w:szCs w:val="24"/>
          <w:lang w:bidi="ta-IN"/>
        </w:rPr>
        <w:t xml:space="preserve"> % od ukupno plaćenog iznosa od početka provedbe. Ovjereno je </w:t>
      </w:r>
      <w:r w:rsidR="009D0DF4" w:rsidRPr="00332AB5">
        <w:rPr>
          <w:sz w:val="24"/>
          <w:szCs w:val="24"/>
          <w:lang w:bidi="ta-IN"/>
        </w:rPr>
        <w:t>356,33</w:t>
      </w:r>
      <w:r w:rsidRPr="00332AB5">
        <w:rPr>
          <w:sz w:val="24"/>
          <w:szCs w:val="24"/>
          <w:lang w:bidi="ta-IN"/>
        </w:rPr>
        <w:t xml:space="preserve"> milijuna eura, odnosno </w:t>
      </w:r>
      <w:r w:rsidR="009D0DF4" w:rsidRPr="00332AB5">
        <w:rPr>
          <w:sz w:val="24"/>
          <w:szCs w:val="24"/>
          <w:lang w:bidi="ta-IN"/>
        </w:rPr>
        <w:t>4,48</w:t>
      </w:r>
      <w:r w:rsidRPr="00332AB5">
        <w:rPr>
          <w:sz w:val="24"/>
          <w:szCs w:val="24"/>
          <w:lang w:bidi="ta-IN"/>
        </w:rPr>
        <w:t xml:space="preserve"> % od ukupno ovjerenog iznosa od početka provedbe. Istovremeno je Europska komisija (EK) doznačila iznos od </w:t>
      </w:r>
      <w:r w:rsidR="0054343D" w:rsidRPr="00332AB5">
        <w:rPr>
          <w:sz w:val="24"/>
          <w:szCs w:val="24"/>
          <w:lang w:bidi="ta-IN"/>
        </w:rPr>
        <w:t>797,04</w:t>
      </w:r>
      <w:r w:rsidRPr="00332AB5">
        <w:rPr>
          <w:sz w:val="24"/>
          <w:szCs w:val="24"/>
          <w:lang w:bidi="ta-IN"/>
        </w:rPr>
        <w:t xml:space="preserve"> milijuna eura, što predstavlja </w:t>
      </w:r>
      <w:r w:rsidR="0054343D" w:rsidRPr="00332AB5">
        <w:rPr>
          <w:sz w:val="24"/>
          <w:szCs w:val="24"/>
          <w:lang w:bidi="ta-IN"/>
        </w:rPr>
        <w:t>9,</w:t>
      </w:r>
      <w:r w:rsidR="00E60773" w:rsidRPr="00332AB5">
        <w:rPr>
          <w:sz w:val="24"/>
          <w:szCs w:val="24"/>
          <w:lang w:bidi="ta-IN"/>
        </w:rPr>
        <w:t>72</w:t>
      </w:r>
      <w:r w:rsidRPr="00332AB5">
        <w:rPr>
          <w:sz w:val="24"/>
          <w:szCs w:val="24"/>
          <w:lang w:bidi="ta-IN"/>
        </w:rPr>
        <w:t xml:space="preserve"> % ukupno doznačenog iznosa od početka provedbe programa.</w:t>
      </w:r>
    </w:p>
    <w:p w14:paraId="27BD4FBF" w14:textId="17105E1B" w:rsidR="007E7544" w:rsidRPr="00332AB5" w:rsidRDefault="007E7544" w:rsidP="007E7544">
      <w:pPr>
        <w:spacing w:before="120" w:after="120"/>
        <w:jc w:val="both"/>
        <w:rPr>
          <w:sz w:val="24"/>
          <w:szCs w:val="24"/>
        </w:rPr>
      </w:pPr>
      <w:r w:rsidRPr="00332AB5">
        <w:rPr>
          <w:sz w:val="24"/>
          <w:szCs w:val="24"/>
        </w:rPr>
        <w:t xml:space="preserve">Na dan </w:t>
      </w:r>
      <w:r w:rsidR="0011067E" w:rsidRPr="00332AB5">
        <w:rPr>
          <w:sz w:val="24"/>
          <w:szCs w:val="24"/>
        </w:rPr>
        <w:t>30. lipnja 2023.</w:t>
      </w:r>
      <w:r w:rsidRPr="00332AB5">
        <w:rPr>
          <w:sz w:val="24"/>
          <w:szCs w:val="24"/>
        </w:rPr>
        <w:t xml:space="preserve"> ukupno je ugovoreno </w:t>
      </w:r>
      <w:r w:rsidR="009D0DF4" w:rsidRPr="00332AB5">
        <w:rPr>
          <w:sz w:val="24"/>
          <w:szCs w:val="24"/>
        </w:rPr>
        <w:t>14,06</w:t>
      </w:r>
      <w:r w:rsidRPr="00332AB5">
        <w:rPr>
          <w:sz w:val="24"/>
          <w:szCs w:val="24"/>
        </w:rPr>
        <w:t xml:space="preserve"> milijardi eura, odnosno </w:t>
      </w:r>
      <w:r w:rsidR="009D0DF4" w:rsidRPr="00332AB5">
        <w:rPr>
          <w:sz w:val="24"/>
          <w:szCs w:val="24"/>
        </w:rPr>
        <w:t>124,07</w:t>
      </w:r>
      <w:r w:rsidRPr="00332AB5">
        <w:rPr>
          <w:sz w:val="24"/>
          <w:szCs w:val="24"/>
        </w:rPr>
        <w:t xml:space="preserve"> % ukupno dodijeljenih sredstava. Ukupno je plaćeno </w:t>
      </w:r>
      <w:r w:rsidR="00707474" w:rsidRPr="00332AB5">
        <w:rPr>
          <w:sz w:val="24"/>
          <w:szCs w:val="24"/>
        </w:rPr>
        <w:t>9,66</w:t>
      </w:r>
      <w:r w:rsidRPr="00332AB5">
        <w:rPr>
          <w:sz w:val="24"/>
          <w:szCs w:val="24"/>
        </w:rPr>
        <w:t xml:space="preserve"> milijardi eura, odnosno </w:t>
      </w:r>
      <w:r w:rsidR="00707474" w:rsidRPr="00332AB5">
        <w:rPr>
          <w:sz w:val="24"/>
          <w:szCs w:val="24"/>
        </w:rPr>
        <w:t>85,26</w:t>
      </w:r>
      <w:r w:rsidRPr="00332AB5">
        <w:rPr>
          <w:sz w:val="24"/>
          <w:szCs w:val="24"/>
        </w:rPr>
        <w:t xml:space="preserve"> % dodijeljenih sredstava. Ukupno je ovjereno </w:t>
      </w:r>
      <w:r w:rsidR="00AF1939" w:rsidRPr="00332AB5">
        <w:rPr>
          <w:sz w:val="24"/>
          <w:szCs w:val="24"/>
        </w:rPr>
        <w:t>7,</w:t>
      </w:r>
      <w:r w:rsidR="00707474" w:rsidRPr="00332AB5">
        <w:rPr>
          <w:sz w:val="24"/>
          <w:szCs w:val="24"/>
        </w:rPr>
        <w:t>96</w:t>
      </w:r>
      <w:r w:rsidR="00902C4D" w:rsidRPr="00332AB5">
        <w:rPr>
          <w:sz w:val="24"/>
          <w:szCs w:val="24"/>
        </w:rPr>
        <w:t xml:space="preserve"> </w:t>
      </w:r>
      <w:r w:rsidRPr="00332AB5">
        <w:rPr>
          <w:sz w:val="24"/>
          <w:szCs w:val="24"/>
        </w:rPr>
        <w:t xml:space="preserve">milijardi eura, odnosno </w:t>
      </w:r>
      <w:r w:rsidR="00707474" w:rsidRPr="00332AB5">
        <w:rPr>
          <w:sz w:val="24"/>
          <w:szCs w:val="24"/>
        </w:rPr>
        <w:t>70,27</w:t>
      </w:r>
      <w:r w:rsidRPr="00332AB5">
        <w:rPr>
          <w:sz w:val="24"/>
          <w:szCs w:val="24"/>
        </w:rPr>
        <w:t xml:space="preserve"> % dodijeljenih sredstava te je ukupno doznačeno </w:t>
      </w:r>
      <w:r w:rsidR="005440D5" w:rsidRPr="00332AB5">
        <w:rPr>
          <w:bCs/>
          <w:sz w:val="24"/>
          <w:szCs w:val="24"/>
        </w:rPr>
        <w:t>8,</w:t>
      </w:r>
      <w:r w:rsidR="0054343D" w:rsidRPr="00332AB5">
        <w:rPr>
          <w:bCs/>
          <w:sz w:val="24"/>
          <w:szCs w:val="24"/>
        </w:rPr>
        <w:t>20</w:t>
      </w:r>
      <w:r w:rsidRPr="00332AB5">
        <w:rPr>
          <w:bCs/>
          <w:sz w:val="24"/>
          <w:szCs w:val="24"/>
        </w:rPr>
        <w:t xml:space="preserve"> </w:t>
      </w:r>
      <w:r w:rsidRPr="00332AB5">
        <w:rPr>
          <w:sz w:val="24"/>
          <w:szCs w:val="24"/>
        </w:rPr>
        <w:t xml:space="preserve">milijardi eura odnosno </w:t>
      </w:r>
      <w:r w:rsidR="005440D5" w:rsidRPr="00332AB5">
        <w:rPr>
          <w:sz w:val="24"/>
          <w:szCs w:val="24"/>
        </w:rPr>
        <w:t>7</w:t>
      </w:r>
      <w:r w:rsidR="0054343D" w:rsidRPr="00332AB5">
        <w:rPr>
          <w:sz w:val="24"/>
          <w:szCs w:val="24"/>
        </w:rPr>
        <w:t>2,41</w:t>
      </w:r>
      <w:r w:rsidRPr="00332AB5">
        <w:rPr>
          <w:sz w:val="24"/>
          <w:szCs w:val="24"/>
        </w:rPr>
        <w:t xml:space="preserve"> % dodijeljenih sredstava, koja za (operativne) programe financijskog razdoblja 2014. </w:t>
      </w:r>
      <w:r w:rsidR="005076F9" w:rsidRPr="00332AB5">
        <w:rPr>
          <w:sz w:val="24"/>
          <w:szCs w:val="24"/>
        </w:rPr>
        <w:t>-</w:t>
      </w:r>
      <w:r w:rsidRPr="00332AB5">
        <w:rPr>
          <w:sz w:val="24"/>
          <w:szCs w:val="24"/>
        </w:rPr>
        <w:t xml:space="preserve"> 2020. iznose </w:t>
      </w:r>
      <w:r w:rsidR="00F540AD" w:rsidRPr="00332AB5">
        <w:rPr>
          <w:sz w:val="24"/>
          <w:szCs w:val="24"/>
        </w:rPr>
        <w:t>11,33</w:t>
      </w:r>
      <w:r w:rsidRPr="00332AB5">
        <w:rPr>
          <w:sz w:val="24"/>
          <w:szCs w:val="24"/>
        </w:rPr>
        <w:t xml:space="preserve"> milijarde eura.</w:t>
      </w:r>
      <w:r w:rsidR="001C29DC" w:rsidRPr="00332AB5">
        <w:rPr>
          <w:sz w:val="24"/>
          <w:szCs w:val="24"/>
        </w:rPr>
        <w:t xml:space="preserve"> </w:t>
      </w:r>
    </w:p>
    <w:bookmarkEnd w:id="25"/>
    <w:p w14:paraId="69A60C22" w14:textId="77777777" w:rsidR="00753F1B" w:rsidRPr="00332AB5" w:rsidRDefault="00753F1B" w:rsidP="00741C5E">
      <w:pPr>
        <w:spacing w:before="120" w:after="120"/>
        <w:jc w:val="both"/>
        <w:rPr>
          <w:b/>
          <w:bCs/>
        </w:rPr>
      </w:pPr>
    </w:p>
    <w:p w14:paraId="222C7036" w14:textId="093066F4" w:rsidR="00B224A7" w:rsidRPr="00332AB5" w:rsidRDefault="00F2296E" w:rsidP="00741C5E">
      <w:pPr>
        <w:spacing w:before="120" w:after="120"/>
        <w:jc w:val="both"/>
        <w:rPr>
          <w:b/>
          <w:bCs/>
        </w:rPr>
      </w:pPr>
      <w:bookmarkStart w:id="26" w:name="_Toc152595275"/>
      <w:r w:rsidRPr="00332AB5">
        <w:rPr>
          <w:b/>
          <w:bCs/>
        </w:rPr>
        <w:t xml:space="preserve">Tablica </w:t>
      </w:r>
      <w:r w:rsidR="008C2CC3" w:rsidRPr="00332AB5">
        <w:rPr>
          <w:b/>
          <w:bCs/>
        </w:rPr>
        <w:fldChar w:fldCharType="begin"/>
      </w:r>
      <w:r w:rsidR="00BE6224" w:rsidRPr="00332AB5">
        <w:rPr>
          <w:b/>
          <w:bCs/>
        </w:rPr>
        <w:instrText xml:space="preserve"> SEQ Tablica \* ARABIC </w:instrText>
      </w:r>
      <w:r w:rsidR="008C2CC3" w:rsidRPr="00332AB5">
        <w:rPr>
          <w:b/>
          <w:bCs/>
        </w:rPr>
        <w:fldChar w:fldCharType="separate"/>
      </w:r>
      <w:r w:rsidR="005E6E46">
        <w:rPr>
          <w:b/>
          <w:bCs/>
          <w:noProof/>
        </w:rPr>
        <w:t>1</w:t>
      </w:r>
      <w:r w:rsidR="008C2CC3" w:rsidRPr="00332AB5">
        <w:rPr>
          <w:b/>
          <w:bCs/>
        </w:rPr>
        <w:fldChar w:fldCharType="end"/>
      </w:r>
      <w:r w:rsidRPr="00332AB5">
        <w:rPr>
          <w:b/>
          <w:bCs/>
        </w:rPr>
        <w:t xml:space="preserve">: </w:t>
      </w:r>
      <w:r w:rsidR="00B224A7" w:rsidRPr="00332AB5">
        <w:rPr>
          <w:b/>
          <w:bCs/>
        </w:rPr>
        <w:t xml:space="preserve">Financijski pokazatelji statusa provedbe (operativnih) programa financijskog razdoblja 2014. – 2020. u izvještajnom razdoblju </w:t>
      </w:r>
      <w:bookmarkStart w:id="27" w:name="_Hlk56158185"/>
      <w:r w:rsidR="00B224A7" w:rsidRPr="00332AB5">
        <w:rPr>
          <w:b/>
          <w:bCs/>
        </w:rPr>
        <w:t xml:space="preserve">od </w:t>
      </w:r>
      <w:bookmarkEnd w:id="27"/>
      <w:r w:rsidR="0011067E" w:rsidRPr="00332AB5">
        <w:rPr>
          <w:b/>
          <w:bCs/>
        </w:rPr>
        <w:t>1. siječnja</w:t>
      </w:r>
      <w:r w:rsidR="000351E8" w:rsidRPr="00332AB5">
        <w:rPr>
          <w:b/>
          <w:bCs/>
        </w:rPr>
        <w:t xml:space="preserve"> do </w:t>
      </w:r>
      <w:r w:rsidR="0011067E" w:rsidRPr="00332AB5">
        <w:rPr>
          <w:b/>
          <w:bCs/>
        </w:rPr>
        <w:t>30. lipnja 2023.</w:t>
      </w:r>
      <w:r w:rsidR="000351E8" w:rsidRPr="00332AB5">
        <w:rPr>
          <w:b/>
          <w:bCs/>
        </w:rPr>
        <w:t xml:space="preserve"> </w:t>
      </w:r>
      <w:r w:rsidR="00B224A7" w:rsidRPr="00332AB5">
        <w:rPr>
          <w:b/>
          <w:bCs/>
        </w:rPr>
        <w:t>(sredstva EU, u milijunima eura i postocima od dodijeljenih sredstava)</w:t>
      </w:r>
      <w:bookmarkEnd w:id="26"/>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1089"/>
        <w:gridCol w:w="998"/>
        <w:gridCol w:w="635"/>
        <w:gridCol w:w="1089"/>
        <w:gridCol w:w="635"/>
        <w:gridCol w:w="1089"/>
        <w:gridCol w:w="635"/>
        <w:gridCol w:w="1089"/>
        <w:gridCol w:w="776"/>
      </w:tblGrid>
      <w:tr w:rsidR="00B60A46" w:rsidRPr="00332AB5" w14:paraId="07516F43" w14:textId="77777777" w:rsidTr="007D1CB1">
        <w:trPr>
          <w:trHeight w:val="737"/>
        </w:trPr>
        <w:tc>
          <w:tcPr>
            <w:tcW w:w="1179" w:type="dxa"/>
            <w:shd w:val="clear" w:color="auto" w:fill="auto"/>
            <w:vAlign w:val="center"/>
          </w:tcPr>
          <w:p w14:paraId="4F6E83DF" w14:textId="77777777" w:rsidR="00B60A46" w:rsidRPr="00332AB5" w:rsidRDefault="00B60A46" w:rsidP="00987732">
            <w:pPr>
              <w:spacing w:after="60"/>
              <w:rPr>
                <w:sz w:val="16"/>
                <w:szCs w:val="24"/>
              </w:rPr>
            </w:pPr>
            <w:bookmarkStart w:id="28" w:name="_Hlk83647086"/>
            <w:r w:rsidRPr="00332AB5">
              <w:rPr>
                <w:rFonts w:asciiTheme="minorHAnsi" w:hAnsiTheme="minorHAnsi" w:cstheme="minorHAnsi"/>
                <w:sz w:val="16"/>
              </w:rPr>
              <w:t>(Operativni) program</w:t>
            </w:r>
            <w:r w:rsidRPr="00332AB5">
              <w:rPr>
                <w:rStyle w:val="FootnoteReference"/>
                <w:rFonts w:asciiTheme="minorHAnsi" w:hAnsiTheme="minorHAnsi" w:cstheme="minorHAnsi"/>
                <w:sz w:val="16"/>
              </w:rPr>
              <w:footnoteReference w:id="2"/>
            </w:r>
          </w:p>
        </w:tc>
        <w:tc>
          <w:tcPr>
            <w:tcW w:w="1089" w:type="dxa"/>
            <w:tcBorders>
              <w:bottom w:val="single" w:sz="4" w:space="0" w:color="808080" w:themeColor="background1" w:themeShade="80"/>
            </w:tcBorders>
            <w:shd w:val="clear" w:color="auto" w:fill="auto"/>
            <w:vAlign w:val="center"/>
          </w:tcPr>
          <w:p w14:paraId="5DC5ED62" w14:textId="77777777" w:rsidR="00B60A46" w:rsidRPr="00332AB5" w:rsidRDefault="00B60A46" w:rsidP="00987732">
            <w:pPr>
              <w:spacing w:after="60"/>
              <w:jc w:val="right"/>
              <w:rPr>
                <w:sz w:val="16"/>
                <w:szCs w:val="24"/>
              </w:rPr>
            </w:pPr>
            <w:r w:rsidRPr="00332AB5">
              <w:rPr>
                <w:rFonts w:asciiTheme="minorHAnsi" w:hAnsiTheme="minorHAnsi" w:cstheme="minorHAnsi"/>
                <w:sz w:val="16"/>
              </w:rPr>
              <w:t>Dodijeljena sredstva</w:t>
            </w:r>
          </w:p>
        </w:tc>
        <w:tc>
          <w:tcPr>
            <w:tcW w:w="998" w:type="dxa"/>
            <w:tcBorders>
              <w:bottom w:val="single" w:sz="4" w:space="0" w:color="808080" w:themeColor="background1" w:themeShade="80"/>
            </w:tcBorders>
            <w:shd w:val="clear" w:color="auto" w:fill="auto"/>
            <w:vAlign w:val="center"/>
          </w:tcPr>
          <w:p w14:paraId="0D30AD9C" w14:textId="77777777" w:rsidR="00B60A46" w:rsidRPr="00332AB5" w:rsidRDefault="00B60A46" w:rsidP="00987732">
            <w:pPr>
              <w:spacing w:after="60"/>
              <w:jc w:val="right"/>
              <w:rPr>
                <w:sz w:val="16"/>
                <w:szCs w:val="24"/>
              </w:rPr>
            </w:pPr>
            <w:r w:rsidRPr="00332AB5">
              <w:rPr>
                <w:rFonts w:asciiTheme="minorHAnsi" w:hAnsiTheme="minorHAnsi" w:cstheme="minorHAnsi"/>
                <w:sz w:val="16"/>
              </w:rPr>
              <w:t>Ugovorena sredstva</w:t>
            </w:r>
          </w:p>
        </w:tc>
        <w:tc>
          <w:tcPr>
            <w:tcW w:w="635" w:type="dxa"/>
            <w:tcBorders>
              <w:bottom w:val="single" w:sz="4" w:space="0" w:color="808080" w:themeColor="background1" w:themeShade="80"/>
            </w:tcBorders>
            <w:shd w:val="clear" w:color="auto" w:fill="auto"/>
            <w:vAlign w:val="center"/>
          </w:tcPr>
          <w:p w14:paraId="1F80E775" w14:textId="77777777" w:rsidR="00B60A46" w:rsidRPr="00332AB5" w:rsidRDefault="00B60A46" w:rsidP="00987732">
            <w:pPr>
              <w:spacing w:after="60"/>
              <w:jc w:val="right"/>
              <w:rPr>
                <w:sz w:val="16"/>
                <w:szCs w:val="24"/>
              </w:rPr>
            </w:pPr>
            <w:r w:rsidRPr="00332AB5">
              <w:rPr>
                <w:rFonts w:asciiTheme="minorHAnsi" w:hAnsiTheme="minorHAnsi" w:cstheme="minorHAnsi"/>
                <w:sz w:val="16"/>
              </w:rPr>
              <w:t xml:space="preserve"> %</w:t>
            </w:r>
          </w:p>
        </w:tc>
        <w:tc>
          <w:tcPr>
            <w:tcW w:w="1089" w:type="dxa"/>
            <w:tcBorders>
              <w:bottom w:val="single" w:sz="4" w:space="0" w:color="808080" w:themeColor="background1" w:themeShade="80"/>
            </w:tcBorders>
            <w:shd w:val="clear" w:color="auto" w:fill="auto"/>
            <w:vAlign w:val="center"/>
          </w:tcPr>
          <w:p w14:paraId="2F3C264F" w14:textId="77777777" w:rsidR="00B60A46" w:rsidRPr="00332AB5" w:rsidRDefault="00B60A46" w:rsidP="00987732">
            <w:pPr>
              <w:spacing w:after="60"/>
              <w:jc w:val="right"/>
              <w:rPr>
                <w:sz w:val="16"/>
                <w:szCs w:val="24"/>
              </w:rPr>
            </w:pPr>
            <w:r w:rsidRPr="00332AB5">
              <w:rPr>
                <w:rFonts w:asciiTheme="minorHAnsi" w:hAnsiTheme="minorHAnsi" w:cstheme="minorHAnsi"/>
                <w:sz w:val="16"/>
              </w:rPr>
              <w:t>Plaćena sredstva</w:t>
            </w:r>
          </w:p>
        </w:tc>
        <w:tc>
          <w:tcPr>
            <w:tcW w:w="635" w:type="dxa"/>
            <w:tcBorders>
              <w:bottom w:val="single" w:sz="4" w:space="0" w:color="808080" w:themeColor="background1" w:themeShade="80"/>
            </w:tcBorders>
            <w:shd w:val="clear" w:color="auto" w:fill="auto"/>
            <w:vAlign w:val="center"/>
          </w:tcPr>
          <w:p w14:paraId="31965E05" w14:textId="77777777" w:rsidR="00B60A46" w:rsidRPr="00332AB5" w:rsidRDefault="00B60A46" w:rsidP="00987732">
            <w:pPr>
              <w:spacing w:after="60"/>
              <w:jc w:val="right"/>
              <w:rPr>
                <w:sz w:val="16"/>
                <w:szCs w:val="24"/>
              </w:rPr>
            </w:pPr>
            <w:r w:rsidRPr="00332AB5">
              <w:rPr>
                <w:rFonts w:asciiTheme="minorHAnsi" w:hAnsiTheme="minorHAnsi" w:cstheme="minorHAnsi"/>
                <w:sz w:val="16"/>
              </w:rPr>
              <w:t xml:space="preserve"> %</w:t>
            </w:r>
          </w:p>
        </w:tc>
        <w:tc>
          <w:tcPr>
            <w:tcW w:w="1089" w:type="dxa"/>
            <w:tcBorders>
              <w:bottom w:val="single" w:sz="4" w:space="0" w:color="808080" w:themeColor="background1" w:themeShade="80"/>
            </w:tcBorders>
            <w:shd w:val="clear" w:color="auto" w:fill="auto"/>
            <w:vAlign w:val="center"/>
          </w:tcPr>
          <w:p w14:paraId="70A1BDEE" w14:textId="77777777" w:rsidR="00B60A46" w:rsidRPr="00332AB5" w:rsidRDefault="00B60A46" w:rsidP="00987732">
            <w:pPr>
              <w:spacing w:after="60"/>
              <w:jc w:val="right"/>
              <w:rPr>
                <w:sz w:val="16"/>
                <w:szCs w:val="24"/>
              </w:rPr>
            </w:pPr>
            <w:r w:rsidRPr="00332AB5">
              <w:rPr>
                <w:rFonts w:asciiTheme="minorHAnsi" w:hAnsiTheme="minorHAnsi" w:cstheme="minorHAnsi"/>
                <w:sz w:val="16"/>
              </w:rPr>
              <w:t>Ovjerena sredstva</w:t>
            </w:r>
          </w:p>
        </w:tc>
        <w:tc>
          <w:tcPr>
            <w:tcW w:w="635" w:type="dxa"/>
            <w:tcBorders>
              <w:bottom w:val="single" w:sz="4" w:space="0" w:color="808080" w:themeColor="background1" w:themeShade="80"/>
            </w:tcBorders>
            <w:shd w:val="clear" w:color="auto" w:fill="auto"/>
            <w:vAlign w:val="center"/>
          </w:tcPr>
          <w:p w14:paraId="080044AE" w14:textId="77777777" w:rsidR="00B60A46" w:rsidRPr="00332AB5" w:rsidRDefault="00B60A46" w:rsidP="00987732">
            <w:pPr>
              <w:spacing w:after="60"/>
              <w:jc w:val="right"/>
              <w:rPr>
                <w:sz w:val="16"/>
                <w:szCs w:val="24"/>
              </w:rPr>
            </w:pPr>
            <w:r w:rsidRPr="00332AB5">
              <w:rPr>
                <w:rFonts w:asciiTheme="minorHAnsi" w:hAnsiTheme="minorHAnsi" w:cstheme="minorHAnsi"/>
                <w:sz w:val="16"/>
              </w:rPr>
              <w:t xml:space="preserve"> %</w:t>
            </w:r>
          </w:p>
        </w:tc>
        <w:tc>
          <w:tcPr>
            <w:tcW w:w="1089" w:type="dxa"/>
            <w:tcBorders>
              <w:bottom w:val="single" w:sz="4" w:space="0" w:color="808080" w:themeColor="background1" w:themeShade="80"/>
            </w:tcBorders>
            <w:shd w:val="clear" w:color="auto" w:fill="auto"/>
            <w:vAlign w:val="center"/>
          </w:tcPr>
          <w:p w14:paraId="0D578C60" w14:textId="77777777" w:rsidR="00B60A46" w:rsidRPr="00332AB5" w:rsidRDefault="00B60A46" w:rsidP="00987732">
            <w:pPr>
              <w:spacing w:after="60"/>
              <w:jc w:val="right"/>
              <w:rPr>
                <w:sz w:val="16"/>
                <w:szCs w:val="24"/>
              </w:rPr>
            </w:pPr>
            <w:r w:rsidRPr="00332AB5">
              <w:rPr>
                <w:rFonts w:asciiTheme="minorHAnsi" w:hAnsiTheme="minorHAnsi" w:cstheme="minorHAnsi"/>
                <w:sz w:val="16"/>
              </w:rPr>
              <w:t>Doznačena sredstva</w:t>
            </w:r>
          </w:p>
        </w:tc>
        <w:tc>
          <w:tcPr>
            <w:tcW w:w="776" w:type="dxa"/>
            <w:tcBorders>
              <w:bottom w:val="single" w:sz="4" w:space="0" w:color="808080" w:themeColor="background1" w:themeShade="80"/>
            </w:tcBorders>
            <w:shd w:val="clear" w:color="auto" w:fill="auto"/>
            <w:vAlign w:val="center"/>
          </w:tcPr>
          <w:p w14:paraId="72B0E516" w14:textId="77777777" w:rsidR="00B60A46" w:rsidRPr="00332AB5" w:rsidRDefault="00B60A46" w:rsidP="00987732">
            <w:pPr>
              <w:spacing w:after="60"/>
              <w:jc w:val="right"/>
              <w:rPr>
                <w:sz w:val="16"/>
                <w:szCs w:val="24"/>
              </w:rPr>
            </w:pPr>
            <w:r w:rsidRPr="00332AB5">
              <w:rPr>
                <w:rFonts w:asciiTheme="minorHAnsi" w:hAnsiTheme="minorHAnsi" w:cstheme="minorHAnsi"/>
                <w:sz w:val="16"/>
              </w:rPr>
              <w:t xml:space="preserve"> %</w:t>
            </w:r>
          </w:p>
        </w:tc>
      </w:tr>
      <w:tr w:rsidR="00B60A46" w:rsidRPr="00332AB5" w14:paraId="3921DCF2" w14:textId="77777777" w:rsidTr="007D1CB1">
        <w:trPr>
          <w:trHeight w:val="113"/>
        </w:trPr>
        <w:tc>
          <w:tcPr>
            <w:tcW w:w="1179" w:type="dxa"/>
            <w:shd w:val="clear" w:color="auto" w:fill="auto"/>
            <w:vAlign w:val="center"/>
          </w:tcPr>
          <w:p w14:paraId="5A2610F7" w14:textId="77777777" w:rsidR="00B60A46" w:rsidRPr="00332AB5" w:rsidRDefault="00B60A46" w:rsidP="00987732">
            <w:pPr>
              <w:rPr>
                <w:rFonts w:asciiTheme="minorHAnsi" w:hAnsiTheme="minorHAnsi" w:cstheme="minorHAnsi"/>
                <w:sz w:val="8"/>
                <w:szCs w:val="24"/>
              </w:rPr>
            </w:pPr>
          </w:p>
        </w:tc>
        <w:tc>
          <w:tcPr>
            <w:tcW w:w="1089" w:type="dxa"/>
            <w:tcBorders>
              <w:top w:val="single" w:sz="4" w:space="0" w:color="808080" w:themeColor="background1" w:themeShade="80"/>
            </w:tcBorders>
            <w:shd w:val="clear" w:color="auto" w:fill="auto"/>
            <w:vAlign w:val="center"/>
          </w:tcPr>
          <w:p w14:paraId="0165B358" w14:textId="77777777" w:rsidR="00B60A46" w:rsidRPr="00332AB5" w:rsidRDefault="00B60A46" w:rsidP="00987732">
            <w:pPr>
              <w:jc w:val="right"/>
              <w:rPr>
                <w:rFonts w:asciiTheme="minorHAnsi" w:hAnsiTheme="minorHAnsi" w:cstheme="minorHAnsi"/>
                <w:sz w:val="8"/>
                <w:szCs w:val="24"/>
              </w:rPr>
            </w:pPr>
          </w:p>
        </w:tc>
        <w:tc>
          <w:tcPr>
            <w:tcW w:w="998" w:type="dxa"/>
            <w:tcBorders>
              <w:top w:val="single" w:sz="4" w:space="0" w:color="808080" w:themeColor="background1" w:themeShade="80"/>
            </w:tcBorders>
            <w:shd w:val="clear" w:color="auto" w:fill="auto"/>
            <w:vAlign w:val="center"/>
          </w:tcPr>
          <w:p w14:paraId="359DE1C1" w14:textId="77777777" w:rsidR="00B60A46" w:rsidRPr="00332AB5" w:rsidRDefault="00B60A46" w:rsidP="00987732">
            <w:pPr>
              <w:jc w:val="right"/>
              <w:rPr>
                <w:rFonts w:asciiTheme="minorHAnsi" w:hAnsiTheme="minorHAnsi" w:cstheme="minorHAnsi"/>
                <w:sz w:val="8"/>
                <w:szCs w:val="24"/>
              </w:rPr>
            </w:pPr>
          </w:p>
        </w:tc>
        <w:tc>
          <w:tcPr>
            <w:tcW w:w="635" w:type="dxa"/>
            <w:tcBorders>
              <w:top w:val="single" w:sz="4" w:space="0" w:color="808080" w:themeColor="background1" w:themeShade="80"/>
            </w:tcBorders>
            <w:shd w:val="clear" w:color="auto" w:fill="auto"/>
            <w:vAlign w:val="center"/>
          </w:tcPr>
          <w:p w14:paraId="04EA7818" w14:textId="77777777" w:rsidR="00B60A46" w:rsidRPr="00332AB5" w:rsidRDefault="00B60A46" w:rsidP="00987732">
            <w:pPr>
              <w:jc w:val="right"/>
              <w:rPr>
                <w:rFonts w:asciiTheme="minorHAnsi" w:hAnsiTheme="minorHAnsi" w:cstheme="minorHAnsi"/>
                <w:sz w:val="8"/>
                <w:szCs w:val="24"/>
              </w:rPr>
            </w:pPr>
          </w:p>
        </w:tc>
        <w:tc>
          <w:tcPr>
            <w:tcW w:w="1089" w:type="dxa"/>
            <w:tcBorders>
              <w:top w:val="single" w:sz="4" w:space="0" w:color="808080" w:themeColor="background1" w:themeShade="80"/>
            </w:tcBorders>
            <w:shd w:val="clear" w:color="auto" w:fill="auto"/>
            <w:vAlign w:val="center"/>
          </w:tcPr>
          <w:p w14:paraId="320DDA88" w14:textId="77777777" w:rsidR="00B60A46" w:rsidRPr="00332AB5" w:rsidRDefault="00B60A46" w:rsidP="00987732">
            <w:pPr>
              <w:jc w:val="right"/>
              <w:rPr>
                <w:rFonts w:asciiTheme="minorHAnsi" w:hAnsiTheme="minorHAnsi" w:cstheme="minorHAnsi"/>
                <w:sz w:val="8"/>
                <w:szCs w:val="24"/>
              </w:rPr>
            </w:pPr>
          </w:p>
        </w:tc>
        <w:tc>
          <w:tcPr>
            <w:tcW w:w="635" w:type="dxa"/>
            <w:tcBorders>
              <w:top w:val="single" w:sz="4" w:space="0" w:color="808080" w:themeColor="background1" w:themeShade="80"/>
            </w:tcBorders>
            <w:shd w:val="clear" w:color="auto" w:fill="auto"/>
            <w:vAlign w:val="center"/>
          </w:tcPr>
          <w:p w14:paraId="58855485" w14:textId="77777777" w:rsidR="00B60A46" w:rsidRPr="00332AB5" w:rsidRDefault="00B60A46" w:rsidP="00987732">
            <w:pPr>
              <w:jc w:val="right"/>
              <w:rPr>
                <w:rFonts w:asciiTheme="minorHAnsi" w:hAnsiTheme="minorHAnsi" w:cstheme="minorHAnsi"/>
                <w:sz w:val="8"/>
                <w:szCs w:val="24"/>
              </w:rPr>
            </w:pPr>
          </w:p>
        </w:tc>
        <w:tc>
          <w:tcPr>
            <w:tcW w:w="1089" w:type="dxa"/>
            <w:tcBorders>
              <w:top w:val="single" w:sz="4" w:space="0" w:color="808080" w:themeColor="background1" w:themeShade="80"/>
            </w:tcBorders>
            <w:shd w:val="clear" w:color="auto" w:fill="auto"/>
            <w:vAlign w:val="center"/>
          </w:tcPr>
          <w:p w14:paraId="0E08463D" w14:textId="77777777" w:rsidR="00B60A46" w:rsidRPr="00332AB5" w:rsidRDefault="00B60A46" w:rsidP="00987732">
            <w:pPr>
              <w:jc w:val="right"/>
              <w:rPr>
                <w:rFonts w:asciiTheme="minorHAnsi" w:hAnsiTheme="minorHAnsi" w:cstheme="minorHAnsi"/>
                <w:sz w:val="8"/>
                <w:szCs w:val="24"/>
              </w:rPr>
            </w:pPr>
          </w:p>
        </w:tc>
        <w:tc>
          <w:tcPr>
            <w:tcW w:w="635" w:type="dxa"/>
            <w:tcBorders>
              <w:top w:val="single" w:sz="4" w:space="0" w:color="808080" w:themeColor="background1" w:themeShade="80"/>
            </w:tcBorders>
            <w:shd w:val="clear" w:color="auto" w:fill="auto"/>
            <w:vAlign w:val="center"/>
          </w:tcPr>
          <w:p w14:paraId="6E7B566B" w14:textId="77777777" w:rsidR="00B60A46" w:rsidRPr="00332AB5" w:rsidRDefault="00B60A46" w:rsidP="00987732">
            <w:pPr>
              <w:jc w:val="right"/>
              <w:rPr>
                <w:rFonts w:asciiTheme="minorHAnsi" w:hAnsiTheme="minorHAnsi" w:cstheme="minorHAnsi"/>
                <w:sz w:val="8"/>
                <w:szCs w:val="24"/>
              </w:rPr>
            </w:pPr>
          </w:p>
        </w:tc>
        <w:tc>
          <w:tcPr>
            <w:tcW w:w="1089" w:type="dxa"/>
            <w:tcBorders>
              <w:top w:val="single" w:sz="4" w:space="0" w:color="808080" w:themeColor="background1" w:themeShade="80"/>
            </w:tcBorders>
            <w:shd w:val="clear" w:color="auto" w:fill="auto"/>
            <w:vAlign w:val="center"/>
          </w:tcPr>
          <w:p w14:paraId="0CAF32EC" w14:textId="77777777" w:rsidR="00B60A46" w:rsidRPr="00332AB5" w:rsidRDefault="00B60A46" w:rsidP="00987732">
            <w:pPr>
              <w:jc w:val="right"/>
              <w:rPr>
                <w:rFonts w:asciiTheme="minorHAnsi" w:hAnsiTheme="minorHAnsi" w:cstheme="minorHAnsi"/>
                <w:sz w:val="8"/>
                <w:szCs w:val="24"/>
              </w:rPr>
            </w:pPr>
          </w:p>
        </w:tc>
        <w:tc>
          <w:tcPr>
            <w:tcW w:w="776" w:type="dxa"/>
            <w:tcBorders>
              <w:top w:val="single" w:sz="4" w:space="0" w:color="808080" w:themeColor="background1" w:themeShade="80"/>
            </w:tcBorders>
            <w:shd w:val="clear" w:color="auto" w:fill="auto"/>
            <w:vAlign w:val="center"/>
          </w:tcPr>
          <w:p w14:paraId="38413883" w14:textId="77777777" w:rsidR="00B60A46" w:rsidRPr="00332AB5" w:rsidRDefault="00B60A46" w:rsidP="00987732">
            <w:pPr>
              <w:jc w:val="right"/>
              <w:rPr>
                <w:rFonts w:asciiTheme="minorHAnsi" w:hAnsiTheme="minorHAnsi" w:cstheme="minorHAnsi"/>
                <w:sz w:val="8"/>
                <w:szCs w:val="24"/>
              </w:rPr>
            </w:pPr>
          </w:p>
        </w:tc>
      </w:tr>
      <w:tr w:rsidR="003105E2" w:rsidRPr="00332AB5" w14:paraId="056943DB" w14:textId="77777777" w:rsidTr="005E28B2">
        <w:trPr>
          <w:trHeight w:val="397"/>
        </w:trPr>
        <w:tc>
          <w:tcPr>
            <w:tcW w:w="1179" w:type="dxa"/>
            <w:shd w:val="clear" w:color="auto" w:fill="auto"/>
            <w:vAlign w:val="center"/>
          </w:tcPr>
          <w:p w14:paraId="63260435" w14:textId="77777777" w:rsidR="003105E2" w:rsidRPr="00332AB5" w:rsidRDefault="003105E2" w:rsidP="003105E2">
            <w:pPr>
              <w:rPr>
                <w:rFonts w:asciiTheme="minorHAnsi" w:hAnsiTheme="minorHAnsi" w:cstheme="minorHAnsi"/>
                <w:sz w:val="18"/>
                <w:szCs w:val="18"/>
              </w:rPr>
            </w:pPr>
            <w:r w:rsidRPr="00332AB5">
              <w:rPr>
                <w:rFonts w:asciiTheme="minorHAnsi" w:hAnsiTheme="minorHAnsi" w:cstheme="minorHAnsi"/>
                <w:sz w:val="18"/>
                <w:szCs w:val="18"/>
              </w:rPr>
              <w:t>OPKK</w:t>
            </w:r>
          </w:p>
        </w:tc>
        <w:tc>
          <w:tcPr>
            <w:tcW w:w="1089" w:type="dxa"/>
            <w:shd w:val="clear" w:color="auto" w:fill="auto"/>
            <w:vAlign w:val="center"/>
          </w:tcPr>
          <w:p w14:paraId="447C4C5B" w14:textId="77777777" w:rsidR="003105E2" w:rsidRPr="00332AB5" w:rsidRDefault="003105E2" w:rsidP="003105E2">
            <w:pPr>
              <w:jc w:val="right"/>
              <w:rPr>
                <w:rFonts w:asciiTheme="minorHAnsi" w:hAnsiTheme="minorHAnsi" w:cstheme="minorHAnsi"/>
                <w:sz w:val="18"/>
                <w:szCs w:val="18"/>
              </w:rPr>
            </w:pPr>
            <w:r w:rsidRPr="00332AB5">
              <w:rPr>
                <w:rFonts w:asciiTheme="minorHAnsi" w:hAnsiTheme="minorHAnsi" w:cstheme="minorHAnsi"/>
                <w:sz w:val="18"/>
                <w:szCs w:val="18"/>
              </w:rPr>
              <w:t>6.831,26</w:t>
            </w:r>
          </w:p>
        </w:tc>
        <w:tc>
          <w:tcPr>
            <w:tcW w:w="998" w:type="dxa"/>
            <w:shd w:val="clear" w:color="auto" w:fill="auto"/>
            <w:vAlign w:val="center"/>
          </w:tcPr>
          <w:p w14:paraId="6F8A167F" w14:textId="4874FBE7" w:rsidR="003105E2" w:rsidRPr="00332AB5" w:rsidRDefault="003105E2" w:rsidP="003105E2">
            <w:pPr>
              <w:jc w:val="right"/>
              <w:rPr>
                <w:rFonts w:asciiTheme="minorHAnsi" w:hAnsiTheme="minorHAnsi" w:cstheme="minorHAnsi"/>
                <w:sz w:val="18"/>
                <w:szCs w:val="18"/>
              </w:rPr>
            </w:pPr>
            <w:r w:rsidRPr="00332AB5">
              <w:rPr>
                <w:rFonts w:asciiTheme="minorHAnsi" w:hAnsiTheme="minorHAnsi" w:cstheme="minorHAnsi"/>
                <w:bCs/>
                <w:color w:val="000000"/>
                <w:sz w:val="18"/>
                <w:szCs w:val="18"/>
              </w:rPr>
              <w:t>12,82</w:t>
            </w:r>
          </w:p>
        </w:tc>
        <w:tc>
          <w:tcPr>
            <w:tcW w:w="635" w:type="dxa"/>
            <w:shd w:val="clear" w:color="auto" w:fill="auto"/>
            <w:vAlign w:val="center"/>
          </w:tcPr>
          <w:p w14:paraId="1F8E055E" w14:textId="1203FADD" w:rsidR="003105E2" w:rsidRPr="00332AB5" w:rsidRDefault="003105E2" w:rsidP="003105E2">
            <w:pPr>
              <w:jc w:val="right"/>
              <w:rPr>
                <w:rFonts w:asciiTheme="minorHAnsi" w:hAnsiTheme="minorHAnsi" w:cstheme="minorHAnsi"/>
                <w:sz w:val="18"/>
                <w:szCs w:val="18"/>
              </w:rPr>
            </w:pPr>
            <w:r w:rsidRPr="00332AB5">
              <w:rPr>
                <w:rFonts w:asciiTheme="minorHAnsi" w:hAnsiTheme="minorHAnsi" w:cstheme="minorHAnsi"/>
                <w:color w:val="000000"/>
                <w:sz w:val="18"/>
                <w:szCs w:val="18"/>
              </w:rPr>
              <w:t>0,19</w:t>
            </w:r>
          </w:p>
        </w:tc>
        <w:tc>
          <w:tcPr>
            <w:tcW w:w="1089" w:type="dxa"/>
            <w:tcBorders>
              <w:top w:val="nil"/>
              <w:left w:val="nil"/>
              <w:bottom w:val="nil"/>
              <w:right w:val="nil"/>
            </w:tcBorders>
            <w:shd w:val="clear" w:color="auto" w:fill="auto"/>
            <w:vAlign w:val="center"/>
          </w:tcPr>
          <w:p w14:paraId="2670AB1C" w14:textId="336A6217" w:rsidR="003105E2" w:rsidRPr="00332AB5" w:rsidRDefault="003105E2" w:rsidP="003105E2">
            <w:pPr>
              <w:jc w:val="right"/>
              <w:rPr>
                <w:rFonts w:asciiTheme="minorHAnsi" w:hAnsiTheme="minorHAnsi" w:cstheme="minorBidi"/>
                <w:color w:val="000000" w:themeColor="text1"/>
                <w:sz w:val="18"/>
                <w:szCs w:val="18"/>
              </w:rPr>
            </w:pPr>
            <w:r w:rsidRPr="00332AB5">
              <w:rPr>
                <w:rFonts w:asciiTheme="minorHAnsi" w:hAnsiTheme="minorHAnsi" w:cstheme="minorBidi"/>
                <w:color w:val="000000" w:themeColor="text1"/>
                <w:sz w:val="18"/>
                <w:szCs w:val="18"/>
              </w:rPr>
              <w:t>483,41</w:t>
            </w:r>
          </w:p>
        </w:tc>
        <w:tc>
          <w:tcPr>
            <w:tcW w:w="635" w:type="dxa"/>
            <w:tcBorders>
              <w:top w:val="nil"/>
              <w:left w:val="nil"/>
              <w:bottom w:val="nil"/>
              <w:right w:val="nil"/>
            </w:tcBorders>
            <w:shd w:val="clear" w:color="auto" w:fill="auto"/>
            <w:vAlign w:val="center"/>
          </w:tcPr>
          <w:p w14:paraId="4B612158" w14:textId="5FEC19F7" w:rsidR="003105E2" w:rsidRPr="00332AB5" w:rsidRDefault="003105E2" w:rsidP="003105E2">
            <w:pPr>
              <w:jc w:val="right"/>
              <w:rPr>
                <w:rFonts w:asciiTheme="minorHAnsi" w:hAnsiTheme="minorHAnsi" w:cstheme="minorHAnsi"/>
                <w:sz w:val="18"/>
                <w:szCs w:val="18"/>
              </w:rPr>
            </w:pPr>
            <w:r w:rsidRPr="00332AB5">
              <w:rPr>
                <w:rFonts w:ascii="Calibri" w:hAnsi="Calibri" w:cs="Calibri"/>
                <w:color w:val="000000"/>
                <w:sz w:val="18"/>
                <w:szCs w:val="18"/>
              </w:rPr>
              <w:t>7,08</w:t>
            </w:r>
          </w:p>
        </w:tc>
        <w:tc>
          <w:tcPr>
            <w:tcW w:w="1089" w:type="dxa"/>
            <w:shd w:val="clear" w:color="auto" w:fill="auto"/>
            <w:vAlign w:val="center"/>
          </w:tcPr>
          <w:p w14:paraId="68491471" w14:textId="045A050B" w:rsidR="003105E2" w:rsidRPr="00332AB5" w:rsidRDefault="003105E2" w:rsidP="003105E2">
            <w:pPr>
              <w:jc w:val="right"/>
              <w:rPr>
                <w:rFonts w:asciiTheme="minorHAnsi" w:hAnsiTheme="minorHAnsi" w:cstheme="minorHAnsi"/>
                <w:sz w:val="18"/>
                <w:szCs w:val="18"/>
              </w:rPr>
            </w:pPr>
            <w:r w:rsidRPr="00332AB5">
              <w:rPr>
                <w:rFonts w:asciiTheme="minorHAnsi" w:hAnsiTheme="minorHAnsi" w:cstheme="minorHAnsi"/>
                <w:bCs/>
                <w:color w:val="000000"/>
                <w:sz w:val="18"/>
                <w:szCs w:val="18"/>
              </w:rPr>
              <w:t>0,00</w:t>
            </w:r>
          </w:p>
        </w:tc>
        <w:tc>
          <w:tcPr>
            <w:tcW w:w="635" w:type="dxa"/>
            <w:shd w:val="clear" w:color="auto" w:fill="auto"/>
            <w:vAlign w:val="center"/>
          </w:tcPr>
          <w:p w14:paraId="56A22D55" w14:textId="0CD7AAFB" w:rsidR="003105E2" w:rsidRPr="00332AB5" w:rsidRDefault="003105E2" w:rsidP="003105E2">
            <w:pPr>
              <w:jc w:val="right"/>
              <w:rPr>
                <w:rFonts w:asciiTheme="minorHAnsi" w:hAnsiTheme="minorHAnsi" w:cstheme="minorHAnsi"/>
                <w:sz w:val="18"/>
                <w:szCs w:val="18"/>
              </w:rPr>
            </w:pPr>
            <w:r w:rsidRPr="00332AB5">
              <w:rPr>
                <w:rFonts w:asciiTheme="minorHAnsi" w:hAnsiTheme="minorHAnsi" w:cstheme="minorHAnsi"/>
                <w:sz w:val="18"/>
                <w:szCs w:val="18"/>
              </w:rPr>
              <w:t>0,00</w:t>
            </w:r>
          </w:p>
        </w:tc>
        <w:tc>
          <w:tcPr>
            <w:tcW w:w="1089" w:type="dxa"/>
            <w:vAlign w:val="center"/>
          </w:tcPr>
          <w:p w14:paraId="26B20081" w14:textId="2D4FF1A0" w:rsidR="003105E2" w:rsidRPr="00332AB5" w:rsidRDefault="003105E2" w:rsidP="003105E2">
            <w:pPr>
              <w:jc w:val="right"/>
              <w:rPr>
                <w:rFonts w:ascii="Calibri" w:hAnsi="Calibri" w:cs="Calibri"/>
                <w:sz w:val="18"/>
                <w:szCs w:val="18"/>
              </w:rPr>
            </w:pPr>
            <w:r w:rsidRPr="00332AB5">
              <w:rPr>
                <w:rFonts w:ascii="Calibri" w:hAnsi="Calibri" w:cs="Calibri"/>
                <w:sz w:val="18"/>
                <w:szCs w:val="18"/>
              </w:rPr>
              <w:t>528,71</w:t>
            </w:r>
          </w:p>
        </w:tc>
        <w:tc>
          <w:tcPr>
            <w:tcW w:w="776" w:type="dxa"/>
            <w:vAlign w:val="center"/>
          </w:tcPr>
          <w:p w14:paraId="15CA1A8D" w14:textId="51C48CE2" w:rsidR="003105E2" w:rsidRPr="00332AB5" w:rsidRDefault="003105E2" w:rsidP="003105E2">
            <w:pPr>
              <w:jc w:val="right"/>
              <w:rPr>
                <w:rFonts w:asciiTheme="minorHAnsi" w:hAnsiTheme="minorHAnsi" w:cstheme="minorHAnsi"/>
                <w:sz w:val="18"/>
                <w:szCs w:val="18"/>
              </w:rPr>
            </w:pPr>
            <w:r w:rsidRPr="00332AB5">
              <w:rPr>
                <w:rFonts w:asciiTheme="minorHAnsi" w:hAnsiTheme="minorHAnsi" w:cstheme="minorHAnsi"/>
                <w:sz w:val="18"/>
                <w:szCs w:val="18"/>
              </w:rPr>
              <w:t>7,74</w:t>
            </w:r>
          </w:p>
        </w:tc>
      </w:tr>
      <w:tr w:rsidR="003105E2" w:rsidRPr="00332AB5" w14:paraId="3BB96989" w14:textId="77777777" w:rsidTr="00A23D5E">
        <w:trPr>
          <w:trHeight w:val="397"/>
        </w:trPr>
        <w:tc>
          <w:tcPr>
            <w:tcW w:w="1179" w:type="dxa"/>
            <w:shd w:val="clear" w:color="auto" w:fill="auto"/>
            <w:vAlign w:val="center"/>
          </w:tcPr>
          <w:p w14:paraId="325CD79D" w14:textId="77777777" w:rsidR="003105E2" w:rsidRPr="00332AB5" w:rsidRDefault="003105E2" w:rsidP="003105E2">
            <w:pPr>
              <w:rPr>
                <w:rFonts w:asciiTheme="minorHAnsi" w:hAnsiTheme="minorHAnsi" w:cstheme="minorHAnsi"/>
                <w:sz w:val="18"/>
                <w:szCs w:val="18"/>
              </w:rPr>
            </w:pPr>
            <w:r w:rsidRPr="00332AB5">
              <w:rPr>
                <w:rFonts w:asciiTheme="minorHAnsi" w:hAnsiTheme="minorHAnsi" w:cstheme="minorHAnsi"/>
                <w:sz w:val="18"/>
                <w:szCs w:val="18"/>
              </w:rPr>
              <w:t>OPULJP</w:t>
            </w:r>
          </w:p>
        </w:tc>
        <w:tc>
          <w:tcPr>
            <w:tcW w:w="1089" w:type="dxa"/>
            <w:shd w:val="clear" w:color="auto" w:fill="auto"/>
            <w:vAlign w:val="center"/>
          </w:tcPr>
          <w:p w14:paraId="2EC87E93" w14:textId="77777777" w:rsidR="003105E2" w:rsidRPr="00332AB5" w:rsidRDefault="003105E2" w:rsidP="003105E2">
            <w:pPr>
              <w:jc w:val="right"/>
              <w:rPr>
                <w:rFonts w:asciiTheme="minorHAnsi" w:hAnsiTheme="minorHAnsi" w:cstheme="minorHAnsi"/>
                <w:sz w:val="18"/>
                <w:szCs w:val="18"/>
              </w:rPr>
            </w:pPr>
            <w:r w:rsidRPr="00332AB5">
              <w:rPr>
                <w:rFonts w:asciiTheme="minorHAnsi" w:hAnsiTheme="minorHAnsi" w:cstheme="minorBidi"/>
                <w:sz w:val="18"/>
                <w:szCs w:val="18"/>
              </w:rPr>
              <w:t>1.621,05</w:t>
            </w:r>
          </w:p>
        </w:tc>
        <w:tc>
          <w:tcPr>
            <w:tcW w:w="998" w:type="dxa"/>
            <w:shd w:val="clear" w:color="auto" w:fill="auto"/>
            <w:vAlign w:val="center"/>
          </w:tcPr>
          <w:p w14:paraId="5CAC8D64" w14:textId="62F7224D" w:rsidR="003105E2" w:rsidRPr="00332AB5" w:rsidRDefault="003105E2" w:rsidP="003105E2">
            <w:pPr>
              <w:jc w:val="right"/>
              <w:rPr>
                <w:rFonts w:asciiTheme="minorHAnsi" w:hAnsiTheme="minorHAnsi" w:cstheme="minorHAnsi"/>
                <w:sz w:val="18"/>
                <w:szCs w:val="18"/>
              </w:rPr>
            </w:pPr>
            <w:r w:rsidRPr="00332AB5">
              <w:rPr>
                <w:rFonts w:asciiTheme="minorHAnsi" w:hAnsiTheme="minorHAnsi" w:cstheme="minorBidi"/>
                <w:color w:val="000000" w:themeColor="text1"/>
                <w:sz w:val="18"/>
                <w:szCs w:val="18"/>
              </w:rPr>
              <w:t>3,77</w:t>
            </w:r>
          </w:p>
        </w:tc>
        <w:tc>
          <w:tcPr>
            <w:tcW w:w="635" w:type="dxa"/>
            <w:shd w:val="clear" w:color="auto" w:fill="auto"/>
            <w:vAlign w:val="center"/>
          </w:tcPr>
          <w:p w14:paraId="62B913D0" w14:textId="7F070EEC" w:rsidR="003105E2" w:rsidRPr="00332AB5" w:rsidRDefault="003105E2" w:rsidP="003105E2">
            <w:pPr>
              <w:jc w:val="right"/>
              <w:rPr>
                <w:rFonts w:asciiTheme="minorHAnsi" w:hAnsiTheme="minorHAnsi" w:cstheme="minorHAnsi"/>
                <w:sz w:val="18"/>
                <w:szCs w:val="18"/>
              </w:rPr>
            </w:pPr>
            <w:r w:rsidRPr="00332AB5">
              <w:rPr>
                <w:rFonts w:asciiTheme="minorHAnsi" w:hAnsiTheme="minorHAnsi" w:cstheme="minorBidi"/>
                <w:color w:val="000000" w:themeColor="text1"/>
                <w:sz w:val="18"/>
                <w:szCs w:val="18"/>
              </w:rPr>
              <w:t>0,23</w:t>
            </w:r>
          </w:p>
        </w:tc>
        <w:tc>
          <w:tcPr>
            <w:tcW w:w="1089" w:type="dxa"/>
            <w:shd w:val="clear" w:color="auto" w:fill="auto"/>
            <w:vAlign w:val="center"/>
          </w:tcPr>
          <w:p w14:paraId="7139EE46" w14:textId="65B113FC" w:rsidR="003105E2" w:rsidRPr="00332AB5" w:rsidRDefault="003105E2" w:rsidP="003105E2">
            <w:pPr>
              <w:jc w:val="right"/>
              <w:rPr>
                <w:rFonts w:asciiTheme="minorHAnsi" w:hAnsiTheme="minorHAnsi" w:cstheme="minorHAnsi"/>
                <w:sz w:val="18"/>
                <w:szCs w:val="18"/>
              </w:rPr>
            </w:pPr>
            <w:r w:rsidRPr="00332AB5">
              <w:rPr>
                <w:rFonts w:asciiTheme="minorHAnsi" w:hAnsiTheme="minorHAnsi" w:cstheme="minorBidi"/>
                <w:color w:val="000000" w:themeColor="text1"/>
                <w:sz w:val="18"/>
                <w:szCs w:val="18"/>
              </w:rPr>
              <w:t>146,52</w:t>
            </w:r>
          </w:p>
        </w:tc>
        <w:tc>
          <w:tcPr>
            <w:tcW w:w="635" w:type="dxa"/>
            <w:shd w:val="clear" w:color="auto" w:fill="auto"/>
            <w:vAlign w:val="center"/>
          </w:tcPr>
          <w:p w14:paraId="5676D9DB" w14:textId="40B71C5A" w:rsidR="003105E2" w:rsidRPr="00332AB5" w:rsidRDefault="003105E2" w:rsidP="003105E2">
            <w:pPr>
              <w:jc w:val="right"/>
              <w:rPr>
                <w:rFonts w:asciiTheme="minorHAnsi" w:hAnsiTheme="minorHAnsi" w:cstheme="minorHAnsi"/>
                <w:sz w:val="18"/>
                <w:szCs w:val="18"/>
              </w:rPr>
            </w:pPr>
            <w:r w:rsidRPr="00332AB5">
              <w:rPr>
                <w:rFonts w:asciiTheme="minorHAnsi" w:hAnsiTheme="minorHAnsi" w:cstheme="minorBidi"/>
                <w:color w:val="000000" w:themeColor="text1"/>
                <w:sz w:val="18"/>
                <w:szCs w:val="18"/>
              </w:rPr>
              <w:t>9,04</w:t>
            </w:r>
          </w:p>
        </w:tc>
        <w:tc>
          <w:tcPr>
            <w:tcW w:w="1089" w:type="dxa"/>
            <w:vAlign w:val="center"/>
          </w:tcPr>
          <w:p w14:paraId="28908C17" w14:textId="423EDADE" w:rsidR="003105E2" w:rsidRPr="00332AB5" w:rsidRDefault="003105E2" w:rsidP="003105E2">
            <w:pPr>
              <w:jc w:val="right"/>
              <w:rPr>
                <w:rFonts w:asciiTheme="minorHAnsi" w:hAnsiTheme="minorHAnsi" w:cstheme="minorHAnsi"/>
                <w:sz w:val="18"/>
                <w:szCs w:val="18"/>
              </w:rPr>
            </w:pPr>
            <w:r w:rsidRPr="00332AB5">
              <w:rPr>
                <w:rFonts w:asciiTheme="minorHAnsi" w:hAnsiTheme="minorHAnsi" w:cstheme="minorBidi"/>
                <w:color w:val="000000" w:themeColor="text1"/>
                <w:sz w:val="18"/>
                <w:szCs w:val="18"/>
              </w:rPr>
              <w:t>218,81</w:t>
            </w:r>
          </w:p>
        </w:tc>
        <w:tc>
          <w:tcPr>
            <w:tcW w:w="635" w:type="dxa"/>
            <w:vAlign w:val="center"/>
          </w:tcPr>
          <w:p w14:paraId="4C5B068D" w14:textId="29D100E2" w:rsidR="003105E2" w:rsidRPr="00332AB5" w:rsidRDefault="003105E2" w:rsidP="003105E2">
            <w:pPr>
              <w:jc w:val="right"/>
              <w:rPr>
                <w:rFonts w:asciiTheme="minorHAnsi" w:hAnsiTheme="minorHAnsi" w:cstheme="minorHAnsi"/>
                <w:sz w:val="18"/>
                <w:szCs w:val="18"/>
              </w:rPr>
            </w:pPr>
            <w:r w:rsidRPr="00332AB5">
              <w:rPr>
                <w:rFonts w:asciiTheme="minorHAnsi" w:hAnsiTheme="minorHAnsi" w:cstheme="minorBidi"/>
                <w:color w:val="000000" w:themeColor="text1"/>
                <w:sz w:val="18"/>
                <w:szCs w:val="18"/>
              </w:rPr>
              <w:t>13,50</w:t>
            </w:r>
          </w:p>
        </w:tc>
        <w:tc>
          <w:tcPr>
            <w:tcW w:w="1089" w:type="dxa"/>
            <w:shd w:val="clear" w:color="auto" w:fill="auto"/>
            <w:vAlign w:val="center"/>
          </w:tcPr>
          <w:p w14:paraId="5B1731E7" w14:textId="2D6E914F" w:rsidR="003105E2" w:rsidRPr="00332AB5" w:rsidRDefault="003105E2" w:rsidP="003105E2">
            <w:pPr>
              <w:jc w:val="right"/>
              <w:rPr>
                <w:rFonts w:asciiTheme="minorHAnsi" w:hAnsiTheme="minorHAnsi" w:cstheme="minorHAnsi"/>
                <w:sz w:val="18"/>
                <w:szCs w:val="18"/>
              </w:rPr>
            </w:pPr>
            <w:r w:rsidRPr="00332AB5">
              <w:rPr>
                <w:rFonts w:asciiTheme="minorHAnsi" w:hAnsiTheme="minorHAnsi" w:cstheme="minorBidi"/>
                <w:sz w:val="18"/>
                <w:szCs w:val="18"/>
              </w:rPr>
              <w:t>142,60</w:t>
            </w:r>
          </w:p>
        </w:tc>
        <w:tc>
          <w:tcPr>
            <w:tcW w:w="776" w:type="dxa"/>
            <w:shd w:val="clear" w:color="auto" w:fill="auto"/>
            <w:vAlign w:val="center"/>
          </w:tcPr>
          <w:p w14:paraId="23E24D3A" w14:textId="188C4F04" w:rsidR="003105E2" w:rsidRPr="00332AB5" w:rsidRDefault="003105E2" w:rsidP="003105E2">
            <w:pPr>
              <w:jc w:val="right"/>
              <w:rPr>
                <w:rFonts w:asciiTheme="minorHAnsi" w:hAnsiTheme="minorHAnsi" w:cstheme="minorHAnsi"/>
                <w:sz w:val="18"/>
                <w:szCs w:val="18"/>
              </w:rPr>
            </w:pPr>
            <w:r w:rsidRPr="00332AB5">
              <w:rPr>
                <w:rFonts w:asciiTheme="minorHAnsi" w:hAnsiTheme="minorHAnsi" w:cstheme="minorBidi"/>
                <w:sz w:val="18"/>
                <w:szCs w:val="18"/>
              </w:rPr>
              <w:t>8,80</w:t>
            </w:r>
          </w:p>
        </w:tc>
      </w:tr>
      <w:tr w:rsidR="000733DC" w:rsidRPr="00332AB5" w14:paraId="2B30CF59" w14:textId="77777777" w:rsidTr="000733DC">
        <w:trPr>
          <w:trHeight w:val="397"/>
        </w:trPr>
        <w:tc>
          <w:tcPr>
            <w:tcW w:w="1179" w:type="dxa"/>
            <w:shd w:val="clear" w:color="auto" w:fill="auto"/>
            <w:vAlign w:val="center"/>
          </w:tcPr>
          <w:p w14:paraId="531280D7" w14:textId="77777777" w:rsidR="000733DC" w:rsidRPr="00332AB5" w:rsidRDefault="000733DC" w:rsidP="000733DC">
            <w:pPr>
              <w:rPr>
                <w:rFonts w:asciiTheme="minorHAnsi" w:hAnsiTheme="minorHAnsi" w:cstheme="minorHAnsi"/>
                <w:sz w:val="18"/>
                <w:szCs w:val="18"/>
              </w:rPr>
            </w:pPr>
            <w:r w:rsidRPr="00332AB5">
              <w:rPr>
                <w:rFonts w:asciiTheme="minorHAnsi" w:hAnsiTheme="minorHAnsi" w:cstheme="minorHAnsi"/>
                <w:sz w:val="18"/>
                <w:szCs w:val="18"/>
              </w:rPr>
              <w:t>PRR</w:t>
            </w:r>
          </w:p>
        </w:tc>
        <w:tc>
          <w:tcPr>
            <w:tcW w:w="1089" w:type="dxa"/>
            <w:shd w:val="clear" w:color="auto" w:fill="auto"/>
            <w:vAlign w:val="center"/>
          </w:tcPr>
          <w:p w14:paraId="07E58A4E" w14:textId="4307AEEA" w:rsidR="000733DC" w:rsidRPr="00332AB5" w:rsidRDefault="000733DC" w:rsidP="000733DC">
            <w:pPr>
              <w:jc w:val="right"/>
              <w:rPr>
                <w:rFonts w:asciiTheme="minorHAnsi" w:hAnsiTheme="minorHAnsi" w:cstheme="minorHAnsi"/>
                <w:sz w:val="18"/>
                <w:szCs w:val="18"/>
              </w:rPr>
            </w:pPr>
            <w:r w:rsidRPr="00332AB5">
              <w:rPr>
                <w:rFonts w:asciiTheme="minorHAnsi" w:hAnsiTheme="minorHAnsi" w:cstheme="minorHAnsi"/>
                <w:sz w:val="18"/>
                <w:szCs w:val="18"/>
              </w:rPr>
              <w:t>2.623,79</w:t>
            </w:r>
          </w:p>
        </w:tc>
        <w:tc>
          <w:tcPr>
            <w:tcW w:w="998" w:type="dxa"/>
            <w:shd w:val="clear" w:color="auto" w:fill="auto"/>
            <w:vAlign w:val="center"/>
          </w:tcPr>
          <w:p w14:paraId="0BF78FC8" w14:textId="70E06CB0" w:rsidR="000733DC" w:rsidRPr="00332AB5" w:rsidRDefault="000733DC" w:rsidP="000733DC">
            <w:pPr>
              <w:jc w:val="right"/>
              <w:rPr>
                <w:rFonts w:asciiTheme="minorHAnsi" w:hAnsiTheme="minorHAnsi" w:cstheme="minorBidi"/>
                <w:color w:val="000000" w:themeColor="text1"/>
                <w:sz w:val="18"/>
                <w:szCs w:val="18"/>
              </w:rPr>
            </w:pPr>
            <w:r w:rsidRPr="00332AB5">
              <w:rPr>
                <w:rFonts w:asciiTheme="minorHAnsi" w:hAnsiTheme="minorHAnsi" w:cstheme="minorBidi"/>
                <w:color w:val="000000" w:themeColor="text1"/>
                <w:sz w:val="18"/>
                <w:szCs w:val="18"/>
              </w:rPr>
              <w:t>230,95</w:t>
            </w:r>
          </w:p>
        </w:tc>
        <w:tc>
          <w:tcPr>
            <w:tcW w:w="635" w:type="dxa"/>
            <w:shd w:val="clear" w:color="auto" w:fill="auto"/>
            <w:vAlign w:val="center"/>
          </w:tcPr>
          <w:p w14:paraId="33539D09" w14:textId="6CB67D7E" w:rsidR="000733DC" w:rsidRPr="00332AB5" w:rsidRDefault="000733DC" w:rsidP="000733DC">
            <w:pPr>
              <w:jc w:val="right"/>
              <w:rPr>
                <w:rFonts w:asciiTheme="minorHAnsi" w:hAnsiTheme="minorHAnsi" w:cstheme="minorBidi"/>
                <w:color w:val="000000" w:themeColor="text1"/>
                <w:sz w:val="18"/>
                <w:szCs w:val="18"/>
              </w:rPr>
            </w:pPr>
            <w:r w:rsidRPr="00332AB5">
              <w:rPr>
                <w:rFonts w:asciiTheme="minorHAnsi" w:hAnsiTheme="minorHAnsi" w:cstheme="minorBidi"/>
                <w:color w:val="000000" w:themeColor="text1"/>
                <w:sz w:val="18"/>
                <w:szCs w:val="18"/>
              </w:rPr>
              <w:t>8,80</w:t>
            </w:r>
          </w:p>
        </w:tc>
        <w:tc>
          <w:tcPr>
            <w:tcW w:w="1089" w:type="dxa"/>
            <w:shd w:val="clear" w:color="auto" w:fill="auto"/>
            <w:vAlign w:val="center"/>
          </w:tcPr>
          <w:p w14:paraId="29BC30A5" w14:textId="2FF937CC" w:rsidR="000733DC" w:rsidRPr="00332AB5" w:rsidRDefault="000733DC" w:rsidP="000733DC">
            <w:pPr>
              <w:jc w:val="right"/>
              <w:rPr>
                <w:rFonts w:asciiTheme="minorHAnsi" w:hAnsiTheme="minorHAnsi" w:cstheme="minorBidi"/>
                <w:color w:val="000000" w:themeColor="text1"/>
                <w:sz w:val="18"/>
                <w:szCs w:val="18"/>
              </w:rPr>
            </w:pPr>
            <w:r w:rsidRPr="00332AB5">
              <w:rPr>
                <w:rFonts w:asciiTheme="minorHAnsi" w:hAnsiTheme="minorHAnsi" w:cstheme="minorBidi"/>
                <w:color w:val="000000" w:themeColor="text1"/>
                <w:sz w:val="18"/>
                <w:szCs w:val="18"/>
              </w:rPr>
              <w:t>238,44</w:t>
            </w:r>
          </w:p>
        </w:tc>
        <w:tc>
          <w:tcPr>
            <w:tcW w:w="635" w:type="dxa"/>
            <w:shd w:val="clear" w:color="auto" w:fill="auto"/>
            <w:vAlign w:val="center"/>
          </w:tcPr>
          <w:p w14:paraId="33A303A2" w14:textId="06DE4BAE" w:rsidR="000733DC" w:rsidRPr="00332AB5" w:rsidRDefault="000733DC" w:rsidP="000733DC">
            <w:pPr>
              <w:jc w:val="right"/>
              <w:rPr>
                <w:rFonts w:asciiTheme="minorHAnsi" w:hAnsiTheme="minorHAnsi" w:cstheme="minorBidi"/>
                <w:color w:val="000000" w:themeColor="text1"/>
                <w:sz w:val="18"/>
                <w:szCs w:val="18"/>
              </w:rPr>
            </w:pPr>
            <w:r w:rsidRPr="00332AB5">
              <w:rPr>
                <w:rFonts w:asciiTheme="minorHAnsi" w:hAnsiTheme="minorHAnsi" w:cstheme="minorBidi"/>
                <w:color w:val="000000" w:themeColor="text1"/>
                <w:sz w:val="18"/>
                <w:szCs w:val="18"/>
              </w:rPr>
              <w:t>9,09</w:t>
            </w:r>
          </w:p>
        </w:tc>
        <w:tc>
          <w:tcPr>
            <w:tcW w:w="1089" w:type="dxa"/>
            <w:shd w:val="clear" w:color="auto" w:fill="auto"/>
            <w:vAlign w:val="center"/>
          </w:tcPr>
          <w:p w14:paraId="0FCF2197" w14:textId="1909F907" w:rsidR="000733DC" w:rsidRPr="00332AB5" w:rsidRDefault="000733DC" w:rsidP="000733DC">
            <w:pPr>
              <w:jc w:val="right"/>
              <w:rPr>
                <w:rFonts w:asciiTheme="minorHAnsi" w:hAnsiTheme="minorHAnsi" w:cstheme="minorBidi"/>
                <w:color w:val="000000" w:themeColor="text1"/>
                <w:sz w:val="18"/>
                <w:szCs w:val="18"/>
              </w:rPr>
            </w:pPr>
            <w:r w:rsidRPr="00332AB5">
              <w:rPr>
                <w:rFonts w:asciiTheme="minorHAnsi" w:hAnsiTheme="minorHAnsi" w:cstheme="minorBidi"/>
                <w:color w:val="000000" w:themeColor="text1"/>
                <w:sz w:val="18"/>
                <w:szCs w:val="18"/>
              </w:rPr>
              <w:t>125,70</w:t>
            </w:r>
          </w:p>
        </w:tc>
        <w:tc>
          <w:tcPr>
            <w:tcW w:w="635" w:type="dxa"/>
            <w:shd w:val="clear" w:color="auto" w:fill="auto"/>
            <w:vAlign w:val="center"/>
          </w:tcPr>
          <w:p w14:paraId="18485920" w14:textId="2EA33877" w:rsidR="000733DC" w:rsidRPr="00332AB5" w:rsidRDefault="000733DC" w:rsidP="000733DC">
            <w:pPr>
              <w:jc w:val="right"/>
              <w:rPr>
                <w:rFonts w:asciiTheme="minorHAnsi" w:hAnsiTheme="minorHAnsi" w:cstheme="minorBidi"/>
                <w:color w:val="000000" w:themeColor="text1"/>
                <w:sz w:val="18"/>
                <w:szCs w:val="18"/>
              </w:rPr>
            </w:pPr>
            <w:r w:rsidRPr="00332AB5">
              <w:rPr>
                <w:rFonts w:asciiTheme="minorHAnsi" w:hAnsiTheme="minorHAnsi" w:cstheme="minorBidi"/>
                <w:color w:val="000000" w:themeColor="text1"/>
                <w:sz w:val="18"/>
                <w:szCs w:val="18"/>
              </w:rPr>
              <w:t>4,79</w:t>
            </w:r>
          </w:p>
        </w:tc>
        <w:tc>
          <w:tcPr>
            <w:tcW w:w="1089" w:type="dxa"/>
            <w:shd w:val="clear" w:color="auto" w:fill="auto"/>
            <w:vAlign w:val="center"/>
          </w:tcPr>
          <w:p w14:paraId="2A8FEE1A" w14:textId="46BA0C8A" w:rsidR="000733DC" w:rsidRPr="00332AB5" w:rsidRDefault="000733DC" w:rsidP="000733DC">
            <w:pPr>
              <w:jc w:val="right"/>
              <w:rPr>
                <w:rFonts w:asciiTheme="minorHAnsi" w:hAnsiTheme="minorHAnsi" w:cstheme="minorBidi"/>
                <w:color w:val="000000" w:themeColor="text1"/>
                <w:sz w:val="18"/>
                <w:szCs w:val="18"/>
              </w:rPr>
            </w:pPr>
            <w:r w:rsidRPr="00332AB5">
              <w:rPr>
                <w:rFonts w:asciiTheme="minorHAnsi" w:hAnsiTheme="minorHAnsi" w:cstheme="minorBidi"/>
                <w:color w:val="000000" w:themeColor="text1"/>
                <w:sz w:val="18"/>
                <w:szCs w:val="18"/>
              </w:rPr>
              <w:t>125,10</w:t>
            </w:r>
          </w:p>
        </w:tc>
        <w:tc>
          <w:tcPr>
            <w:tcW w:w="776" w:type="dxa"/>
            <w:shd w:val="clear" w:color="auto" w:fill="auto"/>
            <w:vAlign w:val="center"/>
          </w:tcPr>
          <w:p w14:paraId="6EAE2E3D" w14:textId="6A7FE5C5" w:rsidR="000733DC" w:rsidRPr="00332AB5" w:rsidRDefault="000733DC" w:rsidP="000733DC">
            <w:pPr>
              <w:jc w:val="right"/>
              <w:rPr>
                <w:rFonts w:asciiTheme="minorHAnsi" w:hAnsiTheme="minorHAnsi" w:cstheme="minorBidi"/>
                <w:color w:val="000000" w:themeColor="text1"/>
                <w:sz w:val="18"/>
                <w:szCs w:val="18"/>
              </w:rPr>
            </w:pPr>
            <w:r w:rsidRPr="00332AB5">
              <w:rPr>
                <w:rFonts w:asciiTheme="minorHAnsi" w:hAnsiTheme="minorHAnsi" w:cstheme="minorBidi"/>
                <w:color w:val="000000" w:themeColor="text1"/>
                <w:sz w:val="18"/>
                <w:szCs w:val="18"/>
              </w:rPr>
              <w:t>4,77</w:t>
            </w:r>
          </w:p>
        </w:tc>
      </w:tr>
      <w:tr w:rsidR="00F1318C" w:rsidRPr="00332AB5" w14:paraId="1CD1353B" w14:textId="77777777" w:rsidTr="007D1CB1">
        <w:trPr>
          <w:trHeight w:val="397"/>
        </w:trPr>
        <w:tc>
          <w:tcPr>
            <w:tcW w:w="1179" w:type="dxa"/>
            <w:shd w:val="clear" w:color="auto" w:fill="auto"/>
            <w:vAlign w:val="center"/>
          </w:tcPr>
          <w:p w14:paraId="0A8F6679" w14:textId="77777777" w:rsidR="00F1318C" w:rsidRPr="00332AB5" w:rsidRDefault="00F1318C" w:rsidP="00F1318C">
            <w:pPr>
              <w:rPr>
                <w:rFonts w:asciiTheme="minorHAnsi" w:hAnsiTheme="minorHAnsi" w:cstheme="minorHAnsi"/>
                <w:sz w:val="18"/>
                <w:szCs w:val="18"/>
              </w:rPr>
            </w:pPr>
            <w:r w:rsidRPr="00332AB5">
              <w:rPr>
                <w:rFonts w:asciiTheme="minorHAnsi" w:hAnsiTheme="minorHAnsi" w:cstheme="minorHAnsi"/>
                <w:sz w:val="18"/>
                <w:szCs w:val="18"/>
              </w:rPr>
              <w:t>OPPiR</w:t>
            </w:r>
          </w:p>
        </w:tc>
        <w:tc>
          <w:tcPr>
            <w:tcW w:w="1089" w:type="dxa"/>
            <w:tcBorders>
              <w:bottom w:val="single" w:sz="4" w:space="0" w:color="808080" w:themeColor="background1" w:themeShade="80"/>
            </w:tcBorders>
            <w:shd w:val="clear" w:color="auto" w:fill="auto"/>
            <w:vAlign w:val="center"/>
          </w:tcPr>
          <w:p w14:paraId="3A5ADAF7" w14:textId="027F4349" w:rsidR="00F1318C" w:rsidRPr="00332AB5" w:rsidRDefault="00F1318C" w:rsidP="00F1318C">
            <w:pPr>
              <w:jc w:val="right"/>
              <w:rPr>
                <w:rFonts w:asciiTheme="minorHAnsi" w:hAnsiTheme="minorHAnsi" w:cstheme="minorHAnsi"/>
                <w:sz w:val="18"/>
                <w:szCs w:val="18"/>
              </w:rPr>
            </w:pPr>
            <w:r w:rsidRPr="00332AB5">
              <w:rPr>
                <w:rFonts w:asciiTheme="minorHAnsi" w:hAnsiTheme="minorHAnsi" w:cstheme="minorHAnsi"/>
                <w:sz w:val="18"/>
                <w:szCs w:val="18"/>
              </w:rPr>
              <w:t>252,64</w:t>
            </w:r>
          </w:p>
        </w:tc>
        <w:tc>
          <w:tcPr>
            <w:tcW w:w="998" w:type="dxa"/>
            <w:tcBorders>
              <w:bottom w:val="single" w:sz="4" w:space="0" w:color="808080" w:themeColor="background1" w:themeShade="80"/>
            </w:tcBorders>
            <w:shd w:val="clear" w:color="auto" w:fill="auto"/>
            <w:vAlign w:val="center"/>
          </w:tcPr>
          <w:p w14:paraId="4A8F199C" w14:textId="5F28AF49" w:rsidR="00F1318C" w:rsidRPr="00332AB5" w:rsidRDefault="00F1318C" w:rsidP="00F1318C">
            <w:pPr>
              <w:jc w:val="right"/>
              <w:rPr>
                <w:rFonts w:asciiTheme="minorHAnsi" w:hAnsiTheme="minorHAnsi" w:cstheme="minorHAnsi"/>
                <w:color w:val="000000"/>
                <w:sz w:val="18"/>
                <w:szCs w:val="18"/>
              </w:rPr>
            </w:pPr>
            <w:r w:rsidRPr="00332AB5">
              <w:rPr>
                <w:rFonts w:asciiTheme="minorHAnsi" w:hAnsiTheme="minorHAnsi" w:cstheme="minorHAnsi"/>
                <w:sz w:val="18"/>
                <w:szCs w:val="18"/>
              </w:rPr>
              <w:t>18,17</w:t>
            </w:r>
          </w:p>
        </w:tc>
        <w:tc>
          <w:tcPr>
            <w:tcW w:w="635" w:type="dxa"/>
            <w:tcBorders>
              <w:bottom w:val="single" w:sz="4" w:space="0" w:color="808080" w:themeColor="background1" w:themeShade="80"/>
            </w:tcBorders>
            <w:shd w:val="clear" w:color="auto" w:fill="auto"/>
            <w:vAlign w:val="center"/>
          </w:tcPr>
          <w:p w14:paraId="6ED65461" w14:textId="2875D985" w:rsidR="00F1318C" w:rsidRPr="00332AB5" w:rsidRDefault="00F1318C" w:rsidP="00F1318C">
            <w:pPr>
              <w:jc w:val="right"/>
              <w:rPr>
                <w:rFonts w:asciiTheme="minorHAnsi" w:hAnsiTheme="minorHAnsi" w:cstheme="minorHAnsi"/>
                <w:color w:val="000000"/>
                <w:sz w:val="18"/>
                <w:szCs w:val="18"/>
              </w:rPr>
            </w:pPr>
            <w:r w:rsidRPr="00332AB5">
              <w:rPr>
                <w:rFonts w:asciiTheme="minorHAnsi" w:hAnsiTheme="minorHAnsi" w:cstheme="minorHAnsi"/>
                <w:sz w:val="18"/>
                <w:szCs w:val="18"/>
              </w:rPr>
              <w:t>7,19</w:t>
            </w:r>
          </w:p>
        </w:tc>
        <w:tc>
          <w:tcPr>
            <w:tcW w:w="1089" w:type="dxa"/>
            <w:tcBorders>
              <w:bottom w:val="single" w:sz="4" w:space="0" w:color="808080" w:themeColor="background1" w:themeShade="80"/>
            </w:tcBorders>
            <w:shd w:val="clear" w:color="auto" w:fill="auto"/>
            <w:vAlign w:val="center"/>
          </w:tcPr>
          <w:p w14:paraId="2F6FFDDB" w14:textId="3375D146" w:rsidR="00F1318C" w:rsidRPr="00332AB5" w:rsidRDefault="00F1318C" w:rsidP="00F1318C">
            <w:pPr>
              <w:jc w:val="right"/>
              <w:rPr>
                <w:rFonts w:asciiTheme="minorHAnsi" w:hAnsiTheme="minorHAnsi" w:cstheme="minorHAnsi"/>
                <w:color w:val="000000"/>
                <w:sz w:val="18"/>
                <w:szCs w:val="18"/>
              </w:rPr>
            </w:pPr>
            <w:r w:rsidRPr="00332AB5">
              <w:rPr>
                <w:rFonts w:asciiTheme="minorHAnsi" w:hAnsiTheme="minorHAnsi" w:cstheme="minorHAnsi"/>
                <w:sz w:val="18"/>
                <w:szCs w:val="18"/>
              </w:rPr>
              <w:t>26,72</w:t>
            </w:r>
          </w:p>
        </w:tc>
        <w:tc>
          <w:tcPr>
            <w:tcW w:w="635" w:type="dxa"/>
            <w:tcBorders>
              <w:bottom w:val="single" w:sz="4" w:space="0" w:color="808080" w:themeColor="background1" w:themeShade="80"/>
            </w:tcBorders>
            <w:shd w:val="clear" w:color="auto" w:fill="auto"/>
            <w:vAlign w:val="center"/>
          </w:tcPr>
          <w:p w14:paraId="766A94B2" w14:textId="3A63E716" w:rsidR="00F1318C" w:rsidRPr="00332AB5" w:rsidRDefault="00F1318C" w:rsidP="00F1318C">
            <w:pPr>
              <w:jc w:val="right"/>
              <w:rPr>
                <w:rFonts w:asciiTheme="minorHAnsi" w:hAnsiTheme="minorHAnsi" w:cstheme="minorHAnsi"/>
                <w:color w:val="000000"/>
                <w:sz w:val="18"/>
                <w:szCs w:val="18"/>
              </w:rPr>
            </w:pPr>
            <w:r w:rsidRPr="00332AB5">
              <w:rPr>
                <w:rFonts w:asciiTheme="minorHAnsi" w:hAnsiTheme="minorHAnsi" w:cstheme="minorHAnsi"/>
                <w:sz w:val="18"/>
                <w:szCs w:val="18"/>
              </w:rPr>
              <w:t>10,58</w:t>
            </w:r>
          </w:p>
        </w:tc>
        <w:tc>
          <w:tcPr>
            <w:tcW w:w="1089" w:type="dxa"/>
            <w:tcBorders>
              <w:bottom w:val="single" w:sz="4" w:space="0" w:color="808080" w:themeColor="background1" w:themeShade="80"/>
            </w:tcBorders>
            <w:shd w:val="clear" w:color="auto" w:fill="auto"/>
            <w:vAlign w:val="center"/>
          </w:tcPr>
          <w:p w14:paraId="71D75E35" w14:textId="461C68BA" w:rsidR="00F1318C" w:rsidRPr="00332AB5" w:rsidRDefault="00F1318C" w:rsidP="00F1318C">
            <w:pPr>
              <w:jc w:val="right"/>
              <w:rPr>
                <w:rFonts w:asciiTheme="minorHAnsi" w:hAnsiTheme="minorHAnsi" w:cstheme="minorHAnsi"/>
                <w:color w:val="000000"/>
                <w:sz w:val="18"/>
                <w:szCs w:val="18"/>
              </w:rPr>
            </w:pPr>
            <w:r w:rsidRPr="00332AB5">
              <w:rPr>
                <w:rFonts w:asciiTheme="minorHAnsi" w:hAnsiTheme="minorHAnsi" w:cstheme="minorHAnsi"/>
                <w:sz w:val="18"/>
                <w:szCs w:val="18"/>
              </w:rPr>
              <w:t>11,82</w:t>
            </w:r>
          </w:p>
        </w:tc>
        <w:tc>
          <w:tcPr>
            <w:tcW w:w="635" w:type="dxa"/>
            <w:tcBorders>
              <w:bottom w:val="single" w:sz="4" w:space="0" w:color="808080" w:themeColor="background1" w:themeShade="80"/>
            </w:tcBorders>
            <w:shd w:val="clear" w:color="auto" w:fill="auto"/>
            <w:vAlign w:val="center"/>
          </w:tcPr>
          <w:p w14:paraId="6E4606AB" w14:textId="2150EC5F" w:rsidR="00F1318C" w:rsidRPr="00332AB5" w:rsidRDefault="00F1318C" w:rsidP="00F1318C">
            <w:pPr>
              <w:jc w:val="center"/>
              <w:rPr>
                <w:rFonts w:asciiTheme="minorHAnsi" w:hAnsiTheme="minorHAnsi" w:cstheme="minorHAnsi"/>
                <w:color w:val="000000"/>
                <w:sz w:val="18"/>
                <w:szCs w:val="18"/>
              </w:rPr>
            </w:pPr>
            <w:r w:rsidRPr="00332AB5">
              <w:rPr>
                <w:rFonts w:asciiTheme="minorHAnsi" w:hAnsiTheme="minorHAnsi" w:cstheme="minorHAnsi"/>
                <w:sz w:val="18"/>
                <w:szCs w:val="18"/>
              </w:rPr>
              <w:t>4,68</w:t>
            </w:r>
          </w:p>
        </w:tc>
        <w:tc>
          <w:tcPr>
            <w:tcW w:w="1089" w:type="dxa"/>
            <w:tcBorders>
              <w:bottom w:val="single" w:sz="4" w:space="0" w:color="808080" w:themeColor="background1" w:themeShade="80"/>
            </w:tcBorders>
            <w:shd w:val="clear" w:color="auto" w:fill="auto"/>
            <w:vAlign w:val="center"/>
          </w:tcPr>
          <w:p w14:paraId="0F7AD239" w14:textId="6FD30837" w:rsidR="00F1318C" w:rsidRPr="00332AB5" w:rsidRDefault="00F1318C" w:rsidP="00F1318C">
            <w:pPr>
              <w:jc w:val="right"/>
              <w:rPr>
                <w:rFonts w:asciiTheme="minorHAnsi" w:hAnsiTheme="minorHAnsi" w:cstheme="minorHAnsi"/>
                <w:sz w:val="18"/>
                <w:szCs w:val="18"/>
              </w:rPr>
            </w:pPr>
            <w:r w:rsidRPr="00332AB5">
              <w:rPr>
                <w:rFonts w:asciiTheme="minorHAnsi" w:hAnsiTheme="minorHAnsi" w:cstheme="minorHAnsi"/>
                <w:sz w:val="18"/>
                <w:szCs w:val="18"/>
              </w:rPr>
              <w:t>0,63</w:t>
            </w:r>
          </w:p>
        </w:tc>
        <w:tc>
          <w:tcPr>
            <w:tcW w:w="776" w:type="dxa"/>
            <w:tcBorders>
              <w:bottom w:val="single" w:sz="4" w:space="0" w:color="808080" w:themeColor="background1" w:themeShade="80"/>
            </w:tcBorders>
            <w:shd w:val="clear" w:color="auto" w:fill="auto"/>
            <w:vAlign w:val="center"/>
          </w:tcPr>
          <w:p w14:paraId="75DF912C" w14:textId="2911BC69" w:rsidR="00F1318C" w:rsidRPr="00332AB5" w:rsidRDefault="00F1318C" w:rsidP="00F1318C">
            <w:pPr>
              <w:jc w:val="right"/>
              <w:rPr>
                <w:rFonts w:asciiTheme="minorHAnsi" w:hAnsiTheme="minorHAnsi" w:cstheme="minorHAnsi"/>
                <w:sz w:val="18"/>
                <w:szCs w:val="18"/>
              </w:rPr>
            </w:pPr>
            <w:r w:rsidRPr="00332AB5">
              <w:rPr>
                <w:rFonts w:asciiTheme="minorHAnsi" w:hAnsiTheme="minorHAnsi" w:cstheme="minorHAnsi"/>
                <w:sz w:val="18"/>
                <w:szCs w:val="18"/>
              </w:rPr>
              <w:t>0,25</w:t>
            </w:r>
          </w:p>
        </w:tc>
      </w:tr>
      <w:tr w:rsidR="003105E2" w:rsidRPr="00332AB5" w14:paraId="62F62CB8" w14:textId="77777777" w:rsidTr="007D1CB1">
        <w:trPr>
          <w:trHeight w:val="510"/>
        </w:trPr>
        <w:tc>
          <w:tcPr>
            <w:tcW w:w="1179" w:type="dxa"/>
            <w:shd w:val="clear" w:color="auto" w:fill="auto"/>
            <w:vAlign w:val="center"/>
          </w:tcPr>
          <w:p w14:paraId="20F3CFCF" w14:textId="77777777" w:rsidR="003105E2" w:rsidRPr="00332AB5" w:rsidRDefault="003105E2" w:rsidP="003105E2">
            <w:pPr>
              <w:rPr>
                <w:rFonts w:asciiTheme="minorHAnsi" w:hAnsiTheme="minorHAnsi" w:cstheme="minorHAnsi"/>
                <w:sz w:val="18"/>
                <w:szCs w:val="18"/>
              </w:rPr>
            </w:pPr>
            <w:r w:rsidRPr="00332AB5">
              <w:rPr>
                <w:rFonts w:asciiTheme="minorHAnsi" w:hAnsiTheme="minorHAnsi" w:cstheme="minorHAnsi"/>
                <w:sz w:val="18"/>
                <w:szCs w:val="18"/>
              </w:rPr>
              <w:t>UKUPNO</w:t>
            </w:r>
          </w:p>
        </w:tc>
        <w:tc>
          <w:tcPr>
            <w:tcW w:w="1089" w:type="dxa"/>
            <w:tcBorders>
              <w:bottom w:val="single" w:sz="4" w:space="0" w:color="808080" w:themeColor="background1" w:themeShade="80"/>
            </w:tcBorders>
            <w:shd w:val="clear" w:color="auto" w:fill="auto"/>
            <w:vAlign w:val="center"/>
          </w:tcPr>
          <w:p w14:paraId="4477F497" w14:textId="1ACAD6B0" w:rsidR="003105E2" w:rsidRPr="00332AB5" w:rsidRDefault="003105E2" w:rsidP="003105E2">
            <w:pPr>
              <w:jc w:val="right"/>
              <w:rPr>
                <w:rFonts w:asciiTheme="minorHAnsi" w:hAnsiTheme="minorHAnsi" w:cstheme="minorHAnsi"/>
                <w:color w:val="FF0000"/>
                <w:sz w:val="18"/>
                <w:szCs w:val="18"/>
              </w:rPr>
            </w:pPr>
            <w:r w:rsidRPr="00332AB5">
              <w:rPr>
                <w:rFonts w:asciiTheme="minorHAnsi" w:hAnsiTheme="minorHAnsi" w:cstheme="minorHAnsi"/>
                <w:sz w:val="18"/>
                <w:szCs w:val="18"/>
              </w:rPr>
              <w:t>11.328,73</w:t>
            </w:r>
          </w:p>
        </w:tc>
        <w:tc>
          <w:tcPr>
            <w:tcW w:w="998" w:type="dxa"/>
            <w:tcBorders>
              <w:bottom w:val="single" w:sz="4" w:space="0" w:color="808080" w:themeColor="background1" w:themeShade="80"/>
            </w:tcBorders>
            <w:shd w:val="clear" w:color="auto" w:fill="auto"/>
            <w:vAlign w:val="center"/>
          </w:tcPr>
          <w:p w14:paraId="48EF2E21" w14:textId="47B976F8" w:rsidR="003105E2" w:rsidRPr="00332AB5" w:rsidRDefault="003105E2" w:rsidP="003105E2">
            <w:pPr>
              <w:jc w:val="right"/>
              <w:rPr>
                <w:rFonts w:asciiTheme="minorHAnsi" w:hAnsiTheme="minorHAnsi" w:cstheme="minorHAnsi"/>
                <w:sz w:val="18"/>
                <w:szCs w:val="18"/>
              </w:rPr>
            </w:pPr>
            <w:r w:rsidRPr="00332AB5">
              <w:rPr>
                <w:rFonts w:asciiTheme="minorHAnsi" w:hAnsiTheme="minorHAnsi" w:cstheme="minorHAnsi"/>
                <w:sz w:val="18"/>
                <w:szCs w:val="18"/>
              </w:rPr>
              <w:t>265,71</w:t>
            </w:r>
          </w:p>
        </w:tc>
        <w:tc>
          <w:tcPr>
            <w:tcW w:w="635" w:type="dxa"/>
            <w:tcBorders>
              <w:bottom w:val="single" w:sz="4" w:space="0" w:color="808080" w:themeColor="background1" w:themeShade="80"/>
            </w:tcBorders>
            <w:shd w:val="clear" w:color="auto" w:fill="auto"/>
            <w:vAlign w:val="center"/>
          </w:tcPr>
          <w:p w14:paraId="1AC989B3" w14:textId="23EB5601" w:rsidR="003105E2" w:rsidRPr="00332AB5" w:rsidRDefault="003105E2" w:rsidP="003105E2">
            <w:pPr>
              <w:jc w:val="right"/>
              <w:rPr>
                <w:rFonts w:asciiTheme="minorHAnsi" w:hAnsiTheme="minorHAnsi" w:cstheme="minorHAnsi"/>
                <w:sz w:val="18"/>
                <w:szCs w:val="18"/>
              </w:rPr>
            </w:pPr>
            <w:r w:rsidRPr="00332AB5">
              <w:rPr>
                <w:rFonts w:asciiTheme="minorHAnsi" w:hAnsiTheme="minorHAnsi" w:cstheme="minorHAnsi"/>
                <w:sz w:val="18"/>
                <w:szCs w:val="18"/>
              </w:rPr>
              <w:t>2,35</w:t>
            </w:r>
          </w:p>
        </w:tc>
        <w:tc>
          <w:tcPr>
            <w:tcW w:w="1089" w:type="dxa"/>
            <w:tcBorders>
              <w:bottom w:val="single" w:sz="4" w:space="0" w:color="808080" w:themeColor="background1" w:themeShade="80"/>
            </w:tcBorders>
            <w:shd w:val="clear" w:color="auto" w:fill="auto"/>
            <w:vAlign w:val="center"/>
          </w:tcPr>
          <w:p w14:paraId="40B4461C" w14:textId="012D7B0C" w:rsidR="003105E2" w:rsidRPr="00332AB5" w:rsidRDefault="003105E2" w:rsidP="003105E2">
            <w:pPr>
              <w:jc w:val="right"/>
              <w:rPr>
                <w:rFonts w:asciiTheme="minorHAnsi" w:hAnsiTheme="minorHAnsi" w:cstheme="minorHAnsi"/>
                <w:sz w:val="18"/>
                <w:szCs w:val="18"/>
              </w:rPr>
            </w:pPr>
            <w:r w:rsidRPr="00332AB5">
              <w:rPr>
                <w:rFonts w:asciiTheme="minorHAnsi" w:hAnsiTheme="minorHAnsi" w:cstheme="minorHAnsi"/>
                <w:sz w:val="18"/>
                <w:szCs w:val="18"/>
              </w:rPr>
              <w:t>895,09</w:t>
            </w:r>
          </w:p>
        </w:tc>
        <w:tc>
          <w:tcPr>
            <w:tcW w:w="635" w:type="dxa"/>
            <w:tcBorders>
              <w:bottom w:val="single" w:sz="4" w:space="0" w:color="808080" w:themeColor="background1" w:themeShade="80"/>
            </w:tcBorders>
            <w:shd w:val="clear" w:color="auto" w:fill="auto"/>
            <w:vAlign w:val="center"/>
          </w:tcPr>
          <w:p w14:paraId="5EF26ED8" w14:textId="360312D4" w:rsidR="003105E2" w:rsidRPr="00332AB5" w:rsidRDefault="003105E2" w:rsidP="003105E2">
            <w:pPr>
              <w:jc w:val="right"/>
              <w:rPr>
                <w:rFonts w:asciiTheme="minorHAnsi" w:hAnsiTheme="minorHAnsi" w:cstheme="minorHAnsi"/>
                <w:sz w:val="18"/>
                <w:szCs w:val="18"/>
              </w:rPr>
            </w:pPr>
            <w:r w:rsidRPr="00332AB5">
              <w:rPr>
                <w:rFonts w:asciiTheme="minorHAnsi" w:hAnsiTheme="minorHAnsi" w:cstheme="minorHAnsi"/>
                <w:sz w:val="18"/>
                <w:szCs w:val="18"/>
              </w:rPr>
              <w:t>7,90</w:t>
            </w:r>
          </w:p>
        </w:tc>
        <w:tc>
          <w:tcPr>
            <w:tcW w:w="1089" w:type="dxa"/>
            <w:tcBorders>
              <w:bottom w:val="single" w:sz="4" w:space="0" w:color="808080" w:themeColor="background1" w:themeShade="80"/>
            </w:tcBorders>
            <w:shd w:val="clear" w:color="auto" w:fill="auto"/>
            <w:vAlign w:val="center"/>
          </w:tcPr>
          <w:p w14:paraId="15934A09" w14:textId="1EAEE0B3" w:rsidR="003105E2" w:rsidRPr="00332AB5" w:rsidRDefault="003105E2" w:rsidP="003105E2">
            <w:pPr>
              <w:jc w:val="right"/>
              <w:rPr>
                <w:rFonts w:asciiTheme="minorHAnsi" w:hAnsiTheme="minorHAnsi" w:cstheme="minorHAnsi"/>
                <w:sz w:val="18"/>
                <w:szCs w:val="18"/>
              </w:rPr>
            </w:pPr>
            <w:r w:rsidRPr="00332AB5">
              <w:rPr>
                <w:rFonts w:asciiTheme="minorHAnsi" w:hAnsiTheme="minorHAnsi" w:cstheme="minorHAnsi"/>
                <w:sz w:val="18"/>
                <w:szCs w:val="18"/>
              </w:rPr>
              <w:t>356,33</w:t>
            </w:r>
          </w:p>
        </w:tc>
        <w:tc>
          <w:tcPr>
            <w:tcW w:w="635" w:type="dxa"/>
            <w:tcBorders>
              <w:bottom w:val="single" w:sz="4" w:space="0" w:color="808080" w:themeColor="background1" w:themeShade="80"/>
            </w:tcBorders>
            <w:shd w:val="clear" w:color="auto" w:fill="auto"/>
            <w:vAlign w:val="center"/>
          </w:tcPr>
          <w:p w14:paraId="4E8BEE85" w14:textId="379B2DE8" w:rsidR="003105E2" w:rsidRPr="00332AB5" w:rsidRDefault="003105E2" w:rsidP="003105E2">
            <w:pPr>
              <w:jc w:val="right"/>
              <w:rPr>
                <w:rFonts w:asciiTheme="minorHAnsi" w:hAnsiTheme="minorHAnsi" w:cstheme="minorHAnsi"/>
                <w:sz w:val="18"/>
                <w:szCs w:val="18"/>
              </w:rPr>
            </w:pPr>
            <w:r w:rsidRPr="00332AB5">
              <w:rPr>
                <w:rFonts w:asciiTheme="minorHAnsi" w:hAnsiTheme="minorHAnsi" w:cstheme="minorHAnsi"/>
                <w:sz w:val="18"/>
                <w:szCs w:val="18"/>
              </w:rPr>
              <w:t>3,15</w:t>
            </w:r>
          </w:p>
        </w:tc>
        <w:tc>
          <w:tcPr>
            <w:tcW w:w="1089" w:type="dxa"/>
            <w:tcBorders>
              <w:bottom w:val="single" w:sz="4" w:space="0" w:color="808080" w:themeColor="background1" w:themeShade="80"/>
            </w:tcBorders>
            <w:shd w:val="clear" w:color="auto" w:fill="auto"/>
            <w:vAlign w:val="center"/>
          </w:tcPr>
          <w:p w14:paraId="694A4772" w14:textId="478F5628" w:rsidR="003105E2" w:rsidRPr="00332AB5" w:rsidRDefault="003105E2" w:rsidP="003105E2">
            <w:pPr>
              <w:jc w:val="right"/>
              <w:rPr>
                <w:rFonts w:asciiTheme="minorHAnsi" w:hAnsiTheme="minorHAnsi" w:cstheme="minorHAnsi"/>
                <w:sz w:val="18"/>
                <w:szCs w:val="18"/>
              </w:rPr>
            </w:pPr>
            <w:r w:rsidRPr="00332AB5">
              <w:rPr>
                <w:rFonts w:asciiTheme="minorHAnsi" w:hAnsiTheme="minorHAnsi" w:cstheme="minorHAnsi"/>
                <w:sz w:val="18"/>
                <w:szCs w:val="18"/>
              </w:rPr>
              <w:t>797,04</w:t>
            </w:r>
          </w:p>
        </w:tc>
        <w:tc>
          <w:tcPr>
            <w:tcW w:w="776" w:type="dxa"/>
            <w:tcBorders>
              <w:bottom w:val="single" w:sz="4" w:space="0" w:color="808080" w:themeColor="background1" w:themeShade="80"/>
            </w:tcBorders>
            <w:shd w:val="clear" w:color="auto" w:fill="auto"/>
            <w:vAlign w:val="center"/>
          </w:tcPr>
          <w:p w14:paraId="61A3C62A" w14:textId="6BAF8DCA" w:rsidR="003105E2" w:rsidRPr="00332AB5" w:rsidRDefault="003105E2" w:rsidP="003105E2">
            <w:pPr>
              <w:jc w:val="right"/>
              <w:rPr>
                <w:rFonts w:asciiTheme="minorHAnsi" w:hAnsiTheme="minorHAnsi" w:cstheme="minorHAnsi"/>
                <w:sz w:val="18"/>
                <w:szCs w:val="18"/>
              </w:rPr>
            </w:pPr>
            <w:r w:rsidRPr="00332AB5">
              <w:rPr>
                <w:rFonts w:asciiTheme="minorHAnsi" w:hAnsiTheme="minorHAnsi" w:cstheme="minorHAnsi"/>
                <w:sz w:val="18"/>
                <w:szCs w:val="18"/>
              </w:rPr>
              <w:t>7,04</w:t>
            </w:r>
          </w:p>
        </w:tc>
      </w:tr>
      <w:bookmarkEnd w:id="28"/>
    </w:tbl>
    <w:p w14:paraId="195D923D" w14:textId="77777777" w:rsidR="00235A74" w:rsidRPr="00332AB5" w:rsidRDefault="00235A74" w:rsidP="00E2152B">
      <w:pPr>
        <w:spacing w:before="120" w:after="120"/>
        <w:jc w:val="both"/>
        <w:rPr>
          <w:b/>
          <w:bCs/>
        </w:rPr>
      </w:pPr>
    </w:p>
    <w:p w14:paraId="35BFEEF9" w14:textId="09EBDCDD" w:rsidR="00866BAB" w:rsidRPr="00332AB5" w:rsidRDefault="00E46443" w:rsidP="00E2152B">
      <w:pPr>
        <w:spacing w:before="120" w:after="120"/>
        <w:jc w:val="both"/>
        <w:rPr>
          <w:b/>
          <w:bCs/>
        </w:rPr>
      </w:pPr>
      <w:r w:rsidRPr="00332AB5">
        <w:rPr>
          <w:b/>
          <w:bCs/>
        </w:rPr>
        <w:br w:type="page"/>
      </w:r>
      <w:bookmarkStart w:id="29" w:name="_Toc152595276"/>
      <w:r w:rsidR="00F2296E" w:rsidRPr="00332AB5">
        <w:rPr>
          <w:b/>
          <w:bCs/>
        </w:rPr>
        <w:lastRenderedPageBreak/>
        <w:t xml:space="preserve">Tablica </w:t>
      </w:r>
      <w:r w:rsidR="008C2CC3" w:rsidRPr="00332AB5">
        <w:rPr>
          <w:b/>
          <w:bCs/>
        </w:rPr>
        <w:fldChar w:fldCharType="begin"/>
      </w:r>
      <w:r w:rsidR="00BE6224" w:rsidRPr="00332AB5">
        <w:rPr>
          <w:b/>
          <w:bCs/>
        </w:rPr>
        <w:instrText xml:space="preserve"> SEQ Tablica \* ARABIC </w:instrText>
      </w:r>
      <w:r w:rsidR="008C2CC3" w:rsidRPr="00332AB5">
        <w:rPr>
          <w:b/>
          <w:bCs/>
        </w:rPr>
        <w:fldChar w:fldCharType="separate"/>
      </w:r>
      <w:r w:rsidR="005E6E46">
        <w:rPr>
          <w:b/>
          <w:bCs/>
          <w:noProof/>
        </w:rPr>
        <w:t>2</w:t>
      </w:r>
      <w:r w:rsidR="008C2CC3" w:rsidRPr="00332AB5">
        <w:rPr>
          <w:b/>
          <w:bCs/>
        </w:rPr>
        <w:fldChar w:fldCharType="end"/>
      </w:r>
      <w:r w:rsidR="00866BAB" w:rsidRPr="00332AB5">
        <w:rPr>
          <w:b/>
          <w:bCs/>
        </w:rPr>
        <w:t xml:space="preserve">: Financijski pokazatelji statusa provedbe (operativnih) programa financijskog razdoblja 2014. – 2020. od početka provedbe do kraja izvještajnog razdoblja </w:t>
      </w:r>
      <w:r w:rsidR="0011067E" w:rsidRPr="00332AB5">
        <w:rPr>
          <w:b/>
          <w:bCs/>
        </w:rPr>
        <w:t>30. lipnja 2023.</w:t>
      </w:r>
      <w:r w:rsidR="0097040A" w:rsidRPr="00332AB5">
        <w:rPr>
          <w:b/>
          <w:bCs/>
        </w:rPr>
        <w:t xml:space="preserve"> </w:t>
      </w:r>
      <w:r w:rsidR="00866BAB" w:rsidRPr="00332AB5">
        <w:rPr>
          <w:b/>
          <w:bCs/>
        </w:rPr>
        <w:t>(sredstva EU, u milijunima eura i postocima od dodijeljenih sredstava)</w:t>
      </w:r>
      <w:bookmarkEnd w:id="29"/>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043"/>
        <w:gridCol w:w="1089"/>
        <w:gridCol w:w="845"/>
        <w:gridCol w:w="992"/>
        <w:gridCol w:w="709"/>
        <w:gridCol w:w="992"/>
        <w:gridCol w:w="709"/>
        <w:gridCol w:w="925"/>
        <w:gridCol w:w="776"/>
      </w:tblGrid>
      <w:tr w:rsidR="00AA5DF3" w:rsidRPr="00332AB5" w14:paraId="6B406362" w14:textId="77777777" w:rsidTr="00A77615">
        <w:trPr>
          <w:trHeight w:val="737"/>
        </w:trPr>
        <w:tc>
          <w:tcPr>
            <w:tcW w:w="1134" w:type="dxa"/>
            <w:vAlign w:val="center"/>
          </w:tcPr>
          <w:p w14:paraId="1F3FA4DE" w14:textId="77777777" w:rsidR="00235A74" w:rsidRPr="00332AB5" w:rsidRDefault="00235A74" w:rsidP="00487586">
            <w:pPr>
              <w:spacing w:after="60"/>
              <w:rPr>
                <w:rFonts w:asciiTheme="minorHAnsi" w:hAnsiTheme="minorHAnsi" w:cstheme="minorHAnsi"/>
                <w:sz w:val="16"/>
                <w:szCs w:val="16"/>
              </w:rPr>
            </w:pPr>
            <w:bookmarkStart w:id="30" w:name="_Hlk83647100"/>
            <w:r w:rsidRPr="00332AB5">
              <w:rPr>
                <w:rFonts w:asciiTheme="minorHAnsi" w:hAnsiTheme="minorHAnsi" w:cstheme="minorHAnsi"/>
                <w:sz w:val="16"/>
                <w:szCs w:val="16"/>
              </w:rPr>
              <w:t>(Operativni) program</w:t>
            </w:r>
          </w:p>
        </w:tc>
        <w:tc>
          <w:tcPr>
            <w:tcW w:w="1043" w:type="dxa"/>
            <w:tcBorders>
              <w:bottom w:val="single" w:sz="4" w:space="0" w:color="808080" w:themeColor="background1" w:themeShade="80"/>
            </w:tcBorders>
            <w:vAlign w:val="center"/>
          </w:tcPr>
          <w:p w14:paraId="67A4AD64" w14:textId="77777777" w:rsidR="00235A74" w:rsidRPr="00332AB5" w:rsidRDefault="00235A74" w:rsidP="00487586">
            <w:pPr>
              <w:spacing w:after="60"/>
              <w:jc w:val="right"/>
              <w:rPr>
                <w:rFonts w:asciiTheme="minorHAnsi" w:hAnsiTheme="minorHAnsi" w:cstheme="minorHAnsi"/>
                <w:sz w:val="16"/>
                <w:szCs w:val="16"/>
              </w:rPr>
            </w:pPr>
            <w:r w:rsidRPr="00332AB5">
              <w:rPr>
                <w:rFonts w:asciiTheme="minorHAnsi" w:hAnsiTheme="minorHAnsi" w:cstheme="minorHAnsi"/>
                <w:sz w:val="16"/>
                <w:szCs w:val="16"/>
              </w:rPr>
              <w:t>Dodijeljena sredstva</w:t>
            </w:r>
          </w:p>
        </w:tc>
        <w:tc>
          <w:tcPr>
            <w:tcW w:w="1089" w:type="dxa"/>
            <w:tcBorders>
              <w:bottom w:val="single" w:sz="4" w:space="0" w:color="808080" w:themeColor="background1" w:themeShade="80"/>
            </w:tcBorders>
            <w:vAlign w:val="center"/>
          </w:tcPr>
          <w:p w14:paraId="339CBFE1" w14:textId="77777777" w:rsidR="00235A74" w:rsidRPr="00332AB5" w:rsidRDefault="00235A74" w:rsidP="00487586">
            <w:pPr>
              <w:spacing w:after="60"/>
              <w:jc w:val="right"/>
              <w:rPr>
                <w:rFonts w:asciiTheme="minorHAnsi" w:hAnsiTheme="minorHAnsi" w:cstheme="minorHAnsi"/>
                <w:sz w:val="16"/>
                <w:szCs w:val="16"/>
              </w:rPr>
            </w:pPr>
            <w:r w:rsidRPr="00332AB5">
              <w:rPr>
                <w:rFonts w:asciiTheme="minorHAnsi" w:hAnsiTheme="minorHAnsi" w:cstheme="minorHAnsi"/>
                <w:sz w:val="16"/>
                <w:szCs w:val="16"/>
              </w:rPr>
              <w:t>Ukupno ugovorena sredstva</w:t>
            </w:r>
          </w:p>
        </w:tc>
        <w:tc>
          <w:tcPr>
            <w:tcW w:w="845" w:type="dxa"/>
            <w:tcBorders>
              <w:bottom w:val="single" w:sz="4" w:space="0" w:color="808080" w:themeColor="background1" w:themeShade="80"/>
            </w:tcBorders>
            <w:vAlign w:val="center"/>
          </w:tcPr>
          <w:p w14:paraId="1F79D975" w14:textId="77777777" w:rsidR="00235A74" w:rsidRPr="00332AB5" w:rsidRDefault="000C006E" w:rsidP="00487586">
            <w:pPr>
              <w:spacing w:after="60"/>
              <w:jc w:val="right"/>
              <w:rPr>
                <w:rFonts w:asciiTheme="minorHAnsi" w:hAnsiTheme="minorHAnsi" w:cstheme="minorHAnsi"/>
                <w:sz w:val="16"/>
                <w:szCs w:val="16"/>
              </w:rPr>
            </w:pPr>
            <w:r w:rsidRPr="00332AB5">
              <w:rPr>
                <w:rFonts w:asciiTheme="minorHAnsi" w:hAnsiTheme="minorHAnsi" w:cstheme="minorHAnsi"/>
                <w:sz w:val="16"/>
                <w:szCs w:val="16"/>
              </w:rPr>
              <w:t xml:space="preserve"> %</w:t>
            </w:r>
          </w:p>
        </w:tc>
        <w:tc>
          <w:tcPr>
            <w:tcW w:w="992" w:type="dxa"/>
            <w:tcBorders>
              <w:bottom w:val="single" w:sz="4" w:space="0" w:color="808080" w:themeColor="background1" w:themeShade="80"/>
            </w:tcBorders>
            <w:vAlign w:val="center"/>
          </w:tcPr>
          <w:p w14:paraId="20981241" w14:textId="77777777" w:rsidR="00235A74" w:rsidRPr="00332AB5" w:rsidRDefault="00235A74" w:rsidP="00487586">
            <w:pPr>
              <w:spacing w:after="60"/>
              <w:jc w:val="right"/>
              <w:rPr>
                <w:rFonts w:asciiTheme="minorHAnsi" w:hAnsiTheme="minorHAnsi" w:cstheme="minorHAnsi"/>
                <w:sz w:val="16"/>
                <w:szCs w:val="16"/>
              </w:rPr>
            </w:pPr>
            <w:r w:rsidRPr="00332AB5">
              <w:rPr>
                <w:rFonts w:asciiTheme="minorHAnsi" w:hAnsiTheme="minorHAnsi" w:cstheme="minorHAnsi"/>
                <w:sz w:val="16"/>
                <w:szCs w:val="16"/>
              </w:rPr>
              <w:t>Ukupno plaćena sredstva</w:t>
            </w:r>
          </w:p>
        </w:tc>
        <w:tc>
          <w:tcPr>
            <w:tcW w:w="709" w:type="dxa"/>
            <w:tcBorders>
              <w:bottom w:val="single" w:sz="4" w:space="0" w:color="808080" w:themeColor="background1" w:themeShade="80"/>
            </w:tcBorders>
            <w:vAlign w:val="center"/>
          </w:tcPr>
          <w:p w14:paraId="05011CA9" w14:textId="77777777" w:rsidR="00235A74" w:rsidRPr="00332AB5" w:rsidRDefault="000C006E" w:rsidP="00487586">
            <w:pPr>
              <w:spacing w:after="60"/>
              <w:jc w:val="right"/>
              <w:rPr>
                <w:rFonts w:asciiTheme="minorHAnsi" w:hAnsiTheme="minorHAnsi" w:cstheme="minorHAnsi"/>
                <w:sz w:val="16"/>
                <w:szCs w:val="16"/>
              </w:rPr>
            </w:pPr>
            <w:r w:rsidRPr="00332AB5">
              <w:rPr>
                <w:rFonts w:asciiTheme="minorHAnsi" w:hAnsiTheme="minorHAnsi" w:cstheme="minorHAnsi"/>
                <w:sz w:val="16"/>
                <w:szCs w:val="16"/>
              </w:rPr>
              <w:t xml:space="preserve"> %</w:t>
            </w:r>
          </w:p>
        </w:tc>
        <w:tc>
          <w:tcPr>
            <w:tcW w:w="992" w:type="dxa"/>
            <w:tcBorders>
              <w:bottom w:val="single" w:sz="4" w:space="0" w:color="808080" w:themeColor="background1" w:themeShade="80"/>
            </w:tcBorders>
            <w:vAlign w:val="center"/>
          </w:tcPr>
          <w:p w14:paraId="16B53918" w14:textId="77777777" w:rsidR="00235A74" w:rsidRPr="00332AB5" w:rsidRDefault="00235A74" w:rsidP="00487586">
            <w:pPr>
              <w:spacing w:after="60"/>
              <w:jc w:val="right"/>
              <w:rPr>
                <w:rFonts w:asciiTheme="minorHAnsi" w:hAnsiTheme="minorHAnsi" w:cstheme="minorHAnsi"/>
                <w:sz w:val="16"/>
                <w:szCs w:val="16"/>
              </w:rPr>
            </w:pPr>
            <w:r w:rsidRPr="00332AB5">
              <w:rPr>
                <w:rFonts w:asciiTheme="minorHAnsi" w:hAnsiTheme="minorHAnsi" w:cstheme="minorHAnsi"/>
                <w:sz w:val="16"/>
                <w:szCs w:val="16"/>
              </w:rPr>
              <w:t>Ukupno ovjerena sredstva</w:t>
            </w:r>
          </w:p>
        </w:tc>
        <w:tc>
          <w:tcPr>
            <w:tcW w:w="709" w:type="dxa"/>
            <w:tcBorders>
              <w:bottom w:val="single" w:sz="4" w:space="0" w:color="808080" w:themeColor="background1" w:themeShade="80"/>
            </w:tcBorders>
            <w:vAlign w:val="center"/>
          </w:tcPr>
          <w:p w14:paraId="415BFBF3" w14:textId="77777777" w:rsidR="00235A74" w:rsidRPr="00332AB5" w:rsidRDefault="000C006E" w:rsidP="00487586">
            <w:pPr>
              <w:spacing w:after="60"/>
              <w:jc w:val="right"/>
              <w:rPr>
                <w:rFonts w:asciiTheme="minorHAnsi" w:hAnsiTheme="minorHAnsi" w:cstheme="minorHAnsi"/>
                <w:sz w:val="16"/>
                <w:szCs w:val="16"/>
              </w:rPr>
            </w:pPr>
            <w:r w:rsidRPr="00332AB5">
              <w:rPr>
                <w:rFonts w:asciiTheme="minorHAnsi" w:hAnsiTheme="minorHAnsi" w:cstheme="minorHAnsi"/>
                <w:sz w:val="16"/>
                <w:szCs w:val="16"/>
              </w:rPr>
              <w:t xml:space="preserve"> %</w:t>
            </w:r>
          </w:p>
        </w:tc>
        <w:tc>
          <w:tcPr>
            <w:tcW w:w="925" w:type="dxa"/>
            <w:tcBorders>
              <w:bottom w:val="single" w:sz="4" w:space="0" w:color="808080" w:themeColor="background1" w:themeShade="80"/>
            </w:tcBorders>
            <w:vAlign w:val="center"/>
          </w:tcPr>
          <w:p w14:paraId="00DD75E5" w14:textId="77777777" w:rsidR="00235A74" w:rsidRPr="00332AB5" w:rsidRDefault="00235A74" w:rsidP="00487586">
            <w:pPr>
              <w:spacing w:after="60"/>
              <w:jc w:val="right"/>
              <w:rPr>
                <w:rFonts w:asciiTheme="minorHAnsi" w:hAnsiTheme="minorHAnsi" w:cstheme="minorHAnsi"/>
                <w:sz w:val="16"/>
                <w:szCs w:val="16"/>
              </w:rPr>
            </w:pPr>
            <w:r w:rsidRPr="00332AB5">
              <w:rPr>
                <w:rFonts w:asciiTheme="minorHAnsi" w:hAnsiTheme="minorHAnsi" w:cstheme="minorHAnsi"/>
                <w:sz w:val="16"/>
                <w:szCs w:val="16"/>
              </w:rPr>
              <w:t>Ukupno doznačena sredstva</w:t>
            </w:r>
          </w:p>
        </w:tc>
        <w:tc>
          <w:tcPr>
            <w:tcW w:w="776" w:type="dxa"/>
            <w:tcBorders>
              <w:bottom w:val="single" w:sz="4" w:space="0" w:color="808080" w:themeColor="background1" w:themeShade="80"/>
            </w:tcBorders>
            <w:vAlign w:val="center"/>
          </w:tcPr>
          <w:p w14:paraId="4B0072C9" w14:textId="77777777" w:rsidR="00235A74" w:rsidRPr="00332AB5" w:rsidRDefault="000C006E" w:rsidP="00487586">
            <w:pPr>
              <w:spacing w:after="60"/>
              <w:jc w:val="right"/>
              <w:rPr>
                <w:rFonts w:asciiTheme="minorHAnsi" w:hAnsiTheme="minorHAnsi" w:cstheme="minorHAnsi"/>
                <w:sz w:val="16"/>
                <w:szCs w:val="16"/>
              </w:rPr>
            </w:pPr>
            <w:r w:rsidRPr="00332AB5">
              <w:rPr>
                <w:rFonts w:asciiTheme="minorHAnsi" w:hAnsiTheme="minorHAnsi" w:cstheme="minorHAnsi"/>
                <w:sz w:val="16"/>
                <w:szCs w:val="16"/>
              </w:rPr>
              <w:t xml:space="preserve"> %</w:t>
            </w:r>
          </w:p>
        </w:tc>
      </w:tr>
      <w:tr w:rsidR="00AA5DF3" w:rsidRPr="00332AB5" w14:paraId="6C014CA0" w14:textId="77777777" w:rsidTr="00A77615">
        <w:trPr>
          <w:trHeight w:val="113"/>
        </w:trPr>
        <w:tc>
          <w:tcPr>
            <w:tcW w:w="1134" w:type="dxa"/>
            <w:vAlign w:val="center"/>
          </w:tcPr>
          <w:p w14:paraId="20318E28" w14:textId="77777777" w:rsidR="00235A74" w:rsidRPr="00332AB5" w:rsidRDefault="00235A74" w:rsidP="00487586">
            <w:pPr>
              <w:rPr>
                <w:rFonts w:asciiTheme="minorHAnsi" w:hAnsiTheme="minorHAnsi" w:cstheme="minorHAnsi"/>
                <w:sz w:val="18"/>
                <w:szCs w:val="18"/>
              </w:rPr>
            </w:pPr>
          </w:p>
        </w:tc>
        <w:tc>
          <w:tcPr>
            <w:tcW w:w="1043" w:type="dxa"/>
            <w:tcBorders>
              <w:top w:val="single" w:sz="4" w:space="0" w:color="808080" w:themeColor="background1" w:themeShade="80"/>
            </w:tcBorders>
            <w:vAlign w:val="center"/>
          </w:tcPr>
          <w:p w14:paraId="28274935" w14:textId="77777777" w:rsidR="00235A74" w:rsidRPr="00332AB5" w:rsidRDefault="00235A74" w:rsidP="00487586">
            <w:pPr>
              <w:jc w:val="right"/>
              <w:rPr>
                <w:rFonts w:asciiTheme="minorHAnsi" w:hAnsiTheme="minorHAnsi" w:cstheme="minorHAnsi"/>
                <w:sz w:val="18"/>
                <w:szCs w:val="18"/>
              </w:rPr>
            </w:pPr>
          </w:p>
        </w:tc>
        <w:tc>
          <w:tcPr>
            <w:tcW w:w="1089" w:type="dxa"/>
            <w:tcBorders>
              <w:top w:val="single" w:sz="4" w:space="0" w:color="808080" w:themeColor="background1" w:themeShade="80"/>
            </w:tcBorders>
            <w:vAlign w:val="center"/>
          </w:tcPr>
          <w:p w14:paraId="06304455" w14:textId="77777777" w:rsidR="00235A74" w:rsidRPr="00332AB5" w:rsidRDefault="00235A74" w:rsidP="00487586">
            <w:pPr>
              <w:jc w:val="right"/>
              <w:rPr>
                <w:rFonts w:asciiTheme="minorHAnsi" w:hAnsiTheme="minorHAnsi" w:cstheme="minorHAnsi"/>
                <w:sz w:val="18"/>
                <w:szCs w:val="18"/>
              </w:rPr>
            </w:pPr>
          </w:p>
        </w:tc>
        <w:tc>
          <w:tcPr>
            <w:tcW w:w="845" w:type="dxa"/>
            <w:tcBorders>
              <w:top w:val="single" w:sz="4" w:space="0" w:color="808080" w:themeColor="background1" w:themeShade="80"/>
            </w:tcBorders>
            <w:vAlign w:val="center"/>
          </w:tcPr>
          <w:p w14:paraId="04BA2EB3" w14:textId="77777777" w:rsidR="00235A74" w:rsidRPr="00332AB5" w:rsidRDefault="00235A74" w:rsidP="00487586">
            <w:pPr>
              <w:jc w:val="right"/>
              <w:rPr>
                <w:rFonts w:asciiTheme="minorHAnsi" w:hAnsiTheme="minorHAnsi" w:cstheme="minorHAnsi"/>
                <w:sz w:val="18"/>
                <w:szCs w:val="18"/>
              </w:rPr>
            </w:pPr>
          </w:p>
        </w:tc>
        <w:tc>
          <w:tcPr>
            <w:tcW w:w="992" w:type="dxa"/>
            <w:tcBorders>
              <w:top w:val="single" w:sz="4" w:space="0" w:color="808080" w:themeColor="background1" w:themeShade="80"/>
            </w:tcBorders>
            <w:vAlign w:val="center"/>
          </w:tcPr>
          <w:p w14:paraId="759E36E1" w14:textId="77777777" w:rsidR="00235A74" w:rsidRPr="00332AB5" w:rsidRDefault="00235A74" w:rsidP="00487586">
            <w:pPr>
              <w:jc w:val="right"/>
              <w:rPr>
                <w:rFonts w:asciiTheme="minorHAnsi" w:hAnsiTheme="minorHAnsi" w:cstheme="minorHAnsi"/>
                <w:sz w:val="18"/>
                <w:szCs w:val="18"/>
              </w:rPr>
            </w:pPr>
          </w:p>
        </w:tc>
        <w:tc>
          <w:tcPr>
            <w:tcW w:w="709" w:type="dxa"/>
            <w:tcBorders>
              <w:top w:val="single" w:sz="4" w:space="0" w:color="808080" w:themeColor="background1" w:themeShade="80"/>
            </w:tcBorders>
            <w:vAlign w:val="center"/>
          </w:tcPr>
          <w:p w14:paraId="51AC5C3C" w14:textId="77777777" w:rsidR="00235A74" w:rsidRPr="00332AB5" w:rsidRDefault="00235A74" w:rsidP="00487586">
            <w:pPr>
              <w:jc w:val="right"/>
              <w:rPr>
                <w:rFonts w:asciiTheme="minorHAnsi" w:hAnsiTheme="minorHAnsi" w:cstheme="minorHAnsi"/>
                <w:sz w:val="18"/>
                <w:szCs w:val="18"/>
              </w:rPr>
            </w:pPr>
          </w:p>
        </w:tc>
        <w:tc>
          <w:tcPr>
            <w:tcW w:w="992" w:type="dxa"/>
            <w:tcBorders>
              <w:top w:val="single" w:sz="4" w:space="0" w:color="808080" w:themeColor="background1" w:themeShade="80"/>
            </w:tcBorders>
            <w:vAlign w:val="center"/>
          </w:tcPr>
          <w:p w14:paraId="5C5B456F" w14:textId="77777777" w:rsidR="00235A74" w:rsidRPr="00332AB5" w:rsidRDefault="00235A74" w:rsidP="00487586">
            <w:pPr>
              <w:jc w:val="right"/>
              <w:rPr>
                <w:rFonts w:asciiTheme="minorHAnsi" w:hAnsiTheme="minorHAnsi" w:cstheme="minorHAnsi"/>
                <w:sz w:val="18"/>
                <w:szCs w:val="18"/>
              </w:rPr>
            </w:pPr>
          </w:p>
        </w:tc>
        <w:tc>
          <w:tcPr>
            <w:tcW w:w="709" w:type="dxa"/>
            <w:tcBorders>
              <w:top w:val="single" w:sz="4" w:space="0" w:color="808080" w:themeColor="background1" w:themeShade="80"/>
            </w:tcBorders>
            <w:vAlign w:val="center"/>
          </w:tcPr>
          <w:p w14:paraId="348392C9" w14:textId="77777777" w:rsidR="00235A74" w:rsidRPr="00332AB5" w:rsidRDefault="00235A74" w:rsidP="00487586">
            <w:pPr>
              <w:jc w:val="right"/>
              <w:rPr>
                <w:rFonts w:asciiTheme="minorHAnsi" w:hAnsiTheme="minorHAnsi" w:cstheme="minorHAnsi"/>
                <w:sz w:val="18"/>
                <w:szCs w:val="18"/>
              </w:rPr>
            </w:pPr>
          </w:p>
        </w:tc>
        <w:tc>
          <w:tcPr>
            <w:tcW w:w="925" w:type="dxa"/>
            <w:tcBorders>
              <w:top w:val="single" w:sz="4" w:space="0" w:color="808080" w:themeColor="background1" w:themeShade="80"/>
            </w:tcBorders>
            <w:vAlign w:val="center"/>
          </w:tcPr>
          <w:p w14:paraId="36A2EC3B" w14:textId="77777777" w:rsidR="00235A74" w:rsidRPr="00332AB5" w:rsidRDefault="00235A74" w:rsidP="00487586">
            <w:pPr>
              <w:jc w:val="right"/>
              <w:rPr>
                <w:rFonts w:asciiTheme="minorHAnsi" w:hAnsiTheme="minorHAnsi" w:cstheme="minorHAnsi"/>
                <w:sz w:val="18"/>
                <w:szCs w:val="18"/>
              </w:rPr>
            </w:pPr>
          </w:p>
        </w:tc>
        <w:tc>
          <w:tcPr>
            <w:tcW w:w="776" w:type="dxa"/>
            <w:tcBorders>
              <w:top w:val="single" w:sz="4" w:space="0" w:color="808080" w:themeColor="background1" w:themeShade="80"/>
            </w:tcBorders>
            <w:vAlign w:val="center"/>
          </w:tcPr>
          <w:p w14:paraId="234D6AA7" w14:textId="77777777" w:rsidR="00235A74" w:rsidRPr="00332AB5" w:rsidRDefault="00235A74" w:rsidP="00487586">
            <w:pPr>
              <w:jc w:val="right"/>
              <w:rPr>
                <w:rFonts w:asciiTheme="minorHAnsi" w:hAnsiTheme="minorHAnsi" w:cstheme="minorHAnsi"/>
                <w:sz w:val="18"/>
                <w:szCs w:val="18"/>
              </w:rPr>
            </w:pPr>
          </w:p>
        </w:tc>
      </w:tr>
      <w:tr w:rsidR="0054343D" w:rsidRPr="00332AB5" w14:paraId="45376E86" w14:textId="77777777" w:rsidTr="00A77615">
        <w:trPr>
          <w:trHeight w:val="397"/>
        </w:trPr>
        <w:tc>
          <w:tcPr>
            <w:tcW w:w="1134" w:type="dxa"/>
            <w:vAlign w:val="center"/>
          </w:tcPr>
          <w:p w14:paraId="08E58CAA" w14:textId="77777777" w:rsidR="0054343D" w:rsidRPr="00332AB5" w:rsidRDefault="0054343D" w:rsidP="0054343D">
            <w:pPr>
              <w:rPr>
                <w:rFonts w:asciiTheme="minorHAnsi" w:hAnsiTheme="minorHAnsi" w:cstheme="minorHAnsi"/>
                <w:sz w:val="18"/>
                <w:szCs w:val="18"/>
              </w:rPr>
            </w:pPr>
            <w:r w:rsidRPr="00332AB5">
              <w:rPr>
                <w:rFonts w:asciiTheme="minorHAnsi" w:hAnsiTheme="minorHAnsi" w:cstheme="minorHAnsi"/>
                <w:sz w:val="18"/>
                <w:szCs w:val="18"/>
              </w:rPr>
              <w:t>OPKK</w:t>
            </w:r>
          </w:p>
        </w:tc>
        <w:tc>
          <w:tcPr>
            <w:tcW w:w="1043" w:type="dxa"/>
            <w:vAlign w:val="center"/>
          </w:tcPr>
          <w:p w14:paraId="69521705" w14:textId="77777777" w:rsidR="0054343D" w:rsidRPr="00332AB5" w:rsidRDefault="0054343D" w:rsidP="0054343D">
            <w:pPr>
              <w:jc w:val="right"/>
              <w:rPr>
                <w:rFonts w:asciiTheme="minorHAnsi" w:hAnsiTheme="minorHAnsi" w:cstheme="minorHAnsi"/>
                <w:sz w:val="18"/>
                <w:szCs w:val="18"/>
              </w:rPr>
            </w:pPr>
            <w:r w:rsidRPr="00332AB5">
              <w:rPr>
                <w:rFonts w:asciiTheme="minorHAnsi" w:hAnsiTheme="minorHAnsi" w:cstheme="minorHAnsi"/>
                <w:sz w:val="18"/>
                <w:szCs w:val="18"/>
              </w:rPr>
              <w:t>6.831,26</w:t>
            </w:r>
          </w:p>
        </w:tc>
        <w:tc>
          <w:tcPr>
            <w:tcW w:w="1089" w:type="dxa"/>
            <w:vAlign w:val="center"/>
          </w:tcPr>
          <w:p w14:paraId="0D49FCAD" w14:textId="7F13F467" w:rsidR="0054343D" w:rsidRPr="00332AB5" w:rsidRDefault="0054343D" w:rsidP="0054343D">
            <w:pPr>
              <w:jc w:val="right"/>
              <w:rPr>
                <w:rFonts w:asciiTheme="minorHAnsi" w:hAnsiTheme="minorHAnsi" w:cstheme="minorHAnsi"/>
                <w:sz w:val="18"/>
                <w:szCs w:val="18"/>
              </w:rPr>
            </w:pPr>
            <w:r w:rsidRPr="00332AB5">
              <w:rPr>
                <w:rFonts w:asciiTheme="minorHAnsi" w:hAnsiTheme="minorHAnsi" w:cstheme="minorHAnsi"/>
                <w:sz w:val="18"/>
                <w:szCs w:val="18"/>
              </w:rPr>
              <w:t>9.210,88</w:t>
            </w:r>
          </w:p>
        </w:tc>
        <w:tc>
          <w:tcPr>
            <w:tcW w:w="845" w:type="dxa"/>
            <w:vAlign w:val="center"/>
          </w:tcPr>
          <w:p w14:paraId="6A6F34DD" w14:textId="1ABE545A" w:rsidR="0054343D" w:rsidRPr="00332AB5" w:rsidRDefault="0054343D" w:rsidP="0054343D">
            <w:pPr>
              <w:jc w:val="right"/>
              <w:rPr>
                <w:rFonts w:asciiTheme="minorHAnsi" w:hAnsiTheme="minorHAnsi" w:cstheme="minorHAnsi"/>
                <w:sz w:val="18"/>
                <w:szCs w:val="18"/>
              </w:rPr>
            </w:pPr>
            <w:r w:rsidRPr="00332AB5">
              <w:rPr>
                <w:rFonts w:asciiTheme="minorHAnsi" w:hAnsiTheme="minorHAnsi" w:cstheme="minorHAnsi"/>
                <w:sz w:val="18"/>
                <w:szCs w:val="18"/>
              </w:rPr>
              <w:t>134,</w:t>
            </w:r>
            <w:r w:rsidR="00FD3B4B" w:rsidRPr="00332AB5">
              <w:rPr>
                <w:rFonts w:asciiTheme="minorHAnsi" w:hAnsiTheme="minorHAnsi" w:cstheme="minorHAnsi"/>
                <w:sz w:val="18"/>
                <w:szCs w:val="18"/>
              </w:rPr>
              <w:t>83</w:t>
            </w:r>
          </w:p>
        </w:tc>
        <w:tc>
          <w:tcPr>
            <w:tcW w:w="992" w:type="dxa"/>
            <w:vAlign w:val="center"/>
          </w:tcPr>
          <w:p w14:paraId="474BEF15" w14:textId="6D907E5D" w:rsidR="0054343D" w:rsidRPr="00332AB5" w:rsidRDefault="0054343D" w:rsidP="0054343D">
            <w:pPr>
              <w:jc w:val="right"/>
              <w:rPr>
                <w:rFonts w:asciiTheme="minorHAnsi" w:hAnsiTheme="minorHAnsi" w:cstheme="minorHAnsi"/>
                <w:sz w:val="18"/>
                <w:szCs w:val="18"/>
              </w:rPr>
            </w:pPr>
            <w:r w:rsidRPr="00332AB5">
              <w:rPr>
                <w:rFonts w:asciiTheme="minorHAnsi" w:hAnsiTheme="minorHAnsi" w:cstheme="minorHAnsi"/>
                <w:sz w:val="18"/>
                <w:szCs w:val="18"/>
              </w:rPr>
              <w:t>5.809,66</w:t>
            </w:r>
          </w:p>
        </w:tc>
        <w:tc>
          <w:tcPr>
            <w:tcW w:w="709" w:type="dxa"/>
            <w:vAlign w:val="center"/>
          </w:tcPr>
          <w:p w14:paraId="471FC894" w14:textId="7EFB7430" w:rsidR="0054343D" w:rsidRPr="00332AB5" w:rsidRDefault="0054343D" w:rsidP="0054343D">
            <w:pPr>
              <w:jc w:val="right"/>
              <w:rPr>
                <w:rFonts w:asciiTheme="minorHAnsi" w:hAnsiTheme="minorHAnsi" w:cstheme="minorHAnsi"/>
                <w:sz w:val="18"/>
                <w:szCs w:val="18"/>
              </w:rPr>
            </w:pPr>
            <w:r w:rsidRPr="00332AB5">
              <w:rPr>
                <w:rFonts w:asciiTheme="minorHAnsi" w:hAnsiTheme="minorHAnsi" w:cstheme="minorHAnsi"/>
                <w:sz w:val="18"/>
                <w:szCs w:val="18"/>
              </w:rPr>
              <w:t>85,04</w:t>
            </w:r>
          </w:p>
        </w:tc>
        <w:tc>
          <w:tcPr>
            <w:tcW w:w="992" w:type="dxa"/>
            <w:vAlign w:val="center"/>
          </w:tcPr>
          <w:p w14:paraId="295EA857" w14:textId="0F62C954" w:rsidR="0054343D" w:rsidRPr="00332AB5" w:rsidRDefault="0054343D" w:rsidP="0054343D">
            <w:pPr>
              <w:jc w:val="right"/>
              <w:rPr>
                <w:rFonts w:asciiTheme="minorHAnsi" w:hAnsiTheme="minorHAnsi" w:cstheme="minorHAnsi"/>
                <w:sz w:val="18"/>
                <w:szCs w:val="18"/>
              </w:rPr>
            </w:pPr>
            <w:r w:rsidRPr="00332AB5">
              <w:rPr>
                <w:rFonts w:asciiTheme="minorHAnsi" w:hAnsiTheme="minorHAnsi" w:cstheme="minorHAnsi"/>
                <w:bCs/>
                <w:color w:val="000000"/>
                <w:sz w:val="18"/>
                <w:szCs w:val="18"/>
              </w:rPr>
              <w:t>4.295,53</w:t>
            </w:r>
          </w:p>
        </w:tc>
        <w:tc>
          <w:tcPr>
            <w:tcW w:w="709" w:type="dxa"/>
            <w:vAlign w:val="center"/>
          </w:tcPr>
          <w:p w14:paraId="2F6CCB87" w14:textId="2E10793D" w:rsidR="0054343D" w:rsidRPr="00332AB5" w:rsidRDefault="0054343D" w:rsidP="0054343D">
            <w:pPr>
              <w:jc w:val="right"/>
              <w:rPr>
                <w:rFonts w:asciiTheme="minorHAnsi" w:hAnsiTheme="minorHAnsi" w:cstheme="minorHAnsi"/>
                <w:sz w:val="18"/>
                <w:szCs w:val="18"/>
              </w:rPr>
            </w:pPr>
            <w:r w:rsidRPr="00332AB5">
              <w:rPr>
                <w:rFonts w:asciiTheme="minorHAnsi" w:hAnsiTheme="minorHAnsi" w:cstheme="minorHAnsi"/>
                <w:color w:val="000000"/>
                <w:sz w:val="18"/>
                <w:szCs w:val="18"/>
              </w:rPr>
              <w:t>62,88</w:t>
            </w:r>
          </w:p>
        </w:tc>
        <w:tc>
          <w:tcPr>
            <w:tcW w:w="925" w:type="dxa"/>
            <w:vAlign w:val="center"/>
          </w:tcPr>
          <w:p w14:paraId="7BC8BD2D" w14:textId="5F899858" w:rsidR="0054343D" w:rsidRPr="00332AB5" w:rsidRDefault="0054343D" w:rsidP="0054343D">
            <w:pPr>
              <w:jc w:val="right"/>
              <w:rPr>
                <w:rFonts w:asciiTheme="minorHAnsi" w:hAnsiTheme="minorHAnsi" w:cstheme="minorHAnsi"/>
                <w:sz w:val="18"/>
                <w:szCs w:val="18"/>
              </w:rPr>
            </w:pPr>
            <w:r w:rsidRPr="00332AB5">
              <w:rPr>
                <w:rFonts w:asciiTheme="minorHAnsi" w:hAnsiTheme="minorHAnsi" w:cstheme="minorHAnsi"/>
                <w:sz w:val="18"/>
                <w:szCs w:val="18"/>
              </w:rPr>
              <w:t>4.638,46</w:t>
            </w:r>
          </w:p>
        </w:tc>
        <w:tc>
          <w:tcPr>
            <w:tcW w:w="776" w:type="dxa"/>
            <w:vAlign w:val="center"/>
          </w:tcPr>
          <w:p w14:paraId="5F0E5DF5" w14:textId="5481ADFA" w:rsidR="0054343D" w:rsidRPr="00332AB5" w:rsidRDefault="0054343D" w:rsidP="0054343D">
            <w:pPr>
              <w:jc w:val="right"/>
              <w:rPr>
                <w:rFonts w:asciiTheme="minorHAnsi" w:hAnsiTheme="minorHAnsi" w:cstheme="minorHAnsi"/>
                <w:sz w:val="18"/>
                <w:szCs w:val="18"/>
              </w:rPr>
            </w:pPr>
            <w:r w:rsidRPr="00332AB5">
              <w:rPr>
                <w:rFonts w:asciiTheme="minorHAnsi" w:hAnsiTheme="minorHAnsi" w:cstheme="minorHAnsi"/>
                <w:sz w:val="18"/>
                <w:szCs w:val="18"/>
              </w:rPr>
              <w:t>67,90</w:t>
            </w:r>
          </w:p>
        </w:tc>
      </w:tr>
      <w:tr w:rsidR="0054343D" w:rsidRPr="00332AB5" w14:paraId="34FD0336" w14:textId="77777777" w:rsidTr="009306B3">
        <w:trPr>
          <w:trHeight w:val="397"/>
        </w:trPr>
        <w:tc>
          <w:tcPr>
            <w:tcW w:w="1134" w:type="dxa"/>
            <w:vAlign w:val="center"/>
          </w:tcPr>
          <w:p w14:paraId="7A97E172" w14:textId="00865148" w:rsidR="0054343D" w:rsidRPr="00332AB5" w:rsidRDefault="0054343D" w:rsidP="0054343D">
            <w:pPr>
              <w:rPr>
                <w:rFonts w:asciiTheme="minorHAnsi" w:hAnsiTheme="minorHAnsi" w:cstheme="minorBidi"/>
                <w:sz w:val="18"/>
                <w:szCs w:val="18"/>
              </w:rPr>
            </w:pPr>
            <w:r w:rsidRPr="00332AB5">
              <w:rPr>
                <w:rFonts w:asciiTheme="minorHAnsi" w:hAnsiTheme="minorHAnsi" w:cstheme="minorBidi"/>
                <w:sz w:val="18"/>
                <w:szCs w:val="18"/>
              </w:rPr>
              <w:t>OPULJP</w:t>
            </w:r>
          </w:p>
        </w:tc>
        <w:tc>
          <w:tcPr>
            <w:tcW w:w="1043" w:type="dxa"/>
            <w:vAlign w:val="center"/>
          </w:tcPr>
          <w:p w14:paraId="2FB0B94B" w14:textId="00865148" w:rsidR="0054343D" w:rsidRPr="00332AB5" w:rsidRDefault="0054343D" w:rsidP="0054343D">
            <w:pPr>
              <w:jc w:val="right"/>
              <w:rPr>
                <w:rFonts w:asciiTheme="minorHAnsi" w:hAnsiTheme="minorHAnsi" w:cstheme="minorHAnsi"/>
                <w:sz w:val="18"/>
                <w:szCs w:val="18"/>
              </w:rPr>
            </w:pPr>
            <w:r w:rsidRPr="00332AB5">
              <w:rPr>
                <w:rFonts w:asciiTheme="minorHAnsi" w:hAnsiTheme="minorHAnsi" w:cstheme="minorHAnsi"/>
                <w:sz w:val="18"/>
                <w:szCs w:val="18"/>
              </w:rPr>
              <w:t>1.621,05</w:t>
            </w:r>
          </w:p>
        </w:tc>
        <w:tc>
          <w:tcPr>
            <w:tcW w:w="1089" w:type="dxa"/>
            <w:vAlign w:val="center"/>
          </w:tcPr>
          <w:p w14:paraId="29C134DC" w14:textId="579A81C5" w:rsidR="0054343D" w:rsidRPr="00332AB5" w:rsidRDefault="0054343D" w:rsidP="0054343D">
            <w:pPr>
              <w:spacing w:line="259" w:lineRule="auto"/>
              <w:jc w:val="right"/>
              <w:rPr>
                <w:rFonts w:asciiTheme="minorHAnsi" w:hAnsiTheme="minorHAnsi" w:cstheme="minorHAnsi"/>
                <w:sz w:val="18"/>
                <w:szCs w:val="18"/>
              </w:rPr>
            </w:pPr>
            <w:r w:rsidRPr="00332AB5">
              <w:rPr>
                <w:rFonts w:asciiTheme="minorHAnsi" w:hAnsiTheme="minorHAnsi" w:cstheme="minorBidi"/>
                <w:sz w:val="18"/>
                <w:szCs w:val="18"/>
              </w:rPr>
              <w:t>1.961,13</w:t>
            </w:r>
          </w:p>
        </w:tc>
        <w:tc>
          <w:tcPr>
            <w:tcW w:w="845" w:type="dxa"/>
            <w:vAlign w:val="center"/>
          </w:tcPr>
          <w:p w14:paraId="7415A1C1" w14:textId="6017E0CD" w:rsidR="0054343D" w:rsidRPr="00332AB5" w:rsidRDefault="0054343D" w:rsidP="0054343D">
            <w:pPr>
              <w:jc w:val="right"/>
              <w:rPr>
                <w:rFonts w:asciiTheme="minorHAnsi" w:hAnsiTheme="minorHAnsi" w:cstheme="minorHAnsi"/>
                <w:sz w:val="18"/>
                <w:szCs w:val="18"/>
              </w:rPr>
            </w:pPr>
            <w:r w:rsidRPr="00332AB5">
              <w:rPr>
                <w:rFonts w:asciiTheme="minorHAnsi" w:hAnsiTheme="minorHAnsi" w:cstheme="minorBidi"/>
                <w:sz w:val="18"/>
                <w:szCs w:val="18"/>
              </w:rPr>
              <w:t>120,98</w:t>
            </w:r>
          </w:p>
        </w:tc>
        <w:tc>
          <w:tcPr>
            <w:tcW w:w="992" w:type="dxa"/>
            <w:vAlign w:val="center"/>
          </w:tcPr>
          <w:p w14:paraId="7CEB4E0A" w14:textId="2E455A3B" w:rsidR="0054343D" w:rsidRPr="00332AB5" w:rsidRDefault="0054343D" w:rsidP="0054343D">
            <w:pPr>
              <w:jc w:val="right"/>
              <w:rPr>
                <w:rFonts w:asciiTheme="minorHAnsi" w:hAnsiTheme="minorHAnsi" w:cstheme="minorHAnsi"/>
                <w:sz w:val="18"/>
                <w:szCs w:val="18"/>
              </w:rPr>
            </w:pPr>
            <w:r w:rsidRPr="00332AB5">
              <w:rPr>
                <w:rFonts w:asciiTheme="minorHAnsi" w:hAnsiTheme="minorHAnsi" w:cstheme="minorBidi"/>
                <w:sz w:val="18"/>
                <w:szCs w:val="18"/>
              </w:rPr>
              <w:t>1.471,75</w:t>
            </w:r>
          </w:p>
        </w:tc>
        <w:tc>
          <w:tcPr>
            <w:tcW w:w="709" w:type="dxa"/>
            <w:vAlign w:val="center"/>
          </w:tcPr>
          <w:p w14:paraId="6A1DC93F" w14:textId="68A1C4FA" w:rsidR="0054343D" w:rsidRPr="00332AB5" w:rsidRDefault="0054343D" w:rsidP="0054343D">
            <w:pPr>
              <w:spacing w:line="259" w:lineRule="auto"/>
              <w:jc w:val="right"/>
              <w:rPr>
                <w:rFonts w:asciiTheme="minorHAnsi" w:hAnsiTheme="minorHAnsi" w:cstheme="minorHAnsi"/>
                <w:sz w:val="18"/>
                <w:szCs w:val="18"/>
              </w:rPr>
            </w:pPr>
            <w:r w:rsidRPr="00332AB5">
              <w:rPr>
                <w:rFonts w:asciiTheme="minorHAnsi" w:hAnsiTheme="minorHAnsi" w:cstheme="minorBidi"/>
                <w:sz w:val="18"/>
                <w:szCs w:val="18"/>
              </w:rPr>
              <w:t>90,79</w:t>
            </w:r>
          </w:p>
        </w:tc>
        <w:tc>
          <w:tcPr>
            <w:tcW w:w="992" w:type="dxa"/>
            <w:vAlign w:val="center"/>
          </w:tcPr>
          <w:p w14:paraId="13BE5A38" w14:textId="0A215BD4" w:rsidR="0054343D" w:rsidRPr="00332AB5" w:rsidRDefault="0054343D" w:rsidP="0054343D">
            <w:pPr>
              <w:jc w:val="right"/>
              <w:rPr>
                <w:rFonts w:asciiTheme="minorHAnsi" w:hAnsiTheme="minorHAnsi" w:cstheme="minorHAnsi"/>
                <w:sz w:val="18"/>
                <w:szCs w:val="18"/>
              </w:rPr>
            </w:pPr>
            <w:r w:rsidRPr="00332AB5">
              <w:rPr>
                <w:rFonts w:asciiTheme="minorHAnsi" w:hAnsiTheme="minorHAnsi" w:cstheme="minorBidi"/>
                <w:sz w:val="18"/>
                <w:szCs w:val="18"/>
              </w:rPr>
              <w:t>1.454,29</w:t>
            </w:r>
          </w:p>
        </w:tc>
        <w:tc>
          <w:tcPr>
            <w:tcW w:w="709" w:type="dxa"/>
            <w:vAlign w:val="center"/>
          </w:tcPr>
          <w:p w14:paraId="0897D224" w14:textId="16FCB00D" w:rsidR="0054343D" w:rsidRPr="00332AB5" w:rsidRDefault="0054343D" w:rsidP="0054343D">
            <w:pPr>
              <w:spacing w:line="259" w:lineRule="auto"/>
              <w:jc w:val="right"/>
              <w:rPr>
                <w:rFonts w:asciiTheme="minorHAnsi" w:hAnsiTheme="minorHAnsi" w:cstheme="minorHAnsi"/>
                <w:sz w:val="18"/>
                <w:szCs w:val="18"/>
              </w:rPr>
            </w:pPr>
            <w:r w:rsidRPr="00332AB5">
              <w:rPr>
                <w:rFonts w:asciiTheme="minorHAnsi" w:hAnsiTheme="minorHAnsi" w:cstheme="minorBidi"/>
                <w:sz w:val="18"/>
                <w:szCs w:val="18"/>
              </w:rPr>
              <w:t>89,71</w:t>
            </w:r>
          </w:p>
        </w:tc>
        <w:tc>
          <w:tcPr>
            <w:tcW w:w="925" w:type="dxa"/>
            <w:vAlign w:val="center"/>
          </w:tcPr>
          <w:p w14:paraId="4365609B" w14:textId="2800D0D0" w:rsidR="0054343D" w:rsidRPr="00332AB5" w:rsidRDefault="0054343D" w:rsidP="0054343D">
            <w:pPr>
              <w:jc w:val="right"/>
              <w:rPr>
                <w:rFonts w:asciiTheme="minorHAnsi" w:hAnsiTheme="minorHAnsi" w:cstheme="minorHAnsi"/>
                <w:sz w:val="18"/>
                <w:szCs w:val="18"/>
              </w:rPr>
            </w:pPr>
            <w:r w:rsidRPr="00332AB5">
              <w:rPr>
                <w:rFonts w:asciiTheme="minorHAnsi" w:hAnsiTheme="minorHAnsi" w:cstheme="minorHAnsi"/>
                <w:sz w:val="18"/>
                <w:szCs w:val="18"/>
              </w:rPr>
              <w:t>1.331,92</w:t>
            </w:r>
          </w:p>
        </w:tc>
        <w:tc>
          <w:tcPr>
            <w:tcW w:w="776" w:type="dxa"/>
            <w:vAlign w:val="center"/>
          </w:tcPr>
          <w:p w14:paraId="2337F69F" w14:textId="30D292B8" w:rsidR="0054343D" w:rsidRPr="00332AB5" w:rsidRDefault="0054343D" w:rsidP="0054343D">
            <w:pPr>
              <w:jc w:val="right"/>
              <w:rPr>
                <w:rFonts w:asciiTheme="minorHAnsi" w:hAnsiTheme="minorHAnsi" w:cstheme="minorHAnsi"/>
                <w:sz w:val="18"/>
                <w:szCs w:val="18"/>
              </w:rPr>
            </w:pPr>
            <w:r w:rsidRPr="00332AB5">
              <w:rPr>
                <w:rFonts w:asciiTheme="minorHAnsi" w:hAnsiTheme="minorHAnsi" w:cstheme="minorHAnsi"/>
                <w:sz w:val="18"/>
                <w:szCs w:val="18"/>
              </w:rPr>
              <w:t>82,16</w:t>
            </w:r>
          </w:p>
        </w:tc>
      </w:tr>
      <w:tr w:rsidR="0054343D" w:rsidRPr="00332AB5" w14:paraId="6CC2E00E" w14:textId="77777777" w:rsidTr="009306B3">
        <w:trPr>
          <w:trHeight w:val="397"/>
        </w:trPr>
        <w:tc>
          <w:tcPr>
            <w:tcW w:w="1134" w:type="dxa"/>
            <w:shd w:val="clear" w:color="auto" w:fill="auto"/>
            <w:vAlign w:val="center"/>
          </w:tcPr>
          <w:p w14:paraId="5EB67200" w14:textId="0D3BB1D1" w:rsidR="0054343D" w:rsidRPr="00332AB5" w:rsidRDefault="0054343D" w:rsidP="0054343D">
            <w:pPr>
              <w:rPr>
                <w:rFonts w:asciiTheme="minorHAnsi" w:hAnsiTheme="minorHAnsi" w:cstheme="minorHAnsi"/>
                <w:sz w:val="18"/>
                <w:szCs w:val="18"/>
              </w:rPr>
            </w:pPr>
            <w:r w:rsidRPr="00332AB5">
              <w:rPr>
                <w:rFonts w:asciiTheme="minorHAnsi" w:hAnsiTheme="minorHAnsi" w:cstheme="minorHAnsi"/>
                <w:sz w:val="18"/>
                <w:szCs w:val="18"/>
              </w:rPr>
              <w:t>PRR</w:t>
            </w:r>
          </w:p>
        </w:tc>
        <w:tc>
          <w:tcPr>
            <w:tcW w:w="1043" w:type="dxa"/>
            <w:vAlign w:val="center"/>
          </w:tcPr>
          <w:p w14:paraId="18404318" w14:textId="6D6E93FD" w:rsidR="0054343D" w:rsidRPr="00332AB5" w:rsidRDefault="0054343D" w:rsidP="0054343D">
            <w:pPr>
              <w:jc w:val="right"/>
              <w:rPr>
                <w:rFonts w:asciiTheme="minorHAnsi" w:hAnsiTheme="minorHAnsi" w:cstheme="minorHAnsi"/>
                <w:sz w:val="18"/>
                <w:szCs w:val="18"/>
              </w:rPr>
            </w:pPr>
            <w:r w:rsidRPr="00332AB5">
              <w:rPr>
                <w:rFonts w:asciiTheme="minorHAnsi" w:hAnsiTheme="minorHAnsi" w:cstheme="minorHAnsi"/>
                <w:sz w:val="18"/>
                <w:szCs w:val="18"/>
              </w:rPr>
              <w:t>2.623,79</w:t>
            </w:r>
          </w:p>
        </w:tc>
        <w:tc>
          <w:tcPr>
            <w:tcW w:w="1089" w:type="dxa"/>
            <w:vAlign w:val="center"/>
          </w:tcPr>
          <w:p w14:paraId="745AA211" w14:textId="0FAA8A16" w:rsidR="0054343D" w:rsidRPr="00332AB5" w:rsidRDefault="0054343D" w:rsidP="0054343D">
            <w:pPr>
              <w:jc w:val="right"/>
              <w:rPr>
                <w:rFonts w:asciiTheme="minorHAnsi" w:hAnsiTheme="minorHAnsi" w:cstheme="minorHAnsi"/>
                <w:bCs/>
                <w:color w:val="000000"/>
                <w:sz w:val="18"/>
                <w:szCs w:val="18"/>
              </w:rPr>
            </w:pPr>
            <w:r w:rsidRPr="00332AB5">
              <w:rPr>
                <w:rFonts w:asciiTheme="minorHAnsi" w:hAnsiTheme="minorHAnsi" w:cstheme="minorHAnsi"/>
                <w:bCs/>
                <w:color w:val="000000"/>
                <w:sz w:val="18"/>
                <w:szCs w:val="18"/>
              </w:rPr>
              <w:t>2.604,61</w:t>
            </w:r>
          </w:p>
        </w:tc>
        <w:tc>
          <w:tcPr>
            <w:tcW w:w="845" w:type="dxa"/>
            <w:vAlign w:val="center"/>
          </w:tcPr>
          <w:p w14:paraId="540868C6" w14:textId="1C8032B4" w:rsidR="0054343D" w:rsidRPr="00332AB5" w:rsidRDefault="0054343D" w:rsidP="0054343D">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99,27</w:t>
            </w:r>
          </w:p>
        </w:tc>
        <w:tc>
          <w:tcPr>
            <w:tcW w:w="992" w:type="dxa"/>
            <w:vAlign w:val="center"/>
          </w:tcPr>
          <w:p w14:paraId="61A864D8" w14:textId="7D25EC84" w:rsidR="0054343D" w:rsidRPr="00332AB5" w:rsidRDefault="0054343D" w:rsidP="0054343D">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2.211,51</w:t>
            </w:r>
          </w:p>
        </w:tc>
        <w:tc>
          <w:tcPr>
            <w:tcW w:w="709" w:type="dxa"/>
            <w:vAlign w:val="center"/>
          </w:tcPr>
          <w:p w14:paraId="1431A869" w14:textId="32EF8EF2" w:rsidR="0054343D" w:rsidRPr="00332AB5" w:rsidRDefault="0054343D" w:rsidP="0054343D">
            <w:pPr>
              <w:spacing w:line="259" w:lineRule="auto"/>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84,29</w:t>
            </w:r>
          </w:p>
        </w:tc>
        <w:tc>
          <w:tcPr>
            <w:tcW w:w="992" w:type="dxa"/>
            <w:tcBorders>
              <w:left w:val="nil"/>
              <w:right w:val="nil"/>
            </w:tcBorders>
            <w:shd w:val="clear" w:color="auto" w:fill="auto"/>
            <w:vAlign w:val="center"/>
          </w:tcPr>
          <w:p w14:paraId="501673E0" w14:textId="2B4BB1A8" w:rsidR="0054343D" w:rsidRPr="00332AB5" w:rsidRDefault="0054343D" w:rsidP="0054343D">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2.044,83</w:t>
            </w:r>
          </w:p>
        </w:tc>
        <w:tc>
          <w:tcPr>
            <w:tcW w:w="709" w:type="dxa"/>
            <w:tcBorders>
              <w:left w:val="nil"/>
              <w:right w:val="nil"/>
            </w:tcBorders>
            <w:shd w:val="clear" w:color="auto" w:fill="auto"/>
            <w:vAlign w:val="center"/>
          </w:tcPr>
          <w:p w14:paraId="086826E7" w14:textId="11EB4869" w:rsidR="0054343D" w:rsidRPr="00332AB5" w:rsidDel="00DB589C" w:rsidRDefault="0054343D" w:rsidP="0054343D">
            <w:pPr>
              <w:spacing w:line="259" w:lineRule="auto"/>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77,93</w:t>
            </w:r>
          </w:p>
        </w:tc>
        <w:tc>
          <w:tcPr>
            <w:tcW w:w="925" w:type="dxa"/>
            <w:vAlign w:val="center"/>
          </w:tcPr>
          <w:p w14:paraId="1EA92D2F" w14:textId="2E6AD260" w:rsidR="0054343D" w:rsidRPr="00332AB5" w:rsidRDefault="0054343D" w:rsidP="0054343D">
            <w:pPr>
              <w:jc w:val="right"/>
              <w:rPr>
                <w:rFonts w:asciiTheme="minorHAnsi" w:hAnsiTheme="minorHAnsi" w:cstheme="minorHAnsi"/>
                <w:sz w:val="18"/>
                <w:szCs w:val="18"/>
              </w:rPr>
            </w:pPr>
            <w:r w:rsidRPr="00332AB5">
              <w:rPr>
                <w:rFonts w:asciiTheme="minorHAnsi" w:hAnsiTheme="minorHAnsi" w:cstheme="minorHAnsi"/>
                <w:sz w:val="18"/>
                <w:szCs w:val="18"/>
              </w:rPr>
              <w:t>2.097,52</w:t>
            </w:r>
          </w:p>
        </w:tc>
        <w:tc>
          <w:tcPr>
            <w:tcW w:w="776" w:type="dxa"/>
            <w:vAlign w:val="center"/>
          </w:tcPr>
          <w:p w14:paraId="5B371F91" w14:textId="3BCD153B" w:rsidR="0054343D" w:rsidRPr="00332AB5" w:rsidRDefault="0054343D" w:rsidP="0054343D">
            <w:pPr>
              <w:jc w:val="right"/>
              <w:rPr>
                <w:rFonts w:asciiTheme="minorHAnsi" w:hAnsiTheme="minorHAnsi" w:cstheme="minorHAnsi"/>
                <w:sz w:val="18"/>
                <w:szCs w:val="18"/>
              </w:rPr>
            </w:pPr>
            <w:r w:rsidRPr="00332AB5">
              <w:rPr>
                <w:rFonts w:asciiTheme="minorHAnsi" w:hAnsiTheme="minorHAnsi" w:cstheme="minorHAnsi"/>
                <w:sz w:val="18"/>
                <w:szCs w:val="18"/>
              </w:rPr>
              <w:t>79,94</w:t>
            </w:r>
          </w:p>
        </w:tc>
      </w:tr>
      <w:tr w:rsidR="0054343D" w:rsidRPr="00332AB5" w14:paraId="7C2140E2" w14:textId="77777777" w:rsidTr="009306B3">
        <w:trPr>
          <w:trHeight w:val="397"/>
        </w:trPr>
        <w:tc>
          <w:tcPr>
            <w:tcW w:w="1134" w:type="dxa"/>
            <w:vAlign w:val="center"/>
          </w:tcPr>
          <w:p w14:paraId="6970F319" w14:textId="02C587D9" w:rsidR="0054343D" w:rsidRPr="00332AB5" w:rsidRDefault="0054343D" w:rsidP="0054343D">
            <w:pPr>
              <w:rPr>
                <w:rFonts w:asciiTheme="minorHAnsi" w:hAnsiTheme="minorHAnsi" w:cstheme="minorHAnsi"/>
                <w:sz w:val="18"/>
                <w:szCs w:val="18"/>
              </w:rPr>
            </w:pPr>
            <w:r w:rsidRPr="00332AB5">
              <w:rPr>
                <w:rFonts w:asciiTheme="minorHAnsi" w:hAnsiTheme="minorHAnsi" w:cstheme="minorHAnsi"/>
                <w:sz w:val="18"/>
                <w:szCs w:val="18"/>
              </w:rPr>
              <w:t>OPPiR</w:t>
            </w:r>
          </w:p>
        </w:tc>
        <w:tc>
          <w:tcPr>
            <w:tcW w:w="1043" w:type="dxa"/>
            <w:vAlign w:val="center"/>
          </w:tcPr>
          <w:p w14:paraId="2D2B0709" w14:textId="030EEC00" w:rsidR="0054343D" w:rsidRPr="00332AB5" w:rsidRDefault="0054343D" w:rsidP="0054343D">
            <w:pPr>
              <w:jc w:val="right"/>
              <w:rPr>
                <w:rFonts w:asciiTheme="minorHAnsi" w:hAnsiTheme="minorHAnsi" w:cstheme="minorHAnsi"/>
                <w:sz w:val="18"/>
                <w:szCs w:val="18"/>
              </w:rPr>
            </w:pPr>
            <w:r w:rsidRPr="00332AB5">
              <w:rPr>
                <w:rFonts w:asciiTheme="minorHAnsi" w:hAnsiTheme="minorHAnsi" w:cstheme="minorHAnsi"/>
                <w:sz w:val="18"/>
                <w:szCs w:val="18"/>
              </w:rPr>
              <w:t>252,64</w:t>
            </w:r>
          </w:p>
        </w:tc>
        <w:tc>
          <w:tcPr>
            <w:tcW w:w="1089" w:type="dxa"/>
            <w:vAlign w:val="center"/>
          </w:tcPr>
          <w:p w14:paraId="66B9AEE5" w14:textId="0138C00F" w:rsidR="0054343D" w:rsidRPr="00332AB5" w:rsidRDefault="0054343D" w:rsidP="0054343D">
            <w:pPr>
              <w:jc w:val="right"/>
              <w:rPr>
                <w:rFonts w:asciiTheme="minorHAnsi" w:hAnsiTheme="minorHAnsi" w:cstheme="minorHAnsi"/>
                <w:sz w:val="18"/>
                <w:szCs w:val="18"/>
              </w:rPr>
            </w:pPr>
            <w:r w:rsidRPr="00332AB5">
              <w:rPr>
                <w:rFonts w:asciiTheme="minorHAnsi" w:hAnsiTheme="minorHAnsi" w:cstheme="minorHAnsi"/>
                <w:sz w:val="18"/>
                <w:szCs w:val="18"/>
              </w:rPr>
              <w:t>279,45</w:t>
            </w:r>
          </w:p>
        </w:tc>
        <w:tc>
          <w:tcPr>
            <w:tcW w:w="845" w:type="dxa"/>
            <w:vAlign w:val="center"/>
          </w:tcPr>
          <w:p w14:paraId="7C778418" w14:textId="40385E09" w:rsidR="0054343D" w:rsidRPr="00332AB5" w:rsidRDefault="0054343D" w:rsidP="0054343D">
            <w:pPr>
              <w:jc w:val="right"/>
              <w:rPr>
                <w:rFonts w:asciiTheme="minorHAnsi" w:hAnsiTheme="minorHAnsi" w:cstheme="minorHAnsi"/>
                <w:sz w:val="18"/>
                <w:szCs w:val="18"/>
              </w:rPr>
            </w:pPr>
            <w:r w:rsidRPr="00332AB5">
              <w:rPr>
                <w:rFonts w:asciiTheme="minorHAnsi" w:hAnsiTheme="minorHAnsi" w:cstheme="minorHAnsi"/>
                <w:sz w:val="18"/>
                <w:szCs w:val="18"/>
              </w:rPr>
              <w:t>110,61</w:t>
            </w:r>
          </w:p>
        </w:tc>
        <w:tc>
          <w:tcPr>
            <w:tcW w:w="992" w:type="dxa"/>
            <w:vAlign w:val="center"/>
          </w:tcPr>
          <w:p w14:paraId="1013850F" w14:textId="33263EDE" w:rsidR="0054343D" w:rsidRPr="00332AB5" w:rsidRDefault="0054343D" w:rsidP="0054343D">
            <w:pPr>
              <w:jc w:val="right"/>
              <w:rPr>
                <w:rFonts w:asciiTheme="minorHAnsi" w:hAnsiTheme="minorHAnsi" w:cstheme="minorHAnsi"/>
                <w:sz w:val="18"/>
                <w:szCs w:val="18"/>
              </w:rPr>
            </w:pPr>
            <w:r w:rsidRPr="00332AB5">
              <w:rPr>
                <w:rFonts w:asciiTheme="minorHAnsi" w:hAnsiTheme="minorHAnsi" w:cstheme="minorHAnsi"/>
                <w:sz w:val="18"/>
                <w:szCs w:val="18"/>
              </w:rPr>
              <w:t>166,36</w:t>
            </w:r>
          </w:p>
        </w:tc>
        <w:tc>
          <w:tcPr>
            <w:tcW w:w="709" w:type="dxa"/>
            <w:vAlign w:val="center"/>
          </w:tcPr>
          <w:p w14:paraId="57E43922" w14:textId="77A8BD88" w:rsidR="0054343D" w:rsidRPr="00332AB5" w:rsidRDefault="0054343D" w:rsidP="0054343D">
            <w:pPr>
              <w:jc w:val="right"/>
              <w:rPr>
                <w:rFonts w:asciiTheme="minorHAnsi" w:hAnsiTheme="minorHAnsi" w:cstheme="minorHAnsi"/>
                <w:sz w:val="18"/>
                <w:szCs w:val="18"/>
              </w:rPr>
            </w:pPr>
            <w:r w:rsidRPr="00332AB5">
              <w:rPr>
                <w:rFonts w:asciiTheme="minorHAnsi" w:hAnsiTheme="minorHAnsi" w:cstheme="minorHAnsi"/>
                <w:sz w:val="18"/>
                <w:szCs w:val="18"/>
              </w:rPr>
              <w:t>65,85</w:t>
            </w:r>
          </w:p>
        </w:tc>
        <w:tc>
          <w:tcPr>
            <w:tcW w:w="992" w:type="dxa"/>
            <w:vAlign w:val="center"/>
          </w:tcPr>
          <w:p w14:paraId="6970BF64" w14:textId="72822D81" w:rsidR="0054343D" w:rsidRPr="00332AB5" w:rsidRDefault="0054343D" w:rsidP="0054343D">
            <w:pPr>
              <w:jc w:val="right"/>
              <w:rPr>
                <w:rFonts w:asciiTheme="minorHAnsi" w:hAnsiTheme="minorHAnsi" w:cstheme="minorHAnsi"/>
                <w:sz w:val="18"/>
                <w:szCs w:val="18"/>
              </w:rPr>
            </w:pPr>
            <w:r w:rsidRPr="00332AB5">
              <w:rPr>
                <w:rFonts w:asciiTheme="minorHAnsi" w:hAnsiTheme="minorHAnsi" w:cstheme="minorHAnsi"/>
                <w:color w:val="000000"/>
                <w:sz w:val="18"/>
                <w:szCs w:val="18"/>
              </w:rPr>
              <w:t>165,89</w:t>
            </w:r>
          </w:p>
        </w:tc>
        <w:tc>
          <w:tcPr>
            <w:tcW w:w="709" w:type="dxa"/>
            <w:vAlign w:val="center"/>
          </w:tcPr>
          <w:p w14:paraId="256B4AB4" w14:textId="58E8F333" w:rsidR="0054343D" w:rsidRPr="00332AB5" w:rsidRDefault="0054343D" w:rsidP="0054343D">
            <w:pPr>
              <w:jc w:val="right"/>
              <w:rPr>
                <w:rFonts w:asciiTheme="minorHAnsi" w:hAnsiTheme="minorHAnsi" w:cstheme="minorHAnsi"/>
                <w:sz w:val="18"/>
                <w:szCs w:val="18"/>
              </w:rPr>
            </w:pPr>
            <w:r w:rsidRPr="00332AB5">
              <w:rPr>
                <w:rFonts w:asciiTheme="minorHAnsi" w:hAnsiTheme="minorHAnsi" w:cstheme="minorHAnsi"/>
                <w:color w:val="000000"/>
                <w:sz w:val="18"/>
                <w:szCs w:val="18"/>
              </w:rPr>
              <w:t>65,67</w:t>
            </w:r>
          </w:p>
        </w:tc>
        <w:tc>
          <w:tcPr>
            <w:tcW w:w="925" w:type="dxa"/>
            <w:vAlign w:val="center"/>
          </w:tcPr>
          <w:p w14:paraId="201D9A08" w14:textId="2E8EFE17" w:rsidR="0054343D" w:rsidRPr="00332AB5" w:rsidRDefault="0054343D" w:rsidP="0054343D">
            <w:pPr>
              <w:jc w:val="right"/>
              <w:rPr>
                <w:rFonts w:asciiTheme="minorHAnsi" w:hAnsiTheme="minorHAnsi" w:cstheme="minorHAnsi"/>
                <w:sz w:val="18"/>
                <w:szCs w:val="18"/>
              </w:rPr>
            </w:pPr>
            <w:r w:rsidRPr="00332AB5">
              <w:rPr>
                <w:rFonts w:asciiTheme="minorHAnsi" w:hAnsiTheme="minorHAnsi" w:cstheme="minorHAnsi"/>
                <w:sz w:val="18"/>
                <w:szCs w:val="18"/>
              </w:rPr>
              <w:t>135,73</w:t>
            </w:r>
          </w:p>
        </w:tc>
        <w:tc>
          <w:tcPr>
            <w:tcW w:w="776" w:type="dxa"/>
            <w:vAlign w:val="center"/>
          </w:tcPr>
          <w:p w14:paraId="2AAAF90D" w14:textId="7B69ECF9" w:rsidR="0054343D" w:rsidRPr="00332AB5" w:rsidRDefault="0054343D" w:rsidP="0054343D">
            <w:pPr>
              <w:jc w:val="right"/>
              <w:rPr>
                <w:rFonts w:asciiTheme="minorHAnsi" w:hAnsiTheme="minorHAnsi" w:cstheme="minorHAnsi"/>
                <w:sz w:val="18"/>
                <w:szCs w:val="18"/>
              </w:rPr>
            </w:pPr>
            <w:r w:rsidRPr="00332AB5">
              <w:rPr>
                <w:rFonts w:asciiTheme="minorHAnsi" w:hAnsiTheme="minorHAnsi" w:cstheme="minorHAnsi"/>
                <w:sz w:val="18"/>
                <w:szCs w:val="18"/>
              </w:rPr>
              <w:t>53,72</w:t>
            </w:r>
          </w:p>
        </w:tc>
      </w:tr>
      <w:tr w:rsidR="007E7544" w:rsidRPr="00332AB5" w14:paraId="2A3FADC9" w14:textId="77777777" w:rsidTr="00A77615">
        <w:trPr>
          <w:trHeight w:val="397"/>
        </w:trPr>
        <w:tc>
          <w:tcPr>
            <w:tcW w:w="1134" w:type="dxa"/>
            <w:vAlign w:val="center"/>
          </w:tcPr>
          <w:p w14:paraId="22C32426" w14:textId="2E3C88B1" w:rsidR="007E7544" w:rsidRPr="00332AB5" w:rsidRDefault="007E7544" w:rsidP="007E7544">
            <w:pPr>
              <w:rPr>
                <w:rFonts w:asciiTheme="minorHAnsi" w:hAnsiTheme="minorHAnsi" w:cstheme="minorHAnsi"/>
                <w:sz w:val="18"/>
                <w:szCs w:val="18"/>
              </w:rPr>
            </w:pPr>
            <w:r w:rsidRPr="00332AB5">
              <w:rPr>
                <w:rFonts w:asciiTheme="minorHAnsi" w:hAnsiTheme="minorHAnsi" w:cstheme="minorHAnsi"/>
                <w:sz w:val="18"/>
                <w:szCs w:val="18"/>
              </w:rPr>
              <w:t>UKUPNO</w:t>
            </w:r>
          </w:p>
        </w:tc>
        <w:tc>
          <w:tcPr>
            <w:tcW w:w="1043" w:type="dxa"/>
            <w:tcBorders>
              <w:top w:val="single" w:sz="4" w:space="0" w:color="808080" w:themeColor="background1" w:themeShade="80"/>
              <w:bottom w:val="single" w:sz="4" w:space="0" w:color="808080" w:themeColor="background1" w:themeShade="80"/>
            </w:tcBorders>
            <w:shd w:val="clear" w:color="auto" w:fill="auto"/>
            <w:vAlign w:val="center"/>
          </w:tcPr>
          <w:p w14:paraId="334E9DFF" w14:textId="4600F8C5" w:rsidR="007E7544" w:rsidRPr="00332AB5" w:rsidRDefault="00BF23F6" w:rsidP="007E7544">
            <w:pPr>
              <w:jc w:val="right"/>
              <w:rPr>
                <w:rFonts w:asciiTheme="minorHAnsi" w:hAnsiTheme="minorHAnsi" w:cstheme="minorHAnsi"/>
                <w:sz w:val="18"/>
                <w:szCs w:val="18"/>
              </w:rPr>
            </w:pPr>
            <w:r w:rsidRPr="00332AB5">
              <w:rPr>
                <w:rFonts w:asciiTheme="minorHAnsi" w:hAnsiTheme="minorHAnsi" w:cstheme="minorHAnsi"/>
                <w:sz w:val="18"/>
                <w:szCs w:val="18"/>
              </w:rPr>
              <w:t>11.328,73</w:t>
            </w:r>
          </w:p>
        </w:tc>
        <w:tc>
          <w:tcPr>
            <w:tcW w:w="1089" w:type="dxa"/>
            <w:tcBorders>
              <w:top w:val="single" w:sz="4" w:space="0" w:color="808080" w:themeColor="background1" w:themeShade="80"/>
              <w:bottom w:val="single" w:sz="4" w:space="0" w:color="808080" w:themeColor="background1" w:themeShade="80"/>
            </w:tcBorders>
            <w:shd w:val="clear" w:color="auto" w:fill="auto"/>
            <w:vAlign w:val="center"/>
          </w:tcPr>
          <w:p w14:paraId="6A101175" w14:textId="10D7ED01" w:rsidR="007E7544" w:rsidRPr="00332AB5" w:rsidRDefault="00F1318C" w:rsidP="007E7544">
            <w:pPr>
              <w:jc w:val="right"/>
              <w:rPr>
                <w:rFonts w:asciiTheme="minorHAnsi" w:hAnsiTheme="minorHAnsi" w:cstheme="minorHAnsi"/>
                <w:sz w:val="18"/>
                <w:szCs w:val="18"/>
              </w:rPr>
            </w:pPr>
            <w:r w:rsidRPr="00332AB5">
              <w:rPr>
                <w:rFonts w:asciiTheme="minorHAnsi" w:hAnsiTheme="minorHAnsi" w:cstheme="minorHAnsi"/>
                <w:sz w:val="18"/>
                <w:szCs w:val="18"/>
              </w:rPr>
              <w:t>14.056,07</w:t>
            </w:r>
          </w:p>
        </w:tc>
        <w:tc>
          <w:tcPr>
            <w:tcW w:w="845" w:type="dxa"/>
            <w:tcBorders>
              <w:top w:val="single" w:sz="4" w:space="0" w:color="808080" w:themeColor="background1" w:themeShade="80"/>
              <w:bottom w:val="single" w:sz="4" w:space="0" w:color="808080" w:themeColor="background1" w:themeShade="80"/>
            </w:tcBorders>
            <w:shd w:val="clear" w:color="auto" w:fill="auto"/>
            <w:vAlign w:val="center"/>
          </w:tcPr>
          <w:p w14:paraId="057A9CD5" w14:textId="0BC71D46" w:rsidR="007E7544" w:rsidRPr="00332AB5" w:rsidRDefault="00F1318C" w:rsidP="007E7544">
            <w:pPr>
              <w:jc w:val="right"/>
              <w:rPr>
                <w:rFonts w:asciiTheme="minorHAnsi" w:hAnsiTheme="minorHAnsi" w:cstheme="minorHAnsi"/>
                <w:sz w:val="18"/>
                <w:szCs w:val="18"/>
              </w:rPr>
            </w:pPr>
            <w:r w:rsidRPr="00332AB5">
              <w:rPr>
                <w:rFonts w:asciiTheme="minorHAnsi" w:hAnsiTheme="minorHAnsi" w:cstheme="minorHAnsi"/>
                <w:sz w:val="18"/>
                <w:szCs w:val="18"/>
              </w:rPr>
              <w:t>124,07</w:t>
            </w:r>
          </w:p>
        </w:tc>
        <w:tc>
          <w:tcPr>
            <w:tcW w:w="992" w:type="dxa"/>
            <w:tcBorders>
              <w:top w:val="single" w:sz="4" w:space="0" w:color="808080" w:themeColor="background1" w:themeShade="80"/>
              <w:bottom w:val="single" w:sz="4" w:space="0" w:color="808080" w:themeColor="background1" w:themeShade="80"/>
            </w:tcBorders>
            <w:shd w:val="clear" w:color="auto" w:fill="auto"/>
            <w:vAlign w:val="center"/>
          </w:tcPr>
          <w:p w14:paraId="4BDF5D5D" w14:textId="401E6EBF" w:rsidR="007E7544" w:rsidRPr="00332AB5" w:rsidRDefault="00F1318C" w:rsidP="007E7544">
            <w:pPr>
              <w:jc w:val="right"/>
              <w:rPr>
                <w:rFonts w:asciiTheme="minorHAnsi" w:hAnsiTheme="minorHAnsi" w:cstheme="minorHAnsi"/>
                <w:sz w:val="18"/>
                <w:szCs w:val="18"/>
              </w:rPr>
            </w:pPr>
            <w:r w:rsidRPr="00332AB5">
              <w:rPr>
                <w:rFonts w:asciiTheme="minorHAnsi" w:hAnsiTheme="minorHAnsi" w:cstheme="minorHAnsi"/>
                <w:sz w:val="18"/>
                <w:szCs w:val="18"/>
              </w:rPr>
              <w:t>9.659,28</w:t>
            </w:r>
          </w:p>
        </w:tc>
        <w:tc>
          <w:tcPr>
            <w:tcW w:w="709" w:type="dxa"/>
            <w:tcBorders>
              <w:top w:val="single" w:sz="4" w:space="0" w:color="808080" w:themeColor="background1" w:themeShade="80"/>
              <w:bottom w:val="single" w:sz="4" w:space="0" w:color="808080" w:themeColor="background1" w:themeShade="80"/>
            </w:tcBorders>
            <w:shd w:val="clear" w:color="auto" w:fill="auto"/>
            <w:vAlign w:val="center"/>
          </w:tcPr>
          <w:p w14:paraId="530D8549" w14:textId="6B773733" w:rsidR="007E7544" w:rsidRPr="00332AB5" w:rsidRDefault="00F1318C" w:rsidP="007E7544">
            <w:pPr>
              <w:jc w:val="right"/>
              <w:rPr>
                <w:rFonts w:asciiTheme="minorHAnsi" w:hAnsiTheme="minorHAnsi" w:cstheme="minorHAnsi"/>
                <w:sz w:val="18"/>
                <w:szCs w:val="18"/>
              </w:rPr>
            </w:pPr>
            <w:r w:rsidRPr="00332AB5">
              <w:rPr>
                <w:rFonts w:asciiTheme="minorHAnsi" w:hAnsiTheme="minorHAnsi" w:cstheme="minorHAnsi"/>
                <w:sz w:val="18"/>
                <w:szCs w:val="18"/>
              </w:rPr>
              <w:t>85,26</w:t>
            </w:r>
          </w:p>
        </w:tc>
        <w:tc>
          <w:tcPr>
            <w:tcW w:w="992" w:type="dxa"/>
            <w:tcBorders>
              <w:top w:val="single" w:sz="4" w:space="0" w:color="808080" w:themeColor="background1" w:themeShade="80"/>
              <w:bottom w:val="single" w:sz="4" w:space="0" w:color="808080" w:themeColor="background1" w:themeShade="80"/>
            </w:tcBorders>
            <w:shd w:val="clear" w:color="auto" w:fill="auto"/>
            <w:vAlign w:val="center"/>
          </w:tcPr>
          <w:p w14:paraId="48BF2CD1" w14:textId="74326175" w:rsidR="007E7544" w:rsidRPr="00332AB5" w:rsidRDefault="00F1318C" w:rsidP="007E7544">
            <w:pPr>
              <w:jc w:val="right"/>
              <w:rPr>
                <w:rFonts w:asciiTheme="minorHAnsi" w:hAnsiTheme="minorHAnsi" w:cstheme="minorHAnsi"/>
                <w:sz w:val="18"/>
                <w:szCs w:val="18"/>
              </w:rPr>
            </w:pPr>
            <w:r w:rsidRPr="00332AB5">
              <w:rPr>
                <w:rFonts w:asciiTheme="minorHAnsi" w:hAnsiTheme="minorHAnsi" w:cstheme="minorHAnsi"/>
                <w:sz w:val="18"/>
                <w:szCs w:val="18"/>
              </w:rPr>
              <w:t>7.960,54</w:t>
            </w:r>
          </w:p>
        </w:tc>
        <w:tc>
          <w:tcPr>
            <w:tcW w:w="709" w:type="dxa"/>
            <w:tcBorders>
              <w:top w:val="single" w:sz="4" w:space="0" w:color="808080" w:themeColor="background1" w:themeShade="80"/>
              <w:bottom w:val="single" w:sz="4" w:space="0" w:color="808080" w:themeColor="background1" w:themeShade="80"/>
            </w:tcBorders>
            <w:shd w:val="clear" w:color="auto" w:fill="auto"/>
            <w:vAlign w:val="center"/>
          </w:tcPr>
          <w:p w14:paraId="69272BF5" w14:textId="43D84A49" w:rsidR="007E7544" w:rsidRPr="00332AB5" w:rsidRDefault="009D0DF4" w:rsidP="007E7544">
            <w:pPr>
              <w:jc w:val="right"/>
              <w:rPr>
                <w:rFonts w:asciiTheme="minorHAnsi" w:hAnsiTheme="minorHAnsi" w:cstheme="minorHAnsi"/>
                <w:sz w:val="18"/>
                <w:szCs w:val="18"/>
              </w:rPr>
            </w:pPr>
            <w:r w:rsidRPr="00332AB5">
              <w:rPr>
                <w:rFonts w:asciiTheme="minorHAnsi" w:hAnsiTheme="minorHAnsi" w:cstheme="minorHAnsi"/>
                <w:sz w:val="18"/>
                <w:szCs w:val="18"/>
              </w:rPr>
              <w:t>70,27</w:t>
            </w:r>
          </w:p>
        </w:tc>
        <w:tc>
          <w:tcPr>
            <w:tcW w:w="925" w:type="dxa"/>
            <w:tcBorders>
              <w:top w:val="single" w:sz="4" w:space="0" w:color="808080" w:themeColor="background1" w:themeShade="80"/>
              <w:bottom w:val="single" w:sz="4" w:space="0" w:color="808080" w:themeColor="background1" w:themeShade="80"/>
            </w:tcBorders>
            <w:shd w:val="clear" w:color="auto" w:fill="auto"/>
            <w:vAlign w:val="center"/>
          </w:tcPr>
          <w:p w14:paraId="1ECE54A3" w14:textId="4803EFE5" w:rsidR="007E7544" w:rsidRPr="00332AB5" w:rsidRDefault="005E3725" w:rsidP="007E7544">
            <w:pPr>
              <w:jc w:val="right"/>
              <w:rPr>
                <w:rFonts w:asciiTheme="minorHAnsi" w:hAnsiTheme="minorHAnsi" w:cstheme="minorHAnsi"/>
                <w:sz w:val="18"/>
                <w:szCs w:val="18"/>
              </w:rPr>
            </w:pPr>
            <w:r w:rsidRPr="00332AB5">
              <w:rPr>
                <w:rFonts w:asciiTheme="minorHAnsi" w:hAnsiTheme="minorHAnsi" w:cstheme="minorHAnsi"/>
                <w:sz w:val="18"/>
                <w:szCs w:val="18"/>
              </w:rPr>
              <w:t>8.</w:t>
            </w:r>
            <w:r w:rsidR="0054343D" w:rsidRPr="00332AB5">
              <w:rPr>
                <w:rFonts w:asciiTheme="minorHAnsi" w:hAnsiTheme="minorHAnsi" w:cstheme="minorHAnsi"/>
                <w:sz w:val="18"/>
                <w:szCs w:val="18"/>
              </w:rPr>
              <w:t>203,63</w:t>
            </w:r>
          </w:p>
        </w:tc>
        <w:tc>
          <w:tcPr>
            <w:tcW w:w="776" w:type="dxa"/>
            <w:tcBorders>
              <w:top w:val="single" w:sz="4" w:space="0" w:color="808080" w:themeColor="background1" w:themeShade="80"/>
              <w:bottom w:val="single" w:sz="4" w:space="0" w:color="808080" w:themeColor="background1" w:themeShade="80"/>
            </w:tcBorders>
            <w:shd w:val="clear" w:color="auto" w:fill="auto"/>
            <w:vAlign w:val="center"/>
          </w:tcPr>
          <w:p w14:paraId="6C91A3A4" w14:textId="0D9C0D7F" w:rsidR="007E7544" w:rsidRPr="00332AB5" w:rsidRDefault="0054343D" w:rsidP="007E7544">
            <w:pPr>
              <w:jc w:val="right"/>
              <w:rPr>
                <w:rFonts w:asciiTheme="minorHAnsi" w:hAnsiTheme="minorHAnsi" w:cstheme="minorHAnsi"/>
                <w:sz w:val="18"/>
                <w:szCs w:val="18"/>
              </w:rPr>
            </w:pPr>
            <w:r w:rsidRPr="00332AB5">
              <w:rPr>
                <w:rFonts w:asciiTheme="minorHAnsi" w:hAnsiTheme="minorHAnsi" w:cstheme="minorHAnsi"/>
                <w:sz w:val="18"/>
                <w:szCs w:val="18"/>
              </w:rPr>
              <w:t>72,41</w:t>
            </w:r>
          </w:p>
        </w:tc>
      </w:tr>
      <w:bookmarkEnd w:id="30"/>
    </w:tbl>
    <w:p w14:paraId="50864BE0" w14:textId="77777777" w:rsidR="00753F1B" w:rsidRPr="00332AB5" w:rsidRDefault="00753F1B" w:rsidP="00741C5E">
      <w:pPr>
        <w:spacing w:before="120" w:after="120"/>
        <w:jc w:val="both"/>
        <w:rPr>
          <w:b/>
          <w:bCs/>
          <w:sz w:val="16"/>
          <w:szCs w:val="16"/>
        </w:rPr>
      </w:pPr>
    </w:p>
    <w:p w14:paraId="4B19B5E7" w14:textId="3CAF1968" w:rsidR="00941DB8" w:rsidRPr="00332AB5" w:rsidRDefault="00F2296E" w:rsidP="00741C5E">
      <w:pPr>
        <w:spacing w:before="120" w:after="120"/>
        <w:jc w:val="both"/>
        <w:rPr>
          <w:b/>
        </w:rPr>
      </w:pPr>
      <w:bookmarkStart w:id="31" w:name="_Toc152595277"/>
      <w:r w:rsidRPr="00332AB5">
        <w:rPr>
          <w:b/>
          <w:bCs/>
        </w:rPr>
        <w:t xml:space="preserve">Tablica </w:t>
      </w:r>
      <w:r w:rsidR="008C2CC3" w:rsidRPr="00332AB5">
        <w:rPr>
          <w:b/>
          <w:bCs/>
        </w:rPr>
        <w:fldChar w:fldCharType="begin"/>
      </w:r>
      <w:r w:rsidR="00BE6224" w:rsidRPr="00332AB5">
        <w:rPr>
          <w:b/>
          <w:bCs/>
        </w:rPr>
        <w:instrText xml:space="preserve"> SEQ Tablica \* ARABIC </w:instrText>
      </w:r>
      <w:r w:rsidR="008C2CC3" w:rsidRPr="00332AB5">
        <w:rPr>
          <w:b/>
          <w:bCs/>
        </w:rPr>
        <w:fldChar w:fldCharType="separate"/>
      </w:r>
      <w:r w:rsidR="005E6E46">
        <w:rPr>
          <w:b/>
          <w:bCs/>
          <w:noProof/>
        </w:rPr>
        <w:t>3</w:t>
      </w:r>
      <w:r w:rsidR="008C2CC3" w:rsidRPr="00332AB5">
        <w:rPr>
          <w:b/>
          <w:bCs/>
        </w:rPr>
        <w:fldChar w:fldCharType="end"/>
      </w:r>
      <w:r w:rsidRPr="00332AB5">
        <w:rPr>
          <w:b/>
          <w:bCs/>
        </w:rPr>
        <w:t xml:space="preserve">: </w:t>
      </w:r>
      <w:r w:rsidR="00941DB8" w:rsidRPr="00332AB5">
        <w:rPr>
          <w:b/>
          <w:bCs/>
        </w:rPr>
        <w:t>Napredak</w:t>
      </w:r>
      <w:r w:rsidR="00941DB8" w:rsidRPr="00332AB5">
        <w:rPr>
          <w:b/>
        </w:rPr>
        <w:t xml:space="preserve"> u ugovaranju i plaćanju pojedinih (operativnih) programa u odnosu na zadnji dan prethodnog izvještajnog razdoblja (sredstva EU, u milijunima eura)</w:t>
      </w:r>
      <w:bookmarkEnd w:id="3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3"/>
        <w:gridCol w:w="1113"/>
        <w:gridCol w:w="1112"/>
        <w:gridCol w:w="1000"/>
        <w:gridCol w:w="399"/>
        <w:gridCol w:w="1112"/>
        <w:gridCol w:w="1112"/>
        <w:gridCol w:w="1112"/>
        <w:gridCol w:w="1000"/>
      </w:tblGrid>
      <w:tr w:rsidR="00AA5DF3" w:rsidRPr="00332AB5" w14:paraId="1ED96FB7" w14:textId="77777777" w:rsidTr="00487586">
        <w:trPr>
          <w:trHeight w:val="454"/>
        </w:trPr>
        <w:tc>
          <w:tcPr>
            <w:tcW w:w="1113" w:type="dxa"/>
            <w:vAlign w:val="center"/>
          </w:tcPr>
          <w:p w14:paraId="34643D7A" w14:textId="77777777" w:rsidR="00235A74" w:rsidRPr="00332AB5" w:rsidRDefault="00235A74" w:rsidP="00487586">
            <w:pPr>
              <w:rPr>
                <w:rFonts w:asciiTheme="minorHAnsi" w:hAnsiTheme="minorHAnsi" w:cstheme="minorHAnsi"/>
              </w:rPr>
            </w:pPr>
          </w:p>
        </w:tc>
        <w:tc>
          <w:tcPr>
            <w:tcW w:w="3225" w:type="dxa"/>
            <w:gridSpan w:val="3"/>
            <w:tcBorders>
              <w:bottom w:val="single" w:sz="4" w:space="0" w:color="808080" w:themeColor="background1" w:themeShade="80"/>
            </w:tcBorders>
            <w:vAlign w:val="center"/>
          </w:tcPr>
          <w:p w14:paraId="04975401" w14:textId="77777777" w:rsidR="00235A74" w:rsidRPr="00332AB5" w:rsidRDefault="00235A74" w:rsidP="00487586">
            <w:pPr>
              <w:jc w:val="center"/>
              <w:rPr>
                <w:rFonts w:asciiTheme="minorHAnsi" w:hAnsiTheme="minorHAnsi" w:cstheme="minorHAnsi"/>
              </w:rPr>
            </w:pPr>
            <w:r w:rsidRPr="00332AB5">
              <w:rPr>
                <w:rFonts w:asciiTheme="minorHAnsi" w:hAnsiTheme="minorHAnsi" w:cstheme="minorHAnsi"/>
                <w:sz w:val="16"/>
              </w:rPr>
              <w:t>Ugovoreno</w:t>
            </w:r>
          </w:p>
        </w:tc>
        <w:tc>
          <w:tcPr>
            <w:tcW w:w="399" w:type="dxa"/>
            <w:vAlign w:val="center"/>
          </w:tcPr>
          <w:p w14:paraId="3C7E664E" w14:textId="77777777" w:rsidR="00235A74" w:rsidRPr="00332AB5" w:rsidRDefault="00235A74" w:rsidP="00487586">
            <w:pPr>
              <w:rPr>
                <w:rFonts w:asciiTheme="minorHAnsi" w:hAnsiTheme="minorHAnsi" w:cstheme="minorHAnsi"/>
                <w:sz w:val="16"/>
              </w:rPr>
            </w:pPr>
          </w:p>
        </w:tc>
        <w:tc>
          <w:tcPr>
            <w:tcW w:w="1112" w:type="dxa"/>
            <w:vAlign w:val="center"/>
          </w:tcPr>
          <w:p w14:paraId="5827A42A" w14:textId="77777777" w:rsidR="00235A74" w:rsidRPr="00332AB5" w:rsidRDefault="00235A74" w:rsidP="00487586">
            <w:pPr>
              <w:rPr>
                <w:rFonts w:asciiTheme="minorHAnsi" w:hAnsiTheme="minorHAnsi" w:cstheme="minorHAnsi"/>
                <w:sz w:val="16"/>
              </w:rPr>
            </w:pPr>
          </w:p>
        </w:tc>
        <w:tc>
          <w:tcPr>
            <w:tcW w:w="3224" w:type="dxa"/>
            <w:gridSpan w:val="3"/>
            <w:tcBorders>
              <w:bottom w:val="single" w:sz="4" w:space="0" w:color="808080" w:themeColor="background1" w:themeShade="80"/>
            </w:tcBorders>
            <w:vAlign w:val="center"/>
          </w:tcPr>
          <w:p w14:paraId="03D1B355" w14:textId="77777777" w:rsidR="00235A74" w:rsidRPr="00332AB5" w:rsidRDefault="00235A74" w:rsidP="00487586">
            <w:pPr>
              <w:jc w:val="center"/>
              <w:rPr>
                <w:rFonts w:asciiTheme="minorHAnsi" w:hAnsiTheme="minorHAnsi" w:cstheme="minorHAnsi"/>
              </w:rPr>
            </w:pPr>
            <w:r w:rsidRPr="00332AB5">
              <w:rPr>
                <w:rFonts w:asciiTheme="minorHAnsi" w:hAnsiTheme="minorHAnsi" w:cstheme="minorHAnsi"/>
                <w:sz w:val="16"/>
              </w:rPr>
              <w:t>Plaćeno</w:t>
            </w:r>
          </w:p>
        </w:tc>
      </w:tr>
      <w:tr w:rsidR="00AA5DF3" w:rsidRPr="00332AB5" w14:paraId="714DA646" w14:textId="77777777" w:rsidTr="00487586">
        <w:trPr>
          <w:trHeight w:val="567"/>
        </w:trPr>
        <w:tc>
          <w:tcPr>
            <w:tcW w:w="1113" w:type="dxa"/>
            <w:vAlign w:val="center"/>
          </w:tcPr>
          <w:p w14:paraId="169F7CED" w14:textId="77777777" w:rsidR="008F4AEB" w:rsidRPr="00332AB5" w:rsidRDefault="008F4AEB" w:rsidP="008F4AEB">
            <w:pPr>
              <w:rPr>
                <w:rFonts w:asciiTheme="minorHAnsi" w:hAnsiTheme="minorHAnsi" w:cstheme="minorHAnsi"/>
              </w:rPr>
            </w:pPr>
            <w:r w:rsidRPr="00332AB5">
              <w:rPr>
                <w:rFonts w:asciiTheme="minorHAnsi" w:hAnsiTheme="minorHAnsi" w:cstheme="minorHAnsi"/>
                <w:sz w:val="16"/>
              </w:rPr>
              <w:t>(Operativni) program</w:t>
            </w:r>
          </w:p>
        </w:tc>
        <w:tc>
          <w:tcPr>
            <w:tcW w:w="1113" w:type="dxa"/>
            <w:tcBorders>
              <w:top w:val="single" w:sz="4" w:space="0" w:color="808080" w:themeColor="background1" w:themeShade="80"/>
              <w:bottom w:val="single" w:sz="4" w:space="0" w:color="808080" w:themeColor="background1" w:themeShade="80"/>
            </w:tcBorders>
            <w:vAlign w:val="center"/>
          </w:tcPr>
          <w:p w14:paraId="7F884179" w14:textId="5BDAE27A" w:rsidR="008F4AEB" w:rsidRPr="00332AB5" w:rsidRDefault="00E34970" w:rsidP="008F4AEB">
            <w:pPr>
              <w:jc w:val="right"/>
              <w:rPr>
                <w:rFonts w:asciiTheme="minorHAnsi" w:hAnsiTheme="minorHAnsi" w:cstheme="minorHAnsi"/>
              </w:rPr>
            </w:pPr>
            <w:r w:rsidRPr="00332AB5">
              <w:rPr>
                <w:rFonts w:asciiTheme="minorHAnsi" w:hAnsiTheme="minorHAnsi" w:cstheme="minorHAnsi"/>
                <w:sz w:val="16"/>
              </w:rPr>
              <w:t>30.6.202</w:t>
            </w:r>
            <w:r w:rsidR="00891C6A" w:rsidRPr="00332AB5">
              <w:rPr>
                <w:rFonts w:asciiTheme="minorHAnsi" w:hAnsiTheme="minorHAnsi" w:cstheme="minorHAnsi"/>
                <w:sz w:val="16"/>
              </w:rPr>
              <w:t>3</w:t>
            </w:r>
            <w:r w:rsidR="00AE478C" w:rsidRPr="00332AB5">
              <w:rPr>
                <w:rFonts w:asciiTheme="minorHAnsi" w:hAnsiTheme="minorHAnsi" w:cstheme="minorHAnsi"/>
                <w:sz w:val="16"/>
              </w:rPr>
              <w:t>.</w:t>
            </w:r>
          </w:p>
        </w:tc>
        <w:tc>
          <w:tcPr>
            <w:tcW w:w="1112" w:type="dxa"/>
            <w:tcBorders>
              <w:top w:val="single" w:sz="4" w:space="0" w:color="808080" w:themeColor="background1" w:themeShade="80"/>
              <w:bottom w:val="single" w:sz="4" w:space="0" w:color="808080" w:themeColor="background1" w:themeShade="80"/>
            </w:tcBorders>
            <w:vAlign w:val="center"/>
          </w:tcPr>
          <w:p w14:paraId="2944B3B2" w14:textId="41E31D6C" w:rsidR="008F4AEB" w:rsidRPr="00332AB5" w:rsidRDefault="00E34970" w:rsidP="008F4AEB">
            <w:pPr>
              <w:jc w:val="right"/>
              <w:rPr>
                <w:rFonts w:asciiTheme="minorHAnsi" w:hAnsiTheme="minorHAnsi" w:cstheme="minorHAnsi"/>
              </w:rPr>
            </w:pPr>
            <w:r w:rsidRPr="00332AB5">
              <w:rPr>
                <w:rFonts w:asciiTheme="minorHAnsi" w:hAnsiTheme="minorHAnsi" w:cstheme="minorHAnsi"/>
                <w:sz w:val="16"/>
              </w:rPr>
              <w:t>31.12.</w:t>
            </w:r>
            <w:r w:rsidR="008F4AEB" w:rsidRPr="00332AB5">
              <w:rPr>
                <w:rFonts w:asciiTheme="minorHAnsi" w:hAnsiTheme="minorHAnsi" w:cstheme="minorHAnsi"/>
                <w:sz w:val="16"/>
              </w:rPr>
              <w:t>20</w:t>
            </w:r>
            <w:r w:rsidR="002D14F5" w:rsidRPr="00332AB5">
              <w:rPr>
                <w:rFonts w:asciiTheme="minorHAnsi" w:hAnsiTheme="minorHAnsi" w:cstheme="minorHAnsi"/>
                <w:sz w:val="16"/>
              </w:rPr>
              <w:t>2</w:t>
            </w:r>
            <w:r w:rsidR="000351E8" w:rsidRPr="00332AB5">
              <w:rPr>
                <w:rFonts w:asciiTheme="minorHAnsi" w:hAnsiTheme="minorHAnsi" w:cstheme="minorHAnsi"/>
                <w:sz w:val="16"/>
              </w:rPr>
              <w:t>2</w:t>
            </w:r>
            <w:r w:rsidR="008F4AEB" w:rsidRPr="00332AB5">
              <w:rPr>
                <w:rFonts w:asciiTheme="minorHAnsi" w:hAnsiTheme="minorHAnsi" w:cstheme="minorHAnsi"/>
                <w:sz w:val="16"/>
              </w:rPr>
              <w:t>.</w:t>
            </w:r>
          </w:p>
        </w:tc>
        <w:tc>
          <w:tcPr>
            <w:tcW w:w="1000" w:type="dxa"/>
            <w:tcBorders>
              <w:top w:val="single" w:sz="4" w:space="0" w:color="808080" w:themeColor="background1" w:themeShade="80"/>
              <w:bottom w:val="single" w:sz="4" w:space="0" w:color="808080" w:themeColor="background1" w:themeShade="80"/>
            </w:tcBorders>
            <w:vAlign w:val="center"/>
          </w:tcPr>
          <w:p w14:paraId="4BAE8D81" w14:textId="77777777" w:rsidR="008F4AEB" w:rsidRPr="00332AB5" w:rsidRDefault="008F4AEB" w:rsidP="008F4AEB">
            <w:pPr>
              <w:jc w:val="right"/>
              <w:rPr>
                <w:rFonts w:asciiTheme="minorHAnsi" w:hAnsiTheme="minorHAnsi" w:cstheme="minorHAnsi"/>
              </w:rPr>
            </w:pPr>
            <w:r w:rsidRPr="00332AB5">
              <w:rPr>
                <w:rFonts w:asciiTheme="minorHAnsi" w:hAnsiTheme="minorHAnsi" w:cstheme="minorHAnsi"/>
                <w:sz w:val="16"/>
              </w:rPr>
              <w:t>Indeks promjene</w:t>
            </w:r>
            <w:r w:rsidRPr="00332AB5">
              <w:rPr>
                <w:rStyle w:val="FootnoteReference"/>
                <w:rFonts w:asciiTheme="minorHAnsi" w:hAnsiTheme="minorHAnsi" w:cstheme="minorHAnsi"/>
                <w:sz w:val="16"/>
              </w:rPr>
              <w:footnoteReference w:id="3"/>
            </w:r>
          </w:p>
        </w:tc>
        <w:tc>
          <w:tcPr>
            <w:tcW w:w="399" w:type="dxa"/>
          </w:tcPr>
          <w:p w14:paraId="02775F8A" w14:textId="77777777" w:rsidR="008F4AEB" w:rsidRPr="00332AB5" w:rsidRDefault="008F4AEB" w:rsidP="008F4AEB">
            <w:pPr>
              <w:rPr>
                <w:rFonts w:asciiTheme="minorHAnsi" w:hAnsiTheme="minorHAnsi" w:cstheme="minorHAnsi"/>
                <w:sz w:val="16"/>
              </w:rPr>
            </w:pPr>
          </w:p>
        </w:tc>
        <w:tc>
          <w:tcPr>
            <w:tcW w:w="1112" w:type="dxa"/>
            <w:vAlign w:val="center"/>
          </w:tcPr>
          <w:p w14:paraId="3898E429" w14:textId="77777777" w:rsidR="008F4AEB" w:rsidRPr="00332AB5" w:rsidRDefault="008F4AEB" w:rsidP="008F4AEB">
            <w:pPr>
              <w:rPr>
                <w:rFonts w:asciiTheme="minorHAnsi" w:hAnsiTheme="minorHAnsi" w:cstheme="minorHAnsi"/>
              </w:rPr>
            </w:pPr>
            <w:r w:rsidRPr="00332AB5">
              <w:rPr>
                <w:rFonts w:asciiTheme="minorHAnsi" w:hAnsiTheme="minorHAnsi" w:cstheme="minorHAnsi"/>
                <w:sz w:val="16"/>
              </w:rPr>
              <w:t>(Operativni) program</w:t>
            </w:r>
          </w:p>
        </w:tc>
        <w:tc>
          <w:tcPr>
            <w:tcW w:w="1112" w:type="dxa"/>
            <w:tcBorders>
              <w:top w:val="single" w:sz="4" w:space="0" w:color="808080" w:themeColor="background1" w:themeShade="80"/>
              <w:bottom w:val="single" w:sz="4" w:space="0" w:color="808080" w:themeColor="background1" w:themeShade="80"/>
            </w:tcBorders>
            <w:vAlign w:val="center"/>
          </w:tcPr>
          <w:p w14:paraId="5C75C71F" w14:textId="6A771ED0" w:rsidR="008F4AEB" w:rsidRPr="00332AB5" w:rsidRDefault="00E34970" w:rsidP="008F4AEB">
            <w:pPr>
              <w:jc w:val="right"/>
              <w:rPr>
                <w:rFonts w:asciiTheme="minorHAnsi" w:hAnsiTheme="minorHAnsi" w:cstheme="minorHAnsi"/>
              </w:rPr>
            </w:pPr>
            <w:r w:rsidRPr="00332AB5">
              <w:rPr>
                <w:rFonts w:asciiTheme="minorHAnsi" w:hAnsiTheme="minorHAnsi" w:cstheme="minorHAnsi"/>
                <w:sz w:val="16"/>
              </w:rPr>
              <w:t>30.6.202</w:t>
            </w:r>
            <w:r w:rsidR="00891C6A" w:rsidRPr="00332AB5">
              <w:rPr>
                <w:rFonts w:asciiTheme="minorHAnsi" w:hAnsiTheme="minorHAnsi" w:cstheme="minorHAnsi"/>
                <w:sz w:val="16"/>
              </w:rPr>
              <w:t>3</w:t>
            </w:r>
            <w:r w:rsidR="00AE478C" w:rsidRPr="00332AB5">
              <w:rPr>
                <w:rFonts w:asciiTheme="minorHAnsi" w:hAnsiTheme="minorHAnsi" w:cstheme="minorHAnsi"/>
                <w:sz w:val="16"/>
              </w:rPr>
              <w:t>.</w:t>
            </w:r>
          </w:p>
        </w:tc>
        <w:tc>
          <w:tcPr>
            <w:tcW w:w="1112" w:type="dxa"/>
            <w:tcBorders>
              <w:top w:val="single" w:sz="4" w:space="0" w:color="808080" w:themeColor="background1" w:themeShade="80"/>
              <w:bottom w:val="single" w:sz="4" w:space="0" w:color="808080" w:themeColor="background1" w:themeShade="80"/>
            </w:tcBorders>
            <w:vAlign w:val="center"/>
          </w:tcPr>
          <w:p w14:paraId="2D64D305" w14:textId="4F05D091" w:rsidR="008F4AEB" w:rsidRPr="00332AB5" w:rsidRDefault="00E34970" w:rsidP="008F4AEB">
            <w:pPr>
              <w:jc w:val="right"/>
              <w:rPr>
                <w:rFonts w:asciiTheme="minorHAnsi" w:hAnsiTheme="minorHAnsi" w:cstheme="minorHAnsi"/>
              </w:rPr>
            </w:pPr>
            <w:r w:rsidRPr="00332AB5">
              <w:rPr>
                <w:rFonts w:asciiTheme="minorHAnsi" w:hAnsiTheme="minorHAnsi" w:cstheme="minorHAnsi"/>
                <w:sz w:val="16"/>
              </w:rPr>
              <w:t>31.12.202</w:t>
            </w:r>
            <w:r w:rsidR="000351E8" w:rsidRPr="00332AB5">
              <w:rPr>
                <w:rFonts w:asciiTheme="minorHAnsi" w:hAnsiTheme="minorHAnsi" w:cstheme="minorHAnsi"/>
                <w:sz w:val="16"/>
              </w:rPr>
              <w:t>2</w:t>
            </w:r>
            <w:r w:rsidR="00F214EB" w:rsidRPr="00332AB5">
              <w:rPr>
                <w:rFonts w:asciiTheme="minorHAnsi" w:hAnsiTheme="minorHAnsi" w:cstheme="minorHAnsi"/>
                <w:sz w:val="16"/>
              </w:rPr>
              <w:t>.</w:t>
            </w:r>
          </w:p>
        </w:tc>
        <w:tc>
          <w:tcPr>
            <w:tcW w:w="1000" w:type="dxa"/>
            <w:tcBorders>
              <w:top w:val="single" w:sz="4" w:space="0" w:color="808080" w:themeColor="background1" w:themeShade="80"/>
              <w:bottom w:val="single" w:sz="4" w:space="0" w:color="808080" w:themeColor="background1" w:themeShade="80"/>
            </w:tcBorders>
            <w:vAlign w:val="center"/>
          </w:tcPr>
          <w:p w14:paraId="100029BB" w14:textId="77777777" w:rsidR="008F4AEB" w:rsidRPr="00332AB5" w:rsidRDefault="008F4AEB" w:rsidP="008F4AEB">
            <w:pPr>
              <w:jc w:val="right"/>
              <w:rPr>
                <w:rFonts w:asciiTheme="minorHAnsi" w:hAnsiTheme="minorHAnsi" w:cstheme="minorHAnsi"/>
              </w:rPr>
            </w:pPr>
            <w:r w:rsidRPr="00332AB5">
              <w:rPr>
                <w:rFonts w:asciiTheme="minorHAnsi" w:hAnsiTheme="minorHAnsi" w:cstheme="minorHAnsi"/>
                <w:sz w:val="16"/>
              </w:rPr>
              <w:t>Indeks promjene</w:t>
            </w:r>
          </w:p>
        </w:tc>
      </w:tr>
      <w:tr w:rsidR="00AA5DF3" w:rsidRPr="00332AB5" w14:paraId="4C9B5658" w14:textId="77777777" w:rsidTr="00487586">
        <w:trPr>
          <w:trHeight w:val="113"/>
        </w:trPr>
        <w:tc>
          <w:tcPr>
            <w:tcW w:w="1113" w:type="dxa"/>
            <w:vAlign w:val="center"/>
          </w:tcPr>
          <w:p w14:paraId="4AF0C63D" w14:textId="77777777" w:rsidR="00235A74" w:rsidRPr="00332AB5" w:rsidRDefault="00235A74" w:rsidP="00487586">
            <w:pPr>
              <w:rPr>
                <w:rFonts w:asciiTheme="minorHAnsi" w:hAnsiTheme="minorHAnsi" w:cstheme="minorHAnsi"/>
                <w:sz w:val="8"/>
              </w:rPr>
            </w:pPr>
          </w:p>
        </w:tc>
        <w:tc>
          <w:tcPr>
            <w:tcW w:w="1113" w:type="dxa"/>
            <w:tcBorders>
              <w:top w:val="single" w:sz="4" w:space="0" w:color="808080" w:themeColor="background1" w:themeShade="80"/>
            </w:tcBorders>
            <w:vAlign w:val="center"/>
          </w:tcPr>
          <w:p w14:paraId="11F1E0EA" w14:textId="77777777" w:rsidR="00235A74" w:rsidRPr="00332AB5" w:rsidRDefault="00235A74" w:rsidP="00487586">
            <w:pPr>
              <w:jc w:val="right"/>
              <w:rPr>
                <w:rFonts w:asciiTheme="minorHAnsi" w:hAnsiTheme="minorHAnsi" w:cstheme="minorHAnsi"/>
                <w:sz w:val="8"/>
              </w:rPr>
            </w:pPr>
          </w:p>
        </w:tc>
        <w:tc>
          <w:tcPr>
            <w:tcW w:w="1112" w:type="dxa"/>
            <w:tcBorders>
              <w:top w:val="single" w:sz="4" w:space="0" w:color="808080" w:themeColor="background1" w:themeShade="80"/>
            </w:tcBorders>
            <w:vAlign w:val="center"/>
          </w:tcPr>
          <w:p w14:paraId="074E20D1" w14:textId="77777777" w:rsidR="00235A74" w:rsidRPr="00332AB5" w:rsidRDefault="00235A74" w:rsidP="00487586">
            <w:pPr>
              <w:jc w:val="right"/>
              <w:rPr>
                <w:rFonts w:asciiTheme="minorHAnsi" w:hAnsiTheme="minorHAnsi" w:cstheme="minorHAnsi"/>
                <w:sz w:val="8"/>
              </w:rPr>
            </w:pPr>
          </w:p>
        </w:tc>
        <w:tc>
          <w:tcPr>
            <w:tcW w:w="1000" w:type="dxa"/>
            <w:tcBorders>
              <w:top w:val="single" w:sz="4" w:space="0" w:color="808080" w:themeColor="background1" w:themeShade="80"/>
            </w:tcBorders>
          </w:tcPr>
          <w:p w14:paraId="5B4DA10E" w14:textId="77777777" w:rsidR="00235A74" w:rsidRPr="00332AB5" w:rsidRDefault="00235A74" w:rsidP="00487586">
            <w:pPr>
              <w:jc w:val="right"/>
              <w:rPr>
                <w:rFonts w:asciiTheme="minorHAnsi" w:hAnsiTheme="minorHAnsi" w:cstheme="minorHAnsi"/>
                <w:sz w:val="8"/>
              </w:rPr>
            </w:pPr>
          </w:p>
        </w:tc>
        <w:tc>
          <w:tcPr>
            <w:tcW w:w="399" w:type="dxa"/>
          </w:tcPr>
          <w:p w14:paraId="4C287997" w14:textId="77777777" w:rsidR="00235A74" w:rsidRPr="00332AB5" w:rsidRDefault="00235A74" w:rsidP="00487586">
            <w:pPr>
              <w:rPr>
                <w:rFonts w:asciiTheme="minorHAnsi" w:hAnsiTheme="minorHAnsi" w:cstheme="minorHAnsi"/>
                <w:sz w:val="8"/>
              </w:rPr>
            </w:pPr>
          </w:p>
        </w:tc>
        <w:tc>
          <w:tcPr>
            <w:tcW w:w="1112" w:type="dxa"/>
            <w:vAlign w:val="center"/>
          </w:tcPr>
          <w:p w14:paraId="47CD7816" w14:textId="77777777" w:rsidR="00235A74" w:rsidRPr="00332AB5" w:rsidRDefault="00235A74" w:rsidP="00487586">
            <w:pPr>
              <w:rPr>
                <w:rFonts w:asciiTheme="minorHAnsi" w:hAnsiTheme="minorHAnsi" w:cstheme="minorHAnsi"/>
                <w:sz w:val="8"/>
              </w:rPr>
            </w:pPr>
          </w:p>
        </w:tc>
        <w:tc>
          <w:tcPr>
            <w:tcW w:w="1112" w:type="dxa"/>
            <w:tcBorders>
              <w:top w:val="single" w:sz="4" w:space="0" w:color="808080" w:themeColor="background1" w:themeShade="80"/>
            </w:tcBorders>
            <w:vAlign w:val="center"/>
          </w:tcPr>
          <w:p w14:paraId="3084C2DA" w14:textId="77777777" w:rsidR="00235A74" w:rsidRPr="00332AB5" w:rsidRDefault="00235A74" w:rsidP="00487586">
            <w:pPr>
              <w:jc w:val="right"/>
              <w:rPr>
                <w:rFonts w:asciiTheme="minorHAnsi" w:hAnsiTheme="minorHAnsi" w:cstheme="minorHAnsi"/>
                <w:sz w:val="8"/>
              </w:rPr>
            </w:pPr>
          </w:p>
        </w:tc>
        <w:tc>
          <w:tcPr>
            <w:tcW w:w="1112" w:type="dxa"/>
            <w:tcBorders>
              <w:top w:val="single" w:sz="4" w:space="0" w:color="808080" w:themeColor="background1" w:themeShade="80"/>
            </w:tcBorders>
            <w:vAlign w:val="center"/>
          </w:tcPr>
          <w:p w14:paraId="7033FD62" w14:textId="77777777" w:rsidR="00235A74" w:rsidRPr="00332AB5" w:rsidRDefault="00235A74" w:rsidP="00487586">
            <w:pPr>
              <w:jc w:val="right"/>
              <w:rPr>
                <w:rFonts w:asciiTheme="minorHAnsi" w:hAnsiTheme="minorHAnsi" w:cstheme="minorHAnsi"/>
                <w:sz w:val="8"/>
              </w:rPr>
            </w:pPr>
          </w:p>
        </w:tc>
        <w:tc>
          <w:tcPr>
            <w:tcW w:w="1000" w:type="dxa"/>
            <w:tcBorders>
              <w:top w:val="single" w:sz="4" w:space="0" w:color="808080" w:themeColor="background1" w:themeShade="80"/>
            </w:tcBorders>
            <w:vAlign w:val="center"/>
          </w:tcPr>
          <w:p w14:paraId="158C90CA" w14:textId="77777777" w:rsidR="00235A74" w:rsidRPr="00332AB5" w:rsidRDefault="00235A74" w:rsidP="00487586">
            <w:pPr>
              <w:jc w:val="right"/>
              <w:rPr>
                <w:rFonts w:asciiTheme="minorHAnsi" w:hAnsiTheme="minorHAnsi" w:cstheme="minorHAnsi"/>
                <w:sz w:val="8"/>
              </w:rPr>
            </w:pPr>
          </w:p>
        </w:tc>
      </w:tr>
      <w:tr w:rsidR="0023091B" w:rsidRPr="00332AB5" w14:paraId="16E81A79" w14:textId="77777777" w:rsidTr="00F27FBB">
        <w:trPr>
          <w:trHeight w:val="397"/>
        </w:trPr>
        <w:tc>
          <w:tcPr>
            <w:tcW w:w="1113" w:type="dxa"/>
            <w:vAlign w:val="center"/>
          </w:tcPr>
          <w:p w14:paraId="7E4C5A50" w14:textId="77777777" w:rsidR="0023091B" w:rsidRPr="00332AB5" w:rsidRDefault="0023091B" w:rsidP="0023091B">
            <w:pPr>
              <w:rPr>
                <w:rFonts w:asciiTheme="minorHAnsi" w:hAnsiTheme="minorHAnsi" w:cstheme="minorHAnsi"/>
                <w:sz w:val="18"/>
              </w:rPr>
            </w:pPr>
            <w:r w:rsidRPr="00332AB5">
              <w:rPr>
                <w:rFonts w:ascii="Calibri" w:hAnsi="Calibri" w:cs="Calibri"/>
                <w:sz w:val="18"/>
              </w:rPr>
              <w:t>OPKK</w:t>
            </w:r>
          </w:p>
        </w:tc>
        <w:tc>
          <w:tcPr>
            <w:tcW w:w="1113" w:type="dxa"/>
            <w:vAlign w:val="center"/>
          </w:tcPr>
          <w:p w14:paraId="5231A1ED" w14:textId="1252A2D9" w:rsidR="0023091B" w:rsidRPr="00332AB5" w:rsidRDefault="00A27250" w:rsidP="0023091B">
            <w:pPr>
              <w:jc w:val="right"/>
              <w:rPr>
                <w:rFonts w:asciiTheme="minorHAnsi" w:hAnsiTheme="minorHAnsi" w:cstheme="minorHAnsi"/>
                <w:sz w:val="18"/>
                <w:szCs w:val="18"/>
              </w:rPr>
            </w:pPr>
            <w:r w:rsidRPr="00332AB5">
              <w:rPr>
                <w:rFonts w:asciiTheme="minorHAnsi" w:hAnsiTheme="minorHAnsi" w:cstheme="minorHAnsi"/>
                <w:color w:val="000000"/>
                <w:sz w:val="18"/>
                <w:szCs w:val="18"/>
              </w:rPr>
              <w:t>9.210,88</w:t>
            </w:r>
          </w:p>
        </w:tc>
        <w:tc>
          <w:tcPr>
            <w:tcW w:w="1112" w:type="dxa"/>
            <w:vAlign w:val="center"/>
          </w:tcPr>
          <w:p w14:paraId="551DEC78" w14:textId="327B6776" w:rsidR="0023091B" w:rsidRPr="00332AB5" w:rsidRDefault="0023091B" w:rsidP="0023091B">
            <w:pPr>
              <w:jc w:val="right"/>
              <w:rPr>
                <w:rFonts w:asciiTheme="minorHAnsi" w:hAnsiTheme="minorHAnsi" w:cstheme="minorHAnsi"/>
                <w:sz w:val="18"/>
                <w:szCs w:val="18"/>
              </w:rPr>
            </w:pPr>
            <w:r w:rsidRPr="00332AB5">
              <w:rPr>
                <w:rFonts w:asciiTheme="minorHAnsi" w:hAnsiTheme="minorHAnsi" w:cstheme="minorHAnsi"/>
                <w:color w:val="000000"/>
                <w:sz w:val="18"/>
                <w:szCs w:val="18"/>
              </w:rPr>
              <w:t>9.198,07</w:t>
            </w:r>
          </w:p>
        </w:tc>
        <w:tc>
          <w:tcPr>
            <w:tcW w:w="1000" w:type="dxa"/>
            <w:vAlign w:val="center"/>
          </w:tcPr>
          <w:p w14:paraId="78059C98" w14:textId="527C0798" w:rsidR="0023091B" w:rsidRPr="00332AB5" w:rsidRDefault="0023091B" w:rsidP="0023091B">
            <w:pPr>
              <w:jc w:val="right"/>
              <w:rPr>
                <w:rFonts w:asciiTheme="minorHAnsi" w:hAnsiTheme="minorHAnsi" w:cstheme="minorHAnsi"/>
                <w:sz w:val="18"/>
                <w:szCs w:val="18"/>
              </w:rPr>
            </w:pPr>
            <w:r w:rsidRPr="00332AB5">
              <w:rPr>
                <w:rFonts w:asciiTheme="minorHAnsi" w:hAnsiTheme="minorHAnsi" w:cstheme="minorHAnsi"/>
                <w:color w:val="000000"/>
                <w:sz w:val="18"/>
                <w:szCs w:val="18"/>
              </w:rPr>
              <w:t>100,</w:t>
            </w:r>
            <w:r w:rsidR="00A27250" w:rsidRPr="00332AB5">
              <w:rPr>
                <w:rFonts w:asciiTheme="minorHAnsi" w:hAnsiTheme="minorHAnsi" w:cstheme="minorHAnsi"/>
                <w:color w:val="000000"/>
                <w:sz w:val="18"/>
                <w:szCs w:val="18"/>
              </w:rPr>
              <w:t>13</w:t>
            </w:r>
          </w:p>
        </w:tc>
        <w:tc>
          <w:tcPr>
            <w:tcW w:w="399" w:type="dxa"/>
            <w:vAlign w:val="center"/>
          </w:tcPr>
          <w:p w14:paraId="0A556DBB" w14:textId="77777777" w:rsidR="0023091B" w:rsidRPr="00332AB5" w:rsidRDefault="0023091B" w:rsidP="0023091B">
            <w:pPr>
              <w:rPr>
                <w:rFonts w:asciiTheme="minorHAnsi" w:hAnsiTheme="minorHAnsi" w:cstheme="minorHAnsi"/>
                <w:sz w:val="18"/>
              </w:rPr>
            </w:pPr>
          </w:p>
        </w:tc>
        <w:tc>
          <w:tcPr>
            <w:tcW w:w="1112" w:type="dxa"/>
            <w:vAlign w:val="center"/>
          </w:tcPr>
          <w:p w14:paraId="0A5F51D0" w14:textId="77777777" w:rsidR="0023091B" w:rsidRPr="00332AB5" w:rsidRDefault="0023091B" w:rsidP="0023091B">
            <w:pPr>
              <w:rPr>
                <w:rFonts w:asciiTheme="minorHAnsi" w:hAnsiTheme="minorHAnsi" w:cstheme="minorHAnsi"/>
                <w:sz w:val="18"/>
                <w:szCs w:val="18"/>
              </w:rPr>
            </w:pPr>
            <w:r w:rsidRPr="00332AB5">
              <w:rPr>
                <w:rFonts w:ascii="Calibri" w:hAnsi="Calibri" w:cs="Calibri"/>
                <w:color w:val="000000"/>
                <w:sz w:val="18"/>
                <w:szCs w:val="18"/>
              </w:rPr>
              <w:t>OPKK</w:t>
            </w:r>
          </w:p>
        </w:tc>
        <w:tc>
          <w:tcPr>
            <w:tcW w:w="1112" w:type="dxa"/>
            <w:vAlign w:val="center"/>
          </w:tcPr>
          <w:p w14:paraId="05D258DB" w14:textId="2EA1D481" w:rsidR="0023091B" w:rsidRPr="00332AB5" w:rsidRDefault="00A27250" w:rsidP="0023091B">
            <w:pPr>
              <w:jc w:val="right"/>
              <w:rPr>
                <w:rFonts w:asciiTheme="minorHAnsi" w:hAnsiTheme="minorHAnsi" w:cstheme="minorHAnsi"/>
                <w:sz w:val="18"/>
                <w:szCs w:val="18"/>
              </w:rPr>
            </w:pPr>
            <w:r w:rsidRPr="00332AB5">
              <w:rPr>
                <w:rFonts w:asciiTheme="minorHAnsi" w:hAnsiTheme="minorHAnsi" w:cstheme="minorHAnsi"/>
                <w:color w:val="000000"/>
                <w:sz w:val="18"/>
                <w:szCs w:val="18"/>
              </w:rPr>
              <w:t>5.809,66</w:t>
            </w:r>
          </w:p>
        </w:tc>
        <w:tc>
          <w:tcPr>
            <w:tcW w:w="1112" w:type="dxa"/>
            <w:vAlign w:val="center"/>
          </w:tcPr>
          <w:p w14:paraId="71A77730" w14:textId="2441D667" w:rsidR="0023091B" w:rsidRPr="00332AB5" w:rsidRDefault="0023091B" w:rsidP="0023091B">
            <w:pPr>
              <w:jc w:val="right"/>
              <w:rPr>
                <w:rFonts w:asciiTheme="minorHAnsi" w:hAnsiTheme="minorHAnsi" w:cstheme="minorHAnsi"/>
                <w:sz w:val="18"/>
                <w:szCs w:val="18"/>
              </w:rPr>
            </w:pPr>
            <w:r w:rsidRPr="00332AB5">
              <w:rPr>
                <w:rFonts w:ascii="Calibri" w:hAnsi="Calibri" w:cs="Calibri"/>
                <w:color w:val="000000"/>
                <w:sz w:val="18"/>
                <w:szCs w:val="18"/>
              </w:rPr>
              <w:t>5.326,26</w:t>
            </w:r>
          </w:p>
        </w:tc>
        <w:tc>
          <w:tcPr>
            <w:tcW w:w="1000" w:type="dxa"/>
            <w:vAlign w:val="center"/>
          </w:tcPr>
          <w:p w14:paraId="40945E07" w14:textId="1097569A" w:rsidR="0023091B" w:rsidRPr="00332AB5" w:rsidRDefault="00A27250" w:rsidP="0023091B">
            <w:pPr>
              <w:jc w:val="right"/>
              <w:rPr>
                <w:rFonts w:asciiTheme="minorHAnsi" w:hAnsiTheme="minorHAnsi" w:cstheme="minorHAnsi"/>
                <w:sz w:val="18"/>
                <w:szCs w:val="18"/>
              </w:rPr>
            </w:pPr>
            <w:r w:rsidRPr="00332AB5">
              <w:rPr>
                <w:rFonts w:ascii="Calibri" w:hAnsi="Calibri" w:cs="Calibri"/>
                <w:color w:val="000000"/>
                <w:sz w:val="18"/>
                <w:szCs w:val="18"/>
              </w:rPr>
              <w:t>109,07</w:t>
            </w:r>
          </w:p>
        </w:tc>
      </w:tr>
      <w:tr w:rsidR="00726086" w:rsidRPr="00332AB5" w14:paraId="4804C121" w14:textId="77777777" w:rsidTr="00F27FBB">
        <w:trPr>
          <w:trHeight w:val="397"/>
        </w:trPr>
        <w:tc>
          <w:tcPr>
            <w:tcW w:w="1113" w:type="dxa"/>
            <w:vAlign w:val="center"/>
          </w:tcPr>
          <w:p w14:paraId="614C44F5" w14:textId="6FBD95D6" w:rsidR="00726086" w:rsidRPr="00332AB5" w:rsidRDefault="00726086" w:rsidP="00726086">
            <w:pPr>
              <w:rPr>
                <w:rFonts w:asciiTheme="minorHAnsi" w:hAnsiTheme="minorHAnsi" w:cstheme="minorHAnsi"/>
                <w:sz w:val="18"/>
              </w:rPr>
            </w:pPr>
            <w:r w:rsidRPr="00332AB5">
              <w:rPr>
                <w:rFonts w:ascii="Calibri" w:hAnsi="Calibri" w:cs="Calibri"/>
                <w:sz w:val="18"/>
              </w:rPr>
              <w:t>OPULJP</w:t>
            </w:r>
          </w:p>
        </w:tc>
        <w:tc>
          <w:tcPr>
            <w:tcW w:w="1113" w:type="dxa"/>
            <w:vAlign w:val="center"/>
          </w:tcPr>
          <w:p w14:paraId="45FE6344" w14:textId="0C2CAD4F" w:rsidR="00726086" w:rsidRPr="00332AB5" w:rsidRDefault="00BD07EE" w:rsidP="00726086">
            <w:pPr>
              <w:jc w:val="right"/>
              <w:rPr>
                <w:rFonts w:asciiTheme="minorHAnsi" w:hAnsiTheme="minorHAnsi" w:cstheme="minorHAnsi"/>
                <w:sz w:val="18"/>
                <w:szCs w:val="18"/>
              </w:rPr>
            </w:pPr>
            <w:r w:rsidRPr="00332AB5">
              <w:rPr>
                <w:rFonts w:asciiTheme="minorHAnsi" w:hAnsiTheme="minorHAnsi" w:cstheme="minorBidi"/>
                <w:color w:val="000000" w:themeColor="text1"/>
                <w:sz w:val="18"/>
                <w:szCs w:val="18"/>
              </w:rPr>
              <w:t>1.</w:t>
            </w:r>
            <w:r w:rsidR="001E1BDE" w:rsidRPr="00332AB5">
              <w:rPr>
                <w:rFonts w:asciiTheme="minorHAnsi" w:hAnsiTheme="minorHAnsi" w:cstheme="minorBidi"/>
                <w:color w:val="000000" w:themeColor="text1"/>
                <w:sz w:val="18"/>
                <w:szCs w:val="18"/>
              </w:rPr>
              <w:t>961,13</w:t>
            </w:r>
          </w:p>
        </w:tc>
        <w:tc>
          <w:tcPr>
            <w:tcW w:w="1112" w:type="dxa"/>
            <w:vAlign w:val="center"/>
          </w:tcPr>
          <w:p w14:paraId="4B32EFA2" w14:textId="019719B6" w:rsidR="00726086" w:rsidRPr="00332AB5" w:rsidRDefault="0B89D065" w:rsidP="00225784">
            <w:pPr>
              <w:spacing w:line="259" w:lineRule="auto"/>
              <w:jc w:val="right"/>
              <w:rPr>
                <w:rFonts w:asciiTheme="minorHAnsi" w:hAnsiTheme="minorHAnsi" w:cstheme="minorBidi"/>
                <w:color w:val="000000" w:themeColor="text1"/>
                <w:sz w:val="18"/>
                <w:szCs w:val="18"/>
              </w:rPr>
            </w:pPr>
            <w:r w:rsidRPr="00332AB5">
              <w:rPr>
                <w:rFonts w:asciiTheme="minorHAnsi" w:hAnsiTheme="minorHAnsi" w:cstheme="minorBidi"/>
                <w:color w:val="000000" w:themeColor="text1"/>
                <w:sz w:val="18"/>
                <w:szCs w:val="18"/>
              </w:rPr>
              <w:t>1</w:t>
            </w:r>
            <w:r w:rsidR="00B77E4F" w:rsidRPr="00332AB5">
              <w:rPr>
                <w:rFonts w:asciiTheme="minorHAnsi" w:hAnsiTheme="minorHAnsi" w:cstheme="minorBidi"/>
                <w:color w:val="000000" w:themeColor="text1"/>
                <w:sz w:val="18"/>
                <w:szCs w:val="18"/>
              </w:rPr>
              <w:t>.</w:t>
            </w:r>
            <w:r w:rsidR="007F3E02" w:rsidRPr="00332AB5">
              <w:rPr>
                <w:rFonts w:asciiTheme="minorHAnsi" w:hAnsiTheme="minorHAnsi" w:cstheme="minorBidi"/>
                <w:color w:val="000000" w:themeColor="text1"/>
                <w:sz w:val="18"/>
                <w:szCs w:val="18"/>
              </w:rPr>
              <w:t>957</w:t>
            </w:r>
            <w:r w:rsidRPr="00332AB5">
              <w:rPr>
                <w:rFonts w:asciiTheme="minorHAnsi" w:hAnsiTheme="minorHAnsi" w:cstheme="minorBidi"/>
                <w:color w:val="000000" w:themeColor="text1"/>
                <w:sz w:val="18"/>
                <w:szCs w:val="18"/>
              </w:rPr>
              <w:t>,</w:t>
            </w:r>
            <w:r w:rsidR="00814C3B" w:rsidRPr="00332AB5">
              <w:rPr>
                <w:rFonts w:asciiTheme="minorHAnsi" w:hAnsiTheme="minorHAnsi" w:cstheme="minorBidi"/>
                <w:color w:val="000000" w:themeColor="text1"/>
                <w:sz w:val="18"/>
                <w:szCs w:val="18"/>
              </w:rPr>
              <w:t>36</w:t>
            </w:r>
          </w:p>
        </w:tc>
        <w:tc>
          <w:tcPr>
            <w:tcW w:w="1000" w:type="dxa"/>
            <w:vAlign w:val="center"/>
          </w:tcPr>
          <w:p w14:paraId="7C200213" w14:textId="39A64351" w:rsidR="00726086" w:rsidRPr="00332AB5" w:rsidRDefault="001E1BDE" w:rsidP="00225784">
            <w:pPr>
              <w:spacing w:line="259" w:lineRule="auto"/>
              <w:jc w:val="right"/>
              <w:rPr>
                <w:rFonts w:ascii="Calibri" w:eastAsia="Calibri" w:hAnsi="Calibri" w:cs="Calibri"/>
                <w:sz w:val="18"/>
                <w:szCs w:val="18"/>
              </w:rPr>
            </w:pPr>
            <w:r w:rsidRPr="00332AB5">
              <w:rPr>
                <w:rFonts w:asciiTheme="minorHAnsi" w:hAnsiTheme="minorHAnsi" w:cstheme="minorBidi"/>
                <w:color w:val="000000" w:themeColor="text1"/>
                <w:sz w:val="18"/>
                <w:szCs w:val="18"/>
              </w:rPr>
              <w:t>100,19</w:t>
            </w:r>
          </w:p>
        </w:tc>
        <w:tc>
          <w:tcPr>
            <w:tcW w:w="399" w:type="dxa"/>
            <w:vAlign w:val="center"/>
          </w:tcPr>
          <w:p w14:paraId="72FC8624" w14:textId="77777777" w:rsidR="00726086" w:rsidRPr="00332AB5" w:rsidRDefault="00726086" w:rsidP="00726086">
            <w:pPr>
              <w:rPr>
                <w:rFonts w:asciiTheme="minorHAnsi" w:hAnsiTheme="minorHAnsi" w:cstheme="minorHAnsi"/>
                <w:sz w:val="18"/>
              </w:rPr>
            </w:pPr>
          </w:p>
        </w:tc>
        <w:tc>
          <w:tcPr>
            <w:tcW w:w="1112" w:type="dxa"/>
            <w:vAlign w:val="center"/>
          </w:tcPr>
          <w:p w14:paraId="5CB2FB01" w14:textId="109E1DA5" w:rsidR="00726086" w:rsidRPr="00332AB5" w:rsidRDefault="00726086" w:rsidP="00726086">
            <w:pPr>
              <w:rPr>
                <w:rFonts w:asciiTheme="minorHAnsi" w:hAnsiTheme="minorHAnsi" w:cstheme="minorHAnsi"/>
                <w:sz w:val="18"/>
                <w:szCs w:val="18"/>
              </w:rPr>
            </w:pPr>
            <w:r w:rsidRPr="00332AB5">
              <w:rPr>
                <w:rFonts w:ascii="Calibri" w:hAnsi="Calibri" w:cs="Calibri"/>
                <w:color w:val="000000" w:themeColor="text1"/>
                <w:sz w:val="18"/>
                <w:szCs w:val="18"/>
              </w:rPr>
              <w:t>OPULJP</w:t>
            </w:r>
          </w:p>
        </w:tc>
        <w:tc>
          <w:tcPr>
            <w:tcW w:w="1112" w:type="dxa"/>
            <w:vAlign w:val="center"/>
          </w:tcPr>
          <w:p w14:paraId="59542CCE" w14:textId="21E65B8B" w:rsidR="00726086" w:rsidRPr="00332AB5" w:rsidRDefault="00BD07EE" w:rsidP="00726086">
            <w:pPr>
              <w:jc w:val="right"/>
              <w:rPr>
                <w:rFonts w:asciiTheme="minorHAnsi" w:hAnsiTheme="minorHAnsi" w:cstheme="minorHAnsi"/>
                <w:sz w:val="18"/>
                <w:szCs w:val="18"/>
              </w:rPr>
            </w:pPr>
            <w:r w:rsidRPr="00332AB5">
              <w:rPr>
                <w:rFonts w:ascii="Calibri" w:hAnsi="Calibri" w:cs="Calibri"/>
                <w:color w:val="000000" w:themeColor="text1"/>
                <w:sz w:val="18"/>
                <w:szCs w:val="18"/>
              </w:rPr>
              <w:t>1.</w:t>
            </w:r>
            <w:r w:rsidR="001E1BDE" w:rsidRPr="00332AB5">
              <w:rPr>
                <w:rFonts w:ascii="Calibri" w:hAnsi="Calibri" w:cs="Calibri"/>
                <w:color w:val="000000" w:themeColor="text1"/>
                <w:sz w:val="18"/>
                <w:szCs w:val="18"/>
              </w:rPr>
              <w:t>471,75</w:t>
            </w:r>
          </w:p>
        </w:tc>
        <w:tc>
          <w:tcPr>
            <w:tcW w:w="1112" w:type="dxa"/>
            <w:vAlign w:val="center"/>
          </w:tcPr>
          <w:p w14:paraId="0D47B3B4" w14:textId="748A72E4" w:rsidR="00726086" w:rsidRPr="00332AB5" w:rsidRDefault="58D077E8" w:rsidP="00225784">
            <w:pPr>
              <w:spacing w:line="259" w:lineRule="auto"/>
              <w:jc w:val="right"/>
              <w:rPr>
                <w:rFonts w:ascii="Calibri" w:eastAsia="Calibri" w:hAnsi="Calibri" w:cs="Calibri"/>
                <w:sz w:val="18"/>
                <w:szCs w:val="18"/>
              </w:rPr>
            </w:pPr>
            <w:r w:rsidRPr="00332AB5">
              <w:rPr>
                <w:rFonts w:ascii="Calibri" w:hAnsi="Calibri" w:cs="Calibri"/>
                <w:color w:val="000000" w:themeColor="text1"/>
                <w:sz w:val="18"/>
                <w:szCs w:val="18"/>
              </w:rPr>
              <w:t>1</w:t>
            </w:r>
            <w:r w:rsidR="00827D02" w:rsidRPr="00332AB5">
              <w:rPr>
                <w:rFonts w:ascii="Calibri" w:hAnsi="Calibri" w:cs="Calibri"/>
                <w:color w:val="000000" w:themeColor="text1"/>
                <w:sz w:val="18"/>
                <w:szCs w:val="18"/>
              </w:rPr>
              <w:t>.</w:t>
            </w:r>
            <w:r w:rsidR="006C2992" w:rsidRPr="00332AB5">
              <w:rPr>
                <w:rFonts w:ascii="Calibri" w:hAnsi="Calibri" w:cs="Calibri"/>
                <w:color w:val="000000" w:themeColor="text1"/>
                <w:sz w:val="18"/>
                <w:szCs w:val="18"/>
              </w:rPr>
              <w:t>325</w:t>
            </w:r>
            <w:r w:rsidRPr="00332AB5">
              <w:rPr>
                <w:rFonts w:ascii="Calibri" w:hAnsi="Calibri" w:cs="Calibri"/>
                <w:color w:val="000000" w:themeColor="text1"/>
                <w:sz w:val="18"/>
                <w:szCs w:val="18"/>
              </w:rPr>
              <w:t>,</w:t>
            </w:r>
            <w:r w:rsidR="006C2992" w:rsidRPr="00332AB5">
              <w:rPr>
                <w:rFonts w:ascii="Calibri" w:hAnsi="Calibri" w:cs="Calibri"/>
                <w:color w:val="000000" w:themeColor="text1"/>
                <w:sz w:val="18"/>
                <w:szCs w:val="18"/>
              </w:rPr>
              <w:t>23</w:t>
            </w:r>
          </w:p>
        </w:tc>
        <w:tc>
          <w:tcPr>
            <w:tcW w:w="1000" w:type="dxa"/>
            <w:vAlign w:val="center"/>
          </w:tcPr>
          <w:p w14:paraId="12C5C434" w14:textId="5DA2E09A" w:rsidR="00726086" w:rsidRPr="00332AB5" w:rsidRDefault="00F1681F" w:rsidP="00225784">
            <w:pPr>
              <w:spacing w:line="259" w:lineRule="auto"/>
              <w:jc w:val="right"/>
              <w:rPr>
                <w:rFonts w:ascii="Calibri" w:eastAsia="Calibri" w:hAnsi="Calibri" w:cs="Calibri"/>
                <w:sz w:val="18"/>
                <w:szCs w:val="18"/>
              </w:rPr>
            </w:pPr>
            <w:r w:rsidRPr="00332AB5">
              <w:rPr>
                <w:rFonts w:ascii="Calibri" w:hAnsi="Calibri" w:cs="Calibri"/>
                <w:color w:val="000000" w:themeColor="text1"/>
                <w:sz w:val="18"/>
                <w:szCs w:val="18"/>
              </w:rPr>
              <w:t>1</w:t>
            </w:r>
            <w:r w:rsidR="001E1BDE" w:rsidRPr="00332AB5">
              <w:rPr>
                <w:rFonts w:ascii="Calibri" w:hAnsi="Calibri" w:cs="Calibri"/>
                <w:color w:val="000000" w:themeColor="text1"/>
                <w:sz w:val="18"/>
                <w:szCs w:val="18"/>
              </w:rPr>
              <w:t>11,06</w:t>
            </w:r>
          </w:p>
        </w:tc>
      </w:tr>
      <w:tr w:rsidR="00334E4E" w:rsidRPr="00332AB5" w14:paraId="36528573" w14:textId="77777777" w:rsidTr="00F27FBB">
        <w:trPr>
          <w:trHeight w:val="397"/>
        </w:trPr>
        <w:tc>
          <w:tcPr>
            <w:tcW w:w="1113" w:type="dxa"/>
            <w:vAlign w:val="center"/>
          </w:tcPr>
          <w:p w14:paraId="7971D857" w14:textId="77777777" w:rsidR="00334E4E" w:rsidRPr="00332AB5" w:rsidRDefault="00334E4E" w:rsidP="00334E4E">
            <w:pPr>
              <w:rPr>
                <w:rFonts w:asciiTheme="minorHAnsi" w:hAnsiTheme="minorHAnsi" w:cstheme="minorHAnsi"/>
                <w:sz w:val="18"/>
              </w:rPr>
            </w:pPr>
            <w:r w:rsidRPr="00332AB5">
              <w:rPr>
                <w:rFonts w:ascii="Calibri" w:hAnsi="Calibri" w:cs="Calibri"/>
                <w:sz w:val="18"/>
              </w:rPr>
              <w:t>PRR</w:t>
            </w:r>
          </w:p>
        </w:tc>
        <w:tc>
          <w:tcPr>
            <w:tcW w:w="1113" w:type="dxa"/>
            <w:vAlign w:val="center"/>
          </w:tcPr>
          <w:p w14:paraId="1F857B24" w14:textId="5CA58685" w:rsidR="00334E4E" w:rsidRPr="00332AB5" w:rsidRDefault="00334E4E" w:rsidP="00334E4E">
            <w:pPr>
              <w:jc w:val="right"/>
              <w:rPr>
                <w:rFonts w:asciiTheme="minorHAnsi" w:hAnsiTheme="minorHAnsi" w:cstheme="minorHAnsi"/>
                <w:bCs/>
                <w:color w:val="000000"/>
                <w:sz w:val="18"/>
                <w:szCs w:val="18"/>
              </w:rPr>
            </w:pPr>
            <w:r w:rsidRPr="00332AB5">
              <w:rPr>
                <w:rFonts w:asciiTheme="minorHAnsi" w:hAnsiTheme="minorHAnsi" w:cstheme="minorHAnsi"/>
                <w:bCs/>
                <w:color w:val="000000"/>
                <w:sz w:val="18"/>
                <w:szCs w:val="18"/>
              </w:rPr>
              <w:t>2.604,61</w:t>
            </w:r>
          </w:p>
        </w:tc>
        <w:tc>
          <w:tcPr>
            <w:tcW w:w="1112" w:type="dxa"/>
            <w:vAlign w:val="center"/>
          </w:tcPr>
          <w:p w14:paraId="5ED1DF88" w14:textId="0681483A" w:rsidR="00334E4E" w:rsidRPr="00332AB5" w:rsidRDefault="00334E4E" w:rsidP="00334E4E">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2.373,66</w:t>
            </w:r>
          </w:p>
        </w:tc>
        <w:tc>
          <w:tcPr>
            <w:tcW w:w="1000" w:type="dxa"/>
            <w:vAlign w:val="center"/>
          </w:tcPr>
          <w:p w14:paraId="34793AE0" w14:textId="54AD6487" w:rsidR="00334E4E" w:rsidRPr="00332AB5" w:rsidRDefault="00334E4E" w:rsidP="00334E4E">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109,73</w:t>
            </w:r>
          </w:p>
        </w:tc>
        <w:tc>
          <w:tcPr>
            <w:tcW w:w="399" w:type="dxa"/>
            <w:vAlign w:val="center"/>
          </w:tcPr>
          <w:p w14:paraId="29D46E61" w14:textId="77777777" w:rsidR="00334E4E" w:rsidRPr="00332AB5" w:rsidRDefault="00334E4E" w:rsidP="00334E4E">
            <w:pPr>
              <w:rPr>
                <w:rFonts w:asciiTheme="minorHAnsi" w:hAnsiTheme="minorHAnsi" w:cstheme="minorHAnsi"/>
                <w:sz w:val="18"/>
              </w:rPr>
            </w:pPr>
          </w:p>
        </w:tc>
        <w:tc>
          <w:tcPr>
            <w:tcW w:w="1112" w:type="dxa"/>
            <w:vAlign w:val="center"/>
          </w:tcPr>
          <w:p w14:paraId="559B5242" w14:textId="77777777" w:rsidR="00334E4E" w:rsidRPr="00332AB5" w:rsidRDefault="00334E4E" w:rsidP="00334E4E">
            <w:pPr>
              <w:rPr>
                <w:rFonts w:asciiTheme="minorHAnsi" w:hAnsiTheme="minorHAnsi" w:cstheme="minorHAnsi"/>
                <w:sz w:val="18"/>
                <w:szCs w:val="18"/>
              </w:rPr>
            </w:pPr>
            <w:r w:rsidRPr="00332AB5">
              <w:rPr>
                <w:rFonts w:ascii="Calibri" w:hAnsi="Calibri" w:cs="Calibri"/>
                <w:color w:val="000000"/>
                <w:sz w:val="18"/>
                <w:szCs w:val="18"/>
              </w:rPr>
              <w:t>PRR</w:t>
            </w:r>
          </w:p>
        </w:tc>
        <w:tc>
          <w:tcPr>
            <w:tcW w:w="1112" w:type="dxa"/>
            <w:vAlign w:val="center"/>
          </w:tcPr>
          <w:p w14:paraId="42AF91B5" w14:textId="3B6A6EFC" w:rsidR="00334E4E" w:rsidRPr="00332AB5" w:rsidRDefault="00334E4E" w:rsidP="00334E4E">
            <w:pPr>
              <w:jc w:val="right"/>
              <w:rPr>
                <w:rFonts w:ascii="Calibri" w:hAnsi="Calibri" w:cs="Calibri"/>
                <w:bCs/>
                <w:color w:val="000000" w:themeColor="text1"/>
                <w:sz w:val="18"/>
                <w:szCs w:val="18"/>
              </w:rPr>
            </w:pPr>
            <w:r w:rsidRPr="00332AB5">
              <w:rPr>
                <w:rFonts w:asciiTheme="minorHAnsi" w:hAnsiTheme="minorHAnsi" w:cstheme="minorHAnsi"/>
                <w:color w:val="000000"/>
                <w:sz w:val="18"/>
                <w:szCs w:val="18"/>
              </w:rPr>
              <w:t>2.211,51</w:t>
            </w:r>
          </w:p>
        </w:tc>
        <w:tc>
          <w:tcPr>
            <w:tcW w:w="1112" w:type="dxa"/>
            <w:vAlign w:val="center"/>
          </w:tcPr>
          <w:p w14:paraId="64759D86" w14:textId="5DF75F3F" w:rsidR="00334E4E" w:rsidRPr="00332AB5" w:rsidRDefault="00334E4E" w:rsidP="00334E4E">
            <w:pPr>
              <w:jc w:val="right"/>
              <w:rPr>
                <w:rFonts w:ascii="Calibri" w:hAnsi="Calibri" w:cs="Calibri"/>
                <w:color w:val="000000" w:themeColor="text1"/>
                <w:sz w:val="18"/>
                <w:szCs w:val="18"/>
              </w:rPr>
            </w:pPr>
            <w:r w:rsidRPr="00332AB5">
              <w:rPr>
                <w:rFonts w:ascii="Calibri" w:hAnsi="Calibri" w:cs="Calibri"/>
                <w:color w:val="000000" w:themeColor="text1"/>
                <w:sz w:val="18"/>
                <w:szCs w:val="18"/>
              </w:rPr>
              <w:t>1.973,06</w:t>
            </w:r>
          </w:p>
        </w:tc>
        <w:tc>
          <w:tcPr>
            <w:tcW w:w="1000" w:type="dxa"/>
            <w:vAlign w:val="center"/>
          </w:tcPr>
          <w:p w14:paraId="0F29168B" w14:textId="74F434DE" w:rsidR="00334E4E" w:rsidRPr="00332AB5" w:rsidRDefault="00334E4E" w:rsidP="00334E4E">
            <w:pPr>
              <w:jc w:val="right"/>
              <w:rPr>
                <w:rFonts w:ascii="Calibri" w:hAnsi="Calibri" w:cs="Calibri"/>
                <w:color w:val="000000" w:themeColor="text1"/>
                <w:sz w:val="18"/>
                <w:szCs w:val="18"/>
              </w:rPr>
            </w:pPr>
            <w:r w:rsidRPr="00332AB5">
              <w:rPr>
                <w:rFonts w:ascii="Calibri" w:hAnsi="Calibri" w:cs="Calibri"/>
                <w:color w:val="000000" w:themeColor="text1"/>
                <w:sz w:val="18"/>
                <w:szCs w:val="18"/>
              </w:rPr>
              <w:t>112,08</w:t>
            </w:r>
          </w:p>
        </w:tc>
      </w:tr>
      <w:tr w:rsidR="00A2187D" w:rsidRPr="00332AB5" w14:paraId="721829EB" w14:textId="77777777" w:rsidTr="00F27FBB">
        <w:trPr>
          <w:trHeight w:val="397"/>
        </w:trPr>
        <w:tc>
          <w:tcPr>
            <w:tcW w:w="1113" w:type="dxa"/>
            <w:vAlign w:val="center"/>
          </w:tcPr>
          <w:p w14:paraId="16D65409" w14:textId="77777777" w:rsidR="00A2187D" w:rsidRPr="00332AB5" w:rsidRDefault="00A2187D" w:rsidP="00A2187D">
            <w:pPr>
              <w:rPr>
                <w:rFonts w:asciiTheme="minorHAnsi" w:hAnsiTheme="minorHAnsi" w:cstheme="minorHAnsi"/>
                <w:sz w:val="18"/>
              </w:rPr>
            </w:pPr>
            <w:r w:rsidRPr="00332AB5">
              <w:rPr>
                <w:rFonts w:ascii="Calibri" w:hAnsi="Calibri" w:cs="Calibri"/>
                <w:sz w:val="18"/>
              </w:rPr>
              <w:t>OPPiR</w:t>
            </w:r>
          </w:p>
        </w:tc>
        <w:tc>
          <w:tcPr>
            <w:tcW w:w="1113" w:type="dxa"/>
            <w:vAlign w:val="center"/>
          </w:tcPr>
          <w:p w14:paraId="3762AD25" w14:textId="4011A839" w:rsidR="00A2187D" w:rsidRPr="00332AB5" w:rsidRDefault="00426E41" w:rsidP="00A2187D">
            <w:pPr>
              <w:jc w:val="right"/>
              <w:rPr>
                <w:rFonts w:asciiTheme="minorHAnsi" w:hAnsiTheme="minorHAnsi" w:cstheme="minorHAnsi"/>
                <w:sz w:val="18"/>
                <w:szCs w:val="18"/>
              </w:rPr>
            </w:pPr>
            <w:r w:rsidRPr="00332AB5">
              <w:rPr>
                <w:rFonts w:asciiTheme="minorHAnsi" w:hAnsiTheme="minorHAnsi" w:cstheme="minorHAnsi"/>
                <w:color w:val="000000"/>
                <w:sz w:val="18"/>
                <w:szCs w:val="18"/>
              </w:rPr>
              <w:t>279,45</w:t>
            </w:r>
          </w:p>
        </w:tc>
        <w:tc>
          <w:tcPr>
            <w:tcW w:w="1112" w:type="dxa"/>
            <w:vAlign w:val="center"/>
          </w:tcPr>
          <w:p w14:paraId="5F99300B" w14:textId="4A9A8460" w:rsidR="00A2187D" w:rsidRPr="00332AB5" w:rsidRDefault="008D3ABB" w:rsidP="00A2187D">
            <w:pPr>
              <w:jc w:val="right"/>
              <w:rPr>
                <w:rFonts w:asciiTheme="minorHAnsi" w:hAnsiTheme="minorHAnsi" w:cstheme="minorHAnsi"/>
                <w:sz w:val="18"/>
                <w:szCs w:val="18"/>
              </w:rPr>
            </w:pPr>
            <w:r w:rsidRPr="00332AB5">
              <w:rPr>
                <w:rFonts w:asciiTheme="minorHAnsi" w:hAnsiTheme="minorHAnsi" w:cstheme="minorHAnsi"/>
                <w:color w:val="000000"/>
                <w:sz w:val="18"/>
                <w:szCs w:val="18"/>
              </w:rPr>
              <w:t>265,28</w:t>
            </w:r>
          </w:p>
        </w:tc>
        <w:tc>
          <w:tcPr>
            <w:tcW w:w="1000" w:type="dxa"/>
            <w:vAlign w:val="center"/>
          </w:tcPr>
          <w:p w14:paraId="12D4FA67" w14:textId="2DE157D3" w:rsidR="00A2187D" w:rsidRPr="00332AB5" w:rsidRDefault="00426E41" w:rsidP="00A2187D">
            <w:pPr>
              <w:jc w:val="right"/>
              <w:rPr>
                <w:rFonts w:asciiTheme="minorHAnsi" w:hAnsiTheme="minorHAnsi" w:cstheme="minorHAnsi"/>
                <w:sz w:val="18"/>
                <w:szCs w:val="18"/>
              </w:rPr>
            </w:pPr>
            <w:r w:rsidRPr="00332AB5">
              <w:rPr>
                <w:rFonts w:asciiTheme="minorHAnsi" w:hAnsiTheme="minorHAnsi" w:cstheme="minorHAnsi"/>
                <w:color w:val="000000"/>
                <w:sz w:val="18"/>
                <w:szCs w:val="18"/>
              </w:rPr>
              <w:t>105,34</w:t>
            </w:r>
          </w:p>
        </w:tc>
        <w:tc>
          <w:tcPr>
            <w:tcW w:w="399" w:type="dxa"/>
            <w:vAlign w:val="center"/>
          </w:tcPr>
          <w:p w14:paraId="0F97042F" w14:textId="77777777" w:rsidR="00A2187D" w:rsidRPr="00332AB5" w:rsidRDefault="00A2187D" w:rsidP="00A2187D">
            <w:pPr>
              <w:rPr>
                <w:rFonts w:asciiTheme="minorHAnsi" w:hAnsiTheme="minorHAnsi" w:cstheme="minorHAnsi"/>
                <w:sz w:val="18"/>
              </w:rPr>
            </w:pPr>
          </w:p>
        </w:tc>
        <w:tc>
          <w:tcPr>
            <w:tcW w:w="1112" w:type="dxa"/>
            <w:vAlign w:val="center"/>
          </w:tcPr>
          <w:p w14:paraId="2F882C7B" w14:textId="77777777" w:rsidR="00A2187D" w:rsidRPr="00332AB5" w:rsidRDefault="00A2187D" w:rsidP="00A2187D">
            <w:pPr>
              <w:rPr>
                <w:rFonts w:asciiTheme="minorHAnsi" w:hAnsiTheme="minorHAnsi" w:cstheme="minorHAnsi"/>
                <w:sz w:val="18"/>
                <w:szCs w:val="18"/>
              </w:rPr>
            </w:pPr>
            <w:r w:rsidRPr="00332AB5">
              <w:rPr>
                <w:rFonts w:ascii="Calibri" w:hAnsi="Calibri" w:cs="Calibri"/>
                <w:color w:val="000000"/>
                <w:sz w:val="18"/>
                <w:szCs w:val="18"/>
              </w:rPr>
              <w:t>OPPiR</w:t>
            </w:r>
          </w:p>
        </w:tc>
        <w:tc>
          <w:tcPr>
            <w:tcW w:w="1112" w:type="dxa"/>
            <w:vAlign w:val="center"/>
          </w:tcPr>
          <w:p w14:paraId="161F475F" w14:textId="34D3400D" w:rsidR="00A2187D" w:rsidRPr="00332AB5" w:rsidRDefault="00426E41" w:rsidP="00A2187D">
            <w:pPr>
              <w:jc w:val="right"/>
              <w:rPr>
                <w:rFonts w:asciiTheme="minorHAnsi" w:hAnsiTheme="minorHAnsi" w:cstheme="minorHAnsi"/>
                <w:sz w:val="18"/>
                <w:szCs w:val="18"/>
              </w:rPr>
            </w:pPr>
            <w:r w:rsidRPr="00332AB5">
              <w:rPr>
                <w:rFonts w:ascii="Calibri" w:hAnsi="Calibri" w:cs="Calibri"/>
                <w:color w:val="000000"/>
                <w:sz w:val="18"/>
                <w:szCs w:val="18"/>
              </w:rPr>
              <w:t>166,36</w:t>
            </w:r>
          </w:p>
        </w:tc>
        <w:tc>
          <w:tcPr>
            <w:tcW w:w="1112" w:type="dxa"/>
            <w:vAlign w:val="center"/>
          </w:tcPr>
          <w:p w14:paraId="4901D570" w14:textId="6CD49364" w:rsidR="00A2187D" w:rsidRPr="00332AB5" w:rsidRDefault="008D3ABB" w:rsidP="00A2187D">
            <w:pPr>
              <w:jc w:val="right"/>
              <w:rPr>
                <w:rFonts w:asciiTheme="minorHAnsi" w:hAnsiTheme="minorHAnsi" w:cstheme="minorHAnsi"/>
                <w:sz w:val="18"/>
                <w:szCs w:val="18"/>
              </w:rPr>
            </w:pPr>
            <w:r w:rsidRPr="00332AB5">
              <w:rPr>
                <w:rFonts w:ascii="Calibri" w:hAnsi="Calibri" w:cs="Calibri"/>
                <w:color w:val="000000"/>
                <w:sz w:val="18"/>
                <w:szCs w:val="18"/>
              </w:rPr>
              <w:t>150,18</w:t>
            </w:r>
          </w:p>
        </w:tc>
        <w:tc>
          <w:tcPr>
            <w:tcW w:w="1000" w:type="dxa"/>
            <w:vAlign w:val="center"/>
          </w:tcPr>
          <w:p w14:paraId="6665FFEE" w14:textId="2F53300B" w:rsidR="00A2187D" w:rsidRPr="00332AB5" w:rsidRDefault="00426E41" w:rsidP="00A2187D">
            <w:pPr>
              <w:jc w:val="right"/>
              <w:rPr>
                <w:rFonts w:asciiTheme="minorHAnsi" w:hAnsiTheme="minorHAnsi" w:cstheme="minorHAnsi"/>
                <w:sz w:val="18"/>
                <w:szCs w:val="18"/>
              </w:rPr>
            </w:pPr>
            <w:r w:rsidRPr="00332AB5">
              <w:rPr>
                <w:rFonts w:ascii="Calibri" w:hAnsi="Calibri" w:cs="Calibri"/>
                <w:color w:val="000000"/>
                <w:sz w:val="18"/>
                <w:szCs w:val="18"/>
              </w:rPr>
              <w:t>110,77</w:t>
            </w:r>
          </w:p>
        </w:tc>
      </w:tr>
      <w:tr w:rsidR="00B655DE" w:rsidRPr="00332AB5" w14:paraId="6AF3916E" w14:textId="77777777" w:rsidTr="00B655DE">
        <w:trPr>
          <w:trHeight w:val="376"/>
        </w:trPr>
        <w:tc>
          <w:tcPr>
            <w:tcW w:w="1113" w:type="dxa"/>
            <w:vAlign w:val="center"/>
          </w:tcPr>
          <w:p w14:paraId="240D221F" w14:textId="77777777" w:rsidR="00B655DE" w:rsidRPr="00332AB5" w:rsidRDefault="00B655DE" w:rsidP="00B655DE">
            <w:pPr>
              <w:rPr>
                <w:rFonts w:asciiTheme="minorHAnsi" w:hAnsiTheme="minorHAnsi" w:cstheme="minorHAnsi"/>
                <w:sz w:val="18"/>
                <w:szCs w:val="18"/>
              </w:rPr>
            </w:pPr>
            <w:r w:rsidRPr="00332AB5">
              <w:rPr>
                <w:rFonts w:asciiTheme="minorHAnsi" w:hAnsiTheme="minorHAnsi" w:cstheme="minorHAnsi"/>
                <w:sz w:val="18"/>
                <w:szCs w:val="18"/>
              </w:rPr>
              <w:t>UKUPNO</w:t>
            </w:r>
          </w:p>
        </w:tc>
        <w:tc>
          <w:tcPr>
            <w:tcW w:w="1113" w:type="dxa"/>
            <w:tcBorders>
              <w:top w:val="single" w:sz="4" w:space="0" w:color="808080" w:themeColor="background1" w:themeShade="80"/>
              <w:bottom w:val="single" w:sz="4" w:space="0" w:color="808080" w:themeColor="background1" w:themeShade="80"/>
            </w:tcBorders>
            <w:vAlign w:val="center"/>
          </w:tcPr>
          <w:p w14:paraId="26E2BB95" w14:textId="54E26D27" w:rsidR="00B655DE" w:rsidRPr="00332AB5" w:rsidRDefault="00426E41" w:rsidP="00B655DE">
            <w:pPr>
              <w:jc w:val="right"/>
              <w:rPr>
                <w:rFonts w:ascii="Calibri" w:hAnsi="Calibri" w:cs="Calibri"/>
                <w:sz w:val="18"/>
                <w:szCs w:val="18"/>
              </w:rPr>
            </w:pPr>
            <w:r w:rsidRPr="00332AB5">
              <w:rPr>
                <w:rFonts w:asciiTheme="minorHAnsi" w:hAnsiTheme="minorHAnsi" w:cstheme="minorHAnsi"/>
                <w:sz w:val="18"/>
                <w:szCs w:val="18"/>
              </w:rPr>
              <w:t>14.056,07</w:t>
            </w:r>
          </w:p>
        </w:tc>
        <w:tc>
          <w:tcPr>
            <w:tcW w:w="1112" w:type="dxa"/>
            <w:tcBorders>
              <w:top w:val="single" w:sz="4" w:space="0" w:color="808080" w:themeColor="background1" w:themeShade="80"/>
              <w:bottom w:val="single" w:sz="4" w:space="0" w:color="808080" w:themeColor="background1" w:themeShade="80"/>
            </w:tcBorders>
            <w:vAlign w:val="center"/>
          </w:tcPr>
          <w:p w14:paraId="6342FF12" w14:textId="53F3BC2A" w:rsidR="00B655DE" w:rsidRPr="00332AB5" w:rsidRDefault="00B655DE" w:rsidP="00B655DE">
            <w:pPr>
              <w:jc w:val="right"/>
              <w:rPr>
                <w:rFonts w:ascii="Calibri" w:hAnsi="Calibri" w:cs="Calibri"/>
                <w:sz w:val="18"/>
                <w:szCs w:val="18"/>
              </w:rPr>
            </w:pPr>
            <w:r w:rsidRPr="00332AB5">
              <w:rPr>
                <w:rFonts w:ascii="Calibri" w:hAnsi="Calibri" w:cs="Calibri"/>
                <w:sz w:val="18"/>
                <w:szCs w:val="18"/>
              </w:rPr>
              <w:t>13.</w:t>
            </w:r>
            <w:r w:rsidR="00941E26" w:rsidRPr="00332AB5">
              <w:rPr>
                <w:rFonts w:ascii="Calibri" w:hAnsi="Calibri" w:cs="Calibri"/>
                <w:sz w:val="18"/>
                <w:szCs w:val="18"/>
              </w:rPr>
              <w:t>974,37</w:t>
            </w:r>
          </w:p>
        </w:tc>
        <w:tc>
          <w:tcPr>
            <w:tcW w:w="1000" w:type="dxa"/>
            <w:tcBorders>
              <w:top w:val="single" w:sz="4" w:space="0" w:color="808080" w:themeColor="background1" w:themeShade="80"/>
              <w:bottom w:val="single" w:sz="4" w:space="0" w:color="808080" w:themeColor="background1" w:themeShade="80"/>
            </w:tcBorders>
            <w:vAlign w:val="center"/>
          </w:tcPr>
          <w:p w14:paraId="1C403B5E" w14:textId="1B7733A0" w:rsidR="00B655DE" w:rsidRPr="00332AB5" w:rsidRDefault="00941E26" w:rsidP="00B655DE">
            <w:pPr>
              <w:jc w:val="right"/>
              <w:rPr>
                <w:rFonts w:ascii="Calibri" w:hAnsi="Calibri" w:cs="Calibri"/>
                <w:sz w:val="18"/>
                <w:szCs w:val="18"/>
              </w:rPr>
            </w:pPr>
            <w:r w:rsidRPr="00332AB5">
              <w:rPr>
                <w:rFonts w:ascii="Calibri" w:hAnsi="Calibri" w:cs="Calibri"/>
                <w:sz w:val="18"/>
                <w:szCs w:val="18"/>
              </w:rPr>
              <w:t>101,</w:t>
            </w:r>
            <w:r w:rsidR="00426E41" w:rsidRPr="00332AB5">
              <w:rPr>
                <w:rFonts w:ascii="Calibri" w:hAnsi="Calibri" w:cs="Calibri"/>
                <w:sz w:val="18"/>
                <w:szCs w:val="18"/>
              </w:rPr>
              <w:t>90</w:t>
            </w:r>
          </w:p>
        </w:tc>
        <w:tc>
          <w:tcPr>
            <w:tcW w:w="399" w:type="dxa"/>
            <w:vAlign w:val="center"/>
          </w:tcPr>
          <w:p w14:paraId="67325937" w14:textId="77777777" w:rsidR="00B655DE" w:rsidRPr="00332AB5" w:rsidRDefault="00B655DE" w:rsidP="00B655DE">
            <w:pPr>
              <w:rPr>
                <w:rFonts w:asciiTheme="minorHAnsi" w:hAnsiTheme="minorHAnsi" w:cstheme="minorHAnsi"/>
                <w:sz w:val="18"/>
                <w:szCs w:val="18"/>
              </w:rPr>
            </w:pPr>
          </w:p>
        </w:tc>
        <w:tc>
          <w:tcPr>
            <w:tcW w:w="1112" w:type="dxa"/>
            <w:vAlign w:val="center"/>
          </w:tcPr>
          <w:p w14:paraId="11958B8B" w14:textId="77777777" w:rsidR="00B655DE" w:rsidRPr="00332AB5" w:rsidRDefault="00B655DE" w:rsidP="00B655DE">
            <w:pPr>
              <w:rPr>
                <w:rFonts w:asciiTheme="minorHAnsi" w:hAnsiTheme="minorHAnsi" w:cstheme="minorHAnsi"/>
                <w:sz w:val="18"/>
                <w:szCs w:val="18"/>
              </w:rPr>
            </w:pPr>
            <w:r w:rsidRPr="00332AB5">
              <w:rPr>
                <w:rFonts w:asciiTheme="minorHAnsi" w:hAnsiTheme="minorHAnsi" w:cstheme="minorHAnsi"/>
                <w:sz w:val="18"/>
                <w:szCs w:val="18"/>
              </w:rPr>
              <w:t>UKUPNO</w:t>
            </w:r>
          </w:p>
        </w:tc>
        <w:tc>
          <w:tcPr>
            <w:tcW w:w="1112" w:type="dxa"/>
            <w:tcBorders>
              <w:top w:val="single" w:sz="4" w:space="0" w:color="808080" w:themeColor="background1" w:themeShade="80"/>
              <w:bottom w:val="single" w:sz="4" w:space="0" w:color="808080" w:themeColor="background1" w:themeShade="80"/>
            </w:tcBorders>
            <w:vAlign w:val="center"/>
          </w:tcPr>
          <w:p w14:paraId="311710F0" w14:textId="2804B81E" w:rsidR="00B655DE" w:rsidRPr="00332AB5" w:rsidRDefault="00426E41" w:rsidP="00B655DE">
            <w:pPr>
              <w:jc w:val="right"/>
              <w:rPr>
                <w:rFonts w:asciiTheme="minorHAnsi" w:hAnsiTheme="minorHAnsi" w:cstheme="minorHAnsi"/>
                <w:sz w:val="18"/>
                <w:szCs w:val="18"/>
              </w:rPr>
            </w:pPr>
            <w:r w:rsidRPr="00332AB5">
              <w:rPr>
                <w:rFonts w:asciiTheme="minorHAnsi" w:hAnsiTheme="minorHAnsi" w:cstheme="minorHAnsi"/>
                <w:sz w:val="18"/>
                <w:szCs w:val="18"/>
              </w:rPr>
              <w:t>9.659,28</w:t>
            </w:r>
          </w:p>
        </w:tc>
        <w:tc>
          <w:tcPr>
            <w:tcW w:w="1112" w:type="dxa"/>
            <w:tcBorders>
              <w:top w:val="single" w:sz="4" w:space="0" w:color="808080" w:themeColor="background1" w:themeShade="80"/>
              <w:bottom w:val="single" w:sz="4" w:space="0" w:color="808080" w:themeColor="background1" w:themeShade="80"/>
            </w:tcBorders>
            <w:vAlign w:val="center"/>
          </w:tcPr>
          <w:p w14:paraId="5CF19EED" w14:textId="508FD85C" w:rsidR="00B655DE" w:rsidRPr="00332AB5" w:rsidRDefault="00941E26" w:rsidP="00B655DE">
            <w:pPr>
              <w:jc w:val="right"/>
              <w:rPr>
                <w:rFonts w:asciiTheme="minorHAnsi" w:hAnsiTheme="minorHAnsi" w:cstheme="minorHAnsi"/>
                <w:sz w:val="18"/>
                <w:szCs w:val="18"/>
              </w:rPr>
            </w:pPr>
            <w:r w:rsidRPr="00332AB5">
              <w:rPr>
                <w:rFonts w:asciiTheme="minorHAnsi" w:hAnsiTheme="minorHAnsi" w:cstheme="minorHAnsi"/>
                <w:sz w:val="18"/>
                <w:szCs w:val="18"/>
              </w:rPr>
              <w:t>8.774,73</w:t>
            </w:r>
          </w:p>
        </w:tc>
        <w:tc>
          <w:tcPr>
            <w:tcW w:w="1000" w:type="dxa"/>
            <w:tcBorders>
              <w:top w:val="single" w:sz="4" w:space="0" w:color="808080" w:themeColor="background1" w:themeShade="80"/>
              <w:bottom w:val="single" w:sz="4" w:space="0" w:color="808080" w:themeColor="background1" w:themeShade="80"/>
            </w:tcBorders>
            <w:vAlign w:val="center"/>
          </w:tcPr>
          <w:p w14:paraId="3C6ADED6" w14:textId="4A11FC94" w:rsidR="00B655DE" w:rsidRPr="00332AB5" w:rsidRDefault="00941E26" w:rsidP="00B655DE">
            <w:pPr>
              <w:jc w:val="right"/>
              <w:rPr>
                <w:rFonts w:asciiTheme="minorHAnsi" w:hAnsiTheme="minorHAnsi" w:cstheme="minorHAnsi"/>
                <w:sz w:val="18"/>
                <w:szCs w:val="18"/>
              </w:rPr>
            </w:pPr>
            <w:r w:rsidRPr="00332AB5">
              <w:rPr>
                <w:rFonts w:asciiTheme="minorHAnsi" w:hAnsiTheme="minorHAnsi" w:cstheme="minorHAnsi"/>
                <w:sz w:val="18"/>
                <w:szCs w:val="18"/>
              </w:rPr>
              <w:t>11</w:t>
            </w:r>
            <w:r w:rsidR="00426E41" w:rsidRPr="00332AB5">
              <w:rPr>
                <w:rFonts w:asciiTheme="minorHAnsi" w:hAnsiTheme="minorHAnsi" w:cstheme="minorHAnsi"/>
                <w:sz w:val="18"/>
                <w:szCs w:val="18"/>
              </w:rPr>
              <w:t>0,08</w:t>
            </w:r>
          </w:p>
        </w:tc>
      </w:tr>
    </w:tbl>
    <w:p w14:paraId="1D1F1310" w14:textId="71C21FB9" w:rsidR="007C376C" w:rsidRPr="00332AB5" w:rsidRDefault="00BB3B51" w:rsidP="003E6B0A">
      <w:pPr>
        <w:spacing w:before="240" w:after="120"/>
        <w:jc w:val="both"/>
        <w:rPr>
          <w:sz w:val="24"/>
          <w:szCs w:val="24"/>
        </w:rPr>
      </w:pPr>
      <w:r w:rsidRPr="00332AB5">
        <w:rPr>
          <w:sz w:val="24"/>
          <w:szCs w:val="24"/>
        </w:rPr>
        <w:t>U</w:t>
      </w:r>
      <w:r w:rsidR="003D58DA" w:rsidRPr="00332AB5">
        <w:rPr>
          <w:sz w:val="24"/>
          <w:szCs w:val="24"/>
        </w:rPr>
        <w:t xml:space="preserve"> odnosu na prethodno Izvješće, </w:t>
      </w:r>
      <w:r w:rsidR="00E710F6" w:rsidRPr="00332AB5">
        <w:rPr>
          <w:sz w:val="24"/>
          <w:szCs w:val="24"/>
        </w:rPr>
        <w:t xml:space="preserve">prema indeksu promjene od </w:t>
      </w:r>
      <w:r w:rsidR="004E4B8D" w:rsidRPr="00332AB5">
        <w:rPr>
          <w:sz w:val="24"/>
          <w:szCs w:val="24"/>
        </w:rPr>
        <w:t>109,73</w:t>
      </w:r>
      <w:r w:rsidR="00ED321D" w:rsidRPr="00332AB5">
        <w:rPr>
          <w:sz w:val="24"/>
          <w:szCs w:val="24"/>
        </w:rPr>
        <w:t xml:space="preserve"> </w:t>
      </w:r>
      <w:r w:rsidR="003D58DA" w:rsidRPr="00332AB5">
        <w:rPr>
          <w:sz w:val="24"/>
          <w:szCs w:val="24"/>
        </w:rPr>
        <w:t>najznačajniji napredak u</w:t>
      </w:r>
      <w:r w:rsidR="003D58DA" w:rsidRPr="00332AB5">
        <w:rPr>
          <w:sz w:val="24"/>
          <w:szCs w:val="24"/>
          <w:shd w:val="clear" w:color="auto" w:fill="EAF1DD" w:themeFill="accent3" w:themeFillTint="33"/>
        </w:rPr>
        <w:t xml:space="preserve"> </w:t>
      </w:r>
      <w:r w:rsidR="003D58DA" w:rsidRPr="00332AB5">
        <w:rPr>
          <w:sz w:val="24"/>
          <w:szCs w:val="24"/>
        </w:rPr>
        <w:t xml:space="preserve">ugovaranju ostvaren je u </w:t>
      </w:r>
      <w:r w:rsidR="004E4B8D" w:rsidRPr="00332AB5">
        <w:rPr>
          <w:sz w:val="24"/>
          <w:szCs w:val="24"/>
        </w:rPr>
        <w:t>PRR</w:t>
      </w:r>
      <w:r w:rsidR="003D58DA" w:rsidRPr="00332AB5">
        <w:rPr>
          <w:sz w:val="24"/>
          <w:szCs w:val="24"/>
        </w:rPr>
        <w:t xml:space="preserve">-u </w:t>
      </w:r>
      <w:r w:rsidR="00CF7B54" w:rsidRPr="00332AB5">
        <w:rPr>
          <w:sz w:val="24"/>
          <w:szCs w:val="24"/>
        </w:rPr>
        <w:t xml:space="preserve">s rastom od </w:t>
      </w:r>
      <w:r w:rsidR="004E4B8D" w:rsidRPr="00332AB5">
        <w:rPr>
          <w:sz w:val="24"/>
          <w:szCs w:val="24"/>
        </w:rPr>
        <w:t>9,73</w:t>
      </w:r>
      <w:r w:rsidR="000C006E" w:rsidRPr="00332AB5">
        <w:rPr>
          <w:sz w:val="24"/>
          <w:szCs w:val="24"/>
        </w:rPr>
        <w:t xml:space="preserve"> %</w:t>
      </w:r>
      <w:r w:rsidR="00CF7B54" w:rsidRPr="00332AB5">
        <w:rPr>
          <w:sz w:val="24"/>
          <w:szCs w:val="24"/>
        </w:rPr>
        <w:t>.</w:t>
      </w:r>
      <w:r w:rsidR="003D58DA" w:rsidRPr="00332AB5">
        <w:rPr>
          <w:sz w:val="24"/>
          <w:szCs w:val="24"/>
        </w:rPr>
        <w:t xml:space="preserve"> </w:t>
      </w:r>
      <w:r w:rsidR="00CF7B54" w:rsidRPr="00332AB5">
        <w:rPr>
          <w:sz w:val="24"/>
          <w:szCs w:val="24"/>
        </w:rPr>
        <w:t xml:space="preserve">Najveći </w:t>
      </w:r>
      <w:r w:rsidR="003D58DA" w:rsidRPr="00332AB5">
        <w:rPr>
          <w:sz w:val="24"/>
          <w:szCs w:val="24"/>
        </w:rPr>
        <w:t xml:space="preserve">napredak u plaćanju ostvaren </w:t>
      </w:r>
      <w:r w:rsidR="00CF7B54" w:rsidRPr="00332AB5">
        <w:rPr>
          <w:sz w:val="24"/>
          <w:szCs w:val="24"/>
        </w:rPr>
        <w:t>je</w:t>
      </w:r>
      <w:r w:rsidR="004E4B8D" w:rsidRPr="00332AB5">
        <w:rPr>
          <w:sz w:val="24"/>
          <w:szCs w:val="24"/>
        </w:rPr>
        <w:t xml:space="preserve"> također</w:t>
      </w:r>
      <w:r w:rsidR="003D58DA" w:rsidRPr="00332AB5">
        <w:rPr>
          <w:sz w:val="24"/>
          <w:szCs w:val="24"/>
        </w:rPr>
        <w:t xml:space="preserve"> u </w:t>
      </w:r>
      <w:r w:rsidR="0078160B" w:rsidRPr="00332AB5">
        <w:rPr>
          <w:sz w:val="24"/>
          <w:szCs w:val="24"/>
        </w:rPr>
        <w:t>okviru</w:t>
      </w:r>
      <w:r w:rsidR="00524A63" w:rsidRPr="00332AB5">
        <w:rPr>
          <w:sz w:val="24"/>
          <w:szCs w:val="24"/>
        </w:rPr>
        <w:t xml:space="preserve"> </w:t>
      </w:r>
      <w:r w:rsidR="004E4B8D" w:rsidRPr="00332AB5">
        <w:rPr>
          <w:sz w:val="24"/>
          <w:szCs w:val="24"/>
        </w:rPr>
        <w:t>PRR</w:t>
      </w:r>
      <w:r w:rsidR="00485D24" w:rsidRPr="00332AB5">
        <w:rPr>
          <w:sz w:val="24"/>
          <w:szCs w:val="24"/>
        </w:rPr>
        <w:t>-a</w:t>
      </w:r>
      <w:r w:rsidR="003D58DA" w:rsidRPr="00332AB5">
        <w:rPr>
          <w:sz w:val="24"/>
          <w:szCs w:val="24"/>
        </w:rPr>
        <w:t xml:space="preserve"> </w:t>
      </w:r>
      <w:r w:rsidR="00CF7B54" w:rsidRPr="00332AB5">
        <w:rPr>
          <w:sz w:val="24"/>
          <w:szCs w:val="24"/>
        </w:rPr>
        <w:t xml:space="preserve">rastom od </w:t>
      </w:r>
      <w:r w:rsidR="004E4B8D" w:rsidRPr="00332AB5">
        <w:rPr>
          <w:sz w:val="24"/>
          <w:szCs w:val="24"/>
        </w:rPr>
        <w:t>12,08</w:t>
      </w:r>
      <w:r w:rsidR="005131B9" w:rsidRPr="00332AB5">
        <w:rPr>
          <w:sz w:val="24"/>
          <w:szCs w:val="24"/>
        </w:rPr>
        <w:t xml:space="preserve"> </w:t>
      </w:r>
      <w:r w:rsidR="000C006E" w:rsidRPr="00332AB5">
        <w:rPr>
          <w:sz w:val="24"/>
          <w:szCs w:val="24"/>
        </w:rPr>
        <w:t>%</w:t>
      </w:r>
      <w:r w:rsidR="003D58DA" w:rsidRPr="00332AB5">
        <w:rPr>
          <w:sz w:val="24"/>
          <w:szCs w:val="24"/>
        </w:rPr>
        <w:t>.</w:t>
      </w:r>
      <w:r w:rsidR="00CF7B54" w:rsidRPr="00332AB5">
        <w:rPr>
          <w:sz w:val="24"/>
          <w:szCs w:val="24"/>
        </w:rPr>
        <w:t xml:space="preserve"> </w:t>
      </w:r>
      <w:r w:rsidR="007E2876" w:rsidRPr="00332AB5">
        <w:rPr>
          <w:sz w:val="24"/>
          <w:szCs w:val="24"/>
        </w:rPr>
        <w:t>Indeks promjene ugovaranja</w:t>
      </w:r>
      <w:r w:rsidR="00F3204F" w:rsidRPr="00332AB5">
        <w:rPr>
          <w:sz w:val="24"/>
          <w:szCs w:val="24"/>
        </w:rPr>
        <w:t xml:space="preserve"> na razini ESI fondova iznosi </w:t>
      </w:r>
      <w:r w:rsidR="00B52D49" w:rsidRPr="00332AB5">
        <w:rPr>
          <w:sz w:val="24"/>
          <w:szCs w:val="24"/>
        </w:rPr>
        <w:t>101,</w:t>
      </w:r>
      <w:r w:rsidR="004E4B8D" w:rsidRPr="00332AB5">
        <w:rPr>
          <w:sz w:val="24"/>
          <w:szCs w:val="24"/>
        </w:rPr>
        <w:t>90</w:t>
      </w:r>
      <w:r w:rsidR="005131B9" w:rsidRPr="00332AB5">
        <w:rPr>
          <w:sz w:val="24"/>
          <w:szCs w:val="24"/>
        </w:rPr>
        <w:t xml:space="preserve"> </w:t>
      </w:r>
      <w:r w:rsidR="007E2876" w:rsidRPr="00332AB5">
        <w:rPr>
          <w:sz w:val="24"/>
          <w:szCs w:val="24"/>
        </w:rPr>
        <w:t>što predst</w:t>
      </w:r>
      <w:r w:rsidR="00E710F6" w:rsidRPr="00332AB5">
        <w:rPr>
          <w:sz w:val="24"/>
          <w:szCs w:val="24"/>
        </w:rPr>
        <w:t xml:space="preserve">avlja polugodišnji rast od </w:t>
      </w:r>
      <w:r w:rsidR="00B52D49" w:rsidRPr="00332AB5">
        <w:rPr>
          <w:sz w:val="24"/>
          <w:szCs w:val="24"/>
        </w:rPr>
        <w:t>1,</w:t>
      </w:r>
      <w:r w:rsidR="004E4B8D" w:rsidRPr="00332AB5">
        <w:rPr>
          <w:sz w:val="24"/>
          <w:szCs w:val="24"/>
        </w:rPr>
        <w:t>90</w:t>
      </w:r>
      <w:r w:rsidR="005131B9" w:rsidRPr="00332AB5">
        <w:rPr>
          <w:sz w:val="24"/>
          <w:szCs w:val="24"/>
        </w:rPr>
        <w:t xml:space="preserve"> </w:t>
      </w:r>
      <w:r w:rsidR="000C006E" w:rsidRPr="00332AB5">
        <w:rPr>
          <w:sz w:val="24"/>
          <w:szCs w:val="24"/>
        </w:rPr>
        <w:t>%</w:t>
      </w:r>
      <w:r w:rsidR="007E2876" w:rsidRPr="00332AB5">
        <w:rPr>
          <w:sz w:val="24"/>
          <w:szCs w:val="24"/>
        </w:rPr>
        <w:t xml:space="preserve">. Indeks promjene plaćanja na razini ESI fondova iznosi </w:t>
      </w:r>
      <w:r w:rsidR="004E4B8D" w:rsidRPr="00332AB5">
        <w:rPr>
          <w:sz w:val="24"/>
          <w:szCs w:val="24"/>
        </w:rPr>
        <w:t>110,08</w:t>
      </w:r>
      <w:r w:rsidR="009D1546" w:rsidRPr="00332AB5">
        <w:rPr>
          <w:sz w:val="24"/>
          <w:szCs w:val="24"/>
        </w:rPr>
        <w:t xml:space="preserve"> </w:t>
      </w:r>
      <w:r w:rsidR="007E2876" w:rsidRPr="00332AB5">
        <w:rPr>
          <w:sz w:val="24"/>
          <w:szCs w:val="24"/>
        </w:rPr>
        <w:t xml:space="preserve">što predstavlja polugodišnji rast od </w:t>
      </w:r>
      <w:r w:rsidR="004E4B8D" w:rsidRPr="00332AB5">
        <w:rPr>
          <w:sz w:val="24"/>
          <w:szCs w:val="24"/>
        </w:rPr>
        <w:t>10,08</w:t>
      </w:r>
      <w:r w:rsidR="009D1546" w:rsidRPr="00332AB5">
        <w:rPr>
          <w:sz w:val="24"/>
          <w:szCs w:val="24"/>
        </w:rPr>
        <w:t xml:space="preserve"> </w:t>
      </w:r>
      <w:r w:rsidR="000C006E" w:rsidRPr="00332AB5">
        <w:rPr>
          <w:sz w:val="24"/>
          <w:szCs w:val="24"/>
        </w:rPr>
        <w:t>%</w:t>
      </w:r>
      <w:r w:rsidR="00CF7B54" w:rsidRPr="00332AB5">
        <w:rPr>
          <w:sz w:val="24"/>
          <w:szCs w:val="24"/>
        </w:rPr>
        <w:t>.</w:t>
      </w:r>
    </w:p>
    <w:p w14:paraId="7B85CF74" w14:textId="23C8AFA1" w:rsidR="00EF2D1F" w:rsidRPr="00332AB5" w:rsidRDefault="00EF2D1F" w:rsidP="00D743FA">
      <w:pPr>
        <w:spacing w:before="120" w:after="120"/>
        <w:jc w:val="both"/>
        <w:rPr>
          <w:sz w:val="24"/>
          <w:szCs w:val="24"/>
        </w:rPr>
      </w:pPr>
      <w:r w:rsidRPr="00332AB5">
        <w:rPr>
          <w:sz w:val="24"/>
          <w:szCs w:val="24"/>
        </w:rPr>
        <w:t>Na razini svih te pojedinačnih operativnih programa ispunjeni su N+3 ciljevi za 2022. godinu. Upravljačka tijela nemaju N+3 cilj za 2023. godinu, već sada trebaju ovjeriti sva preostala sredstva, uz iznimku PRR.</w:t>
      </w:r>
    </w:p>
    <w:p w14:paraId="2846F215" w14:textId="2AA2BA80" w:rsidR="00EF2D1F" w:rsidRPr="00332AB5" w:rsidRDefault="00045AAC" w:rsidP="00D743FA">
      <w:pPr>
        <w:spacing w:before="120" w:after="120"/>
        <w:jc w:val="both"/>
        <w:rPr>
          <w:sz w:val="24"/>
          <w:szCs w:val="24"/>
        </w:rPr>
      </w:pPr>
      <w:r w:rsidRPr="00332AB5">
        <w:rPr>
          <w:sz w:val="24"/>
          <w:szCs w:val="24"/>
        </w:rPr>
        <w:t>Za financijsko razdoblje 2014</w:t>
      </w:r>
      <w:r w:rsidR="000F59CF" w:rsidRPr="00332AB5">
        <w:rPr>
          <w:sz w:val="24"/>
          <w:szCs w:val="24"/>
        </w:rPr>
        <w:t>. –</w:t>
      </w:r>
      <w:r w:rsidR="007E1376" w:rsidRPr="00332AB5">
        <w:rPr>
          <w:sz w:val="24"/>
          <w:szCs w:val="24"/>
        </w:rPr>
        <w:t xml:space="preserve"> </w:t>
      </w:r>
      <w:r w:rsidRPr="00332AB5">
        <w:rPr>
          <w:sz w:val="24"/>
          <w:szCs w:val="24"/>
        </w:rPr>
        <w:t>2020. krajnji rok provedbe projekata je 31. prosinca 2023</w:t>
      </w:r>
      <w:r w:rsidR="0008146C" w:rsidRPr="00332AB5">
        <w:rPr>
          <w:sz w:val="24"/>
          <w:szCs w:val="24"/>
        </w:rPr>
        <w:t xml:space="preserve">. uz iznimku za PRR gdje </w:t>
      </w:r>
      <w:r w:rsidR="00EF2D1F" w:rsidRPr="00332AB5">
        <w:rPr>
          <w:sz w:val="24"/>
          <w:szCs w:val="24"/>
        </w:rPr>
        <w:t xml:space="preserve">je </w:t>
      </w:r>
      <w:r w:rsidR="0008146C" w:rsidRPr="00332AB5">
        <w:rPr>
          <w:sz w:val="24"/>
          <w:szCs w:val="24"/>
        </w:rPr>
        <w:t>zbog dodatne alokacije za 2021. i 2022. godinu rok za isplate do 31.</w:t>
      </w:r>
      <w:r w:rsidR="00DF3B7B" w:rsidRPr="00332AB5">
        <w:rPr>
          <w:sz w:val="24"/>
          <w:szCs w:val="24"/>
        </w:rPr>
        <w:t xml:space="preserve"> prosinca </w:t>
      </w:r>
      <w:r w:rsidR="0008146C" w:rsidRPr="00332AB5">
        <w:rPr>
          <w:sz w:val="24"/>
          <w:szCs w:val="24"/>
        </w:rPr>
        <w:t xml:space="preserve">2025. </w:t>
      </w:r>
    </w:p>
    <w:p w14:paraId="618EB6B8" w14:textId="77777777" w:rsidR="004F27D2" w:rsidRPr="00332AB5" w:rsidRDefault="00045AAC" w:rsidP="00EA65D5">
      <w:pPr>
        <w:spacing w:before="120" w:after="120"/>
        <w:jc w:val="both"/>
        <w:rPr>
          <w:sz w:val="24"/>
          <w:szCs w:val="24"/>
        </w:rPr>
      </w:pPr>
      <w:r w:rsidRPr="00332AB5">
        <w:rPr>
          <w:sz w:val="24"/>
          <w:szCs w:val="24"/>
        </w:rPr>
        <w:t>Zadnji zahtjev za plaćanje kojim se potražuju dodijeljena EU sredstva šalje se Europskoj komisiji do 31. srpnja 2024. S obzirom da se aktivnosti provedbe projekata privode kraju i predstoji intenzivno razdoblje ovjeravanja sredstava, Tijelo za ovjeravanje je u suradnji s Upravljačkim tijelima za OPKK i OPULJP napravilo detaljnu analizu ovjeravanja i plan slanja zahtjeva za plaćanje Europskoj komisiji, kako bi se u potpunosti iskoristila dodijeljena sredstva.</w:t>
      </w:r>
      <w:bookmarkEnd w:id="24"/>
    </w:p>
    <w:p w14:paraId="217FEE96" w14:textId="258B617A" w:rsidR="004F27D2" w:rsidRPr="00332AB5" w:rsidRDefault="004F27D2" w:rsidP="004F27D2">
      <w:pPr>
        <w:pStyle w:val="Heading2"/>
        <w:numPr>
          <w:ilvl w:val="1"/>
          <w:numId w:val="45"/>
        </w:numPr>
      </w:pPr>
      <w:bookmarkStart w:id="32" w:name="_Toc152595216"/>
      <w:r w:rsidRPr="00332AB5">
        <w:lastRenderedPageBreak/>
        <w:t xml:space="preserve">PREGLED PROVEDBE </w:t>
      </w:r>
      <w:r w:rsidR="00AE79B6" w:rsidRPr="00332AB5">
        <w:t>INSTRUMENATA NEXT GENERATION EU</w:t>
      </w:r>
      <w:bookmarkEnd w:id="32"/>
    </w:p>
    <w:p w14:paraId="43F0BC78" w14:textId="11906CA2" w:rsidR="004F27D2" w:rsidRPr="00332AB5" w:rsidRDefault="004F27D2" w:rsidP="004F27D2">
      <w:pPr>
        <w:spacing w:before="120" w:after="120"/>
        <w:jc w:val="both"/>
        <w:rPr>
          <w:sz w:val="24"/>
          <w:szCs w:val="24"/>
        </w:rPr>
      </w:pPr>
      <w:r w:rsidRPr="00332AB5">
        <w:rPr>
          <w:sz w:val="24"/>
          <w:szCs w:val="24"/>
          <w:lang w:bidi="ta-IN"/>
        </w:rPr>
        <w:t xml:space="preserve">U izvještajnom razdoblju došlo je do rasta svih financijskih pokazatelja provedbe. Ugovoreno je projekata u vrijednosti od </w:t>
      </w:r>
      <w:r w:rsidR="002C768F" w:rsidRPr="00332AB5">
        <w:rPr>
          <w:sz w:val="24"/>
          <w:szCs w:val="24"/>
          <w:lang w:bidi="ta-IN"/>
        </w:rPr>
        <w:t>603,67</w:t>
      </w:r>
      <w:r w:rsidRPr="00332AB5">
        <w:rPr>
          <w:sz w:val="24"/>
          <w:szCs w:val="24"/>
          <w:lang w:bidi="ta-IN"/>
        </w:rPr>
        <w:t xml:space="preserve"> milijuna eura, odnosno </w:t>
      </w:r>
      <w:r w:rsidR="002C768F" w:rsidRPr="00332AB5">
        <w:rPr>
          <w:sz w:val="24"/>
          <w:szCs w:val="24"/>
          <w:lang w:bidi="ta-IN"/>
        </w:rPr>
        <w:t>76,31</w:t>
      </w:r>
      <w:r w:rsidRPr="00332AB5">
        <w:rPr>
          <w:sz w:val="24"/>
          <w:szCs w:val="24"/>
          <w:lang w:bidi="ta-IN"/>
        </w:rPr>
        <w:t xml:space="preserve"> % od ukupno ugovorenih sredstava od početka provedbe. Krajnjim korisnicima i ugovarateljima plaćeno je </w:t>
      </w:r>
      <w:r w:rsidR="002C768F" w:rsidRPr="00332AB5">
        <w:rPr>
          <w:sz w:val="24"/>
          <w:szCs w:val="24"/>
          <w:lang w:bidi="ta-IN"/>
        </w:rPr>
        <w:t>619,04</w:t>
      </w:r>
      <w:r w:rsidRPr="00332AB5">
        <w:rPr>
          <w:sz w:val="24"/>
          <w:szCs w:val="24"/>
          <w:lang w:bidi="ta-IN"/>
        </w:rPr>
        <w:t xml:space="preserve"> milijuna eura, odnosno </w:t>
      </w:r>
      <w:r w:rsidR="002C768F" w:rsidRPr="00332AB5">
        <w:rPr>
          <w:sz w:val="24"/>
          <w:szCs w:val="24"/>
          <w:lang w:bidi="ta-IN"/>
        </w:rPr>
        <w:t>86,68</w:t>
      </w:r>
      <w:r w:rsidRPr="00332AB5">
        <w:rPr>
          <w:sz w:val="24"/>
          <w:szCs w:val="24"/>
          <w:lang w:bidi="ta-IN"/>
        </w:rPr>
        <w:t xml:space="preserve"> % od ukupno plaćenog iznosa od početka provedbe. Ovjereno je </w:t>
      </w:r>
      <w:r w:rsidR="002C768F" w:rsidRPr="00332AB5">
        <w:rPr>
          <w:sz w:val="24"/>
          <w:szCs w:val="24"/>
          <w:lang w:bidi="ta-IN"/>
        </w:rPr>
        <w:t>8,55</w:t>
      </w:r>
      <w:r w:rsidRPr="00332AB5">
        <w:rPr>
          <w:sz w:val="24"/>
          <w:szCs w:val="24"/>
          <w:lang w:bidi="ta-IN"/>
        </w:rPr>
        <w:t xml:space="preserve"> milijuna eura, odnosno </w:t>
      </w:r>
      <w:r w:rsidR="002C768F" w:rsidRPr="00332AB5">
        <w:rPr>
          <w:sz w:val="24"/>
          <w:szCs w:val="24"/>
          <w:lang w:bidi="ta-IN"/>
        </w:rPr>
        <w:t>17,91</w:t>
      </w:r>
      <w:r w:rsidRPr="00332AB5">
        <w:rPr>
          <w:sz w:val="24"/>
          <w:szCs w:val="24"/>
          <w:lang w:bidi="ta-IN"/>
        </w:rPr>
        <w:t xml:space="preserve"> % od ukupno ovjerenog iznosa od početka provedbe. Istovremeno je Europska komisija (EK) doznačila iznos od </w:t>
      </w:r>
      <w:r w:rsidR="002C768F" w:rsidRPr="00332AB5">
        <w:rPr>
          <w:sz w:val="24"/>
          <w:szCs w:val="24"/>
          <w:lang w:bidi="ta-IN"/>
        </w:rPr>
        <w:t>11,20</w:t>
      </w:r>
      <w:r w:rsidRPr="00332AB5">
        <w:rPr>
          <w:sz w:val="24"/>
          <w:szCs w:val="24"/>
          <w:lang w:bidi="ta-IN"/>
        </w:rPr>
        <w:t xml:space="preserve"> milijuna eura, što predstavlja </w:t>
      </w:r>
      <w:r w:rsidR="002C768F" w:rsidRPr="00332AB5">
        <w:rPr>
          <w:sz w:val="24"/>
          <w:szCs w:val="24"/>
          <w:lang w:bidi="ta-IN"/>
        </w:rPr>
        <w:t>7,65</w:t>
      </w:r>
      <w:r w:rsidRPr="00332AB5">
        <w:rPr>
          <w:sz w:val="24"/>
          <w:szCs w:val="24"/>
          <w:lang w:bidi="ta-IN"/>
        </w:rPr>
        <w:t xml:space="preserve"> % ukupno doznačenog iznosa od početka provedbe programa.</w:t>
      </w:r>
    </w:p>
    <w:p w14:paraId="057B287B" w14:textId="0E9401FB" w:rsidR="004F27D2" w:rsidRPr="00332AB5" w:rsidRDefault="004F27D2" w:rsidP="004F27D2">
      <w:pPr>
        <w:spacing w:before="120" w:after="120"/>
        <w:jc w:val="both"/>
        <w:rPr>
          <w:sz w:val="24"/>
          <w:szCs w:val="24"/>
        </w:rPr>
      </w:pPr>
      <w:r w:rsidRPr="00332AB5">
        <w:rPr>
          <w:sz w:val="24"/>
          <w:szCs w:val="24"/>
        </w:rPr>
        <w:t xml:space="preserve">Na dan 30. lipnja 2023. ukupno je ugovoreno </w:t>
      </w:r>
      <w:r w:rsidR="002C768F" w:rsidRPr="00332AB5">
        <w:rPr>
          <w:sz w:val="24"/>
          <w:szCs w:val="24"/>
        </w:rPr>
        <w:t xml:space="preserve">791,12 </w:t>
      </w:r>
      <w:r w:rsidRPr="00332AB5">
        <w:rPr>
          <w:sz w:val="24"/>
          <w:szCs w:val="24"/>
        </w:rPr>
        <w:t>mili</w:t>
      </w:r>
      <w:r w:rsidR="002C768F" w:rsidRPr="00332AB5">
        <w:rPr>
          <w:sz w:val="24"/>
          <w:szCs w:val="24"/>
        </w:rPr>
        <w:t>juna</w:t>
      </w:r>
      <w:r w:rsidRPr="00332AB5">
        <w:rPr>
          <w:sz w:val="24"/>
          <w:szCs w:val="24"/>
        </w:rPr>
        <w:t xml:space="preserve"> eura, odnosno </w:t>
      </w:r>
      <w:r w:rsidR="002C768F" w:rsidRPr="00332AB5">
        <w:rPr>
          <w:sz w:val="24"/>
          <w:szCs w:val="24"/>
        </w:rPr>
        <w:t>91,54</w:t>
      </w:r>
      <w:r w:rsidRPr="00332AB5">
        <w:rPr>
          <w:sz w:val="24"/>
          <w:szCs w:val="24"/>
        </w:rPr>
        <w:t xml:space="preserve"> % ukupno dodijeljenih sredstava. Ukupno je plaćeno </w:t>
      </w:r>
      <w:r w:rsidR="002C768F" w:rsidRPr="00332AB5">
        <w:rPr>
          <w:sz w:val="24"/>
          <w:szCs w:val="24"/>
        </w:rPr>
        <w:t>714,16</w:t>
      </w:r>
      <w:r w:rsidRPr="00332AB5">
        <w:rPr>
          <w:sz w:val="24"/>
          <w:szCs w:val="24"/>
        </w:rPr>
        <w:t xml:space="preserve"> mili</w:t>
      </w:r>
      <w:r w:rsidR="002C768F" w:rsidRPr="00332AB5">
        <w:rPr>
          <w:sz w:val="24"/>
          <w:szCs w:val="24"/>
        </w:rPr>
        <w:t>juna</w:t>
      </w:r>
      <w:r w:rsidRPr="00332AB5">
        <w:rPr>
          <w:sz w:val="24"/>
          <w:szCs w:val="24"/>
        </w:rPr>
        <w:t xml:space="preserve"> eura, odnosno </w:t>
      </w:r>
      <w:r w:rsidR="002C768F" w:rsidRPr="00332AB5">
        <w:rPr>
          <w:sz w:val="24"/>
          <w:szCs w:val="24"/>
        </w:rPr>
        <w:t>82,64</w:t>
      </w:r>
      <w:r w:rsidRPr="00332AB5">
        <w:rPr>
          <w:sz w:val="24"/>
          <w:szCs w:val="24"/>
        </w:rPr>
        <w:t xml:space="preserve"> % dodijeljenih sredstava. Ukupno je ovjereno </w:t>
      </w:r>
      <w:r w:rsidR="002C768F" w:rsidRPr="00332AB5">
        <w:rPr>
          <w:sz w:val="24"/>
          <w:szCs w:val="24"/>
        </w:rPr>
        <w:t>47,73</w:t>
      </w:r>
      <w:r w:rsidRPr="00332AB5">
        <w:rPr>
          <w:sz w:val="24"/>
          <w:szCs w:val="24"/>
        </w:rPr>
        <w:t xml:space="preserve"> mili</w:t>
      </w:r>
      <w:r w:rsidR="002C768F" w:rsidRPr="00332AB5">
        <w:rPr>
          <w:sz w:val="24"/>
          <w:szCs w:val="24"/>
        </w:rPr>
        <w:t>juna</w:t>
      </w:r>
      <w:r w:rsidRPr="00332AB5">
        <w:rPr>
          <w:sz w:val="24"/>
          <w:szCs w:val="24"/>
        </w:rPr>
        <w:t xml:space="preserve"> eura, odnosno </w:t>
      </w:r>
      <w:r w:rsidR="002C768F" w:rsidRPr="00332AB5">
        <w:rPr>
          <w:sz w:val="24"/>
          <w:szCs w:val="24"/>
        </w:rPr>
        <w:t>5,52</w:t>
      </w:r>
      <w:r w:rsidRPr="00332AB5">
        <w:rPr>
          <w:sz w:val="24"/>
          <w:szCs w:val="24"/>
        </w:rPr>
        <w:t xml:space="preserve"> % dodijeljenih sredstava te je ukupno doznačeno </w:t>
      </w:r>
      <w:r w:rsidR="002C768F" w:rsidRPr="00332AB5">
        <w:rPr>
          <w:bCs/>
          <w:sz w:val="24"/>
          <w:szCs w:val="24"/>
        </w:rPr>
        <w:t>146,47</w:t>
      </w:r>
      <w:r w:rsidRPr="00332AB5">
        <w:rPr>
          <w:bCs/>
          <w:sz w:val="24"/>
          <w:szCs w:val="24"/>
        </w:rPr>
        <w:t xml:space="preserve"> </w:t>
      </w:r>
      <w:r w:rsidRPr="00332AB5">
        <w:rPr>
          <w:sz w:val="24"/>
          <w:szCs w:val="24"/>
        </w:rPr>
        <w:t>milij</w:t>
      </w:r>
      <w:r w:rsidR="002C768F" w:rsidRPr="00332AB5">
        <w:rPr>
          <w:sz w:val="24"/>
          <w:szCs w:val="24"/>
        </w:rPr>
        <w:t>una</w:t>
      </w:r>
      <w:r w:rsidRPr="00332AB5">
        <w:rPr>
          <w:sz w:val="24"/>
          <w:szCs w:val="24"/>
        </w:rPr>
        <w:t xml:space="preserve"> eura odnosno </w:t>
      </w:r>
      <w:r w:rsidR="002C768F" w:rsidRPr="00332AB5">
        <w:rPr>
          <w:sz w:val="24"/>
          <w:szCs w:val="24"/>
        </w:rPr>
        <w:t>16,95</w:t>
      </w:r>
      <w:r w:rsidRPr="00332AB5">
        <w:rPr>
          <w:sz w:val="24"/>
          <w:szCs w:val="24"/>
        </w:rPr>
        <w:t xml:space="preserve"> % dodijeljenih sredstava, koja iznose </w:t>
      </w:r>
      <w:r w:rsidR="002C768F" w:rsidRPr="00332AB5">
        <w:rPr>
          <w:sz w:val="24"/>
          <w:szCs w:val="24"/>
        </w:rPr>
        <w:t>864,23</w:t>
      </w:r>
      <w:r w:rsidRPr="00332AB5">
        <w:rPr>
          <w:sz w:val="24"/>
          <w:szCs w:val="24"/>
        </w:rPr>
        <w:t xml:space="preserve"> milij</w:t>
      </w:r>
      <w:r w:rsidR="002C768F" w:rsidRPr="00332AB5">
        <w:rPr>
          <w:sz w:val="24"/>
          <w:szCs w:val="24"/>
        </w:rPr>
        <w:t>una</w:t>
      </w:r>
      <w:r w:rsidRPr="00332AB5">
        <w:rPr>
          <w:sz w:val="24"/>
          <w:szCs w:val="24"/>
        </w:rPr>
        <w:t xml:space="preserve"> eura. </w:t>
      </w:r>
    </w:p>
    <w:p w14:paraId="60CCA4D6" w14:textId="77777777" w:rsidR="004F27D2" w:rsidRPr="00332AB5" w:rsidRDefault="004F27D2" w:rsidP="004F27D2">
      <w:pPr>
        <w:spacing w:before="120" w:after="120"/>
        <w:jc w:val="both"/>
        <w:rPr>
          <w:b/>
          <w:bCs/>
        </w:rPr>
      </w:pPr>
    </w:p>
    <w:p w14:paraId="25DCA1C0" w14:textId="5D5AEF17" w:rsidR="004F27D2" w:rsidRPr="00332AB5" w:rsidRDefault="004F27D2" w:rsidP="004F27D2">
      <w:pPr>
        <w:spacing w:before="120" w:after="120"/>
        <w:jc w:val="both"/>
        <w:rPr>
          <w:b/>
          <w:bCs/>
        </w:rPr>
      </w:pPr>
      <w:bookmarkStart w:id="33" w:name="_Toc152595278"/>
      <w:r w:rsidRPr="00332AB5">
        <w:rPr>
          <w:b/>
          <w:bCs/>
        </w:rPr>
        <w:t xml:space="preserve">Tablica </w:t>
      </w:r>
      <w:r w:rsidRPr="00332AB5">
        <w:rPr>
          <w:b/>
          <w:bCs/>
        </w:rPr>
        <w:fldChar w:fldCharType="begin"/>
      </w:r>
      <w:r w:rsidRPr="00332AB5">
        <w:rPr>
          <w:b/>
          <w:bCs/>
        </w:rPr>
        <w:instrText xml:space="preserve"> SEQ Tablica \* ARABIC </w:instrText>
      </w:r>
      <w:r w:rsidRPr="00332AB5">
        <w:rPr>
          <w:b/>
          <w:bCs/>
        </w:rPr>
        <w:fldChar w:fldCharType="separate"/>
      </w:r>
      <w:r w:rsidR="005E6E46">
        <w:rPr>
          <w:b/>
          <w:bCs/>
          <w:noProof/>
        </w:rPr>
        <w:t>4</w:t>
      </w:r>
      <w:r w:rsidRPr="00332AB5">
        <w:rPr>
          <w:b/>
          <w:bCs/>
        </w:rPr>
        <w:fldChar w:fldCharType="end"/>
      </w:r>
      <w:r w:rsidRPr="00332AB5">
        <w:rPr>
          <w:b/>
          <w:bCs/>
        </w:rPr>
        <w:t xml:space="preserve">: Financijski pokazatelji statusa provedbe </w:t>
      </w:r>
      <w:r w:rsidR="00AE79B6" w:rsidRPr="00332AB5">
        <w:rPr>
          <w:b/>
          <w:bCs/>
        </w:rPr>
        <w:t>instrumenata NEXT GENERATION EU</w:t>
      </w:r>
      <w:r w:rsidRPr="00332AB5">
        <w:rPr>
          <w:b/>
          <w:bCs/>
        </w:rPr>
        <w:t xml:space="preserve"> razdoblju od 1. siječnja do 30. lipnja 2023. (sredstva EU, u milijunima eura i postocima od dodijeljenih sredstava)</w:t>
      </w:r>
      <w:bookmarkEnd w:id="33"/>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1089"/>
        <w:gridCol w:w="998"/>
        <w:gridCol w:w="845"/>
        <w:gridCol w:w="879"/>
        <w:gridCol w:w="822"/>
        <w:gridCol w:w="902"/>
        <w:gridCol w:w="635"/>
        <w:gridCol w:w="1089"/>
        <w:gridCol w:w="776"/>
      </w:tblGrid>
      <w:tr w:rsidR="004F27D2" w:rsidRPr="00332AB5" w14:paraId="0C1CDB90" w14:textId="77777777" w:rsidTr="00AE79B6">
        <w:trPr>
          <w:trHeight w:val="737"/>
        </w:trPr>
        <w:tc>
          <w:tcPr>
            <w:tcW w:w="1179" w:type="dxa"/>
            <w:shd w:val="clear" w:color="auto" w:fill="auto"/>
            <w:vAlign w:val="center"/>
          </w:tcPr>
          <w:p w14:paraId="1C360DD5" w14:textId="689262F3" w:rsidR="004F27D2" w:rsidRPr="00332AB5" w:rsidRDefault="004F27D2" w:rsidP="00D274B6">
            <w:pPr>
              <w:spacing w:after="60"/>
              <w:rPr>
                <w:sz w:val="16"/>
                <w:szCs w:val="24"/>
              </w:rPr>
            </w:pPr>
            <w:r w:rsidRPr="00332AB5">
              <w:rPr>
                <w:rFonts w:asciiTheme="minorHAnsi" w:hAnsiTheme="minorHAnsi" w:cstheme="minorHAnsi"/>
                <w:sz w:val="16"/>
              </w:rPr>
              <w:t>(Operativni) program</w:t>
            </w:r>
          </w:p>
        </w:tc>
        <w:tc>
          <w:tcPr>
            <w:tcW w:w="1089" w:type="dxa"/>
            <w:tcBorders>
              <w:bottom w:val="single" w:sz="4" w:space="0" w:color="808080" w:themeColor="background1" w:themeShade="80"/>
            </w:tcBorders>
            <w:shd w:val="clear" w:color="auto" w:fill="auto"/>
            <w:vAlign w:val="center"/>
          </w:tcPr>
          <w:p w14:paraId="60BD5801" w14:textId="77777777" w:rsidR="004F27D2" w:rsidRPr="00332AB5" w:rsidRDefault="004F27D2" w:rsidP="00D274B6">
            <w:pPr>
              <w:spacing w:after="60"/>
              <w:jc w:val="right"/>
              <w:rPr>
                <w:sz w:val="16"/>
                <w:szCs w:val="24"/>
              </w:rPr>
            </w:pPr>
            <w:r w:rsidRPr="00332AB5">
              <w:rPr>
                <w:rFonts w:asciiTheme="minorHAnsi" w:hAnsiTheme="minorHAnsi" w:cstheme="minorHAnsi"/>
                <w:sz w:val="16"/>
              </w:rPr>
              <w:t>Dodijeljena sredstva</w:t>
            </w:r>
          </w:p>
        </w:tc>
        <w:tc>
          <w:tcPr>
            <w:tcW w:w="998" w:type="dxa"/>
            <w:tcBorders>
              <w:bottom w:val="single" w:sz="4" w:space="0" w:color="808080" w:themeColor="background1" w:themeShade="80"/>
            </w:tcBorders>
            <w:shd w:val="clear" w:color="auto" w:fill="auto"/>
            <w:vAlign w:val="center"/>
          </w:tcPr>
          <w:p w14:paraId="5AE5FDF8" w14:textId="77777777" w:rsidR="004F27D2" w:rsidRPr="00332AB5" w:rsidRDefault="004F27D2" w:rsidP="00D274B6">
            <w:pPr>
              <w:spacing w:after="60"/>
              <w:jc w:val="right"/>
              <w:rPr>
                <w:sz w:val="16"/>
                <w:szCs w:val="24"/>
              </w:rPr>
            </w:pPr>
            <w:r w:rsidRPr="00332AB5">
              <w:rPr>
                <w:rFonts w:asciiTheme="minorHAnsi" w:hAnsiTheme="minorHAnsi" w:cstheme="minorHAnsi"/>
                <w:sz w:val="16"/>
              </w:rPr>
              <w:t>Ugovorena sredstva</w:t>
            </w:r>
          </w:p>
        </w:tc>
        <w:tc>
          <w:tcPr>
            <w:tcW w:w="845" w:type="dxa"/>
            <w:tcBorders>
              <w:bottom w:val="single" w:sz="4" w:space="0" w:color="808080" w:themeColor="background1" w:themeShade="80"/>
            </w:tcBorders>
            <w:shd w:val="clear" w:color="auto" w:fill="auto"/>
            <w:vAlign w:val="center"/>
          </w:tcPr>
          <w:p w14:paraId="444D0A9B" w14:textId="77777777" w:rsidR="004F27D2" w:rsidRPr="00332AB5" w:rsidRDefault="004F27D2" w:rsidP="00D274B6">
            <w:pPr>
              <w:spacing w:after="60"/>
              <w:jc w:val="right"/>
              <w:rPr>
                <w:sz w:val="16"/>
                <w:szCs w:val="24"/>
              </w:rPr>
            </w:pPr>
            <w:r w:rsidRPr="00332AB5">
              <w:rPr>
                <w:rFonts w:asciiTheme="minorHAnsi" w:hAnsiTheme="minorHAnsi" w:cstheme="minorHAnsi"/>
                <w:sz w:val="16"/>
              </w:rPr>
              <w:t xml:space="preserve"> %</w:t>
            </w:r>
          </w:p>
        </w:tc>
        <w:tc>
          <w:tcPr>
            <w:tcW w:w="879" w:type="dxa"/>
            <w:tcBorders>
              <w:bottom w:val="single" w:sz="4" w:space="0" w:color="808080" w:themeColor="background1" w:themeShade="80"/>
            </w:tcBorders>
            <w:shd w:val="clear" w:color="auto" w:fill="auto"/>
            <w:vAlign w:val="center"/>
          </w:tcPr>
          <w:p w14:paraId="5A9CAB48" w14:textId="77777777" w:rsidR="004F27D2" w:rsidRPr="00332AB5" w:rsidRDefault="004F27D2" w:rsidP="00D274B6">
            <w:pPr>
              <w:spacing w:after="60"/>
              <w:jc w:val="right"/>
              <w:rPr>
                <w:sz w:val="16"/>
                <w:szCs w:val="24"/>
              </w:rPr>
            </w:pPr>
            <w:r w:rsidRPr="00332AB5">
              <w:rPr>
                <w:rFonts w:asciiTheme="minorHAnsi" w:hAnsiTheme="minorHAnsi" w:cstheme="minorHAnsi"/>
                <w:sz w:val="16"/>
              </w:rPr>
              <w:t>Plaćena sredstva</w:t>
            </w:r>
          </w:p>
        </w:tc>
        <w:tc>
          <w:tcPr>
            <w:tcW w:w="822" w:type="dxa"/>
            <w:tcBorders>
              <w:bottom w:val="single" w:sz="4" w:space="0" w:color="808080" w:themeColor="background1" w:themeShade="80"/>
            </w:tcBorders>
            <w:shd w:val="clear" w:color="auto" w:fill="auto"/>
            <w:vAlign w:val="center"/>
          </w:tcPr>
          <w:p w14:paraId="4763D43B" w14:textId="77777777" w:rsidR="004F27D2" w:rsidRPr="00332AB5" w:rsidRDefault="004F27D2" w:rsidP="00D274B6">
            <w:pPr>
              <w:spacing w:after="60"/>
              <w:jc w:val="right"/>
              <w:rPr>
                <w:sz w:val="16"/>
                <w:szCs w:val="24"/>
              </w:rPr>
            </w:pPr>
            <w:r w:rsidRPr="00332AB5">
              <w:rPr>
                <w:rFonts w:asciiTheme="minorHAnsi" w:hAnsiTheme="minorHAnsi" w:cstheme="minorHAnsi"/>
                <w:sz w:val="16"/>
              </w:rPr>
              <w:t xml:space="preserve"> %</w:t>
            </w:r>
          </w:p>
        </w:tc>
        <w:tc>
          <w:tcPr>
            <w:tcW w:w="902" w:type="dxa"/>
            <w:tcBorders>
              <w:bottom w:val="single" w:sz="4" w:space="0" w:color="808080" w:themeColor="background1" w:themeShade="80"/>
            </w:tcBorders>
            <w:shd w:val="clear" w:color="auto" w:fill="auto"/>
            <w:vAlign w:val="center"/>
          </w:tcPr>
          <w:p w14:paraId="5BD1A490" w14:textId="77777777" w:rsidR="004F27D2" w:rsidRPr="00332AB5" w:rsidRDefault="004F27D2" w:rsidP="00D274B6">
            <w:pPr>
              <w:spacing w:after="60"/>
              <w:jc w:val="right"/>
              <w:rPr>
                <w:sz w:val="16"/>
                <w:szCs w:val="24"/>
              </w:rPr>
            </w:pPr>
            <w:r w:rsidRPr="00332AB5">
              <w:rPr>
                <w:rFonts w:asciiTheme="minorHAnsi" w:hAnsiTheme="minorHAnsi" w:cstheme="minorHAnsi"/>
                <w:sz w:val="16"/>
              </w:rPr>
              <w:t>Ovjerena sredstva</w:t>
            </w:r>
          </w:p>
        </w:tc>
        <w:tc>
          <w:tcPr>
            <w:tcW w:w="635" w:type="dxa"/>
            <w:tcBorders>
              <w:bottom w:val="single" w:sz="4" w:space="0" w:color="808080" w:themeColor="background1" w:themeShade="80"/>
            </w:tcBorders>
            <w:shd w:val="clear" w:color="auto" w:fill="auto"/>
            <w:vAlign w:val="center"/>
          </w:tcPr>
          <w:p w14:paraId="14A30CF2" w14:textId="77777777" w:rsidR="004F27D2" w:rsidRPr="00332AB5" w:rsidRDefault="004F27D2" w:rsidP="00D274B6">
            <w:pPr>
              <w:spacing w:after="60"/>
              <w:jc w:val="right"/>
              <w:rPr>
                <w:sz w:val="16"/>
                <w:szCs w:val="24"/>
              </w:rPr>
            </w:pPr>
            <w:r w:rsidRPr="00332AB5">
              <w:rPr>
                <w:rFonts w:asciiTheme="minorHAnsi" w:hAnsiTheme="minorHAnsi" w:cstheme="minorHAnsi"/>
                <w:sz w:val="16"/>
              </w:rPr>
              <w:t xml:space="preserve"> %</w:t>
            </w:r>
          </w:p>
        </w:tc>
        <w:tc>
          <w:tcPr>
            <w:tcW w:w="1089" w:type="dxa"/>
            <w:tcBorders>
              <w:bottom w:val="single" w:sz="4" w:space="0" w:color="808080" w:themeColor="background1" w:themeShade="80"/>
            </w:tcBorders>
            <w:shd w:val="clear" w:color="auto" w:fill="auto"/>
            <w:vAlign w:val="center"/>
          </w:tcPr>
          <w:p w14:paraId="4E345137" w14:textId="77777777" w:rsidR="004F27D2" w:rsidRPr="00332AB5" w:rsidRDefault="004F27D2" w:rsidP="00D274B6">
            <w:pPr>
              <w:spacing w:after="60"/>
              <w:jc w:val="right"/>
              <w:rPr>
                <w:sz w:val="16"/>
                <w:szCs w:val="24"/>
              </w:rPr>
            </w:pPr>
            <w:r w:rsidRPr="00332AB5">
              <w:rPr>
                <w:rFonts w:asciiTheme="minorHAnsi" w:hAnsiTheme="minorHAnsi" w:cstheme="minorHAnsi"/>
                <w:sz w:val="16"/>
              </w:rPr>
              <w:t>Doznačena sredstva</w:t>
            </w:r>
          </w:p>
        </w:tc>
        <w:tc>
          <w:tcPr>
            <w:tcW w:w="776" w:type="dxa"/>
            <w:tcBorders>
              <w:bottom w:val="single" w:sz="4" w:space="0" w:color="808080" w:themeColor="background1" w:themeShade="80"/>
            </w:tcBorders>
            <w:shd w:val="clear" w:color="auto" w:fill="auto"/>
            <w:vAlign w:val="center"/>
          </w:tcPr>
          <w:p w14:paraId="481C98C0" w14:textId="77777777" w:rsidR="004F27D2" w:rsidRPr="00332AB5" w:rsidRDefault="004F27D2" w:rsidP="00D274B6">
            <w:pPr>
              <w:spacing w:after="60"/>
              <w:jc w:val="right"/>
              <w:rPr>
                <w:sz w:val="16"/>
                <w:szCs w:val="24"/>
              </w:rPr>
            </w:pPr>
            <w:r w:rsidRPr="00332AB5">
              <w:rPr>
                <w:rFonts w:asciiTheme="minorHAnsi" w:hAnsiTheme="minorHAnsi" w:cstheme="minorHAnsi"/>
                <w:sz w:val="16"/>
              </w:rPr>
              <w:t xml:space="preserve"> %</w:t>
            </w:r>
          </w:p>
        </w:tc>
      </w:tr>
      <w:tr w:rsidR="004F27D2" w:rsidRPr="00332AB5" w14:paraId="6109D6FD" w14:textId="77777777" w:rsidTr="00AE79B6">
        <w:trPr>
          <w:trHeight w:val="113"/>
        </w:trPr>
        <w:tc>
          <w:tcPr>
            <w:tcW w:w="1179" w:type="dxa"/>
            <w:shd w:val="clear" w:color="auto" w:fill="auto"/>
            <w:vAlign w:val="center"/>
          </w:tcPr>
          <w:p w14:paraId="4A1FE6AC" w14:textId="77777777" w:rsidR="004F27D2" w:rsidRPr="00332AB5" w:rsidRDefault="004F27D2" w:rsidP="00D274B6">
            <w:pPr>
              <w:rPr>
                <w:rFonts w:asciiTheme="minorHAnsi" w:hAnsiTheme="minorHAnsi" w:cstheme="minorHAnsi"/>
                <w:sz w:val="8"/>
                <w:szCs w:val="24"/>
              </w:rPr>
            </w:pPr>
          </w:p>
        </w:tc>
        <w:tc>
          <w:tcPr>
            <w:tcW w:w="1089" w:type="dxa"/>
            <w:tcBorders>
              <w:top w:val="single" w:sz="4" w:space="0" w:color="808080" w:themeColor="background1" w:themeShade="80"/>
            </w:tcBorders>
            <w:shd w:val="clear" w:color="auto" w:fill="auto"/>
            <w:vAlign w:val="center"/>
          </w:tcPr>
          <w:p w14:paraId="44E139A3" w14:textId="77777777" w:rsidR="004F27D2" w:rsidRPr="00332AB5" w:rsidRDefault="004F27D2" w:rsidP="00D274B6">
            <w:pPr>
              <w:jc w:val="right"/>
              <w:rPr>
                <w:rFonts w:asciiTheme="minorHAnsi" w:hAnsiTheme="minorHAnsi" w:cstheme="minorHAnsi"/>
                <w:sz w:val="8"/>
                <w:szCs w:val="24"/>
              </w:rPr>
            </w:pPr>
          </w:p>
        </w:tc>
        <w:tc>
          <w:tcPr>
            <w:tcW w:w="998" w:type="dxa"/>
            <w:tcBorders>
              <w:top w:val="single" w:sz="4" w:space="0" w:color="808080" w:themeColor="background1" w:themeShade="80"/>
            </w:tcBorders>
            <w:shd w:val="clear" w:color="auto" w:fill="auto"/>
            <w:vAlign w:val="center"/>
          </w:tcPr>
          <w:p w14:paraId="0F6D044D" w14:textId="77777777" w:rsidR="004F27D2" w:rsidRPr="00332AB5" w:rsidRDefault="004F27D2" w:rsidP="00D274B6">
            <w:pPr>
              <w:jc w:val="right"/>
              <w:rPr>
                <w:rFonts w:asciiTheme="minorHAnsi" w:hAnsiTheme="minorHAnsi" w:cstheme="minorHAnsi"/>
                <w:sz w:val="8"/>
                <w:szCs w:val="24"/>
              </w:rPr>
            </w:pPr>
          </w:p>
        </w:tc>
        <w:tc>
          <w:tcPr>
            <w:tcW w:w="845" w:type="dxa"/>
            <w:tcBorders>
              <w:top w:val="single" w:sz="4" w:space="0" w:color="808080" w:themeColor="background1" w:themeShade="80"/>
            </w:tcBorders>
            <w:shd w:val="clear" w:color="auto" w:fill="auto"/>
            <w:vAlign w:val="center"/>
          </w:tcPr>
          <w:p w14:paraId="644AA888" w14:textId="77777777" w:rsidR="004F27D2" w:rsidRPr="00332AB5" w:rsidRDefault="004F27D2" w:rsidP="00D274B6">
            <w:pPr>
              <w:jc w:val="right"/>
              <w:rPr>
                <w:rFonts w:asciiTheme="minorHAnsi" w:hAnsiTheme="minorHAnsi" w:cstheme="minorHAnsi"/>
                <w:sz w:val="8"/>
                <w:szCs w:val="24"/>
              </w:rPr>
            </w:pPr>
          </w:p>
        </w:tc>
        <w:tc>
          <w:tcPr>
            <w:tcW w:w="879" w:type="dxa"/>
            <w:tcBorders>
              <w:top w:val="single" w:sz="4" w:space="0" w:color="808080" w:themeColor="background1" w:themeShade="80"/>
            </w:tcBorders>
            <w:shd w:val="clear" w:color="auto" w:fill="auto"/>
            <w:vAlign w:val="center"/>
          </w:tcPr>
          <w:p w14:paraId="1F3049D7" w14:textId="77777777" w:rsidR="004F27D2" w:rsidRPr="00332AB5" w:rsidRDefault="004F27D2" w:rsidP="00D274B6">
            <w:pPr>
              <w:jc w:val="right"/>
              <w:rPr>
                <w:rFonts w:asciiTheme="minorHAnsi" w:hAnsiTheme="minorHAnsi" w:cstheme="minorHAnsi"/>
                <w:sz w:val="8"/>
                <w:szCs w:val="24"/>
              </w:rPr>
            </w:pPr>
          </w:p>
        </w:tc>
        <w:tc>
          <w:tcPr>
            <w:tcW w:w="822" w:type="dxa"/>
            <w:tcBorders>
              <w:top w:val="single" w:sz="4" w:space="0" w:color="808080" w:themeColor="background1" w:themeShade="80"/>
            </w:tcBorders>
            <w:shd w:val="clear" w:color="auto" w:fill="auto"/>
            <w:vAlign w:val="center"/>
          </w:tcPr>
          <w:p w14:paraId="1A8D8E2E" w14:textId="77777777" w:rsidR="004F27D2" w:rsidRPr="00332AB5" w:rsidRDefault="004F27D2" w:rsidP="00D274B6">
            <w:pPr>
              <w:jc w:val="right"/>
              <w:rPr>
                <w:rFonts w:asciiTheme="minorHAnsi" w:hAnsiTheme="minorHAnsi" w:cstheme="minorHAnsi"/>
                <w:sz w:val="8"/>
                <w:szCs w:val="24"/>
              </w:rPr>
            </w:pPr>
          </w:p>
        </w:tc>
        <w:tc>
          <w:tcPr>
            <w:tcW w:w="902" w:type="dxa"/>
            <w:tcBorders>
              <w:top w:val="single" w:sz="4" w:space="0" w:color="808080" w:themeColor="background1" w:themeShade="80"/>
            </w:tcBorders>
            <w:shd w:val="clear" w:color="auto" w:fill="auto"/>
            <w:vAlign w:val="center"/>
          </w:tcPr>
          <w:p w14:paraId="439442B8" w14:textId="77777777" w:rsidR="004F27D2" w:rsidRPr="00332AB5" w:rsidRDefault="004F27D2" w:rsidP="00D274B6">
            <w:pPr>
              <w:jc w:val="right"/>
              <w:rPr>
                <w:rFonts w:asciiTheme="minorHAnsi" w:hAnsiTheme="minorHAnsi" w:cstheme="minorHAnsi"/>
                <w:sz w:val="8"/>
                <w:szCs w:val="24"/>
              </w:rPr>
            </w:pPr>
          </w:p>
        </w:tc>
        <w:tc>
          <w:tcPr>
            <w:tcW w:w="635" w:type="dxa"/>
            <w:tcBorders>
              <w:top w:val="single" w:sz="4" w:space="0" w:color="808080" w:themeColor="background1" w:themeShade="80"/>
            </w:tcBorders>
            <w:shd w:val="clear" w:color="auto" w:fill="auto"/>
            <w:vAlign w:val="center"/>
          </w:tcPr>
          <w:p w14:paraId="29D055AD" w14:textId="77777777" w:rsidR="004F27D2" w:rsidRPr="00332AB5" w:rsidRDefault="004F27D2" w:rsidP="00D274B6">
            <w:pPr>
              <w:jc w:val="right"/>
              <w:rPr>
                <w:rFonts w:asciiTheme="minorHAnsi" w:hAnsiTheme="minorHAnsi" w:cstheme="minorHAnsi"/>
                <w:sz w:val="8"/>
                <w:szCs w:val="24"/>
              </w:rPr>
            </w:pPr>
          </w:p>
        </w:tc>
        <w:tc>
          <w:tcPr>
            <w:tcW w:w="1089" w:type="dxa"/>
            <w:tcBorders>
              <w:top w:val="single" w:sz="4" w:space="0" w:color="808080" w:themeColor="background1" w:themeShade="80"/>
            </w:tcBorders>
            <w:shd w:val="clear" w:color="auto" w:fill="auto"/>
            <w:vAlign w:val="center"/>
          </w:tcPr>
          <w:p w14:paraId="3873969B" w14:textId="77777777" w:rsidR="004F27D2" w:rsidRPr="00332AB5" w:rsidRDefault="004F27D2" w:rsidP="00D274B6">
            <w:pPr>
              <w:jc w:val="right"/>
              <w:rPr>
                <w:rFonts w:asciiTheme="minorHAnsi" w:hAnsiTheme="minorHAnsi" w:cstheme="minorHAnsi"/>
                <w:sz w:val="8"/>
                <w:szCs w:val="24"/>
              </w:rPr>
            </w:pPr>
          </w:p>
        </w:tc>
        <w:tc>
          <w:tcPr>
            <w:tcW w:w="776" w:type="dxa"/>
            <w:tcBorders>
              <w:top w:val="single" w:sz="4" w:space="0" w:color="808080" w:themeColor="background1" w:themeShade="80"/>
            </w:tcBorders>
            <w:shd w:val="clear" w:color="auto" w:fill="auto"/>
            <w:vAlign w:val="center"/>
          </w:tcPr>
          <w:p w14:paraId="45657A18" w14:textId="77777777" w:rsidR="004F27D2" w:rsidRPr="00332AB5" w:rsidRDefault="004F27D2" w:rsidP="00D274B6">
            <w:pPr>
              <w:jc w:val="right"/>
              <w:rPr>
                <w:rFonts w:asciiTheme="minorHAnsi" w:hAnsiTheme="minorHAnsi" w:cstheme="minorHAnsi"/>
                <w:sz w:val="8"/>
                <w:szCs w:val="24"/>
              </w:rPr>
            </w:pPr>
          </w:p>
        </w:tc>
      </w:tr>
      <w:tr w:rsidR="00AE79B6" w:rsidRPr="00332AB5" w14:paraId="0C222D7A" w14:textId="77777777" w:rsidTr="00AE79B6">
        <w:trPr>
          <w:trHeight w:val="397"/>
        </w:trPr>
        <w:tc>
          <w:tcPr>
            <w:tcW w:w="1179" w:type="dxa"/>
            <w:shd w:val="clear" w:color="auto" w:fill="auto"/>
            <w:vAlign w:val="center"/>
          </w:tcPr>
          <w:p w14:paraId="518993CE" w14:textId="065CD8F9" w:rsidR="00AE79B6" w:rsidRPr="00332AB5" w:rsidRDefault="00AE79B6" w:rsidP="00AE79B6">
            <w:pPr>
              <w:rPr>
                <w:rFonts w:asciiTheme="minorHAnsi" w:hAnsiTheme="minorHAnsi" w:cstheme="minorHAnsi"/>
                <w:sz w:val="18"/>
                <w:szCs w:val="18"/>
              </w:rPr>
            </w:pPr>
            <w:r w:rsidRPr="00332AB5">
              <w:rPr>
                <w:rFonts w:asciiTheme="minorHAnsi" w:hAnsiTheme="minorHAnsi" w:cstheme="minorHAnsi"/>
                <w:sz w:val="18"/>
                <w:szCs w:val="18"/>
              </w:rPr>
              <w:t>OPKK (REACT)</w:t>
            </w:r>
          </w:p>
        </w:tc>
        <w:tc>
          <w:tcPr>
            <w:tcW w:w="1089" w:type="dxa"/>
            <w:vAlign w:val="center"/>
          </w:tcPr>
          <w:p w14:paraId="25F83542" w14:textId="509B9DB1" w:rsidR="00AE79B6" w:rsidRPr="00332AB5" w:rsidRDefault="00AE79B6" w:rsidP="00AE79B6">
            <w:pPr>
              <w:jc w:val="right"/>
              <w:rPr>
                <w:rFonts w:asciiTheme="minorHAnsi" w:hAnsiTheme="minorHAnsi" w:cstheme="minorHAnsi"/>
                <w:sz w:val="18"/>
                <w:szCs w:val="18"/>
              </w:rPr>
            </w:pPr>
            <w:r w:rsidRPr="00332AB5">
              <w:rPr>
                <w:rFonts w:asciiTheme="minorHAnsi" w:hAnsiTheme="minorHAnsi" w:cstheme="minorHAnsi"/>
                <w:color w:val="000000"/>
                <w:sz w:val="18"/>
                <w:szCs w:val="18"/>
              </w:rPr>
              <w:t>132,56</w:t>
            </w:r>
          </w:p>
        </w:tc>
        <w:tc>
          <w:tcPr>
            <w:tcW w:w="998" w:type="dxa"/>
            <w:vAlign w:val="center"/>
          </w:tcPr>
          <w:p w14:paraId="3E1FDC46" w14:textId="220D6C5D" w:rsidR="00AE79B6" w:rsidRPr="00332AB5" w:rsidRDefault="00AE79B6" w:rsidP="00AE79B6">
            <w:pPr>
              <w:jc w:val="right"/>
              <w:rPr>
                <w:rFonts w:asciiTheme="minorHAnsi" w:hAnsiTheme="minorHAnsi" w:cstheme="minorHAnsi"/>
                <w:sz w:val="18"/>
                <w:szCs w:val="18"/>
              </w:rPr>
            </w:pPr>
            <w:r w:rsidRPr="00332AB5">
              <w:rPr>
                <w:rFonts w:asciiTheme="minorHAnsi" w:hAnsiTheme="minorHAnsi" w:cstheme="minorHAnsi"/>
                <w:color w:val="000000"/>
                <w:sz w:val="18"/>
                <w:szCs w:val="18"/>
              </w:rPr>
              <w:t>-2,31</w:t>
            </w:r>
          </w:p>
        </w:tc>
        <w:tc>
          <w:tcPr>
            <w:tcW w:w="845" w:type="dxa"/>
            <w:vAlign w:val="center"/>
          </w:tcPr>
          <w:p w14:paraId="67524537" w14:textId="226C914E" w:rsidR="00AE79B6" w:rsidRPr="00332AB5" w:rsidRDefault="00AE79B6" w:rsidP="00AE79B6">
            <w:pPr>
              <w:jc w:val="right"/>
              <w:rPr>
                <w:rFonts w:asciiTheme="minorHAnsi" w:hAnsiTheme="minorHAnsi" w:cstheme="minorHAnsi"/>
                <w:sz w:val="18"/>
                <w:szCs w:val="18"/>
              </w:rPr>
            </w:pPr>
            <w:r w:rsidRPr="00332AB5">
              <w:rPr>
                <w:rFonts w:asciiTheme="minorHAnsi" w:hAnsiTheme="minorHAnsi" w:cstheme="minorHAnsi"/>
                <w:color w:val="000000"/>
                <w:sz w:val="18"/>
                <w:szCs w:val="18"/>
              </w:rPr>
              <w:t>-1,74</w:t>
            </w:r>
          </w:p>
        </w:tc>
        <w:tc>
          <w:tcPr>
            <w:tcW w:w="879" w:type="dxa"/>
            <w:vAlign w:val="center"/>
          </w:tcPr>
          <w:p w14:paraId="5A363C60" w14:textId="727A2566" w:rsidR="00AE79B6" w:rsidRPr="00332AB5" w:rsidRDefault="00AE79B6" w:rsidP="00AE79B6">
            <w:pPr>
              <w:jc w:val="right"/>
              <w:rPr>
                <w:rFonts w:asciiTheme="minorHAnsi" w:hAnsiTheme="minorHAnsi" w:cstheme="minorBidi"/>
                <w:color w:val="000000" w:themeColor="text1"/>
                <w:sz w:val="18"/>
                <w:szCs w:val="18"/>
              </w:rPr>
            </w:pPr>
            <w:r w:rsidRPr="00332AB5">
              <w:rPr>
                <w:rFonts w:asciiTheme="minorHAnsi" w:hAnsiTheme="minorHAnsi" w:cstheme="minorHAnsi"/>
                <w:color w:val="000000"/>
                <w:sz w:val="18"/>
                <w:szCs w:val="18"/>
              </w:rPr>
              <w:t>22,32</w:t>
            </w:r>
          </w:p>
        </w:tc>
        <w:tc>
          <w:tcPr>
            <w:tcW w:w="822" w:type="dxa"/>
            <w:vAlign w:val="center"/>
          </w:tcPr>
          <w:p w14:paraId="6DB71034" w14:textId="50DB8E30" w:rsidR="00AE79B6" w:rsidRPr="00332AB5" w:rsidRDefault="00AE79B6" w:rsidP="00AE79B6">
            <w:pPr>
              <w:jc w:val="right"/>
              <w:rPr>
                <w:rFonts w:asciiTheme="minorHAnsi" w:hAnsiTheme="minorHAnsi" w:cstheme="minorHAnsi"/>
                <w:sz w:val="18"/>
                <w:szCs w:val="18"/>
              </w:rPr>
            </w:pPr>
            <w:r w:rsidRPr="00332AB5">
              <w:rPr>
                <w:rFonts w:asciiTheme="minorHAnsi" w:hAnsiTheme="minorHAnsi" w:cstheme="minorHAnsi"/>
                <w:sz w:val="18"/>
                <w:szCs w:val="18"/>
              </w:rPr>
              <w:t>16,84</w:t>
            </w:r>
          </w:p>
        </w:tc>
        <w:tc>
          <w:tcPr>
            <w:tcW w:w="902" w:type="dxa"/>
            <w:vAlign w:val="center"/>
          </w:tcPr>
          <w:p w14:paraId="22F59939" w14:textId="74562EA4" w:rsidR="00AE79B6" w:rsidRPr="00332AB5" w:rsidRDefault="00AE79B6" w:rsidP="00AE79B6">
            <w:pPr>
              <w:jc w:val="right"/>
              <w:rPr>
                <w:rFonts w:asciiTheme="minorHAnsi" w:hAnsiTheme="minorHAnsi" w:cstheme="minorHAnsi"/>
                <w:sz w:val="18"/>
                <w:szCs w:val="18"/>
              </w:rPr>
            </w:pPr>
            <w:r w:rsidRPr="00332AB5">
              <w:rPr>
                <w:rFonts w:asciiTheme="minorHAnsi" w:hAnsiTheme="minorHAnsi" w:cstheme="minorHAnsi"/>
                <w:sz w:val="18"/>
                <w:szCs w:val="18"/>
              </w:rPr>
              <w:t>-</w:t>
            </w:r>
          </w:p>
        </w:tc>
        <w:tc>
          <w:tcPr>
            <w:tcW w:w="635" w:type="dxa"/>
            <w:vAlign w:val="center"/>
          </w:tcPr>
          <w:p w14:paraId="4303DCC6" w14:textId="50D9A24D" w:rsidR="00AE79B6" w:rsidRPr="00332AB5" w:rsidRDefault="00AE79B6" w:rsidP="00AE79B6">
            <w:pPr>
              <w:jc w:val="right"/>
              <w:rPr>
                <w:rFonts w:asciiTheme="minorHAnsi" w:hAnsiTheme="minorHAnsi" w:cstheme="minorHAnsi"/>
                <w:sz w:val="18"/>
                <w:szCs w:val="18"/>
              </w:rPr>
            </w:pPr>
            <w:r w:rsidRPr="00332AB5">
              <w:rPr>
                <w:rFonts w:asciiTheme="minorHAnsi" w:hAnsiTheme="minorHAnsi" w:cstheme="minorHAnsi"/>
                <w:sz w:val="18"/>
                <w:szCs w:val="18"/>
              </w:rPr>
              <w:t>-</w:t>
            </w:r>
          </w:p>
        </w:tc>
        <w:tc>
          <w:tcPr>
            <w:tcW w:w="1089" w:type="dxa"/>
            <w:vAlign w:val="center"/>
          </w:tcPr>
          <w:p w14:paraId="06397332" w14:textId="086757FE" w:rsidR="00AE79B6" w:rsidRPr="00332AB5" w:rsidRDefault="00AE79B6" w:rsidP="00AE79B6">
            <w:pPr>
              <w:jc w:val="right"/>
              <w:rPr>
                <w:rFonts w:ascii="Calibri" w:hAnsi="Calibri" w:cs="Calibri"/>
                <w:sz w:val="18"/>
                <w:szCs w:val="18"/>
              </w:rPr>
            </w:pPr>
            <w:r w:rsidRPr="00332AB5">
              <w:rPr>
                <w:rFonts w:asciiTheme="minorHAnsi" w:hAnsiTheme="minorHAnsi" w:cstheme="minorHAnsi"/>
                <w:sz w:val="18"/>
                <w:szCs w:val="18"/>
              </w:rPr>
              <w:t>2,65</w:t>
            </w:r>
          </w:p>
        </w:tc>
        <w:tc>
          <w:tcPr>
            <w:tcW w:w="776" w:type="dxa"/>
            <w:vAlign w:val="center"/>
          </w:tcPr>
          <w:p w14:paraId="650501C7" w14:textId="132ED5A9" w:rsidR="00AE79B6" w:rsidRPr="00332AB5" w:rsidRDefault="00AE79B6" w:rsidP="00AE79B6">
            <w:pPr>
              <w:jc w:val="right"/>
              <w:rPr>
                <w:rFonts w:asciiTheme="minorHAnsi" w:hAnsiTheme="minorHAnsi" w:cstheme="minorHAnsi"/>
                <w:sz w:val="18"/>
                <w:szCs w:val="18"/>
              </w:rPr>
            </w:pPr>
            <w:r w:rsidRPr="00332AB5">
              <w:rPr>
                <w:rFonts w:asciiTheme="minorHAnsi" w:hAnsiTheme="minorHAnsi" w:cstheme="minorHAnsi"/>
                <w:sz w:val="18"/>
                <w:szCs w:val="18"/>
              </w:rPr>
              <w:t>2,00</w:t>
            </w:r>
          </w:p>
        </w:tc>
      </w:tr>
      <w:tr w:rsidR="00AE79B6" w:rsidRPr="00332AB5" w14:paraId="7BE9DA23" w14:textId="77777777" w:rsidTr="00AE79B6">
        <w:trPr>
          <w:trHeight w:val="397"/>
        </w:trPr>
        <w:tc>
          <w:tcPr>
            <w:tcW w:w="1179" w:type="dxa"/>
            <w:shd w:val="clear" w:color="auto" w:fill="auto"/>
            <w:vAlign w:val="center"/>
          </w:tcPr>
          <w:p w14:paraId="1637504E" w14:textId="762B7D50" w:rsidR="00AE79B6" w:rsidRPr="00332AB5" w:rsidRDefault="00AE79B6" w:rsidP="00AE79B6">
            <w:pPr>
              <w:rPr>
                <w:rFonts w:asciiTheme="minorHAnsi" w:hAnsiTheme="minorHAnsi" w:cstheme="minorHAnsi"/>
                <w:sz w:val="18"/>
                <w:szCs w:val="18"/>
              </w:rPr>
            </w:pPr>
            <w:r w:rsidRPr="00332AB5">
              <w:rPr>
                <w:rFonts w:asciiTheme="minorHAnsi" w:hAnsiTheme="minorHAnsi" w:cstheme="minorHAnsi"/>
                <w:sz w:val="18"/>
                <w:szCs w:val="18"/>
              </w:rPr>
              <w:t>OPULJP (REACT)</w:t>
            </w:r>
          </w:p>
        </w:tc>
        <w:tc>
          <w:tcPr>
            <w:tcW w:w="1089" w:type="dxa"/>
            <w:vAlign w:val="center"/>
          </w:tcPr>
          <w:p w14:paraId="63106F8A" w14:textId="3D450154" w:rsidR="00AE79B6" w:rsidRPr="00332AB5" w:rsidRDefault="00AE79B6" w:rsidP="00AE79B6">
            <w:pPr>
              <w:jc w:val="right"/>
              <w:rPr>
                <w:rFonts w:asciiTheme="minorHAnsi" w:hAnsiTheme="minorHAnsi" w:cstheme="minorHAnsi"/>
                <w:sz w:val="18"/>
                <w:szCs w:val="18"/>
              </w:rPr>
            </w:pPr>
            <w:r w:rsidRPr="00332AB5">
              <w:rPr>
                <w:rFonts w:asciiTheme="minorHAnsi" w:hAnsiTheme="minorHAnsi" w:cstheme="minorHAnsi"/>
                <w:color w:val="000000"/>
                <w:sz w:val="18"/>
                <w:szCs w:val="18"/>
              </w:rPr>
              <w:t>530,00</w:t>
            </w:r>
          </w:p>
        </w:tc>
        <w:tc>
          <w:tcPr>
            <w:tcW w:w="998" w:type="dxa"/>
            <w:vAlign w:val="center"/>
          </w:tcPr>
          <w:p w14:paraId="0893EB9C" w14:textId="06DA229D" w:rsidR="00AE79B6" w:rsidRPr="00332AB5" w:rsidRDefault="00AE79B6" w:rsidP="00AE79B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560,00</w:t>
            </w:r>
          </w:p>
        </w:tc>
        <w:tc>
          <w:tcPr>
            <w:tcW w:w="845" w:type="dxa"/>
            <w:vAlign w:val="center"/>
          </w:tcPr>
          <w:p w14:paraId="2DC2776C" w14:textId="20D447D1" w:rsidR="00AE79B6" w:rsidRPr="00332AB5" w:rsidRDefault="00AE79B6" w:rsidP="00AE79B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105,66</w:t>
            </w:r>
          </w:p>
        </w:tc>
        <w:tc>
          <w:tcPr>
            <w:tcW w:w="879" w:type="dxa"/>
            <w:vAlign w:val="center"/>
          </w:tcPr>
          <w:p w14:paraId="186C231C" w14:textId="7F331FF1" w:rsidR="00AE79B6" w:rsidRPr="00332AB5" w:rsidRDefault="00AE79B6" w:rsidP="00AE79B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560,00</w:t>
            </w:r>
          </w:p>
        </w:tc>
        <w:tc>
          <w:tcPr>
            <w:tcW w:w="822" w:type="dxa"/>
            <w:vAlign w:val="center"/>
          </w:tcPr>
          <w:p w14:paraId="078B977B" w14:textId="054CD2BE" w:rsidR="00AE79B6" w:rsidRPr="00332AB5" w:rsidRDefault="00AE79B6" w:rsidP="00AE79B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105,66</w:t>
            </w:r>
          </w:p>
        </w:tc>
        <w:tc>
          <w:tcPr>
            <w:tcW w:w="902" w:type="dxa"/>
            <w:vAlign w:val="center"/>
          </w:tcPr>
          <w:p w14:paraId="113F06E7" w14:textId="239342B3" w:rsidR="00AE79B6" w:rsidRPr="00332AB5" w:rsidRDefault="00AE79B6" w:rsidP="00AE79B6">
            <w:pPr>
              <w:jc w:val="right"/>
              <w:rPr>
                <w:rFonts w:asciiTheme="minorHAnsi" w:hAnsiTheme="minorHAnsi" w:cstheme="minorHAnsi"/>
                <w:sz w:val="18"/>
                <w:szCs w:val="18"/>
              </w:rPr>
            </w:pPr>
            <w:r w:rsidRPr="00332AB5">
              <w:rPr>
                <w:rFonts w:ascii="Calibri" w:hAnsi="Calibri"/>
                <w:color w:val="000000" w:themeColor="text1"/>
                <w:sz w:val="18"/>
                <w:szCs w:val="18"/>
              </w:rPr>
              <w:t>-</w:t>
            </w:r>
          </w:p>
        </w:tc>
        <w:tc>
          <w:tcPr>
            <w:tcW w:w="635" w:type="dxa"/>
            <w:vAlign w:val="center"/>
          </w:tcPr>
          <w:p w14:paraId="39F88EC1" w14:textId="3F0874E0" w:rsidR="00AE79B6" w:rsidRPr="00332AB5" w:rsidRDefault="00AE79B6" w:rsidP="00AE79B6">
            <w:pPr>
              <w:jc w:val="right"/>
              <w:rPr>
                <w:rFonts w:asciiTheme="minorHAnsi" w:hAnsiTheme="minorHAnsi" w:cstheme="minorHAnsi"/>
                <w:sz w:val="18"/>
                <w:szCs w:val="18"/>
              </w:rPr>
            </w:pPr>
            <w:r w:rsidRPr="00332AB5">
              <w:rPr>
                <w:rFonts w:ascii="Calibri" w:hAnsi="Calibri"/>
                <w:color w:val="000000" w:themeColor="text1"/>
                <w:sz w:val="18"/>
                <w:szCs w:val="18"/>
              </w:rPr>
              <w:t>-</w:t>
            </w:r>
          </w:p>
        </w:tc>
        <w:tc>
          <w:tcPr>
            <w:tcW w:w="1089" w:type="dxa"/>
            <w:vAlign w:val="center"/>
          </w:tcPr>
          <w:p w14:paraId="0F895CDB" w14:textId="2499D3FC" w:rsidR="00AE79B6" w:rsidRPr="00332AB5" w:rsidRDefault="00AE79B6" w:rsidP="00AE79B6">
            <w:pPr>
              <w:jc w:val="right"/>
              <w:rPr>
                <w:rFonts w:asciiTheme="minorHAnsi" w:hAnsiTheme="minorHAnsi" w:cstheme="minorHAnsi"/>
                <w:sz w:val="18"/>
                <w:szCs w:val="18"/>
              </w:rPr>
            </w:pPr>
            <w:r w:rsidRPr="00332AB5">
              <w:rPr>
                <w:rFonts w:asciiTheme="minorHAnsi" w:hAnsiTheme="minorHAnsi" w:cstheme="minorHAnsi"/>
                <w:sz w:val="18"/>
                <w:szCs w:val="18"/>
              </w:rPr>
              <w:t>-</w:t>
            </w:r>
          </w:p>
        </w:tc>
        <w:tc>
          <w:tcPr>
            <w:tcW w:w="776" w:type="dxa"/>
            <w:vAlign w:val="center"/>
          </w:tcPr>
          <w:p w14:paraId="23BBEFC3" w14:textId="36CE0481" w:rsidR="00AE79B6" w:rsidRPr="00332AB5" w:rsidRDefault="00AE79B6" w:rsidP="00AE79B6">
            <w:pPr>
              <w:jc w:val="right"/>
              <w:rPr>
                <w:rFonts w:asciiTheme="minorHAnsi" w:hAnsiTheme="minorHAnsi" w:cstheme="minorHAnsi"/>
                <w:sz w:val="18"/>
                <w:szCs w:val="18"/>
              </w:rPr>
            </w:pPr>
            <w:r w:rsidRPr="00332AB5">
              <w:rPr>
                <w:rFonts w:asciiTheme="minorHAnsi" w:hAnsiTheme="minorHAnsi" w:cstheme="minorHAnsi"/>
                <w:sz w:val="18"/>
                <w:szCs w:val="18"/>
              </w:rPr>
              <w:t>-</w:t>
            </w:r>
          </w:p>
        </w:tc>
      </w:tr>
      <w:tr w:rsidR="00AE79B6" w:rsidRPr="00332AB5" w14:paraId="373E4134" w14:textId="77777777" w:rsidTr="00AE79B6">
        <w:trPr>
          <w:trHeight w:val="397"/>
        </w:trPr>
        <w:tc>
          <w:tcPr>
            <w:tcW w:w="1179" w:type="dxa"/>
            <w:shd w:val="clear" w:color="auto" w:fill="auto"/>
            <w:vAlign w:val="center"/>
          </w:tcPr>
          <w:p w14:paraId="668B0FFD" w14:textId="02349FBA" w:rsidR="00AE79B6" w:rsidRPr="00332AB5" w:rsidRDefault="00AE79B6" w:rsidP="00AE79B6">
            <w:pPr>
              <w:rPr>
                <w:rFonts w:asciiTheme="minorHAnsi" w:hAnsiTheme="minorHAnsi" w:cstheme="minorHAnsi"/>
                <w:sz w:val="18"/>
                <w:szCs w:val="18"/>
              </w:rPr>
            </w:pPr>
            <w:r w:rsidRPr="00332AB5">
              <w:rPr>
                <w:rFonts w:asciiTheme="minorHAnsi" w:hAnsiTheme="minorHAnsi" w:cstheme="minorHAnsi"/>
                <w:sz w:val="18"/>
                <w:szCs w:val="18"/>
              </w:rPr>
              <w:t>PRR (EURI)</w:t>
            </w:r>
          </w:p>
        </w:tc>
        <w:tc>
          <w:tcPr>
            <w:tcW w:w="1089" w:type="dxa"/>
            <w:tcBorders>
              <w:bottom w:val="single" w:sz="4" w:space="0" w:color="808080" w:themeColor="background1" w:themeShade="80"/>
            </w:tcBorders>
            <w:vAlign w:val="center"/>
          </w:tcPr>
          <w:p w14:paraId="7FF13BC4" w14:textId="506A91A4" w:rsidR="00AE79B6" w:rsidRPr="00332AB5" w:rsidRDefault="00AE79B6" w:rsidP="00AE79B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201,67</w:t>
            </w:r>
          </w:p>
        </w:tc>
        <w:tc>
          <w:tcPr>
            <w:tcW w:w="998" w:type="dxa"/>
            <w:tcBorders>
              <w:left w:val="nil"/>
              <w:bottom w:val="single" w:sz="4" w:space="0" w:color="808080" w:themeColor="background1" w:themeShade="80"/>
              <w:right w:val="nil"/>
            </w:tcBorders>
            <w:shd w:val="clear" w:color="auto" w:fill="auto"/>
            <w:vAlign w:val="center"/>
          </w:tcPr>
          <w:p w14:paraId="648ECCC1" w14:textId="086AEC37" w:rsidR="00AE79B6" w:rsidRPr="00332AB5" w:rsidRDefault="00AE79B6" w:rsidP="00AE79B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45,98</w:t>
            </w:r>
          </w:p>
        </w:tc>
        <w:tc>
          <w:tcPr>
            <w:tcW w:w="845" w:type="dxa"/>
            <w:tcBorders>
              <w:left w:val="nil"/>
              <w:bottom w:val="single" w:sz="4" w:space="0" w:color="808080" w:themeColor="background1" w:themeShade="80"/>
            </w:tcBorders>
            <w:shd w:val="clear" w:color="auto" w:fill="auto"/>
            <w:vAlign w:val="center"/>
          </w:tcPr>
          <w:p w14:paraId="5552005F" w14:textId="2E72AA62" w:rsidR="00AE79B6" w:rsidRPr="00332AB5" w:rsidRDefault="00AE79B6" w:rsidP="00AE79B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22,80</w:t>
            </w:r>
          </w:p>
        </w:tc>
        <w:tc>
          <w:tcPr>
            <w:tcW w:w="879" w:type="dxa"/>
            <w:tcBorders>
              <w:left w:val="nil"/>
              <w:bottom w:val="single" w:sz="4" w:space="0" w:color="808080" w:themeColor="background1" w:themeShade="80"/>
              <w:right w:val="nil"/>
            </w:tcBorders>
            <w:shd w:val="clear" w:color="auto" w:fill="auto"/>
            <w:vAlign w:val="center"/>
          </w:tcPr>
          <w:p w14:paraId="45E52ACE" w14:textId="7E2C54AC" w:rsidR="00AE79B6" w:rsidRPr="00332AB5" w:rsidRDefault="00AE79B6" w:rsidP="00AE79B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36,72</w:t>
            </w:r>
          </w:p>
        </w:tc>
        <w:tc>
          <w:tcPr>
            <w:tcW w:w="822" w:type="dxa"/>
            <w:tcBorders>
              <w:left w:val="nil"/>
              <w:bottom w:val="single" w:sz="4" w:space="0" w:color="808080" w:themeColor="background1" w:themeShade="80"/>
              <w:right w:val="nil"/>
            </w:tcBorders>
            <w:shd w:val="clear" w:color="auto" w:fill="auto"/>
            <w:vAlign w:val="center"/>
          </w:tcPr>
          <w:p w14:paraId="03A80911" w14:textId="2CF23C09" w:rsidR="00AE79B6" w:rsidRPr="00332AB5" w:rsidRDefault="00AE79B6" w:rsidP="00AE79B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18,21</w:t>
            </w:r>
          </w:p>
        </w:tc>
        <w:tc>
          <w:tcPr>
            <w:tcW w:w="902" w:type="dxa"/>
            <w:tcBorders>
              <w:left w:val="nil"/>
              <w:bottom w:val="single" w:sz="4" w:space="0" w:color="808080" w:themeColor="background1" w:themeShade="80"/>
              <w:right w:val="nil"/>
            </w:tcBorders>
            <w:shd w:val="clear" w:color="auto" w:fill="auto"/>
            <w:vAlign w:val="center"/>
          </w:tcPr>
          <w:p w14:paraId="607077B0" w14:textId="6D79DBAA" w:rsidR="00AE79B6" w:rsidRPr="00332AB5" w:rsidRDefault="00AE79B6" w:rsidP="00AE79B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8,55</w:t>
            </w:r>
          </w:p>
        </w:tc>
        <w:tc>
          <w:tcPr>
            <w:tcW w:w="635" w:type="dxa"/>
            <w:tcBorders>
              <w:left w:val="nil"/>
              <w:bottom w:val="single" w:sz="4" w:space="0" w:color="808080" w:themeColor="background1" w:themeShade="80"/>
              <w:right w:val="nil"/>
            </w:tcBorders>
            <w:shd w:val="clear" w:color="auto" w:fill="auto"/>
            <w:vAlign w:val="center"/>
          </w:tcPr>
          <w:p w14:paraId="55AC82B6" w14:textId="7A5EA680" w:rsidR="00AE79B6" w:rsidRPr="00332AB5" w:rsidRDefault="00AE79B6" w:rsidP="00AE79B6">
            <w:pPr>
              <w:jc w:val="center"/>
              <w:rPr>
                <w:rFonts w:asciiTheme="minorHAnsi" w:hAnsiTheme="minorHAnsi" w:cstheme="minorHAnsi"/>
                <w:color w:val="000000"/>
                <w:sz w:val="18"/>
                <w:szCs w:val="18"/>
              </w:rPr>
            </w:pPr>
            <w:r w:rsidRPr="00332AB5">
              <w:rPr>
                <w:rFonts w:asciiTheme="minorHAnsi" w:hAnsiTheme="minorHAnsi" w:cstheme="minorHAnsi"/>
                <w:color w:val="000000"/>
                <w:sz w:val="18"/>
                <w:szCs w:val="18"/>
              </w:rPr>
              <w:t>4,24</w:t>
            </w:r>
          </w:p>
        </w:tc>
        <w:tc>
          <w:tcPr>
            <w:tcW w:w="1089" w:type="dxa"/>
            <w:tcBorders>
              <w:bottom w:val="single" w:sz="4" w:space="0" w:color="808080" w:themeColor="background1" w:themeShade="80"/>
            </w:tcBorders>
            <w:vAlign w:val="center"/>
          </w:tcPr>
          <w:p w14:paraId="561F6FE9" w14:textId="082C7DF0" w:rsidR="00AE79B6" w:rsidRPr="00332AB5" w:rsidRDefault="00AE79B6" w:rsidP="00AE79B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8,55</w:t>
            </w:r>
          </w:p>
        </w:tc>
        <w:tc>
          <w:tcPr>
            <w:tcW w:w="776" w:type="dxa"/>
            <w:tcBorders>
              <w:bottom w:val="single" w:sz="4" w:space="0" w:color="808080" w:themeColor="background1" w:themeShade="80"/>
            </w:tcBorders>
            <w:vAlign w:val="center"/>
          </w:tcPr>
          <w:p w14:paraId="0F1517C9" w14:textId="3D8EB82D" w:rsidR="00AE79B6" w:rsidRPr="00332AB5" w:rsidRDefault="00AE79B6" w:rsidP="00AE79B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4,24</w:t>
            </w:r>
          </w:p>
        </w:tc>
      </w:tr>
      <w:tr w:rsidR="004F27D2" w:rsidRPr="00332AB5" w14:paraId="59EE2E25" w14:textId="77777777" w:rsidTr="00AE79B6">
        <w:trPr>
          <w:trHeight w:val="510"/>
        </w:trPr>
        <w:tc>
          <w:tcPr>
            <w:tcW w:w="1179" w:type="dxa"/>
            <w:shd w:val="clear" w:color="auto" w:fill="auto"/>
            <w:vAlign w:val="center"/>
          </w:tcPr>
          <w:p w14:paraId="6A5830CB" w14:textId="77777777" w:rsidR="004F27D2" w:rsidRPr="00332AB5" w:rsidRDefault="004F27D2" w:rsidP="00D274B6">
            <w:pPr>
              <w:rPr>
                <w:rFonts w:asciiTheme="minorHAnsi" w:hAnsiTheme="minorHAnsi" w:cstheme="minorHAnsi"/>
                <w:sz w:val="18"/>
                <w:szCs w:val="18"/>
              </w:rPr>
            </w:pPr>
            <w:r w:rsidRPr="00332AB5">
              <w:rPr>
                <w:rFonts w:asciiTheme="minorHAnsi" w:hAnsiTheme="minorHAnsi" w:cstheme="minorHAnsi"/>
                <w:sz w:val="18"/>
                <w:szCs w:val="18"/>
              </w:rPr>
              <w:t>UKUPNO</w:t>
            </w:r>
          </w:p>
        </w:tc>
        <w:tc>
          <w:tcPr>
            <w:tcW w:w="1089" w:type="dxa"/>
            <w:tcBorders>
              <w:bottom w:val="single" w:sz="4" w:space="0" w:color="808080" w:themeColor="background1" w:themeShade="80"/>
            </w:tcBorders>
            <w:shd w:val="clear" w:color="auto" w:fill="auto"/>
            <w:vAlign w:val="center"/>
          </w:tcPr>
          <w:p w14:paraId="5454D1D5" w14:textId="30528788" w:rsidR="004F27D2" w:rsidRPr="00332AB5" w:rsidRDefault="00AE21C3" w:rsidP="00D274B6">
            <w:pPr>
              <w:jc w:val="right"/>
              <w:rPr>
                <w:rFonts w:asciiTheme="minorHAnsi" w:hAnsiTheme="minorHAnsi" w:cstheme="minorHAnsi"/>
                <w:color w:val="FF0000"/>
                <w:sz w:val="18"/>
                <w:szCs w:val="18"/>
              </w:rPr>
            </w:pPr>
            <w:r w:rsidRPr="00332AB5">
              <w:rPr>
                <w:rFonts w:asciiTheme="minorHAnsi" w:hAnsiTheme="minorHAnsi" w:cstheme="minorHAnsi"/>
                <w:sz w:val="18"/>
                <w:szCs w:val="18"/>
              </w:rPr>
              <w:t>864,23</w:t>
            </w:r>
          </w:p>
        </w:tc>
        <w:tc>
          <w:tcPr>
            <w:tcW w:w="998" w:type="dxa"/>
            <w:tcBorders>
              <w:bottom w:val="single" w:sz="4" w:space="0" w:color="808080" w:themeColor="background1" w:themeShade="80"/>
            </w:tcBorders>
            <w:shd w:val="clear" w:color="auto" w:fill="auto"/>
            <w:vAlign w:val="center"/>
          </w:tcPr>
          <w:p w14:paraId="5502BC68" w14:textId="2630AF5F" w:rsidR="004F27D2" w:rsidRPr="00332AB5" w:rsidRDefault="00AE21C3" w:rsidP="00D274B6">
            <w:pPr>
              <w:jc w:val="right"/>
              <w:rPr>
                <w:rFonts w:asciiTheme="minorHAnsi" w:hAnsiTheme="minorHAnsi" w:cstheme="minorHAnsi"/>
                <w:sz w:val="18"/>
                <w:szCs w:val="18"/>
              </w:rPr>
            </w:pPr>
            <w:r w:rsidRPr="00332AB5">
              <w:rPr>
                <w:rFonts w:asciiTheme="minorHAnsi" w:hAnsiTheme="minorHAnsi" w:cstheme="minorHAnsi"/>
                <w:sz w:val="18"/>
                <w:szCs w:val="18"/>
              </w:rPr>
              <w:t>603,67</w:t>
            </w:r>
          </w:p>
        </w:tc>
        <w:tc>
          <w:tcPr>
            <w:tcW w:w="845" w:type="dxa"/>
            <w:tcBorders>
              <w:bottom w:val="single" w:sz="4" w:space="0" w:color="808080" w:themeColor="background1" w:themeShade="80"/>
            </w:tcBorders>
            <w:shd w:val="clear" w:color="auto" w:fill="auto"/>
            <w:vAlign w:val="center"/>
          </w:tcPr>
          <w:p w14:paraId="6502CE6D" w14:textId="58200B00" w:rsidR="004F27D2" w:rsidRPr="00332AB5" w:rsidRDefault="00AE21C3" w:rsidP="00D274B6">
            <w:pPr>
              <w:jc w:val="right"/>
              <w:rPr>
                <w:rFonts w:asciiTheme="minorHAnsi" w:hAnsiTheme="minorHAnsi" w:cstheme="minorHAnsi"/>
                <w:sz w:val="18"/>
                <w:szCs w:val="18"/>
              </w:rPr>
            </w:pPr>
            <w:r w:rsidRPr="00332AB5">
              <w:rPr>
                <w:rFonts w:asciiTheme="minorHAnsi" w:hAnsiTheme="minorHAnsi" w:cstheme="minorHAnsi"/>
                <w:sz w:val="18"/>
                <w:szCs w:val="18"/>
              </w:rPr>
              <w:t>69,85</w:t>
            </w:r>
          </w:p>
        </w:tc>
        <w:tc>
          <w:tcPr>
            <w:tcW w:w="879" w:type="dxa"/>
            <w:tcBorders>
              <w:bottom w:val="single" w:sz="4" w:space="0" w:color="808080" w:themeColor="background1" w:themeShade="80"/>
            </w:tcBorders>
            <w:shd w:val="clear" w:color="auto" w:fill="auto"/>
            <w:vAlign w:val="center"/>
          </w:tcPr>
          <w:p w14:paraId="37B613F9" w14:textId="7DD8F88A" w:rsidR="004F27D2" w:rsidRPr="00332AB5" w:rsidRDefault="00AE21C3" w:rsidP="00D274B6">
            <w:pPr>
              <w:jc w:val="right"/>
              <w:rPr>
                <w:rFonts w:asciiTheme="minorHAnsi" w:hAnsiTheme="minorHAnsi" w:cstheme="minorHAnsi"/>
                <w:sz w:val="18"/>
                <w:szCs w:val="18"/>
              </w:rPr>
            </w:pPr>
            <w:r w:rsidRPr="00332AB5">
              <w:rPr>
                <w:rFonts w:asciiTheme="minorHAnsi" w:hAnsiTheme="minorHAnsi" w:cstheme="minorHAnsi"/>
                <w:sz w:val="18"/>
                <w:szCs w:val="18"/>
              </w:rPr>
              <w:t>619,04</w:t>
            </w:r>
          </w:p>
        </w:tc>
        <w:tc>
          <w:tcPr>
            <w:tcW w:w="822" w:type="dxa"/>
            <w:tcBorders>
              <w:bottom w:val="single" w:sz="4" w:space="0" w:color="808080" w:themeColor="background1" w:themeShade="80"/>
            </w:tcBorders>
            <w:shd w:val="clear" w:color="auto" w:fill="auto"/>
            <w:vAlign w:val="center"/>
          </w:tcPr>
          <w:p w14:paraId="5F291245" w14:textId="1ACD36F5" w:rsidR="004F27D2" w:rsidRPr="00332AB5" w:rsidRDefault="00AE21C3" w:rsidP="00D274B6">
            <w:pPr>
              <w:jc w:val="right"/>
              <w:rPr>
                <w:rFonts w:asciiTheme="minorHAnsi" w:hAnsiTheme="minorHAnsi" w:cstheme="minorHAnsi"/>
                <w:sz w:val="18"/>
                <w:szCs w:val="18"/>
              </w:rPr>
            </w:pPr>
            <w:r w:rsidRPr="00332AB5">
              <w:rPr>
                <w:rFonts w:asciiTheme="minorHAnsi" w:hAnsiTheme="minorHAnsi" w:cstheme="minorHAnsi"/>
                <w:sz w:val="18"/>
                <w:szCs w:val="18"/>
              </w:rPr>
              <w:t>71,63</w:t>
            </w:r>
          </w:p>
        </w:tc>
        <w:tc>
          <w:tcPr>
            <w:tcW w:w="902" w:type="dxa"/>
            <w:tcBorders>
              <w:bottom w:val="single" w:sz="4" w:space="0" w:color="808080" w:themeColor="background1" w:themeShade="80"/>
            </w:tcBorders>
            <w:shd w:val="clear" w:color="auto" w:fill="auto"/>
            <w:vAlign w:val="center"/>
          </w:tcPr>
          <w:p w14:paraId="45AEC09A" w14:textId="6922934D" w:rsidR="004F27D2" w:rsidRPr="00332AB5" w:rsidRDefault="00AE21C3" w:rsidP="00D274B6">
            <w:pPr>
              <w:jc w:val="right"/>
              <w:rPr>
                <w:rFonts w:asciiTheme="minorHAnsi" w:hAnsiTheme="minorHAnsi" w:cstheme="minorHAnsi"/>
                <w:sz w:val="18"/>
                <w:szCs w:val="18"/>
              </w:rPr>
            </w:pPr>
            <w:r w:rsidRPr="00332AB5">
              <w:rPr>
                <w:rFonts w:asciiTheme="minorHAnsi" w:hAnsiTheme="minorHAnsi" w:cstheme="minorHAnsi"/>
                <w:sz w:val="18"/>
                <w:szCs w:val="18"/>
              </w:rPr>
              <w:t>8,55</w:t>
            </w:r>
          </w:p>
        </w:tc>
        <w:tc>
          <w:tcPr>
            <w:tcW w:w="635" w:type="dxa"/>
            <w:tcBorders>
              <w:bottom w:val="single" w:sz="4" w:space="0" w:color="808080" w:themeColor="background1" w:themeShade="80"/>
            </w:tcBorders>
            <w:shd w:val="clear" w:color="auto" w:fill="auto"/>
            <w:vAlign w:val="center"/>
          </w:tcPr>
          <w:p w14:paraId="5C1F9E1F" w14:textId="558F7B06" w:rsidR="004F27D2" w:rsidRPr="00332AB5" w:rsidRDefault="00AE21C3" w:rsidP="00D274B6">
            <w:pPr>
              <w:jc w:val="right"/>
              <w:rPr>
                <w:rFonts w:asciiTheme="minorHAnsi" w:hAnsiTheme="minorHAnsi" w:cstheme="minorHAnsi"/>
                <w:sz w:val="18"/>
                <w:szCs w:val="18"/>
              </w:rPr>
            </w:pPr>
            <w:r w:rsidRPr="00332AB5">
              <w:rPr>
                <w:rFonts w:asciiTheme="minorHAnsi" w:hAnsiTheme="minorHAnsi" w:cstheme="minorHAnsi"/>
                <w:sz w:val="18"/>
                <w:szCs w:val="18"/>
              </w:rPr>
              <w:t>0,99</w:t>
            </w:r>
          </w:p>
        </w:tc>
        <w:tc>
          <w:tcPr>
            <w:tcW w:w="1089" w:type="dxa"/>
            <w:tcBorders>
              <w:bottom w:val="single" w:sz="4" w:space="0" w:color="808080" w:themeColor="background1" w:themeShade="80"/>
            </w:tcBorders>
            <w:shd w:val="clear" w:color="auto" w:fill="auto"/>
            <w:vAlign w:val="center"/>
          </w:tcPr>
          <w:p w14:paraId="440204B8" w14:textId="11C3302E" w:rsidR="004F27D2" w:rsidRPr="00332AB5" w:rsidRDefault="00AE21C3" w:rsidP="00D274B6">
            <w:pPr>
              <w:jc w:val="right"/>
              <w:rPr>
                <w:rFonts w:asciiTheme="minorHAnsi" w:hAnsiTheme="minorHAnsi" w:cstheme="minorHAnsi"/>
                <w:sz w:val="18"/>
                <w:szCs w:val="18"/>
              </w:rPr>
            </w:pPr>
            <w:r w:rsidRPr="00332AB5">
              <w:rPr>
                <w:rFonts w:asciiTheme="minorHAnsi" w:hAnsiTheme="minorHAnsi" w:cstheme="minorHAnsi"/>
                <w:sz w:val="18"/>
                <w:szCs w:val="18"/>
              </w:rPr>
              <w:t>11,20</w:t>
            </w:r>
          </w:p>
        </w:tc>
        <w:tc>
          <w:tcPr>
            <w:tcW w:w="776" w:type="dxa"/>
            <w:tcBorders>
              <w:bottom w:val="single" w:sz="4" w:space="0" w:color="808080" w:themeColor="background1" w:themeShade="80"/>
            </w:tcBorders>
            <w:shd w:val="clear" w:color="auto" w:fill="auto"/>
            <w:vAlign w:val="center"/>
          </w:tcPr>
          <w:p w14:paraId="1C7BF18B" w14:textId="6F0AC787" w:rsidR="004F27D2" w:rsidRPr="00332AB5" w:rsidRDefault="00AE21C3" w:rsidP="00D274B6">
            <w:pPr>
              <w:jc w:val="right"/>
              <w:rPr>
                <w:rFonts w:asciiTheme="minorHAnsi" w:hAnsiTheme="minorHAnsi" w:cstheme="minorHAnsi"/>
                <w:sz w:val="18"/>
                <w:szCs w:val="18"/>
              </w:rPr>
            </w:pPr>
            <w:r w:rsidRPr="00332AB5">
              <w:rPr>
                <w:rFonts w:asciiTheme="minorHAnsi" w:hAnsiTheme="minorHAnsi" w:cstheme="minorHAnsi"/>
                <w:sz w:val="18"/>
                <w:szCs w:val="18"/>
              </w:rPr>
              <w:t>1,30</w:t>
            </w:r>
          </w:p>
        </w:tc>
      </w:tr>
    </w:tbl>
    <w:p w14:paraId="216D3AAD" w14:textId="77777777" w:rsidR="004F27D2" w:rsidRPr="00332AB5" w:rsidRDefault="004F27D2" w:rsidP="004F27D2">
      <w:pPr>
        <w:spacing w:before="120" w:after="120"/>
        <w:jc w:val="both"/>
        <w:rPr>
          <w:b/>
          <w:bCs/>
        </w:rPr>
      </w:pPr>
    </w:p>
    <w:p w14:paraId="19603F2A" w14:textId="77777777" w:rsidR="00AE21C3" w:rsidRPr="00332AB5" w:rsidRDefault="00AE21C3" w:rsidP="004F27D2">
      <w:pPr>
        <w:spacing w:before="120" w:after="120"/>
        <w:jc w:val="both"/>
        <w:rPr>
          <w:b/>
          <w:bCs/>
        </w:rPr>
      </w:pPr>
    </w:p>
    <w:p w14:paraId="7670D4A3" w14:textId="0B062877" w:rsidR="004F27D2" w:rsidRPr="00332AB5" w:rsidRDefault="004F27D2" w:rsidP="004F27D2">
      <w:pPr>
        <w:spacing w:before="120" w:after="120"/>
        <w:jc w:val="both"/>
        <w:rPr>
          <w:b/>
          <w:bCs/>
        </w:rPr>
      </w:pPr>
      <w:bookmarkStart w:id="34" w:name="_Toc152595279"/>
      <w:r w:rsidRPr="00332AB5">
        <w:rPr>
          <w:b/>
          <w:bCs/>
        </w:rPr>
        <w:t xml:space="preserve">Tablica </w:t>
      </w:r>
      <w:r w:rsidRPr="00332AB5">
        <w:rPr>
          <w:b/>
          <w:bCs/>
        </w:rPr>
        <w:fldChar w:fldCharType="begin"/>
      </w:r>
      <w:r w:rsidRPr="00332AB5">
        <w:rPr>
          <w:b/>
          <w:bCs/>
        </w:rPr>
        <w:instrText xml:space="preserve"> SEQ Tablica \* ARABIC </w:instrText>
      </w:r>
      <w:r w:rsidRPr="00332AB5">
        <w:rPr>
          <w:b/>
          <w:bCs/>
        </w:rPr>
        <w:fldChar w:fldCharType="separate"/>
      </w:r>
      <w:r w:rsidR="005E6E46">
        <w:rPr>
          <w:b/>
          <w:bCs/>
          <w:noProof/>
        </w:rPr>
        <w:t>5</w:t>
      </w:r>
      <w:r w:rsidRPr="00332AB5">
        <w:rPr>
          <w:b/>
          <w:bCs/>
        </w:rPr>
        <w:fldChar w:fldCharType="end"/>
      </w:r>
      <w:r w:rsidRPr="00332AB5">
        <w:rPr>
          <w:b/>
          <w:bCs/>
        </w:rPr>
        <w:t xml:space="preserve">: Financijski pokazatelji statusa provedbe </w:t>
      </w:r>
      <w:r w:rsidR="00AE79B6" w:rsidRPr="00332AB5">
        <w:rPr>
          <w:b/>
          <w:bCs/>
        </w:rPr>
        <w:t xml:space="preserve">instrumenata NEXT GENERATION EU </w:t>
      </w:r>
      <w:r w:rsidRPr="00332AB5">
        <w:rPr>
          <w:b/>
          <w:bCs/>
        </w:rPr>
        <w:t>od početka provedbe do kraja izvještajnog razdoblja 30. lipnja 2023. (sredstva EU, u milijunima eura i postocima od dodijeljenih sredstava)</w:t>
      </w:r>
      <w:bookmarkEnd w:id="34"/>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043"/>
        <w:gridCol w:w="1089"/>
        <w:gridCol w:w="845"/>
        <w:gridCol w:w="992"/>
        <w:gridCol w:w="851"/>
        <w:gridCol w:w="850"/>
        <w:gridCol w:w="709"/>
        <w:gridCol w:w="925"/>
        <w:gridCol w:w="776"/>
      </w:tblGrid>
      <w:tr w:rsidR="004F27D2" w:rsidRPr="00332AB5" w14:paraId="352BA7A8" w14:textId="77777777" w:rsidTr="00AE79B6">
        <w:trPr>
          <w:trHeight w:val="737"/>
        </w:trPr>
        <w:tc>
          <w:tcPr>
            <w:tcW w:w="1134" w:type="dxa"/>
            <w:vAlign w:val="center"/>
          </w:tcPr>
          <w:p w14:paraId="619A7097" w14:textId="77777777" w:rsidR="004F27D2" w:rsidRPr="00332AB5" w:rsidRDefault="004F27D2" w:rsidP="00D274B6">
            <w:pPr>
              <w:spacing w:after="60"/>
              <w:rPr>
                <w:rFonts w:asciiTheme="minorHAnsi" w:hAnsiTheme="minorHAnsi" w:cstheme="minorHAnsi"/>
                <w:sz w:val="16"/>
                <w:szCs w:val="16"/>
              </w:rPr>
            </w:pPr>
            <w:r w:rsidRPr="00332AB5">
              <w:rPr>
                <w:rFonts w:asciiTheme="minorHAnsi" w:hAnsiTheme="minorHAnsi" w:cstheme="minorHAnsi"/>
                <w:sz w:val="16"/>
                <w:szCs w:val="16"/>
              </w:rPr>
              <w:t>(Operativni) program</w:t>
            </w:r>
          </w:p>
        </w:tc>
        <w:tc>
          <w:tcPr>
            <w:tcW w:w="1043" w:type="dxa"/>
            <w:tcBorders>
              <w:bottom w:val="single" w:sz="4" w:space="0" w:color="808080" w:themeColor="background1" w:themeShade="80"/>
            </w:tcBorders>
            <w:vAlign w:val="center"/>
          </w:tcPr>
          <w:p w14:paraId="7CDE48F6" w14:textId="77777777" w:rsidR="004F27D2" w:rsidRPr="00332AB5" w:rsidRDefault="004F27D2" w:rsidP="00D274B6">
            <w:pPr>
              <w:spacing w:after="60"/>
              <w:jc w:val="right"/>
              <w:rPr>
                <w:rFonts w:asciiTheme="minorHAnsi" w:hAnsiTheme="minorHAnsi" w:cstheme="minorHAnsi"/>
                <w:sz w:val="16"/>
                <w:szCs w:val="16"/>
              </w:rPr>
            </w:pPr>
            <w:r w:rsidRPr="00332AB5">
              <w:rPr>
                <w:rFonts w:asciiTheme="minorHAnsi" w:hAnsiTheme="minorHAnsi" w:cstheme="minorHAnsi"/>
                <w:sz w:val="16"/>
                <w:szCs w:val="16"/>
              </w:rPr>
              <w:t>Dodijeljena sredstva</w:t>
            </w:r>
          </w:p>
        </w:tc>
        <w:tc>
          <w:tcPr>
            <w:tcW w:w="1089" w:type="dxa"/>
            <w:tcBorders>
              <w:bottom w:val="single" w:sz="4" w:space="0" w:color="808080" w:themeColor="background1" w:themeShade="80"/>
            </w:tcBorders>
            <w:vAlign w:val="center"/>
          </w:tcPr>
          <w:p w14:paraId="76A20C16" w14:textId="77777777" w:rsidR="004F27D2" w:rsidRPr="00332AB5" w:rsidRDefault="004F27D2" w:rsidP="00D274B6">
            <w:pPr>
              <w:spacing w:after="60"/>
              <w:jc w:val="right"/>
              <w:rPr>
                <w:rFonts w:asciiTheme="minorHAnsi" w:hAnsiTheme="minorHAnsi" w:cstheme="minorHAnsi"/>
                <w:sz w:val="16"/>
                <w:szCs w:val="16"/>
              </w:rPr>
            </w:pPr>
            <w:r w:rsidRPr="00332AB5">
              <w:rPr>
                <w:rFonts w:asciiTheme="minorHAnsi" w:hAnsiTheme="minorHAnsi" w:cstheme="minorHAnsi"/>
                <w:sz w:val="16"/>
                <w:szCs w:val="16"/>
              </w:rPr>
              <w:t>Ukupno ugovorena sredstva</w:t>
            </w:r>
          </w:p>
        </w:tc>
        <w:tc>
          <w:tcPr>
            <w:tcW w:w="845" w:type="dxa"/>
            <w:tcBorders>
              <w:bottom w:val="single" w:sz="4" w:space="0" w:color="808080" w:themeColor="background1" w:themeShade="80"/>
            </w:tcBorders>
            <w:vAlign w:val="center"/>
          </w:tcPr>
          <w:p w14:paraId="41B6989C" w14:textId="77777777" w:rsidR="004F27D2" w:rsidRPr="00332AB5" w:rsidRDefault="004F27D2" w:rsidP="00D274B6">
            <w:pPr>
              <w:spacing w:after="60"/>
              <w:jc w:val="right"/>
              <w:rPr>
                <w:rFonts w:asciiTheme="minorHAnsi" w:hAnsiTheme="minorHAnsi" w:cstheme="minorHAnsi"/>
                <w:sz w:val="16"/>
                <w:szCs w:val="16"/>
              </w:rPr>
            </w:pPr>
            <w:r w:rsidRPr="00332AB5">
              <w:rPr>
                <w:rFonts w:asciiTheme="minorHAnsi" w:hAnsiTheme="minorHAnsi" w:cstheme="minorHAnsi"/>
                <w:sz w:val="16"/>
                <w:szCs w:val="16"/>
              </w:rPr>
              <w:t xml:space="preserve"> %</w:t>
            </w:r>
          </w:p>
        </w:tc>
        <w:tc>
          <w:tcPr>
            <w:tcW w:w="992" w:type="dxa"/>
            <w:tcBorders>
              <w:bottom w:val="single" w:sz="4" w:space="0" w:color="808080" w:themeColor="background1" w:themeShade="80"/>
            </w:tcBorders>
            <w:vAlign w:val="center"/>
          </w:tcPr>
          <w:p w14:paraId="150972D0" w14:textId="77777777" w:rsidR="004F27D2" w:rsidRPr="00332AB5" w:rsidRDefault="004F27D2" w:rsidP="00D274B6">
            <w:pPr>
              <w:spacing w:after="60"/>
              <w:jc w:val="right"/>
              <w:rPr>
                <w:rFonts w:asciiTheme="minorHAnsi" w:hAnsiTheme="minorHAnsi" w:cstheme="minorHAnsi"/>
                <w:sz w:val="16"/>
                <w:szCs w:val="16"/>
              </w:rPr>
            </w:pPr>
            <w:r w:rsidRPr="00332AB5">
              <w:rPr>
                <w:rFonts w:asciiTheme="minorHAnsi" w:hAnsiTheme="minorHAnsi" w:cstheme="minorHAnsi"/>
                <w:sz w:val="16"/>
                <w:szCs w:val="16"/>
              </w:rPr>
              <w:t>Ukupno plaćena sredstva</w:t>
            </w:r>
          </w:p>
        </w:tc>
        <w:tc>
          <w:tcPr>
            <w:tcW w:w="851" w:type="dxa"/>
            <w:tcBorders>
              <w:bottom w:val="single" w:sz="4" w:space="0" w:color="808080" w:themeColor="background1" w:themeShade="80"/>
            </w:tcBorders>
            <w:vAlign w:val="center"/>
          </w:tcPr>
          <w:p w14:paraId="26865CBF" w14:textId="77777777" w:rsidR="004F27D2" w:rsidRPr="00332AB5" w:rsidRDefault="004F27D2" w:rsidP="00D274B6">
            <w:pPr>
              <w:spacing w:after="60"/>
              <w:jc w:val="right"/>
              <w:rPr>
                <w:rFonts w:asciiTheme="minorHAnsi" w:hAnsiTheme="minorHAnsi" w:cstheme="minorHAnsi"/>
                <w:sz w:val="16"/>
                <w:szCs w:val="16"/>
              </w:rPr>
            </w:pPr>
            <w:r w:rsidRPr="00332AB5">
              <w:rPr>
                <w:rFonts w:asciiTheme="minorHAnsi" w:hAnsiTheme="minorHAnsi" w:cstheme="minorHAnsi"/>
                <w:sz w:val="16"/>
                <w:szCs w:val="16"/>
              </w:rPr>
              <w:t xml:space="preserve"> %</w:t>
            </w:r>
          </w:p>
        </w:tc>
        <w:tc>
          <w:tcPr>
            <w:tcW w:w="850" w:type="dxa"/>
            <w:tcBorders>
              <w:bottom w:val="single" w:sz="4" w:space="0" w:color="808080" w:themeColor="background1" w:themeShade="80"/>
            </w:tcBorders>
            <w:vAlign w:val="center"/>
          </w:tcPr>
          <w:p w14:paraId="0BA0D44C" w14:textId="77777777" w:rsidR="004F27D2" w:rsidRPr="00332AB5" w:rsidRDefault="004F27D2" w:rsidP="00D274B6">
            <w:pPr>
              <w:spacing w:after="60"/>
              <w:jc w:val="right"/>
              <w:rPr>
                <w:rFonts w:asciiTheme="minorHAnsi" w:hAnsiTheme="minorHAnsi" w:cstheme="minorHAnsi"/>
                <w:sz w:val="16"/>
                <w:szCs w:val="16"/>
              </w:rPr>
            </w:pPr>
            <w:r w:rsidRPr="00332AB5">
              <w:rPr>
                <w:rFonts w:asciiTheme="minorHAnsi" w:hAnsiTheme="minorHAnsi" w:cstheme="minorHAnsi"/>
                <w:sz w:val="16"/>
                <w:szCs w:val="16"/>
              </w:rPr>
              <w:t>Ukupno ovjerena sredstva</w:t>
            </w:r>
          </w:p>
        </w:tc>
        <w:tc>
          <w:tcPr>
            <w:tcW w:w="709" w:type="dxa"/>
            <w:tcBorders>
              <w:bottom w:val="single" w:sz="4" w:space="0" w:color="808080" w:themeColor="background1" w:themeShade="80"/>
            </w:tcBorders>
            <w:vAlign w:val="center"/>
          </w:tcPr>
          <w:p w14:paraId="33FD10F9" w14:textId="77777777" w:rsidR="004F27D2" w:rsidRPr="00332AB5" w:rsidRDefault="004F27D2" w:rsidP="00D274B6">
            <w:pPr>
              <w:spacing w:after="60"/>
              <w:jc w:val="right"/>
              <w:rPr>
                <w:rFonts w:asciiTheme="minorHAnsi" w:hAnsiTheme="minorHAnsi" w:cstheme="minorHAnsi"/>
                <w:sz w:val="16"/>
                <w:szCs w:val="16"/>
              </w:rPr>
            </w:pPr>
            <w:r w:rsidRPr="00332AB5">
              <w:rPr>
                <w:rFonts w:asciiTheme="minorHAnsi" w:hAnsiTheme="minorHAnsi" w:cstheme="minorHAnsi"/>
                <w:sz w:val="16"/>
                <w:szCs w:val="16"/>
              </w:rPr>
              <w:t xml:space="preserve"> %</w:t>
            </w:r>
          </w:p>
        </w:tc>
        <w:tc>
          <w:tcPr>
            <w:tcW w:w="925" w:type="dxa"/>
            <w:tcBorders>
              <w:bottom w:val="single" w:sz="4" w:space="0" w:color="808080" w:themeColor="background1" w:themeShade="80"/>
            </w:tcBorders>
            <w:vAlign w:val="center"/>
          </w:tcPr>
          <w:p w14:paraId="0E80DE20" w14:textId="77777777" w:rsidR="004F27D2" w:rsidRPr="00332AB5" w:rsidRDefault="004F27D2" w:rsidP="00D274B6">
            <w:pPr>
              <w:spacing w:after="60"/>
              <w:jc w:val="right"/>
              <w:rPr>
                <w:rFonts w:asciiTheme="minorHAnsi" w:hAnsiTheme="minorHAnsi" w:cstheme="minorHAnsi"/>
                <w:sz w:val="16"/>
                <w:szCs w:val="16"/>
              </w:rPr>
            </w:pPr>
            <w:r w:rsidRPr="00332AB5">
              <w:rPr>
                <w:rFonts w:asciiTheme="minorHAnsi" w:hAnsiTheme="minorHAnsi" w:cstheme="minorHAnsi"/>
                <w:sz w:val="16"/>
                <w:szCs w:val="16"/>
              </w:rPr>
              <w:t>Ukupno doznačena sredstva</w:t>
            </w:r>
          </w:p>
        </w:tc>
        <w:tc>
          <w:tcPr>
            <w:tcW w:w="776" w:type="dxa"/>
            <w:tcBorders>
              <w:bottom w:val="single" w:sz="4" w:space="0" w:color="808080" w:themeColor="background1" w:themeShade="80"/>
            </w:tcBorders>
            <w:vAlign w:val="center"/>
          </w:tcPr>
          <w:p w14:paraId="00D637E9" w14:textId="77777777" w:rsidR="004F27D2" w:rsidRPr="00332AB5" w:rsidRDefault="004F27D2" w:rsidP="00D274B6">
            <w:pPr>
              <w:spacing w:after="60"/>
              <w:jc w:val="right"/>
              <w:rPr>
                <w:rFonts w:asciiTheme="minorHAnsi" w:hAnsiTheme="minorHAnsi" w:cstheme="minorHAnsi"/>
                <w:sz w:val="16"/>
                <w:szCs w:val="16"/>
              </w:rPr>
            </w:pPr>
            <w:r w:rsidRPr="00332AB5">
              <w:rPr>
                <w:rFonts w:asciiTheme="minorHAnsi" w:hAnsiTheme="minorHAnsi" w:cstheme="minorHAnsi"/>
                <w:sz w:val="16"/>
                <w:szCs w:val="16"/>
              </w:rPr>
              <w:t xml:space="preserve"> %</w:t>
            </w:r>
          </w:p>
        </w:tc>
      </w:tr>
      <w:tr w:rsidR="004F27D2" w:rsidRPr="00332AB5" w14:paraId="1DC96926" w14:textId="77777777" w:rsidTr="00AE79B6">
        <w:trPr>
          <w:trHeight w:val="113"/>
        </w:trPr>
        <w:tc>
          <w:tcPr>
            <w:tcW w:w="1134" w:type="dxa"/>
            <w:vAlign w:val="center"/>
          </w:tcPr>
          <w:p w14:paraId="66CBB2D8" w14:textId="77777777" w:rsidR="004F27D2" w:rsidRPr="00332AB5" w:rsidRDefault="004F27D2" w:rsidP="00D274B6">
            <w:pPr>
              <w:rPr>
                <w:rFonts w:asciiTheme="minorHAnsi" w:hAnsiTheme="minorHAnsi" w:cstheme="minorHAnsi"/>
                <w:sz w:val="18"/>
                <w:szCs w:val="18"/>
              </w:rPr>
            </w:pPr>
          </w:p>
        </w:tc>
        <w:tc>
          <w:tcPr>
            <w:tcW w:w="1043" w:type="dxa"/>
            <w:tcBorders>
              <w:top w:val="single" w:sz="4" w:space="0" w:color="808080" w:themeColor="background1" w:themeShade="80"/>
            </w:tcBorders>
            <w:vAlign w:val="center"/>
          </w:tcPr>
          <w:p w14:paraId="2F98F381" w14:textId="77777777" w:rsidR="004F27D2" w:rsidRPr="00332AB5" w:rsidRDefault="004F27D2" w:rsidP="00D274B6">
            <w:pPr>
              <w:jc w:val="right"/>
              <w:rPr>
                <w:rFonts w:asciiTheme="minorHAnsi" w:hAnsiTheme="minorHAnsi" w:cstheme="minorHAnsi"/>
                <w:sz w:val="18"/>
                <w:szCs w:val="18"/>
              </w:rPr>
            </w:pPr>
          </w:p>
        </w:tc>
        <w:tc>
          <w:tcPr>
            <w:tcW w:w="1089" w:type="dxa"/>
            <w:tcBorders>
              <w:top w:val="single" w:sz="4" w:space="0" w:color="808080" w:themeColor="background1" w:themeShade="80"/>
            </w:tcBorders>
            <w:vAlign w:val="center"/>
          </w:tcPr>
          <w:p w14:paraId="19C274BB" w14:textId="77777777" w:rsidR="004F27D2" w:rsidRPr="00332AB5" w:rsidRDefault="004F27D2" w:rsidP="00D274B6">
            <w:pPr>
              <w:jc w:val="right"/>
              <w:rPr>
                <w:rFonts w:asciiTheme="minorHAnsi" w:hAnsiTheme="minorHAnsi" w:cstheme="minorHAnsi"/>
                <w:sz w:val="18"/>
                <w:szCs w:val="18"/>
              </w:rPr>
            </w:pPr>
          </w:p>
        </w:tc>
        <w:tc>
          <w:tcPr>
            <w:tcW w:w="845" w:type="dxa"/>
            <w:tcBorders>
              <w:top w:val="single" w:sz="4" w:space="0" w:color="808080" w:themeColor="background1" w:themeShade="80"/>
            </w:tcBorders>
            <w:vAlign w:val="center"/>
          </w:tcPr>
          <w:p w14:paraId="5404EDBE" w14:textId="77777777" w:rsidR="004F27D2" w:rsidRPr="00332AB5" w:rsidRDefault="004F27D2" w:rsidP="00D274B6">
            <w:pPr>
              <w:jc w:val="right"/>
              <w:rPr>
                <w:rFonts w:asciiTheme="minorHAnsi" w:hAnsiTheme="minorHAnsi" w:cstheme="minorHAnsi"/>
                <w:sz w:val="18"/>
                <w:szCs w:val="18"/>
              </w:rPr>
            </w:pPr>
          </w:p>
        </w:tc>
        <w:tc>
          <w:tcPr>
            <w:tcW w:w="992" w:type="dxa"/>
            <w:tcBorders>
              <w:top w:val="single" w:sz="4" w:space="0" w:color="808080" w:themeColor="background1" w:themeShade="80"/>
            </w:tcBorders>
            <w:vAlign w:val="center"/>
          </w:tcPr>
          <w:p w14:paraId="5C217A9F" w14:textId="77777777" w:rsidR="004F27D2" w:rsidRPr="00332AB5" w:rsidRDefault="004F27D2" w:rsidP="00D274B6">
            <w:pPr>
              <w:jc w:val="right"/>
              <w:rPr>
                <w:rFonts w:asciiTheme="minorHAnsi" w:hAnsiTheme="minorHAnsi" w:cstheme="minorHAnsi"/>
                <w:sz w:val="18"/>
                <w:szCs w:val="18"/>
              </w:rPr>
            </w:pPr>
          </w:p>
        </w:tc>
        <w:tc>
          <w:tcPr>
            <w:tcW w:w="851" w:type="dxa"/>
            <w:tcBorders>
              <w:top w:val="single" w:sz="4" w:space="0" w:color="808080" w:themeColor="background1" w:themeShade="80"/>
            </w:tcBorders>
            <w:vAlign w:val="center"/>
          </w:tcPr>
          <w:p w14:paraId="0B6A157C" w14:textId="77777777" w:rsidR="004F27D2" w:rsidRPr="00332AB5" w:rsidRDefault="004F27D2" w:rsidP="00D274B6">
            <w:pPr>
              <w:jc w:val="right"/>
              <w:rPr>
                <w:rFonts w:asciiTheme="minorHAnsi" w:hAnsiTheme="minorHAnsi" w:cstheme="minorHAnsi"/>
                <w:sz w:val="18"/>
                <w:szCs w:val="18"/>
              </w:rPr>
            </w:pPr>
          </w:p>
        </w:tc>
        <w:tc>
          <w:tcPr>
            <w:tcW w:w="850" w:type="dxa"/>
            <w:tcBorders>
              <w:top w:val="single" w:sz="4" w:space="0" w:color="808080" w:themeColor="background1" w:themeShade="80"/>
            </w:tcBorders>
            <w:vAlign w:val="center"/>
          </w:tcPr>
          <w:p w14:paraId="7FC6E2DA" w14:textId="77777777" w:rsidR="004F27D2" w:rsidRPr="00332AB5" w:rsidRDefault="004F27D2" w:rsidP="00D274B6">
            <w:pPr>
              <w:jc w:val="right"/>
              <w:rPr>
                <w:rFonts w:asciiTheme="minorHAnsi" w:hAnsiTheme="minorHAnsi" w:cstheme="minorHAnsi"/>
                <w:sz w:val="18"/>
                <w:szCs w:val="18"/>
              </w:rPr>
            </w:pPr>
          </w:p>
        </w:tc>
        <w:tc>
          <w:tcPr>
            <w:tcW w:w="709" w:type="dxa"/>
            <w:tcBorders>
              <w:top w:val="single" w:sz="4" w:space="0" w:color="808080" w:themeColor="background1" w:themeShade="80"/>
            </w:tcBorders>
            <w:vAlign w:val="center"/>
          </w:tcPr>
          <w:p w14:paraId="0BF9B6DD" w14:textId="77777777" w:rsidR="004F27D2" w:rsidRPr="00332AB5" w:rsidRDefault="004F27D2" w:rsidP="00D274B6">
            <w:pPr>
              <w:jc w:val="right"/>
              <w:rPr>
                <w:rFonts w:asciiTheme="minorHAnsi" w:hAnsiTheme="minorHAnsi" w:cstheme="minorHAnsi"/>
                <w:sz w:val="18"/>
                <w:szCs w:val="18"/>
              </w:rPr>
            </w:pPr>
          </w:p>
        </w:tc>
        <w:tc>
          <w:tcPr>
            <w:tcW w:w="925" w:type="dxa"/>
            <w:tcBorders>
              <w:top w:val="single" w:sz="4" w:space="0" w:color="808080" w:themeColor="background1" w:themeShade="80"/>
            </w:tcBorders>
            <w:vAlign w:val="center"/>
          </w:tcPr>
          <w:p w14:paraId="05E904E5" w14:textId="77777777" w:rsidR="004F27D2" w:rsidRPr="00332AB5" w:rsidRDefault="004F27D2" w:rsidP="00D274B6">
            <w:pPr>
              <w:jc w:val="right"/>
              <w:rPr>
                <w:rFonts w:asciiTheme="minorHAnsi" w:hAnsiTheme="minorHAnsi" w:cstheme="minorHAnsi"/>
                <w:sz w:val="18"/>
                <w:szCs w:val="18"/>
              </w:rPr>
            </w:pPr>
          </w:p>
        </w:tc>
        <w:tc>
          <w:tcPr>
            <w:tcW w:w="776" w:type="dxa"/>
            <w:tcBorders>
              <w:top w:val="single" w:sz="4" w:space="0" w:color="808080" w:themeColor="background1" w:themeShade="80"/>
            </w:tcBorders>
            <w:vAlign w:val="center"/>
          </w:tcPr>
          <w:p w14:paraId="576D790A" w14:textId="77777777" w:rsidR="004F27D2" w:rsidRPr="00332AB5" w:rsidRDefault="004F27D2" w:rsidP="00D274B6">
            <w:pPr>
              <w:jc w:val="right"/>
              <w:rPr>
                <w:rFonts w:asciiTheme="minorHAnsi" w:hAnsiTheme="minorHAnsi" w:cstheme="minorHAnsi"/>
                <w:sz w:val="18"/>
                <w:szCs w:val="18"/>
              </w:rPr>
            </w:pPr>
          </w:p>
        </w:tc>
      </w:tr>
      <w:tr w:rsidR="00AE79B6" w:rsidRPr="00332AB5" w14:paraId="13BEAACA" w14:textId="77777777" w:rsidTr="00AE79B6">
        <w:trPr>
          <w:trHeight w:val="397"/>
        </w:trPr>
        <w:tc>
          <w:tcPr>
            <w:tcW w:w="1134" w:type="dxa"/>
            <w:shd w:val="clear" w:color="auto" w:fill="auto"/>
            <w:vAlign w:val="center"/>
          </w:tcPr>
          <w:p w14:paraId="52D39B97" w14:textId="5ABACC14" w:rsidR="00AE79B6" w:rsidRPr="00332AB5" w:rsidRDefault="00AE79B6" w:rsidP="00AE79B6">
            <w:pPr>
              <w:rPr>
                <w:rFonts w:asciiTheme="minorHAnsi" w:hAnsiTheme="minorHAnsi" w:cstheme="minorHAnsi"/>
                <w:sz w:val="18"/>
                <w:szCs w:val="18"/>
              </w:rPr>
            </w:pPr>
            <w:r w:rsidRPr="00332AB5">
              <w:rPr>
                <w:rFonts w:asciiTheme="minorHAnsi" w:hAnsiTheme="minorHAnsi" w:cstheme="minorHAnsi"/>
                <w:sz w:val="18"/>
                <w:szCs w:val="18"/>
              </w:rPr>
              <w:t>OPKK (REACT)</w:t>
            </w:r>
          </w:p>
        </w:tc>
        <w:tc>
          <w:tcPr>
            <w:tcW w:w="1043" w:type="dxa"/>
            <w:vAlign w:val="center"/>
          </w:tcPr>
          <w:p w14:paraId="1B04BFF5" w14:textId="237D80A0" w:rsidR="00AE79B6" w:rsidRPr="00332AB5" w:rsidRDefault="00AE79B6" w:rsidP="00AE79B6">
            <w:pPr>
              <w:jc w:val="right"/>
              <w:rPr>
                <w:rFonts w:asciiTheme="minorHAnsi" w:hAnsiTheme="minorHAnsi" w:cstheme="minorHAnsi"/>
                <w:sz w:val="18"/>
                <w:szCs w:val="18"/>
              </w:rPr>
            </w:pPr>
            <w:r w:rsidRPr="00332AB5">
              <w:rPr>
                <w:rFonts w:asciiTheme="minorHAnsi" w:hAnsiTheme="minorHAnsi" w:cstheme="minorHAnsi"/>
                <w:color w:val="000000"/>
                <w:sz w:val="18"/>
                <w:szCs w:val="18"/>
              </w:rPr>
              <w:t>132,56</w:t>
            </w:r>
          </w:p>
        </w:tc>
        <w:tc>
          <w:tcPr>
            <w:tcW w:w="1089" w:type="dxa"/>
            <w:vAlign w:val="center"/>
          </w:tcPr>
          <w:p w14:paraId="2044D427" w14:textId="6F64B0A6" w:rsidR="00AE79B6" w:rsidRPr="00332AB5" w:rsidRDefault="00AE79B6" w:rsidP="00AE79B6">
            <w:pPr>
              <w:jc w:val="right"/>
              <w:rPr>
                <w:rFonts w:asciiTheme="minorHAnsi" w:hAnsiTheme="minorHAnsi" w:cstheme="minorHAnsi"/>
                <w:sz w:val="18"/>
                <w:szCs w:val="18"/>
              </w:rPr>
            </w:pPr>
            <w:r w:rsidRPr="00332AB5">
              <w:rPr>
                <w:rFonts w:asciiTheme="minorHAnsi" w:hAnsiTheme="minorHAnsi" w:cstheme="minorHAnsi"/>
                <w:color w:val="000000"/>
                <w:sz w:val="18"/>
                <w:szCs w:val="18"/>
              </w:rPr>
              <w:t>125,21</w:t>
            </w:r>
          </w:p>
        </w:tc>
        <w:tc>
          <w:tcPr>
            <w:tcW w:w="845" w:type="dxa"/>
            <w:vAlign w:val="center"/>
          </w:tcPr>
          <w:p w14:paraId="0B8B8DD9" w14:textId="2F9A4595" w:rsidR="00AE79B6" w:rsidRPr="00332AB5" w:rsidRDefault="00AE79B6" w:rsidP="00AE79B6">
            <w:pPr>
              <w:jc w:val="right"/>
              <w:rPr>
                <w:rFonts w:asciiTheme="minorHAnsi" w:hAnsiTheme="minorHAnsi" w:cstheme="minorHAnsi"/>
                <w:sz w:val="18"/>
                <w:szCs w:val="18"/>
              </w:rPr>
            </w:pPr>
            <w:r w:rsidRPr="00332AB5">
              <w:rPr>
                <w:rFonts w:asciiTheme="minorHAnsi" w:hAnsiTheme="minorHAnsi" w:cstheme="minorHAnsi"/>
                <w:color w:val="000000"/>
                <w:sz w:val="18"/>
                <w:szCs w:val="18"/>
              </w:rPr>
              <w:t>94,45</w:t>
            </w:r>
          </w:p>
        </w:tc>
        <w:tc>
          <w:tcPr>
            <w:tcW w:w="992" w:type="dxa"/>
            <w:vAlign w:val="center"/>
          </w:tcPr>
          <w:p w14:paraId="03CD81B9" w14:textId="6F25E85C" w:rsidR="00AE79B6" w:rsidRPr="00332AB5" w:rsidRDefault="00AE79B6" w:rsidP="00AE79B6">
            <w:pPr>
              <w:jc w:val="right"/>
              <w:rPr>
                <w:rFonts w:asciiTheme="minorHAnsi" w:hAnsiTheme="minorHAnsi" w:cstheme="minorHAnsi"/>
                <w:sz w:val="18"/>
                <w:szCs w:val="18"/>
              </w:rPr>
            </w:pPr>
            <w:r w:rsidRPr="00332AB5">
              <w:rPr>
                <w:rFonts w:asciiTheme="minorHAnsi" w:hAnsiTheme="minorHAnsi" w:cstheme="minorHAnsi"/>
                <w:color w:val="000000"/>
                <w:sz w:val="18"/>
                <w:szCs w:val="18"/>
              </w:rPr>
              <w:t>73,61</w:t>
            </w:r>
          </w:p>
        </w:tc>
        <w:tc>
          <w:tcPr>
            <w:tcW w:w="851" w:type="dxa"/>
            <w:vAlign w:val="center"/>
          </w:tcPr>
          <w:p w14:paraId="7DF6390C" w14:textId="43B03C41" w:rsidR="00AE79B6" w:rsidRPr="00332AB5" w:rsidRDefault="00AE79B6" w:rsidP="00AE79B6">
            <w:pPr>
              <w:jc w:val="right"/>
              <w:rPr>
                <w:rFonts w:asciiTheme="minorHAnsi" w:hAnsiTheme="minorHAnsi" w:cstheme="minorHAnsi"/>
                <w:sz w:val="18"/>
                <w:szCs w:val="18"/>
              </w:rPr>
            </w:pPr>
            <w:r w:rsidRPr="00332AB5">
              <w:rPr>
                <w:rFonts w:asciiTheme="minorHAnsi" w:hAnsiTheme="minorHAnsi" w:cstheme="minorHAnsi"/>
                <w:color w:val="000000"/>
                <w:sz w:val="18"/>
                <w:szCs w:val="18"/>
              </w:rPr>
              <w:t>55,53</w:t>
            </w:r>
          </w:p>
        </w:tc>
        <w:tc>
          <w:tcPr>
            <w:tcW w:w="850" w:type="dxa"/>
            <w:vAlign w:val="center"/>
          </w:tcPr>
          <w:p w14:paraId="69F76CF4" w14:textId="508DE027" w:rsidR="00AE79B6" w:rsidRPr="00332AB5" w:rsidRDefault="00AE79B6" w:rsidP="00AE79B6">
            <w:pPr>
              <w:jc w:val="right"/>
              <w:rPr>
                <w:rFonts w:asciiTheme="minorHAnsi" w:hAnsiTheme="minorHAnsi" w:cstheme="minorHAnsi"/>
                <w:sz w:val="18"/>
                <w:szCs w:val="18"/>
              </w:rPr>
            </w:pPr>
            <w:r w:rsidRPr="00332AB5">
              <w:rPr>
                <w:rFonts w:asciiTheme="minorHAnsi" w:hAnsiTheme="minorHAnsi" w:cstheme="minorHAnsi"/>
                <w:color w:val="000000"/>
                <w:sz w:val="18"/>
                <w:szCs w:val="18"/>
              </w:rPr>
              <w:t>- </w:t>
            </w:r>
          </w:p>
        </w:tc>
        <w:tc>
          <w:tcPr>
            <w:tcW w:w="709" w:type="dxa"/>
            <w:vAlign w:val="center"/>
          </w:tcPr>
          <w:p w14:paraId="541BC68C" w14:textId="53621B69" w:rsidR="00AE79B6" w:rsidRPr="00332AB5" w:rsidRDefault="00AE79B6" w:rsidP="00AE79B6">
            <w:pPr>
              <w:jc w:val="right"/>
              <w:rPr>
                <w:rFonts w:asciiTheme="minorHAnsi" w:hAnsiTheme="minorHAnsi" w:cstheme="minorHAnsi"/>
                <w:sz w:val="18"/>
                <w:szCs w:val="18"/>
              </w:rPr>
            </w:pPr>
            <w:r w:rsidRPr="00332AB5">
              <w:rPr>
                <w:rFonts w:asciiTheme="minorHAnsi" w:hAnsiTheme="minorHAnsi" w:cstheme="minorHAnsi"/>
                <w:color w:val="000000"/>
                <w:sz w:val="18"/>
                <w:szCs w:val="18"/>
              </w:rPr>
              <w:t>-</w:t>
            </w:r>
          </w:p>
        </w:tc>
        <w:tc>
          <w:tcPr>
            <w:tcW w:w="925" w:type="dxa"/>
            <w:vAlign w:val="center"/>
          </w:tcPr>
          <w:p w14:paraId="489CD701" w14:textId="3C66F7B4" w:rsidR="00AE79B6" w:rsidRPr="00332AB5" w:rsidRDefault="00AE79B6" w:rsidP="00AE79B6">
            <w:pPr>
              <w:jc w:val="right"/>
              <w:rPr>
                <w:rFonts w:asciiTheme="minorHAnsi" w:hAnsiTheme="minorHAnsi" w:cstheme="minorHAnsi"/>
                <w:sz w:val="18"/>
                <w:szCs w:val="18"/>
              </w:rPr>
            </w:pPr>
            <w:r w:rsidRPr="00332AB5">
              <w:rPr>
                <w:rFonts w:asciiTheme="minorHAnsi" w:hAnsiTheme="minorHAnsi" w:cstheme="minorHAnsi"/>
                <w:sz w:val="18"/>
                <w:szCs w:val="18"/>
              </w:rPr>
              <w:t>8,64</w:t>
            </w:r>
          </w:p>
        </w:tc>
        <w:tc>
          <w:tcPr>
            <w:tcW w:w="776" w:type="dxa"/>
            <w:vAlign w:val="center"/>
          </w:tcPr>
          <w:p w14:paraId="43F11BA7" w14:textId="1C34BD8E" w:rsidR="00AE79B6" w:rsidRPr="00332AB5" w:rsidRDefault="00AE79B6" w:rsidP="00AE79B6">
            <w:pPr>
              <w:jc w:val="right"/>
              <w:rPr>
                <w:rFonts w:asciiTheme="minorHAnsi" w:hAnsiTheme="minorHAnsi" w:cstheme="minorHAnsi"/>
                <w:sz w:val="18"/>
                <w:szCs w:val="18"/>
              </w:rPr>
            </w:pPr>
            <w:r w:rsidRPr="00332AB5">
              <w:rPr>
                <w:rFonts w:asciiTheme="minorHAnsi" w:hAnsiTheme="minorHAnsi" w:cstheme="minorHAnsi"/>
                <w:sz w:val="18"/>
                <w:szCs w:val="18"/>
              </w:rPr>
              <w:t>6,52</w:t>
            </w:r>
          </w:p>
        </w:tc>
      </w:tr>
      <w:tr w:rsidR="00AE79B6" w:rsidRPr="00332AB5" w14:paraId="4FE4AB5F" w14:textId="77777777" w:rsidTr="00AE79B6">
        <w:trPr>
          <w:trHeight w:val="397"/>
        </w:trPr>
        <w:tc>
          <w:tcPr>
            <w:tcW w:w="1134" w:type="dxa"/>
            <w:shd w:val="clear" w:color="auto" w:fill="auto"/>
            <w:vAlign w:val="center"/>
          </w:tcPr>
          <w:p w14:paraId="14AAC80D" w14:textId="265F9B2D" w:rsidR="00AE79B6" w:rsidRPr="00332AB5" w:rsidRDefault="00AE79B6" w:rsidP="00AE79B6">
            <w:pPr>
              <w:rPr>
                <w:rFonts w:asciiTheme="minorHAnsi" w:hAnsiTheme="minorHAnsi" w:cstheme="minorBidi"/>
                <w:sz w:val="18"/>
                <w:szCs w:val="18"/>
              </w:rPr>
            </w:pPr>
            <w:r w:rsidRPr="00332AB5">
              <w:rPr>
                <w:rFonts w:asciiTheme="minorHAnsi" w:hAnsiTheme="minorHAnsi" w:cstheme="minorHAnsi"/>
                <w:sz w:val="18"/>
                <w:szCs w:val="18"/>
              </w:rPr>
              <w:t>OPULJP (REACT)</w:t>
            </w:r>
          </w:p>
        </w:tc>
        <w:tc>
          <w:tcPr>
            <w:tcW w:w="1043" w:type="dxa"/>
            <w:vAlign w:val="center"/>
          </w:tcPr>
          <w:p w14:paraId="76C944D4" w14:textId="061F800A" w:rsidR="00AE79B6" w:rsidRPr="00332AB5" w:rsidRDefault="00AE79B6" w:rsidP="00AE79B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530,00</w:t>
            </w:r>
          </w:p>
        </w:tc>
        <w:tc>
          <w:tcPr>
            <w:tcW w:w="1089" w:type="dxa"/>
            <w:vAlign w:val="center"/>
          </w:tcPr>
          <w:p w14:paraId="22627C5E" w14:textId="18DC43CE" w:rsidR="00AE79B6" w:rsidRPr="00332AB5" w:rsidRDefault="00AE79B6" w:rsidP="00AE79B6">
            <w:pPr>
              <w:spacing w:line="259" w:lineRule="auto"/>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560,00</w:t>
            </w:r>
          </w:p>
        </w:tc>
        <w:tc>
          <w:tcPr>
            <w:tcW w:w="845" w:type="dxa"/>
            <w:vAlign w:val="center"/>
          </w:tcPr>
          <w:p w14:paraId="3749E5A9" w14:textId="15252F84" w:rsidR="00AE79B6" w:rsidRPr="00332AB5" w:rsidRDefault="00AE79B6" w:rsidP="00AE79B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105,66</w:t>
            </w:r>
          </w:p>
        </w:tc>
        <w:tc>
          <w:tcPr>
            <w:tcW w:w="992" w:type="dxa"/>
            <w:vAlign w:val="center"/>
          </w:tcPr>
          <w:p w14:paraId="28FC511F" w14:textId="6B46D322" w:rsidR="00AE79B6" w:rsidRPr="00332AB5" w:rsidRDefault="00AE79B6" w:rsidP="00AE79B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560,00</w:t>
            </w:r>
          </w:p>
        </w:tc>
        <w:tc>
          <w:tcPr>
            <w:tcW w:w="851" w:type="dxa"/>
            <w:vAlign w:val="center"/>
          </w:tcPr>
          <w:p w14:paraId="72C0EC19" w14:textId="0FF56FCA" w:rsidR="00AE79B6" w:rsidRPr="00332AB5" w:rsidRDefault="00AE79B6" w:rsidP="00AE79B6">
            <w:pPr>
              <w:spacing w:line="259" w:lineRule="auto"/>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105,66</w:t>
            </w:r>
          </w:p>
        </w:tc>
        <w:tc>
          <w:tcPr>
            <w:tcW w:w="850" w:type="dxa"/>
            <w:vAlign w:val="center"/>
          </w:tcPr>
          <w:p w14:paraId="6E2E731D" w14:textId="67749AC1" w:rsidR="00AE79B6" w:rsidRPr="00332AB5" w:rsidRDefault="00AE79B6" w:rsidP="00AE79B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709" w:type="dxa"/>
            <w:vAlign w:val="center"/>
          </w:tcPr>
          <w:p w14:paraId="07031F71" w14:textId="65B21C97" w:rsidR="00AE79B6" w:rsidRPr="00332AB5" w:rsidRDefault="00AE79B6" w:rsidP="00AE79B6">
            <w:pPr>
              <w:spacing w:line="259" w:lineRule="auto"/>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925" w:type="dxa"/>
            <w:vAlign w:val="center"/>
          </w:tcPr>
          <w:p w14:paraId="1DD9E7ED" w14:textId="7B569688" w:rsidR="00AE79B6" w:rsidRPr="00332AB5" w:rsidRDefault="00AE79B6" w:rsidP="00AE79B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90,10</w:t>
            </w:r>
          </w:p>
        </w:tc>
        <w:tc>
          <w:tcPr>
            <w:tcW w:w="776" w:type="dxa"/>
            <w:vAlign w:val="center"/>
          </w:tcPr>
          <w:p w14:paraId="4BA33993" w14:textId="1A24A13F" w:rsidR="00AE79B6" w:rsidRPr="00332AB5" w:rsidRDefault="00AE79B6" w:rsidP="00AE79B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17,00</w:t>
            </w:r>
          </w:p>
        </w:tc>
      </w:tr>
      <w:tr w:rsidR="00AE79B6" w:rsidRPr="00332AB5" w14:paraId="117509B4" w14:textId="77777777" w:rsidTr="00AE79B6">
        <w:trPr>
          <w:trHeight w:val="397"/>
        </w:trPr>
        <w:tc>
          <w:tcPr>
            <w:tcW w:w="1134" w:type="dxa"/>
            <w:shd w:val="clear" w:color="auto" w:fill="auto"/>
            <w:vAlign w:val="center"/>
          </w:tcPr>
          <w:p w14:paraId="20B56DF2" w14:textId="3350A47C" w:rsidR="00AE79B6" w:rsidRPr="00332AB5" w:rsidRDefault="00AE79B6" w:rsidP="00AE79B6">
            <w:pPr>
              <w:rPr>
                <w:rFonts w:asciiTheme="minorHAnsi" w:hAnsiTheme="minorHAnsi" w:cstheme="minorHAnsi"/>
                <w:sz w:val="18"/>
                <w:szCs w:val="18"/>
              </w:rPr>
            </w:pPr>
            <w:r w:rsidRPr="00332AB5">
              <w:rPr>
                <w:rFonts w:asciiTheme="minorHAnsi" w:hAnsiTheme="minorHAnsi" w:cstheme="minorHAnsi"/>
                <w:sz w:val="18"/>
                <w:szCs w:val="18"/>
              </w:rPr>
              <w:t>PRR (EURI)</w:t>
            </w:r>
          </w:p>
        </w:tc>
        <w:tc>
          <w:tcPr>
            <w:tcW w:w="1043" w:type="dxa"/>
            <w:tcBorders>
              <w:bottom w:val="single" w:sz="4" w:space="0" w:color="808080" w:themeColor="background1" w:themeShade="80"/>
            </w:tcBorders>
            <w:vAlign w:val="center"/>
          </w:tcPr>
          <w:p w14:paraId="6B47B208" w14:textId="24DDCC5E" w:rsidR="00AE79B6" w:rsidRPr="00332AB5" w:rsidRDefault="00AE79B6" w:rsidP="00AE79B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201,67</w:t>
            </w:r>
          </w:p>
        </w:tc>
        <w:tc>
          <w:tcPr>
            <w:tcW w:w="1089" w:type="dxa"/>
            <w:tcBorders>
              <w:left w:val="nil"/>
              <w:bottom w:val="single" w:sz="4" w:space="0" w:color="808080" w:themeColor="background1" w:themeShade="80"/>
              <w:right w:val="nil"/>
            </w:tcBorders>
            <w:shd w:val="clear" w:color="auto" w:fill="auto"/>
            <w:vAlign w:val="center"/>
          </w:tcPr>
          <w:p w14:paraId="3885C3EF" w14:textId="57FA88CF" w:rsidR="00AE79B6" w:rsidRPr="00332AB5" w:rsidRDefault="00AE79B6" w:rsidP="00AE79B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105,91</w:t>
            </w:r>
          </w:p>
        </w:tc>
        <w:tc>
          <w:tcPr>
            <w:tcW w:w="845" w:type="dxa"/>
            <w:tcBorders>
              <w:left w:val="nil"/>
              <w:bottom w:val="single" w:sz="4" w:space="0" w:color="808080" w:themeColor="background1" w:themeShade="80"/>
            </w:tcBorders>
            <w:shd w:val="clear" w:color="auto" w:fill="auto"/>
            <w:vAlign w:val="center"/>
          </w:tcPr>
          <w:p w14:paraId="7EBA785E" w14:textId="7E15A93C" w:rsidR="00AE79B6" w:rsidRPr="00332AB5" w:rsidRDefault="00AE79B6" w:rsidP="00AE79B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52,52</w:t>
            </w:r>
          </w:p>
        </w:tc>
        <w:tc>
          <w:tcPr>
            <w:tcW w:w="992" w:type="dxa"/>
            <w:tcBorders>
              <w:left w:val="nil"/>
              <w:bottom w:val="single" w:sz="4" w:space="0" w:color="808080" w:themeColor="background1" w:themeShade="80"/>
              <w:right w:val="nil"/>
            </w:tcBorders>
            <w:shd w:val="clear" w:color="auto" w:fill="auto"/>
            <w:vAlign w:val="center"/>
          </w:tcPr>
          <w:p w14:paraId="52A8B877" w14:textId="47F81A98" w:rsidR="00AE79B6" w:rsidRPr="00332AB5" w:rsidRDefault="00AE79B6" w:rsidP="00AE79B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80,55</w:t>
            </w:r>
          </w:p>
        </w:tc>
        <w:tc>
          <w:tcPr>
            <w:tcW w:w="851" w:type="dxa"/>
            <w:tcBorders>
              <w:left w:val="nil"/>
              <w:bottom w:val="single" w:sz="4" w:space="0" w:color="808080" w:themeColor="background1" w:themeShade="80"/>
              <w:right w:val="nil"/>
            </w:tcBorders>
            <w:shd w:val="clear" w:color="auto" w:fill="auto"/>
            <w:vAlign w:val="center"/>
          </w:tcPr>
          <w:p w14:paraId="2DB9930F" w14:textId="53DC5882" w:rsidR="00AE79B6" w:rsidRPr="00332AB5" w:rsidRDefault="00AE79B6" w:rsidP="00AE79B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39,94</w:t>
            </w:r>
          </w:p>
        </w:tc>
        <w:tc>
          <w:tcPr>
            <w:tcW w:w="850" w:type="dxa"/>
            <w:tcBorders>
              <w:left w:val="nil"/>
              <w:bottom w:val="single" w:sz="4" w:space="0" w:color="808080" w:themeColor="background1" w:themeShade="80"/>
              <w:right w:val="nil"/>
            </w:tcBorders>
            <w:shd w:val="clear" w:color="auto" w:fill="auto"/>
            <w:vAlign w:val="center"/>
          </w:tcPr>
          <w:p w14:paraId="434B7A85" w14:textId="712E6248" w:rsidR="00AE79B6" w:rsidRPr="00332AB5" w:rsidRDefault="00AE79B6" w:rsidP="00AE79B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47,73</w:t>
            </w:r>
          </w:p>
        </w:tc>
        <w:tc>
          <w:tcPr>
            <w:tcW w:w="709" w:type="dxa"/>
            <w:tcBorders>
              <w:left w:val="nil"/>
              <w:bottom w:val="single" w:sz="4" w:space="0" w:color="808080" w:themeColor="background1" w:themeShade="80"/>
              <w:right w:val="nil"/>
            </w:tcBorders>
            <w:shd w:val="clear" w:color="auto" w:fill="auto"/>
            <w:vAlign w:val="center"/>
          </w:tcPr>
          <w:p w14:paraId="41A81283" w14:textId="33F8D52C" w:rsidR="00AE79B6" w:rsidRPr="00332AB5" w:rsidRDefault="00AE79B6" w:rsidP="00AE79B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23,67</w:t>
            </w:r>
          </w:p>
        </w:tc>
        <w:tc>
          <w:tcPr>
            <w:tcW w:w="925" w:type="dxa"/>
            <w:tcBorders>
              <w:bottom w:val="single" w:sz="4" w:space="0" w:color="808080" w:themeColor="background1" w:themeShade="80"/>
            </w:tcBorders>
            <w:vAlign w:val="center"/>
          </w:tcPr>
          <w:p w14:paraId="67DB0F64" w14:textId="42D957DE" w:rsidR="00AE79B6" w:rsidRPr="00332AB5" w:rsidRDefault="00AE79B6" w:rsidP="00AE79B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47,73</w:t>
            </w:r>
          </w:p>
        </w:tc>
        <w:tc>
          <w:tcPr>
            <w:tcW w:w="776" w:type="dxa"/>
            <w:tcBorders>
              <w:bottom w:val="single" w:sz="4" w:space="0" w:color="808080" w:themeColor="background1" w:themeShade="80"/>
            </w:tcBorders>
            <w:vAlign w:val="center"/>
          </w:tcPr>
          <w:p w14:paraId="59EA6D6E" w14:textId="2DEA0572" w:rsidR="00AE79B6" w:rsidRPr="00332AB5" w:rsidRDefault="00AE79B6" w:rsidP="00AE79B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23,67</w:t>
            </w:r>
          </w:p>
        </w:tc>
      </w:tr>
      <w:tr w:rsidR="004F27D2" w:rsidRPr="00332AB5" w14:paraId="576E86E1" w14:textId="77777777" w:rsidTr="00AE79B6">
        <w:trPr>
          <w:trHeight w:val="397"/>
        </w:trPr>
        <w:tc>
          <w:tcPr>
            <w:tcW w:w="1134" w:type="dxa"/>
            <w:vAlign w:val="center"/>
          </w:tcPr>
          <w:p w14:paraId="5201F1B7" w14:textId="77777777" w:rsidR="004F27D2" w:rsidRPr="00332AB5" w:rsidRDefault="004F27D2" w:rsidP="00D274B6">
            <w:pPr>
              <w:rPr>
                <w:rFonts w:asciiTheme="minorHAnsi" w:hAnsiTheme="minorHAnsi" w:cstheme="minorHAnsi"/>
                <w:sz w:val="18"/>
                <w:szCs w:val="18"/>
              </w:rPr>
            </w:pPr>
            <w:r w:rsidRPr="00332AB5">
              <w:rPr>
                <w:rFonts w:asciiTheme="minorHAnsi" w:hAnsiTheme="minorHAnsi" w:cstheme="minorHAnsi"/>
                <w:sz w:val="18"/>
                <w:szCs w:val="18"/>
              </w:rPr>
              <w:t>UKUPNO</w:t>
            </w:r>
          </w:p>
        </w:tc>
        <w:tc>
          <w:tcPr>
            <w:tcW w:w="1043" w:type="dxa"/>
            <w:tcBorders>
              <w:top w:val="single" w:sz="4" w:space="0" w:color="808080" w:themeColor="background1" w:themeShade="80"/>
              <w:bottom w:val="single" w:sz="4" w:space="0" w:color="808080" w:themeColor="background1" w:themeShade="80"/>
            </w:tcBorders>
            <w:shd w:val="clear" w:color="auto" w:fill="auto"/>
            <w:vAlign w:val="center"/>
          </w:tcPr>
          <w:p w14:paraId="2FA2E395" w14:textId="19B84D73" w:rsidR="004F27D2" w:rsidRPr="00332AB5" w:rsidRDefault="00AE21C3" w:rsidP="00D274B6">
            <w:pPr>
              <w:jc w:val="right"/>
              <w:rPr>
                <w:rFonts w:asciiTheme="minorHAnsi" w:hAnsiTheme="minorHAnsi" w:cstheme="minorHAnsi"/>
                <w:sz w:val="18"/>
                <w:szCs w:val="18"/>
              </w:rPr>
            </w:pPr>
            <w:r w:rsidRPr="00332AB5">
              <w:rPr>
                <w:rFonts w:asciiTheme="minorHAnsi" w:hAnsiTheme="minorHAnsi" w:cstheme="minorHAnsi"/>
                <w:sz w:val="18"/>
                <w:szCs w:val="18"/>
              </w:rPr>
              <w:t>864,23</w:t>
            </w:r>
          </w:p>
        </w:tc>
        <w:tc>
          <w:tcPr>
            <w:tcW w:w="1089" w:type="dxa"/>
            <w:tcBorders>
              <w:top w:val="single" w:sz="4" w:space="0" w:color="808080" w:themeColor="background1" w:themeShade="80"/>
              <w:bottom w:val="single" w:sz="4" w:space="0" w:color="808080" w:themeColor="background1" w:themeShade="80"/>
            </w:tcBorders>
            <w:shd w:val="clear" w:color="auto" w:fill="auto"/>
            <w:vAlign w:val="center"/>
          </w:tcPr>
          <w:p w14:paraId="17018666" w14:textId="1E5217C9" w:rsidR="004F27D2" w:rsidRPr="00332AB5" w:rsidRDefault="00AE21C3" w:rsidP="00D274B6">
            <w:pPr>
              <w:jc w:val="right"/>
              <w:rPr>
                <w:rFonts w:asciiTheme="minorHAnsi" w:hAnsiTheme="minorHAnsi" w:cstheme="minorHAnsi"/>
                <w:sz w:val="18"/>
                <w:szCs w:val="18"/>
              </w:rPr>
            </w:pPr>
            <w:r w:rsidRPr="00332AB5">
              <w:rPr>
                <w:rFonts w:asciiTheme="minorHAnsi" w:hAnsiTheme="minorHAnsi" w:cstheme="minorHAnsi"/>
                <w:sz w:val="18"/>
                <w:szCs w:val="18"/>
              </w:rPr>
              <w:t>791,12</w:t>
            </w:r>
          </w:p>
        </w:tc>
        <w:tc>
          <w:tcPr>
            <w:tcW w:w="845" w:type="dxa"/>
            <w:tcBorders>
              <w:top w:val="single" w:sz="4" w:space="0" w:color="808080" w:themeColor="background1" w:themeShade="80"/>
              <w:bottom w:val="single" w:sz="4" w:space="0" w:color="808080" w:themeColor="background1" w:themeShade="80"/>
            </w:tcBorders>
            <w:shd w:val="clear" w:color="auto" w:fill="auto"/>
            <w:vAlign w:val="center"/>
          </w:tcPr>
          <w:p w14:paraId="308DC488" w14:textId="4EB117FC" w:rsidR="004F27D2" w:rsidRPr="00332AB5" w:rsidRDefault="00AE21C3" w:rsidP="00D274B6">
            <w:pPr>
              <w:jc w:val="right"/>
              <w:rPr>
                <w:rFonts w:asciiTheme="minorHAnsi" w:hAnsiTheme="minorHAnsi" w:cstheme="minorHAnsi"/>
                <w:sz w:val="18"/>
                <w:szCs w:val="18"/>
              </w:rPr>
            </w:pPr>
            <w:r w:rsidRPr="00332AB5">
              <w:rPr>
                <w:rFonts w:asciiTheme="minorHAnsi" w:hAnsiTheme="minorHAnsi" w:cstheme="minorHAnsi"/>
                <w:sz w:val="18"/>
                <w:szCs w:val="18"/>
              </w:rPr>
              <w:t>91,54</w:t>
            </w:r>
          </w:p>
        </w:tc>
        <w:tc>
          <w:tcPr>
            <w:tcW w:w="992" w:type="dxa"/>
            <w:tcBorders>
              <w:top w:val="single" w:sz="4" w:space="0" w:color="808080" w:themeColor="background1" w:themeShade="80"/>
              <w:bottom w:val="single" w:sz="4" w:space="0" w:color="808080" w:themeColor="background1" w:themeShade="80"/>
            </w:tcBorders>
            <w:shd w:val="clear" w:color="auto" w:fill="auto"/>
            <w:vAlign w:val="center"/>
          </w:tcPr>
          <w:p w14:paraId="49B96834" w14:textId="25E85580" w:rsidR="004F27D2" w:rsidRPr="00332AB5" w:rsidRDefault="00AE21C3" w:rsidP="00D274B6">
            <w:pPr>
              <w:jc w:val="right"/>
              <w:rPr>
                <w:rFonts w:asciiTheme="minorHAnsi" w:hAnsiTheme="minorHAnsi" w:cstheme="minorHAnsi"/>
                <w:sz w:val="18"/>
                <w:szCs w:val="18"/>
              </w:rPr>
            </w:pPr>
            <w:r w:rsidRPr="00332AB5">
              <w:rPr>
                <w:rFonts w:asciiTheme="minorHAnsi" w:hAnsiTheme="minorHAnsi" w:cstheme="minorHAnsi"/>
                <w:sz w:val="18"/>
                <w:szCs w:val="18"/>
              </w:rPr>
              <w:t>714,16</w:t>
            </w:r>
          </w:p>
        </w:tc>
        <w:tc>
          <w:tcPr>
            <w:tcW w:w="851" w:type="dxa"/>
            <w:tcBorders>
              <w:top w:val="single" w:sz="4" w:space="0" w:color="808080" w:themeColor="background1" w:themeShade="80"/>
              <w:bottom w:val="single" w:sz="4" w:space="0" w:color="808080" w:themeColor="background1" w:themeShade="80"/>
            </w:tcBorders>
            <w:shd w:val="clear" w:color="auto" w:fill="auto"/>
            <w:vAlign w:val="center"/>
          </w:tcPr>
          <w:p w14:paraId="68DF61B7" w14:textId="1EE7E204" w:rsidR="004F27D2" w:rsidRPr="00332AB5" w:rsidRDefault="00AE21C3" w:rsidP="00D274B6">
            <w:pPr>
              <w:jc w:val="right"/>
              <w:rPr>
                <w:rFonts w:asciiTheme="minorHAnsi" w:hAnsiTheme="minorHAnsi" w:cstheme="minorHAnsi"/>
                <w:sz w:val="18"/>
                <w:szCs w:val="18"/>
              </w:rPr>
            </w:pPr>
            <w:r w:rsidRPr="00332AB5">
              <w:rPr>
                <w:rFonts w:asciiTheme="minorHAnsi" w:hAnsiTheme="minorHAnsi" w:cstheme="minorHAnsi"/>
                <w:sz w:val="18"/>
                <w:szCs w:val="18"/>
              </w:rPr>
              <w:t>82,64</w:t>
            </w:r>
          </w:p>
        </w:tc>
        <w:tc>
          <w:tcPr>
            <w:tcW w:w="850" w:type="dxa"/>
            <w:tcBorders>
              <w:top w:val="single" w:sz="4" w:space="0" w:color="808080" w:themeColor="background1" w:themeShade="80"/>
              <w:bottom w:val="single" w:sz="4" w:space="0" w:color="808080" w:themeColor="background1" w:themeShade="80"/>
            </w:tcBorders>
            <w:shd w:val="clear" w:color="auto" w:fill="auto"/>
            <w:vAlign w:val="center"/>
          </w:tcPr>
          <w:p w14:paraId="5CB4869D" w14:textId="354FE408" w:rsidR="004F27D2" w:rsidRPr="00332AB5" w:rsidRDefault="00AE21C3" w:rsidP="00D274B6">
            <w:pPr>
              <w:jc w:val="right"/>
              <w:rPr>
                <w:rFonts w:asciiTheme="minorHAnsi" w:hAnsiTheme="minorHAnsi" w:cstheme="minorHAnsi"/>
                <w:sz w:val="18"/>
                <w:szCs w:val="18"/>
              </w:rPr>
            </w:pPr>
            <w:r w:rsidRPr="00332AB5">
              <w:rPr>
                <w:rFonts w:asciiTheme="minorHAnsi" w:hAnsiTheme="minorHAnsi" w:cstheme="minorHAnsi"/>
                <w:sz w:val="18"/>
                <w:szCs w:val="18"/>
              </w:rPr>
              <w:t>47,73</w:t>
            </w:r>
          </w:p>
        </w:tc>
        <w:tc>
          <w:tcPr>
            <w:tcW w:w="709" w:type="dxa"/>
            <w:tcBorders>
              <w:top w:val="single" w:sz="4" w:space="0" w:color="808080" w:themeColor="background1" w:themeShade="80"/>
              <w:bottom w:val="single" w:sz="4" w:space="0" w:color="808080" w:themeColor="background1" w:themeShade="80"/>
            </w:tcBorders>
            <w:shd w:val="clear" w:color="auto" w:fill="auto"/>
            <w:vAlign w:val="center"/>
          </w:tcPr>
          <w:p w14:paraId="149D2CC6" w14:textId="2C40DBC2" w:rsidR="004F27D2" w:rsidRPr="00332AB5" w:rsidRDefault="00AE21C3" w:rsidP="00D274B6">
            <w:pPr>
              <w:jc w:val="right"/>
              <w:rPr>
                <w:rFonts w:asciiTheme="minorHAnsi" w:hAnsiTheme="minorHAnsi" w:cstheme="minorHAnsi"/>
                <w:sz w:val="18"/>
                <w:szCs w:val="18"/>
              </w:rPr>
            </w:pPr>
            <w:r w:rsidRPr="00332AB5">
              <w:rPr>
                <w:rFonts w:asciiTheme="minorHAnsi" w:hAnsiTheme="minorHAnsi" w:cstheme="minorHAnsi"/>
                <w:sz w:val="18"/>
                <w:szCs w:val="18"/>
              </w:rPr>
              <w:t>5,52</w:t>
            </w:r>
          </w:p>
        </w:tc>
        <w:tc>
          <w:tcPr>
            <w:tcW w:w="925" w:type="dxa"/>
            <w:tcBorders>
              <w:top w:val="single" w:sz="4" w:space="0" w:color="808080" w:themeColor="background1" w:themeShade="80"/>
              <w:bottom w:val="single" w:sz="4" w:space="0" w:color="808080" w:themeColor="background1" w:themeShade="80"/>
            </w:tcBorders>
            <w:shd w:val="clear" w:color="auto" w:fill="auto"/>
            <w:vAlign w:val="center"/>
          </w:tcPr>
          <w:p w14:paraId="6CCB6572" w14:textId="13A5B11D" w:rsidR="004F27D2" w:rsidRPr="00332AB5" w:rsidRDefault="00AE21C3" w:rsidP="00D274B6">
            <w:pPr>
              <w:jc w:val="right"/>
              <w:rPr>
                <w:rFonts w:asciiTheme="minorHAnsi" w:hAnsiTheme="minorHAnsi" w:cstheme="minorHAnsi"/>
                <w:sz w:val="18"/>
                <w:szCs w:val="18"/>
              </w:rPr>
            </w:pPr>
            <w:r w:rsidRPr="00332AB5">
              <w:rPr>
                <w:rFonts w:asciiTheme="minorHAnsi" w:hAnsiTheme="minorHAnsi" w:cstheme="minorHAnsi"/>
                <w:sz w:val="18"/>
                <w:szCs w:val="18"/>
              </w:rPr>
              <w:t>146,47</w:t>
            </w:r>
          </w:p>
        </w:tc>
        <w:tc>
          <w:tcPr>
            <w:tcW w:w="776" w:type="dxa"/>
            <w:tcBorders>
              <w:top w:val="single" w:sz="4" w:space="0" w:color="808080" w:themeColor="background1" w:themeShade="80"/>
              <w:bottom w:val="single" w:sz="4" w:space="0" w:color="808080" w:themeColor="background1" w:themeShade="80"/>
            </w:tcBorders>
            <w:shd w:val="clear" w:color="auto" w:fill="auto"/>
            <w:vAlign w:val="center"/>
          </w:tcPr>
          <w:p w14:paraId="51FFA51F" w14:textId="68C516CB" w:rsidR="004F27D2" w:rsidRPr="00332AB5" w:rsidRDefault="00AE21C3" w:rsidP="00D274B6">
            <w:pPr>
              <w:jc w:val="right"/>
              <w:rPr>
                <w:rFonts w:asciiTheme="minorHAnsi" w:hAnsiTheme="minorHAnsi" w:cstheme="minorHAnsi"/>
                <w:sz w:val="18"/>
                <w:szCs w:val="18"/>
              </w:rPr>
            </w:pPr>
            <w:r w:rsidRPr="00332AB5">
              <w:rPr>
                <w:rFonts w:asciiTheme="minorHAnsi" w:hAnsiTheme="minorHAnsi" w:cstheme="minorHAnsi"/>
                <w:sz w:val="18"/>
                <w:szCs w:val="18"/>
              </w:rPr>
              <w:t>16,95</w:t>
            </w:r>
          </w:p>
        </w:tc>
      </w:tr>
    </w:tbl>
    <w:p w14:paraId="4C2B0815" w14:textId="3031A59B" w:rsidR="00E46443" w:rsidRPr="00332AB5" w:rsidRDefault="00E46443" w:rsidP="004F27D2">
      <w:pPr>
        <w:spacing w:before="120" w:after="120"/>
        <w:jc w:val="both"/>
        <w:rPr>
          <w:sz w:val="24"/>
          <w:szCs w:val="24"/>
        </w:rPr>
      </w:pPr>
      <w:r w:rsidRPr="00332AB5">
        <w:rPr>
          <w:sz w:val="24"/>
          <w:szCs w:val="24"/>
        </w:rPr>
        <w:br w:type="page"/>
      </w:r>
    </w:p>
    <w:p w14:paraId="29E1DB1B" w14:textId="77777777" w:rsidR="00E46443" w:rsidRPr="00332AB5" w:rsidRDefault="00E46443" w:rsidP="00B24B7D">
      <w:pPr>
        <w:pStyle w:val="Heading2"/>
        <w:numPr>
          <w:ilvl w:val="1"/>
          <w:numId w:val="7"/>
        </w:numPr>
      </w:pPr>
      <w:bookmarkStart w:id="35" w:name="_Toc152595217"/>
      <w:r w:rsidRPr="00332AB5">
        <w:lastRenderedPageBreak/>
        <w:t>PREGLED PROVEDBE KOMPONENTI PROGRAMA IPA I OPERATIVNIH PROGRAMA FINANCIJSKOG RAZDOBLJA 2007. – 2013.</w:t>
      </w:r>
      <w:bookmarkEnd w:id="35"/>
    </w:p>
    <w:p w14:paraId="720CE95B" w14:textId="6764CF62" w:rsidR="004618D4" w:rsidRPr="00332AB5" w:rsidRDefault="00AE2853" w:rsidP="004618D4">
      <w:pPr>
        <w:spacing w:before="120" w:after="120"/>
        <w:jc w:val="both"/>
        <w:rPr>
          <w:sz w:val="24"/>
          <w:szCs w:val="24"/>
        </w:rPr>
      </w:pPr>
      <w:r w:rsidRPr="00332AB5">
        <w:rPr>
          <w:sz w:val="24"/>
          <w:szCs w:val="24"/>
        </w:rPr>
        <w:t>S 31. prosincem 2016</w:t>
      </w:r>
      <w:r w:rsidR="009F0B8D" w:rsidRPr="00332AB5">
        <w:rPr>
          <w:sz w:val="24"/>
          <w:szCs w:val="24"/>
        </w:rPr>
        <w:t xml:space="preserve">. </w:t>
      </w:r>
      <w:r w:rsidRPr="00332AB5">
        <w:rPr>
          <w:sz w:val="24"/>
          <w:szCs w:val="24"/>
        </w:rPr>
        <w:t xml:space="preserve">završilo je </w:t>
      </w:r>
      <w:r w:rsidR="00910893" w:rsidRPr="00332AB5">
        <w:rPr>
          <w:sz w:val="24"/>
          <w:szCs w:val="24"/>
        </w:rPr>
        <w:t>N</w:t>
      </w:r>
      <w:r w:rsidR="00F76044" w:rsidRPr="00332AB5">
        <w:rPr>
          <w:sz w:val="24"/>
          <w:szCs w:val="24"/>
        </w:rPr>
        <w:t>+3</w:t>
      </w:r>
      <w:r w:rsidR="00F76044" w:rsidRPr="00332AB5">
        <w:rPr>
          <w:rStyle w:val="FootnoteReference"/>
          <w:sz w:val="24"/>
          <w:szCs w:val="24"/>
        </w:rPr>
        <w:footnoteReference w:id="4"/>
      </w:r>
      <w:r w:rsidRPr="00332AB5">
        <w:rPr>
          <w:sz w:val="24"/>
          <w:szCs w:val="24"/>
        </w:rPr>
        <w:t xml:space="preserve"> razdoblje provedbe programa</w:t>
      </w:r>
      <w:r w:rsidR="00DE5741" w:rsidRPr="00332AB5">
        <w:rPr>
          <w:sz w:val="24"/>
          <w:szCs w:val="24"/>
        </w:rPr>
        <w:t>. Tijekom 2017</w:t>
      </w:r>
      <w:r w:rsidR="009F0B8D" w:rsidRPr="00332AB5">
        <w:rPr>
          <w:sz w:val="24"/>
          <w:szCs w:val="24"/>
        </w:rPr>
        <w:t>.</w:t>
      </w:r>
      <w:r w:rsidR="00DE5741" w:rsidRPr="00332AB5">
        <w:rPr>
          <w:sz w:val="24"/>
          <w:szCs w:val="24"/>
        </w:rPr>
        <w:t xml:space="preserve"> </w:t>
      </w:r>
      <w:r w:rsidR="00EB34DE" w:rsidRPr="00332AB5">
        <w:rPr>
          <w:sz w:val="24"/>
          <w:szCs w:val="24"/>
        </w:rPr>
        <w:t>u</w:t>
      </w:r>
      <w:r w:rsidR="00DE5741" w:rsidRPr="00332AB5">
        <w:rPr>
          <w:sz w:val="24"/>
          <w:szCs w:val="24"/>
        </w:rPr>
        <w:t>slijedi</w:t>
      </w:r>
      <w:r w:rsidR="00EB34DE" w:rsidRPr="00332AB5">
        <w:rPr>
          <w:sz w:val="24"/>
          <w:szCs w:val="24"/>
        </w:rPr>
        <w:t>lo</w:t>
      </w:r>
      <w:r w:rsidR="00DE5741" w:rsidRPr="00332AB5">
        <w:rPr>
          <w:sz w:val="24"/>
          <w:szCs w:val="24"/>
        </w:rPr>
        <w:t xml:space="preserve"> </w:t>
      </w:r>
      <w:r w:rsidR="00EB34DE" w:rsidRPr="00332AB5">
        <w:rPr>
          <w:sz w:val="24"/>
          <w:szCs w:val="24"/>
        </w:rPr>
        <w:t>je</w:t>
      </w:r>
      <w:r w:rsidR="00DE5741" w:rsidRPr="00332AB5">
        <w:rPr>
          <w:sz w:val="24"/>
          <w:szCs w:val="24"/>
        </w:rPr>
        <w:t xml:space="preserve"> postupno zatvaranje programa s krajnjim rokom u ožujku 2018</w:t>
      </w:r>
      <w:r w:rsidR="009F0B8D" w:rsidRPr="00332AB5">
        <w:rPr>
          <w:sz w:val="24"/>
          <w:szCs w:val="24"/>
        </w:rPr>
        <w:t>.</w:t>
      </w:r>
      <w:r w:rsidR="00DE5741" w:rsidRPr="00332AB5">
        <w:rPr>
          <w:sz w:val="24"/>
          <w:szCs w:val="24"/>
        </w:rPr>
        <w:t xml:space="preserve"> Jedina iznimka je IPA I koja </w:t>
      </w:r>
      <w:r w:rsidR="009D2B94" w:rsidRPr="00332AB5">
        <w:rPr>
          <w:sz w:val="24"/>
          <w:szCs w:val="24"/>
        </w:rPr>
        <w:t>se provodila</w:t>
      </w:r>
      <w:r w:rsidR="00DE5741" w:rsidRPr="00332AB5">
        <w:rPr>
          <w:sz w:val="24"/>
          <w:szCs w:val="24"/>
        </w:rPr>
        <w:t xml:space="preserve"> do </w:t>
      </w:r>
      <w:r w:rsidR="00BA7158" w:rsidRPr="00332AB5">
        <w:rPr>
          <w:sz w:val="24"/>
          <w:szCs w:val="24"/>
        </w:rPr>
        <w:t>14. siječnja 2020</w:t>
      </w:r>
      <w:r w:rsidR="00326627" w:rsidRPr="00332AB5">
        <w:rPr>
          <w:sz w:val="24"/>
          <w:szCs w:val="24"/>
        </w:rPr>
        <w:t xml:space="preserve">., odnosno Prijelazni Instrument koji se provodio do 13. prosinca 2019. </w:t>
      </w:r>
      <w:r w:rsidR="001C51A0" w:rsidRPr="00332AB5">
        <w:rPr>
          <w:sz w:val="24"/>
          <w:szCs w:val="24"/>
        </w:rPr>
        <w:t>Također, u slučaju OPR primjenjuje se n+2 pravilo te je razdoblje provedbe završilo 31. prosinca 2015</w:t>
      </w:r>
      <w:r w:rsidR="009F0B8D" w:rsidRPr="00332AB5">
        <w:rPr>
          <w:sz w:val="24"/>
          <w:szCs w:val="24"/>
        </w:rPr>
        <w:t>.</w:t>
      </w:r>
      <w:r w:rsidR="001C51A0" w:rsidRPr="00332AB5">
        <w:rPr>
          <w:sz w:val="24"/>
          <w:szCs w:val="24"/>
        </w:rPr>
        <w:t xml:space="preserve">, </w:t>
      </w:r>
      <w:bookmarkStart w:id="36" w:name="_Hlk100648596"/>
      <w:r w:rsidR="004618D4" w:rsidRPr="00332AB5">
        <w:rPr>
          <w:sz w:val="24"/>
          <w:szCs w:val="24"/>
        </w:rPr>
        <w:t>a zaključenje odnosno zatvaranje je potvrđeno u srpnju 2019. godine. Slijedom toga, u izvještajnom razdoblju nije bilo provedbe OPR-a te podaci navedeni u Tablici 5. ujedno podrazumijevaju i konačne podatke o provedbi i iskorištenosti.</w:t>
      </w:r>
    </w:p>
    <w:p w14:paraId="773CA221" w14:textId="5BC5B3F4" w:rsidR="002A5938" w:rsidRPr="00332AB5" w:rsidRDefault="002A5938" w:rsidP="002A5938">
      <w:pPr>
        <w:spacing w:before="120" w:after="120"/>
        <w:jc w:val="both"/>
        <w:rPr>
          <w:sz w:val="24"/>
          <w:szCs w:val="24"/>
        </w:rPr>
      </w:pPr>
      <w:r w:rsidRPr="00332AB5">
        <w:rPr>
          <w:sz w:val="24"/>
          <w:szCs w:val="24"/>
        </w:rPr>
        <w:t xml:space="preserve">U razdoblju od </w:t>
      </w:r>
      <w:r w:rsidR="0011067E" w:rsidRPr="00332AB5">
        <w:rPr>
          <w:sz w:val="24"/>
          <w:szCs w:val="24"/>
        </w:rPr>
        <w:t>1. siječnja</w:t>
      </w:r>
      <w:r w:rsidR="000F5BB9" w:rsidRPr="00332AB5">
        <w:rPr>
          <w:sz w:val="24"/>
          <w:szCs w:val="24"/>
        </w:rPr>
        <w:t xml:space="preserve"> do </w:t>
      </w:r>
      <w:r w:rsidR="0011067E" w:rsidRPr="00332AB5">
        <w:rPr>
          <w:sz w:val="24"/>
          <w:szCs w:val="24"/>
        </w:rPr>
        <w:t>30. lipnja 2023.</w:t>
      </w:r>
      <w:r w:rsidR="005A6CCD" w:rsidRPr="00332AB5">
        <w:rPr>
          <w:sz w:val="24"/>
          <w:szCs w:val="24"/>
        </w:rPr>
        <w:t xml:space="preserve"> </w:t>
      </w:r>
      <w:r w:rsidRPr="00332AB5">
        <w:rPr>
          <w:sz w:val="24"/>
          <w:szCs w:val="24"/>
        </w:rPr>
        <w:t xml:space="preserve">bilo </w:t>
      </w:r>
      <w:r w:rsidR="00E037AC" w:rsidRPr="00332AB5">
        <w:rPr>
          <w:sz w:val="24"/>
          <w:szCs w:val="24"/>
        </w:rPr>
        <w:t xml:space="preserve">je manjih </w:t>
      </w:r>
      <w:r w:rsidR="00786694" w:rsidRPr="00332AB5">
        <w:rPr>
          <w:sz w:val="24"/>
          <w:szCs w:val="24"/>
        </w:rPr>
        <w:t xml:space="preserve">promjena u </w:t>
      </w:r>
      <w:r w:rsidR="00E037AC" w:rsidRPr="00332AB5">
        <w:rPr>
          <w:sz w:val="24"/>
          <w:szCs w:val="24"/>
        </w:rPr>
        <w:t>doznačenim sredstvima u odnosu na prošlo Izvješće.</w:t>
      </w:r>
    </w:p>
    <w:bookmarkEnd w:id="36"/>
    <w:p w14:paraId="6C24CF7C" w14:textId="1CF284D5" w:rsidR="002A5938" w:rsidRPr="00332AB5" w:rsidRDefault="002A5938" w:rsidP="002A5938">
      <w:pPr>
        <w:spacing w:before="120" w:after="120"/>
        <w:jc w:val="both"/>
        <w:rPr>
          <w:sz w:val="24"/>
          <w:szCs w:val="24"/>
        </w:rPr>
      </w:pPr>
      <w:r w:rsidRPr="00332AB5">
        <w:rPr>
          <w:sz w:val="24"/>
          <w:szCs w:val="24"/>
        </w:rPr>
        <w:t xml:space="preserve">Na dan </w:t>
      </w:r>
      <w:r w:rsidR="0011067E" w:rsidRPr="00332AB5">
        <w:rPr>
          <w:sz w:val="24"/>
          <w:szCs w:val="24"/>
        </w:rPr>
        <w:t>30. lipnja 2023.</w:t>
      </w:r>
      <w:r w:rsidR="005A6CCD" w:rsidRPr="00332AB5">
        <w:rPr>
          <w:sz w:val="24"/>
          <w:szCs w:val="24"/>
        </w:rPr>
        <w:t xml:space="preserve"> </w:t>
      </w:r>
      <w:r w:rsidRPr="00332AB5">
        <w:rPr>
          <w:sz w:val="24"/>
          <w:szCs w:val="24"/>
        </w:rPr>
        <w:t>ukupno je ugovoreno 1,2</w:t>
      </w:r>
      <w:r w:rsidR="008807E2" w:rsidRPr="00332AB5">
        <w:rPr>
          <w:sz w:val="24"/>
          <w:szCs w:val="24"/>
        </w:rPr>
        <w:t>8</w:t>
      </w:r>
      <w:r w:rsidRPr="00332AB5">
        <w:rPr>
          <w:sz w:val="24"/>
          <w:szCs w:val="24"/>
        </w:rPr>
        <w:t xml:space="preserve"> milijardi eura, odnosno 99,</w:t>
      </w:r>
      <w:r w:rsidR="008807E2" w:rsidRPr="00332AB5">
        <w:rPr>
          <w:sz w:val="24"/>
          <w:szCs w:val="24"/>
        </w:rPr>
        <w:t>66</w:t>
      </w:r>
      <w:r w:rsidRPr="00332AB5">
        <w:rPr>
          <w:sz w:val="24"/>
          <w:szCs w:val="24"/>
        </w:rPr>
        <w:t xml:space="preserve"> % ukupno dodijeljenih sredstava. Ukupno je plaćeno 1,1</w:t>
      </w:r>
      <w:r w:rsidR="00AE361B" w:rsidRPr="00332AB5">
        <w:rPr>
          <w:sz w:val="24"/>
          <w:szCs w:val="24"/>
        </w:rPr>
        <w:t>3</w:t>
      </w:r>
      <w:r w:rsidRPr="00332AB5">
        <w:rPr>
          <w:sz w:val="24"/>
          <w:szCs w:val="24"/>
        </w:rPr>
        <w:t xml:space="preserve"> milijardi eura odnosno </w:t>
      </w:r>
      <w:r w:rsidR="00AE361B" w:rsidRPr="00332AB5">
        <w:rPr>
          <w:sz w:val="24"/>
          <w:szCs w:val="24"/>
        </w:rPr>
        <w:t>88</w:t>
      </w:r>
      <w:r w:rsidR="00C04D6A" w:rsidRPr="00332AB5">
        <w:rPr>
          <w:sz w:val="24"/>
          <w:szCs w:val="24"/>
        </w:rPr>
        <w:t>,</w:t>
      </w:r>
      <w:r w:rsidR="00AE361B" w:rsidRPr="00332AB5">
        <w:rPr>
          <w:sz w:val="24"/>
          <w:szCs w:val="24"/>
        </w:rPr>
        <w:t>06</w:t>
      </w:r>
      <w:r w:rsidR="00642644" w:rsidRPr="00332AB5">
        <w:rPr>
          <w:sz w:val="24"/>
          <w:szCs w:val="24"/>
        </w:rPr>
        <w:t xml:space="preserve"> </w:t>
      </w:r>
      <w:r w:rsidRPr="00332AB5">
        <w:rPr>
          <w:sz w:val="24"/>
          <w:szCs w:val="24"/>
        </w:rPr>
        <w:t>% dodijeljenih sredstava. Ukupno je ovjereno 1,1</w:t>
      </w:r>
      <w:r w:rsidR="008807E2" w:rsidRPr="00332AB5">
        <w:rPr>
          <w:sz w:val="24"/>
          <w:szCs w:val="24"/>
        </w:rPr>
        <w:t>7</w:t>
      </w:r>
      <w:r w:rsidRPr="00332AB5">
        <w:rPr>
          <w:sz w:val="24"/>
          <w:szCs w:val="24"/>
        </w:rPr>
        <w:t xml:space="preserve"> milijardi eura, odnosno 91,</w:t>
      </w:r>
      <w:r w:rsidR="00C22373" w:rsidRPr="00332AB5">
        <w:rPr>
          <w:sz w:val="24"/>
          <w:szCs w:val="24"/>
        </w:rPr>
        <w:t>1</w:t>
      </w:r>
      <w:r w:rsidR="008807E2" w:rsidRPr="00332AB5">
        <w:rPr>
          <w:sz w:val="24"/>
          <w:szCs w:val="24"/>
        </w:rPr>
        <w:t>1</w:t>
      </w:r>
      <w:r w:rsidR="00287EC9" w:rsidRPr="00332AB5">
        <w:rPr>
          <w:sz w:val="24"/>
          <w:szCs w:val="24"/>
        </w:rPr>
        <w:t xml:space="preserve"> </w:t>
      </w:r>
      <w:r w:rsidRPr="00332AB5">
        <w:rPr>
          <w:sz w:val="24"/>
          <w:szCs w:val="24"/>
        </w:rPr>
        <w:t>%</w:t>
      </w:r>
      <w:r w:rsidR="00940601" w:rsidRPr="00332AB5">
        <w:t xml:space="preserve"> </w:t>
      </w:r>
      <w:r w:rsidR="00940601" w:rsidRPr="00332AB5">
        <w:rPr>
          <w:sz w:val="24"/>
          <w:szCs w:val="24"/>
        </w:rPr>
        <w:t>dodijeljenih sredstava</w:t>
      </w:r>
      <w:r w:rsidRPr="00332AB5">
        <w:rPr>
          <w:sz w:val="24"/>
          <w:szCs w:val="24"/>
        </w:rPr>
        <w:t>, a ukupno je doznačen</w:t>
      </w:r>
      <w:r w:rsidR="00275475" w:rsidRPr="00332AB5">
        <w:rPr>
          <w:sz w:val="24"/>
          <w:szCs w:val="24"/>
        </w:rPr>
        <w:t>o</w:t>
      </w:r>
      <w:r w:rsidRPr="00332AB5">
        <w:rPr>
          <w:sz w:val="24"/>
          <w:szCs w:val="24"/>
        </w:rPr>
        <w:t xml:space="preserve"> 1,1</w:t>
      </w:r>
      <w:r w:rsidR="008807E2" w:rsidRPr="00332AB5">
        <w:rPr>
          <w:sz w:val="24"/>
          <w:szCs w:val="24"/>
        </w:rPr>
        <w:t>4</w:t>
      </w:r>
      <w:r w:rsidRPr="00332AB5">
        <w:rPr>
          <w:sz w:val="24"/>
          <w:szCs w:val="24"/>
        </w:rPr>
        <w:t xml:space="preserve"> milijard</w:t>
      </w:r>
      <w:r w:rsidR="00275475" w:rsidRPr="00332AB5">
        <w:rPr>
          <w:sz w:val="24"/>
          <w:szCs w:val="24"/>
        </w:rPr>
        <w:t>i</w:t>
      </w:r>
      <w:r w:rsidRPr="00332AB5">
        <w:rPr>
          <w:sz w:val="24"/>
          <w:szCs w:val="24"/>
        </w:rPr>
        <w:t xml:space="preserve"> eura odnosno 88,</w:t>
      </w:r>
      <w:r w:rsidR="00D43786" w:rsidRPr="00332AB5">
        <w:rPr>
          <w:sz w:val="24"/>
          <w:szCs w:val="24"/>
        </w:rPr>
        <w:t>41</w:t>
      </w:r>
      <w:r w:rsidRPr="00332AB5">
        <w:rPr>
          <w:sz w:val="24"/>
          <w:szCs w:val="24"/>
        </w:rPr>
        <w:t xml:space="preserve"> % dodijeljenih sredstava.</w:t>
      </w:r>
    </w:p>
    <w:p w14:paraId="5B38BFDB" w14:textId="77777777" w:rsidR="00D67C98" w:rsidRPr="00332AB5" w:rsidRDefault="00D67C98" w:rsidP="005579F1">
      <w:pPr>
        <w:pStyle w:val="Caption"/>
        <w:spacing w:before="120" w:after="120"/>
        <w:jc w:val="both"/>
        <w:rPr>
          <w:color w:val="auto"/>
          <w:sz w:val="20"/>
          <w:szCs w:val="20"/>
        </w:rPr>
      </w:pPr>
    </w:p>
    <w:p w14:paraId="3986BC1E" w14:textId="0F3A51E7" w:rsidR="00E46443" w:rsidRPr="00332AB5" w:rsidRDefault="00F2296E" w:rsidP="00741C5E">
      <w:pPr>
        <w:pStyle w:val="Caption"/>
        <w:spacing w:before="120" w:after="120"/>
        <w:jc w:val="both"/>
        <w:rPr>
          <w:color w:val="auto"/>
          <w:sz w:val="20"/>
          <w:szCs w:val="20"/>
        </w:rPr>
      </w:pPr>
      <w:bookmarkStart w:id="37" w:name="_Toc152595280"/>
      <w:r w:rsidRPr="00332AB5">
        <w:rPr>
          <w:color w:val="auto"/>
          <w:sz w:val="20"/>
          <w:szCs w:val="20"/>
        </w:rPr>
        <w:t xml:space="preserve">Tablica </w:t>
      </w:r>
      <w:r w:rsidR="008C2CC3" w:rsidRPr="00332AB5">
        <w:rPr>
          <w:color w:val="auto"/>
          <w:sz w:val="20"/>
          <w:szCs w:val="20"/>
        </w:rPr>
        <w:fldChar w:fldCharType="begin"/>
      </w:r>
      <w:r w:rsidR="00BE6224" w:rsidRPr="00332AB5">
        <w:rPr>
          <w:color w:val="auto"/>
          <w:sz w:val="20"/>
          <w:szCs w:val="20"/>
        </w:rPr>
        <w:instrText xml:space="preserve"> SEQ Tablica \* ARABIC </w:instrText>
      </w:r>
      <w:r w:rsidR="008C2CC3" w:rsidRPr="00332AB5">
        <w:rPr>
          <w:color w:val="auto"/>
          <w:sz w:val="20"/>
          <w:szCs w:val="20"/>
        </w:rPr>
        <w:fldChar w:fldCharType="separate"/>
      </w:r>
      <w:r w:rsidR="005E6E46">
        <w:rPr>
          <w:noProof/>
          <w:color w:val="auto"/>
          <w:sz w:val="20"/>
          <w:szCs w:val="20"/>
        </w:rPr>
        <w:t>6</w:t>
      </w:r>
      <w:r w:rsidR="008C2CC3" w:rsidRPr="00332AB5">
        <w:rPr>
          <w:color w:val="auto"/>
          <w:sz w:val="20"/>
          <w:szCs w:val="20"/>
        </w:rPr>
        <w:fldChar w:fldCharType="end"/>
      </w:r>
      <w:r w:rsidRPr="00332AB5">
        <w:rPr>
          <w:color w:val="auto"/>
          <w:sz w:val="20"/>
          <w:szCs w:val="20"/>
        </w:rPr>
        <w:t xml:space="preserve">: </w:t>
      </w:r>
      <w:r w:rsidR="00E46443" w:rsidRPr="00332AB5">
        <w:rPr>
          <w:color w:val="auto"/>
          <w:sz w:val="20"/>
          <w:szCs w:val="20"/>
        </w:rPr>
        <w:t xml:space="preserve">Financijski pokazatelji statusa provedbe svih Operativnih programa i komponenti programa IPA od početka provedbe do kraja izvještajnog razdoblja </w:t>
      </w:r>
      <w:r w:rsidR="0011067E" w:rsidRPr="00332AB5">
        <w:rPr>
          <w:color w:val="auto"/>
          <w:sz w:val="20"/>
          <w:szCs w:val="20"/>
        </w:rPr>
        <w:t>30. lipnja 2023.</w:t>
      </w:r>
      <w:r w:rsidR="00C74C25" w:rsidRPr="00332AB5">
        <w:rPr>
          <w:color w:val="auto"/>
          <w:sz w:val="20"/>
          <w:szCs w:val="20"/>
        </w:rPr>
        <w:t xml:space="preserve"> </w:t>
      </w:r>
      <w:r w:rsidR="00E46443" w:rsidRPr="00332AB5">
        <w:rPr>
          <w:color w:val="auto"/>
          <w:sz w:val="20"/>
          <w:szCs w:val="20"/>
        </w:rPr>
        <w:t>(sredstva EU, u milijunima eura i postocima od dodijeljenih sredstava)</w:t>
      </w:r>
      <w:bookmarkEnd w:id="37"/>
    </w:p>
    <w:tbl>
      <w:tblPr>
        <w:tblStyle w:val="TableGrid"/>
        <w:tblW w:w="935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8"/>
        <w:gridCol w:w="975"/>
        <w:gridCol w:w="996"/>
        <w:gridCol w:w="850"/>
        <w:gridCol w:w="993"/>
        <w:gridCol w:w="850"/>
        <w:gridCol w:w="992"/>
        <w:gridCol w:w="851"/>
        <w:gridCol w:w="992"/>
        <w:gridCol w:w="709"/>
      </w:tblGrid>
      <w:tr w:rsidR="00AA5DF3" w:rsidRPr="00332AB5" w14:paraId="75FBA862" w14:textId="77777777" w:rsidTr="00C04D6A">
        <w:trPr>
          <w:trHeight w:val="850"/>
          <w:jc w:val="right"/>
        </w:trPr>
        <w:tc>
          <w:tcPr>
            <w:tcW w:w="1148" w:type="dxa"/>
            <w:vAlign w:val="center"/>
          </w:tcPr>
          <w:p w14:paraId="00EBA484" w14:textId="328E7C4A" w:rsidR="00E46443" w:rsidRPr="00332AB5" w:rsidRDefault="00786694" w:rsidP="00E2152B">
            <w:pPr>
              <w:spacing w:after="60"/>
              <w:rPr>
                <w:sz w:val="16"/>
                <w:szCs w:val="24"/>
              </w:rPr>
            </w:pPr>
            <w:bookmarkStart w:id="38" w:name="_Hlk519066274"/>
            <w:r w:rsidRPr="00332AB5">
              <w:rPr>
                <w:rFonts w:asciiTheme="minorHAnsi" w:hAnsiTheme="minorHAnsi" w:cstheme="minorHAnsi"/>
                <w:sz w:val="16"/>
              </w:rPr>
              <w:t>Program/ komponenta</w:t>
            </w:r>
            <w:r w:rsidRPr="00332AB5">
              <w:rPr>
                <w:rFonts w:asciiTheme="minorHAnsi" w:hAnsiTheme="minorHAnsi" w:cstheme="minorHAnsi"/>
                <w:sz w:val="16"/>
                <w:vertAlign w:val="superscript"/>
              </w:rPr>
              <w:footnoteReference w:id="5"/>
            </w:r>
          </w:p>
        </w:tc>
        <w:tc>
          <w:tcPr>
            <w:tcW w:w="975" w:type="dxa"/>
            <w:tcBorders>
              <w:bottom w:val="single" w:sz="4" w:space="0" w:color="808080" w:themeColor="background1" w:themeShade="80"/>
            </w:tcBorders>
            <w:vAlign w:val="center"/>
          </w:tcPr>
          <w:p w14:paraId="6B1318B8" w14:textId="77777777" w:rsidR="00E46443" w:rsidRPr="00332AB5" w:rsidRDefault="00E46443" w:rsidP="00E2152B">
            <w:pPr>
              <w:spacing w:after="60"/>
              <w:jc w:val="right"/>
              <w:rPr>
                <w:sz w:val="16"/>
                <w:szCs w:val="24"/>
              </w:rPr>
            </w:pPr>
            <w:r w:rsidRPr="00332AB5">
              <w:rPr>
                <w:rFonts w:asciiTheme="minorHAnsi" w:hAnsiTheme="minorHAnsi" w:cstheme="minorHAnsi"/>
                <w:sz w:val="16"/>
              </w:rPr>
              <w:t>Dodijeljena sredstva</w:t>
            </w:r>
          </w:p>
        </w:tc>
        <w:tc>
          <w:tcPr>
            <w:tcW w:w="996" w:type="dxa"/>
            <w:tcBorders>
              <w:bottom w:val="single" w:sz="4" w:space="0" w:color="808080" w:themeColor="background1" w:themeShade="80"/>
            </w:tcBorders>
            <w:vAlign w:val="center"/>
          </w:tcPr>
          <w:p w14:paraId="56A83099" w14:textId="77777777" w:rsidR="00E46443" w:rsidRPr="00332AB5" w:rsidRDefault="00E46443" w:rsidP="00E2152B">
            <w:pPr>
              <w:spacing w:after="60"/>
              <w:jc w:val="right"/>
              <w:rPr>
                <w:sz w:val="16"/>
                <w:szCs w:val="24"/>
              </w:rPr>
            </w:pPr>
            <w:r w:rsidRPr="00332AB5">
              <w:rPr>
                <w:rFonts w:asciiTheme="minorHAnsi" w:hAnsiTheme="minorHAnsi" w:cstheme="minorHAnsi"/>
                <w:sz w:val="16"/>
              </w:rPr>
              <w:t>Ukupno ugovorena sredstva</w:t>
            </w:r>
          </w:p>
        </w:tc>
        <w:tc>
          <w:tcPr>
            <w:tcW w:w="850" w:type="dxa"/>
            <w:tcBorders>
              <w:bottom w:val="single" w:sz="4" w:space="0" w:color="808080" w:themeColor="background1" w:themeShade="80"/>
            </w:tcBorders>
            <w:vAlign w:val="center"/>
          </w:tcPr>
          <w:p w14:paraId="0D5D363A" w14:textId="77777777" w:rsidR="00E46443" w:rsidRPr="00332AB5" w:rsidRDefault="000C006E" w:rsidP="00E2152B">
            <w:pPr>
              <w:spacing w:after="60"/>
              <w:jc w:val="right"/>
              <w:rPr>
                <w:sz w:val="16"/>
                <w:szCs w:val="24"/>
              </w:rPr>
            </w:pPr>
            <w:r w:rsidRPr="00332AB5">
              <w:rPr>
                <w:rFonts w:asciiTheme="minorHAnsi" w:hAnsiTheme="minorHAnsi" w:cstheme="minorHAnsi"/>
                <w:sz w:val="16"/>
              </w:rPr>
              <w:t xml:space="preserve"> %</w:t>
            </w:r>
          </w:p>
        </w:tc>
        <w:tc>
          <w:tcPr>
            <w:tcW w:w="993" w:type="dxa"/>
            <w:tcBorders>
              <w:bottom w:val="single" w:sz="4" w:space="0" w:color="808080" w:themeColor="background1" w:themeShade="80"/>
            </w:tcBorders>
            <w:vAlign w:val="center"/>
          </w:tcPr>
          <w:p w14:paraId="4BF5FDFA" w14:textId="77777777" w:rsidR="00E46443" w:rsidRPr="00332AB5" w:rsidRDefault="00E46443" w:rsidP="00E2152B">
            <w:pPr>
              <w:spacing w:after="60"/>
              <w:jc w:val="right"/>
              <w:rPr>
                <w:sz w:val="16"/>
                <w:szCs w:val="24"/>
              </w:rPr>
            </w:pPr>
            <w:r w:rsidRPr="00332AB5">
              <w:rPr>
                <w:rFonts w:asciiTheme="minorHAnsi" w:hAnsiTheme="minorHAnsi" w:cstheme="minorHAnsi"/>
                <w:sz w:val="16"/>
              </w:rPr>
              <w:t>Ukupno plaćena sredstva</w:t>
            </w:r>
          </w:p>
        </w:tc>
        <w:tc>
          <w:tcPr>
            <w:tcW w:w="850" w:type="dxa"/>
            <w:tcBorders>
              <w:bottom w:val="single" w:sz="4" w:space="0" w:color="808080" w:themeColor="background1" w:themeShade="80"/>
            </w:tcBorders>
            <w:vAlign w:val="center"/>
          </w:tcPr>
          <w:p w14:paraId="371D2E6C" w14:textId="77777777" w:rsidR="00E46443" w:rsidRPr="00332AB5" w:rsidRDefault="000C006E" w:rsidP="00E2152B">
            <w:pPr>
              <w:spacing w:after="60"/>
              <w:jc w:val="right"/>
              <w:rPr>
                <w:sz w:val="16"/>
                <w:szCs w:val="24"/>
              </w:rPr>
            </w:pPr>
            <w:r w:rsidRPr="00332AB5">
              <w:rPr>
                <w:rFonts w:asciiTheme="minorHAnsi" w:hAnsiTheme="minorHAnsi" w:cstheme="minorHAnsi"/>
                <w:sz w:val="16"/>
              </w:rPr>
              <w:t xml:space="preserve"> %</w:t>
            </w:r>
          </w:p>
        </w:tc>
        <w:tc>
          <w:tcPr>
            <w:tcW w:w="992" w:type="dxa"/>
            <w:tcBorders>
              <w:bottom w:val="single" w:sz="4" w:space="0" w:color="808080" w:themeColor="background1" w:themeShade="80"/>
            </w:tcBorders>
            <w:vAlign w:val="center"/>
          </w:tcPr>
          <w:p w14:paraId="758AAD76" w14:textId="77777777" w:rsidR="00E46443" w:rsidRPr="00332AB5" w:rsidRDefault="00E46443" w:rsidP="00E2152B">
            <w:pPr>
              <w:spacing w:after="60"/>
              <w:jc w:val="right"/>
              <w:rPr>
                <w:sz w:val="16"/>
                <w:szCs w:val="24"/>
              </w:rPr>
            </w:pPr>
            <w:r w:rsidRPr="00332AB5">
              <w:rPr>
                <w:rFonts w:asciiTheme="minorHAnsi" w:hAnsiTheme="minorHAnsi" w:cstheme="minorHAnsi"/>
                <w:sz w:val="16"/>
              </w:rPr>
              <w:t>Ukupno tražena (ovjerena) sredstva</w:t>
            </w:r>
          </w:p>
        </w:tc>
        <w:tc>
          <w:tcPr>
            <w:tcW w:w="851" w:type="dxa"/>
            <w:tcBorders>
              <w:bottom w:val="single" w:sz="4" w:space="0" w:color="808080" w:themeColor="background1" w:themeShade="80"/>
            </w:tcBorders>
            <w:vAlign w:val="center"/>
          </w:tcPr>
          <w:p w14:paraId="642D8BF7" w14:textId="77777777" w:rsidR="00E46443" w:rsidRPr="00332AB5" w:rsidRDefault="000C006E" w:rsidP="00E2152B">
            <w:pPr>
              <w:spacing w:after="60"/>
              <w:jc w:val="right"/>
              <w:rPr>
                <w:sz w:val="16"/>
                <w:szCs w:val="24"/>
              </w:rPr>
            </w:pPr>
            <w:r w:rsidRPr="00332AB5">
              <w:rPr>
                <w:rFonts w:asciiTheme="minorHAnsi" w:hAnsiTheme="minorHAnsi" w:cstheme="minorHAnsi"/>
                <w:sz w:val="16"/>
              </w:rPr>
              <w:t xml:space="preserve"> %</w:t>
            </w:r>
          </w:p>
        </w:tc>
        <w:tc>
          <w:tcPr>
            <w:tcW w:w="992" w:type="dxa"/>
            <w:tcBorders>
              <w:bottom w:val="single" w:sz="4" w:space="0" w:color="808080" w:themeColor="background1" w:themeShade="80"/>
            </w:tcBorders>
            <w:vAlign w:val="center"/>
          </w:tcPr>
          <w:p w14:paraId="425F6590" w14:textId="77777777" w:rsidR="00E46443" w:rsidRPr="00332AB5" w:rsidRDefault="00E46443" w:rsidP="00E2152B">
            <w:pPr>
              <w:spacing w:after="60"/>
              <w:jc w:val="right"/>
              <w:rPr>
                <w:sz w:val="16"/>
                <w:szCs w:val="24"/>
              </w:rPr>
            </w:pPr>
            <w:r w:rsidRPr="00332AB5">
              <w:rPr>
                <w:rFonts w:asciiTheme="minorHAnsi" w:hAnsiTheme="minorHAnsi" w:cstheme="minorHAnsi"/>
                <w:sz w:val="16"/>
              </w:rPr>
              <w:t>Ukupno doznačena sredstva</w:t>
            </w:r>
          </w:p>
        </w:tc>
        <w:tc>
          <w:tcPr>
            <w:tcW w:w="709" w:type="dxa"/>
            <w:tcBorders>
              <w:bottom w:val="single" w:sz="4" w:space="0" w:color="808080" w:themeColor="background1" w:themeShade="80"/>
            </w:tcBorders>
            <w:vAlign w:val="center"/>
          </w:tcPr>
          <w:p w14:paraId="60C80F31" w14:textId="77777777" w:rsidR="00E46443" w:rsidRPr="00332AB5" w:rsidRDefault="000C006E" w:rsidP="00E2152B">
            <w:pPr>
              <w:spacing w:after="60"/>
              <w:jc w:val="right"/>
              <w:rPr>
                <w:sz w:val="16"/>
                <w:szCs w:val="24"/>
              </w:rPr>
            </w:pPr>
            <w:r w:rsidRPr="00332AB5">
              <w:rPr>
                <w:rFonts w:asciiTheme="minorHAnsi" w:hAnsiTheme="minorHAnsi" w:cstheme="minorHAnsi"/>
                <w:sz w:val="16"/>
              </w:rPr>
              <w:t xml:space="preserve"> %</w:t>
            </w:r>
          </w:p>
        </w:tc>
      </w:tr>
      <w:tr w:rsidR="00AA5DF3" w:rsidRPr="00332AB5" w14:paraId="635C56CE" w14:textId="77777777" w:rsidTr="00C04D6A">
        <w:trPr>
          <w:trHeight w:val="113"/>
          <w:jc w:val="right"/>
        </w:trPr>
        <w:tc>
          <w:tcPr>
            <w:tcW w:w="1148" w:type="dxa"/>
            <w:vAlign w:val="center"/>
          </w:tcPr>
          <w:p w14:paraId="5277B2C8" w14:textId="77777777" w:rsidR="00E46443" w:rsidRPr="00332AB5" w:rsidRDefault="00E46443" w:rsidP="00E2152B">
            <w:pPr>
              <w:rPr>
                <w:rFonts w:asciiTheme="minorHAnsi" w:hAnsiTheme="minorHAnsi" w:cstheme="minorHAnsi"/>
                <w:sz w:val="8"/>
                <w:szCs w:val="24"/>
              </w:rPr>
            </w:pPr>
          </w:p>
        </w:tc>
        <w:tc>
          <w:tcPr>
            <w:tcW w:w="975" w:type="dxa"/>
            <w:tcBorders>
              <w:top w:val="single" w:sz="4" w:space="0" w:color="808080" w:themeColor="background1" w:themeShade="80"/>
            </w:tcBorders>
            <w:vAlign w:val="center"/>
          </w:tcPr>
          <w:p w14:paraId="5512942C" w14:textId="77777777" w:rsidR="00E46443" w:rsidRPr="00332AB5" w:rsidRDefault="00E46443" w:rsidP="00E2152B">
            <w:pPr>
              <w:jc w:val="right"/>
              <w:rPr>
                <w:rFonts w:asciiTheme="minorHAnsi" w:hAnsiTheme="minorHAnsi" w:cstheme="minorHAnsi"/>
                <w:sz w:val="8"/>
                <w:szCs w:val="24"/>
              </w:rPr>
            </w:pPr>
          </w:p>
        </w:tc>
        <w:tc>
          <w:tcPr>
            <w:tcW w:w="996" w:type="dxa"/>
            <w:tcBorders>
              <w:top w:val="single" w:sz="4" w:space="0" w:color="808080" w:themeColor="background1" w:themeShade="80"/>
            </w:tcBorders>
            <w:vAlign w:val="center"/>
          </w:tcPr>
          <w:p w14:paraId="44CB3CF1" w14:textId="77777777" w:rsidR="00E46443" w:rsidRPr="00332AB5" w:rsidRDefault="00E46443" w:rsidP="00E2152B">
            <w:pPr>
              <w:jc w:val="right"/>
              <w:rPr>
                <w:rFonts w:asciiTheme="minorHAnsi" w:hAnsiTheme="minorHAnsi" w:cstheme="minorHAnsi"/>
                <w:sz w:val="8"/>
                <w:szCs w:val="24"/>
              </w:rPr>
            </w:pPr>
          </w:p>
        </w:tc>
        <w:tc>
          <w:tcPr>
            <w:tcW w:w="850" w:type="dxa"/>
            <w:tcBorders>
              <w:top w:val="single" w:sz="4" w:space="0" w:color="808080" w:themeColor="background1" w:themeShade="80"/>
            </w:tcBorders>
            <w:vAlign w:val="center"/>
          </w:tcPr>
          <w:p w14:paraId="43EDC50A" w14:textId="77777777" w:rsidR="00E46443" w:rsidRPr="00332AB5" w:rsidRDefault="00E46443" w:rsidP="00E2152B">
            <w:pPr>
              <w:jc w:val="right"/>
              <w:rPr>
                <w:rFonts w:asciiTheme="minorHAnsi" w:hAnsiTheme="minorHAnsi" w:cstheme="minorHAnsi"/>
                <w:sz w:val="8"/>
                <w:szCs w:val="24"/>
              </w:rPr>
            </w:pPr>
          </w:p>
        </w:tc>
        <w:tc>
          <w:tcPr>
            <w:tcW w:w="993" w:type="dxa"/>
            <w:tcBorders>
              <w:top w:val="single" w:sz="4" w:space="0" w:color="808080" w:themeColor="background1" w:themeShade="80"/>
            </w:tcBorders>
            <w:vAlign w:val="center"/>
          </w:tcPr>
          <w:p w14:paraId="13ACE228" w14:textId="77777777" w:rsidR="00E46443" w:rsidRPr="00332AB5" w:rsidRDefault="00E46443" w:rsidP="00E2152B">
            <w:pPr>
              <w:jc w:val="right"/>
              <w:rPr>
                <w:rFonts w:asciiTheme="minorHAnsi" w:hAnsiTheme="minorHAnsi" w:cstheme="minorHAnsi"/>
                <w:sz w:val="8"/>
                <w:szCs w:val="24"/>
              </w:rPr>
            </w:pPr>
          </w:p>
        </w:tc>
        <w:tc>
          <w:tcPr>
            <w:tcW w:w="850" w:type="dxa"/>
            <w:tcBorders>
              <w:top w:val="single" w:sz="4" w:space="0" w:color="808080" w:themeColor="background1" w:themeShade="80"/>
            </w:tcBorders>
            <w:vAlign w:val="center"/>
          </w:tcPr>
          <w:p w14:paraId="6A6CE3FB" w14:textId="77777777" w:rsidR="00E46443" w:rsidRPr="00332AB5" w:rsidRDefault="00E46443" w:rsidP="00E2152B">
            <w:pPr>
              <w:jc w:val="right"/>
              <w:rPr>
                <w:rFonts w:asciiTheme="minorHAnsi" w:hAnsiTheme="minorHAnsi" w:cstheme="minorHAnsi"/>
                <w:sz w:val="8"/>
                <w:szCs w:val="24"/>
              </w:rPr>
            </w:pPr>
          </w:p>
        </w:tc>
        <w:tc>
          <w:tcPr>
            <w:tcW w:w="992" w:type="dxa"/>
            <w:tcBorders>
              <w:top w:val="single" w:sz="4" w:space="0" w:color="808080" w:themeColor="background1" w:themeShade="80"/>
            </w:tcBorders>
            <w:vAlign w:val="center"/>
          </w:tcPr>
          <w:p w14:paraId="6E731103" w14:textId="77777777" w:rsidR="00E46443" w:rsidRPr="00332AB5" w:rsidRDefault="00E46443" w:rsidP="00E2152B">
            <w:pPr>
              <w:jc w:val="right"/>
              <w:rPr>
                <w:rFonts w:asciiTheme="minorHAnsi" w:hAnsiTheme="minorHAnsi" w:cstheme="minorHAnsi"/>
                <w:sz w:val="8"/>
                <w:szCs w:val="24"/>
              </w:rPr>
            </w:pPr>
          </w:p>
        </w:tc>
        <w:tc>
          <w:tcPr>
            <w:tcW w:w="851" w:type="dxa"/>
            <w:tcBorders>
              <w:top w:val="single" w:sz="4" w:space="0" w:color="808080" w:themeColor="background1" w:themeShade="80"/>
            </w:tcBorders>
            <w:vAlign w:val="center"/>
          </w:tcPr>
          <w:p w14:paraId="4F609175" w14:textId="77777777" w:rsidR="00E46443" w:rsidRPr="00332AB5" w:rsidRDefault="00E46443" w:rsidP="00E2152B">
            <w:pPr>
              <w:jc w:val="right"/>
              <w:rPr>
                <w:rFonts w:asciiTheme="minorHAnsi" w:hAnsiTheme="minorHAnsi" w:cstheme="minorHAnsi"/>
                <w:sz w:val="8"/>
                <w:szCs w:val="24"/>
              </w:rPr>
            </w:pPr>
          </w:p>
        </w:tc>
        <w:tc>
          <w:tcPr>
            <w:tcW w:w="992" w:type="dxa"/>
            <w:tcBorders>
              <w:top w:val="single" w:sz="4" w:space="0" w:color="808080" w:themeColor="background1" w:themeShade="80"/>
            </w:tcBorders>
            <w:vAlign w:val="center"/>
          </w:tcPr>
          <w:p w14:paraId="46B90899" w14:textId="77777777" w:rsidR="00E46443" w:rsidRPr="00332AB5" w:rsidRDefault="00E46443" w:rsidP="00E2152B">
            <w:pPr>
              <w:jc w:val="right"/>
              <w:rPr>
                <w:rFonts w:asciiTheme="minorHAnsi" w:hAnsiTheme="minorHAnsi" w:cstheme="minorHAnsi"/>
                <w:sz w:val="8"/>
                <w:szCs w:val="24"/>
              </w:rPr>
            </w:pPr>
          </w:p>
        </w:tc>
        <w:tc>
          <w:tcPr>
            <w:tcW w:w="709" w:type="dxa"/>
            <w:tcBorders>
              <w:top w:val="single" w:sz="4" w:space="0" w:color="808080" w:themeColor="background1" w:themeShade="80"/>
            </w:tcBorders>
            <w:vAlign w:val="center"/>
          </w:tcPr>
          <w:p w14:paraId="438BC048" w14:textId="77777777" w:rsidR="00E46443" w:rsidRPr="00332AB5" w:rsidRDefault="00E46443" w:rsidP="00E2152B">
            <w:pPr>
              <w:jc w:val="right"/>
              <w:rPr>
                <w:rFonts w:asciiTheme="minorHAnsi" w:hAnsiTheme="minorHAnsi" w:cstheme="minorHAnsi"/>
                <w:sz w:val="8"/>
                <w:szCs w:val="24"/>
              </w:rPr>
            </w:pPr>
          </w:p>
        </w:tc>
      </w:tr>
      <w:tr w:rsidR="00AE361B" w:rsidRPr="00332AB5" w14:paraId="39FB5C71" w14:textId="77777777" w:rsidTr="00C04D6A">
        <w:trPr>
          <w:trHeight w:val="397"/>
          <w:jc w:val="right"/>
        </w:trPr>
        <w:tc>
          <w:tcPr>
            <w:tcW w:w="1148" w:type="dxa"/>
            <w:vAlign w:val="center"/>
          </w:tcPr>
          <w:p w14:paraId="687B1611" w14:textId="77777777" w:rsidR="00AE361B" w:rsidRPr="00332AB5" w:rsidRDefault="00AE361B" w:rsidP="00AE361B">
            <w:pPr>
              <w:rPr>
                <w:rFonts w:asciiTheme="minorHAnsi" w:hAnsiTheme="minorHAnsi" w:cstheme="minorHAnsi"/>
                <w:sz w:val="18"/>
                <w:szCs w:val="18"/>
              </w:rPr>
            </w:pPr>
            <w:r w:rsidRPr="00332AB5">
              <w:rPr>
                <w:rFonts w:asciiTheme="minorHAnsi" w:hAnsiTheme="minorHAnsi" w:cstheme="minorHAnsi"/>
                <w:sz w:val="18"/>
                <w:szCs w:val="18"/>
              </w:rPr>
              <w:t>OPP</w:t>
            </w:r>
          </w:p>
        </w:tc>
        <w:tc>
          <w:tcPr>
            <w:tcW w:w="975" w:type="dxa"/>
            <w:vAlign w:val="center"/>
          </w:tcPr>
          <w:p w14:paraId="550A8655" w14:textId="77777777"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szCs w:val="18"/>
              </w:rPr>
              <w:t>236,98</w:t>
            </w:r>
          </w:p>
        </w:tc>
        <w:tc>
          <w:tcPr>
            <w:tcW w:w="996" w:type="dxa"/>
            <w:vAlign w:val="center"/>
          </w:tcPr>
          <w:p w14:paraId="0FD043E6" w14:textId="77777777"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szCs w:val="18"/>
              </w:rPr>
              <w:t>187,20</w:t>
            </w:r>
          </w:p>
        </w:tc>
        <w:tc>
          <w:tcPr>
            <w:tcW w:w="850" w:type="dxa"/>
            <w:vAlign w:val="center"/>
          </w:tcPr>
          <w:p w14:paraId="43C979F0" w14:textId="77777777"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szCs w:val="18"/>
              </w:rPr>
              <w:t>78,99</w:t>
            </w:r>
          </w:p>
        </w:tc>
        <w:tc>
          <w:tcPr>
            <w:tcW w:w="993" w:type="dxa"/>
            <w:vAlign w:val="center"/>
          </w:tcPr>
          <w:p w14:paraId="2357CC8C" w14:textId="6381D481"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szCs w:val="18"/>
              </w:rPr>
              <w:t>163,04</w:t>
            </w:r>
          </w:p>
        </w:tc>
        <w:tc>
          <w:tcPr>
            <w:tcW w:w="850" w:type="dxa"/>
            <w:vAlign w:val="center"/>
          </w:tcPr>
          <w:p w14:paraId="7A4EE0F6" w14:textId="498639C5"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szCs w:val="18"/>
              </w:rPr>
              <w:t>68,80</w:t>
            </w:r>
          </w:p>
        </w:tc>
        <w:tc>
          <w:tcPr>
            <w:tcW w:w="992" w:type="dxa"/>
            <w:vAlign w:val="center"/>
          </w:tcPr>
          <w:p w14:paraId="3F192FDC" w14:textId="77777777" w:rsidR="00AE361B" w:rsidRPr="00332AB5" w:rsidRDefault="00AE361B" w:rsidP="00AE361B">
            <w:pPr>
              <w:jc w:val="right"/>
              <w:rPr>
                <w:rFonts w:asciiTheme="minorHAnsi" w:hAnsiTheme="minorHAnsi" w:cstheme="minorHAnsi"/>
                <w:sz w:val="18"/>
                <w:szCs w:val="18"/>
              </w:rPr>
            </w:pPr>
            <w:r w:rsidRPr="00332AB5">
              <w:rPr>
                <w:rFonts w:ascii="Calibri" w:hAnsi="Calibri" w:cs="Calibri"/>
                <w:sz w:val="18"/>
              </w:rPr>
              <w:t>163,37</w:t>
            </w:r>
          </w:p>
        </w:tc>
        <w:tc>
          <w:tcPr>
            <w:tcW w:w="851" w:type="dxa"/>
            <w:vAlign w:val="center"/>
          </w:tcPr>
          <w:p w14:paraId="444DD361" w14:textId="77777777"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rPr>
              <w:t>68,94</w:t>
            </w:r>
          </w:p>
        </w:tc>
        <w:tc>
          <w:tcPr>
            <w:tcW w:w="992" w:type="dxa"/>
            <w:vAlign w:val="center"/>
          </w:tcPr>
          <w:p w14:paraId="78B2FC83" w14:textId="1FD61573"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szCs w:val="18"/>
              </w:rPr>
              <w:t>154,33</w:t>
            </w:r>
          </w:p>
        </w:tc>
        <w:tc>
          <w:tcPr>
            <w:tcW w:w="709" w:type="dxa"/>
            <w:vAlign w:val="center"/>
          </w:tcPr>
          <w:p w14:paraId="058E2A59" w14:textId="21EEC259"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szCs w:val="18"/>
              </w:rPr>
              <w:t>65,12</w:t>
            </w:r>
          </w:p>
        </w:tc>
      </w:tr>
      <w:tr w:rsidR="00AE361B" w:rsidRPr="00332AB5" w14:paraId="231F1F81" w14:textId="77777777" w:rsidTr="00C04D6A">
        <w:trPr>
          <w:trHeight w:val="397"/>
          <w:jc w:val="right"/>
        </w:trPr>
        <w:tc>
          <w:tcPr>
            <w:tcW w:w="1148" w:type="dxa"/>
            <w:vAlign w:val="center"/>
          </w:tcPr>
          <w:p w14:paraId="7B163928" w14:textId="77777777" w:rsidR="00AE361B" w:rsidRPr="00332AB5" w:rsidRDefault="00AE361B" w:rsidP="00AE361B">
            <w:pPr>
              <w:rPr>
                <w:rFonts w:asciiTheme="minorHAnsi" w:hAnsiTheme="minorHAnsi" w:cstheme="minorHAnsi"/>
                <w:sz w:val="18"/>
                <w:szCs w:val="18"/>
              </w:rPr>
            </w:pPr>
            <w:r w:rsidRPr="00332AB5">
              <w:rPr>
                <w:rFonts w:asciiTheme="minorHAnsi" w:hAnsiTheme="minorHAnsi" w:cstheme="minorHAnsi"/>
                <w:sz w:val="18"/>
                <w:szCs w:val="18"/>
              </w:rPr>
              <w:t>OPZO</w:t>
            </w:r>
          </w:p>
        </w:tc>
        <w:tc>
          <w:tcPr>
            <w:tcW w:w="975" w:type="dxa"/>
            <w:vAlign w:val="center"/>
          </w:tcPr>
          <w:p w14:paraId="1E9BB921" w14:textId="77777777"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szCs w:val="18"/>
              </w:rPr>
              <w:t>281,10</w:t>
            </w:r>
          </w:p>
        </w:tc>
        <w:tc>
          <w:tcPr>
            <w:tcW w:w="996" w:type="dxa"/>
            <w:vAlign w:val="center"/>
          </w:tcPr>
          <w:p w14:paraId="5719FBBB" w14:textId="77777777"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szCs w:val="18"/>
              </w:rPr>
              <w:t>354,77</w:t>
            </w:r>
          </w:p>
        </w:tc>
        <w:tc>
          <w:tcPr>
            <w:tcW w:w="850" w:type="dxa"/>
            <w:vAlign w:val="center"/>
          </w:tcPr>
          <w:p w14:paraId="1ADB1F7C" w14:textId="77777777"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szCs w:val="18"/>
              </w:rPr>
              <w:t>126,21</w:t>
            </w:r>
          </w:p>
        </w:tc>
        <w:tc>
          <w:tcPr>
            <w:tcW w:w="993" w:type="dxa"/>
            <w:vAlign w:val="center"/>
          </w:tcPr>
          <w:p w14:paraId="635396C3" w14:textId="68A075B1"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szCs w:val="18"/>
              </w:rPr>
              <w:t>279,49</w:t>
            </w:r>
          </w:p>
        </w:tc>
        <w:tc>
          <w:tcPr>
            <w:tcW w:w="850" w:type="dxa"/>
            <w:vAlign w:val="center"/>
          </w:tcPr>
          <w:p w14:paraId="18CB91F5" w14:textId="1FA20DF8"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szCs w:val="18"/>
              </w:rPr>
              <w:t>99,43</w:t>
            </w:r>
          </w:p>
        </w:tc>
        <w:tc>
          <w:tcPr>
            <w:tcW w:w="992" w:type="dxa"/>
            <w:vAlign w:val="center"/>
          </w:tcPr>
          <w:p w14:paraId="54AB12AF" w14:textId="77777777" w:rsidR="00AE361B" w:rsidRPr="00332AB5" w:rsidRDefault="00AE361B" w:rsidP="00AE361B">
            <w:pPr>
              <w:jc w:val="right"/>
              <w:rPr>
                <w:rFonts w:asciiTheme="minorHAnsi" w:hAnsiTheme="minorHAnsi" w:cstheme="minorHAnsi"/>
                <w:sz w:val="18"/>
                <w:szCs w:val="18"/>
              </w:rPr>
            </w:pPr>
            <w:r w:rsidRPr="00332AB5">
              <w:rPr>
                <w:rFonts w:ascii="Calibri" w:hAnsi="Calibri" w:cs="Calibri"/>
                <w:sz w:val="18"/>
              </w:rPr>
              <w:t>281,10</w:t>
            </w:r>
          </w:p>
        </w:tc>
        <w:tc>
          <w:tcPr>
            <w:tcW w:w="851" w:type="dxa"/>
            <w:vAlign w:val="center"/>
          </w:tcPr>
          <w:p w14:paraId="41F8A3A2" w14:textId="77777777"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rPr>
              <w:t>100,00</w:t>
            </w:r>
          </w:p>
        </w:tc>
        <w:tc>
          <w:tcPr>
            <w:tcW w:w="992" w:type="dxa"/>
            <w:vAlign w:val="center"/>
          </w:tcPr>
          <w:p w14:paraId="7AAA5271" w14:textId="77777777"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szCs w:val="18"/>
              </w:rPr>
              <w:t>280,13</w:t>
            </w:r>
          </w:p>
        </w:tc>
        <w:tc>
          <w:tcPr>
            <w:tcW w:w="709" w:type="dxa"/>
            <w:vAlign w:val="center"/>
          </w:tcPr>
          <w:p w14:paraId="7329BC06" w14:textId="77777777"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szCs w:val="18"/>
              </w:rPr>
              <w:t>99,66</w:t>
            </w:r>
          </w:p>
        </w:tc>
      </w:tr>
      <w:tr w:rsidR="00AE361B" w:rsidRPr="00332AB5" w14:paraId="728A5A2A" w14:textId="77777777" w:rsidTr="00C04D6A">
        <w:trPr>
          <w:trHeight w:val="397"/>
          <w:jc w:val="right"/>
        </w:trPr>
        <w:tc>
          <w:tcPr>
            <w:tcW w:w="1148" w:type="dxa"/>
            <w:vAlign w:val="center"/>
          </w:tcPr>
          <w:p w14:paraId="7C084BEF" w14:textId="77777777" w:rsidR="00AE361B" w:rsidRPr="00332AB5" w:rsidRDefault="00AE361B" w:rsidP="00AE361B">
            <w:pPr>
              <w:rPr>
                <w:rFonts w:asciiTheme="minorHAnsi" w:hAnsiTheme="minorHAnsi" w:cstheme="minorHAnsi"/>
                <w:sz w:val="18"/>
                <w:szCs w:val="18"/>
              </w:rPr>
            </w:pPr>
            <w:r w:rsidRPr="00332AB5">
              <w:rPr>
                <w:rFonts w:asciiTheme="minorHAnsi" w:hAnsiTheme="minorHAnsi" w:cstheme="minorHAnsi"/>
                <w:sz w:val="18"/>
                <w:szCs w:val="18"/>
              </w:rPr>
              <w:t>OPRK</w:t>
            </w:r>
          </w:p>
        </w:tc>
        <w:tc>
          <w:tcPr>
            <w:tcW w:w="975" w:type="dxa"/>
            <w:vAlign w:val="center"/>
          </w:tcPr>
          <w:p w14:paraId="6556193E" w14:textId="77777777"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szCs w:val="18"/>
              </w:rPr>
              <w:t>187,78</w:t>
            </w:r>
          </w:p>
        </w:tc>
        <w:tc>
          <w:tcPr>
            <w:tcW w:w="996" w:type="dxa"/>
            <w:vAlign w:val="center"/>
          </w:tcPr>
          <w:p w14:paraId="33133E75" w14:textId="77777777"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szCs w:val="18"/>
              </w:rPr>
              <w:t>198,35</w:t>
            </w:r>
          </w:p>
        </w:tc>
        <w:tc>
          <w:tcPr>
            <w:tcW w:w="850" w:type="dxa"/>
            <w:vAlign w:val="center"/>
          </w:tcPr>
          <w:p w14:paraId="044FEDAB" w14:textId="77777777"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szCs w:val="18"/>
              </w:rPr>
              <w:t>105,63</w:t>
            </w:r>
          </w:p>
        </w:tc>
        <w:tc>
          <w:tcPr>
            <w:tcW w:w="993" w:type="dxa"/>
            <w:vAlign w:val="center"/>
          </w:tcPr>
          <w:p w14:paraId="095D6076" w14:textId="3A025C79"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szCs w:val="18"/>
              </w:rPr>
              <w:t>180,32</w:t>
            </w:r>
          </w:p>
        </w:tc>
        <w:tc>
          <w:tcPr>
            <w:tcW w:w="850" w:type="dxa"/>
            <w:vAlign w:val="center"/>
          </w:tcPr>
          <w:p w14:paraId="5E4A5034" w14:textId="12BD4FDD"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szCs w:val="18"/>
              </w:rPr>
              <w:t>96,03</w:t>
            </w:r>
          </w:p>
        </w:tc>
        <w:tc>
          <w:tcPr>
            <w:tcW w:w="992" w:type="dxa"/>
            <w:vAlign w:val="center"/>
          </w:tcPr>
          <w:p w14:paraId="63F3C3B7" w14:textId="77777777" w:rsidR="00AE361B" w:rsidRPr="00332AB5" w:rsidRDefault="00AE361B" w:rsidP="00AE361B">
            <w:pPr>
              <w:jc w:val="right"/>
              <w:rPr>
                <w:rFonts w:asciiTheme="minorHAnsi" w:hAnsiTheme="minorHAnsi" w:cstheme="minorHAnsi"/>
                <w:sz w:val="18"/>
                <w:szCs w:val="18"/>
              </w:rPr>
            </w:pPr>
            <w:r w:rsidRPr="00332AB5">
              <w:rPr>
                <w:rFonts w:ascii="Calibri" w:hAnsi="Calibri" w:cs="Calibri"/>
                <w:sz w:val="18"/>
              </w:rPr>
              <w:t>187,78</w:t>
            </w:r>
          </w:p>
        </w:tc>
        <w:tc>
          <w:tcPr>
            <w:tcW w:w="851" w:type="dxa"/>
            <w:vAlign w:val="center"/>
          </w:tcPr>
          <w:p w14:paraId="19A821BE" w14:textId="77777777"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rPr>
              <w:t>100,00</w:t>
            </w:r>
          </w:p>
        </w:tc>
        <w:tc>
          <w:tcPr>
            <w:tcW w:w="992" w:type="dxa"/>
            <w:vAlign w:val="center"/>
          </w:tcPr>
          <w:p w14:paraId="62233CD4" w14:textId="77777777"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szCs w:val="18"/>
              </w:rPr>
              <w:t>187,78</w:t>
            </w:r>
          </w:p>
        </w:tc>
        <w:tc>
          <w:tcPr>
            <w:tcW w:w="709" w:type="dxa"/>
            <w:vAlign w:val="center"/>
          </w:tcPr>
          <w:p w14:paraId="7CE183CD" w14:textId="77777777"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szCs w:val="18"/>
              </w:rPr>
              <w:t>100,00</w:t>
            </w:r>
          </w:p>
        </w:tc>
      </w:tr>
      <w:tr w:rsidR="00AE361B" w:rsidRPr="00332AB5" w14:paraId="2ECE6BAC" w14:textId="77777777" w:rsidTr="00C04D6A">
        <w:trPr>
          <w:trHeight w:val="397"/>
          <w:jc w:val="right"/>
        </w:trPr>
        <w:tc>
          <w:tcPr>
            <w:tcW w:w="1148" w:type="dxa"/>
            <w:vAlign w:val="center"/>
          </w:tcPr>
          <w:p w14:paraId="40B1DF7D" w14:textId="77777777" w:rsidR="00AE361B" w:rsidRPr="00332AB5" w:rsidRDefault="00AE361B" w:rsidP="00AE361B">
            <w:pPr>
              <w:rPr>
                <w:rFonts w:asciiTheme="minorHAnsi" w:hAnsiTheme="minorHAnsi" w:cstheme="minorHAnsi"/>
                <w:sz w:val="18"/>
                <w:szCs w:val="18"/>
              </w:rPr>
            </w:pPr>
            <w:r w:rsidRPr="00332AB5">
              <w:rPr>
                <w:rFonts w:asciiTheme="minorHAnsi" w:hAnsiTheme="minorHAnsi" w:cstheme="minorHAnsi"/>
                <w:sz w:val="18"/>
                <w:szCs w:val="18"/>
              </w:rPr>
              <w:t>OPRLJP</w:t>
            </w:r>
          </w:p>
        </w:tc>
        <w:tc>
          <w:tcPr>
            <w:tcW w:w="975" w:type="dxa"/>
            <w:vAlign w:val="center"/>
          </w:tcPr>
          <w:p w14:paraId="02D79D59" w14:textId="77777777"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szCs w:val="18"/>
              </w:rPr>
              <w:t>152,41</w:t>
            </w:r>
          </w:p>
        </w:tc>
        <w:tc>
          <w:tcPr>
            <w:tcW w:w="996" w:type="dxa"/>
            <w:vAlign w:val="center"/>
          </w:tcPr>
          <w:p w14:paraId="24BC1821" w14:textId="77777777"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szCs w:val="18"/>
              </w:rPr>
              <w:t>152,05</w:t>
            </w:r>
          </w:p>
        </w:tc>
        <w:tc>
          <w:tcPr>
            <w:tcW w:w="850" w:type="dxa"/>
            <w:vAlign w:val="center"/>
          </w:tcPr>
          <w:p w14:paraId="5EF677B1" w14:textId="77777777"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szCs w:val="18"/>
              </w:rPr>
              <w:t>99,76</w:t>
            </w:r>
          </w:p>
        </w:tc>
        <w:tc>
          <w:tcPr>
            <w:tcW w:w="993" w:type="dxa"/>
            <w:vAlign w:val="center"/>
          </w:tcPr>
          <w:p w14:paraId="305A99A4" w14:textId="7A7AE58A"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szCs w:val="18"/>
              </w:rPr>
              <w:t>144,63</w:t>
            </w:r>
          </w:p>
        </w:tc>
        <w:tc>
          <w:tcPr>
            <w:tcW w:w="850" w:type="dxa"/>
            <w:vAlign w:val="center"/>
          </w:tcPr>
          <w:p w14:paraId="1EC50857" w14:textId="36D5CFF5"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szCs w:val="18"/>
              </w:rPr>
              <w:t>94,89</w:t>
            </w:r>
          </w:p>
        </w:tc>
        <w:tc>
          <w:tcPr>
            <w:tcW w:w="992" w:type="dxa"/>
            <w:vAlign w:val="center"/>
          </w:tcPr>
          <w:p w14:paraId="07DDAA54" w14:textId="77777777" w:rsidR="00AE361B" w:rsidRPr="00332AB5" w:rsidRDefault="00AE361B" w:rsidP="00AE361B">
            <w:pPr>
              <w:jc w:val="right"/>
              <w:rPr>
                <w:rFonts w:asciiTheme="minorHAnsi" w:hAnsiTheme="minorHAnsi" w:cstheme="minorHAnsi"/>
                <w:sz w:val="18"/>
                <w:szCs w:val="18"/>
              </w:rPr>
            </w:pPr>
            <w:r w:rsidRPr="00332AB5">
              <w:rPr>
                <w:rFonts w:ascii="Calibri" w:hAnsi="Calibri" w:cs="Calibri"/>
                <w:sz w:val="18"/>
              </w:rPr>
              <w:t>149,41</w:t>
            </w:r>
          </w:p>
        </w:tc>
        <w:tc>
          <w:tcPr>
            <w:tcW w:w="851" w:type="dxa"/>
            <w:vAlign w:val="center"/>
          </w:tcPr>
          <w:p w14:paraId="5DDC1F3F" w14:textId="77777777"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rPr>
              <w:t>98,03</w:t>
            </w:r>
          </w:p>
        </w:tc>
        <w:tc>
          <w:tcPr>
            <w:tcW w:w="992" w:type="dxa"/>
            <w:vAlign w:val="center"/>
          </w:tcPr>
          <w:p w14:paraId="60A79FB5" w14:textId="77777777"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szCs w:val="18"/>
              </w:rPr>
              <w:t>149,41</w:t>
            </w:r>
          </w:p>
        </w:tc>
        <w:tc>
          <w:tcPr>
            <w:tcW w:w="709" w:type="dxa"/>
            <w:vAlign w:val="center"/>
          </w:tcPr>
          <w:p w14:paraId="19A6CB35" w14:textId="77777777"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szCs w:val="18"/>
              </w:rPr>
              <w:t>98,03</w:t>
            </w:r>
          </w:p>
        </w:tc>
      </w:tr>
      <w:tr w:rsidR="00AE361B" w:rsidRPr="00332AB5" w14:paraId="31C4EE54" w14:textId="77777777" w:rsidTr="00C04D6A">
        <w:trPr>
          <w:trHeight w:val="397"/>
          <w:jc w:val="right"/>
        </w:trPr>
        <w:tc>
          <w:tcPr>
            <w:tcW w:w="1148" w:type="dxa"/>
            <w:vAlign w:val="center"/>
          </w:tcPr>
          <w:p w14:paraId="1A31AB43" w14:textId="2A7C3FE6" w:rsidR="00AE361B" w:rsidRPr="00332AB5" w:rsidRDefault="00AE361B" w:rsidP="00AE361B">
            <w:pPr>
              <w:rPr>
                <w:rFonts w:asciiTheme="minorHAnsi" w:hAnsiTheme="minorHAnsi" w:cstheme="minorHAnsi"/>
                <w:sz w:val="18"/>
                <w:szCs w:val="18"/>
              </w:rPr>
            </w:pPr>
            <w:r w:rsidRPr="00332AB5">
              <w:rPr>
                <w:rFonts w:asciiTheme="minorHAnsi" w:hAnsiTheme="minorHAnsi" w:cstheme="minorHAnsi"/>
                <w:sz w:val="18"/>
                <w:szCs w:val="18"/>
              </w:rPr>
              <w:t>OPR</w:t>
            </w:r>
          </w:p>
        </w:tc>
        <w:tc>
          <w:tcPr>
            <w:tcW w:w="975" w:type="dxa"/>
            <w:vAlign w:val="center"/>
          </w:tcPr>
          <w:p w14:paraId="7E83D672" w14:textId="413E7443"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szCs w:val="18"/>
              </w:rPr>
              <w:t>8,70</w:t>
            </w:r>
          </w:p>
        </w:tc>
        <w:tc>
          <w:tcPr>
            <w:tcW w:w="996" w:type="dxa"/>
            <w:vAlign w:val="center"/>
          </w:tcPr>
          <w:p w14:paraId="22C6D198" w14:textId="13FF076F"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szCs w:val="18"/>
              </w:rPr>
              <w:t>8,20</w:t>
            </w:r>
          </w:p>
        </w:tc>
        <w:tc>
          <w:tcPr>
            <w:tcW w:w="850" w:type="dxa"/>
            <w:vAlign w:val="center"/>
          </w:tcPr>
          <w:p w14:paraId="40638990" w14:textId="39CCDFAD"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szCs w:val="18"/>
              </w:rPr>
              <w:t>94,25</w:t>
            </w:r>
          </w:p>
        </w:tc>
        <w:tc>
          <w:tcPr>
            <w:tcW w:w="993" w:type="dxa"/>
            <w:vAlign w:val="center"/>
          </w:tcPr>
          <w:p w14:paraId="45A12EE1" w14:textId="361D7EF9"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szCs w:val="18"/>
              </w:rPr>
              <w:t>7,80</w:t>
            </w:r>
          </w:p>
        </w:tc>
        <w:tc>
          <w:tcPr>
            <w:tcW w:w="850" w:type="dxa"/>
            <w:vAlign w:val="center"/>
          </w:tcPr>
          <w:p w14:paraId="53905836" w14:textId="2C52F468"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szCs w:val="18"/>
              </w:rPr>
              <w:t>89,66</w:t>
            </w:r>
          </w:p>
        </w:tc>
        <w:tc>
          <w:tcPr>
            <w:tcW w:w="992" w:type="dxa"/>
            <w:vAlign w:val="center"/>
          </w:tcPr>
          <w:p w14:paraId="6394EDBA" w14:textId="3A4C1490" w:rsidR="00AE361B" w:rsidRPr="00332AB5" w:rsidRDefault="00AE361B" w:rsidP="00AE361B">
            <w:pPr>
              <w:jc w:val="right"/>
              <w:rPr>
                <w:rFonts w:ascii="Calibri" w:hAnsi="Calibri" w:cs="Calibri"/>
                <w:sz w:val="18"/>
              </w:rPr>
            </w:pPr>
            <w:r w:rsidRPr="00332AB5">
              <w:rPr>
                <w:rFonts w:ascii="Calibri" w:hAnsi="Calibri" w:cs="Calibri"/>
                <w:sz w:val="18"/>
              </w:rPr>
              <w:t>7,87</w:t>
            </w:r>
          </w:p>
        </w:tc>
        <w:tc>
          <w:tcPr>
            <w:tcW w:w="851" w:type="dxa"/>
            <w:vAlign w:val="center"/>
          </w:tcPr>
          <w:p w14:paraId="6370D7CD" w14:textId="13BDB287" w:rsidR="00AE361B" w:rsidRPr="00332AB5" w:rsidRDefault="00AE361B" w:rsidP="00AE361B">
            <w:pPr>
              <w:jc w:val="right"/>
              <w:rPr>
                <w:rFonts w:asciiTheme="minorHAnsi" w:hAnsiTheme="minorHAnsi" w:cstheme="minorHAnsi"/>
                <w:sz w:val="18"/>
              </w:rPr>
            </w:pPr>
            <w:r w:rsidRPr="00332AB5">
              <w:rPr>
                <w:rFonts w:asciiTheme="minorHAnsi" w:hAnsiTheme="minorHAnsi" w:cstheme="minorHAnsi"/>
                <w:sz w:val="18"/>
              </w:rPr>
              <w:t>90,46</w:t>
            </w:r>
          </w:p>
        </w:tc>
        <w:tc>
          <w:tcPr>
            <w:tcW w:w="992" w:type="dxa"/>
            <w:vAlign w:val="center"/>
          </w:tcPr>
          <w:p w14:paraId="7B13CE80" w14:textId="6F76B331"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szCs w:val="18"/>
              </w:rPr>
              <w:t>8,28</w:t>
            </w:r>
          </w:p>
        </w:tc>
        <w:tc>
          <w:tcPr>
            <w:tcW w:w="709" w:type="dxa"/>
            <w:vAlign w:val="center"/>
          </w:tcPr>
          <w:p w14:paraId="41E60E71" w14:textId="37C549F3"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szCs w:val="18"/>
              </w:rPr>
              <w:t>95,20</w:t>
            </w:r>
          </w:p>
        </w:tc>
      </w:tr>
      <w:tr w:rsidR="00AE361B" w:rsidRPr="00332AB5" w14:paraId="70C2C841" w14:textId="77777777" w:rsidTr="00C04D6A">
        <w:trPr>
          <w:trHeight w:val="397"/>
          <w:jc w:val="right"/>
        </w:trPr>
        <w:tc>
          <w:tcPr>
            <w:tcW w:w="1148" w:type="dxa"/>
            <w:vAlign w:val="center"/>
          </w:tcPr>
          <w:p w14:paraId="400580E6" w14:textId="37CB557F" w:rsidR="00AE361B" w:rsidRPr="00332AB5" w:rsidRDefault="00AE361B" w:rsidP="00AE361B">
            <w:pPr>
              <w:rPr>
                <w:rFonts w:asciiTheme="minorHAnsi" w:hAnsiTheme="minorHAnsi" w:cstheme="minorHAnsi"/>
                <w:sz w:val="18"/>
                <w:szCs w:val="18"/>
              </w:rPr>
            </w:pPr>
            <w:bookmarkStart w:id="39" w:name="_Hlk100133523"/>
            <w:r w:rsidRPr="00332AB5">
              <w:rPr>
                <w:rFonts w:asciiTheme="minorHAnsi" w:hAnsiTheme="minorHAnsi" w:cstheme="minorHAnsi"/>
                <w:sz w:val="18"/>
                <w:szCs w:val="18"/>
              </w:rPr>
              <w:t>IPA I</w:t>
            </w:r>
            <w:r w:rsidRPr="00332AB5">
              <w:rPr>
                <w:rFonts w:asciiTheme="minorHAnsi" w:hAnsiTheme="minorHAnsi" w:cstheme="minorHAnsi"/>
                <w:sz w:val="18"/>
                <w:szCs w:val="18"/>
                <w:vertAlign w:val="superscript"/>
              </w:rPr>
              <w:footnoteReference w:id="6"/>
            </w:r>
          </w:p>
        </w:tc>
        <w:tc>
          <w:tcPr>
            <w:tcW w:w="975" w:type="dxa"/>
            <w:vAlign w:val="center"/>
          </w:tcPr>
          <w:p w14:paraId="2E2EC21C" w14:textId="77777777"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szCs w:val="18"/>
              </w:rPr>
              <w:t>278,05</w:t>
            </w:r>
          </w:p>
        </w:tc>
        <w:tc>
          <w:tcPr>
            <w:tcW w:w="996" w:type="dxa"/>
            <w:vAlign w:val="center"/>
          </w:tcPr>
          <w:p w14:paraId="52D97BBF" w14:textId="77777777"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szCs w:val="18"/>
              </w:rPr>
              <w:t>255,62</w:t>
            </w:r>
          </w:p>
        </w:tc>
        <w:tc>
          <w:tcPr>
            <w:tcW w:w="850" w:type="dxa"/>
            <w:vAlign w:val="center"/>
          </w:tcPr>
          <w:p w14:paraId="7C6D247A" w14:textId="77777777"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szCs w:val="18"/>
              </w:rPr>
              <w:t>91,93</w:t>
            </w:r>
          </w:p>
        </w:tc>
        <w:tc>
          <w:tcPr>
            <w:tcW w:w="993" w:type="dxa"/>
            <w:vAlign w:val="center"/>
          </w:tcPr>
          <w:p w14:paraId="021D5136" w14:textId="33904739" w:rsidR="00AE361B" w:rsidRPr="00332AB5" w:rsidRDefault="00AE361B" w:rsidP="00AE361B">
            <w:pPr>
              <w:jc w:val="right"/>
              <w:rPr>
                <w:rFonts w:asciiTheme="minorHAnsi" w:hAnsiTheme="minorHAnsi" w:cstheme="minorHAnsi"/>
                <w:sz w:val="18"/>
                <w:szCs w:val="18"/>
              </w:rPr>
            </w:pPr>
            <w:r w:rsidRPr="00332AB5">
              <w:rPr>
                <w:rFonts w:ascii="Calibri" w:hAnsi="Calibri" w:cs="Calibri"/>
                <w:sz w:val="18"/>
              </w:rPr>
              <w:t>240,90</w:t>
            </w:r>
          </w:p>
        </w:tc>
        <w:tc>
          <w:tcPr>
            <w:tcW w:w="850" w:type="dxa"/>
            <w:vAlign w:val="center"/>
          </w:tcPr>
          <w:p w14:paraId="39C145E1" w14:textId="41D727DA"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szCs w:val="18"/>
              </w:rPr>
              <w:t>86,64</w:t>
            </w:r>
          </w:p>
        </w:tc>
        <w:tc>
          <w:tcPr>
            <w:tcW w:w="992" w:type="dxa"/>
            <w:vAlign w:val="center"/>
          </w:tcPr>
          <w:p w14:paraId="46A2AA99" w14:textId="74B4ECC5"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szCs w:val="18"/>
              </w:rPr>
              <w:t>240,80</w:t>
            </w:r>
          </w:p>
        </w:tc>
        <w:tc>
          <w:tcPr>
            <w:tcW w:w="851" w:type="dxa"/>
            <w:vAlign w:val="center"/>
          </w:tcPr>
          <w:p w14:paraId="6977829A" w14:textId="12088FDD"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szCs w:val="18"/>
              </w:rPr>
              <w:t>86,60</w:t>
            </w:r>
          </w:p>
        </w:tc>
        <w:tc>
          <w:tcPr>
            <w:tcW w:w="992" w:type="dxa"/>
            <w:vAlign w:val="center"/>
          </w:tcPr>
          <w:p w14:paraId="28DA31AD" w14:textId="76873753"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szCs w:val="18"/>
              </w:rPr>
              <w:t>240,80</w:t>
            </w:r>
          </w:p>
        </w:tc>
        <w:tc>
          <w:tcPr>
            <w:tcW w:w="709" w:type="dxa"/>
            <w:vAlign w:val="center"/>
          </w:tcPr>
          <w:p w14:paraId="55B08A9F" w14:textId="238738CB"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szCs w:val="18"/>
              </w:rPr>
              <w:t>86,60</w:t>
            </w:r>
          </w:p>
        </w:tc>
      </w:tr>
      <w:bookmarkEnd w:id="39"/>
      <w:tr w:rsidR="00AE361B" w:rsidRPr="00332AB5" w14:paraId="46468147" w14:textId="77777777" w:rsidTr="00C04D6A">
        <w:trPr>
          <w:trHeight w:val="397"/>
          <w:jc w:val="right"/>
        </w:trPr>
        <w:tc>
          <w:tcPr>
            <w:tcW w:w="1148" w:type="dxa"/>
            <w:vAlign w:val="center"/>
          </w:tcPr>
          <w:p w14:paraId="7B89654A" w14:textId="441BAAEF" w:rsidR="00AE361B" w:rsidRPr="00332AB5" w:rsidRDefault="00AE361B" w:rsidP="00AE361B">
            <w:pPr>
              <w:rPr>
                <w:rFonts w:asciiTheme="minorHAnsi" w:hAnsiTheme="minorHAnsi" w:cstheme="minorHAnsi"/>
                <w:sz w:val="18"/>
                <w:szCs w:val="18"/>
              </w:rPr>
            </w:pPr>
            <w:r w:rsidRPr="00332AB5">
              <w:rPr>
                <w:rFonts w:asciiTheme="minorHAnsi" w:hAnsiTheme="minorHAnsi" w:cstheme="minorHAnsi"/>
                <w:sz w:val="18"/>
                <w:szCs w:val="18"/>
              </w:rPr>
              <w:t>IPA II</w:t>
            </w:r>
            <w:r w:rsidRPr="00332AB5">
              <w:rPr>
                <w:rFonts w:asciiTheme="minorHAnsi" w:hAnsiTheme="minorHAnsi" w:cstheme="minorHAnsi"/>
                <w:sz w:val="18"/>
                <w:szCs w:val="18"/>
                <w:vertAlign w:val="superscript"/>
              </w:rPr>
              <w:footnoteReference w:id="7"/>
            </w:r>
          </w:p>
        </w:tc>
        <w:tc>
          <w:tcPr>
            <w:tcW w:w="975" w:type="dxa"/>
            <w:vAlign w:val="center"/>
          </w:tcPr>
          <w:p w14:paraId="60FFB580" w14:textId="77777777"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szCs w:val="18"/>
              </w:rPr>
              <w:t>17,52</w:t>
            </w:r>
          </w:p>
        </w:tc>
        <w:tc>
          <w:tcPr>
            <w:tcW w:w="996" w:type="dxa"/>
            <w:vAlign w:val="center"/>
          </w:tcPr>
          <w:p w14:paraId="4CE2E5D0" w14:textId="77777777"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szCs w:val="18"/>
              </w:rPr>
              <w:t>17,22</w:t>
            </w:r>
          </w:p>
        </w:tc>
        <w:tc>
          <w:tcPr>
            <w:tcW w:w="850" w:type="dxa"/>
            <w:vAlign w:val="center"/>
          </w:tcPr>
          <w:p w14:paraId="37972F22" w14:textId="77777777"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szCs w:val="18"/>
              </w:rPr>
              <w:t>98,27</w:t>
            </w:r>
          </w:p>
        </w:tc>
        <w:tc>
          <w:tcPr>
            <w:tcW w:w="993" w:type="dxa"/>
            <w:vAlign w:val="center"/>
          </w:tcPr>
          <w:p w14:paraId="3DF80BA3" w14:textId="16249A0C" w:rsidR="00AE361B" w:rsidRPr="00332AB5" w:rsidRDefault="00AE361B" w:rsidP="00AE361B">
            <w:pPr>
              <w:jc w:val="right"/>
              <w:rPr>
                <w:rFonts w:asciiTheme="minorHAnsi" w:hAnsiTheme="minorHAnsi" w:cstheme="minorHAnsi"/>
                <w:sz w:val="18"/>
                <w:szCs w:val="18"/>
              </w:rPr>
            </w:pPr>
            <w:r w:rsidRPr="00332AB5">
              <w:rPr>
                <w:rFonts w:ascii="Calibri" w:hAnsi="Calibri" w:cs="Calibri"/>
                <w:sz w:val="18"/>
              </w:rPr>
              <w:t>15,61</w:t>
            </w:r>
          </w:p>
        </w:tc>
        <w:tc>
          <w:tcPr>
            <w:tcW w:w="850" w:type="dxa"/>
            <w:vAlign w:val="center"/>
          </w:tcPr>
          <w:p w14:paraId="6FE32F59" w14:textId="5DAF6AB8"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szCs w:val="18"/>
              </w:rPr>
              <w:t>89,10</w:t>
            </w:r>
          </w:p>
        </w:tc>
        <w:tc>
          <w:tcPr>
            <w:tcW w:w="992" w:type="dxa"/>
            <w:vAlign w:val="center"/>
          </w:tcPr>
          <w:p w14:paraId="799C5FF1" w14:textId="77777777"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szCs w:val="18"/>
              </w:rPr>
              <w:t>15,61</w:t>
            </w:r>
          </w:p>
        </w:tc>
        <w:tc>
          <w:tcPr>
            <w:tcW w:w="851" w:type="dxa"/>
            <w:vAlign w:val="center"/>
          </w:tcPr>
          <w:p w14:paraId="7F198F11" w14:textId="77777777"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szCs w:val="18"/>
              </w:rPr>
              <w:t>89,08</w:t>
            </w:r>
          </w:p>
        </w:tc>
        <w:tc>
          <w:tcPr>
            <w:tcW w:w="992" w:type="dxa"/>
            <w:vAlign w:val="center"/>
          </w:tcPr>
          <w:p w14:paraId="12927C62" w14:textId="77777777"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szCs w:val="18"/>
              </w:rPr>
              <w:t>15,61</w:t>
            </w:r>
          </w:p>
        </w:tc>
        <w:tc>
          <w:tcPr>
            <w:tcW w:w="709" w:type="dxa"/>
            <w:vAlign w:val="center"/>
          </w:tcPr>
          <w:p w14:paraId="18BA8329" w14:textId="77777777"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szCs w:val="18"/>
              </w:rPr>
              <w:t>89,08</w:t>
            </w:r>
          </w:p>
        </w:tc>
      </w:tr>
      <w:tr w:rsidR="00AE361B" w:rsidRPr="00332AB5" w14:paraId="77DFB3E8" w14:textId="77777777" w:rsidTr="00C04D6A">
        <w:trPr>
          <w:trHeight w:val="397"/>
          <w:jc w:val="right"/>
        </w:trPr>
        <w:tc>
          <w:tcPr>
            <w:tcW w:w="1148" w:type="dxa"/>
            <w:vAlign w:val="center"/>
          </w:tcPr>
          <w:p w14:paraId="19DA6247" w14:textId="3DB814BD" w:rsidR="00AE361B" w:rsidRPr="00332AB5" w:rsidRDefault="00AE361B" w:rsidP="00AE361B">
            <w:pPr>
              <w:rPr>
                <w:rFonts w:asciiTheme="minorHAnsi" w:hAnsiTheme="minorHAnsi" w:cstheme="minorHAnsi"/>
                <w:sz w:val="18"/>
                <w:szCs w:val="18"/>
              </w:rPr>
            </w:pPr>
            <w:r w:rsidRPr="00332AB5">
              <w:rPr>
                <w:rFonts w:asciiTheme="minorHAnsi" w:hAnsiTheme="minorHAnsi" w:cstheme="minorHAnsi"/>
                <w:sz w:val="18"/>
                <w:szCs w:val="18"/>
              </w:rPr>
              <w:lastRenderedPageBreak/>
              <w:t>IPA V</w:t>
            </w:r>
            <w:r w:rsidRPr="00332AB5">
              <w:rPr>
                <w:rFonts w:asciiTheme="minorHAnsi" w:hAnsiTheme="minorHAnsi" w:cstheme="minorHAnsi"/>
                <w:sz w:val="18"/>
                <w:szCs w:val="18"/>
                <w:vertAlign w:val="superscript"/>
              </w:rPr>
              <w:footnoteReference w:id="8"/>
            </w:r>
          </w:p>
        </w:tc>
        <w:tc>
          <w:tcPr>
            <w:tcW w:w="975" w:type="dxa"/>
            <w:vAlign w:val="center"/>
          </w:tcPr>
          <w:p w14:paraId="69F8FD54" w14:textId="77777777"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szCs w:val="18"/>
              </w:rPr>
              <w:t>121,81</w:t>
            </w:r>
          </w:p>
        </w:tc>
        <w:tc>
          <w:tcPr>
            <w:tcW w:w="996" w:type="dxa"/>
            <w:vAlign w:val="center"/>
          </w:tcPr>
          <w:p w14:paraId="101B80EC" w14:textId="77777777"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szCs w:val="18"/>
              </w:rPr>
              <w:t>106,62</w:t>
            </w:r>
          </w:p>
        </w:tc>
        <w:tc>
          <w:tcPr>
            <w:tcW w:w="850" w:type="dxa"/>
            <w:vAlign w:val="center"/>
          </w:tcPr>
          <w:p w14:paraId="0A2D8573" w14:textId="77777777"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szCs w:val="18"/>
              </w:rPr>
              <w:t>87,52</w:t>
            </w:r>
          </w:p>
        </w:tc>
        <w:tc>
          <w:tcPr>
            <w:tcW w:w="993" w:type="dxa"/>
            <w:vAlign w:val="center"/>
          </w:tcPr>
          <w:p w14:paraId="0F654A99" w14:textId="64C84FC4"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rPr>
              <w:t>99,19</w:t>
            </w:r>
          </w:p>
        </w:tc>
        <w:tc>
          <w:tcPr>
            <w:tcW w:w="850" w:type="dxa"/>
            <w:vAlign w:val="center"/>
          </w:tcPr>
          <w:p w14:paraId="3BEB7D70" w14:textId="1F647B0A"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rPr>
              <w:t>81,43</w:t>
            </w:r>
          </w:p>
        </w:tc>
        <w:tc>
          <w:tcPr>
            <w:tcW w:w="992" w:type="dxa"/>
            <w:vAlign w:val="center"/>
          </w:tcPr>
          <w:p w14:paraId="543811D2" w14:textId="77777777"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szCs w:val="18"/>
              </w:rPr>
              <w:t>124,25</w:t>
            </w:r>
          </w:p>
        </w:tc>
        <w:tc>
          <w:tcPr>
            <w:tcW w:w="851" w:type="dxa"/>
            <w:vAlign w:val="center"/>
          </w:tcPr>
          <w:p w14:paraId="061080DB" w14:textId="77777777"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szCs w:val="18"/>
              </w:rPr>
              <w:t>102,00</w:t>
            </w:r>
          </w:p>
        </w:tc>
        <w:tc>
          <w:tcPr>
            <w:tcW w:w="992" w:type="dxa"/>
            <w:vAlign w:val="center"/>
          </w:tcPr>
          <w:p w14:paraId="422C03B0" w14:textId="7D0F0E54"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szCs w:val="18"/>
              </w:rPr>
              <w:t>99,19</w:t>
            </w:r>
          </w:p>
        </w:tc>
        <w:tc>
          <w:tcPr>
            <w:tcW w:w="709" w:type="dxa"/>
            <w:vAlign w:val="center"/>
          </w:tcPr>
          <w:p w14:paraId="2D963E45" w14:textId="3320D8E7" w:rsidR="00AE361B" w:rsidRPr="00332AB5" w:rsidRDefault="00AE361B" w:rsidP="00AE361B">
            <w:pPr>
              <w:jc w:val="right"/>
              <w:rPr>
                <w:rFonts w:asciiTheme="minorHAnsi" w:hAnsiTheme="minorHAnsi" w:cstheme="minorHAnsi"/>
                <w:sz w:val="18"/>
                <w:szCs w:val="18"/>
              </w:rPr>
            </w:pPr>
            <w:r w:rsidRPr="00332AB5">
              <w:rPr>
                <w:rFonts w:asciiTheme="minorHAnsi" w:hAnsiTheme="minorHAnsi" w:cstheme="minorHAnsi"/>
                <w:sz w:val="18"/>
                <w:szCs w:val="18"/>
              </w:rPr>
              <w:t>81,43</w:t>
            </w:r>
          </w:p>
        </w:tc>
      </w:tr>
      <w:tr w:rsidR="00C04D6A" w:rsidRPr="00332AB5" w14:paraId="545DDF24" w14:textId="77777777" w:rsidTr="00C04D6A">
        <w:trPr>
          <w:trHeight w:val="113"/>
          <w:jc w:val="right"/>
        </w:trPr>
        <w:tc>
          <w:tcPr>
            <w:tcW w:w="1148" w:type="dxa"/>
            <w:vAlign w:val="center"/>
          </w:tcPr>
          <w:p w14:paraId="5C05B920" w14:textId="77777777" w:rsidR="00C04D6A" w:rsidRPr="00332AB5" w:rsidRDefault="00C04D6A" w:rsidP="00C04D6A">
            <w:pPr>
              <w:rPr>
                <w:rFonts w:asciiTheme="minorHAnsi" w:hAnsiTheme="minorHAnsi" w:cstheme="minorHAnsi"/>
                <w:sz w:val="18"/>
                <w:szCs w:val="18"/>
              </w:rPr>
            </w:pPr>
          </w:p>
        </w:tc>
        <w:tc>
          <w:tcPr>
            <w:tcW w:w="975" w:type="dxa"/>
            <w:tcBorders>
              <w:bottom w:val="single" w:sz="4" w:space="0" w:color="808080" w:themeColor="background1" w:themeShade="80"/>
            </w:tcBorders>
            <w:vAlign w:val="center"/>
          </w:tcPr>
          <w:p w14:paraId="629BE58D" w14:textId="77777777" w:rsidR="00C04D6A" w:rsidRPr="00332AB5" w:rsidRDefault="00C04D6A" w:rsidP="00C04D6A">
            <w:pPr>
              <w:jc w:val="right"/>
              <w:rPr>
                <w:rFonts w:asciiTheme="minorHAnsi" w:hAnsiTheme="minorHAnsi" w:cstheme="minorHAnsi"/>
                <w:sz w:val="8"/>
                <w:szCs w:val="24"/>
              </w:rPr>
            </w:pPr>
          </w:p>
        </w:tc>
        <w:tc>
          <w:tcPr>
            <w:tcW w:w="996" w:type="dxa"/>
            <w:tcBorders>
              <w:bottom w:val="single" w:sz="4" w:space="0" w:color="808080" w:themeColor="background1" w:themeShade="80"/>
            </w:tcBorders>
            <w:vAlign w:val="center"/>
          </w:tcPr>
          <w:p w14:paraId="11C245C4" w14:textId="77777777" w:rsidR="00C04D6A" w:rsidRPr="00332AB5" w:rsidRDefault="00C04D6A" w:rsidP="00C04D6A">
            <w:pPr>
              <w:jc w:val="right"/>
              <w:rPr>
                <w:rFonts w:asciiTheme="minorHAnsi" w:hAnsiTheme="minorHAnsi" w:cstheme="minorHAnsi"/>
                <w:sz w:val="8"/>
                <w:szCs w:val="18"/>
              </w:rPr>
            </w:pPr>
          </w:p>
        </w:tc>
        <w:tc>
          <w:tcPr>
            <w:tcW w:w="850" w:type="dxa"/>
            <w:tcBorders>
              <w:bottom w:val="single" w:sz="4" w:space="0" w:color="808080" w:themeColor="background1" w:themeShade="80"/>
            </w:tcBorders>
            <w:vAlign w:val="center"/>
          </w:tcPr>
          <w:p w14:paraId="64FB2720" w14:textId="77777777" w:rsidR="00C04D6A" w:rsidRPr="00332AB5" w:rsidRDefault="00C04D6A" w:rsidP="00C04D6A">
            <w:pPr>
              <w:jc w:val="right"/>
              <w:rPr>
                <w:rFonts w:asciiTheme="minorHAnsi" w:hAnsiTheme="minorHAnsi" w:cstheme="minorHAnsi"/>
                <w:sz w:val="8"/>
                <w:szCs w:val="18"/>
              </w:rPr>
            </w:pPr>
          </w:p>
        </w:tc>
        <w:tc>
          <w:tcPr>
            <w:tcW w:w="993" w:type="dxa"/>
            <w:tcBorders>
              <w:bottom w:val="single" w:sz="4" w:space="0" w:color="808080" w:themeColor="background1" w:themeShade="80"/>
            </w:tcBorders>
            <w:vAlign w:val="center"/>
          </w:tcPr>
          <w:p w14:paraId="1218D5F0" w14:textId="77777777" w:rsidR="00C04D6A" w:rsidRPr="00332AB5" w:rsidRDefault="00C04D6A" w:rsidP="00C04D6A">
            <w:pPr>
              <w:jc w:val="right"/>
              <w:rPr>
                <w:rFonts w:asciiTheme="minorHAnsi" w:hAnsiTheme="minorHAnsi" w:cstheme="minorHAnsi"/>
                <w:sz w:val="8"/>
                <w:szCs w:val="18"/>
              </w:rPr>
            </w:pPr>
          </w:p>
        </w:tc>
        <w:tc>
          <w:tcPr>
            <w:tcW w:w="850" w:type="dxa"/>
            <w:tcBorders>
              <w:bottom w:val="single" w:sz="4" w:space="0" w:color="808080" w:themeColor="background1" w:themeShade="80"/>
            </w:tcBorders>
            <w:vAlign w:val="center"/>
          </w:tcPr>
          <w:p w14:paraId="5DD40D76" w14:textId="77777777" w:rsidR="00C04D6A" w:rsidRPr="00332AB5" w:rsidRDefault="00C04D6A" w:rsidP="00C04D6A">
            <w:pPr>
              <w:jc w:val="right"/>
              <w:rPr>
                <w:rFonts w:asciiTheme="minorHAnsi" w:hAnsiTheme="minorHAnsi" w:cstheme="minorHAnsi"/>
                <w:sz w:val="8"/>
                <w:szCs w:val="18"/>
              </w:rPr>
            </w:pPr>
          </w:p>
        </w:tc>
        <w:tc>
          <w:tcPr>
            <w:tcW w:w="992" w:type="dxa"/>
            <w:tcBorders>
              <w:bottom w:val="single" w:sz="4" w:space="0" w:color="808080" w:themeColor="background1" w:themeShade="80"/>
            </w:tcBorders>
            <w:vAlign w:val="center"/>
          </w:tcPr>
          <w:p w14:paraId="2B154754" w14:textId="77777777" w:rsidR="00C04D6A" w:rsidRPr="00332AB5" w:rsidRDefault="00C04D6A" w:rsidP="00C04D6A">
            <w:pPr>
              <w:jc w:val="right"/>
              <w:rPr>
                <w:rFonts w:asciiTheme="minorHAnsi" w:hAnsiTheme="minorHAnsi" w:cstheme="minorHAnsi"/>
                <w:sz w:val="8"/>
                <w:szCs w:val="18"/>
              </w:rPr>
            </w:pPr>
          </w:p>
        </w:tc>
        <w:tc>
          <w:tcPr>
            <w:tcW w:w="851" w:type="dxa"/>
            <w:tcBorders>
              <w:bottom w:val="single" w:sz="4" w:space="0" w:color="808080" w:themeColor="background1" w:themeShade="80"/>
            </w:tcBorders>
            <w:vAlign w:val="center"/>
          </w:tcPr>
          <w:p w14:paraId="6A5E24B9" w14:textId="77777777" w:rsidR="00C04D6A" w:rsidRPr="00332AB5" w:rsidRDefault="00C04D6A" w:rsidP="00C04D6A">
            <w:pPr>
              <w:jc w:val="right"/>
              <w:rPr>
                <w:rFonts w:asciiTheme="minorHAnsi" w:hAnsiTheme="minorHAnsi" w:cstheme="minorHAnsi"/>
                <w:sz w:val="8"/>
                <w:szCs w:val="18"/>
              </w:rPr>
            </w:pPr>
          </w:p>
        </w:tc>
        <w:tc>
          <w:tcPr>
            <w:tcW w:w="992" w:type="dxa"/>
            <w:tcBorders>
              <w:bottom w:val="single" w:sz="4" w:space="0" w:color="808080" w:themeColor="background1" w:themeShade="80"/>
            </w:tcBorders>
            <w:vAlign w:val="center"/>
          </w:tcPr>
          <w:p w14:paraId="38B3CACA" w14:textId="77777777" w:rsidR="00C04D6A" w:rsidRPr="00332AB5" w:rsidRDefault="00C04D6A" w:rsidP="00C04D6A">
            <w:pPr>
              <w:jc w:val="right"/>
              <w:rPr>
                <w:rFonts w:asciiTheme="minorHAnsi" w:hAnsiTheme="minorHAnsi" w:cstheme="minorHAnsi"/>
                <w:sz w:val="8"/>
                <w:szCs w:val="18"/>
              </w:rPr>
            </w:pPr>
          </w:p>
        </w:tc>
        <w:tc>
          <w:tcPr>
            <w:tcW w:w="709" w:type="dxa"/>
            <w:tcBorders>
              <w:bottom w:val="single" w:sz="4" w:space="0" w:color="808080" w:themeColor="background1" w:themeShade="80"/>
            </w:tcBorders>
            <w:vAlign w:val="center"/>
          </w:tcPr>
          <w:p w14:paraId="64776B57" w14:textId="77777777" w:rsidR="00C04D6A" w:rsidRPr="00332AB5" w:rsidRDefault="00C04D6A" w:rsidP="00C04D6A">
            <w:pPr>
              <w:jc w:val="right"/>
              <w:rPr>
                <w:rFonts w:asciiTheme="minorHAnsi" w:hAnsiTheme="minorHAnsi" w:cstheme="minorHAnsi"/>
                <w:sz w:val="8"/>
                <w:szCs w:val="18"/>
              </w:rPr>
            </w:pPr>
          </w:p>
        </w:tc>
      </w:tr>
      <w:tr w:rsidR="00C04D6A" w:rsidRPr="00332AB5" w14:paraId="359F5FFE" w14:textId="77777777" w:rsidTr="00C04D6A">
        <w:trPr>
          <w:trHeight w:val="510"/>
          <w:jc w:val="right"/>
        </w:trPr>
        <w:tc>
          <w:tcPr>
            <w:tcW w:w="1148" w:type="dxa"/>
            <w:vAlign w:val="center"/>
          </w:tcPr>
          <w:p w14:paraId="30464F8E" w14:textId="77777777" w:rsidR="00C04D6A" w:rsidRPr="00332AB5" w:rsidRDefault="00C04D6A" w:rsidP="00C04D6A">
            <w:pPr>
              <w:rPr>
                <w:rFonts w:asciiTheme="minorHAnsi" w:hAnsiTheme="minorHAnsi" w:cstheme="minorHAnsi"/>
                <w:sz w:val="18"/>
                <w:szCs w:val="18"/>
              </w:rPr>
            </w:pPr>
            <w:r w:rsidRPr="00332AB5">
              <w:rPr>
                <w:rFonts w:asciiTheme="minorHAnsi" w:hAnsiTheme="minorHAnsi" w:cstheme="minorHAnsi"/>
                <w:sz w:val="18"/>
                <w:szCs w:val="18"/>
              </w:rPr>
              <w:t>UKUPNO</w:t>
            </w:r>
          </w:p>
        </w:tc>
        <w:tc>
          <w:tcPr>
            <w:tcW w:w="975" w:type="dxa"/>
            <w:tcBorders>
              <w:top w:val="single" w:sz="4" w:space="0" w:color="808080" w:themeColor="background1" w:themeShade="80"/>
              <w:bottom w:val="single" w:sz="4" w:space="0" w:color="808080" w:themeColor="background1" w:themeShade="80"/>
            </w:tcBorders>
            <w:vAlign w:val="center"/>
          </w:tcPr>
          <w:p w14:paraId="1466CE82" w14:textId="72C5A40B" w:rsidR="00C04D6A" w:rsidRPr="00332AB5" w:rsidRDefault="00C04D6A" w:rsidP="00C04D6A">
            <w:pPr>
              <w:jc w:val="right"/>
              <w:rPr>
                <w:rFonts w:asciiTheme="minorHAnsi" w:hAnsiTheme="minorHAnsi" w:cstheme="minorHAnsi"/>
                <w:sz w:val="18"/>
                <w:szCs w:val="24"/>
              </w:rPr>
            </w:pPr>
            <w:r w:rsidRPr="00332AB5">
              <w:rPr>
                <w:rFonts w:asciiTheme="minorHAnsi" w:hAnsiTheme="minorHAnsi" w:cstheme="minorHAnsi"/>
                <w:sz w:val="18"/>
              </w:rPr>
              <w:t>1.284,35</w:t>
            </w:r>
          </w:p>
        </w:tc>
        <w:tc>
          <w:tcPr>
            <w:tcW w:w="996" w:type="dxa"/>
            <w:tcBorders>
              <w:top w:val="single" w:sz="4" w:space="0" w:color="808080" w:themeColor="background1" w:themeShade="80"/>
              <w:bottom w:val="single" w:sz="4" w:space="0" w:color="808080" w:themeColor="background1" w:themeShade="80"/>
            </w:tcBorders>
            <w:vAlign w:val="center"/>
          </w:tcPr>
          <w:p w14:paraId="470D157C" w14:textId="7C10B3D9" w:rsidR="00C04D6A" w:rsidRPr="00332AB5" w:rsidRDefault="00C04D6A" w:rsidP="00C04D6A">
            <w:pPr>
              <w:jc w:val="right"/>
              <w:rPr>
                <w:rFonts w:asciiTheme="minorHAnsi" w:hAnsiTheme="minorHAnsi" w:cstheme="minorHAnsi"/>
                <w:sz w:val="18"/>
                <w:szCs w:val="18"/>
              </w:rPr>
            </w:pPr>
            <w:r w:rsidRPr="00332AB5">
              <w:rPr>
                <w:rFonts w:asciiTheme="minorHAnsi" w:hAnsiTheme="minorHAnsi" w:cstheme="minorHAnsi"/>
                <w:sz w:val="18"/>
                <w:szCs w:val="18"/>
              </w:rPr>
              <w:t>1.280,03</w:t>
            </w:r>
          </w:p>
        </w:tc>
        <w:tc>
          <w:tcPr>
            <w:tcW w:w="850" w:type="dxa"/>
            <w:tcBorders>
              <w:top w:val="single" w:sz="4" w:space="0" w:color="808080" w:themeColor="background1" w:themeShade="80"/>
              <w:bottom w:val="single" w:sz="4" w:space="0" w:color="808080" w:themeColor="background1" w:themeShade="80"/>
            </w:tcBorders>
            <w:vAlign w:val="center"/>
          </w:tcPr>
          <w:p w14:paraId="5BFE2218" w14:textId="12531872" w:rsidR="00C04D6A" w:rsidRPr="00332AB5" w:rsidRDefault="00C04D6A" w:rsidP="00C04D6A">
            <w:pPr>
              <w:jc w:val="right"/>
              <w:rPr>
                <w:rFonts w:asciiTheme="minorHAnsi" w:hAnsiTheme="minorHAnsi" w:cstheme="minorHAnsi"/>
                <w:sz w:val="18"/>
                <w:szCs w:val="18"/>
              </w:rPr>
            </w:pPr>
            <w:r w:rsidRPr="00332AB5">
              <w:rPr>
                <w:rFonts w:asciiTheme="minorHAnsi" w:hAnsiTheme="minorHAnsi" w:cstheme="minorHAnsi"/>
                <w:sz w:val="18"/>
                <w:szCs w:val="18"/>
              </w:rPr>
              <w:t>99,66</w:t>
            </w:r>
          </w:p>
        </w:tc>
        <w:tc>
          <w:tcPr>
            <w:tcW w:w="993" w:type="dxa"/>
            <w:tcBorders>
              <w:top w:val="single" w:sz="4" w:space="0" w:color="808080" w:themeColor="background1" w:themeShade="80"/>
              <w:bottom w:val="single" w:sz="4" w:space="0" w:color="808080" w:themeColor="background1" w:themeShade="80"/>
            </w:tcBorders>
            <w:vAlign w:val="center"/>
          </w:tcPr>
          <w:p w14:paraId="3F6EC9B6" w14:textId="4B876793" w:rsidR="00C04D6A" w:rsidRPr="00332AB5" w:rsidRDefault="00AE361B" w:rsidP="00C04D6A">
            <w:pPr>
              <w:jc w:val="right"/>
              <w:rPr>
                <w:rFonts w:asciiTheme="minorHAnsi" w:hAnsiTheme="minorHAnsi" w:cstheme="minorHAnsi"/>
                <w:sz w:val="18"/>
                <w:szCs w:val="18"/>
              </w:rPr>
            </w:pPr>
            <w:r w:rsidRPr="00332AB5">
              <w:rPr>
                <w:rFonts w:asciiTheme="minorHAnsi" w:hAnsiTheme="minorHAnsi" w:cstheme="minorHAnsi"/>
                <w:sz w:val="18"/>
                <w:szCs w:val="18"/>
              </w:rPr>
              <w:t>1.130,98</w:t>
            </w:r>
          </w:p>
        </w:tc>
        <w:tc>
          <w:tcPr>
            <w:tcW w:w="850" w:type="dxa"/>
            <w:tcBorders>
              <w:top w:val="single" w:sz="4" w:space="0" w:color="808080" w:themeColor="background1" w:themeShade="80"/>
              <w:bottom w:val="single" w:sz="4" w:space="0" w:color="808080" w:themeColor="background1" w:themeShade="80"/>
            </w:tcBorders>
            <w:vAlign w:val="center"/>
          </w:tcPr>
          <w:p w14:paraId="183D208A" w14:textId="3CD4F648" w:rsidR="00C04D6A" w:rsidRPr="00332AB5" w:rsidRDefault="00AE361B" w:rsidP="00C04D6A">
            <w:pPr>
              <w:jc w:val="right"/>
              <w:rPr>
                <w:rFonts w:asciiTheme="minorHAnsi" w:hAnsiTheme="minorHAnsi" w:cstheme="minorHAnsi"/>
                <w:sz w:val="18"/>
                <w:szCs w:val="18"/>
              </w:rPr>
            </w:pPr>
            <w:r w:rsidRPr="00332AB5">
              <w:rPr>
                <w:rFonts w:asciiTheme="minorHAnsi" w:hAnsiTheme="minorHAnsi" w:cstheme="minorHAnsi"/>
                <w:sz w:val="18"/>
                <w:szCs w:val="18"/>
              </w:rPr>
              <w:t>88,06</w:t>
            </w:r>
          </w:p>
        </w:tc>
        <w:tc>
          <w:tcPr>
            <w:tcW w:w="992" w:type="dxa"/>
            <w:tcBorders>
              <w:top w:val="single" w:sz="4" w:space="0" w:color="808080" w:themeColor="background1" w:themeShade="80"/>
              <w:bottom w:val="single" w:sz="4" w:space="0" w:color="808080" w:themeColor="background1" w:themeShade="80"/>
            </w:tcBorders>
            <w:vAlign w:val="center"/>
          </w:tcPr>
          <w:p w14:paraId="7C16044D" w14:textId="04D515E9" w:rsidR="00C04D6A" w:rsidRPr="00332AB5" w:rsidRDefault="00C04D6A" w:rsidP="00C04D6A">
            <w:pPr>
              <w:jc w:val="right"/>
              <w:rPr>
                <w:rFonts w:asciiTheme="minorHAnsi" w:hAnsiTheme="minorHAnsi" w:cstheme="minorHAnsi"/>
                <w:sz w:val="18"/>
                <w:szCs w:val="18"/>
              </w:rPr>
            </w:pPr>
            <w:r w:rsidRPr="00332AB5">
              <w:rPr>
                <w:rFonts w:asciiTheme="minorHAnsi" w:hAnsiTheme="minorHAnsi" w:cstheme="minorHAnsi"/>
                <w:sz w:val="18"/>
                <w:szCs w:val="18"/>
              </w:rPr>
              <w:t>1.170,19</w:t>
            </w:r>
          </w:p>
        </w:tc>
        <w:tc>
          <w:tcPr>
            <w:tcW w:w="851" w:type="dxa"/>
            <w:tcBorders>
              <w:top w:val="single" w:sz="4" w:space="0" w:color="808080" w:themeColor="background1" w:themeShade="80"/>
              <w:bottom w:val="single" w:sz="4" w:space="0" w:color="808080" w:themeColor="background1" w:themeShade="80"/>
            </w:tcBorders>
            <w:vAlign w:val="center"/>
          </w:tcPr>
          <w:p w14:paraId="73B00AAF" w14:textId="53559D4C" w:rsidR="00C04D6A" w:rsidRPr="00332AB5" w:rsidRDefault="00C04D6A" w:rsidP="00C04D6A">
            <w:pPr>
              <w:jc w:val="right"/>
              <w:rPr>
                <w:rFonts w:asciiTheme="minorHAnsi" w:hAnsiTheme="minorHAnsi" w:cstheme="minorHAnsi"/>
                <w:sz w:val="18"/>
                <w:szCs w:val="18"/>
              </w:rPr>
            </w:pPr>
            <w:r w:rsidRPr="00332AB5">
              <w:rPr>
                <w:rFonts w:asciiTheme="minorHAnsi" w:hAnsiTheme="minorHAnsi" w:cstheme="minorHAnsi"/>
                <w:sz w:val="18"/>
                <w:szCs w:val="18"/>
              </w:rPr>
              <w:t>91,11</w:t>
            </w:r>
          </w:p>
        </w:tc>
        <w:tc>
          <w:tcPr>
            <w:tcW w:w="992" w:type="dxa"/>
            <w:tcBorders>
              <w:top w:val="single" w:sz="4" w:space="0" w:color="808080" w:themeColor="background1" w:themeShade="80"/>
              <w:bottom w:val="single" w:sz="4" w:space="0" w:color="808080" w:themeColor="background1" w:themeShade="80"/>
            </w:tcBorders>
            <w:vAlign w:val="center"/>
          </w:tcPr>
          <w:p w14:paraId="4396E092" w14:textId="520AC33E" w:rsidR="00C04D6A" w:rsidRPr="00332AB5" w:rsidRDefault="00C04D6A" w:rsidP="00C04D6A">
            <w:pPr>
              <w:jc w:val="right"/>
              <w:rPr>
                <w:rFonts w:asciiTheme="minorHAnsi" w:hAnsiTheme="minorHAnsi" w:cstheme="minorHAnsi"/>
                <w:sz w:val="18"/>
                <w:szCs w:val="18"/>
              </w:rPr>
            </w:pPr>
            <w:r w:rsidRPr="00332AB5">
              <w:rPr>
                <w:rFonts w:asciiTheme="minorHAnsi" w:hAnsiTheme="minorHAnsi" w:cstheme="minorHAnsi"/>
                <w:sz w:val="18"/>
                <w:szCs w:val="18"/>
              </w:rPr>
              <w:t>1.135,55</w:t>
            </w:r>
          </w:p>
        </w:tc>
        <w:tc>
          <w:tcPr>
            <w:tcW w:w="709" w:type="dxa"/>
            <w:tcBorders>
              <w:top w:val="single" w:sz="4" w:space="0" w:color="808080" w:themeColor="background1" w:themeShade="80"/>
              <w:bottom w:val="single" w:sz="4" w:space="0" w:color="808080" w:themeColor="background1" w:themeShade="80"/>
            </w:tcBorders>
            <w:vAlign w:val="center"/>
          </w:tcPr>
          <w:p w14:paraId="0E322AC4" w14:textId="181421D2" w:rsidR="00C04D6A" w:rsidRPr="00332AB5" w:rsidRDefault="00C04D6A" w:rsidP="00C04D6A">
            <w:pPr>
              <w:jc w:val="right"/>
              <w:rPr>
                <w:rFonts w:asciiTheme="minorHAnsi" w:hAnsiTheme="minorHAnsi" w:cstheme="minorHAnsi"/>
                <w:sz w:val="18"/>
                <w:szCs w:val="18"/>
              </w:rPr>
            </w:pPr>
            <w:r w:rsidRPr="00332AB5">
              <w:rPr>
                <w:rFonts w:asciiTheme="minorHAnsi" w:hAnsiTheme="minorHAnsi" w:cstheme="minorHAnsi"/>
                <w:sz w:val="18"/>
                <w:szCs w:val="18"/>
              </w:rPr>
              <w:t>88,41</w:t>
            </w:r>
          </w:p>
        </w:tc>
      </w:tr>
    </w:tbl>
    <w:p w14:paraId="2877E387" w14:textId="77777777" w:rsidR="008807E2" w:rsidRPr="00332AB5" w:rsidRDefault="008807E2">
      <w:pPr>
        <w:rPr>
          <w:b/>
          <w:caps/>
          <w:sz w:val="28"/>
        </w:rPr>
      </w:pPr>
      <w:bookmarkStart w:id="40" w:name="_Toc456259142"/>
      <w:bookmarkStart w:id="41" w:name="_Toc351444785"/>
      <w:bookmarkEnd w:id="19"/>
      <w:bookmarkEnd w:id="20"/>
      <w:bookmarkEnd w:id="21"/>
      <w:bookmarkEnd w:id="22"/>
      <w:bookmarkEnd w:id="38"/>
      <w:r w:rsidRPr="00332AB5">
        <w:br w:type="page"/>
      </w:r>
    </w:p>
    <w:p w14:paraId="61661D58" w14:textId="08470AD9" w:rsidR="005319D3" w:rsidRPr="00332AB5" w:rsidRDefault="005319D3" w:rsidP="00E2152B">
      <w:pPr>
        <w:pStyle w:val="Heading1"/>
      </w:pPr>
      <w:bookmarkStart w:id="42" w:name="_Toc152595218"/>
      <w:r w:rsidRPr="00332AB5">
        <w:lastRenderedPageBreak/>
        <w:t>DETALJNI PREGLED PROVEDBE (OPERATIVNIH) PROGRAMA FINANCIJSKE PERSPEKTIVE 2014.</w:t>
      </w:r>
      <w:r w:rsidR="008D397F" w:rsidRPr="00332AB5">
        <w:t xml:space="preserve"> – </w:t>
      </w:r>
      <w:r w:rsidRPr="00332AB5">
        <w:t>2020.</w:t>
      </w:r>
      <w:bookmarkEnd w:id="40"/>
      <w:bookmarkEnd w:id="42"/>
    </w:p>
    <w:p w14:paraId="25809A87" w14:textId="77777777" w:rsidR="00CF38D4" w:rsidRPr="00332AB5" w:rsidRDefault="002B7689" w:rsidP="00E2152B">
      <w:pPr>
        <w:pStyle w:val="Heading2"/>
        <w:numPr>
          <w:ilvl w:val="1"/>
          <w:numId w:val="3"/>
        </w:numPr>
      </w:pPr>
      <w:bookmarkStart w:id="43" w:name="_Toc152595219"/>
      <w:r w:rsidRPr="00332AB5">
        <w:t>OPERATIVNI</w:t>
      </w:r>
      <w:r w:rsidR="00E66447" w:rsidRPr="00332AB5">
        <w:t xml:space="preserve"> PROGRAM „</w:t>
      </w:r>
      <w:r w:rsidR="00A81CB6" w:rsidRPr="00332AB5">
        <w:t>KONKURENT</w:t>
      </w:r>
      <w:r w:rsidRPr="00332AB5">
        <w:t>NO</w:t>
      </w:r>
      <w:r w:rsidR="00A81CB6" w:rsidRPr="00332AB5">
        <w:t>S</w:t>
      </w:r>
      <w:r w:rsidRPr="00332AB5">
        <w:t>T I KOHEZIJA</w:t>
      </w:r>
      <w:r w:rsidR="00482B5D" w:rsidRPr="00332AB5">
        <w:t>“</w:t>
      </w:r>
      <w:bookmarkEnd w:id="43"/>
    </w:p>
    <w:p w14:paraId="4444143F" w14:textId="77777777" w:rsidR="00E81483" w:rsidRPr="00332AB5" w:rsidRDefault="00E81483" w:rsidP="00E81483">
      <w:pPr>
        <w:spacing w:before="120" w:after="120"/>
        <w:jc w:val="both"/>
        <w:rPr>
          <w:sz w:val="24"/>
          <w:szCs w:val="24"/>
        </w:rPr>
      </w:pPr>
      <w:r w:rsidRPr="00332AB5">
        <w:rPr>
          <w:sz w:val="24"/>
          <w:szCs w:val="24"/>
        </w:rPr>
        <w:t>U okviru OPKK-a iz Europskog fonda za regionalni razvoj (EFRR) i Kohezijskog fonda (KF) na raspolaganju je ukupno 6,83 milijardi eura od čega 4,7 milijardi eura iz EFRR-a i 2,13 milijardi eura iz KF-a. Kada se tome pridoda nacionalno sufinanciranje, ukupna vrijednost iznosi 8,02 milijardi eura.</w:t>
      </w:r>
    </w:p>
    <w:p w14:paraId="02C98729" w14:textId="77777777" w:rsidR="00E81483" w:rsidRPr="00332AB5" w:rsidRDefault="00E81483" w:rsidP="00E81483">
      <w:pPr>
        <w:spacing w:before="120" w:after="120"/>
        <w:jc w:val="both"/>
        <w:rPr>
          <w:sz w:val="24"/>
          <w:szCs w:val="24"/>
        </w:rPr>
      </w:pPr>
      <w:r w:rsidRPr="00332AB5">
        <w:rPr>
          <w:sz w:val="24"/>
          <w:szCs w:val="24"/>
        </w:rPr>
        <w:t>Do 30. lipnja 2023. ukupno je pokrenuto 335 postupaka dodjele bespovratnih sredstava ukupne vrijednosti 9,75 milijardi eura. U izvještajnom razdoblju nije bilo pokretanja novih postupaka dodjele bespovratnih sredstava.</w:t>
      </w:r>
    </w:p>
    <w:p w14:paraId="0852F44F" w14:textId="3C4BE27B" w:rsidR="00E81483" w:rsidRPr="00332AB5" w:rsidRDefault="00E81483" w:rsidP="00E81483">
      <w:pPr>
        <w:spacing w:before="240" w:after="120"/>
        <w:jc w:val="both"/>
        <w:rPr>
          <w:sz w:val="24"/>
          <w:szCs w:val="24"/>
        </w:rPr>
      </w:pPr>
      <w:bookmarkStart w:id="44" w:name="_Hlk82538682"/>
      <w:r w:rsidRPr="00332AB5">
        <w:rPr>
          <w:sz w:val="24"/>
          <w:szCs w:val="24"/>
        </w:rPr>
        <w:t>Temeljem pokrenutih postupaka dodjele bespovratnih sredstava, do 30. lipnja 2023. sklopljeno je 8.363 ugovora o dodjeli bespovratnih sredstava ukupne vrijednosti 9,2</w:t>
      </w:r>
      <w:r w:rsidR="00E60773" w:rsidRPr="00332AB5">
        <w:rPr>
          <w:sz w:val="24"/>
          <w:szCs w:val="24"/>
        </w:rPr>
        <w:t>1</w:t>
      </w:r>
      <w:r w:rsidRPr="00332AB5">
        <w:rPr>
          <w:sz w:val="24"/>
          <w:szCs w:val="24"/>
        </w:rPr>
        <w:t xml:space="preserve"> milijard</w:t>
      </w:r>
      <w:r w:rsidR="00E60773" w:rsidRPr="00332AB5">
        <w:rPr>
          <w:sz w:val="24"/>
          <w:szCs w:val="24"/>
        </w:rPr>
        <w:t>e</w:t>
      </w:r>
      <w:r w:rsidRPr="00332AB5">
        <w:rPr>
          <w:sz w:val="24"/>
          <w:szCs w:val="24"/>
        </w:rPr>
        <w:t xml:space="preserve"> eura (sredstva EU). Od toga se deset postupaka odnosi na ESIF financijske instrumente kojima je dodijeljeno 721 milijun eura (sredstva EU) temeljem kojih je potpisano 12.122 ugovora sa krajnjim primateljima ESIF financijskih instrumenata, a slijedom kojih su krajnji primatelji investirali 1,517 milijardi eura.</w:t>
      </w:r>
    </w:p>
    <w:p w14:paraId="717327F5" w14:textId="4CC01A20" w:rsidR="00E81483" w:rsidRPr="00332AB5" w:rsidRDefault="00E81483" w:rsidP="00E81483">
      <w:pPr>
        <w:spacing w:before="240" w:after="120"/>
        <w:jc w:val="both"/>
        <w:rPr>
          <w:sz w:val="24"/>
          <w:szCs w:val="24"/>
        </w:rPr>
      </w:pPr>
      <w:r w:rsidRPr="00332AB5">
        <w:rPr>
          <w:sz w:val="24"/>
          <w:szCs w:val="24"/>
        </w:rPr>
        <w:t>Ukupna plaćanja prema korisnicima izvršena su u iznosu od 5,81 milijardi eura (sredstva EU). U izvještajnom razdoblju korisnicima je plaćeno 483,41 milijuna eura (sredstva EU). Ukupno je do 30. lipnja 2023. ovjereno 4,30 milijardi eura (sredstva EU), a u izvještajnom razdoblju nije bilo ovjerenih sredstava. Ukupno je doznačeno 4,</w:t>
      </w:r>
      <w:r w:rsidR="0063198C" w:rsidRPr="00332AB5">
        <w:rPr>
          <w:sz w:val="24"/>
          <w:szCs w:val="24"/>
        </w:rPr>
        <w:t>6</w:t>
      </w:r>
      <w:r w:rsidR="0054343D" w:rsidRPr="00332AB5">
        <w:rPr>
          <w:sz w:val="24"/>
          <w:szCs w:val="24"/>
        </w:rPr>
        <w:t>4</w:t>
      </w:r>
      <w:r w:rsidRPr="00332AB5">
        <w:rPr>
          <w:sz w:val="24"/>
          <w:szCs w:val="24"/>
        </w:rPr>
        <w:t xml:space="preserve"> milijard</w:t>
      </w:r>
      <w:r w:rsidR="0054343D" w:rsidRPr="00332AB5">
        <w:rPr>
          <w:sz w:val="24"/>
          <w:szCs w:val="24"/>
        </w:rPr>
        <w:t>e</w:t>
      </w:r>
      <w:r w:rsidRPr="00332AB5">
        <w:rPr>
          <w:sz w:val="24"/>
          <w:szCs w:val="24"/>
        </w:rPr>
        <w:t xml:space="preserve"> eura, a u izvještajnom razdoblju doznačeno je </w:t>
      </w:r>
      <w:r w:rsidR="0054343D" w:rsidRPr="00332AB5">
        <w:rPr>
          <w:sz w:val="24"/>
          <w:szCs w:val="24"/>
        </w:rPr>
        <w:t>528,71</w:t>
      </w:r>
      <w:r w:rsidRPr="00332AB5">
        <w:rPr>
          <w:sz w:val="24"/>
          <w:szCs w:val="24"/>
        </w:rPr>
        <w:t xml:space="preserve"> milijuna eura.</w:t>
      </w:r>
      <w:bookmarkEnd w:id="44"/>
    </w:p>
    <w:p w14:paraId="391C63C1" w14:textId="77777777" w:rsidR="003004DC" w:rsidRPr="00332AB5" w:rsidRDefault="003004DC" w:rsidP="00225C7B">
      <w:pPr>
        <w:rPr>
          <w:b/>
          <w:bCs/>
        </w:rPr>
      </w:pPr>
    </w:p>
    <w:p w14:paraId="19710284" w14:textId="13D5912E" w:rsidR="00A024D8" w:rsidRPr="00332AB5" w:rsidRDefault="00A024D8" w:rsidP="00225C7B">
      <w:pPr>
        <w:rPr>
          <w:b/>
          <w:bCs/>
        </w:rPr>
      </w:pPr>
      <w:bookmarkStart w:id="45" w:name="_Toc152595281"/>
      <w:r w:rsidRPr="00332AB5">
        <w:rPr>
          <w:b/>
          <w:bCs/>
        </w:rPr>
        <w:t xml:space="preserve">Tablica </w:t>
      </w:r>
      <w:r w:rsidR="008C2CC3" w:rsidRPr="00332AB5">
        <w:rPr>
          <w:b/>
          <w:bCs/>
        </w:rPr>
        <w:fldChar w:fldCharType="begin"/>
      </w:r>
      <w:r w:rsidRPr="00332AB5">
        <w:rPr>
          <w:b/>
          <w:bCs/>
        </w:rPr>
        <w:instrText xml:space="preserve"> SEQ Tablica \* ARABIC </w:instrText>
      </w:r>
      <w:r w:rsidR="008C2CC3" w:rsidRPr="00332AB5">
        <w:rPr>
          <w:b/>
          <w:bCs/>
        </w:rPr>
        <w:fldChar w:fldCharType="separate"/>
      </w:r>
      <w:r w:rsidR="005E6E46">
        <w:rPr>
          <w:b/>
          <w:bCs/>
          <w:noProof/>
        </w:rPr>
        <w:t>7</w:t>
      </w:r>
      <w:r w:rsidR="008C2CC3" w:rsidRPr="00332AB5">
        <w:rPr>
          <w:b/>
          <w:bCs/>
        </w:rPr>
        <w:fldChar w:fldCharType="end"/>
      </w:r>
      <w:r w:rsidRPr="00332AB5">
        <w:rPr>
          <w:b/>
          <w:bCs/>
        </w:rPr>
        <w:t xml:space="preserve">: Financijski pokazatelji statusa provedbe Operativnog programa „Konkurentnost i kohezija“ u izvještajnom razdoblju </w:t>
      </w:r>
      <w:r w:rsidR="008F13F5" w:rsidRPr="00332AB5">
        <w:rPr>
          <w:b/>
          <w:bCs/>
        </w:rPr>
        <w:t xml:space="preserve">od </w:t>
      </w:r>
      <w:r w:rsidR="0011067E" w:rsidRPr="00332AB5">
        <w:rPr>
          <w:b/>
          <w:bCs/>
        </w:rPr>
        <w:t>1. siječnja</w:t>
      </w:r>
      <w:r w:rsidR="00B2004D" w:rsidRPr="00332AB5">
        <w:rPr>
          <w:b/>
          <w:bCs/>
        </w:rPr>
        <w:t xml:space="preserve"> do </w:t>
      </w:r>
      <w:r w:rsidR="0011067E" w:rsidRPr="00332AB5">
        <w:rPr>
          <w:b/>
          <w:bCs/>
        </w:rPr>
        <w:t>30. lipnja 2023.</w:t>
      </w:r>
      <w:r w:rsidR="00B2004D" w:rsidRPr="00332AB5">
        <w:rPr>
          <w:b/>
          <w:bCs/>
        </w:rPr>
        <w:t xml:space="preserve"> </w:t>
      </w:r>
      <w:r w:rsidRPr="00332AB5">
        <w:rPr>
          <w:b/>
          <w:bCs/>
        </w:rPr>
        <w:t>(sredstva EU, u milijunima eura i postocima od dodijeljenih sredstava)</w:t>
      </w:r>
      <w:bookmarkEnd w:id="4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50"/>
        <w:gridCol w:w="674"/>
        <w:gridCol w:w="1027"/>
        <w:gridCol w:w="697"/>
        <w:gridCol w:w="1004"/>
        <w:gridCol w:w="720"/>
        <w:gridCol w:w="1089"/>
        <w:gridCol w:w="635"/>
      </w:tblGrid>
      <w:tr w:rsidR="00AA5DF3" w:rsidRPr="00332AB5" w14:paraId="4568A946" w14:textId="77777777" w:rsidTr="00E056DC">
        <w:trPr>
          <w:trHeight w:val="737"/>
        </w:trPr>
        <w:tc>
          <w:tcPr>
            <w:tcW w:w="1179" w:type="dxa"/>
            <w:vAlign w:val="center"/>
          </w:tcPr>
          <w:p w14:paraId="1F7A3056" w14:textId="77777777" w:rsidR="00A024D8" w:rsidRPr="00332AB5" w:rsidRDefault="00A024D8" w:rsidP="00E2152B">
            <w:pPr>
              <w:spacing w:after="60"/>
              <w:rPr>
                <w:sz w:val="16"/>
                <w:szCs w:val="24"/>
              </w:rPr>
            </w:pPr>
            <w:r w:rsidRPr="00332AB5">
              <w:rPr>
                <w:rFonts w:asciiTheme="minorHAnsi" w:hAnsiTheme="minorHAnsi" w:cstheme="minorHAnsi"/>
                <w:sz w:val="16"/>
              </w:rPr>
              <w:t>Prioritetna os</w:t>
            </w:r>
            <w:r w:rsidR="00097227" w:rsidRPr="00332AB5">
              <w:rPr>
                <w:rFonts w:asciiTheme="minorHAnsi" w:hAnsiTheme="minorHAnsi" w:cstheme="minorHAnsi"/>
                <w:sz w:val="16"/>
              </w:rPr>
              <w:t xml:space="preserve"> (PO)</w:t>
            </w:r>
            <w:r w:rsidRPr="00332AB5">
              <w:rPr>
                <w:rStyle w:val="FootnoteReference"/>
                <w:rFonts w:asciiTheme="minorHAnsi" w:hAnsiTheme="minorHAnsi" w:cstheme="minorHAnsi"/>
                <w:sz w:val="16"/>
              </w:rPr>
              <w:footnoteReference w:id="9"/>
            </w:r>
          </w:p>
        </w:tc>
        <w:tc>
          <w:tcPr>
            <w:tcW w:w="998" w:type="dxa"/>
            <w:tcBorders>
              <w:bottom w:val="single" w:sz="4" w:space="0" w:color="808080" w:themeColor="background1" w:themeShade="80"/>
            </w:tcBorders>
            <w:vAlign w:val="center"/>
          </w:tcPr>
          <w:p w14:paraId="2D9D176E" w14:textId="77777777" w:rsidR="00A024D8" w:rsidRPr="00332AB5" w:rsidRDefault="00A024D8" w:rsidP="00E2152B">
            <w:pPr>
              <w:spacing w:after="60"/>
              <w:jc w:val="right"/>
              <w:rPr>
                <w:sz w:val="16"/>
                <w:szCs w:val="24"/>
              </w:rPr>
            </w:pPr>
            <w:r w:rsidRPr="00332AB5">
              <w:rPr>
                <w:rFonts w:asciiTheme="minorHAnsi" w:hAnsiTheme="minorHAnsi" w:cstheme="minorHAnsi"/>
                <w:sz w:val="16"/>
              </w:rPr>
              <w:t>Dodijeljena sredstva</w:t>
            </w:r>
          </w:p>
        </w:tc>
        <w:tc>
          <w:tcPr>
            <w:tcW w:w="1050" w:type="dxa"/>
            <w:tcBorders>
              <w:bottom w:val="single" w:sz="4" w:space="0" w:color="808080" w:themeColor="background1" w:themeShade="80"/>
            </w:tcBorders>
            <w:vAlign w:val="center"/>
          </w:tcPr>
          <w:p w14:paraId="7E9895AC" w14:textId="77777777" w:rsidR="00A024D8" w:rsidRPr="00332AB5" w:rsidRDefault="00A024D8" w:rsidP="00E2152B">
            <w:pPr>
              <w:spacing w:after="60"/>
              <w:jc w:val="right"/>
              <w:rPr>
                <w:sz w:val="16"/>
                <w:szCs w:val="24"/>
              </w:rPr>
            </w:pPr>
            <w:r w:rsidRPr="00332AB5">
              <w:rPr>
                <w:rFonts w:asciiTheme="minorHAnsi" w:hAnsiTheme="minorHAnsi" w:cstheme="minorHAnsi"/>
                <w:sz w:val="16"/>
              </w:rPr>
              <w:t>Ugovorena sredstva</w:t>
            </w:r>
          </w:p>
        </w:tc>
        <w:tc>
          <w:tcPr>
            <w:tcW w:w="674" w:type="dxa"/>
            <w:tcBorders>
              <w:bottom w:val="single" w:sz="4" w:space="0" w:color="808080" w:themeColor="background1" w:themeShade="80"/>
            </w:tcBorders>
            <w:vAlign w:val="center"/>
          </w:tcPr>
          <w:p w14:paraId="3EB2E8F6" w14:textId="77777777" w:rsidR="00A024D8" w:rsidRPr="00332AB5" w:rsidRDefault="000C006E" w:rsidP="00E2152B">
            <w:pPr>
              <w:spacing w:after="60"/>
              <w:jc w:val="right"/>
              <w:rPr>
                <w:sz w:val="16"/>
                <w:szCs w:val="24"/>
              </w:rPr>
            </w:pPr>
            <w:r w:rsidRPr="00332AB5">
              <w:rPr>
                <w:rFonts w:asciiTheme="minorHAnsi" w:hAnsiTheme="minorHAnsi" w:cstheme="minorHAnsi"/>
                <w:sz w:val="16"/>
              </w:rPr>
              <w:t xml:space="preserve"> %</w:t>
            </w:r>
          </w:p>
        </w:tc>
        <w:tc>
          <w:tcPr>
            <w:tcW w:w="1027" w:type="dxa"/>
            <w:tcBorders>
              <w:bottom w:val="single" w:sz="4" w:space="0" w:color="808080" w:themeColor="background1" w:themeShade="80"/>
            </w:tcBorders>
            <w:vAlign w:val="center"/>
          </w:tcPr>
          <w:p w14:paraId="709FFA68" w14:textId="77777777" w:rsidR="00A024D8" w:rsidRPr="00332AB5" w:rsidRDefault="00A024D8" w:rsidP="00E2152B">
            <w:pPr>
              <w:spacing w:after="60"/>
              <w:jc w:val="right"/>
              <w:rPr>
                <w:sz w:val="16"/>
                <w:szCs w:val="24"/>
              </w:rPr>
            </w:pPr>
            <w:r w:rsidRPr="00332AB5">
              <w:rPr>
                <w:rFonts w:asciiTheme="minorHAnsi" w:hAnsiTheme="minorHAnsi" w:cstheme="minorHAnsi"/>
                <w:sz w:val="16"/>
              </w:rPr>
              <w:t>Plaćena sredstva</w:t>
            </w:r>
          </w:p>
        </w:tc>
        <w:tc>
          <w:tcPr>
            <w:tcW w:w="697" w:type="dxa"/>
            <w:tcBorders>
              <w:bottom w:val="single" w:sz="4" w:space="0" w:color="808080" w:themeColor="background1" w:themeShade="80"/>
            </w:tcBorders>
            <w:vAlign w:val="center"/>
          </w:tcPr>
          <w:p w14:paraId="44566E34" w14:textId="77777777" w:rsidR="00A024D8" w:rsidRPr="00332AB5" w:rsidRDefault="000C006E" w:rsidP="00E2152B">
            <w:pPr>
              <w:spacing w:after="60"/>
              <w:jc w:val="right"/>
              <w:rPr>
                <w:sz w:val="16"/>
                <w:szCs w:val="24"/>
              </w:rPr>
            </w:pPr>
            <w:r w:rsidRPr="00332AB5">
              <w:rPr>
                <w:rFonts w:asciiTheme="minorHAnsi" w:hAnsiTheme="minorHAnsi" w:cstheme="minorHAnsi"/>
                <w:sz w:val="16"/>
              </w:rPr>
              <w:t xml:space="preserve"> %</w:t>
            </w:r>
          </w:p>
        </w:tc>
        <w:tc>
          <w:tcPr>
            <w:tcW w:w="1004" w:type="dxa"/>
            <w:tcBorders>
              <w:bottom w:val="single" w:sz="4" w:space="0" w:color="808080" w:themeColor="background1" w:themeShade="80"/>
            </w:tcBorders>
            <w:vAlign w:val="center"/>
          </w:tcPr>
          <w:p w14:paraId="42CE95A2" w14:textId="77777777" w:rsidR="00A024D8" w:rsidRPr="00332AB5" w:rsidRDefault="00A024D8" w:rsidP="00E2152B">
            <w:pPr>
              <w:spacing w:after="60"/>
              <w:jc w:val="right"/>
              <w:rPr>
                <w:sz w:val="16"/>
                <w:szCs w:val="24"/>
              </w:rPr>
            </w:pPr>
            <w:r w:rsidRPr="00332AB5">
              <w:rPr>
                <w:rFonts w:asciiTheme="minorHAnsi" w:hAnsiTheme="minorHAnsi" w:cstheme="minorHAnsi"/>
                <w:sz w:val="16"/>
              </w:rPr>
              <w:t>Ovjerena sredstva</w:t>
            </w:r>
          </w:p>
        </w:tc>
        <w:tc>
          <w:tcPr>
            <w:tcW w:w="720" w:type="dxa"/>
            <w:tcBorders>
              <w:bottom w:val="single" w:sz="4" w:space="0" w:color="808080" w:themeColor="background1" w:themeShade="80"/>
            </w:tcBorders>
            <w:vAlign w:val="center"/>
          </w:tcPr>
          <w:p w14:paraId="0A4F5267" w14:textId="77777777" w:rsidR="00A024D8" w:rsidRPr="00332AB5" w:rsidRDefault="000C006E" w:rsidP="00E2152B">
            <w:pPr>
              <w:spacing w:after="60"/>
              <w:jc w:val="right"/>
              <w:rPr>
                <w:sz w:val="16"/>
                <w:szCs w:val="24"/>
              </w:rPr>
            </w:pPr>
            <w:r w:rsidRPr="00332AB5">
              <w:rPr>
                <w:rFonts w:asciiTheme="minorHAnsi" w:hAnsiTheme="minorHAnsi" w:cstheme="minorHAnsi"/>
                <w:sz w:val="16"/>
              </w:rPr>
              <w:t xml:space="preserve"> %</w:t>
            </w:r>
          </w:p>
        </w:tc>
        <w:tc>
          <w:tcPr>
            <w:tcW w:w="1089" w:type="dxa"/>
            <w:tcBorders>
              <w:bottom w:val="single" w:sz="4" w:space="0" w:color="808080" w:themeColor="background1" w:themeShade="80"/>
            </w:tcBorders>
            <w:vAlign w:val="center"/>
          </w:tcPr>
          <w:p w14:paraId="2018F823" w14:textId="77777777" w:rsidR="00A024D8" w:rsidRPr="00332AB5" w:rsidRDefault="00A024D8" w:rsidP="00E2152B">
            <w:pPr>
              <w:spacing w:after="60"/>
              <w:jc w:val="right"/>
              <w:rPr>
                <w:sz w:val="16"/>
                <w:szCs w:val="24"/>
              </w:rPr>
            </w:pPr>
            <w:r w:rsidRPr="00332AB5">
              <w:rPr>
                <w:rFonts w:asciiTheme="minorHAnsi" w:hAnsiTheme="minorHAnsi" w:cstheme="minorHAnsi"/>
                <w:sz w:val="16"/>
              </w:rPr>
              <w:t>Doznačena sredstva</w:t>
            </w:r>
          </w:p>
        </w:tc>
        <w:tc>
          <w:tcPr>
            <w:tcW w:w="635" w:type="dxa"/>
            <w:tcBorders>
              <w:bottom w:val="single" w:sz="4" w:space="0" w:color="808080" w:themeColor="background1" w:themeShade="80"/>
            </w:tcBorders>
            <w:vAlign w:val="center"/>
          </w:tcPr>
          <w:p w14:paraId="78F40B76" w14:textId="77777777" w:rsidR="00A024D8" w:rsidRPr="00332AB5" w:rsidRDefault="000C006E" w:rsidP="00E2152B">
            <w:pPr>
              <w:spacing w:after="60"/>
              <w:jc w:val="right"/>
              <w:rPr>
                <w:sz w:val="16"/>
                <w:szCs w:val="24"/>
              </w:rPr>
            </w:pPr>
            <w:r w:rsidRPr="00332AB5">
              <w:rPr>
                <w:rFonts w:asciiTheme="minorHAnsi" w:hAnsiTheme="minorHAnsi" w:cstheme="minorHAnsi"/>
                <w:sz w:val="16"/>
              </w:rPr>
              <w:t xml:space="preserve"> %</w:t>
            </w:r>
          </w:p>
        </w:tc>
      </w:tr>
      <w:tr w:rsidR="00AA5DF3" w:rsidRPr="00332AB5" w14:paraId="65F936A7" w14:textId="77777777" w:rsidTr="00E056DC">
        <w:trPr>
          <w:trHeight w:val="113"/>
        </w:trPr>
        <w:tc>
          <w:tcPr>
            <w:tcW w:w="1179" w:type="dxa"/>
            <w:vAlign w:val="center"/>
          </w:tcPr>
          <w:p w14:paraId="5B32C290" w14:textId="77777777" w:rsidR="00A024D8" w:rsidRPr="00332AB5" w:rsidRDefault="00A024D8" w:rsidP="00E2152B">
            <w:pPr>
              <w:rPr>
                <w:rFonts w:asciiTheme="minorHAnsi" w:hAnsiTheme="minorHAnsi" w:cstheme="minorHAnsi"/>
                <w:sz w:val="8"/>
                <w:szCs w:val="24"/>
              </w:rPr>
            </w:pPr>
          </w:p>
        </w:tc>
        <w:tc>
          <w:tcPr>
            <w:tcW w:w="998" w:type="dxa"/>
            <w:tcBorders>
              <w:top w:val="single" w:sz="4" w:space="0" w:color="808080" w:themeColor="background1" w:themeShade="80"/>
            </w:tcBorders>
            <w:vAlign w:val="center"/>
          </w:tcPr>
          <w:p w14:paraId="455EE9E0" w14:textId="77777777" w:rsidR="00A024D8" w:rsidRPr="00332AB5" w:rsidRDefault="00A024D8" w:rsidP="00E2152B">
            <w:pPr>
              <w:jc w:val="right"/>
              <w:rPr>
                <w:rFonts w:asciiTheme="minorHAnsi" w:hAnsiTheme="minorHAnsi" w:cstheme="minorHAnsi"/>
                <w:sz w:val="8"/>
                <w:szCs w:val="24"/>
              </w:rPr>
            </w:pPr>
          </w:p>
        </w:tc>
        <w:tc>
          <w:tcPr>
            <w:tcW w:w="1050" w:type="dxa"/>
            <w:tcBorders>
              <w:top w:val="single" w:sz="4" w:space="0" w:color="808080" w:themeColor="background1" w:themeShade="80"/>
            </w:tcBorders>
            <w:vAlign w:val="center"/>
          </w:tcPr>
          <w:p w14:paraId="653F0EDD" w14:textId="77777777" w:rsidR="00A024D8" w:rsidRPr="00332AB5" w:rsidRDefault="00A024D8" w:rsidP="00E2152B">
            <w:pPr>
              <w:jc w:val="right"/>
              <w:rPr>
                <w:rFonts w:asciiTheme="minorHAnsi" w:hAnsiTheme="minorHAnsi" w:cstheme="minorHAnsi"/>
                <w:sz w:val="8"/>
                <w:szCs w:val="24"/>
              </w:rPr>
            </w:pPr>
          </w:p>
        </w:tc>
        <w:tc>
          <w:tcPr>
            <w:tcW w:w="674" w:type="dxa"/>
            <w:tcBorders>
              <w:top w:val="single" w:sz="4" w:space="0" w:color="808080" w:themeColor="background1" w:themeShade="80"/>
            </w:tcBorders>
            <w:vAlign w:val="center"/>
          </w:tcPr>
          <w:p w14:paraId="3F2A21FB" w14:textId="77777777" w:rsidR="00A024D8" w:rsidRPr="00332AB5" w:rsidRDefault="00A024D8" w:rsidP="00E2152B">
            <w:pPr>
              <w:jc w:val="right"/>
              <w:rPr>
                <w:rFonts w:asciiTheme="minorHAnsi" w:hAnsiTheme="minorHAnsi" w:cstheme="minorHAnsi"/>
                <w:sz w:val="8"/>
                <w:szCs w:val="24"/>
              </w:rPr>
            </w:pPr>
          </w:p>
        </w:tc>
        <w:tc>
          <w:tcPr>
            <w:tcW w:w="1027" w:type="dxa"/>
            <w:tcBorders>
              <w:top w:val="single" w:sz="4" w:space="0" w:color="808080" w:themeColor="background1" w:themeShade="80"/>
            </w:tcBorders>
            <w:vAlign w:val="center"/>
          </w:tcPr>
          <w:p w14:paraId="4E667106" w14:textId="77777777" w:rsidR="00A024D8" w:rsidRPr="00332AB5" w:rsidRDefault="00A024D8" w:rsidP="00E2152B">
            <w:pPr>
              <w:jc w:val="right"/>
              <w:rPr>
                <w:rFonts w:asciiTheme="minorHAnsi" w:hAnsiTheme="minorHAnsi" w:cstheme="minorHAnsi"/>
                <w:sz w:val="8"/>
                <w:szCs w:val="24"/>
              </w:rPr>
            </w:pPr>
          </w:p>
        </w:tc>
        <w:tc>
          <w:tcPr>
            <w:tcW w:w="697" w:type="dxa"/>
            <w:tcBorders>
              <w:top w:val="single" w:sz="4" w:space="0" w:color="808080" w:themeColor="background1" w:themeShade="80"/>
            </w:tcBorders>
            <w:vAlign w:val="center"/>
          </w:tcPr>
          <w:p w14:paraId="4B0AE106" w14:textId="77777777" w:rsidR="00A024D8" w:rsidRPr="00332AB5" w:rsidRDefault="00A024D8" w:rsidP="00E2152B">
            <w:pPr>
              <w:jc w:val="right"/>
              <w:rPr>
                <w:rFonts w:asciiTheme="minorHAnsi" w:hAnsiTheme="minorHAnsi" w:cstheme="minorHAnsi"/>
                <w:sz w:val="8"/>
                <w:szCs w:val="24"/>
              </w:rPr>
            </w:pPr>
          </w:p>
        </w:tc>
        <w:tc>
          <w:tcPr>
            <w:tcW w:w="1004" w:type="dxa"/>
            <w:tcBorders>
              <w:top w:val="single" w:sz="4" w:space="0" w:color="808080" w:themeColor="background1" w:themeShade="80"/>
            </w:tcBorders>
            <w:vAlign w:val="center"/>
          </w:tcPr>
          <w:p w14:paraId="7B6787F4" w14:textId="77777777" w:rsidR="00A024D8" w:rsidRPr="00332AB5" w:rsidRDefault="00A024D8" w:rsidP="00E2152B">
            <w:pPr>
              <w:jc w:val="right"/>
              <w:rPr>
                <w:rFonts w:asciiTheme="minorHAnsi" w:hAnsiTheme="minorHAnsi" w:cstheme="minorHAnsi"/>
                <w:sz w:val="8"/>
                <w:szCs w:val="24"/>
              </w:rPr>
            </w:pPr>
          </w:p>
        </w:tc>
        <w:tc>
          <w:tcPr>
            <w:tcW w:w="720" w:type="dxa"/>
            <w:tcBorders>
              <w:top w:val="single" w:sz="4" w:space="0" w:color="808080" w:themeColor="background1" w:themeShade="80"/>
            </w:tcBorders>
            <w:vAlign w:val="center"/>
          </w:tcPr>
          <w:p w14:paraId="4DD7A79B" w14:textId="77777777" w:rsidR="00A024D8" w:rsidRPr="00332AB5" w:rsidRDefault="00A024D8" w:rsidP="00E2152B">
            <w:pPr>
              <w:jc w:val="right"/>
              <w:rPr>
                <w:rFonts w:asciiTheme="minorHAnsi" w:hAnsiTheme="minorHAnsi" w:cstheme="minorHAnsi"/>
                <w:sz w:val="8"/>
                <w:szCs w:val="24"/>
              </w:rPr>
            </w:pPr>
          </w:p>
        </w:tc>
        <w:tc>
          <w:tcPr>
            <w:tcW w:w="1089" w:type="dxa"/>
            <w:tcBorders>
              <w:top w:val="single" w:sz="4" w:space="0" w:color="808080" w:themeColor="background1" w:themeShade="80"/>
            </w:tcBorders>
            <w:vAlign w:val="center"/>
          </w:tcPr>
          <w:p w14:paraId="6545CAD6" w14:textId="77777777" w:rsidR="00A024D8" w:rsidRPr="00332AB5" w:rsidRDefault="00A024D8" w:rsidP="00E2152B">
            <w:pPr>
              <w:jc w:val="right"/>
              <w:rPr>
                <w:rFonts w:asciiTheme="minorHAnsi" w:hAnsiTheme="minorHAnsi" w:cstheme="minorHAnsi"/>
                <w:sz w:val="8"/>
                <w:szCs w:val="24"/>
              </w:rPr>
            </w:pPr>
          </w:p>
        </w:tc>
        <w:tc>
          <w:tcPr>
            <w:tcW w:w="635" w:type="dxa"/>
            <w:tcBorders>
              <w:top w:val="single" w:sz="4" w:space="0" w:color="808080" w:themeColor="background1" w:themeShade="80"/>
            </w:tcBorders>
            <w:vAlign w:val="center"/>
          </w:tcPr>
          <w:p w14:paraId="4183524D" w14:textId="77777777" w:rsidR="00A024D8" w:rsidRPr="00332AB5" w:rsidRDefault="00A024D8" w:rsidP="00E2152B">
            <w:pPr>
              <w:jc w:val="right"/>
              <w:rPr>
                <w:rFonts w:asciiTheme="minorHAnsi" w:hAnsiTheme="minorHAnsi" w:cstheme="minorHAnsi"/>
                <w:sz w:val="8"/>
                <w:szCs w:val="24"/>
              </w:rPr>
            </w:pPr>
          </w:p>
        </w:tc>
      </w:tr>
      <w:tr w:rsidR="003723D7" w:rsidRPr="00332AB5" w14:paraId="352EA197" w14:textId="77777777" w:rsidTr="003723D7">
        <w:trPr>
          <w:trHeight w:val="397"/>
        </w:trPr>
        <w:tc>
          <w:tcPr>
            <w:tcW w:w="1179" w:type="dxa"/>
            <w:vAlign w:val="center"/>
          </w:tcPr>
          <w:p w14:paraId="24B286FA" w14:textId="77777777" w:rsidR="003723D7" w:rsidRPr="00332AB5" w:rsidRDefault="003723D7" w:rsidP="003723D7">
            <w:pPr>
              <w:rPr>
                <w:rFonts w:asciiTheme="minorHAnsi" w:hAnsiTheme="minorHAnsi" w:cstheme="minorHAnsi"/>
                <w:sz w:val="18"/>
                <w:szCs w:val="18"/>
              </w:rPr>
            </w:pPr>
            <w:r w:rsidRPr="00332AB5">
              <w:rPr>
                <w:rFonts w:asciiTheme="minorHAnsi" w:hAnsiTheme="minorHAnsi" w:cstheme="minorHAnsi"/>
                <w:sz w:val="18"/>
                <w:szCs w:val="18"/>
              </w:rPr>
              <w:t>PO 1</w:t>
            </w:r>
          </w:p>
        </w:tc>
        <w:tc>
          <w:tcPr>
            <w:tcW w:w="998" w:type="dxa"/>
            <w:vAlign w:val="center"/>
          </w:tcPr>
          <w:p w14:paraId="6FF0E448" w14:textId="2207A717"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689,35</w:t>
            </w:r>
          </w:p>
        </w:tc>
        <w:tc>
          <w:tcPr>
            <w:tcW w:w="1050" w:type="dxa"/>
            <w:vAlign w:val="center"/>
          </w:tcPr>
          <w:p w14:paraId="07729898" w14:textId="51BD8B8A"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-4,47</w:t>
            </w:r>
          </w:p>
        </w:tc>
        <w:tc>
          <w:tcPr>
            <w:tcW w:w="674" w:type="dxa"/>
            <w:vAlign w:val="center"/>
          </w:tcPr>
          <w:p w14:paraId="5254AB33" w14:textId="2F52BED6"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-0,65</w:t>
            </w:r>
          </w:p>
        </w:tc>
        <w:tc>
          <w:tcPr>
            <w:tcW w:w="1027" w:type="dxa"/>
            <w:vAlign w:val="center"/>
          </w:tcPr>
          <w:p w14:paraId="1538B545" w14:textId="69BF3297"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60,56</w:t>
            </w:r>
          </w:p>
        </w:tc>
        <w:tc>
          <w:tcPr>
            <w:tcW w:w="697" w:type="dxa"/>
            <w:shd w:val="clear" w:color="auto" w:fill="auto"/>
            <w:vAlign w:val="center"/>
          </w:tcPr>
          <w:p w14:paraId="3B8EE791" w14:textId="3067EC1B"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8,78</w:t>
            </w:r>
          </w:p>
        </w:tc>
        <w:tc>
          <w:tcPr>
            <w:tcW w:w="1004" w:type="dxa"/>
            <w:shd w:val="clear" w:color="auto" w:fill="auto"/>
            <w:vAlign w:val="center"/>
          </w:tcPr>
          <w:p w14:paraId="745674CC" w14:textId="36A2645E"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0,00</w:t>
            </w:r>
          </w:p>
        </w:tc>
        <w:tc>
          <w:tcPr>
            <w:tcW w:w="720" w:type="dxa"/>
            <w:shd w:val="clear" w:color="auto" w:fill="auto"/>
            <w:vAlign w:val="center"/>
          </w:tcPr>
          <w:p w14:paraId="33CBAF1F" w14:textId="5A676B4C" w:rsidR="003723D7" w:rsidRPr="00332AB5" w:rsidRDefault="003723D7" w:rsidP="003723D7">
            <w:pPr>
              <w:jc w:val="right"/>
              <w:rPr>
                <w:rFonts w:asciiTheme="minorHAnsi" w:hAnsiTheme="minorHAnsi" w:cstheme="minorHAnsi"/>
                <w:color w:val="FF0000"/>
                <w:sz w:val="18"/>
                <w:szCs w:val="18"/>
              </w:rPr>
            </w:pPr>
            <w:r w:rsidRPr="00332AB5">
              <w:rPr>
                <w:rFonts w:asciiTheme="minorHAnsi" w:hAnsiTheme="minorHAnsi" w:cstheme="minorHAnsi"/>
                <w:sz w:val="18"/>
                <w:szCs w:val="18"/>
              </w:rPr>
              <w:t>0,00</w:t>
            </w:r>
          </w:p>
        </w:tc>
        <w:tc>
          <w:tcPr>
            <w:tcW w:w="1089" w:type="dxa"/>
            <w:vAlign w:val="center"/>
          </w:tcPr>
          <w:p w14:paraId="2809F93A" w14:textId="77777777" w:rsidR="003723D7" w:rsidRPr="00332AB5" w:rsidRDefault="003723D7" w:rsidP="003723D7">
            <w:pPr>
              <w:jc w:val="right"/>
              <w:rPr>
                <w:rFonts w:asciiTheme="minorHAnsi" w:hAnsiTheme="minorHAnsi" w:cstheme="minorHAnsi"/>
                <w:sz w:val="18"/>
                <w:szCs w:val="18"/>
              </w:rPr>
            </w:pPr>
          </w:p>
        </w:tc>
        <w:tc>
          <w:tcPr>
            <w:tcW w:w="635" w:type="dxa"/>
            <w:vAlign w:val="center"/>
          </w:tcPr>
          <w:p w14:paraId="21AAEC0E" w14:textId="77777777" w:rsidR="003723D7" w:rsidRPr="00332AB5" w:rsidRDefault="003723D7" w:rsidP="003723D7">
            <w:pPr>
              <w:jc w:val="right"/>
              <w:rPr>
                <w:rFonts w:asciiTheme="minorHAnsi" w:hAnsiTheme="minorHAnsi" w:cstheme="minorHAnsi"/>
              </w:rPr>
            </w:pPr>
          </w:p>
        </w:tc>
      </w:tr>
      <w:tr w:rsidR="003723D7" w:rsidRPr="00332AB5" w14:paraId="3E9A7889" w14:textId="77777777" w:rsidTr="003723D7">
        <w:trPr>
          <w:trHeight w:val="397"/>
        </w:trPr>
        <w:tc>
          <w:tcPr>
            <w:tcW w:w="1179" w:type="dxa"/>
            <w:vAlign w:val="center"/>
          </w:tcPr>
          <w:p w14:paraId="58F9E2CA" w14:textId="77777777" w:rsidR="003723D7" w:rsidRPr="00332AB5" w:rsidRDefault="003723D7" w:rsidP="003723D7">
            <w:pPr>
              <w:rPr>
                <w:rFonts w:asciiTheme="minorHAnsi" w:hAnsiTheme="minorHAnsi" w:cstheme="minorHAnsi"/>
                <w:sz w:val="18"/>
                <w:szCs w:val="18"/>
              </w:rPr>
            </w:pPr>
            <w:r w:rsidRPr="00332AB5">
              <w:rPr>
                <w:rFonts w:asciiTheme="minorHAnsi" w:hAnsiTheme="minorHAnsi" w:cstheme="minorHAnsi"/>
                <w:sz w:val="18"/>
                <w:szCs w:val="18"/>
              </w:rPr>
              <w:t>PO 2</w:t>
            </w:r>
          </w:p>
        </w:tc>
        <w:tc>
          <w:tcPr>
            <w:tcW w:w="998" w:type="dxa"/>
            <w:vAlign w:val="center"/>
          </w:tcPr>
          <w:p w14:paraId="057E3D6C" w14:textId="59374DAB"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226,37</w:t>
            </w:r>
          </w:p>
        </w:tc>
        <w:tc>
          <w:tcPr>
            <w:tcW w:w="1050" w:type="dxa"/>
            <w:vAlign w:val="center"/>
          </w:tcPr>
          <w:p w14:paraId="57070A23" w14:textId="00DC1F40"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0,00</w:t>
            </w:r>
          </w:p>
        </w:tc>
        <w:tc>
          <w:tcPr>
            <w:tcW w:w="674" w:type="dxa"/>
            <w:vAlign w:val="center"/>
          </w:tcPr>
          <w:p w14:paraId="441CB981" w14:textId="146FF4E2"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0,00</w:t>
            </w:r>
          </w:p>
        </w:tc>
        <w:tc>
          <w:tcPr>
            <w:tcW w:w="1027" w:type="dxa"/>
            <w:vAlign w:val="center"/>
          </w:tcPr>
          <w:p w14:paraId="1D056D12" w14:textId="3142BB63"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7,98</w:t>
            </w:r>
          </w:p>
        </w:tc>
        <w:tc>
          <w:tcPr>
            <w:tcW w:w="697" w:type="dxa"/>
            <w:vAlign w:val="center"/>
          </w:tcPr>
          <w:p w14:paraId="743611E5" w14:textId="2899D407"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3,53</w:t>
            </w:r>
          </w:p>
        </w:tc>
        <w:tc>
          <w:tcPr>
            <w:tcW w:w="1004" w:type="dxa"/>
            <w:shd w:val="clear" w:color="auto" w:fill="auto"/>
            <w:vAlign w:val="center"/>
          </w:tcPr>
          <w:p w14:paraId="59596D89" w14:textId="009E2604"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0,00</w:t>
            </w:r>
          </w:p>
        </w:tc>
        <w:tc>
          <w:tcPr>
            <w:tcW w:w="720" w:type="dxa"/>
            <w:shd w:val="clear" w:color="auto" w:fill="auto"/>
            <w:vAlign w:val="center"/>
          </w:tcPr>
          <w:p w14:paraId="56CBF79C" w14:textId="3568C23F" w:rsidR="003723D7" w:rsidRPr="00332AB5" w:rsidRDefault="003723D7" w:rsidP="003723D7">
            <w:pPr>
              <w:jc w:val="right"/>
              <w:rPr>
                <w:rFonts w:asciiTheme="minorHAnsi" w:hAnsiTheme="minorHAnsi" w:cstheme="minorHAnsi"/>
                <w:color w:val="FF0000"/>
                <w:sz w:val="18"/>
                <w:szCs w:val="18"/>
              </w:rPr>
            </w:pPr>
            <w:r w:rsidRPr="00332AB5">
              <w:rPr>
                <w:rFonts w:asciiTheme="minorHAnsi" w:hAnsiTheme="minorHAnsi" w:cstheme="minorHAnsi"/>
                <w:sz w:val="18"/>
                <w:szCs w:val="18"/>
              </w:rPr>
              <w:t>0,00</w:t>
            </w:r>
          </w:p>
        </w:tc>
        <w:tc>
          <w:tcPr>
            <w:tcW w:w="1089" w:type="dxa"/>
            <w:vAlign w:val="center"/>
          </w:tcPr>
          <w:p w14:paraId="69E70984" w14:textId="77777777" w:rsidR="003723D7" w:rsidRPr="00332AB5" w:rsidRDefault="003723D7" w:rsidP="003723D7">
            <w:pPr>
              <w:jc w:val="right"/>
              <w:rPr>
                <w:rFonts w:asciiTheme="minorHAnsi" w:hAnsiTheme="minorHAnsi" w:cstheme="minorHAnsi"/>
                <w:sz w:val="18"/>
                <w:szCs w:val="18"/>
              </w:rPr>
            </w:pPr>
          </w:p>
        </w:tc>
        <w:tc>
          <w:tcPr>
            <w:tcW w:w="635" w:type="dxa"/>
            <w:vAlign w:val="center"/>
          </w:tcPr>
          <w:p w14:paraId="5F64F1BB" w14:textId="77777777" w:rsidR="003723D7" w:rsidRPr="00332AB5" w:rsidRDefault="003723D7" w:rsidP="003723D7">
            <w:pPr>
              <w:jc w:val="right"/>
              <w:rPr>
                <w:rFonts w:asciiTheme="minorHAnsi" w:hAnsiTheme="minorHAnsi" w:cstheme="minorHAnsi"/>
                <w:sz w:val="18"/>
                <w:szCs w:val="18"/>
              </w:rPr>
            </w:pPr>
          </w:p>
        </w:tc>
      </w:tr>
      <w:tr w:rsidR="003723D7" w:rsidRPr="00332AB5" w14:paraId="1D073FB0" w14:textId="77777777" w:rsidTr="003723D7">
        <w:trPr>
          <w:trHeight w:val="397"/>
        </w:trPr>
        <w:tc>
          <w:tcPr>
            <w:tcW w:w="1179" w:type="dxa"/>
            <w:vAlign w:val="center"/>
          </w:tcPr>
          <w:p w14:paraId="470F054C" w14:textId="77777777" w:rsidR="003723D7" w:rsidRPr="00332AB5" w:rsidRDefault="003723D7" w:rsidP="003723D7">
            <w:pPr>
              <w:rPr>
                <w:rFonts w:asciiTheme="minorHAnsi" w:hAnsiTheme="minorHAnsi" w:cstheme="minorHAnsi"/>
                <w:sz w:val="18"/>
                <w:szCs w:val="18"/>
              </w:rPr>
            </w:pPr>
            <w:r w:rsidRPr="00332AB5">
              <w:rPr>
                <w:rFonts w:asciiTheme="minorHAnsi" w:hAnsiTheme="minorHAnsi" w:cstheme="minorHAnsi"/>
                <w:sz w:val="18"/>
                <w:szCs w:val="18"/>
              </w:rPr>
              <w:t>PO 3</w:t>
            </w:r>
          </w:p>
        </w:tc>
        <w:tc>
          <w:tcPr>
            <w:tcW w:w="998" w:type="dxa"/>
            <w:vAlign w:val="center"/>
          </w:tcPr>
          <w:p w14:paraId="264B132C" w14:textId="7ECF21EB"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1.293,79</w:t>
            </w:r>
          </w:p>
        </w:tc>
        <w:tc>
          <w:tcPr>
            <w:tcW w:w="1050" w:type="dxa"/>
            <w:vAlign w:val="center"/>
          </w:tcPr>
          <w:p w14:paraId="292B3B4E" w14:textId="3D368F84"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-0,86</w:t>
            </w:r>
          </w:p>
        </w:tc>
        <w:tc>
          <w:tcPr>
            <w:tcW w:w="674" w:type="dxa"/>
            <w:vAlign w:val="center"/>
          </w:tcPr>
          <w:p w14:paraId="7A8EDB46" w14:textId="26122D1D"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-0,07</w:t>
            </w:r>
          </w:p>
        </w:tc>
        <w:tc>
          <w:tcPr>
            <w:tcW w:w="1027" w:type="dxa"/>
            <w:vAlign w:val="center"/>
          </w:tcPr>
          <w:p w14:paraId="557F189F" w14:textId="3DF79FF4"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21,74</w:t>
            </w:r>
          </w:p>
        </w:tc>
        <w:tc>
          <w:tcPr>
            <w:tcW w:w="697" w:type="dxa"/>
            <w:vAlign w:val="center"/>
          </w:tcPr>
          <w:p w14:paraId="07E05FE9" w14:textId="41B71B29"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1,68</w:t>
            </w:r>
          </w:p>
        </w:tc>
        <w:tc>
          <w:tcPr>
            <w:tcW w:w="1004" w:type="dxa"/>
            <w:shd w:val="clear" w:color="auto" w:fill="auto"/>
            <w:vAlign w:val="center"/>
          </w:tcPr>
          <w:p w14:paraId="45CC2072" w14:textId="1F9B1013"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0,00</w:t>
            </w:r>
          </w:p>
        </w:tc>
        <w:tc>
          <w:tcPr>
            <w:tcW w:w="720" w:type="dxa"/>
            <w:shd w:val="clear" w:color="auto" w:fill="auto"/>
            <w:vAlign w:val="center"/>
          </w:tcPr>
          <w:p w14:paraId="43059519" w14:textId="41A7540F" w:rsidR="003723D7" w:rsidRPr="00332AB5" w:rsidRDefault="003723D7" w:rsidP="003723D7">
            <w:pPr>
              <w:jc w:val="right"/>
              <w:rPr>
                <w:rFonts w:asciiTheme="minorHAnsi" w:hAnsiTheme="minorHAnsi" w:cstheme="minorHAnsi"/>
                <w:color w:val="FF0000"/>
                <w:sz w:val="18"/>
                <w:szCs w:val="18"/>
              </w:rPr>
            </w:pPr>
            <w:r w:rsidRPr="00332AB5">
              <w:rPr>
                <w:rFonts w:asciiTheme="minorHAnsi" w:hAnsiTheme="minorHAnsi" w:cstheme="minorHAnsi"/>
                <w:sz w:val="18"/>
                <w:szCs w:val="18"/>
              </w:rPr>
              <w:t>0,00</w:t>
            </w:r>
          </w:p>
        </w:tc>
        <w:tc>
          <w:tcPr>
            <w:tcW w:w="1089" w:type="dxa"/>
            <w:vAlign w:val="center"/>
          </w:tcPr>
          <w:p w14:paraId="4835B833" w14:textId="77777777" w:rsidR="003723D7" w:rsidRPr="00332AB5" w:rsidRDefault="003723D7" w:rsidP="003723D7">
            <w:pPr>
              <w:jc w:val="right"/>
              <w:rPr>
                <w:rFonts w:asciiTheme="minorHAnsi" w:hAnsiTheme="minorHAnsi" w:cstheme="minorHAnsi"/>
                <w:sz w:val="18"/>
                <w:szCs w:val="18"/>
              </w:rPr>
            </w:pPr>
          </w:p>
        </w:tc>
        <w:tc>
          <w:tcPr>
            <w:tcW w:w="635" w:type="dxa"/>
            <w:vAlign w:val="center"/>
          </w:tcPr>
          <w:p w14:paraId="4FE84761" w14:textId="77777777" w:rsidR="003723D7" w:rsidRPr="00332AB5" w:rsidRDefault="003723D7" w:rsidP="003723D7">
            <w:pPr>
              <w:jc w:val="right"/>
              <w:rPr>
                <w:rFonts w:asciiTheme="minorHAnsi" w:hAnsiTheme="minorHAnsi" w:cstheme="minorHAnsi"/>
                <w:sz w:val="18"/>
                <w:szCs w:val="18"/>
              </w:rPr>
            </w:pPr>
          </w:p>
        </w:tc>
      </w:tr>
      <w:tr w:rsidR="003723D7" w:rsidRPr="00332AB5" w14:paraId="16E5CDC9" w14:textId="77777777" w:rsidTr="003723D7">
        <w:trPr>
          <w:trHeight w:val="397"/>
        </w:trPr>
        <w:tc>
          <w:tcPr>
            <w:tcW w:w="1179" w:type="dxa"/>
            <w:vAlign w:val="center"/>
          </w:tcPr>
          <w:p w14:paraId="3A23088C" w14:textId="77777777" w:rsidR="003723D7" w:rsidRPr="00332AB5" w:rsidRDefault="003723D7" w:rsidP="003723D7">
            <w:pPr>
              <w:rPr>
                <w:rFonts w:asciiTheme="minorHAnsi" w:hAnsiTheme="minorHAnsi" w:cstheme="minorHAnsi"/>
                <w:sz w:val="18"/>
                <w:szCs w:val="18"/>
              </w:rPr>
            </w:pPr>
            <w:r w:rsidRPr="00332AB5">
              <w:rPr>
                <w:rFonts w:asciiTheme="minorHAnsi" w:hAnsiTheme="minorHAnsi" w:cstheme="minorHAnsi"/>
                <w:sz w:val="18"/>
                <w:szCs w:val="18"/>
              </w:rPr>
              <w:t>PO 4</w:t>
            </w:r>
          </w:p>
        </w:tc>
        <w:tc>
          <w:tcPr>
            <w:tcW w:w="998" w:type="dxa"/>
            <w:vAlign w:val="center"/>
          </w:tcPr>
          <w:p w14:paraId="6D0BB2E1" w14:textId="7B9435D6"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530,06</w:t>
            </w:r>
          </w:p>
        </w:tc>
        <w:tc>
          <w:tcPr>
            <w:tcW w:w="1050" w:type="dxa"/>
            <w:vAlign w:val="center"/>
          </w:tcPr>
          <w:p w14:paraId="74DA61A3" w14:textId="277B2C56"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-2,02</w:t>
            </w:r>
          </w:p>
        </w:tc>
        <w:tc>
          <w:tcPr>
            <w:tcW w:w="674" w:type="dxa"/>
            <w:vAlign w:val="center"/>
          </w:tcPr>
          <w:p w14:paraId="78E0ACD0" w14:textId="22596F0E"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-0,38</w:t>
            </w:r>
          </w:p>
        </w:tc>
        <w:tc>
          <w:tcPr>
            <w:tcW w:w="1027" w:type="dxa"/>
            <w:vAlign w:val="center"/>
          </w:tcPr>
          <w:p w14:paraId="5E52987A" w14:textId="1C1001C9"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33,45</w:t>
            </w:r>
          </w:p>
        </w:tc>
        <w:tc>
          <w:tcPr>
            <w:tcW w:w="697" w:type="dxa"/>
            <w:vAlign w:val="center"/>
          </w:tcPr>
          <w:p w14:paraId="21B07656" w14:textId="7D04F1A4"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6,31</w:t>
            </w:r>
          </w:p>
        </w:tc>
        <w:tc>
          <w:tcPr>
            <w:tcW w:w="1004" w:type="dxa"/>
            <w:shd w:val="clear" w:color="auto" w:fill="auto"/>
            <w:vAlign w:val="center"/>
          </w:tcPr>
          <w:p w14:paraId="09B877F2" w14:textId="520ED10B"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0,00</w:t>
            </w:r>
          </w:p>
        </w:tc>
        <w:tc>
          <w:tcPr>
            <w:tcW w:w="720" w:type="dxa"/>
            <w:shd w:val="clear" w:color="auto" w:fill="auto"/>
            <w:vAlign w:val="center"/>
          </w:tcPr>
          <w:p w14:paraId="04DE22F5" w14:textId="6DF6F9D4" w:rsidR="003723D7" w:rsidRPr="00332AB5" w:rsidRDefault="003723D7" w:rsidP="003723D7">
            <w:pPr>
              <w:jc w:val="right"/>
              <w:rPr>
                <w:rFonts w:asciiTheme="minorHAnsi" w:hAnsiTheme="minorHAnsi" w:cstheme="minorHAnsi"/>
                <w:color w:val="FF0000"/>
                <w:sz w:val="18"/>
                <w:szCs w:val="18"/>
              </w:rPr>
            </w:pPr>
            <w:r w:rsidRPr="00332AB5">
              <w:rPr>
                <w:rFonts w:asciiTheme="minorHAnsi" w:hAnsiTheme="minorHAnsi" w:cstheme="minorHAnsi"/>
                <w:sz w:val="18"/>
                <w:szCs w:val="18"/>
              </w:rPr>
              <w:t>0,00</w:t>
            </w:r>
          </w:p>
        </w:tc>
        <w:tc>
          <w:tcPr>
            <w:tcW w:w="1089" w:type="dxa"/>
            <w:vAlign w:val="center"/>
          </w:tcPr>
          <w:p w14:paraId="58EFD2A4" w14:textId="77777777" w:rsidR="003723D7" w:rsidRPr="00332AB5" w:rsidRDefault="003723D7" w:rsidP="003723D7">
            <w:pPr>
              <w:jc w:val="right"/>
              <w:rPr>
                <w:rFonts w:asciiTheme="minorHAnsi" w:hAnsiTheme="minorHAnsi" w:cstheme="minorHAnsi"/>
                <w:sz w:val="18"/>
                <w:szCs w:val="18"/>
              </w:rPr>
            </w:pPr>
          </w:p>
        </w:tc>
        <w:tc>
          <w:tcPr>
            <w:tcW w:w="635" w:type="dxa"/>
            <w:vAlign w:val="center"/>
          </w:tcPr>
          <w:p w14:paraId="0370BBEB" w14:textId="77777777" w:rsidR="003723D7" w:rsidRPr="00332AB5" w:rsidRDefault="003723D7" w:rsidP="003723D7">
            <w:pPr>
              <w:jc w:val="right"/>
              <w:rPr>
                <w:rFonts w:asciiTheme="minorHAnsi" w:hAnsiTheme="minorHAnsi" w:cstheme="minorHAnsi"/>
                <w:sz w:val="18"/>
                <w:szCs w:val="18"/>
              </w:rPr>
            </w:pPr>
          </w:p>
        </w:tc>
      </w:tr>
      <w:tr w:rsidR="003723D7" w:rsidRPr="00332AB5" w14:paraId="257C5FD6" w14:textId="77777777" w:rsidTr="003723D7">
        <w:trPr>
          <w:trHeight w:val="397"/>
        </w:trPr>
        <w:tc>
          <w:tcPr>
            <w:tcW w:w="1179" w:type="dxa"/>
            <w:vAlign w:val="center"/>
          </w:tcPr>
          <w:p w14:paraId="09146054" w14:textId="77777777" w:rsidR="003723D7" w:rsidRPr="00332AB5" w:rsidRDefault="003723D7" w:rsidP="003723D7">
            <w:pPr>
              <w:rPr>
                <w:rFonts w:asciiTheme="minorHAnsi" w:hAnsiTheme="minorHAnsi" w:cstheme="minorHAnsi"/>
                <w:sz w:val="18"/>
                <w:szCs w:val="18"/>
              </w:rPr>
            </w:pPr>
            <w:r w:rsidRPr="00332AB5">
              <w:rPr>
                <w:rFonts w:asciiTheme="minorHAnsi" w:hAnsiTheme="minorHAnsi" w:cstheme="minorHAnsi"/>
                <w:sz w:val="18"/>
                <w:szCs w:val="18"/>
              </w:rPr>
              <w:t>PO 5</w:t>
            </w:r>
          </w:p>
        </w:tc>
        <w:tc>
          <w:tcPr>
            <w:tcW w:w="998" w:type="dxa"/>
            <w:vAlign w:val="center"/>
          </w:tcPr>
          <w:p w14:paraId="6DC034DA" w14:textId="66F1949B"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209,13</w:t>
            </w:r>
          </w:p>
        </w:tc>
        <w:tc>
          <w:tcPr>
            <w:tcW w:w="1050" w:type="dxa"/>
            <w:vAlign w:val="center"/>
          </w:tcPr>
          <w:p w14:paraId="01B89432" w14:textId="6E923EE5"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0,00</w:t>
            </w:r>
          </w:p>
        </w:tc>
        <w:tc>
          <w:tcPr>
            <w:tcW w:w="674" w:type="dxa"/>
            <w:vAlign w:val="center"/>
          </w:tcPr>
          <w:p w14:paraId="211A0587" w14:textId="5C06246E"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0,00</w:t>
            </w:r>
          </w:p>
        </w:tc>
        <w:tc>
          <w:tcPr>
            <w:tcW w:w="1027" w:type="dxa"/>
            <w:vAlign w:val="center"/>
          </w:tcPr>
          <w:p w14:paraId="7E52CAD5" w14:textId="6B116E28"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19,08</w:t>
            </w:r>
          </w:p>
        </w:tc>
        <w:tc>
          <w:tcPr>
            <w:tcW w:w="697" w:type="dxa"/>
            <w:vAlign w:val="center"/>
          </w:tcPr>
          <w:p w14:paraId="493C4676" w14:textId="509B9DE3"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9,12</w:t>
            </w:r>
          </w:p>
        </w:tc>
        <w:tc>
          <w:tcPr>
            <w:tcW w:w="1004" w:type="dxa"/>
            <w:shd w:val="clear" w:color="auto" w:fill="auto"/>
            <w:vAlign w:val="center"/>
          </w:tcPr>
          <w:p w14:paraId="28680B17" w14:textId="5B94C1CE"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0,00</w:t>
            </w:r>
          </w:p>
        </w:tc>
        <w:tc>
          <w:tcPr>
            <w:tcW w:w="720" w:type="dxa"/>
            <w:shd w:val="clear" w:color="auto" w:fill="auto"/>
            <w:vAlign w:val="center"/>
          </w:tcPr>
          <w:p w14:paraId="3A7E2C40" w14:textId="128C1125" w:rsidR="003723D7" w:rsidRPr="00332AB5" w:rsidRDefault="003723D7" w:rsidP="003723D7">
            <w:pPr>
              <w:jc w:val="right"/>
              <w:rPr>
                <w:rFonts w:asciiTheme="minorHAnsi" w:hAnsiTheme="minorHAnsi" w:cstheme="minorHAnsi"/>
                <w:color w:val="FF0000"/>
                <w:sz w:val="18"/>
                <w:szCs w:val="18"/>
              </w:rPr>
            </w:pPr>
            <w:r w:rsidRPr="00332AB5">
              <w:rPr>
                <w:rFonts w:asciiTheme="minorHAnsi" w:hAnsiTheme="minorHAnsi" w:cstheme="minorHAnsi"/>
                <w:sz w:val="18"/>
                <w:szCs w:val="18"/>
              </w:rPr>
              <w:t>0,00</w:t>
            </w:r>
          </w:p>
        </w:tc>
        <w:tc>
          <w:tcPr>
            <w:tcW w:w="1089" w:type="dxa"/>
            <w:vAlign w:val="center"/>
          </w:tcPr>
          <w:p w14:paraId="15746440" w14:textId="77777777" w:rsidR="003723D7" w:rsidRPr="00332AB5" w:rsidRDefault="003723D7" w:rsidP="003723D7">
            <w:pPr>
              <w:jc w:val="right"/>
              <w:rPr>
                <w:rFonts w:asciiTheme="minorHAnsi" w:hAnsiTheme="minorHAnsi" w:cstheme="minorHAnsi"/>
                <w:sz w:val="18"/>
                <w:szCs w:val="18"/>
              </w:rPr>
            </w:pPr>
          </w:p>
        </w:tc>
        <w:tc>
          <w:tcPr>
            <w:tcW w:w="635" w:type="dxa"/>
            <w:vAlign w:val="center"/>
          </w:tcPr>
          <w:p w14:paraId="2D36AC4A" w14:textId="77777777" w:rsidR="003723D7" w:rsidRPr="00332AB5" w:rsidRDefault="003723D7" w:rsidP="003723D7">
            <w:pPr>
              <w:jc w:val="right"/>
              <w:rPr>
                <w:rFonts w:asciiTheme="minorHAnsi" w:hAnsiTheme="minorHAnsi" w:cstheme="minorHAnsi"/>
                <w:sz w:val="18"/>
                <w:szCs w:val="18"/>
              </w:rPr>
            </w:pPr>
          </w:p>
        </w:tc>
      </w:tr>
      <w:tr w:rsidR="003723D7" w:rsidRPr="00332AB5" w14:paraId="49811285" w14:textId="77777777" w:rsidTr="003723D7">
        <w:trPr>
          <w:trHeight w:val="397"/>
        </w:trPr>
        <w:tc>
          <w:tcPr>
            <w:tcW w:w="1179" w:type="dxa"/>
            <w:vAlign w:val="center"/>
          </w:tcPr>
          <w:p w14:paraId="2F755D20" w14:textId="77777777" w:rsidR="003723D7" w:rsidRPr="00332AB5" w:rsidRDefault="003723D7" w:rsidP="003723D7">
            <w:pPr>
              <w:rPr>
                <w:rFonts w:asciiTheme="minorHAnsi" w:hAnsiTheme="minorHAnsi" w:cstheme="minorHAnsi"/>
                <w:sz w:val="18"/>
                <w:szCs w:val="18"/>
              </w:rPr>
            </w:pPr>
            <w:r w:rsidRPr="00332AB5">
              <w:rPr>
                <w:rFonts w:asciiTheme="minorHAnsi" w:hAnsiTheme="minorHAnsi" w:cstheme="minorHAnsi"/>
                <w:sz w:val="18"/>
                <w:szCs w:val="18"/>
              </w:rPr>
              <w:t>PO 6</w:t>
            </w:r>
          </w:p>
        </w:tc>
        <w:tc>
          <w:tcPr>
            <w:tcW w:w="998" w:type="dxa"/>
            <w:vAlign w:val="center"/>
          </w:tcPr>
          <w:p w14:paraId="448259EF" w14:textId="3521CBA9"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1.566,58</w:t>
            </w:r>
          </w:p>
        </w:tc>
        <w:tc>
          <w:tcPr>
            <w:tcW w:w="1050" w:type="dxa"/>
            <w:vAlign w:val="center"/>
          </w:tcPr>
          <w:p w14:paraId="57C10056" w14:textId="418B1129"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13,23</w:t>
            </w:r>
          </w:p>
        </w:tc>
        <w:tc>
          <w:tcPr>
            <w:tcW w:w="674" w:type="dxa"/>
            <w:vAlign w:val="center"/>
          </w:tcPr>
          <w:p w14:paraId="2236CD45" w14:textId="122D03E4"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0,4</w:t>
            </w:r>
            <w:r w:rsidR="006A05B8" w:rsidRPr="00332AB5">
              <w:rPr>
                <w:rFonts w:asciiTheme="minorHAnsi" w:hAnsiTheme="minorHAnsi" w:cstheme="minorHAnsi"/>
                <w:sz w:val="18"/>
                <w:szCs w:val="18"/>
              </w:rPr>
              <w:t>0</w:t>
            </w:r>
          </w:p>
        </w:tc>
        <w:tc>
          <w:tcPr>
            <w:tcW w:w="1027" w:type="dxa"/>
            <w:vAlign w:val="center"/>
          </w:tcPr>
          <w:p w14:paraId="2B6D845E" w14:textId="34F5D913"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192,99</w:t>
            </w:r>
          </w:p>
        </w:tc>
        <w:tc>
          <w:tcPr>
            <w:tcW w:w="697" w:type="dxa"/>
            <w:vAlign w:val="center"/>
          </w:tcPr>
          <w:p w14:paraId="237BDBBF" w14:textId="20E37210"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12,32</w:t>
            </w:r>
          </w:p>
        </w:tc>
        <w:tc>
          <w:tcPr>
            <w:tcW w:w="1004" w:type="dxa"/>
            <w:shd w:val="clear" w:color="auto" w:fill="auto"/>
            <w:vAlign w:val="center"/>
          </w:tcPr>
          <w:p w14:paraId="61AA00CE" w14:textId="281782E7"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0,00</w:t>
            </w:r>
          </w:p>
        </w:tc>
        <w:tc>
          <w:tcPr>
            <w:tcW w:w="720" w:type="dxa"/>
            <w:shd w:val="clear" w:color="auto" w:fill="auto"/>
            <w:vAlign w:val="center"/>
          </w:tcPr>
          <w:p w14:paraId="51EDD78B" w14:textId="51819A64" w:rsidR="003723D7" w:rsidRPr="00332AB5" w:rsidRDefault="003723D7" w:rsidP="003723D7">
            <w:pPr>
              <w:jc w:val="right"/>
              <w:rPr>
                <w:rFonts w:asciiTheme="minorHAnsi" w:hAnsiTheme="minorHAnsi" w:cstheme="minorHAnsi"/>
                <w:color w:val="FF0000"/>
                <w:sz w:val="18"/>
                <w:szCs w:val="18"/>
              </w:rPr>
            </w:pPr>
            <w:r w:rsidRPr="00332AB5">
              <w:rPr>
                <w:rFonts w:asciiTheme="minorHAnsi" w:hAnsiTheme="minorHAnsi" w:cstheme="minorHAnsi"/>
                <w:sz w:val="18"/>
                <w:szCs w:val="18"/>
              </w:rPr>
              <w:t>0,00</w:t>
            </w:r>
          </w:p>
        </w:tc>
        <w:tc>
          <w:tcPr>
            <w:tcW w:w="1089" w:type="dxa"/>
            <w:vAlign w:val="center"/>
          </w:tcPr>
          <w:p w14:paraId="2C72E13D" w14:textId="77777777" w:rsidR="003723D7" w:rsidRPr="00332AB5" w:rsidRDefault="003723D7" w:rsidP="003723D7">
            <w:pPr>
              <w:jc w:val="right"/>
              <w:rPr>
                <w:rFonts w:asciiTheme="minorHAnsi" w:hAnsiTheme="minorHAnsi" w:cstheme="minorHAnsi"/>
                <w:sz w:val="18"/>
                <w:szCs w:val="18"/>
              </w:rPr>
            </w:pPr>
          </w:p>
        </w:tc>
        <w:tc>
          <w:tcPr>
            <w:tcW w:w="635" w:type="dxa"/>
            <w:vAlign w:val="center"/>
          </w:tcPr>
          <w:p w14:paraId="4E37B0A9" w14:textId="77777777" w:rsidR="003723D7" w:rsidRPr="00332AB5" w:rsidRDefault="003723D7" w:rsidP="003723D7">
            <w:pPr>
              <w:jc w:val="right"/>
              <w:rPr>
                <w:rFonts w:asciiTheme="minorHAnsi" w:hAnsiTheme="minorHAnsi" w:cstheme="minorHAnsi"/>
                <w:sz w:val="18"/>
                <w:szCs w:val="18"/>
              </w:rPr>
            </w:pPr>
          </w:p>
        </w:tc>
      </w:tr>
      <w:tr w:rsidR="003723D7" w:rsidRPr="00332AB5" w14:paraId="2F2C401F" w14:textId="77777777" w:rsidTr="003723D7">
        <w:trPr>
          <w:trHeight w:val="397"/>
        </w:trPr>
        <w:tc>
          <w:tcPr>
            <w:tcW w:w="1179" w:type="dxa"/>
            <w:vAlign w:val="center"/>
          </w:tcPr>
          <w:p w14:paraId="77B04AF6" w14:textId="77777777" w:rsidR="003723D7" w:rsidRPr="00332AB5" w:rsidRDefault="003723D7" w:rsidP="003723D7">
            <w:pPr>
              <w:rPr>
                <w:rFonts w:asciiTheme="minorHAnsi" w:hAnsiTheme="minorHAnsi" w:cstheme="minorHAnsi"/>
                <w:sz w:val="18"/>
                <w:szCs w:val="18"/>
              </w:rPr>
            </w:pPr>
            <w:r w:rsidRPr="00332AB5">
              <w:rPr>
                <w:rFonts w:asciiTheme="minorHAnsi" w:hAnsiTheme="minorHAnsi" w:cstheme="minorHAnsi"/>
                <w:sz w:val="18"/>
                <w:szCs w:val="18"/>
              </w:rPr>
              <w:t>PO 7</w:t>
            </w:r>
          </w:p>
        </w:tc>
        <w:tc>
          <w:tcPr>
            <w:tcW w:w="998" w:type="dxa"/>
            <w:vAlign w:val="center"/>
          </w:tcPr>
          <w:p w14:paraId="4138A69E" w14:textId="58424B03"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1.280,38</w:t>
            </w:r>
          </w:p>
        </w:tc>
        <w:tc>
          <w:tcPr>
            <w:tcW w:w="1050" w:type="dxa"/>
            <w:vAlign w:val="center"/>
          </w:tcPr>
          <w:p w14:paraId="355CE0ED" w14:textId="1D709BD7"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3,52</w:t>
            </w:r>
          </w:p>
        </w:tc>
        <w:tc>
          <w:tcPr>
            <w:tcW w:w="674" w:type="dxa"/>
            <w:vAlign w:val="center"/>
          </w:tcPr>
          <w:p w14:paraId="472DC2A8" w14:textId="784187D4"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0,27</w:t>
            </w:r>
          </w:p>
        </w:tc>
        <w:tc>
          <w:tcPr>
            <w:tcW w:w="1027" w:type="dxa"/>
            <w:vAlign w:val="center"/>
          </w:tcPr>
          <w:p w14:paraId="419189B6" w14:textId="06748423"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87,57</w:t>
            </w:r>
          </w:p>
        </w:tc>
        <w:tc>
          <w:tcPr>
            <w:tcW w:w="697" w:type="dxa"/>
            <w:vAlign w:val="center"/>
          </w:tcPr>
          <w:p w14:paraId="075CED6D" w14:textId="0504B6BF"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6,84</w:t>
            </w:r>
          </w:p>
        </w:tc>
        <w:tc>
          <w:tcPr>
            <w:tcW w:w="1004" w:type="dxa"/>
            <w:shd w:val="clear" w:color="auto" w:fill="auto"/>
            <w:vAlign w:val="center"/>
          </w:tcPr>
          <w:p w14:paraId="130D2E11" w14:textId="700FB25A"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0,00</w:t>
            </w:r>
          </w:p>
        </w:tc>
        <w:tc>
          <w:tcPr>
            <w:tcW w:w="720" w:type="dxa"/>
            <w:shd w:val="clear" w:color="auto" w:fill="auto"/>
            <w:vAlign w:val="center"/>
          </w:tcPr>
          <w:p w14:paraId="7BACEFE1" w14:textId="29CC86C5" w:rsidR="003723D7" w:rsidRPr="00332AB5" w:rsidRDefault="003723D7" w:rsidP="003723D7">
            <w:pPr>
              <w:jc w:val="right"/>
              <w:rPr>
                <w:rFonts w:asciiTheme="minorHAnsi" w:hAnsiTheme="minorHAnsi" w:cstheme="minorHAnsi"/>
                <w:color w:val="FF0000"/>
                <w:sz w:val="18"/>
                <w:szCs w:val="18"/>
              </w:rPr>
            </w:pPr>
            <w:r w:rsidRPr="00332AB5">
              <w:rPr>
                <w:rFonts w:asciiTheme="minorHAnsi" w:hAnsiTheme="minorHAnsi" w:cstheme="minorHAnsi"/>
                <w:sz w:val="18"/>
                <w:szCs w:val="18"/>
              </w:rPr>
              <w:t>0,00</w:t>
            </w:r>
          </w:p>
        </w:tc>
        <w:tc>
          <w:tcPr>
            <w:tcW w:w="1089" w:type="dxa"/>
            <w:vAlign w:val="center"/>
          </w:tcPr>
          <w:p w14:paraId="347B834D" w14:textId="77777777" w:rsidR="003723D7" w:rsidRPr="00332AB5" w:rsidRDefault="003723D7" w:rsidP="003723D7">
            <w:pPr>
              <w:jc w:val="right"/>
              <w:rPr>
                <w:rFonts w:asciiTheme="minorHAnsi" w:hAnsiTheme="minorHAnsi" w:cstheme="minorHAnsi"/>
                <w:sz w:val="18"/>
                <w:szCs w:val="18"/>
              </w:rPr>
            </w:pPr>
          </w:p>
        </w:tc>
        <w:tc>
          <w:tcPr>
            <w:tcW w:w="635" w:type="dxa"/>
            <w:vAlign w:val="center"/>
          </w:tcPr>
          <w:p w14:paraId="0168DE7E" w14:textId="77777777" w:rsidR="003723D7" w:rsidRPr="00332AB5" w:rsidRDefault="003723D7" w:rsidP="003723D7">
            <w:pPr>
              <w:jc w:val="right"/>
              <w:rPr>
                <w:rFonts w:asciiTheme="minorHAnsi" w:hAnsiTheme="minorHAnsi" w:cstheme="minorHAnsi"/>
                <w:sz w:val="18"/>
                <w:szCs w:val="18"/>
              </w:rPr>
            </w:pPr>
          </w:p>
        </w:tc>
      </w:tr>
      <w:tr w:rsidR="003723D7" w:rsidRPr="00332AB5" w14:paraId="5C127065" w14:textId="77777777" w:rsidTr="003723D7">
        <w:trPr>
          <w:trHeight w:val="397"/>
        </w:trPr>
        <w:tc>
          <w:tcPr>
            <w:tcW w:w="1179" w:type="dxa"/>
            <w:vAlign w:val="center"/>
          </w:tcPr>
          <w:p w14:paraId="4FA4AF84" w14:textId="77777777" w:rsidR="003723D7" w:rsidRPr="00332AB5" w:rsidRDefault="003723D7" w:rsidP="003723D7">
            <w:pPr>
              <w:rPr>
                <w:rFonts w:asciiTheme="minorHAnsi" w:hAnsiTheme="minorHAnsi" w:cstheme="minorHAnsi"/>
                <w:sz w:val="18"/>
                <w:szCs w:val="18"/>
              </w:rPr>
            </w:pPr>
            <w:r w:rsidRPr="00332AB5">
              <w:rPr>
                <w:rFonts w:asciiTheme="minorHAnsi" w:hAnsiTheme="minorHAnsi" w:cstheme="minorHAnsi"/>
                <w:sz w:val="18"/>
                <w:szCs w:val="18"/>
              </w:rPr>
              <w:lastRenderedPageBreak/>
              <w:t>PO 8</w:t>
            </w:r>
          </w:p>
        </w:tc>
        <w:tc>
          <w:tcPr>
            <w:tcW w:w="998" w:type="dxa"/>
            <w:vAlign w:val="center"/>
          </w:tcPr>
          <w:p w14:paraId="7BEE4084" w14:textId="415DC99D"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396,77</w:t>
            </w:r>
          </w:p>
        </w:tc>
        <w:tc>
          <w:tcPr>
            <w:tcW w:w="1050" w:type="dxa"/>
            <w:vAlign w:val="center"/>
          </w:tcPr>
          <w:p w14:paraId="7E2DFD23" w14:textId="61CA5548"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3,54</w:t>
            </w:r>
          </w:p>
        </w:tc>
        <w:tc>
          <w:tcPr>
            <w:tcW w:w="674" w:type="dxa"/>
            <w:vAlign w:val="center"/>
          </w:tcPr>
          <w:p w14:paraId="45552B37" w14:textId="1DD9A04D"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0,89</w:t>
            </w:r>
          </w:p>
        </w:tc>
        <w:tc>
          <w:tcPr>
            <w:tcW w:w="1027" w:type="dxa"/>
            <w:vAlign w:val="center"/>
          </w:tcPr>
          <w:p w14:paraId="6F67AE6D" w14:textId="413D9A6D"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33,40</w:t>
            </w:r>
          </w:p>
        </w:tc>
        <w:tc>
          <w:tcPr>
            <w:tcW w:w="697" w:type="dxa"/>
            <w:vAlign w:val="center"/>
          </w:tcPr>
          <w:p w14:paraId="779B7671" w14:textId="40E7714E"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8,42</w:t>
            </w:r>
          </w:p>
        </w:tc>
        <w:tc>
          <w:tcPr>
            <w:tcW w:w="1004" w:type="dxa"/>
            <w:shd w:val="clear" w:color="auto" w:fill="auto"/>
            <w:vAlign w:val="center"/>
          </w:tcPr>
          <w:p w14:paraId="221BCE28" w14:textId="67A3ACBD"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0,00</w:t>
            </w:r>
          </w:p>
        </w:tc>
        <w:tc>
          <w:tcPr>
            <w:tcW w:w="720" w:type="dxa"/>
            <w:shd w:val="clear" w:color="auto" w:fill="auto"/>
            <w:vAlign w:val="center"/>
          </w:tcPr>
          <w:p w14:paraId="1FC086CF" w14:textId="09B19369" w:rsidR="003723D7" w:rsidRPr="00332AB5" w:rsidRDefault="003723D7" w:rsidP="003723D7">
            <w:pPr>
              <w:jc w:val="right"/>
              <w:rPr>
                <w:rFonts w:asciiTheme="minorHAnsi" w:hAnsiTheme="minorHAnsi" w:cstheme="minorHAnsi"/>
                <w:color w:val="FF0000"/>
                <w:sz w:val="18"/>
                <w:szCs w:val="18"/>
              </w:rPr>
            </w:pPr>
            <w:r w:rsidRPr="00332AB5">
              <w:rPr>
                <w:rFonts w:asciiTheme="minorHAnsi" w:hAnsiTheme="minorHAnsi" w:cstheme="minorHAnsi"/>
                <w:sz w:val="18"/>
                <w:szCs w:val="18"/>
              </w:rPr>
              <w:t>0,00</w:t>
            </w:r>
          </w:p>
        </w:tc>
        <w:tc>
          <w:tcPr>
            <w:tcW w:w="1089" w:type="dxa"/>
            <w:vAlign w:val="center"/>
          </w:tcPr>
          <w:p w14:paraId="38008878" w14:textId="77777777" w:rsidR="003723D7" w:rsidRPr="00332AB5" w:rsidRDefault="003723D7" w:rsidP="003723D7">
            <w:pPr>
              <w:jc w:val="right"/>
              <w:rPr>
                <w:rFonts w:asciiTheme="minorHAnsi" w:hAnsiTheme="minorHAnsi" w:cstheme="minorHAnsi"/>
                <w:sz w:val="18"/>
                <w:szCs w:val="18"/>
              </w:rPr>
            </w:pPr>
          </w:p>
        </w:tc>
        <w:tc>
          <w:tcPr>
            <w:tcW w:w="635" w:type="dxa"/>
            <w:vAlign w:val="center"/>
          </w:tcPr>
          <w:p w14:paraId="07803233" w14:textId="77777777" w:rsidR="003723D7" w:rsidRPr="00332AB5" w:rsidRDefault="003723D7" w:rsidP="003723D7">
            <w:pPr>
              <w:jc w:val="right"/>
              <w:rPr>
                <w:rFonts w:asciiTheme="minorHAnsi" w:hAnsiTheme="minorHAnsi" w:cstheme="minorHAnsi"/>
                <w:sz w:val="18"/>
                <w:szCs w:val="18"/>
              </w:rPr>
            </w:pPr>
          </w:p>
        </w:tc>
      </w:tr>
      <w:tr w:rsidR="003723D7" w:rsidRPr="00332AB5" w14:paraId="071BF279" w14:textId="77777777" w:rsidTr="003723D7">
        <w:trPr>
          <w:trHeight w:val="397"/>
        </w:trPr>
        <w:tc>
          <w:tcPr>
            <w:tcW w:w="1179" w:type="dxa"/>
            <w:vAlign w:val="center"/>
          </w:tcPr>
          <w:p w14:paraId="4A6EB06D" w14:textId="77777777" w:rsidR="003723D7" w:rsidRPr="00332AB5" w:rsidRDefault="003723D7" w:rsidP="003723D7">
            <w:pPr>
              <w:rPr>
                <w:rFonts w:asciiTheme="minorHAnsi" w:hAnsiTheme="minorHAnsi" w:cstheme="minorHAnsi"/>
                <w:sz w:val="18"/>
                <w:szCs w:val="18"/>
              </w:rPr>
            </w:pPr>
            <w:r w:rsidRPr="00332AB5">
              <w:rPr>
                <w:rFonts w:asciiTheme="minorHAnsi" w:hAnsiTheme="minorHAnsi" w:cstheme="minorHAnsi"/>
                <w:sz w:val="18"/>
                <w:szCs w:val="18"/>
              </w:rPr>
              <w:t>PO 9</w:t>
            </w:r>
          </w:p>
        </w:tc>
        <w:tc>
          <w:tcPr>
            <w:tcW w:w="998" w:type="dxa"/>
            <w:vAlign w:val="center"/>
          </w:tcPr>
          <w:p w14:paraId="1373285B" w14:textId="23149A64"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304,91</w:t>
            </w:r>
          </w:p>
        </w:tc>
        <w:tc>
          <w:tcPr>
            <w:tcW w:w="1050" w:type="dxa"/>
            <w:vAlign w:val="center"/>
          </w:tcPr>
          <w:p w14:paraId="43DFEDF8" w14:textId="3C996DE1"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0,00</w:t>
            </w:r>
          </w:p>
        </w:tc>
        <w:tc>
          <w:tcPr>
            <w:tcW w:w="674" w:type="dxa"/>
            <w:vAlign w:val="center"/>
          </w:tcPr>
          <w:p w14:paraId="00B924CE" w14:textId="09F2942E"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0,00</w:t>
            </w:r>
          </w:p>
        </w:tc>
        <w:tc>
          <w:tcPr>
            <w:tcW w:w="1027" w:type="dxa"/>
            <w:vAlign w:val="center"/>
          </w:tcPr>
          <w:p w14:paraId="59C5A0EA" w14:textId="67C89EAF"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11,73</w:t>
            </w:r>
          </w:p>
        </w:tc>
        <w:tc>
          <w:tcPr>
            <w:tcW w:w="697" w:type="dxa"/>
            <w:vAlign w:val="center"/>
          </w:tcPr>
          <w:p w14:paraId="0DBB260D" w14:textId="17928169"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3,85</w:t>
            </w:r>
          </w:p>
        </w:tc>
        <w:tc>
          <w:tcPr>
            <w:tcW w:w="1004" w:type="dxa"/>
            <w:shd w:val="clear" w:color="auto" w:fill="auto"/>
            <w:vAlign w:val="center"/>
          </w:tcPr>
          <w:p w14:paraId="5FAF7505" w14:textId="6D6DA029"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0,00</w:t>
            </w:r>
          </w:p>
        </w:tc>
        <w:tc>
          <w:tcPr>
            <w:tcW w:w="720" w:type="dxa"/>
            <w:shd w:val="clear" w:color="auto" w:fill="auto"/>
            <w:vAlign w:val="center"/>
          </w:tcPr>
          <w:p w14:paraId="692938C6" w14:textId="11B24EBF" w:rsidR="003723D7" w:rsidRPr="00332AB5" w:rsidRDefault="003723D7" w:rsidP="003723D7">
            <w:pPr>
              <w:jc w:val="right"/>
              <w:rPr>
                <w:rFonts w:asciiTheme="minorHAnsi" w:hAnsiTheme="minorHAnsi" w:cstheme="minorHAnsi"/>
                <w:color w:val="FF0000"/>
                <w:sz w:val="18"/>
                <w:szCs w:val="18"/>
              </w:rPr>
            </w:pPr>
            <w:r w:rsidRPr="00332AB5">
              <w:rPr>
                <w:rFonts w:asciiTheme="minorHAnsi" w:hAnsiTheme="minorHAnsi" w:cstheme="minorHAnsi"/>
                <w:sz w:val="18"/>
                <w:szCs w:val="18"/>
              </w:rPr>
              <w:t>0,00</w:t>
            </w:r>
          </w:p>
        </w:tc>
        <w:tc>
          <w:tcPr>
            <w:tcW w:w="1089" w:type="dxa"/>
            <w:vAlign w:val="center"/>
          </w:tcPr>
          <w:p w14:paraId="6D73FCB6" w14:textId="77777777" w:rsidR="003723D7" w:rsidRPr="00332AB5" w:rsidRDefault="003723D7" w:rsidP="003723D7">
            <w:pPr>
              <w:jc w:val="right"/>
              <w:rPr>
                <w:rFonts w:asciiTheme="minorHAnsi" w:hAnsiTheme="minorHAnsi" w:cstheme="minorHAnsi"/>
                <w:sz w:val="18"/>
                <w:szCs w:val="18"/>
              </w:rPr>
            </w:pPr>
          </w:p>
        </w:tc>
        <w:tc>
          <w:tcPr>
            <w:tcW w:w="635" w:type="dxa"/>
            <w:vAlign w:val="center"/>
          </w:tcPr>
          <w:p w14:paraId="15B2CAD4" w14:textId="77777777" w:rsidR="003723D7" w:rsidRPr="00332AB5" w:rsidRDefault="003723D7" w:rsidP="003723D7">
            <w:pPr>
              <w:jc w:val="right"/>
              <w:rPr>
                <w:rFonts w:asciiTheme="minorHAnsi" w:hAnsiTheme="minorHAnsi" w:cstheme="minorHAnsi"/>
                <w:sz w:val="18"/>
                <w:szCs w:val="18"/>
              </w:rPr>
            </w:pPr>
          </w:p>
        </w:tc>
      </w:tr>
      <w:tr w:rsidR="003723D7" w:rsidRPr="00332AB5" w14:paraId="0EA28717" w14:textId="77777777" w:rsidTr="003723D7">
        <w:trPr>
          <w:trHeight w:val="397"/>
        </w:trPr>
        <w:tc>
          <w:tcPr>
            <w:tcW w:w="1179" w:type="dxa"/>
            <w:vAlign w:val="center"/>
          </w:tcPr>
          <w:p w14:paraId="5631BC0F" w14:textId="77777777" w:rsidR="003723D7" w:rsidRPr="00332AB5" w:rsidRDefault="003723D7" w:rsidP="003723D7">
            <w:pPr>
              <w:rPr>
                <w:rFonts w:asciiTheme="minorHAnsi" w:hAnsiTheme="minorHAnsi" w:cstheme="minorHAnsi"/>
                <w:sz w:val="18"/>
                <w:szCs w:val="18"/>
              </w:rPr>
            </w:pPr>
            <w:r w:rsidRPr="00332AB5">
              <w:rPr>
                <w:rFonts w:asciiTheme="minorHAnsi" w:hAnsiTheme="minorHAnsi" w:cstheme="minorHAnsi"/>
                <w:sz w:val="18"/>
                <w:szCs w:val="18"/>
              </w:rPr>
              <w:t>PO 10</w:t>
            </w:r>
          </w:p>
        </w:tc>
        <w:tc>
          <w:tcPr>
            <w:tcW w:w="998" w:type="dxa"/>
            <w:vAlign w:val="center"/>
          </w:tcPr>
          <w:p w14:paraId="4D087CD1" w14:textId="0225E84D"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236,11</w:t>
            </w:r>
          </w:p>
        </w:tc>
        <w:tc>
          <w:tcPr>
            <w:tcW w:w="1050" w:type="dxa"/>
            <w:vAlign w:val="center"/>
          </w:tcPr>
          <w:p w14:paraId="59A930F2" w14:textId="4D61DCD8"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-0,12</w:t>
            </w:r>
          </w:p>
        </w:tc>
        <w:tc>
          <w:tcPr>
            <w:tcW w:w="674" w:type="dxa"/>
            <w:vAlign w:val="center"/>
          </w:tcPr>
          <w:p w14:paraId="4AC797A5" w14:textId="3A2B7031"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-0,05</w:t>
            </w:r>
          </w:p>
        </w:tc>
        <w:tc>
          <w:tcPr>
            <w:tcW w:w="1027" w:type="dxa"/>
            <w:vAlign w:val="center"/>
          </w:tcPr>
          <w:p w14:paraId="661165B6" w14:textId="430DBED7"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11,49</w:t>
            </w:r>
          </w:p>
        </w:tc>
        <w:tc>
          <w:tcPr>
            <w:tcW w:w="697" w:type="dxa"/>
            <w:vAlign w:val="center"/>
          </w:tcPr>
          <w:p w14:paraId="4477EFFA" w14:textId="05332EAE"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4,87</w:t>
            </w:r>
          </w:p>
        </w:tc>
        <w:tc>
          <w:tcPr>
            <w:tcW w:w="1004" w:type="dxa"/>
            <w:shd w:val="clear" w:color="auto" w:fill="auto"/>
            <w:vAlign w:val="center"/>
          </w:tcPr>
          <w:p w14:paraId="483E2322" w14:textId="24A89E21"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0,00</w:t>
            </w:r>
          </w:p>
        </w:tc>
        <w:tc>
          <w:tcPr>
            <w:tcW w:w="720" w:type="dxa"/>
            <w:shd w:val="clear" w:color="auto" w:fill="auto"/>
            <w:vAlign w:val="center"/>
          </w:tcPr>
          <w:p w14:paraId="12D6BCFA" w14:textId="54D284E3" w:rsidR="003723D7" w:rsidRPr="00332AB5" w:rsidRDefault="003723D7" w:rsidP="003723D7">
            <w:pPr>
              <w:jc w:val="right"/>
              <w:rPr>
                <w:rFonts w:asciiTheme="minorHAnsi" w:hAnsiTheme="minorHAnsi" w:cstheme="minorHAnsi"/>
                <w:color w:val="FF0000"/>
                <w:sz w:val="18"/>
                <w:szCs w:val="18"/>
              </w:rPr>
            </w:pPr>
            <w:r w:rsidRPr="00332AB5">
              <w:rPr>
                <w:rFonts w:asciiTheme="minorHAnsi" w:hAnsiTheme="minorHAnsi" w:cstheme="minorHAnsi"/>
                <w:sz w:val="18"/>
                <w:szCs w:val="18"/>
              </w:rPr>
              <w:t>0,00</w:t>
            </w:r>
          </w:p>
        </w:tc>
        <w:tc>
          <w:tcPr>
            <w:tcW w:w="1089" w:type="dxa"/>
            <w:vAlign w:val="center"/>
          </w:tcPr>
          <w:p w14:paraId="531C6C54" w14:textId="77777777" w:rsidR="003723D7" w:rsidRPr="00332AB5" w:rsidRDefault="003723D7" w:rsidP="003723D7">
            <w:pPr>
              <w:jc w:val="right"/>
              <w:rPr>
                <w:rFonts w:asciiTheme="minorHAnsi" w:hAnsiTheme="minorHAnsi" w:cstheme="minorHAnsi"/>
                <w:sz w:val="18"/>
                <w:szCs w:val="18"/>
              </w:rPr>
            </w:pPr>
          </w:p>
        </w:tc>
        <w:tc>
          <w:tcPr>
            <w:tcW w:w="635" w:type="dxa"/>
            <w:vAlign w:val="center"/>
          </w:tcPr>
          <w:p w14:paraId="0474C47C" w14:textId="77777777" w:rsidR="003723D7" w:rsidRPr="00332AB5" w:rsidRDefault="003723D7" w:rsidP="003723D7">
            <w:pPr>
              <w:jc w:val="right"/>
              <w:rPr>
                <w:rFonts w:asciiTheme="minorHAnsi" w:hAnsiTheme="minorHAnsi" w:cstheme="minorHAnsi"/>
                <w:sz w:val="18"/>
                <w:szCs w:val="18"/>
              </w:rPr>
            </w:pPr>
          </w:p>
        </w:tc>
      </w:tr>
      <w:tr w:rsidR="003723D7" w:rsidRPr="00332AB5" w14:paraId="6C07B15B" w14:textId="77777777" w:rsidTr="003723D7">
        <w:trPr>
          <w:trHeight w:val="397"/>
        </w:trPr>
        <w:tc>
          <w:tcPr>
            <w:tcW w:w="1179" w:type="dxa"/>
            <w:vAlign w:val="center"/>
          </w:tcPr>
          <w:p w14:paraId="0C25401F" w14:textId="77777777" w:rsidR="003723D7" w:rsidRPr="00332AB5" w:rsidRDefault="003723D7" w:rsidP="003723D7">
            <w:pPr>
              <w:rPr>
                <w:rFonts w:asciiTheme="minorHAnsi" w:hAnsiTheme="minorHAnsi" w:cstheme="minorHAnsi"/>
                <w:sz w:val="18"/>
                <w:szCs w:val="18"/>
              </w:rPr>
            </w:pPr>
            <w:r w:rsidRPr="00332AB5">
              <w:rPr>
                <w:rFonts w:asciiTheme="minorHAnsi" w:hAnsiTheme="minorHAnsi" w:cstheme="minorHAnsi"/>
                <w:sz w:val="18"/>
                <w:szCs w:val="18"/>
              </w:rPr>
              <w:t>PO 12</w:t>
            </w:r>
          </w:p>
        </w:tc>
        <w:tc>
          <w:tcPr>
            <w:tcW w:w="998" w:type="dxa"/>
            <w:tcBorders>
              <w:bottom w:val="single" w:sz="4" w:space="0" w:color="auto"/>
            </w:tcBorders>
            <w:vAlign w:val="center"/>
          </w:tcPr>
          <w:p w14:paraId="0C1992AC" w14:textId="38AD67C5"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97,80</w:t>
            </w:r>
          </w:p>
        </w:tc>
        <w:tc>
          <w:tcPr>
            <w:tcW w:w="1050" w:type="dxa"/>
            <w:tcBorders>
              <w:bottom w:val="single" w:sz="4" w:space="0" w:color="auto"/>
            </w:tcBorders>
            <w:vAlign w:val="center"/>
          </w:tcPr>
          <w:p w14:paraId="4C1C86CF" w14:textId="21924C0B"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0,00</w:t>
            </w:r>
          </w:p>
        </w:tc>
        <w:tc>
          <w:tcPr>
            <w:tcW w:w="674" w:type="dxa"/>
            <w:tcBorders>
              <w:bottom w:val="single" w:sz="4" w:space="0" w:color="auto"/>
            </w:tcBorders>
            <w:vAlign w:val="center"/>
          </w:tcPr>
          <w:p w14:paraId="7D6C811F" w14:textId="2F7BEC95"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0,00</w:t>
            </w:r>
          </w:p>
        </w:tc>
        <w:tc>
          <w:tcPr>
            <w:tcW w:w="1027" w:type="dxa"/>
            <w:tcBorders>
              <w:bottom w:val="single" w:sz="4" w:space="0" w:color="auto"/>
            </w:tcBorders>
            <w:vAlign w:val="center"/>
          </w:tcPr>
          <w:p w14:paraId="46A27EDE" w14:textId="30911D90"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3,42</w:t>
            </w:r>
          </w:p>
        </w:tc>
        <w:tc>
          <w:tcPr>
            <w:tcW w:w="697" w:type="dxa"/>
            <w:tcBorders>
              <w:bottom w:val="single" w:sz="4" w:space="0" w:color="auto"/>
            </w:tcBorders>
            <w:vAlign w:val="center"/>
          </w:tcPr>
          <w:p w14:paraId="62E9E72F" w14:textId="402FCF5E"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3,50</w:t>
            </w:r>
          </w:p>
        </w:tc>
        <w:tc>
          <w:tcPr>
            <w:tcW w:w="1004" w:type="dxa"/>
            <w:vAlign w:val="center"/>
          </w:tcPr>
          <w:p w14:paraId="4256DC6D" w14:textId="32C449DF"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0,00</w:t>
            </w:r>
          </w:p>
        </w:tc>
        <w:tc>
          <w:tcPr>
            <w:tcW w:w="720" w:type="dxa"/>
            <w:vAlign w:val="center"/>
          </w:tcPr>
          <w:p w14:paraId="19532016" w14:textId="7503E71A" w:rsidR="003723D7" w:rsidRPr="00332AB5" w:rsidRDefault="003723D7" w:rsidP="003723D7">
            <w:pPr>
              <w:jc w:val="right"/>
              <w:rPr>
                <w:rFonts w:asciiTheme="minorHAnsi" w:hAnsiTheme="minorHAnsi" w:cstheme="minorHAnsi"/>
                <w:sz w:val="18"/>
                <w:szCs w:val="18"/>
              </w:rPr>
            </w:pPr>
            <w:r w:rsidRPr="00332AB5">
              <w:rPr>
                <w:rFonts w:asciiTheme="minorHAnsi" w:hAnsiTheme="minorHAnsi" w:cstheme="minorHAnsi"/>
                <w:sz w:val="18"/>
                <w:szCs w:val="18"/>
              </w:rPr>
              <w:t>0,00</w:t>
            </w:r>
          </w:p>
        </w:tc>
        <w:tc>
          <w:tcPr>
            <w:tcW w:w="1089" w:type="dxa"/>
            <w:tcBorders>
              <w:bottom w:val="single" w:sz="4" w:space="0" w:color="A6A6A6" w:themeColor="background1" w:themeShade="A6"/>
            </w:tcBorders>
            <w:vAlign w:val="center"/>
          </w:tcPr>
          <w:p w14:paraId="2502A158" w14:textId="77777777" w:rsidR="003723D7" w:rsidRPr="00332AB5" w:rsidRDefault="003723D7" w:rsidP="003723D7">
            <w:pPr>
              <w:jc w:val="right"/>
              <w:rPr>
                <w:rFonts w:asciiTheme="minorHAnsi" w:hAnsiTheme="minorHAnsi" w:cstheme="minorHAnsi"/>
                <w:sz w:val="18"/>
                <w:szCs w:val="18"/>
              </w:rPr>
            </w:pPr>
          </w:p>
        </w:tc>
        <w:tc>
          <w:tcPr>
            <w:tcW w:w="635" w:type="dxa"/>
            <w:tcBorders>
              <w:bottom w:val="single" w:sz="4" w:space="0" w:color="A6A6A6" w:themeColor="background1" w:themeShade="A6"/>
            </w:tcBorders>
            <w:vAlign w:val="center"/>
          </w:tcPr>
          <w:p w14:paraId="70F46D08" w14:textId="77777777" w:rsidR="003723D7" w:rsidRPr="00332AB5" w:rsidRDefault="003723D7" w:rsidP="003723D7">
            <w:pPr>
              <w:jc w:val="right"/>
              <w:rPr>
                <w:rFonts w:asciiTheme="minorHAnsi" w:hAnsiTheme="minorHAnsi" w:cstheme="minorHAnsi"/>
                <w:sz w:val="18"/>
                <w:szCs w:val="18"/>
              </w:rPr>
            </w:pPr>
          </w:p>
        </w:tc>
      </w:tr>
      <w:tr w:rsidR="0054343D" w:rsidRPr="00332AB5" w14:paraId="22CBE9B6" w14:textId="77777777" w:rsidTr="002D3BB8">
        <w:trPr>
          <w:trHeight w:val="510"/>
        </w:trPr>
        <w:tc>
          <w:tcPr>
            <w:tcW w:w="1179" w:type="dxa"/>
            <w:vAlign w:val="center"/>
          </w:tcPr>
          <w:p w14:paraId="7E2BEE29" w14:textId="77777777" w:rsidR="0054343D" w:rsidRPr="00332AB5" w:rsidRDefault="0054343D" w:rsidP="0054343D">
            <w:pPr>
              <w:rPr>
                <w:rFonts w:asciiTheme="minorHAnsi" w:hAnsiTheme="minorHAnsi" w:cstheme="minorHAnsi"/>
                <w:sz w:val="18"/>
                <w:szCs w:val="24"/>
              </w:rPr>
            </w:pPr>
            <w:r w:rsidRPr="00332AB5">
              <w:rPr>
                <w:rFonts w:asciiTheme="minorHAnsi" w:hAnsiTheme="minorHAnsi" w:cstheme="minorHAnsi"/>
                <w:sz w:val="18"/>
              </w:rPr>
              <w:t>UKUPNO</w:t>
            </w:r>
          </w:p>
        </w:tc>
        <w:tc>
          <w:tcPr>
            <w:tcW w:w="998" w:type="dxa"/>
            <w:tcBorders>
              <w:top w:val="single" w:sz="4" w:space="0" w:color="auto"/>
              <w:bottom w:val="single" w:sz="4" w:space="0" w:color="auto"/>
            </w:tcBorders>
            <w:shd w:val="clear" w:color="auto" w:fill="auto"/>
            <w:vAlign w:val="center"/>
          </w:tcPr>
          <w:p w14:paraId="765C8FB4" w14:textId="0587B5FA" w:rsidR="0054343D" w:rsidRPr="00332AB5" w:rsidRDefault="0054343D" w:rsidP="0054343D">
            <w:pPr>
              <w:jc w:val="right"/>
              <w:rPr>
                <w:rFonts w:asciiTheme="minorHAnsi" w:hAnsiTheme="minorHAnsi" w:cstheme="minorHAnsi"/>
                <w:sz w:val="18"/>
                <w:szCs w:val="18"/>
              </w:rPr>
            </w:pPr>
            <w:r w:rsidRPr="00332AB5">
              <w:rPr>
                <w:rFonts w:asciiTheme="minorHAnsi" w:hAnsiTheme="minorHAnsi" w:cstheme="minorHAnsi"/>
                <w:sz w:val="18"/>
                <w:szCs w:val="18"/>
              </w:rPr>
              <w:t>6.831,26</w:t>
            </w:r>
          </w:p>
        </w:tc>
        <w:tc>
          <w:tcPr>
            <w:tcW w:w="1050" w:type="dxa"/>
            <w:tcBorders>
              <w:top w:val="single" w:sz="4" w:space="0" w:color="auto"/>
              <w:bottom w:val="single" w:sz="4" w:space="0" w:color="auto"/>
            </w:tcBorders>
            <w:shd w:val="clear" w:color="auto" w:fill="auto"/>
            <w:vAlign w:val="center"/>
          </w:tcPr>
          <w:p w14:paraId="5801F37C" w14:textId="01024BD6" w:rsidR="0054343D" w:rsidRPr="00332AB5" w:rsidRDefault="0054343D" w:rsidP="0054343D">
            <w:pPr>
              <w:jc w:val="right"/>
              <w:rPr>
                <w:rFonts w:asciiTheme="minorHAnsi" w:hAnsiTheme="minorHAnsi" w:cstheme="minorHAnsi"/>
                <w:sz w:val="18"/>
                <w:szCs w:val="18"/>
              </w:rPr>
            </w:pPr>
            <w:r w:rsidRPr="00332AB5">
              <w:rPr>
                <w:rFonts w:asciiTheme="minorHAnsi" w:hAnsiTheme="minorHAnsi" w:cstheme="minorHAnsi"/>
                <w:sz w:val="18"/>
                <w:szCs w:val="18"/>
              </w:rPr>
              <w:t>12,82</w:t>
            </w:r>
          </w:p>
        </w:tc>
        <w:tc>
          <w:tcPr>
            <w:tcW w:w="674" w:type="dxa"/>
            <w:tcBorders>
              <w:top w:val="single" w:sz="4" w:space="0" w:color="auto"/>
              <w:bottom w:val="single" w:sz="4" w:space="0" w:color="auto"/>
            </w:tcBorders>
            <w:shd w:val="clear" w:color="auto" w:fill="auto"/>
            <w:vAlign w:val="center"/>
          </w:tcPr>
          <w:p w14:paraId="5DE6C911" w14:textId="7020033A" w:rsidR="0054343D" w:rsidRPr="00332AB5" w:rsidRDefault="0054343D" w:rsidP="0054343D">
            <w:pPr>
              <w:jc w:val="right"/>
              <w:rPr>
                <w:rFonts w:asciiTheme="minorHAnsi" w:hAnsiTheme="minorHAnsi" w:cstheme="minorHAnsi"/>
                <w:sz w:val="18"/>
                <w:szCs w:val="18"/>
              </w:rPr>
            </w:pPr>
            <w:r w:rsidRPr="00332AB5">
              <w:rPr>
                <w:rFonts w:asciiTheme="minorHAnsi" w:hAnsiTheme="minorHAnsi" w:cstheme="minorHAnsi"/>
                <w:sz w:val="18"/>
                <w:szCs w:val="18"/>
              </w:rPr>
              <w:t>0,19</w:t>
            </w:r>
          </w:p>
        </w:tc>
        <w:tc>
          <w:tcPr>
            <w:tcW w:w="1027" w:type="dxa"/>
            <w:tcBorders>
              <w:top w:val="single" w:sz="4" w:space="0" w:color="auto"/>
              <w:bottom w:val="single" w:sz="4" w:space="0" w:color="auto"/>
            </w:tcBorders>
            <w:shd w:val="clear" w:color="auto" w:fill="auto"/>
            <w:vAlign w:val="center"/>
          </w:tcPr>
          <w:p w14:paraId="79BC7607" w14:textId="4BBFF79E" w:rsidR="0054343D" w:rsidRPr="00332AB5" w:rsidRDefault="0054343D" w:rsidP="0054343D">
            <w:pPr>
              <w:jc w:val="right"/>
              <w:rPr>
                <w:rFonts w:asciiTheme="minorHAnsi" w:hAnsiTheme="minorHAnsi" w:cstheme="minorHAnsi"/>
                <w:sz w:val="18"/>
                <w:szCs w:val="18"/>
              </w:rPr>
            </w:pPr>
            <w:r w:rsidRPr="00332AB5">
              <w:rPr>
                <w:rFonts w:asciiTheme="minorHAnsi" w:hAnsiTheme="minorHAnsi" w:cstheme="minorHAnsi"/>
                <w:sz w:val="18"/>
                <w:szCs w:val="18"/>
              </w:rPr>
              <w:t>483,41</w:t>
            </w:r>
          </w:p>
        </w:tc>
        <w:tc>
          <w:tcPr>
            <w:tcW w:w="697" w:type="dxa"/>
            <w:tcBorders>
              <w:top w:val="single" w:sz="4" w:space="0" w:color="auto"/>
              <w:bottom w:val="single" w:sz="4" w:space="0" w:color="auto"/>
            </w:tcBorders>
            <w:shd w:val="clear" w:color="auto" w:fill="auto"/>
            <w:vAlign w:val="center"/>
          </w:tcPr>
          <w:p w14:paraId="4E08D71D" w14:textId="1728B1DF" w:rsidR="0054343D" w:rsidRPr="00332AB5" w:rsidRDefault="0054343D" w:rsidP="0054343D">
            <w:pPr>
              <w:jc w:val="right"/>
              <w:rPr>
                <w:rFonts w:asciiTheme="minorHAnsi" w:hAnsiTheme="minorHAnsi" w:cstheme="minorHAnsi"/>
                <w:sz w:val="18"/>
                <w:szCs w:val="18"/>
              </w:rPr>
            </w:pPr>
            <w:r w:rsidRPr="00332AB5">
              <w:rPr>
                <w:rFonts w:asciiTheme="minorHAnsi" w:hAnsiTheme="minorHAnsi" w:cstheme="minorHAnsi"/>
                <w:sz w:val="18"/>
                <w:szCs w:val="18"/>
              </w:rPr>
              <w:t>7,08</w:t>
            </w:r>
          </w:p>
        </w:tc>
        <w:tc>
          <w:tcPr>
            <w:tcW w:w="1004" w:type="dxa"/>
            <w:tcBorders>
              <w:top w:val="single" w:sz="4" w:space="0" w:color="808080" w:themeColor="background1" w:themeShade="80"/>
              <w:bottom w:val="single" w:sz="4" w:space="0" w:color="808080" w:themeColor="background1" w:themeShade="80"/>
            </w:tcBorders>
            <w:vAlign w:val="center"/>
          </w:tcPr>
          <w:p w14:paraId="44315504" w14:textId="19E1DDC3" w:rsidR="0054343D" w:rsidRPr="00332AB5" w:rsidRDefault="0054343D" w:rsidP="0054343D">
            <w:pPr>
              <w:jc w:val="right"/>
              <w:rPr>
                <w:rFonts w:asciiTheme="minorHAnsi" w:hAnsiTheme="minorHAnsi" w:cstheme="minorHAnsi"/>
                <w:sz w:val="18"/>
                <w:szCs w:val="18"/>
              </w:rPr>
            </w:pPr>
            <w:r w:rsidRPr="00332AB5">
              <w:rPr>
                <w:rFonts w:asciiTheme="minorHAnsi" w:hAnsiTheme="minorHAnsi" w:cstheme="minorHAnsi"/>
                <w:sz w:val="18"/>
                <w:szCs w:val="18"/>
              </w:rPr>
              <w:t>0,00</w:t>
            </w:r>
          </w:p>
        </w:tc>
        <w:tc>
          <w:tcPr>
            <w:tcW w:w="720" w:type="dxa"/>
            <w:tcBorders>
              <w:top w:val="single" w:sz="4" w:space="0" w:color="808080" w:themeColor="background1" w:themeShade="80"/>
              <w:bottom w:val="single" w:sz="4" w:space="0" w:color="808080" w:themeColor="background1" w:themeShade="80"/>
            </w:tcBorders>
            <w:vAlign w:val="center"/>
          </w:tcPr>
          <w:p w14:paraId="3397605B" w14:textId="0F3C7DC6" w:rsidR="0054343D" w:rsidRPr="00332AB5" w:rsidRDefault="0054343D" w:rsidP="0054343D">
            <w:pPr>
              <w:jc w:val="right"/>
              <w:rPr>
                <w:rFonts w:asciiTheme="minorHAnsi" w:hAnsiTheme="minorHAnsi" w:cstheme="minorHAnsi"/>
                <w:sz w:val="18"/>
                <w:szCs w:val="18"/>
              </w:rPr>
            </w:pPr>
            <w:r w:rsidRPr="00332AB5">
              <w:rPr>
                <w:rFonts w:asciiTheme="minorHAnsi" w:hAnsiTheme="minorHAnsi" w:cstheme="minorHAnsi"/>
                <w:sz w:val="18"/>
                <w:szCs w:val="18"/>
              </w:rPr>
              <w:t>0,00</w:t>
            </w:r>
          </w:p>
        </w:tc>
        <w:tc>
          <w:tcPr>
            <w:tcW w:w="1089" w:type="dxa"/>
            <w:tcBorders>
              <w:top w:val="single" w:sz="4" w:space="0" w:color="A6A6A6" w:themeColor="background1" w:themeShade="A6"/>
              <w:bottom w:val="single" w:sz="4" w:space="0" w:color="A6A6A6" w:themeColor="background1" w:themeShade="A6"/>
            </w:tcBorders>
            <w:vAlign w:val="center"/>
          </w:tcPr>
          <w:p w14:paraId="51585E19" w14:textId="1F1D172D" w:rsidR="0054343D" w:rsidRPr="00332AB5" w:rsidRDefault="0054343D" w:rsidP="0054343D">
            <w:pPr>
              <w:jc w:val="right"/>
              <w:rPr>
                <w:rFonts w:asciiTheme="minorHAnsi" w:hAnsiTheme="minorHAnsi" w:cstheme="minorHAnsi"/>
                <w:sz w:val="18"/>
                <w:szCs w:val="18"/>
              </w:rPr>
            </w:pPr>
            <w:r w:rsidRPr="00332AB5">
              <w:rPr>
                <w:rFonts w:asciiTheme="minorHAnsi" w:hAnsiTheme="minorHAnsi" w:cstheme="minorHAnsi"/>
                <w:sz w:val="18"/>
                <w:szCs w:val="18"/>
              </w:rPr>
              <w:t>528,71</w:t>
            </w:r>
          </w:p>
        </w:tc>
        <w:tc>
          <w:tcPr>
            <w:tcW w:w="635" w:type="dxa"/>
            <w:tcBorders>
              <w:top w:val="single" w:sz="4" w:space="0" w:color="A6A6A6" w:themeColor="background1" w:themeShade="A6"/>
              <w:bottom w:val="single" w:sz="4" w:space="0" w:color="A6A6A6" w:themeColor="background1" w:themeShade="A6"/>
            </w:tcBorders>
            <w:vAlign w:val="center"/>
          </w:tcPr>
          <w:p w14:paraId="461EB328" w14:textId="69CB1329" w:rsidR="0054343D" w:rsidRPr="00332AB5" w:rsidRDefault="0054343D" w:rsidP="0054343D">
            <w:pPr>
              <w:jc w:val="right"/>
              <w:rPr>
                <w:rFonts w:asciiTheme="minorHAnsi" w:hAnsiTheme="minorHAnsi" w:cstheme="minorHAnsi"/>
                <w:sz w:val="18"/>
                <w:szCs w:val="18"/>
              </w:rPr>
            </w:pPr>
            <w:r w:rsidRPr="00332AB5">
              <w:rPr>
                <w:rFonts w:asciiTheme="minorHAnsi" w:hAnsiTheme="minorHAnsi" w:cstheme="minorHAnsi"/>
                <w:sz w:val="18"/>
                <w:szCs w:val="18"/>
              </w:rPr>
              <w:t>7,74</w:t>
            </w:r>
          </w:p>
        </w:tc>
      </w:tr>
    </w:tbl>
    <w:p w14:paraId="75106BEC" w14:textId="77777777" w:rsidR="003004DC" w:rsidRPr="00332AB5" w:rsidRDefault="003004DC" w:rsidP="00741C5E">
      <w:pPr>
        <w:spacing w:before="120" w:after="120"/>
        <w:jc w:val="both"/>
        <w:rPr>
          <w:b/>
          <w:bCs/>
        </w:rPr>
      </w:pPr>
    </w:p>
    <w:p w14:paraId="20A62661" w14:textId="6E4038C2" w:rsidR="00A024D8" w:rsidRPr="00332AB5" w:rsidRDefault="00A024D8" w:rsidP="00741C5E">
      <w:pPr>
        <w:spacing w:before="120" w:after="120"/>
        <w:jc w:val="both"/>
        <w:rPr>
          <w:b/>
          <w:bCs/>
        </w:rPr>
      </w:pPr>
      <w:bookmarkStart w:id="46" w:name="_Toc152595282"/>
      <w:r w:rsidRPr="00332AB5">
        <w:rPr>
          <w:b/>
          <w:bCs/>
        </w:rPr>
        <w:t xml:space="preserve">Tablica </w:t>
      </w:r>
      <w:r w:rsidR="008C2CC3" w:rsidRPr="00332AB5">
        <w:rPr>
          <w:b/>
          <w:bCs/>
        </w:rPr>
        <w:fldChar w:fldCharType="begin"/>
      </w:r>
      <w:r w:rsidRPr="00332AB5">
        <w:rPr>
          <w:b/>
          <w:bCs/>
        </w:rPr>
        <w:instrText xml:space="preserve"> SEQ Tablica \* ARABIC </w:instrText>
      </w:r>
      <w:r w:rsidR="008C2CC3" w:rsidRPr="00332AB5">
        <w:rPr>
          <w:b/>
          <w:bCs/>
        </w:rPr>
        <w:fldChar w:fldCharType="separate"/>
      </w:r>
      <w:r w:rsidR="005E6E46">
        <w:rPr>
          <w:b/>
          <w:bCs/>
          <w:noProof/>
        </w:rPr>
        <w:t>8</w:t>
      </w:r>
      <w:r w:rsidR="008C2CC3" w:rsidRPr="00332AB5">
        <w:rPr>
          <w:b/>
          <w:bCs/>
        </w:rPr>
        <w:fldChar w:fldCharType="end"/>
      </w:r>
      <w:r w:rsidRPr="00332AB5">
        <w:rPr>
          <w:b/>
          <w:bCs/>
        </w:rPr>
        <w:t xml:space="preserve">: </w:t>
      </w:r>
      <w:bookmarkStart w:id="47" w:name="_Hlk112417237"/>
      <w:r w:rsidRPr="00332AB5">
        <w:rPr>
          <w:b/>
          <w:bCs/>
        </w:rPr>
        <w:t xml:space="preserve">Financijski pokazatelji statusa provedbe Operativnog programa „Konkurentnost i kohezija“ od početka provedbe do kraja izvještajnog razdoblja </w:t>
      </w:r>
      <w:r w:rsidR="0011067E" w:rsidRPr="00332AB5">
        <w:rPr>
          <w:b/>
          <w:bCs/>
        </w:rPr>
        <w:t>30. lipnja 2023.</w:t>
      </w:r>
      <w:r w:rsidR="00C74C25" w:rsidRPr="00332AB5">
        <w:rPr>
          <w:b/>
          <w:bCs/>
        </w:rPr>
        <w:t xml:space="preserve"> </w:t>
      </w:r>
      <w:r w:rsidRPr="00332AB5">
        <w:rPr>
          <w:b/>
          <w:bCs/>
        </w:rPr>
        <w:t>(sredstva EU, u milijunima eura i postocima od dodijeljenih sredstava)</w:t>
      </w:r>
      <w:bookmarkEnd w:id="46"/>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845"/>
        <w:gridCol w:w="959"/>
        <w:gridCol w:w="742"/>
        <w:gridCol w:w="902"/>
        <w:gridCol w:w="765"/>
        <w:gridCol w:w="959"/>
        <w:gridCol w:w="776"/>
      </w:tblGrid>
      <w:tr w:rsidR="00AA5DF3" w:rsidRPr="00332AB5" w14:paraId="55CC3B68" w14:textId="77777777" w:rsidTr="000248D6">
        <w:trPr>
          <w:trHeight w:val="737"/>
        </w:trPr>
        <w:tc>
          <w:tcPr>
            <w:tcW w:w="1179" w:type="dxa"/>
            <w:vAlign w:val="center"/>
          </w:tcPr>
          <w:bookmarkEnd w:id="47"/>
          <w:p w14:paraId="211B0C71" w14:textId="77777777" w:rsidR="00A024D8" w:rsidRPr="00332AB5" w:rsidRDefault="00A024D8" w:rsidP="00E2152B">
            <w:pPr>
              <w:spacing w:after="60"/>
              <w:rPr>
                <w:sz w:val="16"/>
                <w:szCs w:val="24"/>
              </w:rPr>
            </w:pPr>
            <w:r w:rsidRPr="00332AB5">
              <w:rPr>
                <w:rFonts w:asciiTheme="minorHAnsi" w:hAnsiTheme="minorHAnsi" w:cstheme="minorHAnsi"/>
                <w:sz w:val="16"/>
              </w:rPr>
              <w:t>Prioritetna os</w:t>
            </w:r>
            <w:r w:rsidR="00097227" w:rsidRPr="00332AB5">
              <w:rPr>
                <w:rFonts w:asciiTheme="minorHAnsi" w:hAnsiTheme="minorHAnsi" w:cstheme="minorHAnsi"/>
                <w:sz w:val="16"/>
              </w:rPr>
              <w:t xml:space="preserve"> (PO)</w:t>
            </w:r>
          </w:p>
        </w:tc>
        <w:tc>
          <w:tcPr>
            <w:tcW w:w="998" w:type="dxa"/>
            <w:tcBorders>
              <w:bottom w:val="single" w:sz="4" w:space="0" w:color="808080" w:themeColor="background1" w:themeShade="80"/>
            </w:tcBorders>
            <w:vAlign w:val="center"/>
          </w:tcPr>
          <w:p w14:paraId="25B8FD2E" w14:textId="77777777" w:rsidR="00A024D8" w:rsidRPr="00332AB5" w:rsidRDefault="00A024D8" w:rsidP="00E2152B">
            <w:pPr>
              <w:spacing w:after="60"/>
              <w:jc w:val="right"/>
              <w:rPr>
                <w:sz w:val="16"/>
                <w:szCs w:val="24"/>
              </w:rPr>
            </w:pPr>
            <w:r w:rsidRPr="00332AB5">
              <w:rPr>
                <w:rFonts w:asciiTheme="minorHAnsi" w:hAnsiTheme="minorHAnsi" w:cstheme="minorHAnsi"/>
                <w:sz w:val="16"/>
              </w:rPr>
              <w:t>Dodijeljena sredstva</w:t>
            </w:r>
          </w:p>
        </w:tc>
        <w:tc>
          <w:tcPr>
            <w:tcW w:w="1089" w:type="dxa"/>
            <w:tcBorders>
              <w:bottom w:val="single" w:sz="4" w:space="0" w:color="808080" w:themeColor="background1" w:themeShade="80"/>
            </w:tcBorders>
            <w:vAlign w:val="center"/>
          </w:tcPr>
          <w:p w14:paraId="44D5950B" w14:textId="77777777" w:rsidR="00A024D8" w:rsidRPr="00332AB5" w:rsidRDefault="00A024D8" w:rsidP="00E2152B">
            <w:pPr>
              <w:spacing w:after="60"/>
              <w:jc w:val="right"/>
              <w:rPr>
                <w:sz w:val="16"/>
                <w:szCs w:val="24"/>
              </w:rPr>
            </w:pPr>
            <w:r w:rsidRPr="00332AB5">
              <w:rPr>
                <w:rFonts w:asciiTheme="minorHAnsi" w:hAnsiTheme="minorHAnsi" w:cstheme="minorHAnsi"/>
                <w:sz w:val="16"/>
              </w:rPr>
              <w:t>Ukupno ugovorena sredstva</w:t>
            </w:r>
          </w:p>
        </w:tc>
        <w:tc>
          <w:tcPr>
            <w:tcW w:w="845" w:type="dxa"/>
            <w:tcBorders>
              <w:bottom w:val="single" w:sz="4" w:space="0" w:color="808080" w:themeColor="background1" w:themeShade="80"/>
            </w:tcBorders>
            <w:vAlign w:val="center"/>
          </w:tcPr>
          <w:p w14:paraId="50C39DD6" w14:textId="77777777" w:rsidR="00A024D8" w:rsidRPr="00332AB5" w:rsidRDefault="000C006E" w:rsidP="00E2152B">
            <w:pPr>
              <w:spacing w:after="60"/>
              <w:jc w:val="right"/>
              <w:rPr>
                <w:sz w:val="16"/>
                <w:szCs w:val="24"/>
              </w:rPr>
            </w:pPr>
            <w:r w:rsidRPr="00332AB5">
              <w:rPr>
                <w:rFonts w:asciiTheme="minorHAnsi" w:hAnsiTheme="minorHAnsi" w:cstheme="minorHAnsi"/>
                <w:sz w:val="16"/>
              </w:rPr>
              <w:t xml:space="preserve"> %</w:t>
            </w:r>
          </w:p>
        </w:tc>
        <w:tc>
          <w:tcPr>
            <w:tcW w:w="959" w:type="dxa"/>
            <w:tcBorders>
              <w:bottom w:val="single" w:sz="4" w:space="0" w:color="808080" w:themeColor="background1" w:themeShade="80"/>
            </w:tcBorders>
            <w:vAlign w:val="center"/>
          </w:tcPr>
          <w:p w14:paraId="7B8B0895" w14:textId="77777777" w:rsidR="00A024D8" w:rsidRPr="00332AB5" w:rsidRDefault="00A024D8" w:rsidP="00E2152B">
            <w:pPr>
              <w:spacing w:after="60"/>
              <w:jc w:val="right"/>
              <w:rPr>
                <w:sz w:val="16"/>
                <w:szCs w:val="24"/>
              </w:rPr>
            </w:pPr>
            <w:r w:rsidRPr="00332AB5">
              <w:rPr>
                <w:rFonts w:asciiTheme="minorHAnsi" w:hAnsiTheme="minorHAnsi" w:cstheme="minorHAnsi"/>
                <w:sz w:val="16"/>
              </w:rPr>
              <w:t>Ukupno plaćena sredstva</w:t>
            </w:r>
          </w:p>
        </w:tc>
        <w:tc>
          <w:tcPr>
            <w:tcW w:w="742" w:type="dxa"/>
            <w:tcBorders>
              <w:bottom w:val="single" w:sz="4" w:space="0" w:color="808080" w:themeColor="background1" w:themeShade="80"/>
            </w:tcBorders>
            <w:vAlign w:val="center"/>
          </w:tcPr>
          <w:p w14:paraId="1FD54746" w14:textId="77777777" w:rsidR="00A024D8" w:rsidRPr="00332AB5" w:rsidRDefault="000C006E" w:rsidP="00E2152B">
            <w:pPr>
              <w:spacing w:after="60"/>
              <w:jc w:val="right"/>
              <w:rPr>
                <w:sz w:val="16"/>
                <w:szCs w:val="24"/>
              </w:rPr>
            </w:pPr>
            <w:r w:rsidRPr="00332AB5">
              <w:rPr>
                <w:rFonts w:asciiTheme="minorHAnsi" w:hAnsiTheme="minorHAnsi" w:cstheme="minorHAnsi"/>
                <w:sz w:val="16"/>
              </w:rPr>
              <w:t xml:space="preserve"> %</w:t>
            </w:r>
          </w:p>
        </w:tc>
        <w:tc>
          <w:tcPr>
            <w:tcW w:w="902" w:type="dxa"/>
            <w:tcBorders>
              <w:bottom w:val="single" w:sz="4" w:space="0" w:color="808080" w:themeColor="background1" w:themeShade="80"/>
            </w:tcBorders>
            <w:vAlign w:val="center"/>
          </w:tcPr>
          <w:p w14:paraId="541C07BE" w14:textId="77777777" w:rsidR="00A024D8" w:rsidRPr="00332AB5" w:rsidRDefault="00A024D8" w:rsidP="00E2152B">
            <w:pPr>
              <w:spacing w:after="60"/>
              <w:jc w:val="right"/>
              <w:rPr>
                <w:sz w:val="16"/>
                <w:szCs w:val="24"/>
              </w:rPr>
            </w:pPr>
            <w:r w:rsidRPr="00332AB5">
              <w:rPr>
                <w:rFonts w:asciiTheme="minorHAnsi" w:hAnsiTheme="minorHAnsi" w:cstheme="minorHAnsi"/>
                <w:sz w:val="16"/>
              </w:rPr>
              <w:t>Ukupno ovjerena sredstva</w:t>
            </w:r>
          </w:p>
        </w:tc>
        <w:tc>
          <w:tcPr>
            <w:tcW w:w="765" w:type="dxa"/>
            <w:tcBorders>
              <w:bottom w:val="single" w:sz="4" w:space="0" w:color="808080" w:themeColor="background1" w:themeShade="80"/>
            </w:tcBorders>
            <w:vAlign w:val="center"/>
          </w:tcPr>
          <w:p w14:paraId="5261F085" w14:textId="77777777" w:rsidR="00A024D8" w:rsidRPr="00332AB5" w:rsidRDefault="000C006E" w:rsidP="00E2152B">
            <w:pPr>
              <w:spacing w:after="60"/>
              <w:jc w:val="right"/>
              <w:rPr>
                <w:sz w:val="16"/>
                <w:szCs w:val="24"/>
              </w:rPr>
            </w:pPr>
            <w:r w:rsidRPr="00332AB5">
              <w:rPr>
                <w:rFonts w:asciiTheme="minorHAnsi" w:hAnsiTheme="minorHAnsi" w:cstheme="minorHAnsi"/>
                <w:sz w:val="16"/>
              </w:rPr>
              <w:t xml:space="preserve"> %</w:t>
            </w:r>
          </w:p>
        </w:tc>
        <w:tc>
          <w:tcPr>
            <w:tcW w:w="959" w:type="dxa"/>
            <w:tcBorders>
              <w:bottom w:val="single" w:sz="4" w:space="0" w:color="808080" w:themeColor="background1" w:themeShade="80"/>
            </w:tcBorders>
            <w:vAlign w:val="center"/>
          </w:tcPr>
          <w:p w14:paraId="1254F8C2" w14:textId="77777777" w:rsidR="00A024D8" w:rsidRPr="00332AB5" w:rsidRDefault="00A024D8" w:rsidP="00E2152B">
            <w:pPr>
              <w:spacing w:after="60"/>
              <w:jc w:val="right"/>
              <w:rPr>
                <w:sz w:val="16"/>
                <w:szCs w:val="24"/>
              </w:rPr>
            </w:pPr>
            <w:r w:rsidRPr="00332AB5">
              <w:rPr>
                <w:rFonts w:asciiTheme="minorHAnsi" w:hAnsiTheme="minorHAnsi" w:cstheme="minorHAnsi"/>
                <w:sz w:val="16"/>
              </w:rPr>
              <w:t>Ukupno doznačena sredstva</w:t>
            </w:r>
          </w:p>
        </w:tc>
        <w:tc>
          <w:tcPr>
            <w:tcW w:w="776" w:type="dxa"/>
            <w:tcBorders>
              <w:bottom w:val="single" w:sz="4" w:space="0" w:color="808080" w:themeColor="background1" w:themeShade="80"/>
            </w:tcBorders>
            <w:vAlign w:val="center"/>
          </w:tcPr>
          <w:p w14:paraId="60D7E72B" w14:textId="77777777" w:rsidR="00A024D8" w:rsidRPr="00332AB5" w:rsidRDefault="000C006E" w:rsidP="00E2152B">
            <w:pPr>
              <w:spacing w:after="60"/>
              <w:jc w:val="right"/>
              <w:rPr>
                <w:sz w:val="16"/>
                <w:szCs w:val="24"/>
              </w:rPr>
            </w:pPr>
            <w:r w:rsidRPr="00332AB5">
              <w:rPr>
                <w:rFonts w:asciiTheme="minorHAnsi" w:hAnsiTheme="minorHAnsi" w:cstheme="minorHAnsi"/>
                <w:sz w:val="16"/>
              </w:rPr>
              <w:t xml:space="preserve"> %</w:t>
            </w:r>
          </w:p>
        </w:tc>
      </w:tr>
      <w:tr w:rsidR="00AA5DF3" w:rsidRPr="00332AB5" w14:paraId="1DCD8B59" w14:textId="77777777" w:rsidTr="000248D6">
        <w:trPr>
          <w:trHeight w:val="113"/>
        </w:trPr>
        <w:tc>
          <w:tcPr>
            <w:tcW w:w="1179" w:type="dxa"/>
            <w:vAlign w:val="center"/>
          </w:tcPr>
          <w:p w14:paraId="170FD602" w14:textId="77777777" w:rsidR="00A024D8" w:rsidRPr="00332AB5" w:rsidRDefault="00A024D8" w:rsidP="00E2152B">
            <w:pPr>
              <w:rPr>
                <w:rFonts w:asciiTheme="minorHAnsi" w:hAnsiTheme="minorHAnsi" w:cstheme="minorHAnsi"/>
                <w:sz w:val="8"/>
                <w:szCs w:val="24"/>
              </w:rPr>
            </w:pPr>
          </w:p>
        </w:tc>
        <w:tc>
          <w:tcPr>
            <w:tcW w:w="998" w:type="dxa"/>
            <w:tcBorders>
              <w:top w:val="single" w:sz="4" w:space="0" w:color="808080" w:themeColor="background1" w:themeShade="80"/>
            </w:tcBorders>
            <w:vAlign w:val="center"/>
          </w:tcPr>
          <w:p w14:paraId="5591BA4E" w14:textId="77777777" w:rsidR="00A024D8" w:rsidRPr="00332AB5" w:rsidRDefault="00A024D8" w:rsidP="00E2152B">
            <w:pPr>
              <w:jc w:val="right"/>
              <w:rPr>
                <w:rFonts w:asciiTheme="minorHAnsi" w:hAnsiTheme="minorHAnsi" w:cstheme="minorHAnsi"/>
                <w:sz w:val="8"/>
                <w:szCs w:val="24"/>
              </w:rPr>
            </w:pPr>
          </w:p>
        </w:tc>
        <w:tc>
          <w:tcPr>
            <w:tcW w:w="1089" w:type="dxa"/>
            <w:tcBorders>
              <w:top w:val="single" w:sz="4" w:space="0" w:color="808080" w:themeColor="background1" w:themeShade="80"/>
            </w:tcBorders>
            <w:vAlign w:val="center"/>
          </w:tcPr>
          <w:p w14:paraId="52A52949" w14:textId="77777777" w:rsidR="00A024D8" w:rsidRPr="00332AB5" w:rsidRDefault="00A024D8" w:rsidP="00E2152B">
            <w:pPr>
              <w:jc w:val="right"/>
              <w:rPr>
                <w:rFonts w:asciiTheme="minorHAnsi" w:hAnsiTheme="minorHAnsi" w:cstheme="minorHAnsi"/>
                <w:sz w:val="8"/>
                <w:szCs w:val="24"/>
              </w:rPr>
            </w:pPr>
          </w:p>
        </w:tc>
        <w:tc>
          <w:tcPr>
            <w:tcW w:w="845" w:type="dxa"/>
            <w:tcBorders>
              <w:top w:val="single" w:sz="4" w:space="0" w:color="808080" w:themeColor="background1" w:themeShade="80"/>
            </w:tcBorders>
            <w:vAlign w:val="center"/>
          </w:tcPr>
          <w:p w14:paraId="252DC564" w14:textId="77777777" w:rsidR="00A024D8" w:rsidRPr="00332AB5" w:rsidRDefault="00A024D8" w:rsidP="00E2152B">
            <w:pPr>
              <w:jc w:val="right"/>
              <w:rPr>
                <w:rFonts w:asciiTheme="minorHAnsi" w:hAnsiTheme="minorHAnsi" w:cstheme="minorHAnsi"/>
                <w:sz w:val="8"/>
                <w:szCs w:val="24"/>
              </w:rPr>
            </w:pPr>
          </w:p>
        </w:tc>
        <w:tc>
          <w:tcPr>
            <w:tcW w:w="959" w:type="dxa"/>
            <w:tcBorders>
              <w:top w:val="single" w:sz="4" w:space="0" w:color="808080" w:themeColor="background1" w:themeShade="80"/>
            </w:tcBorders>
            <w:vAlign w:val="center"/>
          </w:tcPr>
          <w:p w14:paraId="67FA4812" w14:textId="77777777" w:rsidR="00A024D8" w:rsidRPr="00332AB5" w:rsidRDefault="00A024D8" w:rsidP="00E2152B">
            <w:pPr>
              <w:jc w:val="right"/>
              <w:rPr>
                <w:rFonts w:asciiTheme="minorHAnsi" w:hAnsiTheme="minorHAnsi" w:cstheme="minorHAnsi"/>
                <w:sz w:val="8"/>
                <w:szCs w:val="24"/>
              </w:rPr>
            </w:pPr>
          </w:p>
        </w:tc>
        <w:tc>
          <w:tcPr>
            <w:tcW w:w="742" w:type="dxa"/>
            <w:tcBorders>
              <w:top w:val="single" w:sz="4" w:space="0" w:color="808080" w:themeColor="background1" w:themeShade="80"/>
            </w:tcBorders>
            <w:vAlign w:val="center"/>
          </w:tcPr>
          <w:p w14:paraId="07ABC3F8" w14:textId="77777777" w:rsidR="00A024D8" w:rsidRPr="00332AB5" w:rsidRDefault="00A024D8" w:rsidP="00E2152B">
            <w:pPr>
              <w:jc w:val="right"/>
              <w:rPr>
                <w:rFonts w:asciiTheme="minorHAnsi" w:hAnsiTheme="minorHAnsi" w:cstheme="minorHAnsi"/>
                <w:sz w:val="8"/>
                <w:szCs w:val="24"/>
              </w:rPr>
            </w:pPr>
          </w:p>
        </w:tc>
        <w:tc>
          <w:tcPr>
            <w:tcW w:w="902" w:type="dxa"/>
            <w:tcBorders>
              <w:top w:val="single" w:sz="4" w:space="0" w:color="808080" w:themeColor="background1" w:themeShade="80"/>
            </w:tcBorders>
            <w:vAlign w:val="center"/>
          </w:tcPr>
          <w:p w14:paraId="6389A402" w14:textId="77777777" w:rsidR="00A024D8" w:rsidRPr="00332AB5" w:rsidRDefault="00A024D8" w:rsidP="00E2152B">
            <w:pPr>
              <w:jc w:val="right"/>
              <w:rPr>
                <w:rFonts w:asciiTheme="minorHAnsi" w:hAnsiTheme="minorHAnsi" w:cstheme="minorHAnsi"/>
                <w:sz w:val="8"/>
                <w:szCs w:val="24"/>
              </w:rPr>
            </w:pPr>
          </w:p>
        </w:tc>
        <w:tc>
          <w:tcPr>
            <w:tcW w:w="765" w:type="dxa"/>
            <w:tcBorders>
              <w:top w:val="single" w:sz="4" w:space="0" w:color="808080" w:themeColor="background1" w:themeShade="80"/>
            </w:tcBorders>
            <w:vAlign w:val="center"/>
          </w:tcPr>
          <w:p w14:paraId="3265D34B" w14:textId="77777777" w:rsidR="00A024D8" w:rsidRPr="00332AB5" w:rsidRDefault="00A024D8" w:rsidP="00E2152B">
            <w:pPr>
              <w:jc w:val="right"/>
              <w:rPr>
                <w:rFonts w:asciiTheme="minorHAnsi" w:hAnsiTheme="minorHAnsi" w:cstheme="minorHAnsi"/>
                <w:sz w:val="8"/>
                <w:szCs w:val="24"/>
              </w:rPr>
            </w:pPr>
          </w:p>
        </w:tc>
        <w:tc>
          <w:tcPr>
            <w:tcW w:w="959" w:type="dxa"/>
            <w:tcBorders>
              <w:top w:val="single" w:sz="4" w:space="0" w:color="808080" w:themeColor="background1" w:themeShade="80"/>
            </w:tcBorders>
            <w:vAlign w:val="center"/>
          </w:tcPr>
          <w:p w14:paraId="0767B3AD" w14:textId="77777777" w:rsidR="00A024D8" w:rsidRPr="00332AB5" w:rsidRDefault="00A024D8" w:rsidP="00E2152B">
            <w:pPr>
              <w:jc w:val="right"/>
              <w:rPr>
                <w:rFonts w:asciiTheme="minorHAnsi" w:hAnsiTheme="minorHAnsi" w:cstheme="minorHAnsi"/>
                <w:sz w:val="8"/>
                <w:szCs w:val="24"/>
              </w:rPr>
            </w:pPr>
          </w:p>
        </w:tc>
        <w:tc>
          <w:tcPr>
            <w:tcW w:w="776" w:type="dxa"/>
            <w:tcBorders>
              <w:top w:val="single" w:sz="4" w:space="0" w:color="808080" w:themeColor="background1" w:themeShade="80"/>
            </w:tcBorders>
            <w:vAlign w:val="center"/>
          </w:tcPr>
          <w:p w14:paraId="306495A4" w14:textId="77777777" w:rsidR="00A024D8" w:rsidRPr="00332AB5" w:rsidRDefault="00A024D8" w:rsidP="00E2152B">
            <w:pPr>
              <w:jc w:val="right"/>
              <w:rPr>
                <w:rFonts w:asciiTheme="minorHAnsi" w:hAnsiTheme="minorHAnsi" w:cstheme="minorHAnsi"/>
                <w:sz w:val="8"/>
                <w:szCs w:val="24"/>
              </w:rPr>
            </w:pPr>
          </w:p>
        </w:tc>
      </w:tr>
      <w:tr w:rsidR="000248D6" w:rsidRPr="00332AB5" w14:paraId="7FC563CE" w14:textId="77777777" w:rsidTr="000248D6">
        <w:trPr>
          <w:trHeight w:val="397"/>
        </w:trPr>
        <w:tc>
          <w:tcPr>
            <w:tcW w:w="1179" w:type="dxa"/>
            <w:vAlign w:val="center"/>
          </w:tcPr>
          <w:p w14:paraId="716795D8" w14:textId="77777777" w:rsidR="000248D6" w:rsidRPr="00332AB5" w:rsidRDefault="000248D6" w:rsidP="000248D6">
            <w:pPr>
              <w:rPr>
                <w:rFonts w:asciiTheme="minorHAnsi" w:hAnsiTheme="minorHAnsi" w:cstheme="minorHAnsi"/>
                <w:sz w:val="18"/>
                <w:szCs w:val="18"/>
              </w:rPr>
            </w:pPr>
            <w:r w:rsidRPr="00332AB5">
              <w:rPr>
                <w:rFonts w:asciiTheme="minorHAnsi" w:hAnsiTheme="minorHAnsi" w:cstheme="minorHAnsi"/>
                <w:sz w:val="18"/>
                <w:szCs w:val="18"/>
              </w:rPr>
              <w:t>PO 1</w:t>
            </w:r>
          </w:p>
        </w:tc>
        <w:tc>
          <w:tcPr>
            <w:tcW w:w="998" w:type="dxa"/>
            <w:vAlign w:val="center"/>
          </w:tcPr>
          <w:p w14:paraId="2DEC685F" w14:textId="62823025"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689,35</w:t>
            </w:r>
          </w:p>
        </w:tc>
        <w:tc>
          <w:tcPr>
            <w:tcW w:w="1089" w:type="dxa"/>
            <w:vAlign w:val="center"/>
          </w:tcPr>
          <w:p w14:paraId="616CC360" w14:textId="718E7B46"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740,99</w:t>
            </w:r>
          </w:p>
        </w:tc>
        <w:tc>
          <w:tcPr>
            <w:tcW w:w="845" w:type="dxa"/>
            <w:vAlign w:val="center"/>
          </w:tcPr>
          <w:p w14:paraId="249022ED" w14:textId="2DAF3DE0"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107,49</w:t>
            </w:r>
          </w:p>
        </w:tc>
        <w:tc>
          <w:tcPr>
            <w:tcW w:w="959" w:type="dxa"/>
            <w:vAlign w:val="center"/>
          </w:tcPr>
          <w:p w14:paraId="4898AAE6" w14:textId="377CEC6C"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483,68</w:t>
            </w:r>
          </w:p>
        </w:tc>
        <w:tc>
          <w:tcPr>
            <w:tcW w:w="742" w:type="dxa"/>
            <w:shd w:val="clear" w:color="auto" w:fill="auto"/>
            <w:vAlign w:val="center"/>
          </w:tcPr>
          <w:p w14:paraId="23E11A5D" w14:textId="2A3E28C8"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70,16</w:t>
            </w:r>
          </w:p>
        </w:tc>
        <w:tc>
          <w:tcPr>
            <w:tcW w:w="902" w:type="dxa"/>
            <w:vAlign w:val="center"/>
          </w:tcPr>
          <w:p w14:paraId="0DBD2F57" w14:textId="7616BC61"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348,85</w:t>
            </w:r>
          </w:p>
        </w:tc>
        <w:tc>
          <w:tcPr>
            <w:tcW w:w="765" w:type="dxa"/>
            <w:vAlign w:val="center"/>
          </w:tcPr>
          <w:p w14:paraId="2DCDD002" w14:textId="4D20388F"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50,61</w:t>
            </w:r>
          </w:p>
        </w:tc>
        <w:tc>
          <w:tcPr>
            <w:tcW w:w="959" w:type="dxa"/>
            <w:vAlign w:val="center"/>
          </w:tcPr>
          <w:p w14:paraId="4BB1A76E" w14:textId="77777777" w:rsidR="000248D6" w:rsidRPr="00332AB5" w:rsidRDefault="000248D6" w:rsidP="000248D6">
            <w:pPr>
              <w:jc w:val="right"/>
              <w:rPr>
                <w:rFonts w:asciiTheme="minorHAnsi" w:hAnsiTheme="minorHAnsi" w:cstheme="minorHAnsi"/>
                <w:sz w:val="18"/>
                <w:szCs w:val="18"/>
              </w:rPr>
            </w:pPr>
          </w:p>
        </w:tc>
        <w:tc>
          <w:tcPr>
            <w:tcW w:w="776" w:type="dxa"/>
            <w:vAlign w:val="center"/>
          </w:tcPr>
          <w:p w14:paraId="79710478" w14:textId="77777777" w:rsidR="000248D6" w:rsidRPr="00332AB5" w:rsidRDefault="000248D6" w:rsidP="000248D6">
            <w:pPr>
              <w:jc w:val="right"/>
              <w:rPr>
                <w:rFonts w:asciiTheme="minorHAnsi" w:hAnsiTheme="minorHAnsi" w:cstheme="minorHAnsi"/>
                <w:sz w:val="18"/>
                <w:szCs w:val="18"/>
              </w:rPr>
            </w:pPr>
          </w:p>
        </w:tc>
      </w:tr>
      <w:tr w:rsidR="000248D6" w:rsidRPr="00332AB5" w14:paraId="0BBFB28F" w14:textId="77777777" w:rsidTr="000248D6">
        <w:trPr>
          <w:trHeight w:val="397"/>
        </w:trPr>
        <w:tc>
          <w:tcPr>
            <w:tcW w:w="1179" w:type="dxa"/>
            <w:vAlign w:val="center"/>
          </w:tcPr>
          <w:p w14:paraId="5292CB8C" w14:textId="77777777" w:rsidR="000248D6" w:rsidRPr="00332AB5" w:rsidRDefault="000248D6" w:rsidP="000248D6">
            <w:pPr>
              <w:rPr>
                <w:rFonts w:asciiTheme="minorHAnsi" w:hAnsiTheme="minorHAnsi" w:cstheme="minorHAnsi"/>
                <w:sz w:val="18"/>
                <w:szCs w:val="18"/>
              </w:rPr>
            </w:pPr>
            <w:r w:rsidRPr="00332AB5">
              <w:rPr>
                <w:rFonts w:asciiTheme="minorHAnsi" w:hAnsiTheme="minorHAnsi" w:cstheme="minorHAnsi"/>
                <w:sz w:val="18"/>
                <w:szCs w:val="18"/>
              </w:rPr>
              <w:t>PO 2</w:t>
            </w:r>
          </w:p>
        </w:tc>
        <w:tc>
          <w:tcPr>
            <w:tcW w:w="998" w:type="dxa"/>
            <w:vAlign w:val="center"/>
          </w:tcPr>
          <w:p w14:paraId="6497A17C" w14:textId="2D3CF503"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226,37</w:t>
            </w:r>
          </w:p>
        </w:tc>
        <w:tc>
          <w:tcPr>
            <w:tcW w:w="1089" w:type="dxa"/>
            <w:vAlign w:val="center"/>
          </w:tcPr>
          <w:p w14:paraId="281AF3E8" w14:textId="37E26274"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265,35</w:t>
            </w:r>
          </w:p>
        </w:tc>
        <w:tc>
          <w:tcPr>
            <w:tcW w:w="845" w:type="dxa"/>
            <w:vAlign w:val="center"/>
          </w:tcPr>
          <w:p w14:paraId="2D0BC74D" w14:textId="36E57D36"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117,22</w:t>
            </w:r>
          </w:p>
        </w:tc>
        <w:tc>
          <w:tcPr>
            <w:tcW w:w="959" w:type="dxa"/>
            <w:vAlign w:val="center"/>
          </w:tcPr>
          <w:p w14:paraId="37E99B68" w14:textId="7ECE0DFA"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48,82</w:t>
            </w:r>
          </w:p>
        </w:tc>
        <w:tc>
          <w:tcPr>
            <w:tcW w:w="742" w:type="dxa"/>
            <w:vAlign w:val="center"/>
          </w:tcPr>
          <w:p w14:paraId="17FBB4BC" w14:textId="7D43B9DC"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21,57</w:t>
            </w:r>
          </w:p>
        </w:tc>
        <w:tc>
          <w:tcPr>
            <w:tcW w:w="902" w:type="dxa"/>
            <w:vAlign w:val="center"/>
          </w:tcPr>
          <w:p w14:paraId="2E513C82" w14:textId="24E5BD80"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36,97</w:t>
            </w:r>
          </w:p>
        </w:tc>
        <w:tc>
          <w:tcPr>
            <w:tcW w:w="765" w:type="dxa"/>
            <w:vAlign w:val="center"/>
          </w:tcPr>
          <w:p w14:paraId="7D8B0125" w14:textId="4AE635AC"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16,33</w:t>
            </w:r>
          </w:p>
        </w:tc>
        <w:tc>
          <w:tcPr>
            <w:tcW w:w="959" w:type="dxa"/>
            <w:vAlign w:val="center"/>
          </w:tcPr>
          <w:p w14:paraId="58B7D1F0" w14:textId="77777777" w:rsidR="000248D6" w:rsidRPr="00332AB5" w:rsidRDefault="000248D6" w:rsidP="000248D6">
            <w:pPr>
              <w:jc w:val="right"/>
              <w:rPr>
                <w:rFonts w:asciiTheme="minorHAnsi" w:hAnsiTheme="minorHAnsi" w:cstheme="minorHAnsi"/>
                <w:sz w:val="18"/>
                <w:szCs w:val="18"/>
              </w:rPr>
            </w:pPr>
          </w:p>
        </w:tc>
        <w:tc>
          <w:tcPr>
            <w:tcW w:w="776" w:type="dxa"/>
            <w:vAlign w:val="center"/>
          </w:tcPr>
          <w:p w14:paraId="1EFDDACD" w14:textId="77777777" w:rsidR="000248D6" w:rsidRPr="00332AB5" w:rsidRDefault="000248D6" w:rsidP="000248D6">
            <w:pPr>
              <w:jc w:val="right"/>
              <w:rPr>
                <w:rFonts w:asciiTheme="minorHAnsi" w:hAnsiTheme="minorHAnsi" w:cstheme="minorHAnsi"/>
                <w:sz w:val="18"/>
                <w:szCs w:val="18"/>
              </w:rPr>
            </w:pPr>
          </w:p>
        </w:tc>
      </w:tr>
      <w:tr w:rsidR="000248D6" w:rsidRPr="00332AB5" w14:paraId="0EAF2764" w14:textId="77777777" w:rsidTr="000248D6">
        <w:trPr>
          <w:trHeight w:val="397"/>
        </w:trPr>
        <w:tc>
          <w:tcPr>
            <w:tcW w:w="1179" w:type="dxa"/>
            <w:vAlign w:val="center"/>
          </w:tcPr>
          <w:p w14:paraId="5431C162" w14:textId="77777777" w:rsidR="000248D6" w:rsidRPr="00332AB5" w:rsidRDefault="000248D6" w:rsidP="000248D6">
            <w:pPr>
              <w:rPr>
                <w:rFonts w:asciiTheme="minorHAnsi" w:hAnsiTheme="minorHAnsi" w:cstheme="minorHAnsi"/>
                <w:sz w:val="18"/>
                <w:szCs w:val="18"/>
              </w:rPr>
            </w:pPr>
            <w:r w:rsidRPr="00332AB5">
              <w:rPr>
                <w:rFonts w:asciiTheme="minorHAnsi" w:hAnsiTheme="minorHAnsi" w:cstheme="minorHAnsi"/>
                <w:sz w:val="18"/>
                <w:szCs w:val="18"/>
              </w:rPr>
              <w:t>PO 3</w:t>
            </w:r>
          </w:p>
        </w:tc>
        <w:tc>
          <w:tcPr>
            <w:tcW w:w="998" w:type="dxa"/>
            <w:vAlign w:val="center"/>
          </w:tcPr>
          <w:p w14:paraId="13D4B79A" w14:textId="00FEB322"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1.293,79</w:t>
            </w:r>
          </w:p>
        </w:tc>
        <w:tc>
          <w:tcPr>
            <w:tcW w:w="1089" w:type="dxa"/>
            <w:vAlign w:val="center"/>
          </w:tcPr>
          <w:p w14:paraId="6294511B" w14:textId="73122A42"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1.269,29</w:t>
            </w:r>
          </w:p>
        </w:tc>
        <w:tc>
          <w:tcPr>
            <w:tcW w:w="845" w:type="dxa"/>
            <w:vAlign w:val="center"/>
          </w:tcPr>
          <w:p w14:paraId="6EF8618E" w14:textId="63FAF12E"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98,11</w:t>
            </w:r>
          </w:p>
        </w:tc>
        <w:tc>
          <w:tcPr>
            <w:tcW w:w="959" w:type="dxa"/>
            <w:vAlign w:val="center"/>
          </w:tcPr>
          <w:p w14:paraId="49C3823E" w14:textId="70F96B5D"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1.176,77</w:t>
            </w:r>
          </w:p>
        </w:tc>
        <w:tc>
          <w:tcPr>
            <w:tcW w:w="742" w:type="dxa"/>
            <w:vAlign w:val="center"/>
          </w:tcPr>
          <w:p w14:paraId="6C684F86" w14:textId="368A935A"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90,95</w:t>
            </w:r>
          </w:p>
        </w:tc>
        <w:tc>
          <w:tcPr>
            <w:tcW w:w="902" w:type="dxa"/>
            <w:vAlign w:val="center"/>
          </w:tcPr>
          <w:p w14:paraId="78BFC10F" w14:textId="28F4E6C4"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1.221,26</w:t>
            </w:r>
          </w:p>
        </w:tc>
        <w:tc>
          <w:tcPr>
            <w:tcW w:w="765" w:type="dxa"/>
            <w:vAlign w:val="center"/>
          </w:tcPr>
          <w:p w14:paraId="6F5E668A" w14:textId="4D482A4C"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94,39</w:t>
            </w:r>
          </w:p>
        </w:tc>
        <w:tc>
          <w:tcPr>
            <w:tcW w:w="959" w:type="dxa"/>
            <w:vAlign w:val="center"/>
          </w:tcPr>
          <w:p w14:paraId="1390B359" w14:textId="77777777" w:rsidR="000248D6" w:rsidRPr="00332AB5" w:rsidRDefault="000248D6" w:rsidP="000248D6">
            <w:pPr>
              <w:jc w:val="right"/>
              <w:rPr>
                <w:rFonts w:asciiTheme="minorHAnsi" w:hAnsiTheme="minorHAnsi" w:cstheme="minorHAnsi"/>
                <w:sz w:val="18"/>
                <w:szCs w:val="18"/>
              </w:rPr>
            </w:pPr>
          </w:p>
        </w:tc>
        <w:tc>
          <w:tcPr>
            <w:tcW w:w="776" w:type="dxa"/>
            <w:vAlign w:val="center"/>
          </w:tcPr>
          <w:p w14:paraId="313D1082" w14:textId="77777777" w:rsidR="000248D6" w:rsidRPr="00332AB5" w:rsidRDefault="000248D6" w:rsidP="000248D6">
            <w:pPr>
              <w:jc w:val="right"/>
              <w:rPr>
                <w:rFonts w:asciiTheme="minorHAnsi" w:hAnsiTheme="minorHAnsi" w:cstheme="minorHAnsi"/>
                <w:sz w:val="18"/>
                <w:szCs w:val="18"/>
              </w:rPr>
            </w:pPr>
          </w:p>
        </w:tc>
      </w:tr>
      <w:tr w:rsidR="000248D6" w:rsidRPr="00332AB5" w14:paraId="10C36A11" w14:textId="77777777" w:rsidTr="000248D6">
        <w:trPr>
          <w:trHeight w:val="397"/>
        </w:trPr>
        <w:tc>
          <w:tcPr>
            <w:tcW w:w="1179" w:type="dxa"/>
            <w:vAlign w:val="center"/>
          </w:tcPr>
          <w:p w14:paraId="7086EAD6" w14:textId="77777777" w:rsidR="000248D6" w:rsidRPr="00332AB5" w:rsidRDefault="000248D6" w:rsidP="000248D6">
            <w:pPr>
              <w:rPr>
                <w:rFonts w:asciiTheme="minorHAnsi" w:hAnsiTheme="minorHAnsi" w:cstheme="minorHAnsi"/>
                <w:sz w:val="18"/>
                <w:szCs w:val="18"/>
              </w:rPr>
            </w:pPr>
            <w:r w:rsidRPr="00332AB5">
              <w:rPr>
                <w:rFonts w:asciiTheme="minorHAnsi" w:hAnsiTheme="minorHAnsi" w:cstheme="minorHAnsi"/>
                <w:sz w:val="18"/>
                <w:szCs w:val="18"/>
              </w:rPr>
              <w:t>PO 4</w:t>
            </w:r>
          </w:p>
        </w:tc>
        <w:tc>
          <w:tcPr>
            <w:tcW w:w="998" w:type="dxa"/>
            <w:vAlign w:val="center"/>
          </w:tcPr>
          <w:p w14:paraId="02EC06D6" w14:textId="58853ADA"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530,06</w:t>
            </w:r>
          </w:p>
        </w:tc>
        <w:tc>
          <w:tcPr>
            <w:tcW w:w="1089" w:type="dxa"/>
            <w:vAlign w:val="center"/>
          </w:tcPr>
          <w:p w14:paraId="33CEF338" w14:textId="5F09E2B5"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548,97</w:t>
            </w:r>
          </w:p>
        </w:tc>
        <w:tc>
          <w:tcPr>
            <w:tcW w:w="845" w:type="dxa"/>
            <w:vAlign w:val="center"/>
          </w:tcPr>
          <w:p w14:paraId="25557D05" w14:textId="1D015B5C"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103,57</w:t>
            </w:r>
          </w:p>
        </w:tc>
        <w:tc>
          <w:tcPr>
            <w:tcW w:w="959" w:type="dxa"/>
            <w:vAlign w:val="center"/>
          </w:tcPr>
          <w:p w14:paraId="5BA9F2D8" w14:textId="416FECFF"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406,06</w:t>
            </w:r>
          </w:p>
        </w:tc>
        <w:tc>
          <w:tcPr>
            <w:tcW w:w="742" w:type="dxa"/>
            <w:vAlign w:val="center"/>
          </w:tcPr>
          <w:p w14:paraId="21D633FE" w14:textId="1B701962"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76,61</w:t>
            </w:r>
          </w:p>
        </w:tc>
        <w:tc>
          <w:tcPr>
            <w:tcW w:w="902" w:type="dxa"/>
            <w:vAlign w:val="center"/>
          </w:tcPr>
          <w:p w14:paraId="319563DA" w14:textId="31F473E7"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171,00</w:t>
            </w:r>
          </w:p>
        </w:tc>
        <w:tc>
          <w:tcPr>
            <w:tcW w:w="765" w:type="dxa"/>
            <w:vAlign w:val="center"/>
          </w:tcPr>
          <w:p w14:paraId="4B246E19" w14:textId="0204D6E6"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32,26</w:t>
            </w:r>
          </w:p>
        </w:tc>
        <w:tc>
          <w:tcPr>
            <w:tcW w:w="959" w:type="dxa"/>
            <w:vAlign w:val="center"/>
          </w:tcPr>
          <w:p w14:paraId="4FA08EFF" w14:textId="77777777" w:rsidR="000248D6" w:rsidRPr="00332AB5" w:rsidRDefault="000248D6" w:rsidP="000248D6">
            <w:pPr>
              <w:jc w:val="right"/>
              <w:rPr>
                <w:rFonts w:asciiTheme="minorHAnsi" w:hAnsiTheme="minorHAnsi" w:cstheme="minorHAnsi"/>
                <w:sz w:val="18"/>
                <w:szCs w:val="18"/>
              </w:rPr>
            </w:pPr>
          </w:p>
        </w:tc>
        <w:tc>
          <w:tcPr>
            <w:tcW w:w="776" w:type="dxa"/>
            <w:vAlign w:val="center"/>
          </w:tcPr>
          <w:p w14:paraId="5D9AA547" w14:textId="77777777" w:rsidR="000248D6" w:rsidRPr="00332AB5" w:rsidRDefault="000248D6" w:rsidP="000248D6">
            <w:pPr>
              <w:jc w:val="right"/>
              <w:rPr>
                <w:rFonts w:asciiTheme="minorHAnsi" w:hAnsiTheme="minorHAnsi" w:cstheme="minorHAnsi"/>
                <w:sz w:val="18"/>
                <w:szCs w:val="18"/>
              </w:rPr>
            </w:pPr>
          </w:p>
        </w:tc>
      </w:tr>
      <w:tr w:rsidR="000248D6" w:rsidRPr="00332AB5" w14:paraId="0DDE166A" w14:textId="77777777" w:rsidTr="000248D6">
        <w:trPr>
          <w:trHeight w:val="397"/>
        </w:trPr>
        <w:tc>
          <w:tcPr>
            <w:tcW w:w="1179" w:type="dxa"/>
            <w:vAlign w:val="center"/>
          </w:tcPr>
          <w:p w14:paraId="33C8B66A" w14:textId="77777777" w:rsidR="000248D6" w:rsidRPr="00332AB5" w:rsidRDefault="000248D6" w:rsidP="000248D6">
            <w:pPr>
              <w:rPr>
                <w:rFonts w:asciiTheme="minorHAnsi" w:hAnsiTheme="minorHAnsi" w:cstheme="minorHAnsi"/>
                <w:sz w:val="18"/>
                <w:szCs w:val="18"/>
              </w:rPr>
            </w:pPr>
            <w:r w:rsidRPr="00332AB5">
              <w:rPr>
                <w:rFonts w:asciiTheme="minorHAnsi" w:hAnsiTheme="minorHAnsi" w:cstheme="minorHAnsi"/>
                <w:sz w:val="18"/>
                <w:szCs w:val="18"/>
              </w:rPr>
              <w:t>PO 5</w:t>
            </w:r>
          </w:p>
        </w:tc>
        <w:tc>
          <w:tcPr>
            <w:tcW w:w="998" w:type="dxa"/>
            <w:vAlign w:val="center"/>
          </w:tcPr>
          <w:p w14:paraId="360AC8BD" w14:textId="4E429F3C"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209,13</w:t>
            </w:r>
          </w:p>
        </w:tc>
        <w:tc>
          <w:tcPr>
            <w:tcW w:w="1089" w:type="dxa"/>
            <w:vAlign w:val="center"/>
          </w:tcPr>
          <w:p w14:paraId="56C3D865" w14:textId="72A79146"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302,73</w:t>
            </w:r>
          </w:p>
        </w:tc>
        <w:tc>
          <w:tcPr>
            <w:tcW w:w="845" w:type="dxa"/>
            <w:vAlign w:val="center"/>
          </w:tcPr>
          <w:p w14:paraId="32517D73" w14:textId="581A8A9F"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144,76</w:t>
            </w:r>
          </w:p>
        </w:tc>
        <w:tc>
          <w:tcPr>
            <w:tcW w:w="959" w:type="dxa"/>
            <w:vAlign w:val="center"/>
          </w:tcPr>
          <w:p w14:paraId="7B4667AF" w14:textId="67CBC347"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157,81</w:t>
            </w:r>
          </w:p>
        </w:tc>
        <w:tc>
          <w:tcPr>
            <w:tcW w:w="742" w:type="dxa"/>
            <w:vAlign w:val="center"/>
          </w:tcPr>
          <w:p w14:paraId="5704ACA5" w14:textId="787429AF"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75,46</w:t>
            </w:r>
          </w:p>
        </w:tc>
        <w:tc>
          <w:tcPr>
            <w:tcW w:w="902" w:type="dxa"/>
            <w:vAlign w:val="center"/>
          </w:tcPr>
          <w:p w14:paraId="69600A62" w14:textId="41E3A5EB"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75,72</w:t>
            </w:r>
          </w:p>
        </w:tc>
        <w:tc>
          <w:tcPr>
            <w:tcW w:w="765" w:type="dxa"/>
            <w:vAlign w:val="center"/>
          </w:tcPr>
          <w:p w14:paraId="247B46A4" w14:textId="0428F41B"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36,21</w:t>
            </w:r>
          </w:p>
        </w:tc>
        <w:tc>
          <w:tcPr>
            <w:tcW w:w="959" w:type="dxa"/>
            <w:vAlign w:val="center"/>
          </w:tcPr>
          <w:p w14:paraId="2851D0C7" w14:textId="77777777" w:rsidR="000248D6" w:rsidRPr="00332AB5" w:rsidRDefault="000248D6" w:rsidP="000248D6">
            <w:pPr>
              <w:jc w:val="right"/>
              <w:rPr>
                <w:rFonts w:asciiTheme="minorHAnsi" w:hAnsiTheme="minorHAnsi" w:cstheme="minorHAnsi"/>
                <w:sz w:val="18"/>
                <w:szCs w:val="18"/>
              </w:rPr>
            </w:pPr>
          </w:p>
        </w:tc>
        <w:tc>
          <w:tcPr>
            <w:tcW w:w="776" w:type="dxa"/>
            <w:vAlign w:val="center"/>
          </w:tcPr>
          <w:p w14:paraId="65C33BE8" w14:textId="77777777" w:rsidR="000248D6" w:rsidRPr="00332AB5" w:rsidRDefault="000248D6" w:rsidP="000248D6">
            <w:pPr>
              <w:jc w:val="right"/>
              <w:rPr>
                <w:rFonts w:asciiTheme="minorHAnsi" w:hAnsiTheme="minorHAnsi" w:cstheme="minorHAnsi"/>
                <w:sz w:val="18"/>
                <w:szCs w:val="18"/>
              </w:rPr>
            </w:pPr>
          </w:p>
        </w:tc>
      </w:tr>
      <w:tr w:rsidR="000248D6" w:rsidRPr="00332AB5" w14:paraId="0AAF397B" w14:textId="77777777" w:rsidTr="000248D6">
        <w:trPr>
          <w:trHeight w:val="397"/>
        </w:trPr>
        <w:tc>
          <w:tcPr>
            <w:tcW w:w="1179" w:type="dxa"/>
            <w:vAlign w:val="center"/>
          </w:tcPr>
          <w:p w14:paraId="1C0E9FE6" w14:textId="77777777" w:rsidR="000248D6" w:rsidRPr="00332AB5" w:rsidRDefault="000248D6" w:rsidP="000248D6">
            <w:pPr>
              <w:rPr>
                <w:rFonts w:asciiTheme="minorHAnsi" w:hAnsiTheme="minorHAnsi" w:cstheme="minorHAnsi"/>
                <w:sz w:val="18"/>
                <w:szCs w:val="18"/>
              </w:rPr>
            </w:pPr>
            <w:r w:rsidRPr="00332AB5">
              <w:rPr>
                <w:rFonts w:asciiTheme="minorHAnsi" w:hAnsiTheme="minorHAnsi" w:cstheme="minorHAnsi"/>
                <w:sz w:val="18"/>
                <w:szCs w:val="18"/>
              </w:rPr>
              <w:t>PO 6</w:t>
            </w:r>
          </w:p>
        </w:tc>
        <w:tc>
          <w:tcPr>
            <w:tcW w:w="998" w:type="dxa"/>
            <w:vAlign w:val="center"/>
          </w:tcPr>
          <w:p w14:paraId="781907A7" w14:textId="788DBC4B"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1.566,58</w:t>
            </w:r>
          </w:p>
        </w:tc>
        <w:tc>
          <w:tcPr>
            <w:tcW w:w="1089" w:type="dxa"/>
            <w:vAlign w:val="center"/>
          </w:tcPr>
          <w:p w14:paraId="73478E59" w14:textId="1890AF3D"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3.021,97</w:t>
            </w:r>
          </w:p>
        </w:tc>
        <w:tc>
          <w:tcPr>
            <w:tcW w:w="845" w:type="dxa"/>
            <w:vAlign w:val="center"/>
          </w:tcPr>
          <w:p w14:paraId="1B2CCFC4" w14:textId="0D44EA6E"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192,90</w:t>
            </w:r>
          </w:p>
        </w:tc>
        <w:tc>
          <w:tcPr>
            <w:tcW w:w="959" w:type="dxa"/>
            <w:vAlign w:val="center"/>
          </w:tcPr>
          <w:p w14:paraId="212B472E" w14:textId="12EDD647"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1.629,54</w:t>
            </w:r>
          </w:p>
        </w:tc>
        <w:tc>
          <w:tcPr>
            <w:tcW w:w="742" w:type="dxa"/>
            <w:vAlign w:val="center"/>
          </w:tcPr>
          <w:p w14:paraId="1456734D" w14:textId="6B42B059"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104,02</w:t>
            </w:r>
          </w:p>
        </w:tc>
        <w:tc>
          <w:tcPr>
            <w:tcW w:w="902" w:type="dxa"/>
            <w:vAlign w:val="center"/>
          </w:tcPr>
          <w:p w14:paraId="5391FE4E" w14:textId="7F29B276"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873,87</w:t>
            </w:r>
          </w:p>
        </w:tc>
        <w:tc>
          <w:tcPr>
            <w:tcW w:w="765" w:type="dxa"/>
            <w:vAlign w:val="center"/>
          </w:tcPr>
          <w:p w14:paraId="22D5CC0E" w14:textId="7086E298"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55,78</w:t>
            </w:r>
          </w:p>
        </w:tc>
        <w:tc>
          <w:tcPr>
            <w:tcW w:w="959" w:type="dxa"/>
            <w:vAlign w:val="center"/>
          </w:tcPr>
          <w:p w14:paraId="7F020721" w14:textId="77777777" w:rsidR="000248D6" w:rsidRPr="00332AB5" w:rsidRDefault="000248D6" w:rsidP="000248D6">
            <w:pPr>
              <w:jc w:val="right"/>
              <w:rPr>
                <w:rFonts w:asciiTheme="minorHAnsi" w:hAnsiTheme="minorHAnsi" w:cstheme="minorHAnsi"/>
                <w:sz w:val="18"/>
                <w:szCs w:val="18"/>
              </w:rPr>
            </w:pPr>
          </w:p>
        </w:tc>
        <w:tc>
          <w:tcPr>
            <w:tcW w:w="776" w:type="dxa"/>
            <w:vAlign w:val="center"/>
          </w:tcPr>
          <w:p w14:paraId="0BD87939" w14:textId="77777777" w:rsidR="000248D6" w:rsidRPr="00332AB5" w:rsidRDefault="000248D6" w:rsidP="000248D6">
            <w:pPr>
              <w:jc w:val="right"/>
              <w:rPr>
                <w:rFonts w:asciiTheme="minorHAnsi" w:hAnsiTheme="minorHAnsi" w:cstheme="minorHAnsi"/>
                <w:sz w:val="18"/>
                <w:szCs w:val="18"/>
              </w:rPr>
            </w:pPr>
          </w:p>
        </w:tc>
      </w:tr>
      <w:tr w:rsidR="000248D6" w:rsidRPr="00332AB5" w14:paraId="38965707" w14:textId="77777777" w:rsidTr="000248D6">
        <w:trPr>
          <w:trHeight w:val="397"/>
        </w:trPr>
        <w:tc>
          <w:tcPr>
            <w:tcW w:w="1179" w:type="dxa"/>
            <w:vAlign w:val="center"/>
          </w:tcPr>
          <w:p w14:paraId="7F3CD8E1" w14:textId="77777777" w:rsidR="000248D6" w:rsidRPr="00332AB5" w:rsidRDefault="000248D6" w:rsidP="000248D6">
            <w:pPr>
              <w:rPr>
                <w:rFonts w:asciiTheme="minorHAnsi" w:hAnsiTheme="minorHAnsi" w:cstheme="minorHAnsi"/>
                <w:sz w:val="18"/>
                <w:szCs w:val="18"/>
              </w:rPr>
            </w:pPr>
            <w:r w:rsidRPr="00332AB5">
              <w:rPr>
                <w:rFonts w:asciiTheme="minorHAnsi" w:hAnsiTheme="minorHAnsi" w:cstheme="minorHAnsi"/>
                <w:sz w:val="18"/>
                <w:szCs w:val="18"/>
              </w:rPr>
              <w:t>PO 7</w:t>
            </w:r>
          </w:p>
        </w:tc>
        <w:tc>
          <w:tcPr>
            <w:tcW w:w="998" w:type="dxa"/>
            <w:vAlign w:val="center"/>
          </w:tcPr>
          <w:p w14:paraId="5C592E97" w14:textId="52DDC430"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1.280,38</w:t>
            </w:r>
          </w:p>
        </w:tc>
        <w:tc>
          <w:tcPr>
            <w:tcW w:w="1089" w:type="dxa"/>
            <w:vAlign w:val="center"/>
          </w:tcPr>
          <w:p w14:paraId="645D44A0" w14:textId="72B479DE"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1.741,16</w:t>
            </w:r>
          </w:p>
        </w:tc>
        <w:tc>
          <w:tcPr>
            <w:tcW w:w="845" w:type="dxa"/>
            <w:vAlign w:val="center"/>
          </w:tcPr>
          <w:p w14:paraId="691E8BEF" w14:textId="27E22A52"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135,99</w:t>
            </w:r>
          </w:p>
        </w:tc>
        <w:tc>
          <w:tcPr>
            <w:tcW w:w="959" w:type="dxa"/>
            <w:vAlign w:val="center"/>
          </w:tcPr>
          <w:p w14:paraId="53EB398C" w14:textId="0F3B0370"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1.002,03</w:t>
            </w:r>
          </w:p>
        </w:tc>
        <w:tc>
          <w:tcPr>
            <w:tcW w:w="742" w:type="dxa"/>
            <w:vAlign w:val="center"/>
          </w:tcPr>
          <w:p w14:paraId="020B9504" w14:textId="56A0A0B9"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78,26</w:t>
            </w:r>
          </w:p>
        </w:tc>
        <w:tc>
          <w:tcPr>
            <w:tcW w:w="902" w:type="dxa"/>
            <w:vAlign w:val="center"/>
          </w:tcPr>
          <w:p w14:paraId="1160762D" w14:textId="1008C891"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793,47</w:t>
            </w:r>
          </w:p>
        </w:tc>
        <w:tc>
          <w:tcPr>
            <w:tcW w:w="765" w:type="dxa"/>
            <w:vAlign w:val="center"/>
          </w:tcPr>
          <w:p w14:paraId="3CA246E9" w14:textId="5E6FBC96"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61,97</w:t>
            </w:r>
          </w:p>
        </w:tc>
        <w:tc>
          <w:tcPr>
            <w:tcW w:w="959" w:type="dxa"/>
            <w:vAlign w:val="center"/>
          </w:tcPr>
          <w:p w14:paraId="388729B8" w14:textId="77777777" w:rsidR="000248D6" w:rsidRPr="00332AB5" w:rsidRDefault="000248D6" w:rsidP="000248D6">
            <w:pPr>
              <w:jc w:val="right"/>
              <w:rPr>
                <w:rFonts w:asciiTheme="minorHAnsi" w:hAnsiTheme="minorHAnsi" w:cstheme="minorHAnsi"/>
                <w:sz w:val="18"/>
                <w:szCs w:val="18"/>
              </w:rPr>
            </w:pPr>
          </w:p>
        </w:tc>
        <w:tc>
          <w:tcPr>
            <w:tcW w:w="776" w:type="dxa"/>
            <w:vAlign w:val="center"/>
          </w:tcPr>
          <w:p w14:paraId="34583FDA" w14:textId="77777777" w:rsidR="000248D6" w:rsidRPr="00332AB5" w:rsidRDefault="000248D6" w:rsidP="000248D6">
            <w:pPr>
              <w:jc w:val="right"/>
              <w:rPr>
                <w:rFonts w:asciiTheme="minorHAnsi" w:hAnsiTheme="minorHAnsi" w:cstheme="minorHAnsi"/>
                <w:sz w:val="18"/>
                <w:szCs w:val="18"/>
              </w:rPr>
            </w:pPr>
          </w:p>
        </w:tc>
      </w:tr>
      <w:tr w:rsidR="000248D6" w:rsidRPr="00332AB5" w14:paraId="7364E4A8" w14:textId="77777777" w:rsidTr="000248D6">
        <w:trPr>
          <w:trHeight w:val="397"/>
        </w:trPr>
        <w:tc>
          <w:tcPr>
            <w:tcW w:w="1179" w:type="dxa"/>
            <w:vAlign w:val="center"/>
          </w:tcPr>
          <w:p w14:paraId="7A95704C" w14:textId="77777777" w:rsidR="000248D6" w:rsidRPr="00332AB5" w:rsidRDefault="000248D6" w:rsidP="000248D6">
            <w:pPr>
              <w:rPr>
                <w:rFonts w:asciiTheme="minorHAnsi" w:hAnsiTheme="minorHAnsi" w:cstheme="minorHAnsi"/>
                <w:sz w:val="18"/>
                <w:szCs w:val="18"/>
              </w:rPr>
            </w:pPr>
            <w:r w:rsidRPr="00332AB5">
              <w:rPr>
                <w:rFonts w:asciiTheme="minorHAnsi" w:hAnsiTheme="minorHAnsi" w:cstheme="minorHAnsi"/>
                <w:sz w:val="18"/>
                <w:szCs w:val="18"/>
              </w:rPr>
              <w:t>PO 8</w:t>
            </w:r>
          </w:p>
        </w:tc>
        <w:tc>
          <w:tcPr>
            <w:tcW w:w="998" w:type="dxa"/>
            <w:vAlign w:val="center"/>
          </w:tcPr>
          <w:p w14:paraId="5201FBC2" w14:textId="209F6401"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396,77</w:t>
            </w:r>
          </w:p>
        </w:tc>
        <w:tc>
          <w:tcPr>
            <w:tcW w:w="1089" w:type="dxa"/>
            <w:vAlign w:val="center"/>
          </w:tcPr>
          <w:p w14:paraId="31242DE6" w14:textId="40C1B7D7"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522,47</w:t>
            </w:r>
          </w:p>
        </w:tc>
        <w:tc>
          <w:tcPr>
            <w:tcW w:w="845" w:type="dxa"/>
            <w:vAlign w:val="center"/>
          </w:tcPr>
          <w:p w14:paraId="5401A406" w14:textId="2A7E53A6"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131,68</w:t>
            </w:r>
          </w:p>
        </w:tc>
        <w:tc>
          <w:tcPr>
            <w:tcW w:w="959" w:type="dxa"/>
            <w:vAlign w:val="center"/>
          </w:tcPr>
          <w:p w14:paraId="5DFE615B" w14:textId="08CD0DFD"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401,21</w:t>
            </w:r>
          </w:p>
        </w:tc>
        <w:tc>
          <w:tcPr>
            <w:tcW w:w="742" w:type="dxa"/>
            <w:vAlign w:val="center"/>
          </w:tcPr>
          <w:p w14:paraId="02E9BE79" w14:textId="30B62470"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101,12</w:t>
            </w:r>
          </w:p>
        </w:tc>
        <w:tc>
          <w:tcPr>
            <w:tcW w:w="902" w:type="dxa"/>
            <w:vAlign w:val="center"/>
          </w:tcPr>
          <w:p w14:paraId="5C3CD656" w14:textId="4EC99AC6"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328,92</w:t>
            </w:r>
          </w:p>
        </w:tc>
        <w:tc>
          <w:tcPr>
            <w:tcW w:w="765" w:type="dxa"/>
            <w:vAlign w:val="center"/>
          </w:tcPr>
          <w:p w14:paraId="24F78BCB" w14:textId="64E176FA"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82,90</w:t>
            </w:r>
          </w:p>
        </w:tc>
        <w:tc>
          <w:tcPr>
            <w:tcW w:w="959" w:type="dxa"/>
            <w:vAlign w:val="center"/>
          </w:tcPr>
          <w:p w14:paraId="47BAC077" w14:textId="77777777" w:rsidR="000248D6" w:rsidRPr="00332AB5" w:rsidRDefault="000248D6" w:rsidP="000248D6">
            <w:pPr>
              <w:jc w:val="right"/>
              <w:rPr>
                <w:rFonts w:asciiTheme="minorHAnsi" w:hAnsiTheme="minorHAnsi" w:cstheme="minorHAnsi"/>
                <w:sz w:val="18"/>
                <w:szCs w:val="18"/>
              </w:rPr>
            </w:pPr>
          </w:p>
        </w:tc>
        <w:tc>
          <w:tcPr>
            <w:tcW w:w="776" w:type="dxa"/>
            <w:vAlign w:val="center"/>
          </w:tcPr>
          <w:p w14:paraId="62766746" w14:textId="77777777" w:rsidR="000248D6" w:rsidRPr="00332AB5" w:rsidRDefault="000248D6" w:rsidP="000248D6">
            <w:pPr>
              <w:jc w:val="right"/>
              <w:rPr>
                <w:rFonts w:asciiTheme="minorHAnsi" w:hAnsiTheme="minorHAnsi" w:cstheme="minorHAnsi"/>
                <w:sz w:val="18"/>
                <w:szCs w:val="18"/>
              </w:rPr>
            </w:pPr>
          </w:p>
        </w:tc>
      </w:tr>
      <w:tr w:rsidR="000248D6" w:rsidRPr="00332AB5" w14:paraId="6EC968A8" w14:textId="77777777" w:rsidTr="000248D6">
        <w:trPr>
          <w:trHeight w:val="397"/>
        </w:trPr>
        <w:tc>
          <w:tcPr>
            <w:tcW w:w="1179" w:type="dxa"/>
            <w:vAlign w:val="center"/>
          </w:tcPr>
          <w:p w14:paraId="00A50762" w14:textId="77777777" w:rsidR="000248D6" w:rsidRPr="00332AB5" w:rsidRDefault="000248D6" w:rsidP="000248D6">
            <w:pPr>
              <w:rPr>
                <w:rFonts w:asciiTheme="minorHAnsi" w:hAnsiTheme="minorHAnsi" w:cstheme="minorHAnsi"/>
                <w:sz w:val="18"/>
                <w:szCs w:val="18"/>
              </w:rPr>
            </w:pPr>
            <w:r w:rsidRPr="00332AB5">
              <w:rPr>
                <w:rFonts w:asciiTheme="minorHAnsi" w:hAnsiTheme="minorHAnsi" w:cstheme="minorHAnsi"/>
                <w:sz w:val="18"/>
                <w:szCs w:val="18"/>
              </w:rPr>
              <w:t>PO 9</w:t>
            </w:r>
          </w:p>
        </w:tc>
        <w:tc>
          <w:tcPr>
            <w:tcW w:w="998" w:type="dxa"/>
            <w:vAlign w:val="center"/>
          </w:tcPr>
          <w:p w14:paraId="5618E1F0" w14:textId="28B5AC74"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304,91</w:t>
            </w:r>
          </w:p>
        </w:tc>
        <w:tc>
          <w:tcPr>
            <w:tcW w:w="1089" w:type="dxa"/>
            <w:vAlign w:val="center"/>
          </w:tcPr>
          <w:p w14:paraId="13A09BE4" w14:textId="5BB293D0"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372,81</w:t>
            </w:r>
          </w:p>
        </w:tc>
        <w:tc>
          <w:tcPr>
            <w:tcW w:w="845" w:type="dxa"/>
            <w:vAlign w:val="center"/>
          </w:tcPr>
          <w:p w14:paraId="138947C2" w14:textId="4B5BC233"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122,27</w:t>
            </w:r>
          </w:p>
        </w:tc>
        <w:tc>
          <w:tcPr>
            <w:tcW w:w="959" w:type="dxa"/>
            <w:vAlign w:val="center"/>
          </w:tcPr>
          <w:p w14:paraId="14928D5C" w14:textId="56BE5C73"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259,67</w:t>
            </w:r>
          </w:p>
        </w:tc>
        <w:tc>
          <w:tcPr>
            <w:tcW w:w="742" w:type="dxa"/>
            <w:vAlign w:val="center"/>
          </w:tcPr>
          <w:p w14:paraId="5545B885" w14:textId="0C122F88"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85,16</w:t>
            </w:r>
          </w:p>
        </w:tc>
        <w:tc>
          <w:tcPr>
            <w:tcW w:w="902" w:type="dxa"/>
            <w:vAlign w:val="center"/>
          </w:tcPr>
          <w:p w14:paraId="6EC4A5B3" w14:textId="1D3194F1"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233,37</w:t>
            </w:r>
          </w:p>
        </w:tc>
        <w:tc>
          <w:tcPr>
            <w:tcW w:w="765" w:type="dxa"/>
            <w:vAlign w:val="center"/>
          </w:tcPr>
          <w:p w14:paraId="0915A6A3" w14:textId="3053D8F0"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76,53</w:t>
            </w:r>
          </w:p>
        </w:tc>
        <w:tc>
          <w:tcPr>
            <w:tcW w:w="959" w:type="dxa"/>
            <w:vAlign w:val="center"/>
          </w:tcPr>
          <w:p w14:paraId="1EA67031" w14:textId="77777777" w:rsidR="000248D6" w:rsidRPr="00332AB5" w:rsidRDefault="000248D6" w:rsidP="000248D6">
            <w:pPr>
              <w:jc w:val="right"/>
              <w:rPr>
                <w:rFonts w:asciiTheme="minorHAnsi" w:hAnsiTheme="minorHAnsi" w:cstheme="minorHAnsi"/>
                <w:sz w:val="18"/>
                <w:szCs w:val="18"/>
              </w:rPr>
            </w:pPr>
          </w:p>
        </w:tc>
        <w:tc>
          <w:tcPr>
            <w:tcW w:w="776" w:type="dxa"/>
            <w:vAlign w:val="center"/>
          </w:tcPr>
          <w:p w14:paraId="722ACB62" w14:textId="77777777" w:rsidR="000248D6" w:rsidRPr="00332AB5" w:rsidRDefault="000248D6" w:rsidP="000248D6">
            <w:pPr>
              <w:jc w:val="right"/>
              <w:rPr>
                <w:rFonts w:asciiTheme="minorHAnsi" w:hAnsiTheme="minorHAnsi" w:cstheme="minorHAnsi"/>
                <w:sz w:val="18"/>
                <w:szCs w:val="18"/>
              </w:rPr>
            </w:pPr>
          </w:p>
        </w:tc>
      </w:tr>
      <w:tr w:rsidR="000248D6" w:rsidRPr="00332AB5" w14:paraId="0057A90E" w14:textId="77777777" w:rsidTr="000248D6">
        <w:trPr>
          <w:trHeight w:val="397"/>
        </w:trPr>
        <w:tc>
          <w:tcPr>
            <w:tcW w:w="1179" w:type="dxa"/>
            <w:vAlign w:val="center"/>
          </w:tcPr>
          <w:p w14:paraId="3FC0F130" w14:textId="77777777" w:rsidR="000248D6" w:rsidRPr="00332AB5" w:rsidRDefault="000248D6" w:rsidP="000248D6">
            <w:pPr>
              <w:rPr>
                <w:rFonts w:asciiTheme="minorHAnsi" w:hAnsiTheme="minorHAnsi" w:cstheme="minorHAnsi"/>
                <w:sz w:val="18"/>
                <w:szCs w:val="18"/>
              </w:rPr>
            </w:pPr>
            <w:r w:rsidRPr="00332AB5">
              <w:rPr>
                <w:rFonts w:asciiTheme="minorHAnsi" w:hAnsiTheme="minorHAnsi" w:cstheme="minorHAnsi"/>
                <w:sz w:val="18"/>
                <w:szCs w:val="18"/>
              </w:rPr>
              <w:t>PO 10</w:t>
            </w:r>
          </w:p>
        </w:tc>
        <w:tc>
          <w:tcPr>
            <w:tcW w:w="998" w:type="dxa"/>
            <w:vAlign w:val="center"/>
          </w:tcPr>
          <w:p w14:paraId="67F19786" w14:textId="367658C2"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236,11</w:t>
            </w:r>
          </w:p>
        </w:tc>
        <w:tc>
          <w:tcPr>
            <w:tcW w:w="1089" w:type="dxa"/>
            <w:vAlign w:val="center"/>
          </w:tcPr>
          <w:p w14:paraId="3A4EEEC2" w14:textId="79256CCA"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322,98</w:t>
            </w:r>
          </w:p>
        </w:tc>
        <w:tc>
          <w:tcPr>
            <w:tcW w:w="845" w:type="dxa"/>
            <w:vAlign w:val="center"/>
          </w:tcPr>
          <w:p w14:paraId="012A64B8" w14:textId="1A35EF87"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136,79</w:t>
            </w:r>
          </w:p>
        </w:tc>
        <w:tc>
          <w:tcPr>
            <w:tcW w:w="959" w:type="dxa"/>
            <w:vAlign w:val="center"/>
          </w:tcPr>
          <w:p w14:paraId="52668AF5" w14:textId="1472B81D"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240,64</w:t>
            </w:r>
          </w:p>
        </w:tc>
        <w:tc>
          <w:tcPr>
            <w:tcW w:w="742" w:type="dxa"/>
            <w:vAlign w:val="center"/>
          </w:tcPr>
          <w:p w14:paraId="42EDC7F9" w14:textId="4C163C40"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101,92</w:t>
            </w:r>
          </w:p>
        </w:tc>
        <w:tc>
          <w:tcPr>
            <w:tcW w:w="902" w:type="dxa"/>
            <w:vAlign w:val="center"/>
          </w:tcPr>
          <w:p w14:paraId="371D8123" w14:textId="176F8F05"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212,11</w:t>
            </w:r>
          </w:p>
        </w:tc>
        <w:tc>
          <w:tcPr>
            <w:tcW w:w="765" w:type="dxa"/>
            <w:vAlign w:val="center"/>
          </w:tcPr>
          <w:p w14:paraId="01EFE1DA" w14:textId="63341189"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89,83</w:t>
            </w:r>
          </w:p>
        </w:tc>
        <w:tc>
          <w:tcPr>
            <w:tcW w:w="959" w:type="dxa"/>
            <w:vAlign w:val="center"/>
          </w:tcPr>
          <w:p w14:paraId="6AB81C45" w14:textId="77777777" w:rsidR="000248D6" w:rsidRPr="00332AB5" w:rsidRDefault="000248D6" w:rsidP="000248D6">
            <w:pPr>
              <w:jc w:val="right"/>
              <w:rPr>
                <w:rFonts w:asciiTheme="minorHAnsi" w:hAnsiTheme="minorHAnsi" w:cstheme="minorHAnsi"/>
                <w:sz w:val="18"/>
                <w:szCs w:val="18"/>
              </w:rPr>
            </w:pPr>
          </w:p>
        </w:tc>
        <w:tc>
          <w:tcPr>
            <w:tcW w:w="776" w:type="dxa"/>
            <w:vAlign w:val="center"/>
          </w:tcPr>
          <w:p w14:paraId="34216620" w14:textId="77777777" w:rsidR="000248D6" w:rsidRPr="00332AB5" w:rsidRDefault="000248D6" w:rsidP="000248D6">
            <w:pPr>
              <w:jc w:val="right"/>
              <w:rPr>
                <w:rFonts w:asciiTheme="minorHAnsi" w:hAnsiTheme="minorHAnsi" w:cstheme="minorHAnsi"/>
                <w:sz w:val="18"/>
                <w:szCs w:val="18"/>
              </w:rPr>
            </w:pPr>
          </w:p>
        </w:tc>
      </w:tr>
      <w:tr w:rsidR="000248D6" w:rsidRPr="00332AB5" w14:paraId="560E274D" w14:textId="77777777" w:rsidTr="000248D6">
        <w:trPr>
          <w:trHeight w:val="397"/>
        </w:trPr>
        <w:tc>
          <w:tcPr>
            <w:tcW w:w="1179" w:type="dxa"/>
            <w:vAlign w:val="center"/>
          </w:tcPr>
          <w:p w14:paraId="3DFD1FE1" w14:textId="77777777" w:rsidR="000248D6" w:rsidRPr="00332AB5" w:rsidRDefault="000248D6" w:rsidP="000248D6">
            <w:pPr>
              <w:rPr>
                <w:rFonts w:asciiTheme="minorHAnsi" w:hAnsiTheme="minorHAnsi" w:cstheme="minorHAnsi"/>
                <w:sz w:val="18"/>
                <w:szCs w:val="18"/>
              </w:rPr>
            </w:pPr>
            <w:r w:rsidRPr="00332AB5">
              <w:rPr>
                <w:rFonts w:asciiTheme="minorHAnsi" w:hAnsiTheme="minorHAnsi" w:cstheme="minorHAnsi"/>
                <w:sz w:val="18"/>
                <w:szCs w:val="18"/>
              </w:rPr>
              <w:t>PO 12</w:t>
            </w:r>
          </w:p>
        </w:tc>
        <w:tc>
          <w:tcPr>
            <w:tcW w:w="998" w:type="dxa"/>
            <w:tcBorders>
              <w:bottom w:val="single" w:sz="4" w:space="0" w:color="auto"/>
            </w:tcBorders>
            <w:vAlign w:val="center"/>
          </w:tcPr>
          <w:p w14:paraId="32BCD182" w14:textId="712C64E8"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97,80</w:t>
            </w:r>
          </w:p>
        </w:tc>
        <w:tc>
          <w:tcPr>
            <w:tcW w:w="1089" w:type="dxa"/>
            <w:tcBorders>
              <w:bottom w:val="single" w:sz="4" w:space="0" w:color="auto"/>
            </w:tcBorders>
            <w:vAlign w:val="center"/>
          </w:tcPr>
          <w:p w14:paraId="10BE3721" w14:textId="4DB0BC48"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102,17</w:t>
            </w:r>
          </w:p>
        </w:tc>
        <w:tc>
          <w:tcPr>
            <w:tcW w:w="845" w:type="dxa"/>
            <w:tcBorders>
              <w:bottom w:val="single" w:sz="4" w:space="0" w:color="auto"/>
            </w:tcBorders>
            <w:vAlign w:val="center"/>
          </w:tcPr>
          <w:p w14:paraId="6C55AABA" w14:textId="2232CF15"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104,47</w:t>
            </w:r>
          </w:p>
        </w:tc>
        <w:tc>
          <w:tcPr>
            <w:tcW w:w="959" w:type="dxa"/>
            <w:tcBorders>
              <w:bottom w:val="single" w:sz="4" w:space="0" w:color="auto"/>
            </w:tcBorders>
            <w:vAlign w:val="center"/>
          </w:tcPr>
          <w:p w14:paraId="2D839530" w14:textId="434AF081"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3,42</w:t>
            </w:r>
          </w:p>
        </w:tc>
        <w:tc>
          <w:tcPr>
            <w:tcW w:w="742" w:type="dxa"/>
            <w:tcBorders>
              <w:bottom w:val="single" w:sz="4" w:space="0" w:color="auto"/>
            </w:tcBorders>
            <w:vAlign w:val="center"/>
          </w:tcPr>
          <w:p w14:paraId="2BFF1068" w14:textId="2D6D1047"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3,50</w:t>
            </w:r>
          </w:p>
        </w:tc>
        <w:tc>
          <w:tcPr>
            <w:tcW w:w="902" w:type="dxa"/>
            <w:vAlign w:val="center"/>
          </w:tcPr>
          <w:p w14:paraId="73252192" w14:textId="557702E7"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0,00</w:t>
            </w:r>
          </w:p>
        </w:tc>
        <w:tc>
          <w:tcPr>
            <w:tcW w:w="765" w:type="dxa"/>
            <w:vAlign w:val="center"/>
          </w:tcPr>
          <w:p w14:paraId="7285DC4A" w14:textId="7F526ABC" w:rsidR="000248D6" w:rsidRPr="00332AB5" w:rsidRDefault="000248D6" w:rsidP="000248D6">
            <w:pPr>
              <w:jc w:val="right"/>
              <w:rPr>
                <w:rFonts w:asciiTheme="minorHAnsi" w:hAnsiTheme="minorHAnsi" w:cstheme="minorHAnsi"/>
                <w:sz w:val="18"/>
                <w:szCs w:val="18"/>
              </w:rPr>
            </w:pPr>
            <w:r w:rsidRPr="00332AB5">
              <w:rPr>
                <w:rFonts w:asciiTheme="minorHAnsi" w:hAnsiTheme="minorHAnsi" w:cstheme="minorHAnsi"/>
                <w:sz w:val="18"/>
                <w:szCs w:val="18"/>
              </w:rPr>
              <w:t>0,00</w:t>
            </w:r>
          </w:p>
        </w:tc>
        <w:tc>
          <w:tcPr>
            <w:tcW w:w="959" w:type="dxa"/>
            <w:tcBorders>
              <w:bottom w:val="single" w:sz="4" w:space="0" w:color="808080" w:themeColor="background1" w:themeShade="80"/>
            </w:tcBorders>
            <w:vAlign w:val="center"/>
          </w:tcPr>
          <w:p w14:paraId="146105A3" w14:textId="77777777" w:rsidR="000248D6" w:rsidRPr="00332AB5" w:rsidRDefault="000248D6" w:rsidP="000248D6">
            <w:pPr>
              <w:jc w:val="right"/>
              <w:rPr>
                <w:rFonts w:asciiTheme="minorHAnsi" w:hAnsiTheme="minorHAnsi" w:cstheme="minorHAnsi"/>
                <w:sz w:val="18"/>
                <w:szCs w:val="18"/>
              </w:rPr>
            </w:pPr>
          </w:p>
        </w:tc>
        <w:tc>
          <w:tcPr>
            <w:tcW w:w="776" w:type="dxa"/>
            <w:tcBorders>
              <w:bottom w:val="single" w:sz="4" w:space="0" w:color="808080" w:themeColor="background1" w:themeShade="80"/>
            </w:tcBorders>
            <w:vAlign w:val="center"/>
          </w:tcPr>
          <w:p w14:paraId="6921F057" w14:textId="77777777" w:rsidR="000248D6" w:rsidRPr="00332AB5" w:rsidRDefault="000248D6" w:rsidP="000248D6">
            <w:pPr>
              <w:jc w:val="right"/>
              <w:rPr>
                <w:rFonts w:asciiTheme="minorHAnsi" w:hAnsiTheme="minorHAnsi" w:cstheme="minorHAnsi"/>
                <w:sz w:val="18"/>
                <w:szCs w:val="18"/>
              </w:rPr>
            </w:pPr>
          </w:p>
        </w:tc>
      </w:tr>
      <w:tr w:rsidR="0054343D" w:rsidRPr="00332AB5" w14:paraId="39A4056E" w14:textId="77777777" w:rsidTr="000248D6">
        <w:trPr>
          <w:trHeight w:val="510"/>
        </w:trPr>
        <w:tc>
          <w:tcPr>
            <w:tcW w:w="1179" w:type="dxa"/>
            <w:vAlign w:val="center"/>
          </w:tcPr>
          <w:p w14:paraId="78068BD0" w14:textId="77777777" w:rsidR="0054343D" w:rsidRPr="00332AB5" w:rsidRDefault="0054343D" w:rsidP="0054343D">
            <w:pPr>
              <w:rPr>
                <w:rFonts w:asciiTheme="minorHAnsi" w:hAnsiTheme="minorHAnsi" w:cstheme="minorHAnsi"/>
                <w:sz w:val="18"/>
                <w:szCs w:val="24"/>
              </w:rPr>
            </w:pPr>
            <w:r w:rsidRPr="00332AB5">
              <w:rPr>
                <w:rFonts w:asciiTheme="minorHAnsi" w:hAnsiTheme="minorHAnsi" w:cstheme="minorHAnsi"/>
                <w:sz w:val="18"/>
              </w:rPr>
              <w:t>UKUPNO</w:t>
            </w:r>
          </w:p>
        </w:tc>
        <w:tc>
          <w:tcPr>
            <w:tcW w:w="998" w:type="dxa"/>
            <w:tcBorders>
              <w:top w:val="single" w:sz="4" w:space="0" w:color="auto"/>
              <w:bottom w:val="single" w:sz="4" w:space="0" w:color="auto"/>
            </w:tcBorders>
            <w:shd w:val="clear" w:color="auto" w:fill="auto"/>
            <w:vAlign w:val="center"/>
          </w:tcPr>
          <w:p w14:paraId="2E2E9869" w14:textId="2277100A" w:rsidR="0054343D" w:rsidRPr="00332AB5" w:rsidRDefault="0054343D" w:rsidP="0054343D">
            <w:pPr>
              <w:jc w:val="right"/>
              <w:rPr>
                <w:rFonts w:asciiTheme="minorHAnsi" w:hAnsiTheme="minorHAnsi" w:cstheme="minorHAnsi"/>
                <w:sz w:val="18"/>
                <w:szCs w:val="18"/>
              </w:rPr>
            </w:pPr>
            <w:r w:rsidRPr="00332AB5">
              <w:rPr>
                <w:rFonts w:asciiTheme="minorHAnsi" w:hAnsiTheme="minorHAnsi" w:cstheme="minorHAnsi"/>
                <w:color w:val="000000"/>
                <w:sz w:val="18"/>
                <w:szCs w:val="18"/>
              </w:rPr>
              <w:t>6.831,26</w:t>
            </w:r>
          </w:p>
        </w:tc>
        <w:tc>
          <w:tcPr>
            <w:tcW w:w="1089" w:type="dxa"/>
            <w:tcBorders>
              <w:top w:val="single" w:sz="4" w:space="0" w:color="auto"/>
              <w:bottom w:val="single" w:sz="4" w:space="0" w:color="auto"/>
            </w:tcBorders>
            <w:shd w:val="clear" w:color="auto" w:fill="auto"/>
            <w:vAlign w:val="center"/>
          </w:tcPr>
          <w:p w14:paraId="4C99B2B6" w14:textId="46588461" w:rsidR="0054343D" w:rsidRPr="00332AB5" w:rsidRDefault="0054343D" w:rsidP="0054343D">
            <w:pPr>
              <w:jc w:val="right"/>
              <w:rPr>
                <w:rFonts w:asciiTheme="minorHAnsi" w:hAnsiTheme="minorHAnsi" w:cstheme="minorHAnsi"/>
                <w:sz w:val="18"/>
                <w:szCs w:val="18"/>
              </w:rPr>
            </w:pPr>
            <w:r w:rsidRPr="00332AB5">
              <w:rPr>
                <w:rFonts w:asciiTheme="minorHAnsi" w:hAnsiTheme="minorHAnsi" w:cstheme="minorHAnsi"/>
                <w:sz w:val="18"/>
                <w:szCs w:val="18"/>
              </w:rPr>
              <w:t>9.210,88</w:t>
            </w:r>
          </w:p>
        </w:tc>
        <w:tc>
          <w:tcPr>
            <w:tcW w:w="845" w:type="dxa"/>
            <w:tcBorders>
              <w:top w:val="single" w:sz="4" w:space="0" w:color="auto"/>
              <w:bottom w:val="single" w:sz="4" w:space="0" w:color="auto"/>
            </w:tcBorders>
            <w:shd w:val="clear" w:color="auto" w:fill="auto"/>
            <w:vAlign w:val="center"/>
          </w:tcPr>
          <w:p w14:paraId="3F69BD4B" w14:textId="13BD831F" w:rsidR="0054343D" w:rsidRPr="00332AB5" w:rsidRDefault="0054343D" w:rsidP="0054343D">
            <w:pPr>
              <w:jc w:val="right"/>
              <w:rPr>
                <w:rFonts w:asciiTheme="minorHAnsi" w:hAnsiTheme="minorHAnsi" w:cstheme="minorHAnsi"/>
                <w:sz w:val="18"/>
                <w:szCs w:val="18"/>
              </w:rPr>
            </w:pPr>
            <w:r w:rsidRPr="00332AB5">
              <w:rPr>
                <w:rFonts w:asciiTheme="minorHAnsi" w:hAnsiTheme="minorHAnsi" w:cstheme="minorHAnsi"/>
                <w:sz w:val="18"/>
                <w:szCs w:val="18"/>
              </w:rPr>
              <w:t>134,83</w:t>
            </w:r>
          </w:p>
        </w:tc>
        <w:tc>
          <w:tcPr>
            <w:tcW w:w="959" w:type="dxa"/>
            <w:tcBorders>
              <w:top w:val="single" w:sz="4" w:space="0" w:color="auto"/>
              <w:bottom w:val="single" w:sz="4" w:space="0" w:color="auto"/>
            </w:tcBorders>
            <w:shd w:val="clear" w:color="auto" w:fill="auto"/>
            <w:vAlign w:val="center"/>
          </w:tcPr>
          <w:p w14:paraId="568FC388" w14:textId="12D9A1A1" w:rsidR="0054343D" w:rsidRPr="00332AB5" w:rsidRDefault="0054343D" w:rsidP="0054343D">
            <w:pPr>
              <w:jc w:val="right"/>
              <w:rPr>
                <w:rFonts w:asciiTheme="minorHAnsi" w:hAnsiTheme="minorHAnsi" w:cstheme="minorHAnsi"/>
                <w:sz w:val="18"/>
                <w:szCs w:val="18"/>
              </w:rPr>
            </w:pPr>
            <w:r w:rsidRPr="00332AB5">
              <w:rPr>
                <w:rFonts w:asciiTheme="minorHAnsi" w:hAnsiTheme="minorHAnsi" w:cstheme="minorHAnsi"/>
                <w:sz w:val="18"/>
                <w:szCs w:val="18"/>
              </w:rPr>
              <w:t>5.809,66</w:t>
            </w:r>
          </w:p>
        </w:tc>
        <w:tc>
          <w:tcPr>
            <w:tcW w:w="742" w:type="dxa"/>
            <w:tcBorders>
              <w:top w:val="single" w:sz="4" w:space="0" w:color="auto"/>
              <w:bottom w:val="single" w:sz="4" w:space="0" w:color="auto"/>
            </w:tcBorders>
            <w:shd w:val="clear" w:color="auto" w:fill="auto"/>
            <w:vAlign w:val="center"/>
          </w:tcPr>
          <w:p w14:paraId="644D17B7" w14:textId="685C065D" w:rsidR="0054343D" w:rsidRPr="00332AB5" w:rsidRDefault="0054343D" w:rsidP="0054343D">
            <w:pPr>
              <w:jc w:val="right"/>
              <w:rPr>
                <w:rFonts w:asciiTheme="minorHAnsi" w:hAnsiTheme="minorHAnsi" w:cstheme="minorHAnsi"/>
                <w:sz w:val="18"/>
                <w:szCs w:val="18"/>
              </w:rPr>
            </w:pPr>
            <w:r w:rsidRPr="00332AB5">
              <w:rPr>
                <w:rFonts w:asciiTheme="minorHAnsi" w:hAnsiTheme="minorHAnsi" w:cstheme="minorHAnsi"/>
                <w:sz w:val="18"/>
                <w:szCs w:val="18"/>
              </w:rPr>
              <w:t>85,05</w:t>
            </w:r>
          </w:p>
        </w:tc>
        <w:tc>
          <w:tcPr>
            <w:tcW w:w="902" w:type="dxa"/>
            <w:tcBorders>
              <w:top w:val="single" w:sz="4" w:space="0" w:color="808080" w:themeColor="background1" w:themeShade="80"/>
              <w:bottom w:val="single" w:sz="4" w:space="0" w:color="808080" w:themeColor="background1" w:themeShade="80"/>
            </w:tcBorders>
            <w:vAlign w:val="center"/>
          </w:tcPr>
          <w:p w14:paraId="7C93A31D" w14:textId="6599460B" w:rsidR="0054343D" w:rsidRPr="00332AB5" w:rsidRDefault="0054343D" w:rsidP="0054343D">
            <w:pPr>
              <w:jc w:val="right"/>
              <w:rPr>
                <w:rFonts w:asciiTheme="minorHAnsi" w:hAnsiTheme="minorHAnsi" w:cstheme="minorHAnsi"/>
                <w:sz w:val="18"/>
                <w:szCs w:val="18"/>
              </w:rPr>
            </w:pPr>
            <w:r w:rsidRPr="00332AB5">
              <w:rPr>
                <w:rFonts w:asciiTheme="minorHAnsi" w:hAnsiTheme="minorHAnsi" w:cstheme="minorHAnsi"/>
                <w:sz w:val="18"/>
                <w:szCs w:val="18"/>
              </w:rPr>
              <w:t>4.295,53</w:t>
            </w:r>
          </w:p>
        </w:tc>
        <w:tc>
          <w:tcPr>
            <w:tcW w:w="765" w:type="dxa"/>
            <w:tcBorders>
              <w:top w:val="single" w:sz="4" w:space="0" w:color="808080" w:themeColor="background1" w:themeShade="80"/>
              <w:bottom w:val="single" w:sz="4" w:space="0" w:color="808080" w:themeColor="background1" w:themeShade="80"/>
            </w:tcBorders>
            <w:vAlign w:val="center"/>
          </w:tcPr>
          <w:p w14:paraId="46E5955B" w14:textId="43F11B9F" w:rsidR="0054343D" w:rsidRPr="00332AB5" w:rsidRDefault="0054343D" w:rsidP="0054343D">
            <w:pPr>
              <w:jc w:val="right"/>
              <w:rPr>
                <w:rFonts w:asciiTheme="minorHAnsi" w:hAnsiTheme="minorHAnsi" w:cstheme="minorHAnsi"/>
                <w:sz w:val="18"/>
                <w:szCs w:val="18"/>
              </w:rPr>
            </w:pPr>
            <w:r w:rsidRPr="00332AB5">
              <w:rPr>
                <w:rFonts w:asciiTheme="minorHAnsi" w:hAnsiTheme="minorHAnsi" w:cstheme="minorHAnsi"/>
                <w:sz w:val="18"/>
                <w:szCs w:val="18"/>
              </w:rPr>
              <w:t>62,88</w:t>
            </w:r>
          </w:p>
        </w:tc>
        <w:tc>
          <w:tcPr>
            <w:tcW w:w="959" w:type="dxa"/>
            <w:tcBorders>
              <w:top w:val="single" w:sz="4" w:space="0" w:color="808080" w:themeColor="background1" w:themeShade="80"/>
              <w:bottom w:val="single" w:sz="4" w:space="0" w:color="808080" w:themeColor="background1" w:themeShade="80"/>
            </w:tcBorders>
            <w:vAlign w:val="center"/>
          </w:tcPr>
          <w:p w14:paraId="709FADC8" w14:textId="0D09521D" w:rsidR="0054343D" w:rsidRPr="00332AB5" w:rsidRDefault="0054343D" w:rsidP="0054343D">
            <w:pPr>
              <w:jc w:val="right"/>
              <w:rPr>
                <w:rFonts w:asciiTheme="minorHAnsi" w:hAnsiTheme="minorHAnsi" w:cstheme="minorHAnsi"/>
                <w:sz w:val="18"/>
                <w:szCs w:val="18"/>
              </w:rPr>
            </w:pPr>
            <w:r w:rsidRPr="00332AB5">
              <w:rPr>
                <w:rFonts w:asciiTheme="minorHAnsi" w:hAnsiTheme="minorHAnsi" w:cstheme="minorHAnsi"/>
                <w:sz w:val="18"/>
                <w:szCs w:val="18"/>
              </w:rPr>
              <w:t>4.638,46</w:t>
            </w:r>
          </w:p>
        </w:tc>
        <w:tc>
          <w:tcPr>
            <w:tcW w:w="776" w:type="dxa"/>
            <w:tcBorders>
              <w:top w:val="single" w:sz="4" w:space="0" w:color="808080" w:themeColor="background1" w:themeShade="80"/>
              <w:bottom w:val="single" w:sz="4" w:space="0" w:color="808080" w:themeColor="background1" w:themeShade="80"/>
            </w:tcBorders>
            <w:vAlign w:val="center"/>
          </w:tcPr>
          <w:p w14:paraId="38DAB6CF" w14:textId="438EA683" w:rsidR="0054343D" w:rsidRPr="00332AB5" w:rsidRDefault="0054343D" w:rsidP="0054343D">
            <w:pPr>
              <w:jc w:val="right"/>
              <w:rPr>
                <w:rFonts w:asciiTheme="minorHAnsi" w:hAnsiTheme="minorHAnsi" w:cstheme="minorHAnsi"/>
                <w:sz w:val="18"/>
                <w:szCs w:val="18"/>
              </w:rPr>
            </w:pPr>
            <w:r w:rsidRPr="00332AB5">
              <w:rPr>
                <w:rFonts w:asciiTheme="minorHAnsi" w:hAnsiTheme="minorHAnsi" w:cstheme="minorHAnsi"/>
                <w:sz w:val="18"/>
                <w:szCs w:val="18"/>
              </w:rPr>
              <w:t>67,90</w:t>
            </w:r>
          </w:p>
        </w:tc>
      </w:tr>
    </w:tbl>
    <w:p w14:paraId="64712BD1" w14:textId="77777777" w:rsidR="00AC17F2" w:rsidRPr="00332AB5" w:rsidRDefault="00AC17F2" w:rsidP="00741C5E">
      <w:pPr>
        <w:spacing w:before="120" w:after="120"/>
        <w:jc w:val="both"/>
        <w:rPr>
          <w:b/>
        </w:rPr>
      </w:pPr>
    </w:p>
    <w:p w14:paraId="64AAEF7A" w14:textId="77777777" w:rsidR="008D4DD5" w:rsidRPr="00332AB5" w:rsidRDefault="008D4DD5">
      <w:pPr>
        <w:rPr>
          <w:b/>
        </w:rPr>
      </w:pPr>
      <w:r w:rsidRPr="00332AB5">
        <w:rPr>
          <w:b/>
        </w:rPr>
        <w:br w:type="page"/>
      </w:r>
    </w:p>
    <w:p w14:paraId="0CB21382" w14:textId="7182F8D3" w:rsidR="003D570E" w:rsidRPr="00332AB5" w:rsidRDefault="002A2DCD" w:rsidP="00741C5E">
      <w:pPr>
        <w:spacing w:before="120" w:after="120"/>
        <w:jc w:val="both"/>
        <w:rPr>
          <w:b/>
          <w:bCs/>
        </w:rPr>
      </w:pPr>
      <w:bookmarkStart w:id="48" w:name="_Toc152595301"/>
      <w:r w:rsidRPr="00332AB5">
        <w:rPr>
          <w:b/>
        </w:rPr>
        <w:lastRenderedPageBreak/>
        <w:t xml:space="preserve">Grafikon </w:t>
      </w:r>
      <w:r w:rsidR="008C2CC3" w:rsidRPr="00332AB5">
        <w:rPr>
          <w:rFonts w:eastAsia="Calibri"/>
          <w:b/>
          <w:szCs w:val="22"/>
          <w:lang w:eastAsia="en-US"/>
        </w:rPr>
        <w:fldChar w:fldCharType="begin"/>
      </w:r>
      <w:r w:rsidR="0002082E" w:rsidRPr="00332AB5">
        <w:rPr>
          <w:b/>
          <w:bCs/>
        </w:rPr>
        <w:instrText xml:space="preserve"> SEQ Grafikon \* ARABIC </w:instrText>
      </w:r>
      <w:r w:rsidR="008C2CC3" w:rsidRPr="00332AB5">
        <w:rPr>
          <w:rFonts w:eastAsia="Calibri"/>
          <w:b/>
          <w:szCs w:val="22"/>
          <w:lang w:eastAsia="en-US"/>
        </w:rPr>
        <w:fldChar w:fldCharType="separate"/>
      </w:r>
      <w:r w:rsidR="005E6E46">
        <w:rPr>
          <w:b/>
          <w:bCs/>
          <w:noProof/>
        </w:rPr>
        <w:t>1</w:t>
      </w:r>
      <w:r w:rsidR="008C2CC3" w:rsidRPr="00332AB5">
        <w:rPr>
          <w:rFonts w:eastAsia="Calibri"/>
          <w:b/>
          <w:szCs w:val="22"/>
          <w:lang w:eastAsia="en-US"/>
        </w:rPr>
        <w:fldChar w:fldCharType="end"/>
      </w:r>
      <w:r w:rsidRPr="00332AB5">
        <w:rPr>
          <w:b/>
        </w:rPr>
        <w:t xml:space="preserve">: </w:t>
      </w:r>
      <w:r w:rsidRPr="00332AB5">
        <w:rPr>
          <w:rFonts w:eastAsia="Calibri"/>
          <w:b/>
          <w:bCs/>
        </w:rPr>
        <w:t>Grafički prikaz geografske rasprostranjenosti projekata u okviru shema dodjele bespovratnih sredstava</w:t>
      </w:r>
      <w:r w:rsidRPr="00332AB5">
        <w:rPr>
          <w:b/>
          <w:bCs/>
        </w:rPr>
        <w:t xml:space="preserve"> Operativnog programa Konkurentnost i kohezija od početka provedbe do kraja izvještajnog razdoblja </w:t>
      </w:r>
      <w:r w:rsidR="0011067E" w:rsidRPr="00332AB5">
        <w:rPr>
          <w:b/>
          <w:bCs/>
        </w:rPr>
        <w:t>30. lipnja 2023.</w:t>
      </w:r>
      <w:r w:rsidR="00D22868" w:rsidRPr="00332AB5">
        <w:rPr>
          <w:b/>
          <w:bCs/>
        </w:rPr>
        <w:t xml:space="preserve"> </w:t>
      </w:r>
      <w:r w:rsidRPr="00332AB5">
        <w:rPr>
          <w:b/>
          <w:bCs/>
        </w:rPr>
        <w:t>(sredstva EU, u postocima)</w:t>
      </w:r>
      <w:r w:rsidR="00FC4BD8" w:rsidRPr="00332AB5">
        <w:rPr>
          <w:rStyle w:val="FootnoteReference"/>
          <w:b/>
          <w:bCs/>
        </w:rPr>
        <w:footnoteReference w:id="10"/>
      </w:r>
      <w:bookmarkEnd w:id="48"/>
    </w:p>
    <w:p w14:paraId="66878B94" w14:textId="61AC5E6D" w:rsidR="002A7358" w:rsidRPr="00332AB5" w:rsidRDefault="000427D0" w:rsidP="00E2152B">
      <w:pPr>
        <w:spacing w:before="120" w:after="120"/>
        <w:jc w:val="both"/>
        <w:rPr>
          <w:b/>
          <w:bCs/>
        </w:rPr>
      </w:pPr>
      <w:r w:rsidRPr="00332AB5">
        <w:rPr>
          <w:b/>
          <w:bCs/>
          <w:noProof/>
        </w:rPr>
        <w:drawing>
          <wp:inline distT="0" distB="0" distL="0" distR="0" wp14:anchorId="5F18D3E3" wp14:editId="56859A0F">
            <wp:extent cx="5486400" cy="477202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44CCA16" w14:textId="77777777" w:rsidR="002A7358" w:rsidRPr="00332AB5" w:rsidRDefault="002A7358" w:rsidP="00E2152B">
      <w:pPr>
        <w:spacing w:before="120" w:after="120"/>
        <w:jc w:val="both"/>
        <w:rPr>
          <w:b/>
          <w:bCs/>
        </w:rPr>
      </w:pPr>
    </w:p>
    <w:p w14:paraId="0AC6E831" w14:textId="5B21892A" w:rsidR="00A361EC" w:rsidRPr="00332AB5" w:rsidRDefault="00A361EC" w:rsidP="00A361EC">
      <w:pPr>
        <w:spacing w:after="120"/>
        <w:jc w:val="both"/>
      </w:pPr>
      <w:bookmarkStart w:id="49" w:name="_Hlk81980788"/>
      <w:r w:rsidRPr="00332AB5">
        <w:rPr>
          <w:sz w:val="24"/>
          <w:szCs w:val="24"/>
        </w:rPr>
        <w:t xml:space="preserve">Tijekom izvještajnog razdoblja na provedbu poziva i projekata primarno je utjecalo stanje na tržištu koje dovodi do kontinuiranog povećanja cijena i kašnjenja u izvedbi radova i nabavi opreme. Glavni uzroci takvih poremećaja su rat u Ukrajini i rast cijena. Kao mjeru odgovora u relevantnim i opravdanim slučajevima nadležna tijela (UT i PT) omogućavala su produženja razdoblja provedbe poziva/projekata, a u određenim slučajevima i izmjene u projektnim aktivnostima s obzirom na znatno smanjene financijske kapacitete korisnika kao posljedice pandemije, a kako bi se osigurao dovršetak projekata i osiguranja njihove funkcionalnosti. Specifično u određenim slučajevima dozvoljeno je i povećanje iznosa dodijeljenih bespovratnih sredstva, odnosno ukupne vrijednosti projekta, do čega je došlo uslijed povećanja cijena (radova i opreme) na tržištu te poremećaja u opskrbnim lancima. Konkretno, najveći problemi zabilježeni su u vodno - komunalnim projektima, kojima je Zaključkom o prihvaćanju daljnje dodjele dodatnih sredstava preko raspoložive alokacije za projekte vodno </w:t>
      </w:r>
      <w:r w:rsidRPr="00332AB5">
        <w:rPr>
          <w:sz w:val="24"/>
          <w:szCs w:val="24"/>
        </w:rPr>
        <w:lastRenderedPageBreak/>
        <w:t>- komunalnog sektora odobrenih u okviru Operativnog programa - Konkurentnost i kohezija 2014. - 2020. od 17. ožujka 2022. omogućeno povećanje iznosa bespovratnih sredstava EU za ukupno 209 milijuna eura (za financiranje razlike u povećanju cijena, primarno radova, na 30 projekata).</w:t>
      </w:r>
      <w:bookmarkEnd w:id="49"/>
    </w:p>
    <w:p w14:paraId="0BC64498" w14:textId="2E45652C" w:rsidR="00A361EC" w:rsidRPr="00332AB5" w:rsidRDefault="00A361EC" w:rsidP="00A361EC">
      <w:pPr>
        <w:spacing w:after="120"/>
        <w:jc w:val="both"/>
        <w:rPr>
          <w:i/>
          <w:iCs/>
          <w:sz w:val="24"/>
          <w:szCs w:val="24"/>
        </w:rPr>
      </w:pPr>
      <w:r w:rsidRPr="00332AB5">
        <w:rPr>
          <w:sz w:val="24"/>
          <w:szCs w:val="24"/>
        </w:rPr>
        <w:t xml:space="preserve">U skladu s ulogom koordinacijske točke za korištenje potpore JASPERS-a u Hrvatskoj, MRRFEU redovito prati i koordinira aktivnosti JASPERS-a. U izvještajnom razdoblju, prema popisu tekućih JASPERS zadataka iz dokumenta </w:t>
      </w:r>
      <w:r w:rsidRPr="00332AB5">
        <w:rPr>
          <w:b/>
          <w:bCs/>
          <w:sz w:val="24"/>
          <w:szCs w:val="24"/>
        </w:rPr>
        <w:t>Program rada JASPERS-a 2022.</w:t>
      </w:r>
      <w:r w:rsidR="000F59CF" w:rsidRPr="00332AB5">
        <w:rPr>
          <w:b/>
          <w:bCs/>
          <w:sz w:val="24"/>
          <w:szCs w:val="24"/>
        </w:rPr>
        <w:t xml:space="preserve"> – </w:t>
      </w:r>
      <w:r w:rsidRPr="00332AB5">
        <w:rPr>
          <w:b/>
          <w:bCs/>
          <w:sz w:val="24"/>
          <w:szCs w:val="24"/>
        </w:rPr>
        <w:t>2024</w:t>
      </w:r>
      <w:r w:rsidRPr="00332AB5">
        <w:rPr>
          <w:i/>
          <w:iCs/>
          <w:sz w:val="24"/>
          <w:szCs w:val="24"/>
        </w:rPr>
        <w:t xml:space="preserve">. </w:t>
      </w:r>
      <w:r w:rsidRPr="00332AB5">
        <w:rPr>
          <w:sz w:val="24"/>
          <w:szCs w:val="24"/>
        </w:rPr>
        <w:t xml:space="preserve">(eng. </w:t>
      </w:r>
      <w:r w:rsidRPr="00332AB5">
        <w:rPr>
          <w:i/>
          <w:iCs/>
          <w:sz w:val="24"/>
          <w:szCs w:val="24"/>
        </w:rPr>
        <w:t>JASPERS Country Work Programme</w:t>
      </w:r>
      <w:r w:rsidRPr="00332AB5">
        <w:rPr>
          <w:sz w:val="24"/>
          <w:szCs w:val="24"/>
        </w:rPr>
        <w:t xml:space="preserve">), JASPERS je angažiran na pripremi na ukupno </w:t>
      </w:r>
      <w:r w:rsidRPr="00332AB5">
        <w:rPr>
          <w:b/>
          <w:bCs/>
          <w:sz w:val="24"/>
          <w:szCs w:val="24"/>
        </w:rPr>
        <w:t>29 zadataka:</w:t>
      </w:r>
      <w:r w:rsidRPr="00332AB5">
        <w:rPr>
          <w:sz w:val="24"/>
          <w:szCs w:val="24"/>
        </w:rPr>
        <w:t xml:space="preserve"> </w:t>
      </w:r>
      <w:r w:rsidR="001253D3" w:rsidRPr="00332AB5">
        <w:rPr>
          <w:sz w:val="24"/>
          <w:szCs w:val="24"/>
        </w:rPr>
        <w:t>15</w:t>
      </w:r>
      <w:r w:rsidRPr="00332AB5">
        <w:rPr>
          <w:sz w:val="24"/>
          <w:szCs w:val="24"/>
        </w:rPr>
        <w:t xml:space="preserve"> projekata u sektoru prometa, </w:t>
      </w:r>
      <w:r w:rsidR="001253D3" w:rsidRPr="00332AB5">
        <w:rPr>
          <w:sz w:val="24"/>
          <w:szCs w:val="24"/>
        </w:rPr>
        <w:t>11</w:t>
      </w:r>
      <w:r w:rsidRPr="00332AB5">
        <w:rPr>
          <w:sz w:val="24"/>
          <w:szCs w:val="24"/>
        </w:rPr>
        <w:t xml:space="preserve"> projekata u sektoru vodoopskrbe i odvodnje, dva projekta u područja jačanja kapaciteta te jedan u području pametnog razvoja. U izvještajnom razdoblju otvorena su </w:t>
      </w:r>
      <w:r w:rsidRPr="00332AB5">
        <w:rPr>
          <w:b/>
          <w:bCs/>
          <w:sz w:val="24"/>
          <w:szCs w:val="24"/>
        </w:rPr>
        <w:t>tri nova zadatka</w:t>
      </w:r>
      <w:r w:rsidRPr="00332AB5">
        <w:rPr>
          <w:sz w:val="24"/>
          <w:szCs w:val="24"/>
        </w:rPr>
        <w:t>, dva iz sektora energetike (</w:t>
      </w:r>
      <w:r w:rsidRPr="00332AB5">
        <w:rPr>
          <w:i/>
          <w:iCs/>
          <w:sz w:val="24"/>
          <w:szCs w:val="24"/>
        </w:rPr>
        <w:t>Potpora energetskoj tranziciji u Hrvatskoj – mikro-solarni kućni sustavi i dizalice topline</w:t>
      </w:r>
      <w:r w:rsidRPr="00332AB5">
        <w:rPr>
          <w:sz w:val="24"/>
          <w:szCs w:val="24"/>
        </w:rPr>
        <w:t xml:space="preserve"> i </w:t>
      </w:r>
      <w:r w:rsidRPr="00332AB5">
        <w:rPr>
          <w:i/>
          <w:iCs/>
          <w:sz w:val="24"/>
          <w:szCs w:val="24"/>
        </w:rPr>
        <w:t>Tehnologija hvatanja i pohrane ugljika projekt “KOdeCO net zero”– Holcim (Hrvatska) d.o.o. (ETS sector)</w:t>
      </w:r>
      <w:r w:rsidRPr="00332AB5">
        <w:rPr>
          <w:sz w:val="24"/>
          <w:szCs w:val="24"/>
        </w:rPr>
        <w:t>) te jedan u vezi jačanja kapaciteta (</w:t>
      </w:r>
      <w:r w:rsidRPr="00332AB5">
        <w:rPr>
          <w:i/>
          <w:iCs/>
          <w:sz w:val="24"/>
          <w:szCs w:val="24"/>
        </w:rPr>
        <w:t>Potpora razvoju</w:t>
      </w:r>
      <w:r w:rsidRPr="00332AB5">
        <w:rPr>
          <w:b/>
          <w:bCs/>
          <w:sz w:val="24"/>
          <w:szCs w:val="24"/>
        </w:rPr>
        <w:t xml:space="preserve"> </w:t>
      </w:r>
      <w:r w:rsidRPr="00332AB5">
        <w:rPr>
          <w:i/>
          <w:iCs/>
          <w:sz w:val="24"/>
          <w:szCs w:val="24"/>
        </w:rPr>
        <w:t>nacionalnih smjernica za klimatsko potvrđivanje i povezanu izgradnju tehničkih kapaciteta)</w:t>
      </w:r>
      <w:r w:rsidRPr="00332AB5">
        <w:rPr>
          <w:sz w:val="24"/>
          <w:szCs w:val="24"/>
        </w:rPr>
        <w:t xml:space="preserve">, a u </w:t>
      </w:r>
      <w:r w:rsidRPr="00332AB5">
        <w:rPr>
          <w:b/>
          <w:bCs/>
          <w:sz w:val="24"/>
          <w:szCs w:val="24"/>
        </w:rPr>
        <w:t xml:space="preserve">pripremi </w:t>
      </w:r>
      <w:r w:rsidRPr="00332AB5">
        <w:rPr>
          <w:sz w:val="24"/>
          <w:szCs w:val="24"/>
        </w:rPr>
        <w:t xml:space="preserve">je zadatak iz sektora zdravstva (projekt Imunološkog zavoda </w:t>
      </w:r>
      <w:r w:rsidRPr="00332AB5">
        <w:rPr>
          <w:i/>
          <w:iCs/>
          <w:sz w:val="24"/>
          <w:szCs w:val="24"/>
        </w:rPr>
        <w:t>Pomoć u pripremi projekta za izgradnju novog pogona za proizvodnju proizvoda ljudske krvne plazme)</w:t>
      </w:r>
      <w:r w:rsidRPr="00332AB5">
        <w:rPr>
          <w:sz w:val="24"/>
          <w:szCs w:val="24"/>
        </w:rPr>
        <w:t xml:space="preserve"> te zadatak iz sektora pametnog razvoja (</w:t>
      </w:r>
      <w:r w:rsidRPr="00332AB5">
        <w:rPr>
          <w:i/>
          <w:iCs/>
          <w:sz w:val="24"/>
          <w:szCs w:val="24"/>
        </w:rPr>
        <w:t>Potpora projektima razvoja pametnih otoka).</w:t>
      </w:r>
    </w:p>
    <w:p w14:paraId="504235D0" w14:textId="77777777" w:rsidR="00A361EC" w:rsidRPr="00332AB5" w:rsidRDefault="00A361EC" w:rsidP="00A361EC">
      <w:pPr>
        <w:spacing w:after="120"/>
        <w:jc w:val="both"/>
        <w:rPr>
          <w:sz w:val="24"/>
          <w:szCs w:val="24"/>
        </w:rPr>
      </w:pPr>
      <w:r w:rsidRPr="00332AB5">
        <w:rPr>
          <w:sz w:val="24"/>
          <w:szCs w:val="24"/>
        </w:rPr>
        <w:t xml:space="preserve">Tijekom 2023. godine u izvještajnom razdoblju na neovisnu kontrolu kvalitete (JASPERS IQR) podnesena su </w:t>
      </w:r>
      <w:r w:rsidRPr="00332AB5">
        <w:rPr>
          <w:b/>
          <w:bCs/>
          <w:sz w:val="24"/>
          <w:szCs w:val="24"/>
        </w:rPr>
        <w:t>dva projekta (</w:t>
      </w:r>
      <w:r w:rsidRPr="00332AB5">
        <w:rPr>
          <w:i/>
          <w:iCs/>
          <w:sz w:val="24"/>
          <w:szCs w:val="24"/>
        </w:rPr>
        <w:t>Projekt poboljšanja vodnokomunalne infrastrukture aglomeracije Zaprešić i Sustav odvodnje i pročišćavanja otpadnih voda Aglomeracije Velika Gorica)</w:t>
      </w:r>
      <w:r w:rsidRPr="00332AB5">
        <w:rPr>
          <w:b/>
          <w:bCs/>
          <w:sz w:val="24"/>
          <w:szCs w:val="24"/>
        </w:rPr>
        <w:t xml:space="preserve">. </w:t>
      </w:r>
      <w:r w:rsidRPr="00332AB5">
        <w:rPr>
          <w:sz w:val="24"/>
          <w:szCs w:val="24"/>
        </w:rPr>
        <w:t>Revidirani</w:t>
      </w:r>
      <w:r w:rsidRPr="00332AB5">
        <w:rPr>
          <w:i/>
          <w:iCs/>
          <w:sz w:val="24"/>
          <w:szCs w:val="24"/>
        </w:rPr>
        <w:t xml:space="preserve"> projekt poboljšanja vodnokomunalne infrastrukture aglomeracije Zaprešić </w:t>
      </w:r>
      <w:r w:rsidRPr="00332AB5">
        <w:rPr>
          <w:sz w:val="24"/>
          <w:szCs w:val="24"/>
        </w:rPr>
        <w:t>na neovisnu kontrolu kvalitete upućen je zbog</w:t>
      </w:r>
      <w:r w:rsidRPr="00332AB5">
        <w:rPr>
          <w:sz w:val="19"/>
          <w:szCs w:val="19"/>
        </w:rPr>
        <w:t xml:space="preserve"> </w:t>
      </w:r>
      <w:r w:rsidRPr="00332AB5">
        <w:rPr>
          <w:sz w:val="24"/>
          <w:szCs w:val="24"/>
        </w:rPr>
        <w:t>povećanja prihvatljivih troškova i odgovarajućeg EU sufinanciranja te produljenja roka provedbe do kraja 2023. godine.</w:t>
      </w:r>
    </w:p>
    <w:p w14:paraId="1717480E" w14:textId="77777777" w:rsidR="00A361EC" w:rsidRPr="00332AB5" w:rsidRDefault="00A361EC" w:rsidP="00A361EC">
      <w:pPr>
        <w:spacing w:after="120"/>
        <w:jc w:val="both"/>
        <w:rPr>
          <w:sz w:val="24"/>
          <w:szCs w:val="24"/>
        </w:rPr>
      </w:pPr>
      <w:r w:rsidRPr="00332AB5">
        <w:rPr>
          <w:sz w:val="24"/>
          <w:szCs w:val="24"/>
        </w:rPr>
        <w:t xml:space="preserve">S JASPERS-om i Europskom komisijom se redovito usklađuju zadaci i rokovi u vezi modifikacije i faziranja velikih projekata za sljedeće programsko razdoblje i raspravljaju novi projektni zadaci. Trenutno se intenzivna suradnja odvija u sklopu </w:t>
      </w:r>
      <w:r w:rsidRPr="00332AB5">
        <w:rPr>
          <w:b/>
          <w:bCs/>
          <w:sz w:val="24"/>
          <w:szCs w:val="24"/>
        </w:rPr>
        <w:t>projektnog zadatka za potporu razvoju nacionalnih smjernica za klimatsko potvrđivanje za pripremu projekata u provedbi PKK i ITP-a i povezanu izgradnju tehničkih kapaciteta,</w:t>
      </w:r>
      <w:r w:rsidRPr="00332AB5">
        <w:rPr>
          <w:sz w:val="24"/>
          <w:szCs w:val="24"/>
        </w:rPr>
        <w:t xml:space="preserve"> gdje će se izraditi smjernice koje će pojasniti temu klimatskog potvrđivanja i izraditi program jačanja kapaciteta na temu klimatskog potvrđivanja za tijela uključena u pripremu i provedbu PKK-a i ITP-a.</w:t>
      </w:r>
    </w:p>
    <w:p w14:paraId="7333EC3E" w14:textId="77777777" w:rsidR="00A361EC" w:rsidRPr="00332AB5" w:rsidRDefault="00A361EC" w:rsidP="00A361EC">
      <w:pPr>
        <w:spacing w:after="120"/>
        <w:jc w:val="both"/>
        <w:rPr>
          <w:sz w:val="24"/>
          <w:szCs w:val="24"/>
        </w:rPr>
      </w:pPr>
      <w:r w:rsidRPr="00332AB5">
        <w:rPr>
          <w:sz w:val="24"/>
          <w:szCs w:val="24"/>
        </w:rPr>
        <w:t>U izvještajnom razdoblju u okviru Projekta nacionalnog sufinanciranja EU fondova u razdoblju od 2014. - 2020. godine s Europskom investicijskom bankom (EIB), nastavljeno je s alociranjem sredstava projektima iz OPKK-a, te je do sada od strane Banke projektima ukupno odobreno 524,31 milijun eura. Time su u potpunosti alocirana sredstava iz zajma A (300 milijuna), a iz zajma B preostaje još 75,68 milijuna eura za dodijeliti projektima.</w:t>
      </w:r>
    </w:p>
    <w:p w14:paraId="29FAF857" w14:textId="77777777" w:rsidR="00A361EC" w:rsidRPr="00332AB5" w:rsidRDefault="00A361EC" w:rsidP="00A361EC">
      <w:pPr>
        <w:spacing w:before="120" w:after="120"/>
        <w:jc w:val="both"/>
        <w:rPr>
          <w:sz w:val="24"/>
          <w:szCs w:val="24"/>
          <w:shd w:val="clear" w:color="auto" w:fill="FFFFFF"/>
          <w:lang w:eastAsia="en-US"/>
        </w:rPr>
      </w:pPr>
      <w:r w:rsidRPr="00332AB5">
        <w:rPr>
          <w:sz w:val="24"/>
          <w:szCs w:val="24"/>
          <w:shd w:val="clear" w:color="auto" w:fill="FFFFFF"/>
          <w:lang w:eastAsia="en-US"/>
        </w:rPr>
        <w:t>U izvještajnom razdoblju tijela sustava OPKK bila su predmetom revizijskih provjera te se pregled provedenih revizija i ključnih revizijskih preporuka daje u nastavku.</w:t>
      </w:r>
    </w:p>
    <w:p w14:paraId="1C15F826" w14:textId="0F267E58" w:rsidR="00A361EC" w:rsidRPr="00332AB5" w:rsidRDefault="00A361EC" w:rsidP="00A361EC">
      <w:pPr>
        <w:spacing w:before="120" w:after="120"/>
        <w:jc w:val="both"/>
        <w:rPr>
          <w:sz w:val="24"/>
          <w:szCs w:val="24"/>
          <w:shd w:val="clear" w:color="auto" w:fill="FFFFFF"/>
          <w:lang w:eastAsia="en-US"/>
        </w:rPr>
      </w:pPr>
      <w:bookmarkStart w:id="50" w:name="_Hlk98334909"/>
      <w:r w:rsidRPr="00332AB5">
        <w:rPr>
          <w:sz w:val="24"/>
          <w:szCs w:val="24"/>
          <w:shd w:val="clear" w:color="auto" w:fill="FFFFFF"/>
          <w:lang w:eastAsia="en-US"/>
        </w:rPr>
        <w:lastRenderedPageBreak/>
        <w:t xml:space="preserve">Vezano za </w:t>
      </w:r>
      <w:r w:rsidRPr="00332AB5">
        <w:rPr>
          <w:sz w:val="24"/>
          <w:szCs w:val="24"/>
          <w:lang w:eastAsia="en-US"/>
        </w:rPr>
        <w:t>Reviziju sustava upravljanja i kontrola OPKK 2014.</w:t>
      </w:r>
      <w:r w:rsidR="000F59CF" w:rsidRPr="00332AB5">
        <w:rPr>
          <w:sz w:val="24"/>
          <w:szCs w:val="24"/>
          <w:lang w:eastAsia="en-US"/>
        </w:rPr>
        <w:t xml:space="preserve"> – </w:t>
      </w:r>
      <w:r w:rsidRPr="00332AB5">
        <w:rPr>
          <w:sz w:val="24"/>
          <w:szCs w:val="24"/>
          <w:lang w:eastAsia="en-US"/>
        </w:rPr>
        <w:t xml:space="preserve">2020. u vezi </w:t>
      </w:r>
      <w:r w:rsidRPr="00332AB5">
        <w:rPr>
          <w:i/>
          <w:iCs/>
          <w:sz w:val="24"/>
          <w:szCs w:val="24"/>
          <w:lang w:eastAsia="en-US"/>
        </w:rPr>
        <w:t>Ključnog zahtjeva 2 Odgovarajući odabir operacija</w:t>
      </w:r>
      <w:r w:rsidRPr="00332AB5">
        <w:rPr>
          <w:sz w:val="24"/>
          <w:szCs w:val="24"/>
          <w:lang w:eastAsia="en-US"/>
        </w:rPr>
        <w:t xml:space="preserve"> u PT2 HAMAG-BICRO, koju je </w:t>
      </w:r>
      <w:r w:rsidRPr="00332AB5">
        <w:rPr>
          <w:sz w:val="24"/>
          <w:szCs w:val="24"/>
          <w:shd w:val="clear" w:color="auto" w:fill="FFFFFF"/>
          <w:lang w:eastAsia="en-US"/>
        </w:rPr>
        <w:t>Agencija za reviziju sustava provedbe programa Europske unije</w:t>
      </w:r>
      <w:r w:rsidRPr="00332AB5">
        <w:rPr>
          <w:sz w:val="24"/>
          <w:szCs w:val="24"/>
          <w:lang w:eastAsia="en-US"/>
        </w:rPr>
        <w:t xml:space="preserve"> (ARPA) u svojstvu Tijela za reviziju započela u studenom 2021. godine, UT-u je 17. veljače 2023. dostavljeno Konačno izvješće u kojem su utvrđena četiri nalaza koja se odnose na ocjenjivanje kvalitete i provjeru prihvatljivosti u pozivima na dostavu projektnih prijedloga. S obzirom da u okviru OPKK 2014.</w:t>
      </w:r>
      <w:r w:rsidR="000F59CF" w:rsidRPr="00332AB5">
        <w:rPr>
          <w:sz w:val="24"/>
          <w:szCs w:val="24"/>
          <w:lang w:eastAsia="en-US"/>
        </w:rPr>
        <w:t xml:space="preserve"> – </w:t>
      </w:r>
      <w:r w:rsidRPr="00332AB5">
        <w:rPr>
          <w:sz w:val="24"/>
          <w:szCs w:val="24"/>
          <w:lang w:eastAsia="en-US"/>
        </w:rPr>
        <w:t>2020. više neće biti objava poziva, provedba preporuka pratit će se programskom razdoblju 2021.</w:t>
      </w:r>
      <w:r w:rsidR="000F59CF" w:rsidRPr="00332AB5">
        <w:rPr>
          <w:sz w:val="24"/>
          <w:szCs w:val="24"/>
          <w:lang w:eastAsia="en-US"/>
        </w:rPr>
        <w:t xml:space="preserve"> – </w:t>
      </w:r>
      <w:r w:rsidRPr="00332AB5">
        <w:rPr>
          <w:sz w:val="24"/>
          <w:szCs w:val="24"/>
          <w:lang w:eastAsia="en-US"/>
        </w:rPr>
        <w:t xml:space="preserve">2027. </w:t>
      </w:r>
    </w:p>
    <w:bookmarkEnd w:id="50"/>
    <w:p w14:paraId="11DD9BC8" w14:textId="77777777" w:rsidR="00A361EC" w:rsidRPr="00332AB5" w:rsidRDefault="00A361EC" w:rsidP="00A361EC">
      <w:pPr>
        <w:spacing w:before="120" w:after="120"/>
        <w:jc w:val="both"/>
        <w:rPr>
          <w:sz w:val="24"/>
          <w:szCs w:val="24"/>
          <w:shd w:val="clear" w:color="auto" w:fill="FFFFFF"/>
          <w:lang w:eastAsia="en-US"/>
        </w:rPr>
      </w:pPr>
      <w:r w:rsidRPr="00332AB5">
        <w:rPr>
          <w:sz w:val="24"/>
          <w:szCs w:val="24"/>
          <w:lang w:eastAsia="en-US"/>
        </w:rPr>
        <w:t>N</w:t>
      </w:r>
      <w:r w:rsidRPr="00332AB5">
        <w:rPr>
          <w:sz w:val="24"/>
          <w:szCs w:val="24"/>
          <w:shd w:val="clear" w:color="auto" w:fill="FFFFFF"/>
          <w:lang w:eastAsia="en-US"/>
        </w:rPr>
        <w:t xml:space="preserve">astavno na Reviziju operacija koju je ARPA u svojstvu Tijela za reviziju započela u travnju 2022., a koja je obuhvatila razdoblje od 1. srpnja 2021. do 30. lipnja 2022., odnosno izdatke prijavljene Europskoj komisiji do 30. lipnja 2022., uzorak za prvi period revizije operacija, koji se odnosi na razdoblje od 1. srpnja do 31. prosinca 2022. obuhvatio je </w:t>
      </w:r>
      <w:r w:rsidRPr="00332AB5">
        <w:rPr>
          <w:sz w:val="24"/>
          <w:szCs w:val="24"/>
          <w:lang w:eastAsia="en-US"/>
        </w:rPr>
        <w:t xml:space="preserve">18 </w:t>
      </w:r>
      <w:r w:rsidRPr="00332AB5">
        <w:rPr>
          <w:sz w:val="24"/>
          <w:szCs w:val="24"/>
          <w:shd w:val="clear" w:color="auto" w:fill="FFFFFF"/>
          <w:lang w:eastAsia="en-US"/>
        </w:rPr>
        <w:t>ugovora o bespovratnim sredstvima u nadležnosti PT2 SAFU i HAMAG-BICRO. Konačno izvješće reviziji operacije u nadležnosti PT2 SAFU (za prvi dio uzorka 1. perioda) i Konačno izvješće o reviziji operacija vezano uz mehanizam integriranih teritorijalnih ulaganja, UT-u su dostavljena</w:t>
      </w:r>
      <w:r w:rsidRPr="00332AB5">
        <w:rPr>
          <w:sz w:val="24"/>
          <w:szCs w:val="24"/>
          <w:lang w:eastAsia="en-US"/>
        </w:rPr>
        <w:t xml:space="preserve"> u prethodnom izvještajnom razdoblju, a</w:t>
      </w:r>
      <w:r w:rsidRPr="00332AB5">
        <w:rPr>
          <w:sz w:val="24"/>
          <w:szCs w:val="24"/>
          <w:shd w:val="clear" w:color="auto" w:fill="FFFFFF"/>
          <w:lang w:eastAsia="en-US"/>
        </w:rPr>
        <w:t xml:space="preserve"> Konačno izvješće o reviziji operacija u nadležnosti PT2 HAMAG-BICRO </w:t>
      </w:r>
      <w:r w:rsidRPr="00332AB5">
        <w:rPr>
          <w:sz w:val="24"/>
          <w:szCs w:val="24"/>
          <w:lang w:eastAsia="en-US"/>
        </w:rPr>
        <w:t xml:space="preserve">i PT2 SAFU (za drugi dio uzorka 1. perioda) UT-u su dostavljena u siječnju i veljači 2023. godine te su izdane preporuke za tri operacije u nadležnosti PT2 SAFU i jednu operaciju u nadležnosti PT2 HAMAG-BICRO. </w:t>
      </w:r>
      <w:r w:rsidRPr="00332AB5">
        <w:rPr>
          <w:sz w:val="24"/>
          <w:szCs w:val="24"/>
        </w:rPr>
        <w:t xml:space="preserve">Uzorak za drugo razdoblje revizije operacija, koji se odnosi na razdoblje od 1. siječnja do 30. lipnja 2022., obuhvatio je devet ugovora o bespovratnim sredstvima u nadležnosti PT2 SAFU i HV te tri operacije </w:t>
      </w:r>
      <w:r w:rsidRPr="00332AB5">
        <w:rPr>
          <w:sz w:val="24"/>
          <w:szCs w:val="24"/>
          <w:shd w:val="clear" w:color="auto" w:fill="FFFFFF"/>
          <w:lang w:eastAsia="en-US"/>
        </w:rPr>
        <w:t xml:space="preserve">u okviru Financijskih instrumenata koje provode HAMAG-BICRO i </w:t>
      </w:r>
      <w:r w:rsidRPr="00332AB5">
        <w:rPr>
          <w:sz w:val="24"/>
          <w:szCs w:val="24"/>
          <w:lang w:eastAsia="en-US"/>
        </w:rPr>
        <w:t>Hrvatska banka za obnovu i razvitak (</w:t>
      </w:r>
      <w:r w:rsidRPr="00332AB5">
        <w:rPr>
          <w:sz w:val="24"/>
          <w:szCs w:val="24"/>
          <w:shd w:val="clear" w:color="auto" w:fill="FFFFFF"/>
          <w:lang w:eastAsia="en-US"/>
        </w:rPr>
        <w:t>HBOR</w:t>
      </w:r>
      <w:r w:rsidRPr="00332AB5">
        <w:rPr>
          <w:sz w:val="24"/>
          <w:szCs w:val="24"/>
          <w:lang w:eastAsia="en-US"/>
        </w:rPr>
        <w:t>)</w:t>
      </w:r>
      <w:r w:rsidRPr="00332AB5">
        <w:rPr>
          <w:sz w:val="24"/>
          <w:szCs w:val="24"/>
          <w:shd w:val="clear" w:color="auto" w:fill="FFFFFF"/>
          <w:lang w:eastAsia="en-US"/>
        </w:rPr>
        <w:t xml:space="preserve">. </w:t>
      </w:r>
      <w:r w:rsidRPr="00332AB5">
        <w:rPr>
          <w:sz w:val="24"/>
          <w:szCs w:val="24"/>
        </w:rPr>
        <w:t>K</w:t>
      </w:r>
      <w:r w:rsidRPr="00332AB5">
        <w:rPr>
          <w:sz w:val="24"/>
          <w:szCs w:val="24"/>
          <w:shd w:val="clear" w:color="auto" w:fill="FFFFFF"/>
          <w:lang w:eastAsia="en-US"/>
        </w:rPr>
        <w:t xml:space="preserve">onačna izvješća koja se odnose na drugo razdoblje revizije operacija zaprimljena </w:t>
      </w:r>
      <w:r w:rsidRPr="00332AB5">
        <w:rPr>
          <w:sz w:val="24"/>
          <w:szCs w:val="24"/>
          <w:lang w:eastAsia="en-US"/>
        </w:rPr>
        <w:t>su 13. i 15. veljače 2023. te su izdane preporuke za jednu operaciju u nadležnosti PT2 HV i za jednu operaciju financijskog instrumenta kojeg provodi HBOR iako</w:t>
      </w:r>
      <w:r w:rsidRPr="00332AB5">
        <w:rPr>
          <w:color w:val="000000" w:themeColor="text1"/>
          <w:sz w:val="24"/>
          <w:szCs w:val="24"/>
        </w:rPr>
        <w:t xml:space="preserve"> za financijski instrument nisu utvrđeni neprihvatljivi izdaci, odnosno zadovoljeni su propisani uvjeti da su iznosi uključeni u prethodni zahtjev za međuplaćanje prema EK potrošeni kao prihvatljivi izdaci. </w:t>
      </w:r>
      <w:r w:rsidRPr="00332AB5">
        <w:rPr>
          <w:sz w:val="24"/>
          <w:szCs w:val="24"/>
          <w:lang w:eastAsia="en-US"/>
        </w:rPr>
        <w:t xml:space="preserve">UT izvještava Tijelo za reviziju o provedbi preporuka u zadanim rokovima. </w:t>
      </w:r>
    </w:p>
    <w:p w14:paraId="7DADF030" w14:textId="01C81158" w:rsidR="00A361EC" w:rsidRPr="00332AB5" w:rsidRDefault="00A361EC" w:rsidP="00A361EC">
      <w:pPr>
        <w:spacing w:before="120" w:after="120"/>
        <w:jc w:val="both"/>
        <w:rPr>
          <w:sz w:val="24"/>
          <w:szCs w:val="24"/>
          <w:shd w:val="clear" w:color="auto" w:fill="FFFFFF"/>
          <w:lang w:eastAsia="en-US"/>
        </w:rPr>
      </w:pPr>
      <w:r w:rsidRPr="00332AB5">
        <w:rPr>
          <w:sz w:val="24"/>
          <w:szCs w:val="24"/>
          <w:shd w:val="clear" w:color="auto" w:fill="FFFFFF"/>
          <w:lang w:eastAsia="en-US"/>
        </w:rPr>
        <w:t xml:space="preserve">Nadalje, nastavno na Reviziju učinkovitosti – Provedba aktivnosti iz prioritetne osi 7 Povezanost i mobilnost OPKK 2014. – 2020., koju je Državni ured za reviziju (DUR) započeo u veljači 2022. godine, UT-u je 3. ožujka 2023. dostavljeno Izvješće o obavljenoj reviziji, u kojem je izdano ukupno 18 preporuka, od kojih se njih osam odnosi na MRRFEU u svojstvu Koordinacijskog tijela i Upravljačkog tijela za OPKK. Preporuke koje se odnose na MRRFEU odnose se na razdjeljivanje funkcija Upravljačkog i Koordinacijskog tijela u dijelu vidljivosti i komunikacije, aktivnosti vrednovanja, usklađivanje financijskih podataka s Ministarstvom financija, ubrzanje aktivnosti u vezi provedbe projekata te obavljanje poslova i zadaća u cilju što učinkovitije koordinacije i praćenja ESI fondova. U izvještajnom razdoblju provedena je jedna preporuka u nadležnosti MRRFEU, o čemu je MRRFEU izvijestio DUR u svibnju 2023. godine, a o provedbi ostalih preporuka UT izvještava DUR u zadanim rokovima. Ostali subjekti revizije (Ministarstvo mora, prometa i infrastrukture, Ministarstvo financija – Nacionalni fond, SAFU, Hrvatske ceste d.o.o., HŽ Putnički prijevoz </w:t>
      </w:r>
      <w:r w:rsidRPr="00332AB5">
        <w:rPr>
          <w:sz w:val="24"/>
          <w:szCs w:val="24"/>
          <w:shd w:val="clear" w:color="auto" w:fill="FFFFFF"/>
          <w:lang w:eastAsia="en-US"/>
        </w:rPr>
        <w:lastRenderedPageBreak/>
        <w:t xml:space="preserve">d.o.o. i HŽ Infrastruktura d.o.o.) zasebno izvještavaju DUR o provedbi preporuka iz njihove nadležnosti. </w:t>
      </w:r>
    </w:p>
    <w:p w14:paraId="14E46BE8" w14:textId="2BE65A05" w:rsidR="00A361EC" w:rsidRPr="00332AB5" w:rsidRDefault="00A361EC" w:rsidP="00A361EC">
      <w:pPr>
        <w:spacing w:before="120" w:after="120"/>
        <w:jc w:val="both"/>
        <w:rPr>
          <w:sz w:val="24"/>
          <w:szCs w:val="24"/>
          <w:shd w:val="clear" w:color="auto" w:fill="FFFFFF"/>
          <w:lang w:eastAsia="en-US"/>
        </w:rPr>
      </w:pPr>
      <w:r w:rsidRPr="00332AB5">
        <w:rPr>
          <w:sz w:val="24"/>
          <w:szCs w:val="24"/>
          <w:shd w:val="clear" w:color="auto" w:fill="FFFFFF"/>
          <w:lang w:eastAsia="en-US"/>
        </w:rPr>
        <w:t xml:space="preserve">Nastavno za Reviziju sustava upravljanja kontrola u okviru OPKK vezano za </w:t>
      </w:r>
      <w:r w:rsidRPr="00332AB5">
        <w:rPr>
          <w:i/>
          <w:iCs/>
          <w:sz w:val="24"/>
          <w:szCs w:val="24"/>
          <w:shd w:val="clear" w:color="auto" w:fill="FFFFFF"/>
          <w:lang w:eastAsia="en-US"/>
        </w:rPr>
        <w:t>Ključni zahtjev 2 Odgovarajući odabir operacija</w:t>
      </w:r>
      <w:r w:rsidRPr="00332AB5">
        <w:rPr>
          <w:sz w:val="24"/>
          <w:szCs w:val="24"/>
          <w:shd w:val="clear" w:color="auto" w:fill="FFFFFF"/>
          <w:lang w:eastAsia="en-US"/>
        </w:rPr>
        <w:t xml:space="preserve"> iz područja Mehanizma integriranih teritorijalnih ulaganja, koju je ARPA u svojstvu Tijela za reviziju započela u travnju 2022. godine, Konačno izvješće je Upravljačkom tijelu dostavljeno 6. veljače 2023. U predmetnom Izvješću utvrđen je jedan nalaz koji se odnosi na kašnjenja u trajanju postupka dodjele bespovratnih sredstava, međutim, s obzirom da u programskom razdoblju 2014.</w:t>
      </w:r>
      <w:r w:rsidR="000F59CF" w:rsidRPr="00332AB5">
        <w:rPr>
          <w:sz w:val="24"/>
          <w:szCs w:val="24"/>
          <w:shd w:val="clear" w:color="auto" w:fill="FFFFFF"/>
          <w:lang w:eastAsia="en-US"/>
        </w:rPr>
        <w:t xml:space="preserve"> – </w:t>
      </w:r>
      <w:r w:rsidRPr="00332AB5">
        <w:rPr>
          <w:sz w:val="24"/>
          <w:szCs w:val="24"/>
          <w:shd w:val="clear" w:color="auto" w:fill="FFFFFF"/>
          <w:lang w:eastAsia="en-US"/>
        </w:rPr>
        <w:t>2020. neće biti daljnjih objava poziva na dostavu projektnih prijedloga, ARPA je utvrdila da se nalaz smatra zatvorenim te će se problematika na koju se odnosio nalaz pratiti u programskom razdoblju 2021</w:t>
      </w:r>
      <w:r w:rsidR="000F59CF" w:rsidRPr="00332AB5">
        <w:rPr>
          <w:sz w:val="24"/>
          <w:szCs w:val="24"/>
          <w:shd w:val="clear" w:color="auto" w:fill="FFFFFF"/>
          <w:lang w:eastAsia="en-US"/>
        </w:rPr>
        <w:t xml:space="preserve">. – </w:t>
      </w:r>
      <w:r w:rsidRPr="00332AB5">
        <w:rPr>
          <w:sz w:val="24"/>
          <w:szCs w:val="24"/>
          <w:shd w:val="clear" w:color="auto" w:fill="FFFFFF"/>
          <w:lang w:eastAsia="en-US"/>
        </w:rPr>
        <w:t>2027.</w:t>
      </w:r>
    </w:p>
    <w:p w14:paraId="1A0C7089" w14:textId="77777777" w:rsidR="00A361EC" w:rsidRPr="00332AB5" w:rsidRDefault="00A361EC" w:rsidP="00A361EC">
      <w:pPr>
        <w:spacing w:before="120" w:after="120"/>
        <w:jc w:val="both"/>
        <w:rPr>
          <w:sz w:val="24"/>
          <w:szCs w:val="24"/>
          <w:shd w:val="clear" w:color="auto" w:fill="FFFFFF"/>
          <w:lang w:eastAsia="en-US"/>
        </w:rPr>
      </w:pPr>
      <w:r w:rsidRPr="00332AB5">
        <w:rPr>
          <w:sz w:val="24"/>
          <w:szCs w:val="24"/>
          <w:lang w:eastAsia="en-US"/>
        </w:rPr>
        <w:t xml:space="preserve">Nadalje, ARPA je u svojstvu Tijela za reviziju 20. ožujka 2023. započela reviziju sustava upravljanja i kontrole vezano za </w:t>
      </w:r>
      <w:r w:rsidRPr="00332AB5">
        <w:rPr>
          <w:i/>
          <w:iCs/>
          <w:sz w:val="24"/>
          <w:szCs w:val="24"/>
          <w:lang w:eastAsia="en-US"/>
        </w:rPr>
        <w:t>Ključni zahtjev 4 – Primjerene provjere upravljanja</w:t>
      </w:r>
      <w:r w:rsidRPr="00332AB5">
        <w:rPr>
          <w:sz w:val="24"/>
          <w:szCs w:val="24"/>
          <w:lang w:eastAsia="en-US"/>
        </w:rPr>
        <w:t xml:space="preserve"> u PT2 SAFU. Isto tako, ARPA je 20. ožujka 2023. započela reviziju sustava upravljanja i kontrole vezano za </w:t>
      </w:r>
      <w:r w:rsidRPr="00332AB5">
        <w:rPr>
          <w:i/>
          <w:iCs/>
          <w:sz w:val="24"/>
          <w:szCs w:val="24"/>
          <w:lang w:eastAsia="en-US"/>
        </w:rPr>
        <w:t>Ključni zahtjev 4 – Primjerene provjere upravljanja</w:t>
      </w:r>
      <w:r w:rsidRPr="00332AB5">
        <w:rPr>
          <w:sz w:val="24"/>
          <w:szCs w:val="24"/>
          <w:lang w:eastAsia="en-US"/>
        </w:rPr>
        <w:t xml:space="preserve"> u dijelu koji se odnosi na provjere na licu mjesta pojedinih operacija. Konačna izvješća za navedene revizije su zaprimljena izvan izvještajnog razdoblja te nisu utvrđeni nalazi, niti izdane preporuke. </w:t>
      </w:r>
    </w:p>
    <w:p w14:paraId="6A45F5A8" w14:textId="00580B6E" w:rsidR="00A361EC" w:rsidRPr="00332AB5" w:rsidRDefault="00A361EC" w:rsidP="00A361EC">
      <w:pPr>
        <w:spacing w:before="120" w:after="120"/>
        <w:jc w:val="both"/>
        <w:rPr>
          <w:sz w:val="24"/>
          <w:szCs w:val="24"/>
          <w:shd w:val="clear" w:color="auto" w:fill="FFFFFF"/>
          <w:lang w:eastAsia="en-US"/>
        </w:rPr>
      </w:pPr>
      <w:r w:rsidRPr="00332AB5">
        <w:rPr>
          <w:sz w:val="24"/>
          <w:szCs w:val="24"/>
          <w:lang w:eastAsia="en-US"/>
        </w:rPr>
        <w:t xml:space="preserve">UT je 24. ožujka 2023. od Europske komisije zaprimio najavu početka revizijske misije u vezi revizijskih i upravljačkih provjera </w:t>
      </w:r>
      <w:r w:rsidRPr="00332AB5">
        <w:rPr>
          <w:sz w:val="24"/>
          <w:szCs w:val="24"/>
          <w:shd w:val="clear" w:color="auto" w:fill="FFFFFF"/>
          <w:lang w:eastAsia="en-US"/>
        </w:rPr>
        <w:t>u području</w:t>
      </w:r>
      <w:r w:rsidRPr="00332AB5">
        <w:rPr>
          <w:sz w:val="24"/>
          <w:szCs w:val="24"/>
          <w:lang w:eastAsia="en-US"/>
        </w:rPr>
        <w:t xml:space="preserve"> sukoba interesa. Revizijska misija provedena je u </w:t>
      </w:r>
      <w:r w:rsidR="00EB675D" w:rsidRPr="00332AB5">
        <w:rPr>
          <w:sz w:val="24"/>
          <w:szCs w:val="24"/>
          <w:lang w:eastAsia="en-US"/>
        </w:rPr>
        <w:t>razdoblju</w:t>
      </w:r>
      <w:r w:rsidRPr="00332AB5">
        <w:rPr>
          <w:sz w:val="24"/>
          <w:szCs w:val="24"/>
          <w:lang w:eastAsia="en-US"/>
        </w:rPr>
        <w:t xml:space="preserve"> od 12. do 16. lipnja 2023., a revizijsko izvješće nije zaprimljeno u izvještajnom razdoblju. </w:t>
      </w:r>
    </w:p>
    <w:p w14:paraId="18EE2F96" w14:textId="562D6F39" w:rsidR="00A361EC" w:rsidRPr="00332AB5" w:rsidRDefault="00A361EC" w:rsidP="00A361EC">
      <w:pPr>
        <w:spacing w:before="120" w:after="120"/>
        <w:jc w:val="both"/>
        <w:rPr>
          <w:sz w:val="24"/>
          <w:szCs w:val="24"/>
          <w:shd w:val="clear" w:color="auto" w:fill="FFFFFF"/>
          <w:lang w:eastAsia="en-US"/>
        </w:rPr>
      </w:pPr>
      <w:r w:rsidRPr="00332AB5">
        <w:rPr>
          <w:sz w:val="24"/>
          <w:szCs w:val="24"/>
          <w:shd w:val="clear" w:color="auto" w:fill="FFFFFF"/>
          <w:lang w:eastAsia="en-US"/>
        </w:rPr>
        <w:t xml:space="preserve">Nadalje, ARPA je u svojstvu Tijela za reviziju 24. travnja 2023. započela reviziju operacija u okviru OPKK, koja obuhvaća razdoblje od 1. srpnja 2022. do 30. lipnja 2023., odnosno izdatke prijavljene Europskoj komisiji do 30. lipnja 2023., a ista se provodi kroz dva razdoblja, odnosno obuhvaća dva odvojena uzorka koji se odnose na razdoblje od 1. srpnja do 31. prosinca 2022. te na razdoblje od 1. siječnja do 30. lipnja 2023. Revizija za prvo razdoblje obuhvaća 12 ugovora o bespovratnim sredstvima u nadležnosti </w:t>
      </w:r>
      <w:r w:rsidR="00EB675D" w:rsidRPr="00332AB5">
        <w:rPr>
          <w:sz w:val="24"/>
          <w:szCs w:val="24"/>
          <w:shd w:val="clear" w:color="auto" w:fill="FFFFFF"/>
          <w:lang w:eastAsia="en-US"/>
        </w:rPr>
        <w:t>PT</w:t>
      </w:r>
      <w:r w:rsidRPr="00332AB5">
        <w:rPr>
          <w:sz w:val="24"/>
          <w:szCs w:val="24"/>
          <w:shd w:val="clear" w:color="auto" w:fill="FFFFFF"/>
          <w:lang w:eastAsia="en-US"/>
        </w:rPr>
        <w:t>2 SAFU i HV te dvije operacije u okviru Financijskih instrumenata koje provode HAMAG-BICRO i HBOR. Konačna izvješća nisu zaprimljena u izvještajnom razdoblju.</w:t>
      </w:r>
    </w:p>
    <w:p w14:paraId="04A44325" w14:textId="77777777" w:rsidR="00A361EC" w:rsidRPr="00332AB5" w:rsidRDefault="00A361EC" w:rsidP="00A361EC">
      <w:pPr>
        <w:spacing w:before="120" w:after="120"/>
        <w:jc w:val="both"/>
        <w:rPr>
          <w:sz w:val="24"/>
          <w:szCs w:val="24"/>
          <w:shd w:val="clear" w:color="auto" w:fill="FFFFFF"/>
          <w:lang w:eastAsia="en-US"/>
        </w:rPr>
      </w:pPr>
      <w:r w:rsidRPr="00332AB5">
        <w:rPr>
          <w:sz w:val="24"/>
          <w:szCs w:val="24"/>
          <w:shd w:val="clear" w:color="auto" w:fill="FFFFFF"/>
          <w:lang w:eastAsia="en-US"/>
        </w:rPr>
        <w:t xml:space="preserve">U izvještajnom razdoblju, UT je uslijed prethodno zaprimljenog Pisma o korektivnim mjerama od strane EK, prilagodio opseg redovnih (planiranih) provjera na razini sustava </w:t>
      </w:r>
      <w:r w:rsidRPr="00332AB5">
        <w:rPr>
          <w:sz w:val="24"/>
          <w:szCs w:val="24"/>
          <w:lang w:eastAsia="en-US"/>
        </w:rPr>
        <w:t xml:space="preserve">i provjera prije podnošenja Zahtjeva za plaćanje prema Europskoj komisiji pa je tako </w:t>
      </w:r>
      <w:r w:rsidRPr="00332AB5">
        <w:rPr>
          <w:sz w:val="24"/>
          <w:szCs w:val="24"/>
          <w:shd w:val="clear" w:color="auto" w:fill="FFFFFF"/>
          <w:lang w:eastAsia="en-US"/>
        </w:rPr>
        <w:t>u</w:t>
      </w:r>
      <w:r w:rsidRPr="00332AB5">
        <w:rPr>
          <w:sz w:val="24"/>
          <w:szCs w:val="24"/>
          <w:lang w:eastAsia="en-US"/>
        </w:rPr>
        <w:t xml:space="preserve"> </w:t>
      </w:r>
      <w:r w:rsidRPr="00332AB5">
        <w:rPr>
          <w:sz w:val="24"/>
          <w:szCs w:val="24"/>
          <w:shd w:val="clear" w:color="auto" w:fill="FFFFFF"/>
          <w:lang w:eastAsia="en-US"/>
        </w:rPr>
        <w:t>izvještajnom razdoblju započeo provedbu</w:t>
      </w:r>
      <w:r w:rsidRPr="00332AB5">
        <w:t xml:space="preserve"> </w:t>
      </w:r>
      <w:r w:rsidRPr="00332AB5">
        <w:rPr>
          <w:sz w:val="24"/>
          <w:szCs w:val="24"/>
          <w:lang w:eastAsia="en-US"/>
        </w:rPr>
        <w:t>pet redovnih provjera na razini sustava (jednu administrativnu provjeru u ITU PT-u Karlovac te četiri provjere na licu mjesta – po jednu u svakom PT-u 2 - SAFU PT 2, HAMAG-BICRO PT 2, FZOEU PT 2 te HV PT 2), jedne</w:t>
      </w:r>
      <w:r w:rsidRPr="00332AB5">
        <w:rPr>
          <w:sz w:val="24"/>
          <w:szCs w:val="24"/>
          <w:shd w:val="clear" w:color="auto" w:fill="FFFFFF"/>
          <w:lang w:eastAsia="en-US"/>
        </w:rPr>
        <w:t xml:space="preserve"> ad hoc provjere na razini sustava</w:t>
      </w:r>
      <w:r w:rsidRPr="00332AB5">
        <w:rPr>
          <w:sz w:val="24"/>
          <w:szCs w:val="24"/>
          <w:lang w:eastAsia="en-US"/>
        </w:rPr>
        <w:t xml:space="preserve"> u SAFU PT 2</w:t>
      </w:r>
      <w:r w:rsidRPr="00332AB5">
        <w:t xml:space="preserve"> </w:t>
      </w:r>
      <w:r w:rsidRPr="00332AB5">
        <w:rPr>
          <w:sz w:val="24"/>
          <w:szCs w:val="24"/>
          <w:lang w:eastAsia="en-US"/>
        </w:rPr>
        <w:t>te četiri provjere na razini sustava prije podnošenja Zahtjeva za plaćanje prema Europskoj komisiji (dvije u SAFU PT 2 i dvije u HAMAG-BICRO PT 2)</w:t>
      </w:r>
      <w:r w:rsidRPr="00332AB5">
        <w:rPr>
          <w:sz w:val="24"/>
          <w:szCs w:val="24"/>
          <w:shd w:val="clear" w:color="auto" w:fill="FFFFFF"/>
          <w:lang w:eastAsia="en-US"/>
        </w:rPr>
        <w:t>.</w:t>
      </w:r>
      <w:r w:rsidRPr="00332AB5">
        <w:t xml:space="preserve"> </w:t>
      </w:r>
      <w:r w:rsidRPr="00332AB5">
        <w:rPr>
          <w:sz w:val="24"/>
          <w:szCs w:val="24"/>
          <w:lang w:eastAsia="en-US"/>
        </w:rPr>
        <w:t xml:space="preserve">Neposredno nakon izvještajnog razdoblja, UT je zaprimio Pismo o ukidanju upozorenja o preventivnim i korektivnim mjerama za HV PT 2, dok je za FZOEU PT 2 zaprimio Pismo </w:t>
      </w:r>
      <w:r w:rsidRPr="00332AB5">
        <w:rPr>
          <w:sz w:val="24"/>
          <w:szCs w:val="24"/>
          <w:lang w:eastAsia="en-US"/>
        </w:rPr>
        <w:lastRenderedPageBreak/>
        <w:t>upozorenja o preventivnim i korektivnim mjerama u skladu s kojim će provesti odgovarajuće provjere Ključnog zahtjeva 4 – Primjerene provjere upravljanja u FZOEU PT 2.</w:t>
      </w:r>
    </w:p>
    <w:p w14:paraId="2CB09804" w14:textId="77777777" w:rsidR="00A361EC" w:rsidRPr="00332AB5" w:rsidRDefault="00A361EC" w:rsidP="00A361EC">
      <w:pPr>
        <w:spacing w:before="120" w:after="120"/>
        <w:jc w:val="both"/>
        <w:rPr>
          <w:sz w:val="24"/>
          <w:szCs w:val="24"/>
          <w:shd w:val="clear" w:color="auto" w:fill="FFFFFF"/>
          <w:lang w:eastAsia="en-US"/>
        </w:rPr>
      </w:pPr>
      <w:r w:rsidRPr="00332AB5">
        <w:rPr>
          <w:sz w:val="24"/>
          <w:szCs w:val="24"/>
          <w:shd w:val="clear" w:color="auto" w:fill="FFFFFF"/>
          <w:lang w:eastAsia="en-US"/>
        </w:rPr>
        <w:t xml:space="preserve">Na dan 30. lipnja 2023. u </w:t>
      </w:r>
      <w:r w:rsidRPr="00332AB5">
        <w:rPr>
          <w:sz w:val="24"/>
          <w:szCs w:val="24"/>
        </w:rPr>
        <w:t>UT-u je ukupno zaposleno 197 službenika, dok je ukupno 1.162 službenika</w:t>
      </w:r>
      <w:r w:rsidRPr="00332AB5" w:rsidDel="00096396">
        <w:rPr>
          <w:sz w:val="24"/>
          <w:szCs w:val="24"/>
        </w:rPr>
        <w:t xml:space="preserve"> </w:t>
      </w:r>
      <w:r w:rsidRPr="00332AB5">
        <w:rPr>
          <w:sz w:val="24"/>
          <w:szCs w:val="24"/>
        </w:rPr>
        <w:t xml:space="preserve">zaposlenih u </w:t>
      </w:r>
      <w:r w:rsidRPr="00332AB5">
        <w:rPr>
          <w:sz w:val="24"/>
          <w:szCs w:val="24"/>
          <w:shd w:val="clear" w:color="auto" w:fill="FFFFFF"/>
          <w:lang w:eastAsia="en-US"/>
        </w:rPr>
        <w:t>Tijelima SUK-a OPKK-a s ITU gradovima.</w:t>
      </w:r>
    </w:p>
    <w:p w14:paraId="0DC4A66D" w14:textId="77777777" w:rsidR="00A361EC" w:rsidRPr="00332AB5" w:rsidRDefault="00A361EC" w:rsidP="00A361EC">
      <w:pPr>
        <w:pStyle w:val="CommentText"/>
        <w:spacing w:before="120" w:after="120"/>
        <w:jc w:val="both"/>
        <w:rPr>
          <w:sz w:val="24"/>
          <w:szCs w:val="24"/>
        </w:rPr>
      </w:pPr>
      <w:r w:rsidRPr="00332AB5">
        <w:rPr>
          <w:sz w:val="24"/>
          <w:szCs w:val="24"/>
        </w:rPr>
        <w:t>U izvještajnom razdoblju nije bilo pisanih postupaka odlučivanja dok je 27. travnja 2023. u Puli održana 19. sjednica Odbora za praćenje.</w:t>
      </w:r>
    </w:p>
    <w:p w14:paraId="4C315653" w14:textId="77777777" w:rsidR="00A361EC" w:rsidRPr="00332AB5" w:rsidRDefault="00A361EC" w:rsidP="00A361EC">
      <w:pPr>
        <w:pStyle w:val="CommentText"/>
        <w:spacing w:before="120" w:after="120"/>
        <w:jc w:val="both"/>
        <w:rPr>
          <w:b/>
          <w:bCs/>
          <w:sz w:val="24"/>
          <w:szCs w:val="24"/>
        </w:rPr>
      </w:pPr>
      <w:r w:rsidRPr="00332AB5">
        <w:rPr>
          <w:sz w:val="24"/>
          <w:szCs w:val="24"/>
          <w:lang w:eastAsia="en-US"/>
        </w:rPr>
        <w:t>Krajem 2021. godine</w:t>
      </w:r>
      <w:r w:rsidRPr="00332AB5">
        <w:rPr>
          <w:sz w:val="24"/>
          <w:szCs w:val="24"/>
          <w:shd w:val="clear" w:color="auto" w:fill="FFFFFF"/>
          <w:lang w:eastAsia="en-US"/>
        </w:rPr>
        <w:t xml:space="preserve"> UT je</w:t>
      </w:r>
      <w:r w:rsidRPr="00332AB5">
        <w:rPr>
          <w:sz w:val="24"/>
          <w:szCs w:val="24"/>
          <w:lang w:eastAsia="en-US"/>
        </w:rPr>
        <w:t xml:space="preserve"> temeljem provedenog otvorenog postupka javne nabave potpisao osam ugovora o provedbi srednjoročnog vrednovanja učinka za sljedeće prioritetne osi OPKK:</w:t>
      </w:r>
    </w:p>
    <w:p w14:paraId="1BC986DF" w14:textId="77777777" w:rsidR="00A361EC" w:rsidRPr="00332AB5" w:rsidRDefault="00A361EC" w:rsidP="00A361EC">
      <w:pPr>
        <w:spacing w:before="120" w:after="120"/>
        <w:jc w:val="both"/>
      </w:pPr>
      <w:r w:rsidRPr="00332AB5">
        <w:rPr>
          <w:rFonts w:eastAsia="Calibri"/>
          <w:i/>
          <w:iCs/>
          <w:sz w:val="22"/>
          <w:szCs w:val="22"/>
        </w:rPr>
        <w:t>Prioritetna os 1 „Jačanje gospodarstva primjenom istraživanja i inovacija“</w:t>
      </w:r>
    </w:p>
    <w:p w14:paraId="1D47CEE3" w14:textId="77777777" w:rsidR="00A361EC" w:rsidRPr="00332AB5" w:rsidRDefault="00A361EC" w:rsidP="00A361EC">
      <w:pPr>
        <w:spacing w:before="120" w:after="120"/>
        <w:jc w:val="both"/>
      </w:pPr>
      <w:r w:rsidRPr="00332AB5">
        <w:rPr>
          <w:rFonts w:eastAsia="Calibri"/>
          <w:i/>
          <w:iCs/>
          <w:sz w:val="22"/>
          <w:szCs w:val="22"/>
        </w:rPr>
        <w:t>Prioritetna os 2 „Korištenje informacijske i komunikacijske tehnologije“</w:t>
      </w:r>
    </w:p>
    <w:p w14:paraId="66D8A4F1" w14:textId="77777777" w:rsidR="00A361EC" w:rsidRPr="00332AB5" w:rsidRDefault="00A361EC" w:rsidP="00A361EC">
      <w:pPr>
        <w:spacing w:before="120" w:after="120"/>
        <w:jc w:val="both"/>
      </w:pPr>
      <w:r w:rsidRPr="00332AB5">
        <w:rPr>
          <w:rFonts w:eastAsia="Calibri"/>
          <w:i/>
          <w:iCs/>
          <w:sz w:val="22"/>
          <w:szCs w:val="22"/>
        </w:rPr>
        <w:t>Prioritetna os 4 „Promicanje energetske učinkovitosti i obnovljivih izvora energije“</w:t>
      </w:r>
    </w:p>
    <w:p w14:paraId="203CA086" w14:textId="77777777" w:rsidR="00A361EC" w:rsidRPr="00332AB5" w:rsidRDefault="00A361EC" w:rsidP="00A361EC">
      <w:pPr>
        <w:spacing w:before="120" w:after="120"/>
        <w:jc w:val="both"/>
      </w:pPr>
      <w:r w:rsidRPr="00332AB5">
        <w:rPr>
          <w:rFonts w:eastAsia="Calibri"/>
          <w:i/>
          <w:iCs/>
          <w:sz w:val="22"/>
          <w:szCs w:val="22"/>
        </w:rPr>
        <w:t>Prioritetna os 5 „Klimatske promjene i upravljanje rizicima“</w:t>
      </w:r>
    </w:p>
    <w:p w14:paraId="50E6E888" w14:textId="77777777" w:rsidR="00A361EC" w:rsidRPr="00332AB5" w:rsidRDefault="00A361EC" w:rsidP="00A361EC">
      <w:pPr>
        <w:spacing w:before="120" w:after="120"/>
        <w:jc w:val="both"/>
      </w:pPr>
      <w:r w:rsidRPr="00332AB5">
        <w:rPr>
          <w:rFonts w:eastAsia="Calibri"/>
          <w:i/>
          <w:iCs/>
          <w:sz w:val="22"/>
          <w:szCs w:val="22"/>
        </w:rPr>
        <w:t>Prioritetna os 6 „Zaštita okoliša i održivost resursa“</w:t>
      </w:r>
    </w:p>
    <w:p w14:paraId="4573778E" w14:textId="77777777" w:rsidR="00A361EC" w:rsidRPr="00332AB5" w:rsidRDefault="00A361EC" w:rsidP="00A361EC">
      <w:pPr>
        <w:spacing w:before="120" w:after="120"/>
        <w:jc w:val="both"/>
      </w:pPr>
      <w:r w:rsidRPr="00332AB5">
        <w:rPr>
          <w:rFonts w:eastAsia="Calibri"/>
          <w:i/>
          <w:iCs/>
          <w:sz w:val="22"/>
          <w:szCs w:val="22"/>
        </w:rPr>
        <w:t>Prioritetna os 7 „Povezanost i mobilnost“</w:t>
      </w:r>
    </w:p>
    <w:p w14:paraId="79BE6DBB" w14:textId="77777777" w:rsidR="00A361EC" w:rsidRPr="00332AB5" w:rsidRDefault="00A361EC" w:rsidP="00A361EC">
      <w:pPr>
        <w:spacing w:before="120" w:after="120"/>
        <w:jc w:val="both"/>
        <w:rPr>
          <w:rFonts w:eastAsia="Calibri"/>
          <w:i/>
          <w:sz w:val="22"/>
          <w:szCs w:val="22"/>
        </w:rPr>
      </w:pPr>
      <w:r w:rsidRPr="00332AB5">
        <w:rPr>
          <w:rFonts w:eastAsia="Calibri"/>
          <w:i/>
          <w:iCs/>
          <w:sz w:val="22"/>
          <w:szCs w:val="22"/>
        </w:rPr>
        <w:t>Prioritetna os 8 „Socijalno uključivanje i zdravlje“ i</w:t>
      </w:r>
    </w:p>
    <w:p w14:paraId="0E642447" w14:textId="06BA9628" w:rsidR="00A361EC" w:rsidRPr="00332AB5" w:rsidRDefault="00A361EC" w:rsidP="00A361EC">
      <w:pPr>
        <w:spacing w:before="120" w:after="120"/>
        <w:jc w:val="both"/>
      </w:pPr>
      <w:r w:rsidRPr="00332AB5">
        <w:rPr>
          <w:rFonts w:eastAsia="Calibri"/>
          <w:i/>
          <w:iCs/>
          <w:sz w:val="22"/>
          <w:szCs w:val="22"/>
        </w:rPr>
        <w:t>Prioritetna os 9 „Obrazovanje, vještine i cjeloživotno učenje“.</w:t>
      </w:r>
    </w:p>
    <w:p w14:paraId="32D07071" w14:textId="309803CC" w:rsidR="00A361EC" w:rsidRPr="00332AB5" w:rsidRDefault="00A361EC" w:rsidP="00A361EC">
      <w:pPr>
        <w:pStyle w:val="CommentText"/>
        <w:spacing w:before="120" w:after="120"/>
        <w:jc w:val="both"/>
        <w:rPr>
          <w:sz w:val="24"/>
          <w:szCs w:val="24"/>
          <w:lang w:eastAsia="en-US"/>
        </w:rPr>
      </w:pPr>
      <w:r w:rsidRPr="00332AB5">
        <w:rPr>
          <w:sz w:val="24"/>
          <w:szCs w:val="24"/>
          <w:lang w:eastAsia="en-US"/>
        </w:rPr>
        <w:t xml:space="preserve">U izvještajnom razdoblju završena je provedba ugovora o vrednovanju učinka prioritetnih osi 1, 2, 4, 6 i 9, a pripadajuća završna izvješća su objavljena na web stranici </w:t>
      </w:r>
      <w:hyperlink r:id="rId18" w:history="1">
        <w:r w:rsidRPr="00332AB5">
          <w:rPr>
            <w:rStyle w:val="Hyperlink"/>
            <w:sz w:val="24"/>
            <w:szCs w:val="24"/>
            <w:lang w:eastAsia="en-US"/>
          </w:rPr>
          <w:t>www.strukturnifondovi.hr</w:t>
        </w:r>
      </w:hyperlink>
      <w:r w:rsidRPr="00332AB5">
        <w:rPr>
          <w:sz w:val="24"/>
          <w:szCs w:val="24"/>
          <w:lang w:eastAsia="en-US"/>
        </w:rPr>
        <w:t>.</w:t>
      </w:r>
    </w:p>
    <w:p w14:paraId="1C94A2AE" w14:textId="77777777" w:rsidR="00A361EC" w:rsidRPr="00332AB5" w:rsidRDefault="00A361EC">
      <w:pPr>
        <w:rPr>
          <w:b/>
          <w:bCs/>
          <w:iCs/>
          <w:sz w:val="24"/>
          <w:szCs w:val="28"/>
        </w:rPr>
      </w:pPr>
      <w:r w:rsidRPr="00332AB5">
        <w:br w:type="page"/>
      </w:r>
    </w:p>
    <w:p w14:paraId="6AAB0F26" w14:textId="3690175B" w:rsidR="002B7689" w:rsidRPr="00332AB5" w:rsidRDefault="001E1BDE">
      <w:pPr>
        <w:pStyle w:val="Heading2"/>
        <w:numPr>
          <w:ilvl w:val="1"/>
          <w:numId w:val="40"/>
        </w:numPr>
      </w:pPr>
      <w:bookmarkStart w:id="51" w:name="_Toc152595220"/>
      <w:r w:rsidRPr="00332AB5">
        <w:lastRenderedPageBreak/>
        <w:t>OPERATIVNI PROGRAM „UČINKOVITI LJUDSKI POTENCIJALI“</w:t>
      </w:r>
      <w:bookmarkEnd w:id="51"/>
    </w:p>
    <w:p w14:paraId="36D24569" w14:textId="3E1EDE48" w:rsidR="000A6B90" w:rsidRPr="00332AB5" w:rsidRDefault="000A6B90" w:rsidP="000A6B90">
      <w:pPr>
        <w:spacing w:before="120" w:after="120"/>
        <w:jc w:val="both"/>
        <w:rPr>
          <w:sz w:val="24"/>
          <w:szCs w:val="24"/>
        </w:rPr>
      </w:pPr>
      <w:bookmarkStart w:id="52" w:name="_Toc465078655"/>
      <w:r w:rsidRPr="00332AB5">
        <w:rPr>
          <w:sz w:val="24"/>
          <w:szCs w:val="24"/>
        </w:rPr>
        <w:t>Do 30. lipnja 2023. ukupno su pokrenuta 182 postupka dodjele bespovratnih sredstava ukupne vrijednosti 2,9</w:t>
      </w:r>
      <w:r w:rsidR="00E60773" w:rsidRPr="00332AB5">
        <w:rPr>
          <w:sz w:val="24"/>
          <w:szCs w:val="24"/>
        </w:rPr>
        <w:t>0</w:t>
      </w:r>
      <w:r w:rsidRPr="00332AB5">
        <w:rPr>
          <w:sz w:val="24"/>
          <w:szCs w:val="24"/>
        </w:rPr>
        <w:t xml:space="preserve"> milijarde eura, od čega 54 otvorena postupka dodjele bespovratnih sredstava ukupne vrijednosti 904,28 milijuna eura, šest ograničenih postupaka dodjele bespovratnih sredstava ukupne vrijednosti 224,79 milijuna eura, 122 izravna postupka dodjele bespovratnih sredstava ukupne vrijednosti 1,77 milijarde eura.</w:t>
      </w:r>
    </w:p>
    <w:p w14:paraId="75CD2271" w14:textId="160E616A" w:rsidR="000A6B90" w:rsidRPr="00332AB5" w:rsidRDefault="000A6B90" w:rsidP="000A6B90">
      <w:pPr>
        <w:spacing w:before="120" w:after="120"/>
        <w:jc w:val="both"/>
        <w:rPr>
          <w:sz w:val="24"/>
          <w:szCs w:val="24"/>
        </w:rPr>
      </w:pPr>
      <w:bookmarkStart w:id="53" w:name="_Hlk115852736"/>
      <w:r w:rsidRPr="00332AB5">
        <w:rPr>
          <w:sz w:val="24"/>
          <w:szCs w:val="24"/>
        </w:rPr>
        <w:t>Temeljem pokrenutih postupaka dodjele bespovratnih sredstava, do 30. lipnja 2023. sklopljeno je 4.057 ugovora o dodjeli bespovratnih sredstava ukupne vrijednosti 1,96 milijardi eura (sredstva EU). U izvještajnom razdoblju sklopljena su 53 ugovora o dodjeli bespovratnih sredstava ukupne vrijednosti 5,13 milijuna eura (sredstva EU)</w:t>
      </w:r>
      <w:bookmarkEnd w:id="53"/>
      <w:r w:rsidR="006433B3" w:rsidRPr="00332AB5">
        <w:rPr>
          <w:sz w:val="24"/>
          <w:szCs w:val="24"/>
        </w:rPr>
        <w:t>. Istovremeno je u izvještajnom razdoblju u okviru PO2 došlo do raskida ugovora u vrijednosti 0,25 milijuna eura (sredstva EU), dok je s ciljem dostizanja pune apsorpcije sredstava u sklopu PO5 došlo je do smanjenja ugovorene vrijednosti od 1,11 milijuna eura (sredstva EU).</w:t>
      </w:r>
    </w:p>
    <w:p w14:paraId="59AF3013" w14:textId="27A87ADA" w:rsidR="000A6B90" w:rsidRPr="00332AB5" w:rsidRDefault="000A6B90" w:rsidP="000A6B90">
      <w:pPr>
        <w:spacing w:before="120" w:after="120"/>
        <w:jc w:val="both"/>
        <w:rPr>
          <w:b/>
          <w:bCs/>
          <w:color w:val="FF0000"/>
        </w:rPr>
      </w:pPr>
      <w:r w:rsidRPr="00332AB5">
        <w:rPr>
          <w:sz w:val="24"/>
          <w:szCs w:val="24"/>
        </w:rPr>
        <w:t>Ukupna plaćanja prema korisnicima izvršena su u iznosu od 1,47 milijardi eura (sredstva EU). U izvještajnom razdoblju korisnicima je plaćeno 146,52 milijuna eura (sredstva EU). Ukupno je do 30. lipnja 2023. ovjereno 1,45 milijarde eura (sredstva EU), dok je u izvještajnom razdoblju ovjereno 218,81 milijuna eura (sredstva EU). Ukupno je doznačeno 1,</w:t>
      </w:r>
      <w:r w:rsidR="00226CDE" w:rsidRPr="00332AB5">
        <w:rPr>
          <w:sz w:val="24"/>
          <w:szCs w:val="24"/>
        </w:rPr>
        <w:t>33</w:t>
      </w:r>
      <w:r w:rsidRPr="00332AB5">
        <w:rPr>
          <w:sz w:val="24"/>
          <w:szCs w:val="24"/>
        </w:rPr>
        <w:t xml:space="preserve"> milijard</w:t>
      </w:r>
      <w:r w:rsidR="0063198C" w:rsidRPr="00332AB5">
        <w:rPr>
          <w:sz w:val="24"/>
          <w:szCs w:val="24"/>
        </w:rPr>
        <w:t>e</w:t>
      </w:r>
      <w:r w:rsidRPr="00332AB5">
        <w:rPr>
          <w:sz w:val="24"/>
          <w:szCs w:val="24"/>
        </w:rPr>
        <w:t xml:space="preserve"> eura, a u izvještajnom razdoblju doznačeno je </w:t>
      </w:r>
      <w:r w:rsidR="00226CDE" w:rsidRPr="00332AB5">
        <w:rPr>
          <w:sz w:val="24"/>
          <w:szCs w:val="24"/>
        </w:rPr>
        <w:t>142,60</w:t>
      </w:r>
      <w:r w:rsidRPr="00332AB5">
        <w:rPr>
          <w:sz w:val="24"/>
          <w:szCs w:val="24"/>
        </w:rPr>
        <w:t xml:space="preserve"> milijuna eura.</w:t>
      </w:r>
    </w:p>
    <w:p w14:paraId="774420AD" w14:textId="77777777" w:rsidR="00AC1650" w:rsidRPr="00332AB5" w:rsidRDefault="00AC1650" w:rsidP="00FA3316">
      <w:pPr>
        <w:spacing w:before="120" w:after="120"/>
        <w:jc w:val="both"/>
        <w:rPr>
          <w:b/>
          <w:bCs/>
        </w:rPr>
      </w:pPr>
    </w:p>
    <w:p w14:paraId="493E9597" w14:textId="17D7D147" w:rsidR="00FA3316" w:rsidRPr="00332AB5" w:rsidRDefault="00FA3316" w:rsidP="00FA3316">
      <w:pPr>
        <w:spacing w:before="120" w:after="120"/>
        <w:jc w:val="both"/>
        <w:rPr>
          <w:b/>
          <w:bCs/>
        </w:rPr>
      </w:pPr>
      <w:bookmarkStart w:id="54" w:name="_Toc152595283"/>
      <w:r w:rsidRPr="00332AB5">
        <w:rPr>
          <w:b/>
          <w:bCs/>
        </w:rPr>
        <w:t xml:space="preserve">Tablica </w:t>
      </w:r>
      <w:r w:rsidR="008C2CC3" w:rsidRPr="00332AB5">
        <w:rPr>
          <w:b/>
          <w:bCs/>
        </w:rPr>
        <w:fldChar w:fldCharType="begin"/>
      </w:r>
      <w:r w:rsidRPr="00332AB5">
        <w:rPr>
          <w:b/>
          <w:bCs/>
        </w:rPr>
        <w:instrText xml:space="preserve"> SEQ Tablica \* ARABIC </w:instrText>
      </w:r>
      <w:r w:rsidR="008C2CC3" w:rsidRPr="00332AB5">
        <w:rPr>
          <w:b/>
          <w:bCs/>
        </w:rPr>
        <w:fldChar w:fldCharType="separate"/>
      </w:r>
      <w:r w:rsidR="005E6E46">
        <w:rPr>
          <w:b/>
          <w:bCs/>
          <w:noProof/>
        </w:rPr>
        <w:t>9</w:t>
      </w:r>
      <w:r w:rsidR="008C2CC3" w:rsidRPr="00332AB5">
        <w:rPr>
          <w:b/>
          <w:bCs/>
        </w:rPr>
        <w:fldChar w:fldCharType="end"/>
      </w:r>
      <w:r w:rsidRPr="00332AB5">
        <w:rPr>
          <w:b/>
          <w:bCs/>
        </w:rPr>
        <w:t xml:space="preserve">: Financijski pokazatelji statusa provedbe Operativnog programa „Učinkoviti ljudski potencijali“ u izvještajnom razdoblju </w:t>
      </w:r>
      <w:r w:rsidR="00407BC0" w:rsidRPr="00332AB5">
        <w:rPr>
          <w:b/>
          <w:bCs/>
        </w:rPr>
        <w:t xml:space="preserve">od </w:t>
      </w:r>
      <w:r w:rsidR="0011067E" w:rsidRPr="00332AB5">
        <w:rPr>
          <w:b/>
          <w:bCs/>
        </w:rPr>
        <w:t>1. siječnja</w:t>
      </w:r>
      <w:r w:rsidR="00B2004D" w:rsidRPr="00332AB5">
        <w:rPr>
          <w:b/>
          <w:bCs/>
        </w:rPr>
        <w:t xml:space="preserve"> do </w:t>
      </w:r>
      <w:r w:rsidR="0011067E" w:rsidRPr="00332AB5">
        <w:rPr>
          <w:b/>
          <w:bCs/>
        </w:rPr>
        <w:t>30. lipnja 2023.</w:t>
      </w:r>
      <w:r w:rsidR="00B2004D" w:rsidRPr="00332AB5">
        <w:rPr>
          <w:b/>
          <w:bCs/>
        </w:rPr>
        <w:t xml:space="preserve"> </w:t>
      </w:r>
      <w:r w:rsidRPr="00332AB5">
        <w:rPr>
          <w:b/>
          <w:bCs/>
        </w:rPr>
        <w:t>(sredstva EU, u milijunima eura i postocima od dodijeljenih sredstava)</w:t>
      </w:r>
      <w:bookmarkEnd w:id="5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703"/>
        <w:gridCol w:w="1021"/>
        <w:gridCol w:w="680"/>
        <w:gridCol w:w="1044"/>
        <w:gridCol w:w="635"/>
        <w:gridCol w:w="1089"/>
        <w:gridCol w:w="635"/>
      </w:tblGrid>
      <w:tr w:rsidR="00FA3316" w:rsidRPr="00332AB5" w14:paraId="00BE32E3" w14:textId="77777777" w:rsidTr="0088758B">
        <w:trPr>
          <w:trHeight w:val="737"/>
        </w:trPr>
        <w:tc>
          <w:tcPr>
            <w:tcW w:w="1179" w:type="dxa"/>
            <w:vAlign w:val="center"/>
          </w:tcPr>
          <w:p w14:paraId="00FD8E96" w14:textId="77777777" w:rsidR="00FA3316" w:rsidRPr="00332AB5" w:rsidRDefault="00FA3316" w:rsidP="00FA3316">
            <w:pPr>
              <w:spacing w:after="60"/>
              <w:rPr>
                <w:sz w:val="16"/>
                <w:szCs w:val="24"/>
              </w:rPr>
            </w:pPr>
            <w:bookmarkStart w:id="55" w:name="_Hlk115852747"/>
            <w:r w:rsidRPr="00332AB5">
              <w:rPr>
                <w:rFonts w:asciiTheme="minorHAnsi" w:hAnsiTheme="minorHAnsi" w:cstheme="minorHAnsi"/>
                <w:sz w:val="16"/>
              </w:rPr>
              <w:t>Prioritetna os</w:t>
            </w:r>
            <w:r w:rsidRPr="00332AB5">
              <w:rPr>
                <w:rStyle w:val="FootnoteReference"/>
                <w:rFonts w:asciiTheme="minorHAnsi" w:hAnsiTheme="minorHAnsi" w:cstheme="minorHAnsi"/>
                <w:sz w:val="16"/>
              </w:rPr>
              <w:footnoteReference w:id="11"/>
            </w:r>
            <w:r w:rsidRPr="00332AB5">
              <w:rPr>
                <w:rFonts w:asciiTheme="minorHAnsi" w:hAnsiTheme="minorHAnsi" w:cstheme="minorHAnsi"/>
                <w:sz w:val="16"/>
              </w:rPr>
              <w:t xml:space="preserve"> (PO)</w:t>
            </w:r>
          </w:p>
        </w:tc>
        <w:tc>
          <w:tcPr>
            <w:tcW w:w="998" w:type="dxa"/>
            <w:tcBorders>
              <w:bottom w:val="single" w:sz="4" w:space="0" w:color="808080" w:themeColor="background1" w:themeShade="80"/>
            </w:tcBorders>
            <w:vAlign w:val="center"/>
          </w:tcPr>
          <w:p w14:paraId="1A53C3F8" w14:textId="77777777" w:rsidR="00FA3316" w:rsidRPr="00332AB5" w:rsidRDefault="00FA3316" w:rsidP="00FA3316">
            <w:pPr>
              <w:spacing w:after="60"/>
              <w:jc w:val="right"/>
              <w:rPr>
                <w:sz w:val="16"/>
                <w:szCs w:val="24"/>
              </w:rPr>
            </w:pPr>
            <w:r w:rsidRPr="00332AB5">
              <w:rPr>
                <w:rFonts w:asciiTheme="minorHAnsi" w:hAnsiTheme="minorHAnsi" w:cstheme="minorHAnsi"/>
                <w:sz w:val="16"/>
              </w:rPr>
              <w:t>Dodijeljena sredstva</w:t>
            </w:r>
          </w:p>
        </w:tc>
        <w:tc>
          <w:tcPr>
            <w:tcW w:w="1089" w:type="dxa"/>
            <w:tcBorders>
              <w:bottom w:val="single" w:sz="4" w:space="0" w:color="808080" w:themeColor="background1" w:themeShade="80"/>
            </w:tcBorders>
            <w:vAlign w:val="center"/>
          </w:tcPr>
          <w:p w14:paraId="1A91D2C5" w14:textId="77777777" w:rsidR="00FA3316" w:rsidRPr="00332AB5" w:rsidRDefault="00FA3316" w:rsidP="00FA3316">
            <w:pPr>
              <w:spacing w:after="60"/>
              <w:jc w:val="right"/>
              <w:rPr>
                <w:sz w:val="16"/>
                <w:szCs w:val="24"/>
              </w:rPr>
            </w:pPr>
            <w:r w:rsidRPr="00332AB5">
              <w:rPr>
                <w:rFonts w:asciiTheme="minorHAnsi" w:hAnsiTheme="minorHAnsi" w:cstheme="minorHAnsi"/>
                <w:sz w:val="16"/>
              </w:rPr>
              <w:t>Ugovorena sredstva</w:t>
            </w:r>
          </w:p>
        </w:tc>
        <w:tc>
          <w:tcPr>
            <w:tcW w:w="703" w:type="dxa"/>
            <w:tcBorders>
              <w:bottom w:val="single" w:sz="4" w:space="0" w:color="808080" w:themeColor="background1" w:themeShade="80"/>
            </w:tcBorders>
            <w:vAlign w:val="center"/>
          </w:tcPr>
          <w:p w14:paraId="674F8E18" w14:textId="77777777" w:rsidR="00FA3316" w:rsidRPr="00332AB5" w:rsidRDefault="00FA3316" w:rsidP="00FA3316">
            <w:pPr>
              <w:spacing w:after="60"/>
              <w:jc w:val="right"/>
              <w:rPr>
                <w:sz w:val="16"/>
                <w:szCs w:val="24"/>
              </w:rPr>
            </w:pPr>
            <w:r w:rsidRPr="00332AB5">
              <w:rPr>
                <w:rFonts w:asciiTheme="minorHAnsi" w:hAnsiTheme="minorHAnsi" w:cstheme="minorHAnsi"/>
                <w:sz w:val="16"/>
              </w:rPr>
              <w:t xml:space="preserve"> %</w:t>
            </w:r>
          </w:p>
        </w:tc>
        <w:tc>
          <w:tcPr>
            <w:tcW w:w="1021" w:type="dxa"/>
            <w:tcBorders>
              <w:bottom w:val="single" w:sz="4" w:space="0" w:color="808080" w:themeColor="background1" w:themeShade="80"/>
            </w:tcBorders>
            <w:vAlign w:val="center"/>
          </w:tcPr>
          <w:p w14:paraId="720B0B97" w14:textId="77777777" w:rsidR="00FA3316" w:rsidRPr="00332AB5" w:rsidRDefault="00FA3316" w:rsidP="00FA3316">
            <w:pPr>
              <w:spacing w:after="60"/>
              <w:jc w:val="right"/>
              <w:rPr>
                <w:sz w:val="16"/>
                <w:szCs w:val="24"/>
              </w:rPr>
            </w:pPr>
            <w:r w:rsidRPr="00332AB5">
              <w:rPr>
                <w:rFonts w:asciiTheme="minorHAnsi" w:hAnsiTheme="minorHAnsi" w:cstheme="minorHAnsi"/>
                <w:sz w:val="16"/>
              </w:rPr>
              <w:t>Plaćena sredstva</w:t>
            </w:r>
          </w:p>
        </w:tc>
        <w:tc>
          <w:tcPr>
            <w:tcW w:w="680" w:type="dxa"/>
            <w:tcBorders>
              <w:bottom w:val="single" w:sz="4" w:space="0" w:color="808080" w:themeColor="background1" w:themeShade="80"/>
            </w:tcBorders>
            <w:vAlign w:val="center"/>
          </w:tcPr>
          <w:p w14:paraId="2CC89259" w14:textId="77777777" w:rsidR="00FA3316" w:rsidRPr="00332AB5" w:rsidRDefault="00FA3316" w:rsidP="00FA3316">
            <w:pPr>
              <w:spacing w:after="60"/>
              <w:jc w:val="right"/>
              <w:rPr>
                <w:sz w:val="16"/>
                <w:szCs w:val="24"/>
              </w:rPr>
            </w:pPr>
            <w:r w:rsidRPr="00332AB5">
              <w:rPr>
                <w:rFonts w:asciiTheme="minorHAnsi" w:hAnsiTheme="minorHAnsi" w:cstheme="minorHAnsi"/>
                <w:sz w:val="16"/>
              </w:rPr>
              <w:t xml:space="preserve"> %</w:t>
            </w:r>
          </w:p>
        </w:tc>
        <w:tc>
          <w:tcPr>
            <w:tcW w:w="1044" w:type="dxa"/>
            <w:tcBorders>
              <w:bottom w:val="single" w:sz="4" w:space="0" w:color="808080" w:themeColor="background1" w:themeShade="80"/>
            </w:tcBorders>
            <w:vAlign w:val="center"/>
          </w:tcPr>
          <w:p w14:paraId="25A328CA" w14:textId="77777777" w:rsidR="00FA3316" w:rsidRPr="00332AB5" w:rsidRDefault="00FA3316" w:rsidP="00FA3316">
            <w:pPr>
              <w:spacing w:after="60"/>
              <w:jc w:val="right"/>
              <w:rPr>
                <w:sz w:val="16"/>
                <w:szCs w:val="24"/>
              </w:rPr>
            </w:pPr>
            <w:r w:rsidRPr="00332AB5">
              <w:rPr>
                <w:rFonts w:asciiTheme="minorHAnsi" w:hAnsiTheme="minorHAnsi" w:cstheme="minorHAnsi"/>
                <w:sz w:val="16"/>
              </w:rPr>
              <w:t>Ovjerena sredstva</w:t>
            </w:r>
          </w:p>
        </w:tc>
        <w:tc>
          <w:tcPr>
            <w:tcW w:w="635" w:type="dxa"/>
            <w:tcBorders>
              <w:bottom w:val="single" w:sz="4" w:space="0" w:color="808080" w:themeColor="background1" w:themeShade="80"/>
            </w:tcBorders>
            <w:vAlign w:val="center"/>
          </w:tcPr>
          <w:p w14:paraId="7F6099A8" w14:textId="77777777" w:rsidR="00FA3316" w:rsidRPr="00332AB5" w:rsidRDefault="00FA3316" w:rsidP="00FA3316">
            <w:pPr>
              <w:spacing w:after="60"/>
              <w:jc w:val="right"/>
              <w:rPr>
                <w:sz w:val="16"/>
                <w:szCs w:val="24"/>
              </w:rPr>
            </w:pPr>
            <w:r w:rsidRPr="00332AB5">
              <w:rPr>
                <w:rFonts w:asciiTheme="minorHAnsi" w:hAnsiTheme="minorHAnsi" w:cstheme="minorHAnsi"/>
                <w:sz w:val="16"/>
              </w:rPr>
              <w:t xml:space="preserve"> %</w:t>
            </w:r>
          </w:p>
        </w:tc>
        <w:tc>
          <w:tcPr>
            <w:tcW w:w="1089" w:type="dxa"/>
            <w:tcBorders>
              <w:bottom w:val="single" w:sz="4" w:space="0" w:color="808080" w:themeColor="background1" w:themeShade="80"/>
            </w:tcBorders>
            <w:vAlign w:val="center"/>
          </w:tcPr>
          <w:p w14:paraId="37F3BECA" w14:textId="77777777" w:rsidR="00FA3316" w:rsidRPr="00332AB5" w:rsidRDefault="00FA3316" w:rsidP="00FA3316">
            <w:pPr>
              <w:spacing w:after="60"/>
              <w:jc w:val="right"/>
              <w:rPr>
                <w:sz w:val="16"/>
                <w:szCs w:val="24"/>
              </w:rPr>
            </w:pPr>
            <w:r w:rsidRPr="00332AB5">
              <w:rPr>
                <w:rFonts w:asciiTheme="minorHAnsi" w:hAnsiTheme="minorHAnsi" w:cstheme="minorHAnsi"/>
                <w:sz w:val="16"/>
              </w:rPr>
              <w:t>Doznačena sredstva</w:t>
            </w:r>
          </w:p>
        </w:tc>
        <w:tc>
          <w:tcPr>
            <w:tcW w:w="635" w:type="dxa"/>
            <w:tcBorders>
              <w:bottom w:val="single" w:sz="4" w:space="0" w:color="808080" w:themeColor="background1" w:themeShade="80"/>
            </w:tcBorders>
            <w:vAlign w:val="center"/>
          </w:tcPr>
          <w:p w14:paraId="1CEB0F7F" w14:textId="77777777" w:rsidR="00FA3316" w:rsidRPr="00332AB5" w:rsidRDefault="00FA3316" w:rsidP="00FA3316">
            <w:pPr>
              <w:spacing w:after="60"/>
              <w:jc w:val="right"/>
              <w:rPr>
                <w:sz w:val="16"/>
                <w:szCs w:val="24"/>
              </w:rPr>
            </w:pPr>
            <w:r w:rsidRPr="00332AB5">
              <w:rPr>
                <w:rFonts w:asciiTheme="minorHAnsi" w:hAnsiTheme="minorHAnsi" w:cstheme="minorHAnsi"/>
                <w:sz w:val="16"/>
              </w:rPr>
              <w:t xml:space="preserve"> %</w:t>
            </w:r>
          </w:p>
        </w:tc>
      </w:tr>
      <w:tr w:rsidR="00FA3316" w:rsidRPr="00332AB5" w14:paraId="68BC3BBE" w14:textId="77777777" w:rsidTr="0088758B">
        <w:trPr>
          <w:trHeight w:val="113"/>
        </w:trPr>
        <w:tc>
          <w:tcPr>
            <w:tcW w:w="1179" w:type="dxa"/>
            <w:vAlign w:val="center"/>
          </w:tcPr>
          <w:p w14:paraId="1BB2E757" w14:textId="77777777" w:rsidR="00FA3316" w:rsidRPr="00332AB5" w:rsidRDefault="00FA3316" w:rsidP="00FA3316">
            <w:pPr>
              <w:rPr>
                <w:rFonts w:asciiTheme="minorHAnsi" w:hAnsiTheme="minorHAnsi" w:cstheme="minorHAnsi"/>
                <w:sz w:val="8"/>
                <w:szCs w:val="24"/>
              </w:rPr>
            </w:pPr>
          </w:p>
        </w:tc>
        <w:tc>
          <w:tcPr>
            <w:tcW w:w="998" w:type="dxa"/>
            <w:tcBorders>
              <w:top w:val="single" w:sz="4" w:space="0" w:color="808080" w:themeColor="background1" w:themeShade="80"/>
            </w:tcBorders>
            <w:vAlign w:val="center"/>
          </w:tcPr>
          <w:p w14:paraId="3961A2EA" w14:textId="77777777" w:rsidR="00FA3316" w:rsidRPr="00332AB5" w:rsidRDefault="00FA3316" w:rsidP="00FA3316">
            <w:pPr>
              <w:jc w:val="right"/>
              <w:rPr>
                <w:rFonts w:asciiTheme="minorHAnsi" w:hAnsiTheme="minorHAnsi" w:cstheme="minorHAnsi"/>
                <w:sz w:val="8"/>
                <w:szCs w:val="24"/>
              </w:rPr>
            </w:pPr>
          </w:p>
        </w:tc>
        <w:tc>
          <w:tcPr>
            <w:tcW w:w="1089" w:type="dxa"/>
            <w:tcBorders>
              <w:top w:val="single" w:sz="4" w:space="0" w:color="808080" w:themeColor="background1" w:themeShade="80"/>
            </w:tcBorders>
            <w:vAlign w:val="center"/>
          </w:tcPr>
          <w:p w14:paraId="71B3B3B9" w14:textId="77777777" w:rsidR="00FA3316" w:rsidRPr="00332AB5" w:rsidRDefault="00FA3316" w:rsidP="00FA3316">
            <w:pPr>
              <w:jc w:val="right"/>
              <w:rPr>
                <w:rFonts w:asciiTheme="minorHAnsi" w:hAnsiTheme="minorHAnsi" w:cstheme="minorHAnsi"/>
                <w:sz w:val="8"/>
                <w:szCs w:val="24"/>
              </w:rPr>
            </w:pPr>
          </w:p>
        </w:tc>
        <w:tc>
          <w:tcPr>
            <w:tcW w:w="703" w:type="dxa"/>
            <w:tcBorders>
              <w:top w:val="single" w:sz="4" w:space="0" w:color="808080" w:themeColor="background1" w:themeShade="80"/>
            </w:tcBorders>
            <w:vAlign w:val="center"/>
          </w:tcPr>
          <w:p w14:paraId="1602B818" w14:textId="77777777" w:rsidR="00FA3316" w:rsidRPr="00332AB5" w:rsidRDefault="00FA3316" w:rsidP="00FA3316">
            <w:pPr>
              <w:jc w:val="right"/>
              <w:rPr>
                <w:rFonts w:asciiTheme="minorHAnsi" w:hAnsiTheme="minorHAnsi" w:cstheme="minorHAnsi"/>
                <w:sz w:val="8"/>
                <w:szCs w:val="24"/>
              </w:rPr>
            </w:pPr>
          </w:p>
        </w:tc>
        <w:tc>
          <w:tcPr>
            <w:tcW w:w="1021" w:type="dxa"/>
            <w:tcBorders>
              <w:top w:val="single" w:sz="4" w:space="0" w:color="808080" w:themeColor="background1" w:themeShade="80"/>
            </w:tcBorders>
            <w:vAlign w:val="center"/>
          </w:tcPr>
          <w:p w14:paraId="015D3C2D" w14:textId="77777777" w:rsidR="00FA3316" w:rsidRPr="00332AB5" w:rsidRDefault="00FA3316" w:rsidP="00FA3316">
            <w:pPr>
              <w:jc w:val="right"/>
              <w:rPr>
                <w:rFonts w:asciiTheme="minorHAnsi" w:hAnsiTheme="minorHAnsi" w:cstheme="minorHAnsi"/>
                <w:sz w:val="8"/>
                <w:szCs w:val="24"/>
              </w:rPr>
            </w:pPr>
          </w:p>
        </w:tc>
        <w:tc>
          <w:tcPr>
            <w:tcW w:w="680" w:type="dxa"/>
            <w:tcBorders>
              <w:top w:val="single" w:sz="4" w:space="0" w:color="808080" w:themeColor="background1" w:themeShade="80"/>
            </w:tcBorders>
            <w:vAlign w:val="center"/>
          </w:tcPr>
          <w:p w14:paraId="70DA3A73" w14:textId="77777777" w:rsidR="00FA3316" w:rsidRPr="00332AB5" w:rsidRDefault="00FA3316" w:rsidP="00FA3316">
            <w:pPr>
              <w:jc w:val="right"/>
              <w:rPr>
                <w:rFonts w:asciiTheme="minorHAnsi" w:hAnsiTheme="minorHAnsi" w:cstheme="minorHAnsi"/>
                <w:sz w:val="8"/>
                <w:szCs w:val="24"/>
              </w:rPr>
            </w:pPr>
          </w:p>
        </w:tc>
        <w:tc>
          <w:tcPr>
            <w:tcW w:w="1044" w:type="dxa"/>
            <w:tcBorders>
              <w:top w:val="single" w:sz="4" w:space="0" w:color="808080" w:themeColor="background1" w:themeShade="80"/>
            </w:tcBorders>
            <w:vAlign w:val="center"/>
          </w:tcPr>
          <w:p w14:paraId="7F013F24" w14:textId="77777777" w:rsidR="00FA3316" w:rsidRPr="00332AB5" w:rsidRDefault="00FA3316" w:rsidP="00FA3316">
            <w:pPr>
              <w:jc w:val="right"/>
              <w:rPr>
                <w:rFonts w:asciiTheme="minorHAnsi" w:hAnsiTheme="minorHAnsi" w:cstheme="minorHAnsi"/>
                <w:sz w:val="8"/>
                <w:szCs w:val="24"/>
              </w:rPr>
            </w:pPr>
          </w:p>
        </w:tc>
        <w:tc>
          <w:tcPr>
            <w:tcW w:w="635" w:type="dxa"/>
            <w:tcBorders>
              <w:top w:val="single" w:sz="4" w:space="0" w:color="808080" w:themeColor="background1" w:themeShade="80"/>
            </w:tcBorders>
            <w:vAlign w:val="center"/>
          </w:tcPr>
          <w:p w14:paraId="6DE04D13" w14:textId="77777777" w:rsidR="00FA3316" w:rsidRPr="00332AB5" w:rsidRDefault="00FA3316" w:rsidP="00FA3316">
            <w:pPr>
              <w:jc w:val="right"/>
              <w:rPr>
                <w:rFonts w:asciiTheme="minorHAnsi" w:hAnsiTheme="minorHAnsi" w:cstheme="minorHAnsi"/>
                <w:sz w:val="8"/>
                <w:szCs w:val="24"/>
              </w:rPr>
            </w:pPr>
          </w:p>
        </w:tc>
        <w:tc>
          <w:tcPr>
            <w:tcW w:w="1089" w:type="dxa"/>
            <w:tcBorders>
              <w:top w:val="single" w:sz="4" w:space="0" w:color="808080" w:themeColor="background1" w:themeShade="80"/>
            </w:tcBorders>
            <w:vAlign w:val="center"/>
          </w:tcPr>
          <w:p w14:paraId="50F9BBA0" w14:textId="77777777" w:rsidR="00FA3316" w:rsidRPr="00332AB5" w:rsidRDefault="00FA3316" w:rsidP="00FA3316">
            <w:pPr>
              <w:jc w:val="right"/>
              <w:rPr>
                <w:rFonts w:asciiTheme="minorHAnsi" w:hAnsiTheme="minorHAnsi" w:cstheme="minorHAnsi"/>
                <w:sz w:val="8"/>
                <w:szCs w:val="24"/>
              </w:rPr>
            </w:pPr>
          </w:p>
        </w:tc>
        <w:tc>
          <w:tcPr>
            <w:tcW w:w="635" w:type="dxa"/>
            <w:tcBorders>
              <w:top w:val="single" w:sz="4" w:space="0" w:color="808080" w:themeColor="background1" w:themeShade="80"/>
            </w:tcBorders>
            <w:vAlign w:val="center"/>
          </w:tcPr>
          <w:p w14:paraId="179FCE5B" w14:textId="77777777" w:rsidR="00FA3316" w:rsidRPr="00332AB5" w:rsidRDefault="00FA3316" w:rsidP="00FA3316">
            <w:pPr>
              <w:jc w:val="right"/>
              <w:rPr>
                <w:rFonts w:asciiTheme="minorHAnsi" w:hAnsiTheme="minorHAnsi" w:cstheme="minorHAnsi"/>
                <w:sz w:val="8"/>
                <w:szCs w:val="24"/>
              </w:rPr>
            </w:pPr>
          </w:p>
        </w:tc>
      </w:tr>
      <w:tr w:rsidR="00AE3558" w:rsidRPr="00332AB5" w14:paraId="0829F96E" w14:textId="77777777" w:rsidTr="00041105">
        <w:trPr>
          <w:trHeight w:val="397"/>
        </w:trPr>
        <w:tc>
          <w:tcPr>
            <w:tcW w:w="1179" w:type="dxa"/>
            <w:shd w:val="clear" w:color="auto" w:fill="auto"/>
            <w:vAlign w:val="center"/>
          </w:tcPr>
          <w:p w14:paraId="184CDB31" w14:textId="77777777" w:rsidR="00AE3558" w:rsidRPr="00332AB5" w:rsidRDefault="00AE3558" w:rsidP="00AE3558">
            <w:pPr>
              <w:rPr>
                <w:rFonts w:asciiTheme="minorHAnsi" w:hAnsiTheme="minorHAnsi" w:cstheme="minorHAnsi"/>
                <w:sz w:val="18"/>
                <w:szCs w:val="18"/>
              </w:rPr>
            </w:pPr>
            <w:r w:rsidRPr="00332AB5">
              <w:rPr>
                <w:rFonts w:asciiTheme="minorHAnsi" w:hAnsiTheme="minorHAnsi" w:cstheme="minorHAnsi"/>
                <w:sz w:val="18"/>
                <w:szCs w:val="18"/>
              </w:rPr>
              <w:t>PO 1 (ESF)</w:t>
            </w:r>
          </w:p>
        </w:tc>
        <w:tc>
          <w:tcPr>
            <w:tcW w:w="998" w:type="dxa"/>
            <w:shd w:val="clear" w:color="auto" w:fill="auto"/>
            <w:vAlign w:val="center"/>
          </w:tcPr>
          <w:p w14:paraId="5781A13E" w14:textId="615ECAA7" w:rsidR="00AE3558" w:rsidRPr="00332AB5" w:rsidRDefault="00AE3558" w:rsidP="00AE3558">
            <w:pPr>
              <w:jc w:val="right"/>
              <w:rPr>
                <w:rFonts w:asciiTheme="minorHAnsi" w:hAnsiTheme="minorHAnsi" w:cstheme="minorHAnsi"/>
                <w:sz w:val="18"/>
                <w:szCs w:val="18"/>
              </w:rPr>
            </w:pPr>
            <w:r w:rsidRPr="00332AB5">
              <w:rPr>
                <w:rFonts w:asciiTheme="minorHAnsi" w:hAnsiTheme="minorHAnsi" w:cstheme="minorHAnsi"/>
                <w:sz w:val="18"/>
                <w:szCs w:val="18"/>
              </w:rPr>
              <w:t>365,46</w:t>
            </w:r>
          </w:p>
        </w:tc>
        <w:tc>
          <w:tcPr>
            <w:tcW w:w="1089" w:type="dxa"/>
            <w:shd w:val="clear" w:color="auto" w:fill="auto"/>
            <w:vAlign w:val="center"/>
          </w:tcPr>
          <w:p w14:paraId="2313BB71" w14:textId="3E1E2AF7" w:rsidR="00AE3558" w:rsidRPr="00332AB5" w:rsidRDefault="00AE3558" w:rsidP="00AE3558">
            <w:pPr>
              <w:spacing w:line="259" w:lineRule="auto"/>
              <w:jc w:val="right"/>
              <w:rPr>
                <w:rFonts w:asciiTheme="minorHAnsi" w:eastAsia="Calibri" w:hAnsiTheme="minorHAnsi" w:cstheme="minorHAnsi"/>
                <w:sz w:val="18"/>
                <w:szCs w:val="18"/>
              </w:rPr>
            </w:pPr>
            <w:r w:rsidRPr="00332AB5">
              <w:rPr>
                <w:rFonts w:asciiTheme="minorHAnsi" w:hAnsiTheme="minorHAnsi" w:cstheme="minorBidi"/>
                <w:color w:val="000000" w:themeColor="text1"/>
                <w:sz w:val="18"/>
                <w:szCs w:val="18"/>
              </w:rPr>
              <w:t>0,00</w:t>
            </w:r>
          </w:p>
        </w:tc>
        <w:tc>
          <w:tcPr>
            <w:tcW w:w="703" w:type="dxa"/>
            <w:shd w:val="clear" w:color="auto" w:fill="auto"/>
            <w:vAlign w:val="center"/>
          </w:tcPr>
          <w:p w14:paraId="470A9174" w14:textId="4282C3F0" w:rsidR="00AE3558" w:rsidRPr="00332AB5" w:rsidRDefault="00AE3558" w:rsidP="00AE3558">
            <w:pPr>
              <w:spacing w:line="259" w:lineRule="auto"/>
              <w:jc w:val="right"/>
              <w:rPr>
                <w:rFonts w:asciiTheme="minorHAnsi" w:eastAsia="Calibri" w:hAnsiTheme="minorHAnsi" w:cstheme="minorHAnsi"/>
                <w:sz w:val="18"/>
                <w:szCs w:val="18"/>
              </w:rPr>
            </w:pPr>
            <w:r w:rsidRPr="00332AB5">
              <w:rPr>
                <w:rFonts w:asciiTheme="minorHAnsi" w:hAnsiTheme="minorHAnsi" w:cstheme="minorBidi"/>
                <w:color w:val="000000" w:themeColor="text1"/>
                <w:sz w:val="18"/>
                <w:szCs w:val="18"/>
              </w:rPr>
              <w:t>0,00</w:t>
            </w:r>
          </w:p>
        </w:tc>
        <w:tc>
          <w:tcPr>
            <w:tcW w:w="1021" w:type="dxa"/>
            <w:shd w:val="clear" w:color="auto" w:fill="auto"/>
            <w:vAlign w:val="center"/>
          </w:tcPr>
          <w:p w14:paraId="7B7AD9D7" w14:textId="79527325" w:rsidR="00AE3558" w:rsidRPr="00332AB5" w:rsidRDefault="00AE3558" w:rsidP="00AE3558">
            <w:pPr>
              <w:spacing w:line="259" w:lineRule="auto"/>
              <w:jc w:val="right"/>
              <w:rPr>
                <w:rFonts w:asciiTheme="minorHAnsi" w:eastAsia="Calibri" w:hAnsiTheme="minorHAnsi" w:cstheme="minorHAnsi"/>
                <w:sz w:val="18"/>
                <w:szCs w:val="18"/>
              </w:rPr>
            </w:pPr>
            <w:r w:rsidRPr="00332AB5">
              <w:rPr>
                <w:rFonts w:asciiTheme="minorHAnsi" w:hAnsiTheme="minorHAnsi" w:cstheme="minorBidi"/>
                <w:color w:val="000000" w:themeColor="text1"/>
                <w:sz w:val="18"/>
                <w:szCs w:val="18"/>
              </w:rPr>
              <w:t>62,36</w:t>
            </w:r>
          </w:p>
        </w:tc>
        <w:tc>
          <w:tcPr>
            <w:tcW w:w="680" w:type="dxa"/>
            <w:shd w:val="clear" w:color="auto" w:fill="auto"/>
            <w:vAlign w:val="center"/>
          </w:tcPr>
          <w:p w14:paraId="330410FB" w14:textId="1D9AA78A" w:rsidR="00AE3558" w:rsidRPr="00332AB5" w:rsidRDefault="00AE3558" w:rsidP="00AE3558">
            <w:pPr>
              <w:jc w:val="right"/>
              <w:rPr>
                <w:rFonts w:asciiTheme="minorHAnsi" w:hAnsiTheme="minorHAnsi" w:cstheme="minorHAnsi"/>
                <w:sz w:val="18"/>
                <w:szCs w:val="18"/>
              </w:rPr>
            </w:pPr>
            <w:r w:rsidRPr="00332AB5">
              <w:rPr>
                <w:rFonts w:asciiTheme="minorHAnsi" w:hAnsiTheme="minorHAnsi" w:cstheme="minorBidi"/>
                <w:color w:val="000000" w:themeColor="text1"/>
                <w:sz w:val="18"/>
                <w:szCs w:val="18"/>
              </w:rPr>
              <w:t>17,06</w:t>
            </w:r>
          </w:p>
        </w:tc>
        <w:tc>
          <w:tcPr>
            <w:tcW w:w="1044" w:type="dxa"/>
            <w:shd w:val="clear" w:color="auto" w:fill="auto"/>
            <w:vAlign w:val="center"/>
          </w:tcPr>
          <w:p w14:paraId="3E0C3B09" w14:textId="6F5CCE9A" w:rsidR="00AE3558" w:rsidRPr="00332AB5" w:rsidRDefault="00AE3558" w:rsidP="00AE3558">
            <w:pPr>
              <w:spacing w:line="259" w:lineRule="auto"/>
              <w:jc w:val="right"/>
              <w:rPr>
                <w:rFonts w:asciiTheme="minorHAnsi" w:eastAsia="Calibri" w:hAnsiTheme="minorHAnsi" w:cstheme="minorHAnsi"/>
                <w:sz w:val="18"/>
                <w:szCs w:val="18"/>
              </w:rPr>
            </w:pPr>
            <w:r w:rsidRPr="00332AB5">
              <w:rPr>
                <w:rFonts w:asciiTheme="minorHAnsi" w:hAnsiTheme="minorHAnsi" w:cstheme="minorBidi"/>
                <w:sz w:val="18"/>
                <w:szCs w:val="18"/>
              </w:rPr>
              <w:t>67,96</w:t>
            </w:r>
          </w:p>
        </w:tc>
        <w:tc>
          <w:tcPr>
            <w:tcW w:w="635" w:type="dxa"/>
            <w:shd w:val="clear" w:color="auto" w:fill="auto"/>
            <w:vAlign w:val="center"/>
          </w:tcPr>
          <w:p w14:paraId="7641978A" w14:textId="7384BA50" w:rsidR="00AE3558" w:rsidRPr="00332AB5" w:rsidRDefault="00AE3558" w:rsidP="00AE3558">
            <w:pPr>
              <w:spacing w:line="259" w:lineRule="auto"/>
              <w:jc w:val="right"/>
              <w:rPr>
                <w:rFonts w:asciiTheme="minorHAnsi" w:eastAsia="Calibri" w:hAnsiTheme="minorHAnsi" w:cstheme="minorHAnsi"/>
                <w:sz w:val="18"/>
                <w:szCs w:val="18"/>
              </w:rPr>
            </w:pPr>
            <w:r w:rsidRPr="00332AB5">
              <w:rPr>
                <w:rFonts w:asciiTheme="minorHAnsi" w:hAnsiTheme="minorHAnsi" w:cstheme="minorBidi"/>
                <w:sz w:val="18"/>
                <w:szCs w:val="18"/>
              </w:rPr>
              <w:t>18,60</w:t>
            </w:r>
          </w:p>
        </w:tc>
        <w:tc>
          <w:tcPr>
            <w:tcW w:w="1089" w:type="dxa"/>
            <w:shd w:val="clear" w:color="auto" w:fill="auto"/>
            <w:vAlign w:val="center"/>
          </w:tcPr>
          <w:p w14:paraId="4D5F9014" w14:textId="77777777" w:rsidR="00AE3558" w:rsidRPr="00332AB5" w:rsidRDefault="00AE3558" w:rsidP="00AE3558">
            <w:pPr>
              <w:jc w:val="center"/>
              <w:rPr>
                <w:rFonts w:asciiTheme="minorHAnsi" w:hAnsiTheme="minorHAnsi" w:cstheme="minorHAnsi"/>
                <w:sz w:val="18"/>
                <w:szCs w:val="18"/>
              </w:rPr>
            </w:pPr>
          </w:p>
        </w:tc>
        <w:tc>
          <w:tcPr>
            <w:tcW w:w="635" w:type="dxa"/>
            <w:shd w:val="clear" w:color="auto" w:fill="auto"/>
            <w:vAlign w:val="center"/>
          </w:tcPr>
          <w:p w14:paraId="66272E59" w14:textId="77777777" w:rsidR="00AE3558" w:rsidRPr="00332AB5" w:rsidRDefault="00AE3558" w:rsidP="00AE3558">
            <w:pPr>
              <w:jc w:val="center"/>
              <w:rPr>
                <w:rFonts w:asciiTheme="minorHAnsi" w:hAnsiTheme="minorHAnsi" w:cstheme="minorHAnsi"/>
                <w:sz w:val="18"/>
                <w:szCs w:val="18"/>
              </w:rPr>
            </w:pPr>
          </w:p>
        </w:tc>
      </w:tr>
      <w:tr w:rsidR="00AE3558" w:rsidRPr="00332AB5" w14:paraId="267FD653" w14:textId="77777777" w:rsidTr="00041105">
        <w:trPr>
          <w:trHeight w:val="397"/>
        </w:trPr>
        <w:tc>
          <w:tcPr>
            <w:tcW w:w="1179" w:type="dxa"/>
            <w:shd w:val="clear" w:color="auto" w:fill="auto"/>
            <w:vAlign w:val="center"/>
          </w:tcPr>
          <w:p w14:paraId="4D52B66B" w14:textId="77777777" w:rsidR="00AE3558" w:rsidRPr="00332AB5" w:rsidRDefault="00AE3558" w:rsidP="00AE3558">
            <w:pPr>
              <w:rPr>
                <w:rFonts w:asciiTheme="minorHAnsi" w:hAnsiTheme="minorHAnsi" w:cstheme="minorHAnsi"/>
                <w:sz w:val="18"/>
                <w:szCs w:val="18"/>
              </w:rPr>
            </w:pPr>
            <w:r w:rsidRPr="00332AB5">
              <w:rPr>
                <w:rFonts w:asciiTheme="minorHAnsi" w:hAnsiTheme="minorHAnsi" w:cstheme="minorHAnsi"/>
                <w:sz w:val="18"/>
                <w:szCs w:val="18"/>
              </w:rPr>
              <w:t>PO 1 (IZM)</w:t>
            </w:r>
          </w:p>
        </w:tc>
        <w:tc>
          <w:tcPr>
            <w:tcW w:w="998" w:type="dxa"/>
            <w:shd w:val="clear" w:color="auto" w:fill="auto"/>
            <w:vAlign w:val="center"/>
          </w:tcPr>
          <w:p w14:paraId="792D0F51" w14:textId="1F3E15A8" w:rsidR="00AE3558" w:rsidRPr="00332AB5" w:rsidRDefault="00AE3558" w:rsidP="00AE3558">
            <w:pPr>
              <w:jc w:val="right"/>
              <w:rPr>
                <w:rFonts w:asciiTheme="minorHAnsi" w:hAnsiTheme="minorHAnsi" w:cstheme="minorHAnsi"/>
                <w:sz w:val="18"/>
                <w:szCs w:val="18"/>
              </w:rPr>
            </w:pPr>
            <w:r w:rsidRPr="00332AB5">
              <w:rPr>
                <w:rFonts w:asciiTheme="minorHAnsi" w:hAnsiTheme="minorHAnsi" w:cstheme="minorHAnsi"/>
                <w:sz w:val="18"/>
                <w:szCs w:val="18"/>
              </w:rPr>
              <w:t>206,31</w:t>
            </w:r>
          </w:p>
        </w:tc>
        <w:tc>
          <w:tcPr>
            <w:tcW w:w="1089" w:type="dxa"/>
            <w:shd w:val="clear" w:color="auto" w:fill="auto"/>
            <w:vAlign w:val="center"/>
          </w:tcPr>
          <w:p w14:paraId="50B19E92" w14:textId="2205AB82" w:rsidR="00AE3558" w:rsidRPr="00332AB5" w:rsidRDefault="00AE3558" w:rsidP="00AE3558">
            <w:pPr>
              <w:spacing w:line="259" w:lineRule="auto"/>
              <w:jc w:val="right"/>
              <w:rPr>
                <w:rFonts w:asciiTheme="minorHAnsi" w:hAnsiTheme="minorHAnsi" w:cstheme="minorHAnsi"/>
                <w:color w:val="000000" w:themeColor="text1"/>
                <w:sz w:val="18"/>
                <w:szCs w:val="18"/>
              </w:rPr>
            </w:pPr>
            <w:r w:rsidRPr="00332AB5">
              <w:rPr>
                <w:rFonts w:asciiTheme="minorHAnsi" w:hAnsiTheme="minorHAnsi" w:cstheme="minorBidi"/>
                <w:color w:val="000000" w:themeColor="text1"/>
                <w:sz w:val="18"/>
                <w:szCs w:val="18"/>
              </w:rPr>
              <w:t>0,00</w:t>
            </w:r>
          </w:p>
        </w:tc>
        <w:tc>
          <w:tcPr>
            <w:tcW w:w="703" w:type="dxa"/>
            <w:shd w:val="clear" w:color="auto" w:fill="auto"/>
            <w:vAlign w:val="center"/>
          </w:tcPr>
          <w:p w14:paraId="491D2287" w14:textId="3BA5F2CA" w:rsidR="00AE3558" w:rsidRPr="00332AB5" w:rsidRDefault="00AE3558" w:rsidP="00AE3558">
            <w:pPr>
              <w:spacing w:line="259" w:lineRule="auto"/>
              <w:jc w:val="right"/>
              <w:rPr>
                <w:rFonts w:asciiTheme="minorHAnsi" w:eastAsia="Calibri" w:hAnsiTheme="minorHAnsi" w:cstheme="minorHAnsi"/>
                <w:sz w:val="18"/>
                <w:szCs w:val="18"/>
              </w:rPr>
            </w:pPr>
            <w:r w:rsidRPr="00332AB5">
              <w:rPr>
                <w:rFonts w:asciiTheme="minorHAnsi" w:eastAsia="Calibri" w:hAnsiTheme="minorHAnsi" w:cstheme="minorBidi"/>
                <w:sz w:val="18"/>
                <w:szCs w:val="18"/>
              </w:rPr>
              <w:t>0,00</w:t>
            </w:r>
          </w:p>
        </w:tc>
        <w:tc>
          <w:tcPr>
            <w:tcW w:w="1021" w:type="dxa"/>
            <w:shd w:val="clear" w:color="auto" w:fill="auto"/>
            <w:vAlign w:val="center"/>
          </w:tcPr>
          <w:p w14:paraId="7DC26690" w14:textId="47A7BD5F" w:rsidR="00AE3558" w:rsidRPr="00332AB5" w:rsidRDefault="00AE3558" w:rsidP="00AE3558">
            <w:pPr>
              <w:spacing w:line="259" w:lineRule="auto"/>
              <w:jc w:val="right"/>
              <w:rPr>
                <w:rFonts w:asciiTheme="minorHAnsi" w:eastAsia="Calibri" w:hAnsiTheme="minorHAnsi" w:cstheme="minorHAnsi"/>
                <w:sz w:val="18"/>
                <w:szCs w:val="18"/>
              </w:rPr>
            </w:pPr>
            <w:r w:rsidRPr="00332AB5">
              <w:rPr>
                <w:rFonts w:asciiTheme="minorHAnsi" w:hAnsiTheme="minorHAnsi" w:cstheme="minorBidi"/>
                <w:color w:val="000000" w:themeColor="text1"/>
                <w:sz w:val="18"/>
                <w:szCs w:val="18"/>
              </w:rPr>
              <w:t>0,77</w:t>
            </w:r>
          </w:p>
        </w:tc>
        <w:tc>
          <w:tcPr>
            <w:tcW w:w="680" w:type="dxa"/>
            <w:shd w:val="clear" w:color="auto" w:fill="auto"/>
            <w:vAlign w:val="center"/>
          </w:tcPr>
          <w:p w14:paraId="25E59421" w14:textId="137AA801" w:rsidR="00AE3558" w:rsidRPr="00332AB5" w:rsidRDefault="00AE3558" w:rsidP="00AE3558">
            <w:pPr>
              <w:jc w:val="right"/>
              <w:rPr>
                <w:rFonts w:asciiTheme="minorHAnsi" w:hAnsiTheme="minorHAnsi" w:cstheme="minorHAnsi"/>
                <w:sz w:val="18"/>
                <w:szCs w:val="18"/>
              </w:rPr>
            </w:pPr>
            <w:r w:rsidRPr="00332AB5">
              <w:rPr>
                <w:rFonts w:asciiTheme="minorHAnsi" w:hAnsiTheme="minorHAnsi" w:cstheme="minorBidi"/>
                <w:color w:val="000000" w:themeColor="text1"/>
                <w:sz w:val="18"/>
                <w:szCs w:val="18"/>
              </w:rPr>
              <w:t>0,37</w:t>
            </w:r>
          </w:p>
        </w:tc>
        <w:tc>
          <w:tcPr>
            <w:tcW w:w="1044" w:type="dxa"/>
            <w:shd w:val="clear" w:color="auto" w:fill="auto"/>
            <w:vAlign w:val="center"/>
          </w:tcPr>
          <w:p w14:paraId="73708C87" w14:textId="072A74E1" w:rsidR="00AE3558" w:rsidRPr="00332AB5" w:rsidRDefault="00AE3558" w:rsidP="00AE3558">
            <w:pPr>
              <w:spacing w:line="259" w:lineRule="auto"/>
              <w:jc w:val="right"/>
              <w:rPr>
                <w:rFonts w:asciiTheme="minorHAnsi" w:eastAsia="Calibri" w:hAnsiTheme="minorHAnsi" w:cstheme="minorHAnsi"/>
                <w:sz w:val="18"/>
                <w:szCs w:val="18"/>
              </w:rPr>
            </w:pPr>
            <w:r w:rsidRPr="00332AB5">
              <w:rPr>
                <w:rFonts w:asciiTheme="minorHAnsi" w:hAnsiTheme="minorHAnsi" w:cstheme="minorBidi"/>
                <w:sz w:val="18"/>
                <w:szCs w:val="18"/>
              </w:rPr>
              <w:t>4,20</w:t>
            </w:r>
          </w:p>
        </w:tc>
        <w:tc>
          <w:tcPr>
            <w:tcW w:w="635" w:type="dxa"/>
            <w:shd w:val="clear" w:color="auto" w:fill="auto"/>
            <w:vAlign w:val="center"/>
          </w:tcPr>
          <w:p w14:paraId="3FCC0F61" w14:textId="610F76B2" w:rsidR="00AE3558" w:rsidRPr="00332AB5" w:rsidRDefault="00AE3558" w:rsidP="00AE3558">
            <w:pPr>
              <w:spacing w:line="259" w:lineRule="auto"/>
              <w:jc w:val="right"/>
              <w:rPr>
                <w:rFonts w:asciiTheme="minorHAnsi" w:eastAsia="Calibri" w:hAnsiTheme="minorHAnsi" w:cstheme="minorHAnsi"/>
                <w:sz w:val="18"/>
                <w:szCs w:val="18"/>
              </w:rPr>
            </w:pPr>
            <w:r w:rsidRPr="00332AB5">
              <w:rPr>
                <w:rFonts w:asciiTheme="minorHAnsi" w:hAnsiTheme="minorHAnsi" w:cstheme="minorBidi"/>
                <w:sz w:val="18"/>
                <w:szCs w:val="18"/>
              </w:rPr>
              <w:t>2,04</w:t>
            </w:r>
          </w:p>
        </w:tc>
        <w:tc>
          <w:tcPr>
            <w:tcW w:w="1089" w:type="dxa"/>
            <w:shd w:val="clear" w:color="auto" w:fill="auto"/>
            <w:vAlign w:val="center"/>
          </w:tcPr>
          <w:p w14:paraId="1276CB4A" w14:textId="77777777" w:rsidR="00AE3558" w:rsidRPr="00332AB5" w:rsidRDefault="00AE3558" w:rsidP="00AE3558">
            <w:pPr>
              <w:jc w:val="center"/>
              <w:rPr>
                <w:rFonts w:asciiTheme="minorHAnsi" w:hAnsiTheme="minorHAnsi" w:cstheme="minorHAnsi"/>
                <w:sz w:val="18"/>
                <w:szCs w:val="18"/>
              </w:rPr>
            </w:pPr>
          </w:p>
        </w:tc>
        <w:tc>
          <w:tcPr>
            <w:tcW w:w="635" w:type="dxa"/>
            <w:shd w:val="clear" w:color="auto" w:fill="auto"/>
            <w:vAlign w:val="center"/>
          </w:tcPr>
          <w:p w14:paraId="18E1C2EF" w14:textId="006EF6F4" w:rsidR="00AE3558" w:rsidRPr="00332AB5" w:rsidRDefault="00AE3558" w:rsidP="00AE3558">
            <w:pPr>
              <w:jc w:val="center"/>
              <w:rPr>
                <w:rFonts w:asciiTheme="minorHAnsi" w:hAnsiTheme="minorHAnsi" w:cstheme="minorHAnsi"/>
                <w:sz w:val="18"/>
                <w:szCs w:val="18"/>
              </w:rPr>
            </w:pPr>
          </w:p>
          <w:p w14:paraId="7261A18F" w14:textId="6109456A" w:rsidR="00AE3558" w:rsidRPr="00332AB5" w:rsidRDefault="00AE3558" w:rsidP="00AE3558">
            <w:pPr>
              <w:jc w:val="center"/>
              <w:rPr>
                <w:rFonts w:asciiTheme="minorHAnsi" w:hAnsiTheme="minorHAnsi" w:cstheme="minorHAnsi"/>
                <w:sz w:val="18"/>
                <w:szCs w:val="18"/>
              </w:rPr>
            </w:pPr>
          </w:p>
        </w:tc>
      </w:tr>
      <w:tr w:rsidR="00AE3558" w:rsidRPr="00332AB5" w14:paraId="454B0287" w14:textId="77777777" w:rsidTr="00041105">
        <w:trPr>
          <w:trHeight w:val="397"/>
        </w:trPr>
        <w:tc>
          <w:tcPr>
            <w:tcW w:w="1179" w:type="dxa"/>
            <w:shd w:val="clear" w:color="auto" w:fill="auto"/>
            <w:vAlign w:val="center"/>
          </w:tcPr>
          <w:p w14:paraId="114DECDF" w14:textId="77777777" w:rsidR="00AE3558" w:rsidRPr="00332AB5" w:rsidRDefault="00AE3558" w:rsidP="00AE3558">
            <w:pPr>
              <w:rPr>
                <w:rFonts w:asciiTheme="minorHAnsi" w:hAnsiTheme="minorHAnsi" w:cstheme="minorHAnsi"/>
                <w:sz w:val="18"/>
                <w:szCs w:val="18"/>
              </w:rPr>
            </w:pPr>
            <w:r w:rsidRPr="00332AB5">
              <w:rPr>
                <w:rFonts w:asciiTheme="minorHAnsi" w:hAnsiTheme="minorHAnsi" w:cstheme="minorHAnsi"/>
                <w:sz w:val="18"/>
                <w:szCs w:val="18"/>
              </w:rPr>
              <w:t>PO 2</w:t>
            </w:r>
          </w:p>
        </w:tc>
        <w:tc>
          <w:tcPr>
            <w:tcW w:w="998" w:type="dxa"/>
            <w:shd w:val="clear" w:color="auto" w:fill="auto"/>
            <w:vAlign w:val="center"/>
          </w:tcPr>
          <w:p w14:paraId="7584DBC2" w14:textId="034D8741" w:rsidR="00AE3558" w:rsidRPr="00332AB5" w:rsidRDefault="00AE3558" w:rsidP="00AE3558">
            <w:pPr>
              <w:spacing w:line="259" w:lineRule="auto"/>
              <w:jc w:val="right"/>
              <w:rPr>
                <w:rFonts w:asciiTheme="minorHAnsi" w:eastAsia="Calibri" w:hAnsiTheme="minorHAnsi" w:cstheme="minorHAnsi"/>
                <w:sz w:val="18"/>
                <w:szCs w:val="18"/>
              </w:rPr>
            </w:pPr>
            <w:r w:rsidRPr="00332AB5">
              <w:rPr>
                <w:rFonts w:asciiTheme="minorHAnsi" w:hAnsiTheme="minorHAnsi" w:cstheme="minorBidi"/>
                <w:sz w:val="18"/>
                <w:szCs w:val="18"/>
              </w:rPr>
              <w:t>500,78</w:t>
            </w:r>
          </w:p>
        </w:tc>
        <w:tc>
          <w:tcPr>
            <w:tcW w:w="1089" w:type="dxa"/>
            <w:shd w:val="clear" w:color="auto" w:fill="auto"/>
            <w:vAlign w:val="center"/>
          </w:tcPr>
          <w:p w14:paraId="04EF9CE3" w14:textId="525F68DC" w:rsidR="00AE3558" w:rsidRPr="00332AB5" w:rsidRDefault="00AE3558" w:rsidP="00AE3558">
            <w:pPr>
              <w:spacing w:line="259" w:lineRule="auto"/>
              <w:jc w:val="right"/>
              <w:rPr>
                <w:rFonts w:asciiTheme="minorHAnsi" w:eastAsia="Calibri" w:hAnsiTheme="minorHAnsi" w:cstheme="minorHAnsi"/>
                <w:sz w:val="18"/>
                <w:szCs w:val="18"/>
              </w:rPr>
            </w:pPr>
            <w:r w:rsidRPr="00332AB5">
              <w:rPr>
                <w:rFonts w:asciiTheme="minorHAnsi" w:hAnsiTheme="minorHAnsi" w:cstheme="minorBidi"/>
                <w:color w:val="000000" w:themeColor="text1"/>
                <w:sz w:val="18"/>
                <w:szCs w:val="18"/>
              </w:rPr>
              <w:t>4,88</w:t>
            </w:r>
          </w:p>
        </w:tc>
        <w:tc>
          <w:tcPr>
            <w:tcW w:w="703" w:type="dxa"/>
            <w:shd w:val="clear" w:color="auto" w:fill="auto"/>
            <w:vAlign w:val="center"/>
          </w:tcPr>
          <w:p w14:paraId="77626A3B" w14:textId="7DBEF169" w:rsidR="00AE3558" w:rsidRPr="00332AB5" w:rsidRDefault="00AE3558" w:rsidP="00AE3558">
            <w:pPr>
              <w:spacing w:line="259" w:lineRule="auto"/>
              <w:jc w:val="right"/>
              <w:rPr>
                <w:rFonts w:asciiTheme="minorHAnsi" w:eastAsia="Calibri" w:hAnsiTheme="minorHAnsi" w:cstheme="minorHAnsi"/>
                <w:sz w:val="18"/>
                <w:szCs w:val="18"/>
              </w:rPr>
            </w:pPr>
            <w:r w:rsidRPr="00332AB5">
              <w:rPr>
                <w:rFonts w:asciiTheme="minorHAnsi" w:hAnsiTheme="minorHAnsi" w:cstheme="minorBidi"/>
                <w:color w:val="000000" w:themeColor="text1"/>
                <w:sz w:val="18"/>
                <w:szCs w:val="18"/>
              </w:rPr>
              <w:t>0,97</w:t>
            </w:r>
          </w:p>
        </w:tc>
        <w:tc>
          <w:tcPr>
            <w:tcW w:w="1021" w:type="dxa"/>
            <w:shd w:val="clear" w:color="auto" w:fill="auto"/>
            <w:vAlign w:val="center"/>
          </w:tcPr>
          <w:p w14:paraId="15925B5D" w14:textId="3BE5BAA9" w:rsidR="00AE3558" w:rsidRPr="00332AB5" w:rsidRDefault="00AE3558" w:rsidP="00AE3558">
            <w:pPr>
              <w:spacing w:line="259" w:lineRule="auto"/>
              <w:jc w:val="right"/>
              <w:rPr>
                <w:rFonts w:asciiTheme="minorHAnsi" w:eastAsia="Calibri" w:hAnsiTheme="minorHAnsi" w:cstheme="minorHAnsi"/>
                <w:sz w:val="18"/>
                <w:szCs w:val="18"/>
              </w:rPr>
            </w:pPr>
            <w:r w:rsidRPr="00332AB5">
              <w:rPr>
                <w:rFonts w:asciiTheme="minorHAnsi" w:hAnsiTheme="minorHAnsi" w:cstheme="minorBidi"/>
                <w:color w:val="000000" w:themeColor="text1"/>
                <w:sz w:val="18"/>
                <w:szCs w:val="18"/>
              </w:rPr>
              <w:t>40,63</w:t>
            </w:r>
          </w:p>
        </w:tc>
        <w:tc>
          <w:tcPr>
            <w:tcW w:w="680" w:type="dxa"/>
            <w:shd w:val="clear" w:color="auto" w:fill="auto"/>
            <w:vAlign w:val="center"/>
          </w:tcPr>
          <w:p w14:paraId="2AC7B110" w14:textId="0A44D31E" w:rsidR="00AE3558" w:rsidRPr="00332AB5" w:rsidRDefault="00AE3558" w:rsidP="00AE3558">
            <w:pPr>
              <w:spacing w:line="259" w:lineRule="auto"/>
              <w:jc w:val="right"/>
              <w:rPr>
                <w:rFonts w:asciiTheme="minorHAnsi" w:eastAsia="Calibri" w:hAnsiTheme="minorHAnsi" w:cstheme="minorHAnsi"/>
                <w:sz w:val="18"/>
                <w:szCs w:val="18"/>
              </w:rPr>
            </w:pPr>
            <w:r w:rsidRPr="00332AB5">
              <w:rPr>
                <w:rFonts w:asciiTheme="minorHAnsi" w:hAnsiTheme="minorHAnsi" w:cstheme="minorBidi"/>
                <w:color w:val="000000" w:themeColor="text1"/>
                <w:sz w:val="18"/>
                <w:szCs w:val="18"/>
              </w:rPr>
              <w:t>8,11</w:t>
            </w:r>
          </w:p>
        </w:tc>
        <w:tc>
          <w:tcPr>
            <w:tcW w:w="1044" w:type="dxa"/>
            <w:shd w:val="clear" w:color="auto" w:fill="auto"/>
            <w:vAlign w:val="center"/>
          </w:tcPr>
          <w:p w14:paraId="49E08815" w14:textId="4D9F26A1" w:rsidR="00AE3558" w:rsidRPr="00332AB5" w:rsidRDefault="00AE3558" w:rsidP="00AE3558">
            <w:pPr>
              <w:spacing w:line="259" w:lineRule="auto"/>
              <w:jc w:val="right"/>
              <w:rPr>
                <w:rFonts w:asciiTheme="minorHAnsi" w:eastAsia="Calibri" w:hAnsiTheme="minorHAnsi" w:cstheme="minorHAnsi"/>
                <w:sz w:val="18"/>
                <w:szCs w:val="18"/>
              </w:rPr>
            </w:pPr>
            <w:r w:rsidRPr="00332AB5">
              <w:rPr>
                <w:rFonts w:asciiTheme="minorHAnsi" w:hAnsiTheme="minorHAnsi" w:cstheme="minorBidi"/>
                <w:sz w:val="18"/>
                <w:szCs w:val="18"/>
              </w:rPr>
              <w:t>73,08</w:t>
            </w:r>
          </w:p>
        </w:tc>
        <w:tc>
          <w:tcPr>
            <w:tcW w:w="635" w:type="dxa"/>
            <w:shd w:val="clear" w:color="auto" w:fill="auto"/>
            <w:vAlign w:val="center"/>
          </w:tcPr>
          <w:p w14:paraId="45D15C3B" w14:textId="3F901139" w:rsidR="00AE3558" w:rsidRPr="00332AB5" w:rsidRDefault="00AE3558" w:rsidP="00AE3558">
            <w:pPr>
              <w:spacing w:line="259" w:lineRule="auto"/>
              <w:jc w:val="right"/>
              <w:rPr>
                <w:rFonts w:asciiTheme="minorHAnsi" w:eastAsia="Calibri" w:hAnsiTheme="minorHAnsi" w:cstheme="minorHAnsi"/>
                <w:sz w:val="18"/>
                <w:szCs w:val="18"/>
              </w:rPr>
            </w:pPr>
            <w:r w:rsidRPr="00332AB5">
              <w:rPr>
                <w:rFonts w:asciiTheme="minorHAnsi" w:hAnsiTheme="minorHAnsi" w:cstheme="minorBidi"/>
                <w:sz w:val="18"/>
                <w:szCs w:val="18"/>
              </w:rPr>
              <w:t>14,59</w:t>
            </w:r>
          </w:p>
        </w:tc>
        <w:tc>
          <w:tcPr>
            <w:tcW w:w="1089" w:type="dxa"/>
            <w:shd w:val="clear" w:color="auto" w:fill="auto"/>
            <w:vAlign w:val="center"/>
          </w:tcPr>
          <w:p w14:paraId="0BCC0BAB" w14:textId="77777777" w:rsidR="00AE3558" w:rsidRPr="00332AB5" w:rsidRDefault="00AE3558" w:rsidP="00AE3558">
            <w:pPr>
              <w:jc w:val="center"/>
              <w:rPr>
                <w:rFonts w:asciiTheme="minorHAnsi" w:hAnsiTheme="minorHAnsi" w:cstheme="minorHAnsi"/>
                <w:sz w:val="18"/>
                <w:szCs w:val="18"/>
              </w:rPr>
            </w:pPr>
          </w:p>
        </w:tc>
        <w:tc>
          <w:tcPr>
            <w:tcW w:w="635" w:type="dxa"/>
            <w:shd w:val="clear" w:color="auto" w:fill="auto"/>
            <w:vAlign w:val="center"/>
          </w:tcPr>
          <w:p w14:paraId="2DE8567F" w14:textId="77777777" w:rsidR="00AE3558" w:rsidRPr="00332AB5" w:rsidRDefault="00AE3558" w:rsidP="00AE3558">
            <w:pPr>
              <w:jc w:val="center"/>
              <w:rPr>
                <w:rFonts w:asciiTheme="minorHAnsi" w:hAnsiTheme="minorHAnsi" w:cstheme="minorHAnsi"/>
                <w:sz w:val="18"/>
                <w:szCs w:val="18"/>
              </w:rPr>
            </w:pPr>
          </w:p>
        </w:tc>
      </w:tr>
      <w:tr w:rsidR="00AE3558" w:rsidRPr="00332AB5" w14:paraId="2C664ACC" w14:textId="77777777" w:rsidTr="00041105">
        <w:trPr>
          <w:trHeight w:val="397"/>
        </w:trPr>
        <w:tc>
          <w:tcPr>
            <w:tcW w:w="1179" w:type="dxa"/>
            <w:shd w:val="clear" w:color="auto" w:fill="auto"/>
            <w:vAlign w:val="center"/>
          </w:tcPr>
          <w:p w14:paraId="69ACDE51" w14:textId="77777777" w:rsidR="00AE3558" w:rsidRPr="00332AB5" w:rsidRDefault="00AE3558" w:rsidP="00AE3558">
            <w:pPr>
              <w:rPr>
                <w:rFonts w:asciiTheme="minorHAnsi" w:hAnsiTheme="minorHAnsi" w:cstheme="minorHAnsi"/>
                <w:sz w:val="18"/>
                <w:szCs w:val="18"/>
              </w:rPr>
            </w:pPr>
            <w:r w:rsidRPr="00332AB5">
              <w:rPr>
                <w:rFonts w:asciiTheme="minorHAnsi" w:hAnsiTheme="minorHAnsi" w:cstheme="minorHAnsi"/>
                <w:sz w:val="18"/>
                <w:szCs w:val="18"/>
              </w:rPr>
              <w:t>PO 3</w:t>
            </w:r>
          </w:p>
        </w:tc>
        <w:tc>
          <w:tcPr>
            <w:tcW w:w="998" w:type="dxa"/>
            <w:shd w:val="clear" w:color="auto" w:fill="auto"/>
            <w:vAlign w:val="center"/>
          </w:tcPr>
          <w:p w14:paraId="27D9AB22" w14:textId="118F035D" w:rsidR="00AE3558" w:rsidRPr="00332AB5" w:rsidRDefault="00AE3558" w:rsidP="00AE3558">
            <w:pPr>
              <w:jc w:val="right"/>
              <w:rPr>
                <w:rFonts w:asciiTheme="minorHAnsi" w:hAnsiTheme="minorHAnsi" w:cstheme="minorHAnsi"/>
                <w:sz w:val="18"/>
                <w:szCs w:val="18"/>
              </w:rPr>
            </w:pPr>
            <w:r w:rsidRPr="00332AB5">
              <w:rPr>
                <w:rFonts w:asciiTheme="minorHAnsi" w:hAnsiTheme="minorHAnsi" w:cstheme="minorBidi"/>
                <w:sz w:val="18"/>
                <w:szCs w:val="18"/>
              </w:rPr>
              <w:t>355,52</w:t>
            </w:r>
          </w:p>
        </w:tc>
        <w:tc>
          <w:tcPr>
            <w:tcW w:w="1089" w:type="dxa"/>
            <w:shd w:val="clear" w:color="auto" w:fill="auto"/>
            <w:vAlign w:val="center"/>
          </w:tcPr>
          <w:p w14:paraId="64870BCB" w14:textId="0456A3EE" w:rsidR="00AE3558" w:rsidRPr="00332AB5" w:rsidRDefault="00AE3558" w:rsidP="00AE3558">
            <w:pPr>
              <w:jc w:val="right"/>
              <w:rPr>
                <w:rFonts w:asciiTheme="minorHAnsi" w:hAnsiTheme="minorHAnsi" w:cstheme="minorHAnsi"/>
                <w:sz w:val="18"/>
                <w:szCs w:val="18"/>
              </w:rPr>
            </w:pPr>
            <w:r w:rsidRPr="00332AB5">
              <w:rPr>
                <w:rFonts w:asciiTheme="minorHAnsi" w:hAnsiTheme="minorHAnsi" w:cstheme="minorBidi"/>
                <w:color w:val="000000" w:themeColor="text1"/>
                <w:sz w:val="18"/>
                <w:szCs w:val="18"/>
              </w:rPr>
              <w:t>0,00</w:t>
            </w:r>
          </w:p>
        </w:tc>
        <w:tc>
          <w:tcPr>
            <w:tcW w:w="703" w:type="dxa"/>
            <w:shd w:val="clear" w:color="auto" w:fill="auto"/>
            <w:vAlign w:val="center"/>
          </w:tcPr>
          <w:p w14:paraId="2BDC5FC9" w14:textId="22AEA6BA" w:rsidR="00AE3558" w:rsidRPr="00332AB5" w:rsidRDefault="00AE3558" w:rsidP="00AE3558">
            <w:pPr>
              <w:spacing w:line="259" w:lineRule="auto"/>
              <w:jc w:val="right"/>
              <w:rPr>
                <w:rFonts w:asciiTheme="minorHAnsi" w:eastAsia="Calibri" w:hAnsiTheme="minorHAnsi" w:cstheme="minorHAnsi"/>
                <w:sz w:val="18"/>
                <w:szCs w:val="18"/>
              </w:rPr>
            </w:pPr>
            <w:r w:rsidRPr="00332AB5">
              <w:rPr>
                <w:rFonts w:asciiTheme="minorHAnsi" w:hAnsiTheme="minorHAnsi" w:cstheme="minorBidi"/>
                <w:color w:val="000000" w:themeColor="text1"/>
                <w:sz w:val="18"/>
                <w:szCs w:val="18"/>
              </w:rPr>
              <w:t>0,00</w:t>
            </w:r>
          </w:p>
        </w:tc>
        <w:tc>
          <w:tcPr>
            <w:tcW w:w="1021" w:type="dxa"/>
            <w:shd w:val="clear" w:color="auto" w:fill="auto"/>
            <w:vAlign w:val="center"/>
          </w:tcPr>
          <w:p w14:paraId="40537138" w14:textId="0703FBBD" w:rsidR="00AE3558" w:rsidRPr="00332AB5" w:rsidRDefault="00AE3558" w:rsidP="00AE3558">
            <w:pPr>
              <w:spacing w:line="259" w:lineRule="auto"/>
              <w:jc w:val="right"/>
              <w:rPr>
                <w:rFonts w:asciiTheme="minorHAnsi" w:eastAsia="Calibri" w:hAnsiTheme="minorHAnsi" w:cstheme="minorHAnsi"/>
                <w:color w:val="000000" w:themeColor="text1"/>
                <w:sz w:val="18"/>
                <w:szCs w:val="18"/>
              </w:rPr>
            </w:pPr>
            <w:r w:rsidRPr="00332AB5">
              <w:rPr>
                <w:rFonts w:asciiTheme="minorHAnsi" w:hAnsiTheme="minorHAnsi" w:cstheme="minorBidi"/>
                <w:color w:val="000000" w:themeColor="text1"/>
                <w:sz w:val="18"/>
                <w:szCs w:val="18"/>
              </w:rPr>
              <w:t>27,76</w:t>
            </w:r>
          </w:p>
        </w:tc>
        <w:tc>
          <w:tcPr>
            <w:tcW w:w="680" w:type="dxa"/>
            <w:shd w:val="clear" w:color="auto" w:fill="auto"/>
            <w:vAlign w:val="center"/>
          </w:tcPr>
          <w:p w14:paraId="5C2B4AF5" w14:textId="4740D1E7" w:rsidR="00AE3558" w:rsidRPr="00332AB5" w:rsidRDefault="00AE3558" w:rsidP="00AE3558">
            <w:pPr>
              <w:spacing w:line="259" w:lineRule="auto"/>
              <w:jc w:val="right"/>
              <w:rPr>
                <w:rFonts w:asciiTheme="minorHAnsi" w:eastAsia="Calibri" w:hAnsiTheme="minorHAnsi" w:cstheme="minorHAnsi"/>
                <w:sz w:val="18"/>
                <w:szCs w:val="18"/>
              </w:rPr>
            </w:pPr>
            <w:r w:rsidRPr="00332AB5">
              <w:rPr>
                <w:rFonts w:asciiTheme="minorHAnsi" w:hAnsiTheme="minorHAnsi" w:cstheme="minorBidi"/>
                <w:color w:val="000000" w:themeColor="text1"/>
                <w:sz w:val="18"/>
                <w:szCs w:val="18"/>
              </w:rPr>
              <w:t>7,81</w:t>
            </w:r>
          </w:p>
        </w:tc>
        <w:tc>
          <w:tcPr>
            <w:tcW w:w="1044" w:type="dxa"/>
            <w:shd w:val="clear" w:color="auto" w:fill="auto"/>
            <w:vAlign w:val="center"/>
          </w:tcPr>
          <w:p w14:paraId="03E77C23" w14:textId="44AA5C79" w:rsidR="00AE3558" w:rsidRPr="00332AB5" w:rsidRDefault="00AE3558" w:rsidP="00AE3558">
            <w:pPr>
              <w:spacing w:line="259" w:lineRule="auto"/>
              <w:jc w:val="right"/>
              <w:rPr>
                <w:rFonts w:asciiTheme="minorHAnsi" w:eastAsia="Calibri" w:hAnsiTheme="minorHAnsi" w:cstheme="minorHAnsi"/>
                <w:sz w:val="18"/>
                <w:szCs w:val="18"/>
              </w:rPr>
            </w:pPr>
            <w:r w:rsidRPr="00332AB5">
              <w:rPr>
                <w:rFonts w:asciiTheme="minorHAnsi" w:hAnsiTheme="minorHAnsi" w:cstheme="minorBidi"/>
                <w:sz w:val="18"/>
                <w:szCs w:val="18"/>
              </w:rPr>
              <w:t>38,32</w:t>
            </w:r>
          </w:p>
        </w:tc>
        <w:tc>
          <w:tcPr>
            <w:tcW w:w="635" w:type="dxa"/>
            <w:shd w:val="clear" w:color="auto" w:fill="auto"/>
            <w:vAlign w:val="center"/>
          </w:tcPr>
          <w:p w14:paraId="62920A1A" w14:textId="625CCEC8" w:rsidR="00AE3558" w:rsidRPr="00332AB5" w:rsidRDefault="00AE3558" w:rsidP="00AE3558">
            <w:pPr>
              <w:spacing w:line="259" w:lineRule="auto"/>
              <w:jc w:val="right"/>
              <w:rPr>
                <w:rFonts w:asciiTheme="minorHAnsi" w:eastAsia="Calibri" w:hAnsiTheme="minorHAnsi" w:cstheme="minorHAnsi"/>
                <w:sz w:val="18"/>
                <w:szCs w:val="18"/>
              </w:rPr>
            </w:pPr>
            <w:r w:rsidRPr="00332AB5">
              <w:rPr>
                <w:rFonts w:asciiTheme="minorHAnsi" w:hAnsiTheme="minorHAnsi" w:cstheme="minorBidi"/>
                <w:sz w:val="18"/>
                <w:szCs w:val="18"/>
              </w:rPr>
              <w:t>10,78</w:t>
            </w:r>
          </w:p>
        </w:tc>
        <w:tc>
          <w:tcPr>
            <w:tcW w:w="1089" w:type="dxa"/>
            <w:shd w:val="clear" w:color="auto" w:fill="auto"/>
            <w:vAlign w:val="center"/>
          </w:tcPr>
          <w:p w14:paraId="179A7AEA" w14:textId="77777777" w:rsidR="00AE3558" w:rsidRPr="00332AB5" w:rsidRDefault="00AE3558" w:rsidP="00AE3558">
            <w:pPr>
              <w:jc w:val="center"/>
              <w:rPr>
                <w:rFonts w:asciiTheme="minorHAnsi" w:hAnsiTheme="minorHAnsi" w:cstheme="minorHAnsi"/>
                <w:sz w:val="18"/>
                <w:szCs w:val="18"/>
              </w:rPr>
            </w:pPr>
          </w:p>
        </w:tc>
        <w:tc>
          <w:tcPr>
            <w:tcW w:w="635" w:type="dxa"/>
            <w:shd w:val="clear" w:color="auto" w:fill="auto"/>
            <w:vAlign w:val="center"/>
          </w:tcPr>
          <w:p w14:paraId="1C6A12F7" w14:textId="77777777" w:rsidR="00AE3558" w:rsidRPr="00332AB5" w:rsidRDefault="00AE3558" w:rsidP="00AE3558">
            <w:pPr>
              <w:jc w:val="center"/>
              <w:rPr>
                <w:rFonts w:asciiTheme="minorHAnsi" w:hAnsiTheme="minorHAnsi" w:cstheme="minorHAnsi"/>
                <w:sz w:val="18"/>
                <w:szCs w:val="18"/>
              </w:rPr>
            </w:pPr>
          </w:p>
        </w:tc>
      </w:tr>
      <w:tr w:rsidR="00AE3558" w:rsidRPr="00332AB5" w14:paraId="3B3E4BBB" w14:textId="77777777" w:rsidTr="00041105">
        <w:trPr>
          <w:trHeight w:val="397"/>
        </w:trPr>
        <w:tc>
          <w:tcPr>
            <w:tcW w:w="1179" w:type="dxa"/>
            <w:shd w:val="clear" w:color="auto" w:fill="auto"/>
            <w:vAlign w:val="center"/>
          </w:tcPr>
          <w:p w14:paraId="6B504F5F" w14:textId="77777777" w:rsidR="00AE3558" w:rsidRPr="00332AB5" w:rsidRDefault="00AE3558" w:rsidP="00AE3558">
            <w:pPr>
              <w:rPr>
                <w:rFonts w:asciiTheme="minorHAnsi" w:hAnsiTheme="minorHAnsi" w:cstheme="minorHAnsi"/>
                <w:sz w:val="18"/>
                <w:szCs w:val="18"/>
              </w:rPr>
            </w:pPr>
            <w:r w:rsidRPr="00332AB5">
              <w:rPr>
                <w:rFonts w:asciiTheme="minorHAnsi" w:hAnsiTheme="minorHAnsi" w:cstheme="minorHAnsi"/>
                <w:sz w:val="18"/>
                <w:szCs w:val="18"/>
              </w:rPr>
              <w:t>PO 4</w:t>
            </w:r>
          </w:p>
        </w:tc>
        <w:tc>
          <w:tcPr>
            <w:tcW w:w="998" w:type="dxa"/>
            <w:shd w:val="clear" w:color="auto" w:fill="auto"/>
            <w:vAlign w:val="center"/>
          </w:tcPr>
          <w:p w14:paraId="0301D27F" w14:textId="45BCA296" w:rsidR="00AE3558" w:rsidRPr="00332AB5" w:rsidRDefault="00AE3558" w:rsidP="00AE3558">
            <w:pPr>
              <w:jc w:val="right"/>
              <w:rPr>
                <w:rFonts w:asciiTheme="minorHAnsi" w:hAnsiTheme="minorHAnsi" w:cstheme="minorHAnsi"/>
                <w:sz w:val="18"/>
                <w:szCs w:val="18"/>
              </w:rPr>
            </w:pPr>
            <w:r w:rsidRPr="00332AB5">
              <w:rPr>
                <w:rFonts w:asciiTheme="minorHAnsi" w:hAnsiTheme="minorHAnsi" w:cstheme="minorBidi"/>
                <w:sz w:val="18"/>
                <w:szCs w:val="18"/>
              </w:rPr>
              <w:t>112,98</w:t>
            </w:r>
          </w:p>
        </w:tc>
        <w:tc>
          <w:tcPr>
            <w:tcW w:w="1089" w:type="dxa"/>
            <w:shd w:val="clear" w:color="auto" w:fill="auto"/>
            <w:vAlign w:val="center"/>
          </w:tcPr>
          <w:p w14:paraId="77F503A9" w14:textId="15FFDCDE" w:rsidR="00AE3558" w:rsidRPr="00332AB5" w:rsidRDefault="00AE3558" w:rsidP="00AE3558">
            <w:pPr>
              <w:spacing w:line="259" w:lineRule="auto"/>
              <w:jc w:val="right"/>
              <w:rPr>
                <w:rFonts w:asciiTheme="minorHAnsi" w:eastAsia="Calibri" w:hAnsiTheme="minorHAnsi" w:cstheme="minorHAnsi"/>
                <w:sz w:val="18"/>
                <w:szCs w:val="18"/>
              </w:rPr>
            </w:pPr>
            <w:r w:rsidRPr="00332AB5">
              <w:rPr>
                <w:rFonts w:asciiTheme="minorHAnsi" w:hAnsiTheme="minorHAnsi" w:cstheme="minorBidi"/>
                <w:color w:val="000000" w:themeColor="text1"/>
                <w:sz w:val="18"/>
                <w:szCs w:val="18"/>
              </w:rPr>
              <w:t>0,00</w:t>
            </w:r>
          </w:p>
        </w:tc>
        <w:tc>
          <w:tcPr>
            <w:tcW w:w="703" w:type="dxa"/>
            <w:shd w:val="clear" w:color="auto" w:fill="auto"/>
            <w:vAlign w:val="center"/>
          </w:tcPr>
          <w:p w14:paraId="0D9A6D13" w14:textId="1DF864E2" w:rsidR="00AE3558" w:rsidRPr="00332AB5" w:rsidRDefault="00AE3558" w:rsidP="00AE3558">
            <w:pPr>
              <w:spacing w:line="259" w:lineRule="auto"/>
              <w:jc w:val="right"/>
              <w:rPr>
                <w:rFonts w:asciiTheme="minorHAnsi" w:eastAsia="Calibri" w:hAnsiTheme="minorHAnsi" w:cstheme="minorHAnsi"/>
                <w:sz w:val="18"/>
                <w:szCs w:val="18"/>
              </w:rPr>
            </w:pPr>
            <w:r w:rsidRPr="00332AB5">
              <w:rPr>
                <w:rFonts w:asciiTheme="minorHAnsi" w:hAnsiTheme="minorHAnsi" w:cstheme="minorBidi"/>
                <w:color w:val="000000" w:themeColor="text1"/>
                <w:sz w:val="18"/>
                <w:szCs w:val="18"/>
              </w:rPr>
              <w:t>0,00</w:t>
            </w:r>
          </w:p>
        </w:tc>
        <w:tc>
          <w:tcPr>
            <w:tcW w:w="1021" w:type="dxa"/>
            <w:shd w:val="clear" w:color="auto" w:fill="auto"/>
            <w:vAlign w:val="center"/>
          </w:tcPr>
          <w:p w14:paraId="78573410" w14:textId="6E50C3B0" w:rsidR="00AE3558" w:rsidRPr="00332AB5" w:rsidRDefault="00AE3558" w:rsidP="00AE3558">
            <w:pPr>
              <w:spacing w:line="259" w:lineRule="auto"/>
              <w:jc w:val="right"/>
              <w:rPr>
                <w:rFonts w:asciiTheme="minorHAnsi" w:eastAsia="Calibri" w:hAnsiTheme="minorHAnsi" w:cstheme="minorHAnsi"/>
                <w:sz w:val="18"/>
                <w:szCs w:val="18"/>
              </w:rPr>
            </w:pPr>
            <w:r w:rsidRPr="00332AB5">
              <w:rPr>
                <w:rFonts w:asciiTheme="minorHAnsi" w:hAnsiTheme="minorHAnsi" w:cstheme="minorBidi"/>
                <w:color w:val="000000" w:themeColor="text1"/>
                <w:sz w:val="18"/>
                <w:szCs w:val="18"/>
              </w:rPr>
              <w:t>10,97</w:t>
            </w:r>
          </w:p>
        </w:tc>
        <w:tc>
          <w:tcPr>
            <w:tcW w:w="680" w:type="dxa"/>
            <w:shd w:val="clear" w:color="auto" w:fill="auto"/>
            <w:vAlign w:val="center"/>
          </w:tcPr>
          <w:p w14:paraId="44753290" w14:textId="09F7BDBA" w:rsidR="00AE3558" w:rsidRPr="00332AB5" w:rsidRDefault="00AE3558" w:rsidP="00AE3558">
            <w:pPr>
              <w:spacing w:line="259" w:lineRule="auto"/>
              <w:jc w:val="right"/>
              <w:rPr>
                <w:rFonts w:asciiTheme="minorHAnsi" w:eastAsia="Calibri" w:hAnsiTheme="minorHAnsi" w:cstheme="minorHAnsi"/>
                <w:sz w:val="18"/>
                <w:szCs w:val="18"/>
              </w:rPr>
            </w:pPr>
            <w:r w:rsidRPr="00332AB5">
              <w:rPr>
                <w:rFonts w:asciiTheme="minorHAnsi" w:hAnsiTheme="minorHAnsi" w:cstheme="minorBidi"/>
                <w:color w:val="000000" w:themeColor="text1"/>
                <w:sz w:val="18"/>
                <w:szCs w:val="18"/>
              </w:rPr>
              <w:t>9,71</w:t>
            </w:r>
          </w:p>
        </w:tc>
        <w:tc>
          <w:tcPr>
            <w:tcW w:w="1044" w:type="dxa"/>
            <w:shd w:val="clear" w:color="auto" w:fill="auto"/>
            <w:vAlign w:val="center"/>
          </w:tcPr>
          <w:p w14:paraId="5F2195C1" w14:textId="3BF8068A" w:rsidR="00AE3558" w:rsidRPr="00332AB5" w:rsidRDefault="00AE3558" w:rsidP="00AE3558">
            <w:pPr>
              <w:spacing w:line="259" w:lineRule="auto"/>
              <w:jc w:val="right"/>
              <w:rPr>
                <w:rFonts w:asciiTheme="minorHAnsi" w:eastAsia="Calibri" w:hAnsiTheme="minorHAnsi" w:cstheme="minorHAnsi"/>
                <w:sz w:val="18"/>
                <w:szCs w:val="18"/>
              </w:rPr>
            </w:pPr>
            <w:r w:rsidRPr="00332AB5">
              <w:rPr>
                <w:rFonts w:asciiTheme="minorHAnsi" w:hAnsiTheme="minorHAnsi" w:cstheme="minorBidi"/>
                <w:sz w:val="18"/>
                <w:szCs w:val="18"/>
              </w:rPr>
              <w:t>20,49</w:t>
            </w:r>
          </w:p>
        </w:tc>
        <w:tc>
          <w:tcPr>
            <w:tcW w:w="635" w:type="dxa"/>
            <w:shd w:val="clear" w:color="auto" w:fill="auto"/>
            <w:vAlign w:val="center"/>
          </w:tcPr>
          <w:p w14:paraId="267AE5FB" w14:textId="1D164BB3" w:rsidR="00AE3558" w:rsidRPr="00332AB5" w:rsidRDefault="00AE3558" w:rsidP="00AE3558">
            <w:pPr>
              <w:spacing w:line="259" w:lineRule="auto"/>
              <w:jc w:val="right"/>
              <w:rPr>
                <w:rFonts w:asciiTheme="minorHAnsi" w:eastAsia="Calibri" w:hAnsiTheme="minorHAnsi" w:cstheme="minorHAnsi"/>
                <w:sz w:val="18"/>
                <w:szCs w:val="18"/>
              </w:rPr>
            </w:pPr>
            <w:r w:rsidRPr="00332AB5">
              <w:rPr>
                <w:rFonts w:asciiTheme="minorHAnsi" w:hAnsiTheme="minorHAnsi" w:cstheme="minorBidi"/>
                <w:sz w:val="18"/>
                <w:szCs w:val="18"/>
              </w:rPr>
              <w:t>18,14</w:t>
            </w:r>
          </w:p>
        </w:tc>
        <w:tc>
          <w:tcPr>
            <w:tcW w:w="1089" w:type="dxa"/>
            <w:shd w:val="clear" w:color="auto" w:fill="auto"/>
            <w:vAlign w:val="center"/>
          </w:tcPr>
          <w:p w14:paraId="53D591FE" w14:textId="77777777" w:rsidR="00AE3558" w:rsidRPr="00332AB5" w:rsidRDefault="00AE3558" w:rsidP="00AE3558">
            <w:pPr>
              <w:jc w:val="center"/>
              <w:rPr>
                <w:rFonts w:asciiTheme="minorHAnsi" w:hAnsiTheme="minorHAnsi" w:cstheme="minorHAnsi"/>
                <w:sz w:val="18"/>
                <w:szCs w:val="18"/>
              </w:rPr>
            </w:pPr>
          </w:p>
        </w:tc>
        <w:tc>
          <w:tcPr>
            <w:tcW w:w="635" w:type="dxa"/>
            <w:shd w:val="clear" w:color="auto" w:fill="auto"/>
            <w:vAlign w:val="center"/>
          </w:tcPr>
          <w:p w14:paraId="434EA5E0" w14:textId="77777777" w:rsidR="00AE3558" w:rsidRPr="00332AB5" w:rsidRDefault="00AE3558" w:rsidP="00AE3558">
            <w:pPr>
              <w:jc w:val="center"/>
              <w:rPr>
                <w:rFonts w:asciiTheme="minorHAnsi" w:hAnsiTheme="minorHAnsi" w:cstheme="minorHAnsi"/>
                <w:sz w:val="18"/>
                <w:szCs w:val="18"/>
              </w:rPr>
            </w:pPr>
          </w:p>
        </w:tc>
      </w:tr>
      <w:tr w:rsidR="00AE3558" w:rsidRPr="00332AB5" w14:paraId="0CBE5966" w14:textId="77777777" w:rsidTr="00041105">
        <w:trPr>
          <w:trHeight w:val="397"/>
        </w:trPr>
        <w:tc>
          <w:tcPr>
            <w:tcW w:w="1179" w:type="dxa"/>
            <w:shd w:val="clear" w:color="auto" w:fill="auto"/>
            <w:vAlign w:val="center"/>
          </w:tcPr>
          <w:p w14:paraId="5FEC181A" w14:textId="77777777" w:rsidR="00AE3558" w:rsidRPr="00332AB5" w:rsidRDefault="00AE3558" w:rsidP="00AE3558">
            <w:pPr>
              <w:rPr>
                <w:rFonts w:asciiTheme="minorHAnsi" w:hAnsiTheme="minorHAnsi" w:cstheme="minorHAnsi"/>
                <w:sz w:val="18"/>
                <w:szCs w:val="18"/>
              </w:rPr>
            </w:pPr>
            <w:r w:rsidRPr="00332AB5">
              <w:rPr>
                <w:rFonts w:asciiTheme="minorHAnsi" w:hAnsiTheme="minorHAnsi" w:cstheme="minorHAnsi"/>
                <w:sz w:val="18"/>
                <w:szCs w:val="18"/>
              </w:rPr>
              <w:t>PO 5</w:t>
            </w:r>
          </w:p>
        </w:tc>
        <w:tc>
          <w:tcPr>
            <w:tcW w:w="998" w:type="dxa"/>
            <w:shd w:val="clear" w:color="auto" w:fill="auto"/>
            <w:vAlign w:val="center"/>
          </w:tcPr>
          <w:p w14:paraId="7F658F1C" w14:textId="176AD599" w:rsidR="00AE3558" w:rsidRPr="00332AB5" w:rsidRDefault="00AE3558" w:rsidP="00AE3558">
            <w:pPr>
              <w:jc w:val="right"/>
              <w:rPr>
                <w:rFonts w:asciiTheme="minorHAnsi" w:hAnsiTheme="minorHAnsi" w:cstheme="minorHAnsi"/>
                <w:sz w:val="18"/>
                <w:szCs w:val="18"/>
              </w:rPr>
            </w:pPr>
            <w:r w:rsidRPr="00332AB5">
              <w:rPr>
                <w:rFonts w:asciiTheme="minorHAnsi" w:hAnsiTheme="minorHAnsi" w:cstheme="minorHAnsi"/>
                <w:sz w:val="18"/>
                <w:szCs w:val="18"/>
              </w:rPr>
              <w:t>80,00</w:t>
            </w:r>
          </w:p>
        </w:tc>
        <w:tc>
          <w:tcPr>
            <w:tcW w:w="1089" w:type="dxa"/>
            <w:shd w:val="clear" w:color="auto" w:fill="auto"/>
            <w:vAlign w:val="center"/>
          </w:tcPr>
          <w:p w14:paraId="76301410" w14:textId="70367207" w:rsidR="00AE3558" w:rsidRPr="00332AB5" w:rsidRDefault="00AE3558" w:rsidP="00AE3558">
            <w:pPr>
              <w:jc w:val="right"/>
              <w:rPr>
                <w:rFonts w:asciiTheme="minorHAnsi" w:hAnsiTheme="minorHAnsi" w:cstheme="minorHAnsi"/>
                <w:color w:val="000000" w:themeColor="text1"/>
                <w:sz w:val="18"/>
                <w:szCs w:val="18"/>
              </w:rPr>
            </w:pPr>
            <w:r w:rsidRPr="00332AB5">
              <w:rPr>
                <w:rFonts w:asciiTheme="minorHAnsi" w:hAnsiTheme="minorHAnsi" w:cstheme="minorBidi"/>
                <w:color w:val="000000" w:themeColor="text1"/>
                <w:sz w:val="18"/>
                <w:szCs w:val="18"/>
              </w:rPr>
              <w:t>-1,11</w:t>
            </w:r>
          </w:p>
        </w:tc>
        <w:tc>
          <w:tcPr>
            <w:tcW w:w="703" w:type="dxa"/>
            <w:shd w:val="clear" w:color="auto" w:fill="auto"/>
            <w:vAlign w:val="center"/>
          </w:tcPr>
          <w:p w14:paraId="2D7EA36C" w14:textId="60CFC54E" w:rsidR="00AE3558" w:rsidRPr="00332AB5" w:rsidRDefault="00AE3558" w:rsidP="00AE3558">
            <w:pPr>
              <w:spacing w:line="259" w:lineRule="auto"/>
              <w:jc w:val="right"/>
              <w:rPr>
                <w:rFonts w:asciiTheme="minorHAnsi" w:eastAsia="Calibri" w:hAnsiTheme="minorHAnsi" w:cstheme="minorHAnsi"/>
                <w:sz w:val="18"/>
                <w:szCs w:val="18"/>
              </w:rPr>
            </w:pPr>
            <w:r w:rsidRPr="00332AB5">
              <w:rPr>
                <w:rFonts w:asciiTheme="minorHAnsi" w:hAnsiTheme="minorHAnsi" w:cstheme="minorBidi"/>
                <w:color w:val="000000" w:themeColor="text1"/>
                <w:sz w:val="18"/>
                <w:szCs w:val="18"/>
              </w:rPr>
              <w:t>-1,39</w:t>
            </w:r>
          </w:p>
        </w:tc>
        <w:tc>
          <w:tcPr>
            <w:tcW w:w="1021" w:type="dxa"/>
            <w:shd w:val="clear" w:color="auto" w:fill="auto"/>
            <w:vAlign w:val="center"/>
          </w:tcPr>
          <w:p w14:paraId="6E503894" w14:textId="7A17DE80" w:rsidR="00AE3558" w:rsidRPr="00332AB5" w:rsidRDefault="00AE3558" w:rsidP="00AE3558">
            <w:pPr>
              <w:jc w:val="right"/>
              <w:rPr>
                <w:rFonts w:asciiTheme="minorHAnsi" w:hAnsiTheme="minorHAnsi" w:cstheme="minorHAnsi"/>
                <w:sz w:val="18"/>
                <w:szCs w:val="18"/>
              </w:rPr>
            </w:pPr>
            <w:r w:rsidRPr="00332AB5">
              <w:rPr>
                <w:rFonts w:asciiTheme="minorHAnsi" w:hAnsiTheme="minorHAnsi" w:cstheme="minorBidi"/>
                <w:color w:val="000000" w:themeColor="text1"/>
                <w:sz w:val="18"/>
                <w:szCs w:val="18"/>
              </w:rPr>
              <w:t>4,03</w:t>
            </w:r>
          </w:p>
        </w:tc>
        <w:tc>
          <w:tcPr>
            <w:tcW w:w="680" w:type="dxa"/>
            <w:shd w:val="clear" w:color="auto" w:fill="auto"/>
            <w:vAlign w:val="center"/>
          </w:tcPr>
          <w:p w14:paraId="16977782" w14:textId="57C62C5D" w:rsidR="00AE3558" w:rsidRPr="00332AB5" w:rsidRDefault="00AE3558" w:rsidP="00AE3558">
            <w:pPr>
              <w:spacing w:line="259" w:lineRule="auto"/>
              <w:jc w:val="right"/>
              <w:rPr>
                <w:rFonts w:asciiTheme="minorHAnsi" w:eastAsia="Calibri" w:hAnsiTheme="minorHAnsi" w:cstheme="minorHAnsi"/>
                <w:sz w:val="18"/>
                <w:szCs w:val="18"/>
              </w:rPr>
            </w:pPr>
            <w:r w:rsidRPr="00332AB5">
              <w:rPr>
                <w:rFonts w:asciiTheme="minorHAnsi" w:hAnsiTheme="minorHAnsi" w:cstheme="minorBidi"/>
                <w:color w:val="000000" w:themeColor="text1"/>
                <w:sz w:val="18"/>
                <w:szCs w:val="18"/>
              </w:rPr>
              <w:t>5,04</w:t>
            </w:r>
          </w:p>
        </w:tc>
        <w:tc>
          <w:tcPr>
            <w:tcW w:w="1044" w:type="dxa"/>
            <w:shd w:val="clear" w:color="auto" w:fill="auto"/>
            <w:vAlign w:val="center"/>
          </w:tcPr>
          <w:p w14:paraId="4BD085E0" w14:textId="7D5CAAA4" w:rsidR="00AE3558" w:rsidRPr="00332AB5" w:rsidRDefault="00AE3558" w:rsidP="00AE3558">
            <w:pPr>
              <w:spacing w:line="259" w:lineRule="auto"/>
              <w:jc w:val="right"/>
              <w:rPr>
                <w:rFonts w:asciiTheme="minorHAnsi" w:eastAsia="Calibri" w:hAnsiTheme="minorHAnsi" w:cstheme="minorHAnsi"/>
                <w:sz w:val="18"/>
                <w:szCs w:val="18"/>
              </w:rPr>
            </w:pPr>
            <w:r w:rsidRPr="00332AB5">
              <w:rPr>
                <w:rFonts w:asciiTheme="minorHAnsi" w:hAnsiTheme="minorHAnsi" w:cstheme="minorBidi"/>
                <w:sz w:val="18"/>
                <w:szCs w:val="18"/>
              </w:rPr>
              <w:t>14,76</w:t>
            </w:r>
          </w:p>
        </w:tc>
        <w:tc>
          <w:tcPr>
            <w:tcW w:w="635" w:type="dxa"/>
            <w:shd w:val="clear" w:color="auto" w:fill="auto"/>
            <w:vAlign w:val="center"/>
          </w:tcPr>
          <w:p w14:paraId="19ACBF70" w14:textId="39EF1F81" w:rsidR="00AE3558" w:rsidRPr="00332AB5" w:rsidRDefault="00AE3558" w:rsidP="00AE3558">
            <w:pPr>
              <w:spacing w:line="259" w:lineRule="auto"/>
              <w:jc w:val="right"/>
              <w:rPr>
                <w:rFonts w:asciiTheme="minorHAnsi" w:eastAsia="Calibri" w:hAnsiTheme="minorHAnsi" w:cstheme="minorHAnsi"/>
                <w:sz w:val="18"/>
                <w:szCs w:val="18"/>
              </w:rPr>
            </w:pPr>
            <w:r w:rsidRPr="00332AB5">
              <w:rPr>
                <w:rFonts w:asciiTheme="minorHAnsi" w:hAnsiTheme="minorHAnsi" w:cstheme="minorBidi"/>
                <w:sz w:val="18"/>
                <w:szCs w:val="18"/>
              </w:rPr>
              <w:t>18,45</w:t>
            </w:r>
          </w:p>
        </w:tc>
        <w:tc>
          <w:tcPr>
            <w:tcW w:w="1089" w:type="dxa"/>
            <w:tcBorders>
              <w:bottom w:val="single" w:sz="4" w:space="0" w:color="808080" w:themeColor="background1" w:themeShade="80"/>
            </w:tcBorders>
            <w:shd w:val="clear" w:color="auto" w:fill="auto"/>
            <w:vAlign w:val="center"/>
          </w:tcPr>
          <w:p w14:paraId="1338F618" w14:textId="77777777" w:rsidR="00AE3558" w:rsidRPr="00332AB5" w:rsidRDefault="00AE3558" w:rsidP="00AE3558">
            <w:pPr>
              <w:jc w:val="center"/>
              <w:rPr>
                <w:rFonts w:asciiTheme="minorHAnsi" w:hAnsiTheme="minorHAnsi" w:cstheme="minorHAnsi"/>
                <w:sz w:val="18"/>
                <w:szCs w:val="18"/>
              </w:rPr>
            </w:pPr>
          </w:p>
        </w:tc>
        <w:tc>
          <w:tcPr>
            <w:tcW w:w="635" w:type="dxa"/>
            <w:tcBorders>
              <w:bottom w:val="single" w:sz="4" w:space="0" w:color="808080" w:themeColor="background1" w:themeShade="80"/>
            </w:tcBorders>
            <w:shd w:val="clear" w:color="auto" w:fill="auto"/>
            <w:vAlign w:val="center"/>
          </w:tcPr>
          <w:p w14:paraId="7FAD6202" w14:textId="12C17ABA" w:rsidR="00AE3558" w:rsidRPr="00332AB5" w:rsidRDefault="00AE3558" w:rsidP="00AE3558">
            <w:pPr>
              <w:jc w:val="center"/>
              <w:rPr>
                <w:rFonts w:asciiTheme="minorHAnsi" w:hAnsiTheme="minorHAnsi" w:cstheme="minorHAnsi"/>
                <w:sz w:val="18"/>
                <w:szCs w:val="18"/>
              </w:rPr>
            </w:pPr>
          </w:p>
          <w:p w14:paraId="0B45B85C" w14:textId="12C17ABA" w:rsidR="00AE3558" w:rsidRPr="00332AB5" w:rsidRDefault="00AE3558" w:rsidP="00AE3558">
            <w:pPr>
              <w:jc w:val="center"/>
              <w:rPr>
                <w:rFonts w:asciiTheme="minorHAnsi" w:hAnsiTheme="minorHAnsi" w:cstheme="minorHAnsi"/>
                <w:sz w:val="18"/>
                <w:szCs w:val="18"/>
              </w:rPr>
            </w:pPr>
          </w:p>
        </w:tc>
      </w:tr>
      <w:tr w:rsidR="00226CDE" w:rsidRPr="00332AB5" w14:paraId="65B899D3" w14:textId="77777777" w:rsidTr="00041105">
        <w:trPr>
          <w:trHeight w:val="510"/>
        </w:trPr>
        <w:tc>
          <w:tcPr>
            <w:tcW w:w="1179" w:type="dxa"/>
            <w:vAlign w:val="center"/>
          </w:tcPr>
          <w:p w14:paraId="14DE7A7F" w14:textId="7C3A1F1B" w:rsidR="00226CDE" w:rsidRPr="00332AB5" w:rsidRDefault="00226CDE" w:rsidP="00226CDE">
            <w:pPr>
              <w:rPr>
                <w:sz w:val="18"/>
                <w:szCs w:val="18"/>
              </w:rPr>
            </w:pPr>
            <w:r w:rsidRPr="00332AB5">
              <w:rPr>
                <w:rFonts w:asciiTheme="minorHAnsi" w:hAnsiTheme="minorHAnsi" w:cstheme="minorHAnsi"/>
                <w:sz w:val="18"/>
              </w:rPr>
              <w:t>UKUPNO</w:t>
            </w:r>
          </w:p>
        </w:tc>
        <w:tc>
          <w:tcPr>
            <w:tcW w:w="998" w:type="dxa"/>
            <w:tcBorders>
              <w:top w:val="single" w:sz="4" w:space="0" w:color="808080" w:themeColor="background1" w:themeShade="80"/>
              <w:bottom w:val="single" w:sz="4" w:space="0" w:color="808080" w:themeColor="background1" w:themeShade="80"/>
            </w:tcBorders>
            <w:vAlign w:val="center"/>
          </w:tcPr>
          <w:p w14:paraId="19597A45" w14:textId="5D74098B" w:rsidR="00226CDE" w:rsidRPr="00332AB5" w:rsidRDefault="00226CDE" w:rsidP="00226CDE">
            <w:pPr>
              <w:jc w:val="right"/>
              <w:rPr>
                <w:rFonts w:asciiTheme="minorHAnsi" w:hAnsiTheme="minorHAnsi" w:cstheme="minorHAnsi"/>
                <w:sz w:val="18"/>
                <w:szCs w:val="18"/>
              </w:rPr>
            </w:pPr>
            <w:r w:rsidRPr="00332AB5">
              <w:rPr>
                <w:rFonts w:asciiTheme="minorHAnsi" w:hAnsiTheme="minorHAnsi" w:cstheme="minorHAnsi"/>
                <w:sz w:val="18"/>
                <w:szCs w:val="18"/>
              </w:rPr>
              <w:t>1.621,05</w:t>
            </w:r>
          </w:p>
        </w:tc>
        <w:tc>
          <w:tcPr>
            <w:tcW w:w="1089" w:type="dxa"/>
            <w:tcBorders>
              <w:top w:val="single" w:sz="4" w:space="0" w:color="808080" w:themeColor="background1" w:themeShade="80"/>
              <w:bottom w:val="single" w:sz="4" w:space="0" w:color="808080" w:themeColor="background1" w:themeShade="80"/>
            </w:tcBorders>
            <w:vAlign w:val="center"/>
          </w:tcPr>
          <w:p w14:paraId="2960F72B" w14:textId="5D6970FB" w:rsidR="00226CDE" w:rsidRPr="00332AB5" w:rsidRDefault="00226CDE" w:rsidP="00226CDE">
            <w:pPr>
              <w:spacing w:line="259" w:lineRule="auto"/>
              <w:jc w:val="right"/>
              <w:rPr>
                <w:rFonts w:asciiTheme="minorHAnsi" w:hAnsiTheme="minorHAnsi" w:cstheme="minorHAnsi"/>
                <w:color w:val="000000" w:themeColor="text1"/>
                <w:sz w:val="18"/>
                <w:szCs w:val="18"/>
              </w:rPr>
            </w:pPr>
            <w:r w:rsidRPr="00332AB5">
              <w:rPr>
                <w:rFonts w:asciiTheme="minorHAnsi" w:hAnsiTheme="minorHAnsi" w:cstheme="minorBidi"/>
                <w:color w:val="000000" w:themeColor="text1"/>
                <w:sz w:val="18"/>
                <w:szCs w:val="18"/>
              </w:rPr>
              <w:t>3,77</w:t>
            </w:r>
          </w:p>
        </w:tc>
        <w:tc>
          <w:tcPr>
            <w:tcW w:w="703" w:type="dxa"/>
            <w:tcBorders>
              <w:top w:val="single" w:sz="4" w:space="0" w:color="808080" w:themeColor="background1" w:themeShade="80"/>
              <w:bottom w:val="single" w:sz="4" w:space="0" w:color="808080" w:themeColor="background1" w:themeShade="80"/>
            </w:tcBorders>
            <w:vAlign w:val="center"/>
          </w:tcPr>
          <w:p w14:paraId="21AB55A6" w14:textId="3DC19219" w:rsidR="00226CDE" w:rsidRPr="00332AB5" w:rsidRDefault="00226CDE" w:rsidP="00226CDE">
            <w:pPr>
              <w:spacing w:line="259" w:lineRule="auto"/>
              <w:jc w:val="right"/>
              <w:rPr>
                <w:rFonts w:asciiTheme="minorHAnsi" w:hAnsiTheme="minorHAnsi" w:cstheme="minorHAnsi"/>
                <w:color w:val="000000" w:themeColor="text1"/>
                <w:sz w:val="18"/>
                <w:szCs w:val="18"/>
              </w:rPr>
            </w:pPr>
            <w:r w:rsidRPr="00332AB5">
              <w:rPr>
                <w:rFonts w:asciiTheme="minorHAnsi" w:hAnsiTheme="minorHAnsi" w:cstheme="minorBidi"/>
                <w:color w:val="000000" w:themeColor="text1"/>
                <w:sz w:val="18"/>
                <w:szCs w:val="18"/>
              </w:rPr>
              <w:t>0,23</w:t>
            </w:r>
          </w:p>
        </w:tc>
        <w:tc>
          <w:tcPr>
            <w:tcW w:w="1021" w:type="dxa"/>
            <w:tcBorders>
              <w:top w:val="single" w:sz="4" w:space="0" w:color="808080" w:themeColor="background1" w:themeShade="80"/>
              <w:bottom w:val="single" w:sz="4" w:space="0" w:color="808080" w:themeColor="background1" w:themeShade="80"/>
            </w:tcBorders>
            <w:vAlign w:val="center"/>
          </w:tcPr>
          <w:p w14:paraId="25C81FE6" w14:textId="379ECB29" w:rsidR="00226CDE" w:rsidRPr="00332AB5" w:rsidRDefault="00226CDE" w:rsidP="00226CDE">
            <w:pPr>
              <w:jc w:val="right"/>
              <w:rPr>
                <w:rFonts w:asciiTheme="minorHAnsi" w:hAnsiTheme="minorHAnsi" w:cstheme="minorHAnsi"/>
                <w:color w:val="000000" w:themeColor="text1"/>
                <w:sz w:val="18"/>
                <w:szCs w:val="18"/>
              </w:rPr>
            </w:pPr>
            <w:r w:rsidRPr="00332AB5">
              <w:rPr>
                <w:rFonts w:asciiTheme="minorHAnsi" w:hAnsiTheme="minorHAnsi" w:cstheme="minorBidi"/>
                <w:color w:val="000000" w:themeColor="text1"/>
                <w:sz w:val="18"/>
                <w:szCs w:val="18"/>
              </w:rPr>
              <w:t>146,52</w:t>
            </w:r>
          </w:p>
        </w:tc>
        <w:tc>
          <w:tcPr>
            <w:tcW w:w="680" w:type="dxa"/>
            <w:tcBorders>
              <w:top w:val="single" w:sz="4" w:space="0" w:color="808080" w:themeColor="background1" w:themeShade="80"/>
              <w:bottom w:val="single" w:sz="4" w:space="0" w:color="808080" w:themeColor="background1" w:themeShade="80"/>
            </w:tcBorders>
            <w:vAlign w:val="center"/>
          </w:tcPr>
          <w:p w14:paraId="459F36C1" w14:textId="1F75054A" w:rsidR="00226CDE" w:rsidRPr="00332AB5" w:rsidRDefault="00226CDE" w:rsidP="00226CDE">
            <w:pPr>
              <w:spacing w:line="259" w:lineRule="auto"/>
              <w:jc w:val="right"/>
              <w:rPr>
                <w:rFonts w:asciiTheme="minorHAnsi" w:hAnsiTheme="minorHAnsi" w:cstheme="minorHAnsi"/>
                <w:color w:val="000000" w:themeColor="text1"/>
                <w:sz w:val="18"/>
                <w:szCs w:val="18"/>
              </w:rPr>
            </w:pPr>
            <w:r w:rsidRPr="00332AB5">
              <w:rPr>
                <w:rFonts w:asciiTheme="minorHAnsi" w:hAnsiTheme="minorHAnsi" w:cstheme="minorBidi"/>
                <w:color w:val="000000" w:themeColor="text1"/>
                <w:sz w:val="18"/>
                <w:szCs w:val="18"/>
              </w:rPr>
              <w:t>9,04</w:t>
            </w:r>
          </w:p>
        </w:tc>
        <w:tc>
          <w:tcPr>
            <w:tcW w:w="1044" w:type="dxa"/>
            <w:tcBorders>
              <w:top w:val="single" w:sz="4" w:space="0" w:color="808080" w:themeColor="background1" w:themeShade="80"/>
              <w:bottom w:val="single" w:sz="4" w:space="0" w:color="808080" w:themeColor="background1" w:themeShade="80"/>
            </w:tcBorders>
            <w:vAlign w:val="center"/>
          </w:tcPr>
          <w:p w14:paraId="4F3498CA" w14:textId="50B3E2E8" w:rsidR="00226CDE" w:rsidRPr="00332AB5" w:rsidRDefault="00226CDE" w:rsidP="00226CDE">
            <w:pPr>
              <w:spacing w:line="259" w:lineRule="auto"/>
              <w:jc w:val="right"/>
              <w:rPr>
                <w:rFonts w:asciiTheme="minorHAnsi" w:hAnsiTheme="minorHAnsi" w:cstheme="minorHAnsi"/>
                <w:color w:val="000000" w:themeColor="text1"/>
                <w:sz w:val="18"/>
                <w:szCs w:val="18"/>
              </w:rPr>
            </w:pPr>
            <w:r w:rsidRPr="00332AB5">
              <w:rPr>
                <w:rFonts w:asciiTheme="minorHAnsi" w:hAnsiTheme="minorHAnsi" w:cstheme="minorBidi"/>
                <w:color w:val="000000" w:themeColor="text1"/>
                <w:sz w:val="18"/>
                <w:szCs w:val="18"/>
              </w:rPr>
              <w:t>218,81</w:t>
            </w:r>
          </w:p>
        </w:tc>
        <w:tc>
          <w:tcPr>
            <w:tcW w:w="635" w:type="dxa"/>
            <w:tcBorders>
              <w:top w:val="single" w:sz="4" w:space="0" w:color="808080" w:themeColor="background1" w:themeShade="80"/>
              <w:bottom w:val="single" w:sz="4" w:space="0" w:color="808080" w:themeColor="background1" w:themeShade="80"/>
            </w:tcBorders>
            <w:shd w:val="clear" w:color="auto" w:fill="auto"/>
            <w:vAlign w:val="center"/>
          </w:tcPr>
          <w:p w14:paraId="1A333EC2" w14:textId="586F11D6" w:rsidR="00226CDE" w:rsidRPr="00332AB5" w:rsidRDefault="00226CDE" w:rsidP="00226CDE">
            <w:pPr>
              <w:spacing w:line="259" w:lineRule="auto"/>
              <w:jc w:val="right"/>
              <w:rPr>
                <w:rFonts w:asciiTheme="minorHAnsi" w:hAnsiTheme="minorHAnsi" w:cstheme="minorHAnsi"/>
                <w:color w:val="000000" w:themeColor="text1"/>
                <w:sz w:val="18"/>
                <w:szCs w:val="18"/>
              </w:rPr>
            </w:pPr>
            <w:r w:rsidRPr="00332AB5">
              <w:rPr>
                <w:rFonts w:asciiTheme="minorHAnsi" w:hAnsiTheme="minorHAnsi" w:cstheme="minorBidi"/>
                <w:color w:val="000000" w:themeColor="text1"/>
                <w:sz w:val="18"/>
                <w:szCs w:val="18"/>
              </w:rPr>
              <w:t>13,50</w:t>
            </w:r>
          </w:p>
        </w:tc>
        <w:tc>
          <w:tcPr>
            <w:tcW w:w="1089" w:type="dxa"/>
            <w:tcBorders>
              <w:top w:val="single" w:sz="4" w:space="0" w:color="808080" w:themeColor="background1" w:themeShade="80"/>
              <w:bottom w:val="single" w:sz="4" w:space="0" w:color="808080" w:themeColor="background1" w:themeShade="80"/>
            </w:tcBorders>
            <w:vAlign w:val="center"/>
          </w:tcPr>
          <w:p w14:paraId="34C5701B" w14:textId="4E20A033" w:rsidR="00226CDE" w:rsidRPr="00332AB5" w:rsidRDefault="00226CDE" w:rsidP="00226CDE">
            <w:pPr>
              <w:spacing w:line="259" w:lineRule="auto"/>
              <w:jc w:val="right"/>
              <w:rPr>
                <w:rFonts w:asciiTheme="minorHAnsi" w:hAnsiTheme="minorHAnsi" w:cstheme="minorHAnsi"/>
                <w:sz w:val="18"/>
                <w:szCs w:val="18"/>
              </w:rPr>
            </w:pPr>
            <w:r w:rsidRPr="00332AB5">
              <w:rPr>
                <w:rFonts w:asciiTheme="minorHAnsi" w:hAnsiTheme="minorHAnsi" w:cstheme="minorHAnsi"/>
                <w:sz w:val="18"/>
                <w:szCs w:val="18"/>
              </w:rPr>
              <w:t>142,60</w:t>
            </w:r>
          </w:p>
        </w:tc>
        <w:tc>
          <w:tcPr>
            <w:tcW w:w="635" w:type="dxa"/>
            <w:tcBorders>
              <w:top w:val="single" w:sz="4" w:space="0" w:color="808080" w:themeColor="background1" w:themeShade="80"/>
              <w:bottom w:val="single" w:sz="4" w:space="0" w:color="808080" w:themeColor="background1" w:themeShade="80"/>
            </w:tcBorders>
            <w:vAlign w:val="center"/>
          </w:tcPr>
          <w:p w14:paraId="57975C0B" w14:textId="710A7FAD" w:rsidR="00226CDE" w:rsidRPr="00332AB5" w:rsidRDefault="00226CDE" w:rsidP="00226CDE">
            <w:pPr>
              <w:jc w:val="right"/>
              <w:rPr>
                <w:rFonts w:asciiTheme="minorHAnsi" w:hAnsiTheme="minorHAnsi" w:cstheme="minorHAnsi"/>
                <w:sz w:val="18"/>
                <w:szCs w:val="18"/>
              </w:rPr>
            </w:pPr>
            <w:r w:rsidRPr="00332AB5">
              <w:rPr>
                <w:rFonts w:asciiTheme="minorHAnsi" w:hAnsiTheme="minorHAnsi" w:cstheme="minorHAnsi"/>
                <w:sz w:val="18"/>
                <w:szCs w:val="18"/>
              </w:rPr>
              <w:t>8,80</w:t>
            </w:r>
          </w:p>
        </w:tc>
      </w:tr>
      <w:bookmarkEnd w:id="55"/>
    </w:tbl>
    <w:p w14:paraId="6ECAA52B" w14:textId="77777777" w:rsidR="007712BB" w:rsidRPr="00332AB5" w:rsidRDefault="007712BB" w:rsidP="00FA3316">
      <w:pPr>
        <w:spacing w:before="120" w:after="120"/>
        <w:jc w:val="both"/>
        <w:rPr>
          <w:b/>
          <w:bCs/>
        </w:rPr>
      </w:pPr>
    </w:p>
    <w:p w14:paraId="2579E031" w14:textId="77777777" w:rsidR="00E60773" w:rsidRPr="00332AB5" w:rsidRDefault="00E60773">
      <w:pPr>
        <w:rPr>
          <w:b/>
          <w:bCs/>
        </w:rPr>
      </w:pPr>
      <w:r w:rsidRPr="00332AB5">
        <w:rPr>
          <w:b/>
          <w:bCs/>
        </w:rPr>
        <w:br w:type="page"/>
      </w:r>
    </w:p>
    <w:p w14:paraId="363E941E" w14:textId="7FBF35B8" w:rsidR="00FA3316" w:rsidRPr="00332AB5" w:rsidRDefault="00FA3316" w:rsidP="002C768F">
      <w:pPr>
        <w:jc w:val="both"/>
        <w:rPr>
          <w:b/>
          <w:bCs/>
        </w:rPr>
      </w:pPr>
      <w:bookmarkStart w:id="56" w:name="_Toc152595284"/>
      <w:r w:rsidRPr="00332AB5">
        <w:rPr>
          <w:b/>
          <w:bCs/>
        </w:rPr>
        <w:lastRenderedPageBreak/>
        <w:t xml:space="preserve">Tablica </w:t>
      </w:r>
      <w:r w:rsidR="008C2CC3" w:rsidRPr="00332AB5">
        <w:rPr>
          <w:b/>
          <w:bCs/>
        </w:rPr>
        <w:fldChar w:fldCharType="begin"/>
      </w:r>
      <w:r w:rsidRPr="00332AB5">
        <w:rPr>
          <w:b/>
          <w:bCs/>
        </w:rPr>
        <w:instrText xml:space="preserve"> SEQ Tablica \* ARABIC </w:instrText>
      </w:r>
      <w:r w:rsidR="008C2CC3" w:rsidRPr="00332AB5">
        <w:rPr>
          <w:b/>
          <w:bCs/>
        </w:rPr>
        <w:fldChar w:fldCharType="separate"/>
      </w:r>
      <w:r w:rsidR="005E6E46">
        <w:rPr>
          <w:b/>
          <w:bCs/>
          <w:noProof/>
        </w:rPr>
        <w:t>10</w:t>
      </w:r>
      <w:r w:rsidR="008C2CC3" w:rsidRPr="00332AB5">
        <w:rPr>
          <w:b/>
          <w:bCs/>
        </w:rPr>
        <w:fldChar w:fldCharType="end"/>
      </w:r>
      <w:r w:rsidRPr="00332AB5">
        <w:rPr>
          <w:b/>
          <w:bCs/>
        </w:rPr>
        <w:t>: Financijski pokazatelji statusa provedbe Operativnog programa „Učinkoviti ljudski</w:t>
      </w:r>
      <w:r w:rsidR="002C768F" w:rsidRPr="00332AB5">
        <w:rPr>
          <w:b/>
          <w:bCs/>
        </w:rPr>
        <w:t xml:space="preserve"> </w:t>
      </w:r>
      <w:r w:rsidRPr="00332AB5">
        <w:rPr>
          <w:b/>
          <w:bCs/>
        </w:rPr>
        <w:t xml:space="preserve">potencijali“ od početka provedbe do kraja izvještajnog razdoblja </w:t>
      </w:r>
      <w:r w:rsidR="0011067E" w:rsidRPr="00332AB5">
        <w:rPr>
          <w:b/>
          <w:bCs/>
        </w:rPr>
        <w:t>30. lipnja 2023.</w:t>
      </w:r>
      <w:r w:rsidRPr="00332AB5">
        <w:rPr>
          <w:b/>
          <w:bCs/>
        </w:rPr>
        <w:t xml:space="preserve"> (sredstva EU, u milijunima eura i postocima od dodijeljenih sredstava)</w:t>
      </w:r>
      <w:bookmarkEnd w:id="56"/>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845"/>
        <w:gridCol w:w="879"/>
        <w:gridCol w:w="822"/>
        <w:gridCol w:w="902"/>
        <w:gridCol w:w="799"/>
        <w:gridCol w:w="992"/>
        <w:gridCol w:w="709"/>
      </w:tblGrid>
      <w:tr w:rsidR="00FA3316" w:rsidRPr="00332AB5" w14:paraId="4D78BA2D" w14:textId="77777777" w:rsidTr="00A4252D">
        <w:trPr>
          <w:trHeight w:val="737"/>
        </w:trPr>
        <w:tc>
          <w:tcPr>
            <w:tcW w:w="1179" w:type="dxa"/>
            <w:vAlign w:val="center"/>
          </w:tcPr>
          <w:p w14:paraId="19C50E5B" w14:textId="77777777" w:rsidR="00FA3316" w:rsidRPr="00332AB5" w:rsidRDefault="00FA3316" w:rsidP="00FA3316">
            <w:pPr>
              <w:spacing w:after="60"/>
              <w:rPr>
                <w:rFonts w:asciiTheme="minorHAnsi" w:hAnsiTheme="minorHAnsi"/>
                <w:sz w:val="16"/>
                <w:szCs w:val="16"/>
              </w:rPr>
            </w:pPr>
            <w:bookmarkStart w:id="57" w:name="_Hlk115852760"/>
            <w:r w:rsidRPr="00332AB5">
              <w:rPr>
                <w:rFonts w:asciiTheme="minorHAnsi" w:hAnsiTheme="minorHAnsi" w:cstheme="minorHAnsi"/>
                <w:sz w:val="16"/>
                <w:szCs w:val="16"/>
              </w:rPr>
              <w:t>Prioritetna os (PO)</w:t>
            </w:r>
          </w:p>
        </w:tc>
        <w:tc>
          <w:tcPr>
            <w:tcW w:w="998" w:type="dxa"/>
            <w:tcBorders>
              <w:bottom w:val="single" w:sz="4" w:space="0" w:color="808080" w:themeColor="background1" w:themeShade="80"/>
            </w:tcBorders>
            <w:vAlign w:val="center"/>
          </w:tcPr>
          <w:p w14:paraId="37C4692A" w14:textId="77777777" w:rsidR="00FA3316" w:rsidRPr="00332AB5" w:rsidRDefault="00FA3316" w:rsidP="00FA3316">
            <w:pPr>
              <w:spacing w:after="60"/>
              <w:jc w:val="right"/>
              <w:rPr>
                <w:rFonts w:asciiTheme="minorHAnsi" w:hAnsiTheme="minorHAnsi"/>
                <w:sz w:val="16"/>
                <w:szCs w:val="16"/>
              </w:rPr>
            </w:pPr>
            <w:r w:rsidRPr="00332AB5">
              <w:rPr>
                <w:rFonts w:asciiTheme="minorHAnsi" w:hAnsiTheme="minorHAnsi" w:cstheme="minorHAnsi"/>
                <w:sz w:val="16"/>
                <w:szCs w:val="16"/>
              </w:rPr>
              <w:t>Dodijeljena sredstva</w:t>
            </w:r>
          </w:p>
        </w:tc>
        <w:tc>
          <w:tcPr>
            <w:tcW w:w="1089" w:type="dxa"/>
            <w:tcBorders>
              <w:bottom w:val="single" w:sz="4" w:space="0" w:color="808080" w:themeColor="background1" w:themeShade="80"/>
            </w:tcBorders>
            <w:vAlign w:val="center"/>
          </w:tcPr>
          <w:p w14:paraId="05033B44" w14:textId="77777777" w:rsidR="00FA3316" w:rsidRPr="00332AB5" w:rsidRDefault="00FA3316" w:rsidP="00FA3316">
            <w:pPr>
              <w:spacing w:after="60"/>
              <w:jc w:val="right"/>
              <w:rPr>
                <w:rFonts w:asciiTheme="minorHAnsi" w:hAnsiTheme="minorHAnsi"/>
                <w:sz w:val="16"/>
                <w:szCs w:val="16"/>
              </w:rPr>
            </w:pPr>
            <w:r w:rsidRPr="00332AB5">
              <w:rPr>
                <w:rFonts w:asciiTheme="minorHAnsi" w:hAnsiTheme="minorHAnsi" w:cstheme="minorHAnsi"/>
                <w:sz w:val="16"/>
                <w:szCs w:val="16"/>
              </w:rPr>
              <w:t>Ukupno ugovorena sredstva</w:t>
            </w:r>
          </w:p>
        </w:tc>
        <w:tc>
          <w:tcPr>
            <w:tcW w:w="845" w:type="dxa"/>
            <w:tcBorders>
              <w:bottom w:val="single" w:sz="4" w:space="0" w:color="808080" w:themeColor="background1" w:themeShade="80"/>
            </w:tcBorders>
            <w:vAlign w:val="center"/>
          </w:tcPr>
          <w:p w14:paraId="68054C5C" w14:textId="77777777" w:rsidR="00FA3316" w:rsidRPr="00332AB5" w:rsidRDefault="00FA3316" w:rsidP="00FA3316">
            <w:pPr>
              <w:spacing w:after="60"/>
              <w:jc w:val="right"/>
              <w:rPr>
                <w:rFonts w:asciiTheme="minorHAnsi" w:hAnsiTheme="minorHAnsi"/>
                <w:sz w:val="16"/>
                <w:szCs w:val="16"/>
              </w:rPr>
            </w:pPr>
            <w:r w:rsidRPr="00332AB5">
              <w:rPr>
                <w:rFonts w:asciiTheme="minorHAnsi" w:hAnsiTheme="minorHAnsi" w:cstheme="minorHAnsi"/>
                <w:sz w:val="16"/>
                <w:szCs w:val="16"/>
              </w:rPr>
              <w:t xml:space="preserve"> %</w:t>
            </w:r>
          </w:p>
        </w:tc>
        <w:tc>
          <w:tcPr>
            <w:tcW w:w="879" w:type="dxa"/>
            <w:tcBorders>
              <w:bottom w:val="single" w:sz="4" w:space="0" w:color="808080" w:themeColor="background1" w:themeShade="80"/>
            </w:tcBorders>
            <w:vAlign w:val="center"/>
          </w:tcPr>
          <w:p w14:paraId="2E4F4927" w14:textId="77777777" w:rsidR="00FA3316" w:rsidRPr="00332AB5" w:rsidRDefault="00FA3316" w:rsidP="00FA3316">
            <w:pPr>
              <w:spacing w:after="60"/>
              <w:jc w:val="right"/>
              <w:rPr>
                <w:rFonts w:asciiTheme="minorHAnsi" w:hAnsiTheme="minorHAnsi"/>
                <w:sz w:val="16"/>
                <w:szCs w:val="16"/>
              </w:rPr>
            </w:pPr>
            <w:r w:rsidRPr="00332AB5">
              <w:rPr>
                <w:rFonts w:asciiTheme="minorHAnsi" w:hAnsiTheme="minorHAnsi" w:cstheme="minorHAnsi"/>
                <w:sz w:val="16"/>
                <w:szCs w:val="16"/>
              </w:rPr>
              <w:t>Ukupno plaćena sredstva</w:t>
            </w:r>
          </w:p>
        </w:tc>
        <w:tc>
          <w:tcPr>
            <w:tcW w:w="822" w:type="dxa"/>
            <w:tcBorders>
              <w:bottom w:val="single" w:sz="4" w:space="0" w:color="808080" w:themeColor="background1" w:themeShade="80"/>
            </w:tcBorders>
            <w:vAlign w:val="center"/>
          </w:tcPr>
          <w:p w14:paraId="32B62DF1" w14:textId="77777777" w:rsidR="00FA3316" w:rsidRPr="00332AB5" w:rsidRDefault="00FA3316" w:rsidP="00FA3316">
            <w:pPr>
              <w:spacing w:after="60"/>
              <w:jc w:val="right"/>
              <w:rPr>
                <w:rFonts w:asciiTheme="minorHAnsi" w:hAnsiTheme="minorHAnsi"/>
                <w:sz w:val="16"/>
                <w:szCs w:val="16"/>
              </w:rPr>
            </w:pPr>
            <w:r w:rsidRPr="00332AB5">
              <w:rPr>
                <w:rFonts w:asciiTheme="minorHAnsi" w:hAnsiTheme="minorHAnsi" w:cstheme="minorHAnsi"/>
                <w:sz w:val="16"/>
                <w:szCs w:val="16"/>
              </w:rPr>
              <w:t xml:space="preserve"> %</w:t>
            </w:r>
          </w:p>
        </w:tc>
        <w:tc>
          <w:tcPr>
            <w:tcW w:w="902" w:type="dxa"/>
            <w:tcBorders>
              <w:bottom w:val="single" w:sz="4" w:space="0" w:color="808080" w:themeColor="background1" w:themeShade="80"/>
            </w:tcBorders>
            <w:vAlign w:val="center"/>
          </w:tcPr>
          <w:p w14:paraId="120D490D" w14:textId="77777777" w:rsidR="00FA3316" w:rsidRPr="00332AB5" w:rsidRDefault="00FA3316" w:rsidP="00FA3316">
            <w:pPr>
              <w:spacing w:after="60"/>
              <w:jc w:val="right"/>
              <w:rPr>
                <w:rFonts w:asciiTheme="minorHAnsi" w:hAnsiTheme="minorHAnsi"/>
                <w:sz w:val="16"/>
                <w:szCs w:val="16"/>
              </w:rPr>
            </w:pPr>
            <w:r w:rsidRPr="00332AB5">
              <w:rPr>
                <w:rFonts w:asciiTheme="minorHAnsi" w:hAnsiTheme="minorHAnsi" w:cstheme="minorHAnsi"/>
                <w:sz w:val="16"/>
                <w:szCs w:val="16"/>
              </w:rPr>
              <w:t>Ukupno ovjerena sredstva</w:t>
            </w:r>
          </w:p>
        </w:tc>
        <w:tc>
          <w:tcPr>
            <w:tcW w:w="799" w:type="dxa"/>
            <w:tcBorders>
              <w:bottom w:val="single" w:sz="4" w:space="0" w:color="808080" w:themeColor="background1" w:themeShade="80"/>
            </w:tcBorders>
            <w:vAlign w:val="center"/>
          </w:tcPr>
          <w:p w14:paraId="22B82AAD" w14:textId="77777777" w:rsidR="00FA3316" w:rsidRPr="00332AB5" w:rsidRDefault="00FA3316" w:rsidP="00FA3316">
            <w:pPr>
              <w:spacing w:after="60"/>
              <w:jc w:val="right"/>
              <w:rPr>
                <w:rFonts w:asciiTheme="minorHAnsi" w:hAnsiTheme="minorHAnsi"/>
                <w:sz w:val="16"/>
                <w:szCs w:val="16"/>
              </w:rPr>
            </w:pPr>
            <w:r w:rsidRPr="00332AB5">
              <w:rPr>
                <w:rFonts w:asciiTheme="minorHAnsi" w:hAnsiTheme="minorHAnsi" w:cstheme="minorHAnsi"/>
                <w:sz w:val="16"/>
                <w:szCs w:val="16"/>
              </w:rPr>
              <w:t xml:space="preserve"> %</w:t>
            </w:r>
          </w:p>
        </w:tc>
        <w:tc>
          <w:tcPr>
            <w:tcW w:w="992" w:type="dxa"/>
            <w:tcBorders>
              <w:bottom w:val="single" w:sz="4" w:space="0" w:color="808080" w:themeColor="background1" w:themeShade="80"/>
            </w:tcBorders>
            <w:vAlign w:val="center"/>
          </w:tcPr>
          <w:p w14:paraId="0E49F61C" w14:textId="77777777" w:rsidR="00FA3316" w:rsidRPr="00332AB5" w:rsidRDefault="00FA3316" w:rsidP="00FA3316">
            <w:pPr>
              <w:spacing w:after="60"/>
              <w:jc w:val="right"/>
              <w:rPr>
                <w:rFonts w:asciiTheme="minorHAnsi" w:hAnsiTheme="minorHAnsi"/>
                <w:sz w:val="16"/>
                <w:szCs w:val="16"/>
              </w:rPr>
            </w:pPr>
            <w:r w:rsidRPr="00332AB5">
              <w:rPr>
                <w:rFonts w:asciiTheme="minorHAnsi" w:hAnsiTheme="minorHAnsi" w:cstheme="minorHAnsi"/>
                <w:sz w:val="16"/>
                <w:szCs w:val="16"/>
              </w:rPr>
              <w:t>Ukupno doznačena sredstva</w:t>
            </w:r>
          </w:p>
        </w:tc>
        <w:tc>
          <w:tcPr>
            <w:tcW w:w="709" w:type="dxa"/>
            <w:tcBorders>
              <w:bottom w:val="single" w:sz="4" w:space="0" w:color="808080" w:themeColor="background1" w:themeShade="80"/>
            </w:tcBorders>
            <w:vAlign w:val="center"/>
          </w:tcPr>
          <w:p w14:paraId="467339AF" w14:textId="77777777" w:rsidR="00FA3316" w:rsidRPr="00332AB5" w:rsidRDefault="00FA3316" w:rsidP="00FA3316">
            <w:pPr>
              <w:spacing w:after="60"/>
              <w:jc w:val="right"/>
              <w:rPr>
                <w:rFonts w:asciiTheme="minorHAnsi" w:hAnsiTheme="minorHAnsi"/>
                <w:sz w:val="16"/>
                <w:szCs w:val="16"/>
              </w:rPr>
            </w:pPr>
            <w:r w:rsidRPr="00332AB5">
              <w:rPr>
                <w:rFonts w:asciiTheme="minorHAnsi" w:hAnsiTheme="minorHAnsi" w:cstheme="minorHAnsi"/>
                <w:sz w:val="16"/>
                <w:szCs w:val="16"/>
              </w:rPr>
              <w:t xml:space="preserve"> %</w:t>
            </w:r>
          </w:p>
        </w:tc>
      </w:tr>
      <w:tr w:rsidR="00FA3316" w:rsidRPr="00332AB5" w14:paraId="409FFA0C" w14:textId="77777777" w:rsidTr="00A4252D">
        <w:trPr>
          <w:trHeight w:val="113"/>
        </w:trPr>
        <w:tc>
          <w:tcPr>
            <w:tcW w:w="1179" w:type="dxa"/>
            <w:vAlign w:val="center"/>
          </w:tcPr>
          <w:p w14:paraId="2B8B34C1" w14:textId="77777777" w:rsidR="00FA3316" w:rsidRPr="00332AB5" w:rsidRDefault="00FA3316" w:rsidP="00FA3316">
            <w:pPr>
              <w:rPr>
                <w:rFonts w:asciiTheme="minorHAnsi" w:hAnsiTheme="minorHAnsi" w:cstheme="minorHAnsi"/>
                <w:sz w:val="18"/>
                <w:szCs w:val="18"/>
              </w:rPr>
            </w:pPr>
          </w:p>
        </w:tc>
        <w:tc>
          <w:tcPr>
            <w:tcW w:w="998" w:type="dxa"/>
            <w:tcBorders>
              <w:top w:val="single" w:sz="4" w:space="0" w:color="808080" w:themeColor="background1" w:themeShade="80"/>
            </w:tcBorders>
            <w:vAlign w:val="center"/>
          </w:tcPr>
          <w:p w14:paraId="167392E1" w14:textId="77777777" w:rsidR="00FA3316" w:rsidRPr="00332AB5" w:rsidRDefault="00FA3316" w:rsidP="00FA3316">
            <w:pPr>
              <w:jc w:val="right"/>
              <w:rPr>
                <w:rFonts w:asciiTheme="minorHAnsi" w:hAnsiTheme="minorHAnsi" w:cstheme="minorHAnsi"/>
                <w:sz w:val="18"/>
                <w:szCs w:val="18"/>
              </w:rPr>
            </w:pPr>
          </w:p>
        </w:tc>
        <w:tc>
          <w:tcPr>
            <w:tcW w:w="1089" w:type="dxa"/>
            <w:tcBorders>
              <w:top w:val="single" w:sz="4" w:space="0" w:color="808080" w:themeColor="background1" w:themeShade="80"/>
            </w:tcBorders>
            <w:vAlign w:val="center"/>
          </w:tcPr>
          <w:p w14:paraId="6AD66F24" w14:textId="77777777" w:rsidR="00FA3316" w:rsidRPr="00332AB5" w:rsidRDefault="00FA3316" w:rsidP="00FA3316">
            <w:pPr>
              <w:jc w:val="right"/>
              <w:rPr>
                <w:rFonts w:asciiTheme="minorHAnsi" w:hAnsiTheme="minorHAnsi" w:cstheme="minorHAnsi"/>
                <w:sz w:val="18"/>
                <w:szCs w:val="18"/>
              </w:rPr>
            </w:pPr>
          </w:p>
        </w:tc>
        <w:tc>
          <w:tcPr>
            <w:tcW w:w="845" w:type="dxa"/>
            <w:tcBorders>
              <w:top w:val="single" w:sz="4" w:space="0" w:color="808080" w:themeColor="background1" w:themeShade="80"/>
            </w:tcBorders>
            <w:vAlign w:val="center"/>
          </w:tcPr>
          <w:p w14:paraId="3F72BB21" w14:textId="77777777" w:rsidR="00FA3316" w:rsidRPr="00332AB5" w:rsidRDefault="00FA3316" w:rsidP="00FA3316">
            <w:pPr>
              <w:jc w:val="right"/>
              <w:rPr>
                <w:rFonts w:asciiTheme="minorHAnsi" w:hAnsiTheme="minorHAnsi" w:cstheme="minorHAnsi"/>
                <w:sz w:val="18"/>
                <w:szCs w:val="18"/>
              </w:rPr>
            </w:pPr>
          </w:p>
        </w:tc>
        <w:tc>
          <w:tcPr>
            <w:tcW w:w="879" w:type="dxa"/>
            <w:tcBorders>
              <w:top w:val="single" w:sz="4" w:space="0" w:color="808080" w:themeColor="background1" w:themeShade="80"/>
            </w:tcBorders>
            <w:vAlign w:val="center"/>
          </w:tcPr>
          <w:p w14:paraId="2F81AEFD" w14:textId="77777777" w:rsidR="00FA3316" w:rsidRPr="00332AB5" w:rsidRDefault="00FA3316" w:rsidP="00FA3316">
            <w:pPr>
              <w:jc w:val="right"/>
              <w:rPr>
                <w:rFonts w:asciiTheme="minorHAnsi" w:hAnsiTheme="minorHAnsi" w:cstheme="minorHAnsi"/>
                <w:sz w:val="18"/>
                <w:szCs w:val="18"/>
              </w:rPr>
            </w:pPr>
          </w:p>
        </w:tc>
        <w:tc>
          <w:tcPr>
            <w:tcW w:w="822" w:type="dxa"/>
            <w:tcBorders>
              <w:top w:val="single" w:sz="4" w:space="0" w:color="808080" w:themeColor="background1" w:themeShade="80"/>
            </w:tcBorders>
            <w:vAlign w:val="center"/>
          </w:tcPr>
          <w:p w14:paraId="1D22FD20" w14:textId="77777777" w:rsidR="00FA3316" w:rsidRPr="00332AB5" w:rsidRDefault="00FA3316" w:rsidP="00FA3316">
            <w:pPr>
              <w:jc w:val="right"/>
              <w:rPr>
                <w:rFonts w:asciiTheme="minorHAnsi" w:hAnsiTheme="minorHAnsi" w:cstheme="minorHAnsi"/>
                <w:sz w:val="18"/>
                <w:szCs w:val="18"/>
              </w:rPr>
            </w:pPr>
          </w:p>
        </w:tc>
        <w:tc>
          <w:tcPr>
            <w:tcW w:w="902" w:type="dxa"/>
            <w:tcBorders>
              <w:top w:val="single" w:sz="4" w:space="0" w:color="808080" w:themeColor="background1" w:themeShade="80"/>
            </w:tcBorders>
            <w:vAlign w:val="center"/>
          </w:tcPr>
          <w:p w14:paraId="6255669A" w14:textId="77777777" w:rsidR="00FA3316" w:rsidRPr="00332AB5" w:rsidRDefault="00FA3316" w:rsidP="00FA3316">
            <w:pPr>
              <w:jc w:val="right"/>
              <w:rPr>
                <w:rFonts w:asciiTheme="minorHAnsi" w:hAnsiTheme="minorHAnsi" w:cstheme="minorHAnsi"/>
                <w:sz w:val="18"/>
                <w:szCs w:val="18"/>
              </w:rPr>
            </w:pPr>
          </w:p>
        </w:tc>
        <w:tc>
          <w:tcPr>
            <w:tcW w:w="799" w:type="dxa"/>
            <w:tcBorders>
              <w:top w:val="single" w:sz="4" w:space="0" w:color="808080" w:themeColor="background1" w:themeShade="80"/>
            </w:tcBorders>
            <w:vAlign w:val="center"/>
          </w:tcPr>
          <w:p w14:paraId="014E01B5" w14:textId="77777777" w:rsidR="00FA3316" w:rsidRPr="00332AB5" w:rsidRDefault="00FA3316" w:rsidP="00FA3316">
            <w:pPr>
              <w:jc w:val="right"/>
              <w:rPr>
                <w:rFonts w:asciiTheme="minorHAnsi" w:hAnsiTheme="minorHAnsi" w:cstheme="minorHAnsi"/>
                <w:sz w:val="18"/>
                <w:szCs w:val="18"/>
              </w:rPr>
            </w:pPr>
          </w:p>
        </w:tc>
        <w:tc>
          <w:tcPr>
            <w:tcW w:w="992" w:type="dxa"/>
            <w:tcBorders>
              <w:top w:val="single" w:sz="4" w:space="0" w:color="808080" w:themeColor="background1" w:themeShade="80"/>
            </w:tcBorders>
            <w:vAlign w:val="center"/>
          </w:tcPr>
          <w:p w14:paraId="28A4357A" w14:textId="77777777" w:rsidR="00FA3316" w:rsidRPr="00332AB5" w:rsidRDefault="00FA3316" w:rsidP="00FA3316">
            <w:pPr>
              <w:jc w:val="right"/>
              <w:rPr>
                <w:rFonts w:asciiTheme="minorHAnsi" w:hAnsiTheme="minorHAnsi" w:cstheme="minorHAnsi"/>
                <w:sz w:val="18"/>
                <w:szCs w:val="18"/>
              </w:rPr>
            </w:pPr>
          </w:p>
        </w:tc>
        <w:tc>
          <w:tcPr>
            <w:tcW w:w="709" w:type="dxa"/>
            <w:tcBorders>
              <w:top w:val="single" w:sz="4" w:space="0" w:color="808080" w:themeColor="background1" w:themeShade="80"/>
            </w:tcBorders>
            <w:vAlign w:val="center"/>
          </w:tcPr>
          <w:p w14:paraId="3EA4500E" w14:textId="77777777" w:rsidR="00FA3316" w:rsidRPr="00332AB5" w:rsidRDefault="00FA3316" w:rsidP="00FA3316">
            <w:pPr>
              <w:jc w:val="right"/>
              <w:rPr>
                <w:rFonts w:asciiTheme="minorHAnsi" w:hAnsiTheme="minorHAnsi" w:cstheme="minorHAnsi"/>
                <w:sz w:val="18"/>
                <w:szCs w:val="18"/>
              </w:rPr>
            </w:pPr>
          </w:p>
        </w:tc>
      </w:tr>
      <w:tr w:rsidR="001C5BC3" w:rsidRPr="00332AB5" w14:paraId="7A9B8669" w14:textId="77777777" w:rsidTr="00A4252D">
        <w:trPr>
          <w:trHeight w:val="397"/>
        </w:trPr>
        <w:tc>
          <w:tcPr>
            <w:tcW w:w="1179" w:type="dxa"/>
            <w:vAlign w:val="center"/>
          </w:tcPr>
          <w:p w14:paraId="54486F22" w14:textId="77777777" w:rsidR="001C5BC3" w:rsidRPr="00332AB5" w:rsidRDefault="001C5BC3" w:rsidP="001C5BC3">
            <w:pPr>
              <w:rPr>
                <w:rFonts w:asciiTheme="minorHAnsi" w:hAnsiTheme="minorHAnsi" w:cstheme="minorHAnsi"/>
                <w:sz w:val="18"/>
                <w:szCs w:val="18"/>
              </w:rPr>
            </w:pPr>
            <w:r w:rsidRPr="00332AB5">
              <w:rPr>
                <w:rFonts w:asciiTheme="minorHAnsi" w:hAnsiTheme="minorHAnsi" w:cstheme="minorHAnsi"/>
                <w:sz w:val="18"/>
                <w:szCs w:val="18"/>
              </w:rPr>
              <w:t>PO 1 (ESF)</w:t>
            </w:r>
          </w:p>
        </w:tc>
        <w:tc>
          <w:tcPr>
            <w:tcW w:w="998" w:type="dxa"/>
            <w:vAlign w:val="center"/>
          </w:tcPr>
          <w:p w14:paraId="79DC3DD8" w14:textId="74DAE4B0" w:rsidR="001C5BC3" w:rsidRPr="00332AB5" w:rsidRDefault="001C5BC3" w:rsidP="001C5BC3">
            <w:pPr>
              <w:jc w:val="right"/>
              <w:rPr>
                <w:rFonts w:asciiTheme="minorHAnsi" w:hAnsiTheme="minorHAnsi" w:cstheme="minorHAnsi"/>
                <w:sz w:val="18"/>
                <w:szCs w:val="18"/>
              </w:rPr>
            </w:pPr>
            <w:r w:rsidRPr="00332AB5">
              <w:rPr>
                <w:rFonts w:asciiTheme="minorHAnsi" w:hAnsiTheme="minorHAnsi" w:cstheme="minorHAnsi"/>
                <w:sz w:val="18"/>
                <w:szCs w:val="18"/>
              </w:rPr>
              <w:t>365,46</w:t>
            </w:r>
          </w:p>
        </w:tc>
        <w:tc>
          <w:tcPr>
            <w:tcW w:w="1089" w:type="dxa"/>
            <w:vAlign w:val="center"/>
          </w:tcPr>
          <w:p w14:paraId="113D8726" w14:textId="4386E0CB" w:rsidR="001C5BC3" w:rsidRPr="00332AB5" w:rsidRDefault="001C5BC3" w:rsidP="001C5BC3">
            <w:pPr>
              <w:spacing w:line="259" w:lineRule="auto"/>
              <w:jc w:val="right"/>
              <w:rPr>
                <w:rFonts w:asciiTheme="minorHAnsi" w:eastAsia="Calibri" w:hAnsiTheme="minorHAnsi" w:cstheme="minorHAnsi"/>
                <w:sz w:val="18"/>
                <w:szCs w:val="18"/>
              </w:rPr>
            </w:pPr>
            <w:r w:rsidRPr="00332AB5">
              <w:rPr>
                <w:rFonts w:asciiTheme="minorHAnsi" w:hAnsiTheme="minorHAnsi" w:cstheme="minorHAnsi"/>
                <w:color w:val="000000" w:themeColor="text1"/>
                <w:sz w:val="18"/>
                <w:szCs w:val="18"/>
              </w:rPr>
              <w:t>435,24</w:t>
            </w:r>
          </w:p>
        </w:tc>
        <w:tc>
          <w:tcPr>
            <w:tcW w:w="845" w:type="dxa"/>
            <w:vAlign w:val="center"/>
          </w:tcPr>
          <w:p w14:paraId="00768411" w14:textId="1D5F68AD" w:rsidR="001C5BC3" w:rsidRPr="00332AB5" w:rsidRDefault="001C5BC3" w:rsidP="001C5BC3">
            <w:pPr>
              <w:jc w:val="right"/>
              <w:rPr>
                <w:rFonts w:asciiTheme="minorHAnsi" w:hAnsiTheme="minorHAnsi" w:cstheme="minorHAnsi"/>
                <w:sz w:val="18"/>
                <w:szCs w:val="18"/>
              </w:rPr>
            </w:pPr>
            <w:r w:rsidRPr="00332AB5">
              <w:rPr>
                <w:rFonts w:asciiTheme="minorHAnsi" w:hAnsiTheme="minorHAnsi" w:cstheme="minorHAnsi"/>
                <w:color w:val="000000" w:themeColor="text1"/>
                <w:sz w:val="18"/>
                <w:szCs w:val="18"/>
              </w:rPr>
              <w:t>119,09</w:t>
            </w:r>
          </w:p>
        </w:tc>
        <w:tc>
          <w:tcPr>
            <w:tcW w:w="879" w:type="dxa"/>
            <w:vAlign w:val="center"/>
          </w:tcPr>
          <w:p w14:paraId="5DB529AF" w14:textId="4EB9C57C" w:rsidR="001C5BC3" w:rsidRPr="00332AB5" w:rsidRDefault="001C5BC3" w:rsidP="001C5BC3">
            <w:pPr>
              <w:spacing w:line="259" w:lineRule="auto"/>
              <w:jc w:val="right"/>
              <w:rPr>
                <w:rFonts w:asciiTheme="minorHAnsi" w:eastAsia="Calibri" w:hAnsiTheme="minorHAnsi" w:cstheme="minorHAnsi"/>
                <w:sz w:val="18"/>
                <w:szCs w:val="18"/>
              </w:rPr>
            </w:pPr>
            <w:r w:rsidRPr="00332AB5">
              <w:rPr>
                <w:rFonts w:asciiTheme="minorHAnsi" w:hAnsiTheme="minorHAnsi" w:cstheme="minorBidi"/>
                <w:color w:val="000000" w:themeColor="text1"/>
                <w:sz w:val="18"/>
                <w:szCs w:val="18"/>
              </w:rPr>
              <w:t>317,21</w:t>
            </w:r>
          </w:p>
        </w:tc>
        <w:tc>
          <w:tcPr>
            <w:tcW w:w="822" w:type="dxa"/>
            <w:shd w:val="clear" w:color="auto" w:fill="auto"/>
            <w:vAlign w:val="center"/>
          </w:tcPr>
          <w:p w14:paraId="0A0D108C" w14:textId="101B0613" w:rsidR="001C5BC3" w:rsidRPr="00332AB5" w:rsidRDefault="001C5BC3" w:rsidP="001C5BC3">
            <w:pPr>
              <w:jc w:val="right"/>
              <w:rPr>
                <w:rFonts w:asciiTheme="minorHAnsi" w:hAnsiTheme="minorHAnsi" w:cstheme="minorHAnsi"/>
                <w:sz w:val="18"/>
                <w:szCs w:val="18"/>
              </w:rPr>
            </w:pPr>
            <w:r w:rsidRPr="00332AB5">
              <w:rPr>
                <w:rFonts w:asciiTheme="minorHAnsi" w:hAnsiTheme="minorHAnsi" w:cstheme="minorBidi"/>
                <w:color w:val="000000" w:themeColor="text1"/>
                <w:sz w:val="18"/>
                <w:szCs w:val="18"/>
              </w:rPr>
              <w:t>86,80</w:t>
            </w:r>
          </w:p>
        </w:tc>
        <w:tc>
          <w:tcPr>
            <w:tcW w:w="902" w:type="dxa"/>
            <w:vAlign w:val="center"/>
          </w:tcPr>
          <w:p w14:paraId="32406E00" w14:textId="4FA23EC2" w:rsidR="001C5BC3" w:rsidRPr="00332AB5" w:rsidRDefault="001C5BC3" w:rsidP="001C5BC3">
            <w:pPr>
              <w:jc w:val="right"/>
              <w:rPr>
                <w:rFonts w:asciiTheme="minorHAnsi" w:hAnsiTheme="minorHAnsi" w:cstheme="minorHAnsi"/>
                <w:color w:val="000000" w:themeColor="text1"/>
                <w:sz w:val="18"/>
                <w:szCs w:val="18"/>
              </w:rPr>
            </w:pPr>
            <w:r w:rsidRPr="00332AB5">
              <w:rPr>
                <w:rFonts w:asciiTheme="minorHAnsi" w:hAnsiTheme="minorHAnsi" w:cstheme="minorBidi"/>
                <w:color w:val="000000" w:themeColor="text1"/>
                <w:sz w:val="18"/>
                <w:szCs w:val="18"/>
              </w:rPr>
              <w:t>347,96</w:t>
            </w:r>
          </w:p>
        </w:tc>
        <w:tc>
          <w:tcPr>
            <w:tcW w:w="799" w:type="dxa"/>
            <w:vAlign w:val="center"/>
          </w:tcPr>
          <w:p w14:paraId="6CC8D71B" w14:textId="41706B83" w:rsidR="001C5BC3" w:rsidRPr="00332AB5" w:rsidRDefault="001C5BC3" w:rsidP="001C5BC3">
            <w:pPr>
              <w:spacing w:line="259" w:lineRule="auto"/>
              <w:jc w:val="right"/>
              <w:rPr>
                <w:rFonts w:asciiTheme="minorHAnsi" w:eastAsia="Calibri" w:hAnsiTheme="minorHAnsi" w:cstheme="minorHAnsi"/>
                <w:color w:val="000000" w:themeColor="text1"/>
                <w:sz w:val="18"/>
                <w:szCs w:val="18"/>
              </w:rPr>
            </w:pPr>
            <w:r w:rsidRPr="00332AB5">
              <w:rPr>
                <w:rFonts w:asciiTheme="minorHAnsi" w:hAnsiTheme="minorHAnsi" w:cstheme="minorBidi"/>
                <w:color w:val="000000" w:themeColor="text1"/>
                <w:sz w:val="18"/>
                <w:szCs w:val="18"/>
              </w:rPr>
              <w:t>95,21</w:t>
            </w:r>
          </w:p>
        </w:tc>
        <w:tc>
          <w:tcPr>
            <w:tcW w:w="992" w:type="dxa"/>
            <w:vAlign w:val="center"/>
          </w:tcPr>
          <w:p w14:paraId="6FF1103B" w14:textId="77777777" w:rsidR="001C5BC3" w:rsidRPr="00332AB5" w:rsidRDefault="001C5BC3" w:rsidP="001C5BC3">
            <w:pPr>
              <w:jc w:val="center"/>
              <w:rPr>
                <w:rFonts w:asciiTheme="minorHAnsi" w:hAnsiTheme="minorHAnsi" w:cstheme="minorHAnsi"/>
                <w:sz w:val="18"/>
                <w:szCs w:val="18"/>
              </w:rPr>
            </w:pPr>
          </w:p>
        </w:tc>
        <w:tc>
          <w:tcPr>
            <w:tcW w:w="709" w:type="dxa"/>
            <w:vAlign w:val="center"/>
          </w:tcPr>
          <w:p w14:paraId="0E089728" w14:textId="77777777" w:rsidR="001C5BC3" w:rsidRPr="00332AB5" w:rsidRDefault="001C5BC3" w:rsidP="001C5BC3">
            <w:pPr>
              <w:jc w:val="center"/>
              <w:rPr>
                <w:rFonts w:asciiTheme="minorHAnsi" w:hAnsiTheme="minorHAnsi" w:cstheme="minorHAnsi"/>
                <w:sz w:val="18"/>
                <w:szCs w:val="18"/>
              </w:rPr>
            </w:pPr>
          </w:p>
        </w:tc>
      </w:tr>
      <w:tr w:rsidR="001C5BC3" w:rsidRPr="00332AB5" w14:paraId="153073C2" w14:textId="77777777" w:rsidTr="00A4252D">
        <w:trPr>
          <w:trHeight w:val="397"/>
        </w:trPr>
        <w:tc>
          <w:tcPr>
            <w:tcW w:w="1179" w:type="dxa"/>
            <w:vAlign w:val="center"/>
          </w:tcPr>
          <w:p w14:paraId="3B8062C8" w14:textId="77777777" w:rsidR="001C5BC3" w:rsidRPr="00332AB5" w:rsidRDefault="001C5BC3" w:rsidP="001C5BC3">
            <w:pPr>
              <w:rPr>
                <w:rFonts w:asciiTheme="minorHAnsi" w:hAnsiTheme="minorHAnsi" w:cstheme="minorHAnsi"/>
                <w:sz w:val="18"/>
                <w:szCs w:val="18"/>
              </w:rPr>
            </w:pPr>
            <w:r w:rsidRPr="00332AB5">
              <w:rPr>
                <w:rFonts w:asciiTheme="minorHAnsi" w:hAnsiTheme="minorHAnsi" w:cstheme="minorHAnsi"/>
                <w:sz w:val="18"/>
                <w:szCs w:val="18"/>
              </w:rPr>
              <w:t>PO 1 (IZM)</w:t>
            </w:r>
          </w:p>
        </w:tc>
        <w:tc>
          <w:tcPr>
            <w:tcW w:w="998" w:type="dxa"/>
            <w:vAlign w:val="center"/>
          </w:tcPr>
          <w:p w14:paraId="475A5737" w14:textId="7F29ABB7" w:rsidR="001C5BC3" w:rsidRPr="00332AB5" w:rsidRDefault="001C5BC3" w:rsidP="001C5BC3">
            <w:pPr>
              <w:jc w:val="right"/>
              <w:rPr>
                <w:rFonts w:asciiTheme="minorHAnsi" w:hAnsiTheme="minorHAnsi" w:cstheme="minorHAnsi"/>
                <w:sz w:val="18"/>
                <w:szCs w:val="18"/>
              </w:rPr>
            </w:pPr>
            <w:r w:rsidRPr="00332AB5">
              <w:rPr>
                <w:rFonts w:asciiTheme="minorHAnsi" w:hAnsiTheme="minorHAnsi" w:cstheme="minorHAnsi"/>
                <w:sz w:val="18"/>
                <w:szCs w:val="18"/>
              </w:rPr>
              <w:t>206,31</w:t>
            </w:r>
          </w:p>
        </w:tc>
        <w:tc>
          <w:tcPr>
            <w:tcW w:w="1089" w:type="dxa"/>
            <w:vAlign w:val="center"/>
          </w:tcPr>
          <w:p w14:paraId="6FD0BA89" w14:textId="25A42F0D" w:rsidR="001C5BC3" w:rsidRPr="00332AB5" w:rsidRDefault="001C5BC3" w:rsidP="001C5BC3">
            <w:pPr>
              <w:jc w:val="right"/>
              <w:rPr>
                <w:rFonts w:asciiTheme="minorHAnsi" w:hAnsiTheme="minorHAnsi" w:cstheme="minorHAnsi"/>
                <w:color w:val="000000" w:themeColor="text1"/>
                <w:sz w:val="18"/>
                <w:szCs w:val="18"/>
              </w:rPr>
            </w:pPr>
            <w:r w:rsidRPr="00332AB5">
              <w:rPr>
                <w:rFonts w:asciiTheme="minorHAnsi" w:hAnsiTheme="minorHAnsi" w:cstheme="minorHAnsi"/>
                <w:color w:val="000000" w:themeColor="text1"/>
                <w:sz w:val="18"/>
                <w:szCs w:val="18"/>
              </w:rPr>
              <w:t>205,32</w:t>
            </w:r>
          </w:p>
        </w:tc>
        <w:tc>
          <w:tcPr>
            <w:tcW w:w="845" w:type="dxa"/>
            <w:vAlign w:val="center"/>
          </w:tcPr>
          <w:p w14:paraId="359106A4" w14:textId="758EFE31" w:rsidR="001C5BC3" w:rsidRPr="00332AB5" w:rsidRDefault="001C5BC3" w:rsidP="001C5BC3">
            <w:pPr>
              <w:jc w:val="right"/>
              <w:rPr>
                <w:rFonts w:asciiTheme="minorHAnsi" w:hAnsiTheme="minorHAnsi" w:cstheme="minorHAnsi"/>
                <w:color w:val="000000" w:themeColor="text1"/>
                <w:sz w:val="18"/>
                <w:szCs w:val="18"/>
              </w:rPr>
            </w:pPr>
            <w:r w:rsidRPr="00332AB5">
              <w:rPr>
                <w:rFonts w:asciiTheme="minorHAnsi" w:hAnsiTheme="minorHAnsi" w:cstheme="minorHAnsi"/>
                <w:color w:val="000000" w:themeColor="text1"/>
                <w:sz w:val="18"/>
                <w:szCs w:val="18"/>
              </w:rPr>
              <w:t>99,52</w:t>
            </w:r>
          </w:p>
        </w:tc>
        <w:tc>
          <w:tcPr>
            <w:tcW w:w="879" w:type="dxa"/>
            <w:vAlign w:val="center"/>
          </w:tcPr>
          <w:p w14:paraId="17B89893" w14:textId="5507B83C" w:rsidR="001C5BC3" w:rsidRPr="00332AB5" w:rsidRDefault="001C5BC3" w:rsidP="001C5BC3">
            <w:pPr>
              <w:spacing w:line="259" w:lineRule="auto"/>
              <w:jc w:val="right"/>
              <w:rPr>
                <w:rFonts w:asciiTheme="minorHAnsi" w:eastAsia="Calibri" w:hAnsiTheme="minorHAnsi" w:cstheme="minorHAnsi"/>
                <w:sz w:val="18"/>
                <w:szCs w:val="18"/>
              </w:rPr>
            </w:pPr>
            <w:r w:rsidRPr="00332AB5">
              <w:rPr>
                <w:rFonts w:asciiTheme="minorHAnsi" w:hAnsiTheme="minorHAnsi" w:cstheme="minorBidi"/>
                <w:color w:val="000000" w:themeColor="text1"/>
                <w:sz w:val="18"/>
                <w:szCs w:val="18"/>
              </w:rPr>
              <w:t>180,04</w:t>
            </w:r>
          </w:p>
        </w:tc>
        <w:tc>
          <w:tcPr>
            <w:tcW w:w="822" w:type="dxa"/>
            <w:vAlign w:val="center"/>
          </w:tcPr>
          <w:p w14:paraId="1FC1EE76" w14:textId="6D253A8D" w:rsidR="001C5BC3" w:rsidRPr="00332AB5" w:rsidRDefault="001C5BC3" w:rsidP="001C5BC3">
            <w:pPr>
              <w:jc w:val="right"/>
              <w:rPr>
                <w:rFonts w:asciiTheme="minorHAnsi" w:hAnsiTheme="minorHAnsi" w:cstheme="minorHAnsi"/>
                <w:sz w:val="18"/>
                <w:szCs w:val="18"/>
              </w:rPr>
            </w:pPr>
            <w:r w:rsidRPr="00332AB5">
              <w:rPr>
                <w:rFonts w:asciiTheme="minorHAnsi" w:hAnsiTheme="minorHAnsi" w:cstheme="minorBidi"/>
                <w:color w:val="000000" w:themeColor="text1"/>
                <w:sz w:val="18"/>
                <w:szCs w:val="18"/>
              </w:rPr>
              <w:t>87,27</w:t>
            </w:r>
          </w:p>
        </w:tc>
        <w:tc>
          <w:tcPr>
            <w:tcW w:w="902" w:type="dxa"/>
            <w:vAlign w:val="center"/>
          </w:tcPr>
          <w:p w14:paraId="6DE5DB0A" w14:textId="76C70458" w:rsidR="001C5BC3" w:rsidRPr="00332AB5" w:rsidRDefault="001C5BC3" w:rsidP="001C5BC3">
            <w:pPr>
              <w:spacing w:line="259" w:lineRule="auto"/>
              <w:jc w:val="right"/>
              <w:rPr>
                <w:rFonts w:asciiTheme="minorHAnsi" w:eastAsia="Calibri" w:hAnsiTheme="minorHAnsi" w:cstheme="minorHAnsi"/>
                <w:color w:val="000000" w:themeColor="text1"/>
                <w:sz w:val="18"/>
                <w:szCs w:val="18"/>
              </w:rPr>
            </w:pPr>
            <w:r w:rsidRPr="00332AB5">
              <w:rPr>
                <w:rFonts w:asciiTheme="minorHAnsi" w:hAnsiTheme="minorHAnsi" w:cstheme="minorBidi"/>
                <w:color w:val="000000" w:themeColor="text1"/>
                <w:sz w:val="18"/>
                <w:szCs w:val="18"/>
              </w:rPr>
              <w:t>183,69</w:t>
            </w:r>
          </w:p>
        </w:tc>
        <w:tc>
          <w:tcPr>
            <w:tcW w:w="799" w:type="dxa"/>
            <w:vAlign w:val="center"/>
          </w:tcPr>
          <w:p w14:paraId="2610F4FD" w14:textId="03C4941C" w:rsidR="001C5BC3" w:rsidRPr="00332AB5" w:rsidRDefault="001C5BC3" w:rsidP="001C5BC3">
            <w:pPr>
              <w:jc w:val="right"/>
              <w:rPr>
                <w:rFonts w:asciiTheme="minorHAnsi" w:hAnsiTheme="minorHAnsi" w:cstheme="minorHAnsi"/>
                <w:color w:val="000000" w:themeColor="text1"/>
                <w:sz w:val="18"/>
                <w:szCs w:val="18"/>
              </w:rPr>
            </w:pPr>
            <w:r w:rsidRPr="00332AB5">
              <w:rPr>
                <w:rFonts w:asciiTheme="minorHAnsi" w:hAnsiTheme="minorHAnsi" w:cstheme="minorBidi"/>
                <w:color w:val="000000" w:themeColor="text1"/>
                <w:sz w:val="18"/>
                <w:szCs w:val="18"/>
              </w:rPr>
              <w:t>89,04</w:t>
            </w:r>
          </w:p>
        </w:tc>
        <w:tc>
          <w:tcPr>
            <w:tcW w:w="992" w:type="dxa"/>
            <w:vAlign w:val="center"/>
          </w:tcPr>
          <w:p w14:paraId="7393462E" w14:textId="77777777" w:rsidR="001C5BC3" w:rsidRPr="00332AB5" w:rsidRDefault="001C5BC3" w:rsidP="001C5BC3">
            <w:pPr>
              <w:jc w:val="center"/>
              <w:rPr>
                <w:rFonts w:asciiTheme="minorHAnsi" w:hAnsiTheme="minorHAnsi" w:cstheme="minorHAnsi"/>
                <w:sz w:val="18"/>
                <w:szCs w:val="18"/>
              </w:rPr>
            </w:pPr>
          </w:p>
        </w:tc>
        <w:tc>
          <w:tcPr>
            <w:tcW w:w="709" w:type="dxa"/>
            <w:vAlign w:val="center"/>
          </w:tcPr>
          <w:p w14:paraId="73F83C5B" w14:textId="77777777" w:rsidR="001C5BC3" w:rsidRPr="00332AB5" w:rsidRDefault="001C5BC3" w:rsidP="001C5BC3">
            <w:pPr>
              <w:jc w:val="center"/>
              <w:rPr>
                <w:rFonts w:asciiTheme="minorHAnsi" w:hAnsiTheme="minorHAnsi" w:cstheme="minorHAnsi"/>
                <w:sz w:val="18"/>
                <w:szCs w:val="18"/>
              </w:rPr>
            </w:pPr>
          </w:p>
        </w:tc>
      </w:tr>
      <w:tr w:rsidR="001C5BC3" w:rsidRPr="00332AB5" w14:paraId="4E8BF49E" w14:textId="77777777" w:rsidTr="00A4252D">
        <w:trPr>
          <w:trHeight w:val="397"/>
        </w:trPr>
        <w:tc>
          <w:tcPr>
            <w:tcW w:w="1179" w:type="dxa"/>
            <w:vAlign w:val="center"/>
          </w:tcPr>
          <w:p w14:paraId="7ED5A753" w14:textId="77777777" w:rsidR="001C5BC3" w:rsidRPr="00332AB5" w:rsidRDefault="001C5BC3" w:rsidP="001C5BC3">
            <w:pPr>
              <w:rPr>
                <w:rFonts w:asciiTheme="minorHAnsi" w:hAnsiTheme="minorHAnsi" w:cstheme="minorHAnsi"/>
                <w:sz w:val="18"/>
                <w:szCs w:val="18"/>
              </w:rPr>
            </w:pPr>
            <w:r w:rsidRPr="00332AB5">
              <w:rPr>
                <w:rFonts w:asciiTheme="minorHAnsi" w:hAnsiTheme="minorHAnsi" w:cstheme="minorHAnsi"/>
                <w:sz w:val="18"/>
                <w:szCs w:val="18"/>
              </w:rPr>
              <w:t>PO 2</w:t>
            </w:r>
          </w:p>
        </w:tc>
        <w:tc>
          <w:tcPr>
            <w:tcW w:w="998" w:type="dxa"/>
            <w:vAlign w:val="center"/>
          </w:tcPr>
          <w:p w14:paraId="658110CA" w14:textId="76952372" w:rsidR="001C5BC3" w:rsidRPr="00332AB5" w:rsidRDefault="001C5BC3" w:rsidP="001C5BC3">
            <w:pPr>
              <w:jc w:val="right"/>
              <w:rPr>
                <w:rFonts w:asciiTheme="minorHAnsi" w:hAnsiTheme="minorHAnsi" w:cstheme="minorHAnsi"/>
                <w:sz w:val="18"/>
                <w:szCs w:val="18"/>
              </w:rPr>
            </w:pPr>
            <w:r w:rsidRPr="00332AB5">
              <w:rPr>
                <w:rFonts w:asciiTheme="minorHAnsi" w:hAnsiTheme="minorHAnsi" w:cstheme="minorBidi"/>
                <w:sz w:val="18"/>
                <w:szCs w:val="18"/>
              </w:rPr>
              <w:t>500,78</w:t>
            </w:r>
          </w:p>
        </w:tc>
        <w:tc>
          <w:tcPr>
            <w:tcW w:w="1089" w:type="dxa"/>
            <w:vAlign w:val="center"/>
          </w:tcPr>
          <w:p w14:paraId="236DF61E" w14:textId="3DC98A76" w:rsidR="001C5BC3" w:rsidRPr="00332AB5" w:rsidRDefault="001C5BC3" w:rsidP="001C5BC3">
            <w:pPr>
              <w:jc w:val="right"/>
              <w:rPr>
                <w:rFonts w:asciiTheme="minorHAnsi" w:hAnsiTheme="minorHAnsi" w:cstheme="minorHAnsi"/>
                <w:sz w:val="18"/>
                <w:szCs w:val="18"/>
              </w:rPr>
            </w:pPr>
            <w:r w:rsidRPr="00332AB5">
              <w:rPr>
                <w:rFonts w:asciiTheme="minorHAnsi" w:hAnsiTheme="minorHAnsi" w:cstheme="minorBidi"/>
                <w:color w:val="000000" w:themeColor="text1"/>
                <w:sz w:val="18"/>
                <w:szCs w:val="18"/>
              </w:rPr>
              <w:t>619,00</w:t>
            </w:r>
          </w:p>
        </w:tc>
        <w:tc>
          <w:tcPr>
            <w:tcW w:w="845" w:type="dxa"/>
            <w:vAlign w:val="center"/>
          </w:tcPr>
          <w:p w14:paraId="4C87A37B" w14:textId="403E628F" w:rsidR="001C5BC3" w:rsidRPr="00332AB5" w:rsidRDefault="001C5BC3" w:rsidP="001C5BC3">
            <w:pPr>
              <w:spacing w:line="259" w:lineRule="auto"/>
              <w:jc w:val="right"/>
              <w:rPr>
                <w:rFonts w:asciiTheme="minorHAnsi" w:eastAsia="Calibri" w:hAnsiTheme="minorHAnsi" w:cstheme="minorHAnsi"/>
                <w:sz w:val="18"/>
                <w:szCs w:val="18"/>
              </w:rPr>
            </w:pPr>
            <w:r w:rsidRPr="00332AB5">
              <w:rPr>
                <w:rFonts w:asciiTheme="minorHAnsi" w:hAnsiTheme="minorHAnsi" w:cstheme="minorBidi"/>
                <w:color w:val="000000" w:themeColor="text1"/>
                <w:sz w:val="18"/>
                <w:szCs w:val="18"/>
              </w:rPr>
              <w:t>123,61</w:t>
            </w:r>
          </w:p>
        </w:tc>
        <w:tc>
          <w:tcPr>
            <w:tcW w:w="879" w:type="dxa"/>
            <w:vAlign w:val="center"/>
          </w:tcPr>
          <w:p w14:paraId="0A978393" w14:textId="27F43149" w:rsidR="001C5BC3" w:rsidRPr="00332AB5" w:rsidRDefault="001C5BC3" w:rsidP="001C5BC3">
            <w:pPr>
              <w:spacing w:line="259" w:lineRule="auto"/>
              <w:jc w:val="right"/>
              <w:rPr>
                <w:rFonts w:asciiTheme="minorHAnsi" w:eastAsia="Calibri" w:hAnsiTheme="minorHAnsi" w:cstheme="minorHAnsi"/>
                <w:color w:val="000000" w:themeColor="text1"/>
                <w:sz w:val="18"/>
                <w:szCs w:val="18"/>
              </w:rPr>
            </w:pPr>
            <w:r w:rsidRPr="00332AB5">
              <w:rPr>
                <w:rFonts w:asciiTheme="minorHAnsi" w:hAnsiTheme="minorHAnsi" w:cstheme="minorBidi"/>
                <w:color w:val="000000" w:themeColor="text1"/>
                <w:sz w:val="18"/>
                <w:szCs w:val="18"/>
              </w:rPr>
              <w:t>504,63</w:t>
            </w:r>
          </w:p>
        </w:tc>
        <w:tc>
          <w:tcPr>
            <w:tcW w:w="822" w:type="dxa"/>
            <w:vAlign w:val="center"/>
          </w:tcPr>
          <w:p w14:paraId="719F425D" w14:textId="2C69A6B9" w:rsidR="001C5BC3" w:rsidRPr="00332AB5" w:rsidRDefault="001C5BC3" w:rsidP="001C5BC3">
            <w:pPr>
              <w:jc w:val="right"/>
              <w:rPr>
                <w:rFonts w:asciiTheme="minorHAnsi" w:hAnsiTheme="minorHAnsi" w:cstheme="minorHAnsi"/>
                <w:sz w:val="18"/>
                <w:szCs w:val="18"/>
              </w:rPr>
            </w:pPr>
            <w:r w:rsidRPr="00332AB5">
              <w:rPr>
                <w:rFonts w:asciiTheme="minorHAnsi" w:hAnsiTheme="minorHAnsi" w:cstheme="minorBidi"/>
                <w:color w:val="000000" w:themeColor="text1"/>
                <w:sz w:val="18"/>
                <w:szCs w:val="18"/>
              </w:rPr>
              <w:t>100,77</w:t>
            </w:r>
          </w:p>
        </w:tc>
        <w:tc>
          <w:tcPr>
            <w:tcW w:w="902" w:type="dxa"/>
            <w:vAlign w:val="center"/>
          </w:tcPr>
          <w:p w14:paraId="05C1F12F" w14:textId="338D4428" w:rsidR="001C5BC3" w:rsidRPr="00332AB5" w:rsidRDefault="001C5BC3" w:rsidP="001C5BC3">
            <w:pPr>
              <w:spacing w:line="259" w:lineRule="auto"/>
              <w:jc w:val="right"/>
              <w:rPr>
                <w:rFonts w:asciiTheme="minorHAnsi" w:eastAsia="Calibri" w:hAnsiTheme="minorHAnsi" w:cstheme="minorHAnsi"/>
                <w:color w:val="000000" w:themeColor="text1"/>
                <w:sz w:val="18"/>
                <w:szCs w:val="18"/>
              </w:rPr>
            </w:pPr>
            <w:r w:rsidRPr="00332AB5">
              <w:rPr>
                <w:rFonts w:asciiTheme="minorHAnsi" w:hAnsiTheme="minorHAnsi" w:cstheme="minorBidi"/>
                <w:color w:val="000000" w:themeColor="text1"/>
                <w:sz w:val="18"/>
                <w:szCs w:val="18"/>
              </w:rPr>
              <w:t>467,66</w:t>
            </w:r>
          </w:p>
        </w:tc>
        <w:tc>
          <w:tcPr>
            <w:tcW w:w="799" w:type="dxa"/>
            <w:vAlign w:val="center"/>
          </w:tcPr>
          <w:p w14:paraId="7C4E543D" w14:textId="3EFC605B" w:rsidR="001C5BC3" w:rsidRPr="00332AB5" w:rsidRDefault="001C5BC3" w:rsidP="001C5BC3">
            <w:pPr>
              <w:jc w:val="right"/>
              <w:rPr>
                <w:rFonts w:asciiTheme="minorHAnsi" w:hAnsiTheme="minorHAnsi" w:cstheme="minorHAnsi"/>
                <w:color w:val="000000" w:themeColor="text1"/>
                <w:sz w:val="18"/>
                <w:szCs w:val="18"/>
              </w:rPr>
            </w:pPr>
            <w:r w:rsidRPr="00332AB5">
              <w:rPr>
                <w:rFonts w:asciiTheme="minorHAnsi" w:hAnsiTheme="minorHAnsi" w:cstheme="minorBidi"/>
                <w:color w:val="000000" w:themeColor="text1"/>
                <w:sz w:val="18"/>
                <w:szCs w:val="18"/>
              </w:rPr>
              <w:t>93,39</w:t>
            </w:r>
          </w:p>
        </w:tc>
        <w:tc>
          <w:tcPr>
            <w:tcW w:w="992" w:type="dxa"/>
            <w:vAlign w:val="center"/>
          </w:tcPr>
          <w:p w14:paraId="6402A2E4" w14:textId="77777777" w:rsidR="001C5BC3" w:rsidRPr="00332AB5" w:rsidRDefault="001C5BC3" w:rsidP="001C5BC3">
            <w:pPr>
              <w:jc w:val="center"/>
              <w:rPr>
                <w:rFonts w:asciiTheme="minorHAnsi" w:hAnsiTheme="minorHAnsi" w:cstheme="minorHAnsi"/>
                <w:sz w:val="18"/>
                <w:szCs w:val="18"/>
              </w:rPr>
            </w:pPr>
          </w:p>
        </w:tc>
        <w:tc>
          <w:tcPr>
            <w:tcW w:w="709" w:type="dxa"/>
            <w:vAlign w:val="center"/>
          </w:tcPr>
          <w:p w14:paraId="542FF30C" w14:textId="77777777" w:rsidR="001C5BC3" w:rsidRPr="00332AB5" w:rsidRDefault="001C5BC3" w:rsidP="001C5BC3">
            <w:pPr>
              <w:jc w:val="center"/>
              <w:rPr>
                <w:rFonts w:asciiTheme="minorHAnsi" w:hAnsiTheme="minorHAnsi" w:cstheme="minorHAnsi"/>
                <w:sz w:val="18"/>
                <w:szCs w:val="18"/>
              </w:rPr>
            </w:pPr>
          </w:p>
        </w:tc>
      </w:tr>
      <w:tr w:rsidR="001C5BC3" w:rsidRPr="00332AB5" w14:paraId="6986D23F" w14:textId="77777777" w:rsidTr="00A4252D">
        <w:trPr>
          <w:trHeight w:val="397"/>
        </w:trPr>
        <w:tc>
          <w:tcPr>
            <w:tcW w:w="1179" w:type="dxa"/>
            <w:vAlign w:val="center"/>
          </w:tcPr>
          <w:p w14:paraId="6A342265" w14:textId="77777777" w:rsidR="001C5BC3" w:rsidRPr="00332AB5" w:rsidRDefault="001C5BC3" w:rsidP="001C5BC3">
            <w:pPr>
              <w:rPr>
                <w:rFonts w:asciiTheme="minorHAnsi" w:hAnsiTheme="minorHAnsi" w:cstheme="minorHAnsi"/>
                <w:sz w:val="18"/>
                <w:szCs w:val="18"/>
              </w:rPr>
            </w:pPr>
            <w:r w:rsidRPr="00332AB5">
              <w:rPr>
                <w:rFonts w:asciiTheme="minorHAnsi" w:hAnsiTheme="minorHAnsi" w:cstheme="minorHAnsi"/>
                <w:sz w:val="18"/>
                <w:szCs w:val="18"/>
              </w:rPr>
              <w:t>PO 3</w:t>
            </w:r>
          </w:p>
        </w:tc>
        <w:tc>
          <w:tcPr>
            <w:tcW w:w="998" w:type="dxa"/>
            <w:vAlign w:val="center"/>
          </w:tcPr>
          <w:p w14:paraId="6D186417" w14:textId="483B00DE" w:rsidR="001C5BC3" w:rsidRPr="00332AB5" w:rsidRDefault="001C5BC3" w:rsidP="001C5BC3">
            <w:pPr>
              <w:jc w:val="right"/>
              <w:rPr>
                <w:rFonts w:asciiTheme="minorHAnsi" w:hAnsiTheme="minorHAnsi" w:cstheme="minorHAnsi"/>
                <w:sz w:val="18"/>
                <w:szCs w:val="18"/>
              </w:rPr>
            </w:pPr>
            <w:r w:rsidRPr="00332AB5">
              <w:rPr>
                <w:rFonts w:asciiTheme="minorHAnsi" w:hAnsiTheme="minorHAnsi" w:cstheme="minorBidi"/>
                <w:sz w:val="18"/>
                <w:szCs w:val="18"/>
              </w:rPr>
              <w:t>355,52</w:t>
            </w:r>
          </w:p>
        </w:tc>
        <w:tc>
          <w:tcPr>
            <w:tcW w:w="1089" w:type="dxa"/>
            <w:vAlign w:val="center"/>
          </w:tcPr>
          <w:p w14:paraId="5BC4B9AB" w14:textId="16AD89D9" w:rsidR="001C5BC3" w:rsidRPr="00332AB5" w:rsidRDefault="001C5BC3" w:rsidP="001C5BC3">
            <w:pPr>
              <w:spacing w:line="259" w:lineRule="auto"/>
              <w:jc w:val="right"/>
              <w:rPr>
                <w:rFonts w:asciiTheme="minorHAnsi" w:eastAsia="Calibri" w:hAnsiTheme="minorHAnsi" w:cstheme="minorHAnsi"/>
                <w:sz w:val="18"/>
                <w:szCs w:val="18"/>
              </w:rPr>
            </w:pPr>
            <w:r w:rsidRPr="00332AB5">
              <w:rPr>
                <w:rFonts w:asciiTheme="minorHAnsi" w:hAnsiTheme="minorHAnsi" w:cstheme="minorHAnsi"/>
                <w:color w:val="000000" w:themeColor="text1"/>
                <w:sz w:val="18"/>
                <w:szCs w:val="18"/>
              </w:rPr>
              <w:t>442,27</w:t>
            </w:r>
          </w:p>
        </w:tc>
        <w:tc>
          <w:tcPr>
            <w:tcW w:w="845" w:type="dxa"/>
            <w:vAlign w:val="center"/>
          </w:tcPr>
          <w:p w14:paraId="2513C3F1" w14:textId="53A0585B" w:rsidR="001C5BC3" w:rsidRPr="00332AB5" w:rsidRDefault="001C5BC3" w:rsidP="001C5BC3">
            <w:pPr>
              <w:jc w:val="right"/>
              <w:rPr>
                <w:rFonts w:asciiTheme="minorHAnsi" w:hAnsiTheme="minorHAnsi" w:cstheme="minorHAnsi"/>
                <w:sz w:val="18"/>
                <w:szCs w:val="18"/>
              </w:rPr>
            </w:pPr>
            <w:r w:rsidRPr="00332AB5">
              <w:rPr>
                <w:rFonts w:asciiTheme="minorHAnsi" w:hAnsiTheme="minorHAnsi" w:cstheme="minorBidi"/>
                <w:color w:val="000000" w:themeColor="text1"/>
                <w:sz w:val="18"/>
                <w:szCs w:val="18"/>
              </w:rPr>
              <w:t>124,40</w:t>
            </w:r>
          </w:p>
        </w:tc>
        <w:tc>
          <w:tcPr>
            <w:tcW w:w="879" w:type="dxa"/>
            <w:vAlign w:val="center"/>
          </w:tcPr>
          <w:p w14:paraId="0250C0D5" w14:textId="12DCFB32" w:rsidR="001C5BC3" w:rsidRPr="00332AB5" w:rsidRDefault="001C5BC3" w:rsidP="001C5BC3">
            <w:pPr>
              <w:spacing w:line="259" w:lineRule="auto"/>
              <w:jc w:val="right"/>
              <w:rPr>
                <w:rFonts w:asciiTheme="minorHAnsi" w:eastAsia="Calibri" w:hAnsiTheme="minorHAnsi" w:cstheme="minorHAnsi"/>
                <w:sz w:val="18"/>
                <w:szCs w:val="18"/>
              </w:rPr>
            </w:pPr>
            <w:r w:rsidRPr="00332AB5">
              <w:rPr>
                <w:rFonts w:asciiTheme="minorHAnsi" w:hAnsiTheme="minorHAnsi" w:cstheme="minorBidi"/>
                <w:color w:val="000000" w:themeColor="text1"/>
                <w:sz w:val="18"/>
                <w:szCs w:val="18"/>
              </w:rPr>
              <w:t>289,04</w:t>
            </w:r>
          </w:p>
        </w:tc>
        <w:tc>
          <w:tcPr>
            <w:tcW w:w="822" w:type="dxa"/>
            <w:vAlign w:val="center"/>
          </w:tcPr>
          <w:p w14:paraId="6F025B68" w14:textId="2DF55E32" w:rsidR="001C5BC3" w:rsidRPr="00332AB5" w:rsidRDefault="001C5BC3" w:rsidP="001C5BC3">
            <w:pPr>
              <w:spacing w:line="259" w:lineRule="auto"/>
              <w:jc w:val="right"/>
              <w:rPr>
                <w:rFonts w:asciiTheme="minorHAnsi" w:eastAsia="Calibri" w:hAnsiTheme="minorHAnsi" w:cstheme="minorHAnsi"/>
                <w:sz w:val="18"/>
                <w:szCs w:val="18"/>
              </w:rPr>
            </w:pPr>
            <w:r w:rsidRPr="00332AB5">
              <w:rPr>
                <w:rFonts w:asciiTheme="minorHAnsi" w:hAnsiTheme="minorHAnsi" w:cstheme="minorBidi"/>
                <w:color w:val="000000" w:themeColor="text1"/>
                <w:sz w:val="18"/>
                <w:szCs w:val="18"/>
              </w:rPr>
              <w:t>81,30</w:t>
            </w:r>
          </w:p>
        </w:tc>
        <w:tc>
          <w:tcPr>
            <w:tcW w:w="902" w:type="dxa"/>
            <w:vAlign w:val="center"/>
          </w:tcPr>
          <w:p w14:paraId="48798F2E" w14:textId="51F2DC0A" w:rsidR="001C5BC3" w:rsidRPr="00332AB5" w:rsidRDefault="001C5BC3" w:rsidP="001C5BC3">
            <w:pPr>
              <w:spacing w:line="259" w:lineRule="auto"/>
              <w:jc w:val="right"/>
              <w:rPr>
                <w:rFonts w:asciiTheme="minorHAnsi" w:eastAsia="Calibri" w:hAnsiTheme="minorHAnsi" w:cstheme="minorHAnsi"/>
                <w:color w:val="000000" w:themeColor="text1"/>
                <w:sz w:val="18"/>
                <w:szCs w:val="18"/>
              </w:rPr>
            </w:pPr>
            <w:r w:rsidRPr="00332AB5">
              <w:rPr>
                <w:rFonts w:asciiTheme="minorHAnsi" w:hAnsiTheme="minorHAnsi" w:cstheme="minorBidi"/>
                <w:color w:val="000000" w:themeColor="text1"/>
                <w:sz w:val="18"/>
                <w:szCs w:val="18"/>
              </w:rPr>
              <w:t>318,65</w:t>
            </w:r>
          </w:p>
        </w:tc>
        <w:tc>
          <w:tcPr>
            <w:tcW w:w="799" w:type="dxa"/>
            <w:vAlign w:val="center"/>
          </w:tcPr>
          <w:p w14:paraId="7A76C5ED" w14:textId="5821CA94" w:rsidR="001C5BC3" w:rsidRPr="00332AB5" w:rsidRDefault="001C5BC3" w:rsidP="001C5BC3">
            <w:pPr>
              <w:spacing w:line="259" w:lineRule="auto"/>
              <w:jc w:val="right"/>
              <w:rPr>
                <w:rFonts w:asciiTheme="minorHAnsi" w:eastAsia="Calibri" w:hAnsiTheme="minorHAnsi" w:cstheme="minorHAnsi"/>
                <w:color w:val="000000" w:themeColor="text1"/>
                <w:sz w:val="18"/>
                <w:szCs w:val="18"/>
              </w:rPr>
            </w:pPr>
            <w:r w:rsidRPr="00332AB5">
              <w:rPr>
                <w:rFonts w:asciiTheme="minorHAnsi" w:hAnsiTheme="minorHAnsi" w:cstheme="minorBidi"/>
                <w:color w:val="000000" w:themeColor="text1"/>
                <w:sz w:val="18"/>
                <w:szCs w:val="18"/>
              </w:rPr>
              <w:t>89,63</w:t>
            </w:r>
          </w:p>
        </w:tc>
        <w:tc>
          <w:tcPr>
            <w:tcW w:w="992" w:type="dxa"/>
            <w:vAlign w:val="center"/>
          </w:tcPr>
          <w:p w14:paraId="39941CB8" w14:textId="77777777" w:rsidR="001C5BC3" w:rsidRPr="00332AB5" w:rsidRDefault="001C5BC3" w:rsidP="001C5BC3">
            <w:pPr>
              <w:jc w:val="center"/>
              <w:rPr>
                <w:rFonts w:asciiTheme="minorHAnsi" w:hAnsiTheme="minorHAnsi" w:cstheme="minorHAnsi"/>
                <w:sz w:val="18"/>
                <w:szCs w:val="18"/>
              </w:rPr>
            </w:pPr>
          </w:p>
        </w:tc>
        <w:tc>
          <w:tcPr>
            <w:tcW w:w="709" w:type="dxa"/>
            <w:vAlign w:val="center"/>
          </w:tcPr>
          <w:p w14:paraId="021E8FFF" w14:textId="77777777" w:rsidR="001C5BC3" w:rsidRPr="00332AB5" w:rsidRDefault="001C5BC3" w:rsidP="001C5BC3">
            <w:pPr>
              <w:jc w:val="center"/>
              <w:rPr>
                <w:rFonts w:asciiTheme="minorHAnsi" w:hAnsiTheme="minorHAnsi" w:cstheme="minorHAnsi"/>
                <w:sz w:val="18"/>
                <w:szCs w:val="18"/>
              </w:rPr>
            </w:pPr>
          </w:p>
        </w:tc>
      </w:tr>
      <w:tr w:rsidR="001C5BC3" w:rsidRPr="00332AB5" w14:paraId="72D02890" w14:textId="77777777" w:rsidTr="00A4252D">
        <w:trPr>
          <w:trHeight w:val="397"/>
        </w:trPr>
        <w:tc>
          <w:tcPr>
            <w:tcW w:w="1179" w:type="dxa"/>
            <w:vAlign w:val="center"/>
          </w:tcPr>
          <w:p w14:paraId="743CA5F5" w14:textId="77777777" w:rsidR="001C5BC3" w:rsidRPr="00332AB5" w:rsidRDefault="001C5BC3" w:rsidP="001C5BC3">
            <w:pPr>
              <w:rPr>
                <w:rFonts w:asciiTheme="minorHAnsi" w:hAnsiTheme="minorHAnsi" w:cstheme="minorHAnsi"/>
                <w:sz w:val="18"/>
                <w:szCs w:val="18"/>
              </w:rPr>
            </w:pPr>
            <w:r w:rsidRPr="00332AB5">
              <w:rPr>
                <w:rFonts w:asciiTheme="minorHAnsi" w:hAnsiTheme="minorHAnsi" w:cstheme="minorHAnsi"/>
                <w:sz w:val="18"/>
                <w:szCs w:val="18"/>
              </w:rPr>
              <w:t>PO 4</w:t>
            </w:r>
          </w:p>
        </w:tc>
        <w:tc>
          <w:tcPr>
            <w:tcW w:w="998" w:type="dxa"/>
            <w:vAlign w:val="center"/>
          </w:tcPr>
          <w:p w14:paraId="55B7AE80" w14:textId="0429B5A4" w:rsidR="001C5BC3" w:rsidRPr="00332AB5" w:rsidRDefault="001C5BC3" w:rsidP="001C5BC3">
            <w:pPr>
              <w:spacing w:line="259" w:lineRule="auto"/>
              <w:jc w:val="right"/>
              <w:rPr>
                <w:rFonts w:asciiTheme="minorHAnsi" w:eastAsia="Calibri" w:hAnsiTheme="minorHAnsi" w:cstheme="minorHAnsi"/>
                <w:sz w:val="18"/>
                <w:szCs w:val="18"/>
              </w:rPr>
            </w:pPr>
            <w:r w:rsidRPr="00332AB5">
              <w:rPr>
                <w:rFonts w:asciiTheme="minorHAnsi" w:hAnsiTheme="minorHAnsi" w:cstheme="minorBidi"/>
                <w:sz w:val="18"/>
                <w:szCs w:val="18"/>
              </w:rPr>
              <w:t>112,98</w:t>
            </w:r>
          </w:p>
        </w:tc>
        <w:tc>
          <w:tcPr>
            <w:tcW w:w="1089" w:type="dxa"/>
            <w:vAlign w:val="center"/>
          </w:tcPr>
          <w:p w14:paraId="02AE4024" w14:textId="19AF1C55" w:rsidR="001C5BC3" w:rsidRPr="00332AB5" w:rsidRDefault="001C5BC3" w:rsidP="001C5BC3">
            <w:pPr>
              <w:jc w:val="right"/>
              <w:rPr>
                <w:rFonts w:asciiTheme="minorHAnsi" w:hAnsiTheme="minorHAnsi" w:cstheme="minorHAnsi"/>
                <w:sz w:val="18"/>
                <w:szCs w:val="18"/>
              </w:rPr>
            </w:pPr>
            <w:r w:rsidRPr="00332AB5">
              <w:rPr>
                <w:rFonts w:asciiTheme="minorHAnsi" w:hAnsiTheme="minorHAnsi" w:cstheme="minorHAnsi"/>
                <w:color w:val="000000" w:themeColor="text1"/>
                <w:sz w:val="18"/>
                <w:szCs w:val="18"/>
              </w:rPr>
              <w:t>176,04</w:t>
            </w:r>
          </w:p>
        </w:tc>
        <w:tc>
          <w:tcPr>
            <w:tcW w:w="845" w:type="dxa"/>
            <w:vAlign w:val="center"/>
          </w:tcPr>
          <w:p w14:paraId="71DF5E2C" w14:textId="0FC524DF" w:rsidR="001C5BC3" w:rsidRPr="00332AB5" w:rsidRDefault="001C5BC3" w:rsidP="001C5BC3">
            <w:pPr>
              <w:spacing w:line="259" w:lineRule="auto"/>
              <w:jc w:val="right"/>
              <w:rPr>
                <w:rFonts w:asciiTheme="minorHAnsi" w:eastAsia="Calibri" w:hAnsiTheme="minorHAnsi" w:cstheme="minorHAnsi"/>
                <w:sz w:val="18"/>
                <w:szCs w:val="18"/>
              </w:rPr>
            </w:pPr>
            <w:r w:rsidRPr="00332AB5">
              <w:rPr>
                <w:rFonts w:asciiTheme="minorHAnsi" w:hAnsiTheme="minorHAnsi" w:cstheme="minorBidi"/>
                <w:color w:val="000000" w:themeColor="text1"/>
                <w:sz w:val="18"/>
                <w:szCs w:val="18"/>
              </w:rPr>
              <w:t>155,82</w:t>
            </w:r>
          </w:p>
        </w:tc>
        <w:tc>
          <w:tcPr>
            <w:tcW w:w="879" w:type="dxa"/>
            <w:vAlign w:val="center"/>
          </w:tcPr>
          <w:p w14:paraId="212CA790" w14:textId="1F2A1AA2" w:rsidR="001C5BC3" w:rsidRPr="00332AB5" w:rsidRDefault="001C5BC3" w:rsidP="001C5BC3">
            <w:pPr>
              <w:spacing w:line="259" w:lineRule="auto"/>
              <w:jc w:val="right"/>
              <w:rPr>
                <w:rFonts w:asciiTheme="minorHAnsi" w:eastAsia="Calibri" w:hAnsiTheme="minorHAnsi" w:cstheme="minorHAnsi"/>
                <w:sz w:val="18"/>
                <w:szCs w:val="18"/>
              </w:rPr>
            </w:pPr>
            <w:r w:rsidRPr="00332AB5">
              <w:rPr>
                <w:rFonts w:asciiTheme="minorHAnsi" w:hAnsiTheme="minorHAnsi" w:cstheme="minorBidi"/>
                <w:color w:val="000000" w:themeColor="text1"/>
                <w:sz w:val="18"/>
                <w:szCs w:val="18"/>
              </w:rPr>
              <w:t>120,13</w:t>
            </w:r>
          </w:p>
        </w:tc>
        <w:tc>
          <w:tcPr>
            <w:tcW w:w="822" w:type="dxa"/>
            <w:vAlign w:val="center"/>
          </w:tcPr>
          <w:p w14:paraId="4925072B" w14:textId="69EFCCA6" w:rsidR="001C5BC3" w:rsidRPr="00332AB5" w:rsidRDefault="001C5BC3" w:rsidP="001C5BC3">
            <w:pPr>
              <w:jc w:val="right"/>
              <w:rPr>
                <w:rFonts w:asciiTheme="minorHAnsi" w:hAnsiTheme="minorHAnsi" w:cstheme="minorHAnsi"/>
                <w:sz w:val="18"/>
                <w:szCs w:val="18"/>
              </w:rPr>
            </w:pPr>
            <w:r w:rsidRPr="00332AB5">
              <w:rPr>
                <w:rFonts w:asciiTheme="minorHAnsi" w:hAnsiTheme="minorHAnsi" w:cstheme="minorBidi"/>
                <w:color w:val="000000" w:themeColor="text1"/>
                <w:sz w:val="18"/>
                <w:szCs w:val="18"/>
              </w:rPr>
              <w:t>106,33</w:t>
            </w:r>
          </w:p>
        </w:tc>
        <w:tc>
          <w:tcPr>
            <w:tcW w:w="902" w:type="dxa"/>
            <w:vAlign w:val="center"/>
          </w:tcPr>
          <w:p w14:paraId="2C90DDE1" w14:textId="7EC9FE24" w:rsidR="001C5BC3" w:rsidRPr="00332AB5" w:rsidRDefault="001C5BC3" w:rsidP="001C5BC3">
            <w:pPr>
              <w:jc w:val="right"/>
              <w:rPr>
                <w:rFonts w:asciiTheme="minorHAnsi" w:hAnsiTheme="minorHAnsi" w:cstheme="minorHAnsi"/>
                <w:color w:val="000000" w:themeColor="text1"/>
                <w:sz w:val="18"/>
                <w:szCs w:val="18"/>
              </w:rPr>
            </w:pPr>
            <w:r w:rsidRPr="00332AB5">
              <w:rPr>
                <w:rFonts w:asciiTheme="minorHAnsi" w:hAnsiTheme="minorHAnsi" w:cstheme="minorBidi"/>
                <w:color w:val="000000" w:themeColor="text1"/>
                <w:sz w:val="18"/>
                <w:szCs w:val="18"/>
              </w:rPr>
              <w:t>72,26</w:t>
            </w:r>
          </w:p>
        </w:tc>
        <w:tc>
          <w:tcPr>
            <w:tcW w:w="799" w:type="dxa"/>
            <w:vAlign w:val="center"/>
          </w:tcPr>
          <w:p w14:paraId="4C9CD1BC" w14:textId="5A757FD1" w:rsidR="001C5BC3" w:rsidRPr="00332AB5" w:rsidRDefault="001C5BC3" w:rsidP="001C5BC3">
            <w:pPr>
              <w:spacing w:line="259" w:lineRule="auto"/>
              <w:jc w:val="right"/>
              <w:rPr>
                <w:rFonts w:asciiTheme="minorHAnsi" w:eastAsia="Calibri" w:hAnsiTheme="minorHAnsi" w:cstheme="minorHAnsi"/>
                <w:color w:val="000000" w:themeColor="text1"/>
                <w:sz w:val="18"/>
                <w:szCs w:val="18"/>
              </w:rPr>
            </w:pPr>
            <w:r w:rsidRPr="00332AB5">
              <w:rPr>
                <w:rFonts w:asciiTheme="minorHAnsi" w:hAnsiTheme="minorHAnsi" w:cstheme="minorBidi"/>
                <w:color w:val="000000" w:themeColor="text1"/>
                <w:sz w:val="18"/>
                <w:szCs w:val="18"/>
              </w:rPr>
              <w:t>63,96</w:t>
            </w:r>
          </w:p>
        </w:tc>
        <w:tc>
          <w:tcPr>
            <w:tcW w:w="992" w:type="dxa"/>
            <w:vAlign w:val="center"/>
          </w:tcPr>
          <w:p w14:paraId="372700B3" w14:textId="77777777" w:rsidR="001C5BC3" w:rsidRPr="00332AB5" w:rsidRDefault="001C5BC3" w:rsidP="001C5BC3">
            <w:pPr>
              <w:jc w:val="right"/>
              <w:rPr>
                <w:rFonts w:asciiTheme="minorHAnsi" w:hAnsiTheme="minorHAnsi" w:cstheme="minorHAnsi"/>
                <w:sz w:val="18"/>
                <w:szCs w:val="18"/>
              </w:rPr>
            </w:pPr>
          </w:p>
        </w:tc>
        <w:tc>
          <w:tcPr>
            <w:tcW w:w="709" w:type="dxa"/>
            <w:vAlign w:val="center"/>
          </w:tcPr>
          <w:p w14:paraId="6E529FFA" w14:textId="77777777" w:rsidR="001C5BC3" w:rsidRPr="00332AB5" w:rsidRDefault="001C5BC3" w:rsidP="001C5BC3">
            <w:pPr>
              <w:jc w:val="center"/>
              <w:rPr>
                <w:rFonts w:asciiTheme="minorHAnsi" w:hAnsiTheme="minorHAnsi" w:cstheme="minorHAnsi"/>
                <w:sz w:val="18"/>
                <w:szCs w:val="18"/>
              </w:rPr>
            </w:pPr>
          </w:p>
        </w:tc>
      </w:tr>
      <w:tr w:rsidR="001C5BC3" w:rsidRPr="00332AB5" w14:paraId="1F4CEDAD" w14:textId="77777777" w:rsidTr="00A4252D">
        <w:trPr>
          <w:trHeight w:val="397"/>
        </w:trPr>
        <w:tc>
          <w:tcPr>
            <w:tcW w:w="1179" w:type="dxa"/>
            <w:vAlign w:val="center"/>
          </w:tcPr>
          <w:p w14:paraId="36B10823" w14:textId="77777777" w:rsidR="001C5BC3" w:rsidRPr="00332AB5" w:rsidRDefault="001C5BC3" w:rsidP="001C5BC3">
            <w:pPr>
              <w:rPr>
                <w:rFonts w:asciiTheme="minorHAnsi" w:hAnsiTheme="minorHAnsi" w:cstheme="minorHAnsi"/>
                <w:sz w:val="18"/>
                <w:szCs w:val="18"/>
              </w:rPr>
            </w:pPr>
            <w:r w:rsidRPr="00332AB5">
              <w:rPr>
                <w:rFonts w:asciiTheme="minorHAnsi" w:hAnsiTheme="minorHAnsi" w:cstheme="minorHAnsi"/>
                <w:sz w:val="18"/>
                <w:szCs w:val="18"/>
              </w:rPr>
              <w:t>PO 5</w:t>
            </w:r>
          </w:p>
        </w:tc>
        <w:tc>
          <w:tcPr>
            <w:tcW w:w="998" w:type="dxa"/>
            <w:vAlign w:val="center"/>
          </w:tcPr>
          <w:p w14:paraId="4091E8E0" w14:textId="100E5632" w:rsidR="001C5BC3" w:rsidRPr="00332AB5" w:rsidRDefault="001C5BC3" w:rsidP="001C5BC3">
            <w:pPr>
              <w:jc w:val="right"/>
              <w:rPr>
                <w:rFonts w:asciiTheme="minorHAnsi" w:hAnsiTheme="minorHAnsi" w:cstheme="minorHAnsi"/>
                <w:sz w:val="18"/>
                <w:szCs w:val="18"/>
              </w:rPr>
            </w:pPr>
            <w:r w:rsidRPr="00332AB5">
              <w:rPr>
                <w:rFonts w:asciiTheme="minorHAnsi" w:hAnsiTheme="minorHAnsi" w:cstheme="minorHAnsi"/>
                <w:sz w:val="18"/>
                <w:szCs w:val="18"/>
              </w:rPr>
              <w:t>80,00</w:t>
            </w:r>
          </w:p>
        </w:tc>
        <w:tc>
          <w:tcPr>
            <w:tcW w:w="1089" w:type="dxa"/>
            <w:vAlign w:val="center"/>
          </w:tcPr>
          <w:p w14:paraId="389FC220" w14:textId="4C414F96" w:rsidR="001C5BC3" w:rsidRPr="00332AB5" w:rsidRDefault="001C5BC3" w:rsidP="001C5BC3">
            <w:pPr>
              <w:jc w:val="right"/>
              <w:rPr>
                <w:rFonts w:asciiTheme="minorHAnsi" w:hAnsiTheme="minorHAnsi" w:cstheme="minorHAnsi"/>
                <w:sz w:val="18"/>
                <w:szCs w:val="18"/>
              </w:rPr>
            </w:pPr>
            <w:r w:rsidRPr="00332AB5">
              <w:rPr>
                <w:rFonts w:asciiTheme="minorHAnsi" w:hAnsiTheme="minorHAnsi" w:cstheme="minorBidi"/>
                <w:color w:val="000000" w:themeColor="text1"/>
                <w:sz w:val="18"/>
                <w:szCs w:val="18"/>
              </w:rPr>
              <w:t>83,26</w:t>
            </w:r>
          </w:p>
        </w:tc>
        <w:tc>
          <w:tcPr>
            <w:tcW w:w="845" w:type="dxa"/>
            <w:vAlign w:val="center"/>
          </w:tcPr>
          <w:p w14:paraId="63E71CEA" w14:textId="3BCD8764" w:rsidR="001C5BC3" w:rsidRPr="00332AB5" w:rsidRDefault="001C5BC3" w:rsidP="001C5BC3">
            <w:pPr>
              <w:jc w:val="right"/>
              <w:rPr>
                <w:rFonts w:asciiTheme="minorHAnsi" w:hAnsiTheme="minorHAnsi" w:cstheme="minorHAnsi"/>
                <w:sz w:val="18"/>
                <w:szCs w:val="18"/>
              </w:rPr>
            </w:pPr>
            <w:r w:rsidRPr="00332AB5">
              <w:rPr>
                <w:rFonts w:asciiTheme="minorHAnsi" w:hAnsiTheme="minorHAnsi" w:cstheme="minorBidi"/>
                <w:color w:val="000000" w:themeColor="text1"/>
                <w:sz w:val="18"/>
                <w:szCs w:val="18"/>
              </w:rPr>
              <w:t>104,08</w:t>
            </w:r>
          </w:p>
        </w:tc>
        <w:tc>
          <w:tcPr>
            <w:tcW w:w="879" w:type="dxa"/>
            <w:vAlign w:val="center"/>
          </w:tcPr>
          <w:p w14:paraId="344D2E4D" w14:textId="7D044E06" w:rsidR="001C5BC3" w:rsidRPr="00332AB5" w:rsidRDefault="001C5BC3" w:rsidP="001C5BC3">
            <w:pPr>
              <w:spacing w:line="259" w:lineRule="auto"/>
              <w:jc w:val="right"/>
              <w:rPr>
                <w:rFonts w:asciiTheme="minorHAnsi" w:eastAsia="Calibri" w:hAnsiTheme="minorHAnsi" w:cstheme="minorHAnsi"/>
                <w:sz w:val="18"/>
                <w:szCs w:val="18"/>
              </w:rPr>
            </w:pPr>
            <w:r w:rsidRPr="00332AB5">
              <w:rPr>
                <w:rFonts w:asciiTheme="minorHAnsi" w:hAnsiTheme="minorHAnsi" w:cstheme="minorBidi"/>
                <w:color w:val="000000" w:themeColor="text1"/>
                <w:sz w:val="18"/>
                <w:szCs w:val="18"/>
              </w:rPr>
              <w:t>60,70</w:t>
            </w:r>
          </w:p>
        </w:tc>
        <w:tc>
          <w:tcPr>
            <w:tcW w:w="822" w:type="dxa"/>
            <w:vAlign w:val="center"/>
          </w:tcPr>
          <w:p w14:paraId="0FF60C07" w14:textId="08AD7D0F" w:rsidR="001C5BC3" w:rsidRPr="00332AB5" w:rsidRDefault="001C5BC3" w:rsidP="001C5BC3">
            <w:pPr>
              <w:jc w:val="right"/>
              <w:rPr>
                <w:rFonts w:asciiTheme="minorHAnsi" w:hAnsiTheme="minorHAnsi" w:cstheme="minorHAnsi"/>
                <w:sz w:val="18"/>
                <w:szCs w:val="18"/>
              </w:rPr>
            </w:pPr>
            <w:r w:rsidRPr="00332AB5">
              <w:rPr>
                <w:rFonts w:asciiTheme="minorHAnsi" w:hAnsiTheme="minorHAnsi" w:cstheme="minorBidi"/>
                <w:color w:val="000000" w:themeColor="text1"/>
                <w:sz w:val="18"/>
                <w:szCs w:val="18"/>
              </w:rPr>
              <w:t>75,88</w:t>
            </w:r>
          </w:p>
        </w:tc>
        <w:tc>
          <w:tcPr>
            <w:tcW w:w="902" w:type="dxa"/>
            <w:vAlign w:val="center"/>
          </w:tcPr>
          <w:p w14:paraId="6D382A07" w14:textId="4DF0DCF4" w:rsidR="001C5BC3" w:rsidRPr="00332AB5" w:rsidRDefault="001C5BC3" w:rsidP="001C5BC3">
            <w:pPr>
              <w:spacing w:line="259" w:lineRule="auto"/>
              <w:jc w:val="right"/>
              <w:rPr>
                <w:rFonts w:asciiTheme="minorHAnsi" w:eastAsia="Calibri" w:hAnsiTheme="minorHAnsi" w:cstheme="minorHAnsi"/>
                <w:sz w:val="18"/>
                <w:szCs w:val="18"/>
              </w:rPr>
            </w:pPr>
            <w:r w:rsidRPr="00332AB5">
              <w:rPr>
                <w:rFonts w:asciiTheme="minorHAnsi" w:hAnsiTheme="minorHAnsi" w:cstheme="minorBidi"/>
                <w:color w:val="000000" w:themeColor="text1"/>
                <w:sz w:val="18"/>
                <w:szCs w:val="18"/>
              </w:rPr>
              <w:t>64,06</w:t>
            </w:r>
          </w:p>
        </w:tc>
        <w:tc>
          <w:tcPr>
            <w:tcW w:w="799" w:type="dxa"/>
            <w:vAlign w:val="center"/>
          </w:tcPr>
          <w:p w14:paraId="1EB1454F" w14:textId="7AC7B050" w:rsidR="001C5BC3" w:rsidRPr="00332AB5" w:rsidRDefault="001C5BC3" w:rsidP="001C5BC3">
            <w:pPr>
              <w:jc w:val="right"/>
              <w:rPr>
                <w:rFonts w:asciiTheme="minorHAnsi" w:hAnsiTheme="minorHAnsi" w:cstheme="minorHAnsi"/>
                <w:color w:val="000000" w:themeColor="text1"/>
                <w:sz w:val="18"/>
                <w:szCs w:val="18"/>
              </w:rPr>
            </w:pPr>
            <w:r w:rsidRPr="00332AB5">
              <w:rPr>
                <w:rFonts w:asciiTheme="minorHAnsi" w:hAnsiTheme="minorHAnsi" w:cstheme="minorBidi"/>
                <w:color w:val="000000" w:themeColor="text1"/>
                <w:sz w:val="18"/>
                <w:szCs w:val="18"/>
              </w:rPr>
              <w:t>80,08</w:t>
            </w:r>
          </w:p>
        </w:tc>
        <w:tc>
          <w:tcPr>
            <w:tcW w:w="992" w:type="dxa"/>
            <w:tcBorders>
              <w:bottom w:val="single" w:sz="4" w:space="0" w:color="808080" w:themeColor="background1" w:themeShade="80"/>
            </w:tcBorders>
            <w:vAlign w:val="center"/>
          </w:tcPr>
          <w:p w14:paraId="11BC976F" w14:textId="77777777" w:rsidR="001C5BC3" w:rsidRPr="00332AB5" w:rsidRDefault="001C5BC3" w:rsidP="001C5BC3">
            <w:pPr>
              <w:jc w:val="center"/>
              <w:rPr>
                <w:rFonts w:asciiTheme="minorHAnsi" w:hAnsiTheme="minorHAnsi" w:cstheme="minorHAnsi"/>
                <w:sz w:val="18"/>
                <w:szCs w:val="18"/>
              </w:rPr>
            </w:pPr>
          </w:p>
        </w:tc>
        <w:tc>
          <w:tcPr>
            <w:tcW w:w="709" w:type="dxa"/>
            <w:tcBorders>
              <w:bottom w:val="single" w:sz="4" w:space="0" w:color="808080" w:themeColor="background1" w:themeShade="80"/>
            </w:tcBorders>
            <w:vAlign w:val="center"/>
          </w:tcPr>
          <w:p w14:paraId="0B0A257D" w14:textId="77777777" w:rsidR="001C5BC3" w:rsidRPr="00332AB5" w:rsidRDefault="001C5BC3" w:rsidP="001C5BC3">
            <w:pPr>
              <w:jc w:val="center"/>
              <w:rPr>
                <w:rFonts w:asciiTheme="minorHAnsi" w:hAnsiTheme="minorHAnsi" w:cstheme="minorHAnsi"/>
                <w:sz w:val="18"/>
                <w:szCs w:val="18"/>
              </w:rPr>
            </w:pPr>
          </w:p>
        </w:tc>
      </w:tr>
      <w:tr w:rsidR="00226CDE" w:rsidRPr="00332AB5" w14:paraId="6D9FBD5A" w14:textId="77777777" w:rsidTr="00A4252D">
        <w:trPr>
          <w:trHeight w:val="510"/>
        </w:trPr>
        <w:tc>
          <w:tcPr>
            <w:tcW w:w="1179" w:type="dxa"/>
            <w:vAlign w:val="center"/>
          </w:tcPr>
          <w:p w14:paraId="4F9704E6" w14:textId="224CB9D8" w:rsidR="00226CDE" w:rsidRPr="00332AB5" w:rsidRDefault="00226CDE" w:rsidP="00226CDE">
            <w:pPr>
              <w:rPr>
                <w:rFonts w:asciiTheme="minorHAnsi" w:hAnsiTheme="minorHAnsi" w:cstheme="minorHAnsi"/>
                <w:sz w:val="18"/>
                <w:szCs w:val="18"/>
              </w:rPr>
            </w:pPr>
            <w:r w:rsidRPr="00332AB5">
              <w:rPr>
                <w:rFonts w:asciiTheme="minorHAnsi" w:hAnsiTheme="minorHAnsi" w:cstheme="minorHAnsi"/>
                <w:sz w:val="18"/>
                <w:szCs w:val="18"/>
              </w:rPr>
              <w:t>UKUPNO</w:t>
            </w:r>
          </w:p>
        </w:tc>
        <w:tc>
          <w:tcPr>
            <w:tcW w:w="998" w:type="dxa"/>
            <w:tcBorders>
              <w:top w:val="single" w:sz="4" w:space="0" w:color="808080" w:themeColor="background1" w:themeShade="80"/>
              <w:bottom w:val="single" w:sz="4" w:space="0" w:color="808080" w:themeColor="background1" w:themeShade="80"/>
            </w:tcBorders>
            <w:vAlign w:val="center"/>
          </w:tcPr>
          <w:p w14:paraId="2323C9C9" w14:textId="464FD36C" w:rsidR="00226CDE" w:rsidRPr="00332AB5" w:rsidRDefault="00226CDE" w:rsidP="00226CDE">
            <w:pPr>
              <w:jc w:val="right"/>
              <w:rPr>
                <w:rFonts w:asciiTheme="minorHAnsi" w:hAnsiTheme="minorHAnsi" w:cstheme="minorHAnsi"/>
                <w:sz w:val="18"/>
                <w:szCs w:val="18"/>
              </w:rPr>
            </w:pPr>
            <w:r w:rsidRPr="00332AB5">
              <w:rPr>
                <w:rFonts w:asciiTheme="minorHAnsi" w:hAnsiTheme="minorHAnsi" w:cstheme="minorHAnsi"/>
                <w:sz w:val="18"/>
                <w:szCs w:val="18"/>
              </w:rPr>
              <w:t>1.621,05</w:t>
            </w:r>
          </w:p>
        </w:tc>
        <w:tc>
          <w:tcPr>
            <w:tcW w:w="1089" w:type="dxa"/>
            <w:tcBorders>
              <w:top w:val="single" w:sz="4" w:space="0" w:color="808080" w:themeColor="background1" w:themeShade="80"/>
              <w:bottom w:val="single" w:sz="4" w:space="0" w:color="808080" w:themeColor="background1" w:themeShade="80"/>
            </w:tcBorders>
            <w:vAlign w:val="center"/>
          </w:tcPr>
          <w:p w14:paraId="78B91ED6" w14:textId="1A08C405" w:rsidR="00226CDE" w:rsidRPr="00332AB5" w:rsidRDefault="00226CDE" w:rsidP="00226CDE">
            <w:pPr>
              <w:jc w:val="right"/>
              <w:rPr>
                <w:rFonts w:asciiTheme="minorHAnsi" w:hAnsiTheme="minorHAnsi" w:cstheme="minorHAnsi"/>
                <w:color w:val="000000" w:themeColor="text1"/>
                <w:sz w:val="18"/>
                <w:szCs w:val="18"/>
              </w:rPr>
            </w:pPr>
            <w:r w:rsidRPr="00332AB5">
              <w:rPr>
                <w:rFonts w:asciiTheme="minorHAnsi" w:hAnsiTheme="minorHAnsi" w:cstheme="minorBidi"/>
                <w:color w:val="000000" w:themeColor="text1"/>
                <w:sz w:val="18"/>
                <w:szCs w:val="18"/>
              </w:rPr>
              <w:t>1.961,13</w:t>
            </w:r>
          </w:p>
        </w:tc>
        <w:tc>
          <w:tcPr>
            <w:tcW w:w="845" w:type="dxa"/>
            <w:tcBorders>
              <w:top w:val="single" w:sz="4" w:space="0" w:color="808080" w:themeColor="background1" w:themeShade="80"/>
              <w:bottom w:val="single" w:sz="4" w:space="0" w:color="808080" w:themeColor="background1" w:themeShade="80"/>
            </w:tcBorders>
            <w:vAlign w:val="center"/>
          </w:tcPr>
          <w:p w14:paraId="73F7EEB7" w14:textId="181DA652" w:rsidR="00226CDE" w:rsidRPr="00332AB5" w:rsidRDefault="00226CDE" w:rsidP="00226CDE">
            <w:pPr>
              <w:jc w:val="right"/>
              <w:rPr>
                <w:rFonts w:asciiTheme="minorHAnsi" w:hAnsiTheme="minorHAnsi" w:cstheme="minorHAnsi"/>
                <w:color w:val="000000" w:themeColor="text1"/>
                <w:sz w:val="18"/>
                <w:szCs w:val="18"/>
              </w:rPr>
            </w:pPr>
            <w:r w:rsidRPr="00332AB5">
              <w:rPr>
                <w:rFonts w:asciiTheme="minorHAnsi" w:hAnsiTheme="minorHAnsi" w:cstheme="minorBidi"/>
                <w:color w:val="000000" w:themeColor="text1"/>
                <w:sz w:val="18"/>
                <w:szCs w:val="18"/>
              </w:rPr>
              <w:t>120,98</w:t>
            </w:r>
          </w:p>
        </w:tc>
        <w:tc>
          <w:tcPr>
            <w:tcW w:w="879" w:type="dxa"/>
            <w:tcBorders>
              <w:top w:val="single" w:sz="4" w:space="0" w:color="808080" w:themeColor="background1" w:themeShade="80"/>
              <w:bottom w:val="single" w:sz="4" w:space="0" w:color="808080" w:themeColor="background1" w:themeShade="80"/>
            </w:tcBorders>
            <w:vAlign w:val="center"/>
          </w:tcPr>
          <w:p w14:paraId="26146FDB" w14:textId="752FD7C9" w:rsidR="00226CDE" w:rsidRPr="00332AB5" w:rsidRDefault="00226CDE" w:rsidP="00226CDE">
            <w:pPr>
              <w:jc w:val="center"/>
              <w:rPr>
                <w:rFonts w:asciiTheme="minorHAnsi" w:hAnsiTheme="minorHAnsi" w:cstheme="minorHAnsi"/>
                <w:color w:val="000000" w:themeColor="text1"/>
                <w:sz w:val="18"/>
                <w:szCs w:val="18"/>
              </w:rPr>
            </w:pPr>
            <w:r w:rsidRPr="00332AB5">
              <w:rPr>
                <w:rFonts w:asciiTheme="minorHAnsi" w:hAnsiTheme="minorHAnsi" w:cstheme="minorBidi"/>
                <w:color w:val="000000" w:themeColor="text1"/>
                <w:sz w:val="18"/>
                <w:szCs w:val="18"/>
              </w:rPr>
              <w:t>1.471,75</w:t>
            </w:r>
          </w:p>
        </w:tc>
        <w:tc>
          <w:tcPr>
            <w:tcW w:w="822" w:type="dxa"/>
            <w:tcBorders>
              <w:top w:val="single" w:sz="4" w:space="0" w:color="808080" w:themeColor="background1" w:themeShade="80"/>
              <w:bottom w:val="single" w:sz="4" w:space="0" w:color="808080" w:themeColor="background1" w:themeShade="80"/>
            </w:tcBorders>
            <w:vAlign w:val="center"/>
          </w:tcPr>
          <w:p w14:paraId="4F2E34C1" w14:textId="06F2311D" w:rsidR="00226CDE" w:rsidRPr="00332AB5" w:rsidRDefault="00226CDE" w:rsidP="00226CDE">
            <w:pPr>
              <w:jc w:val="right"/>
              <w:rPr>
                <w:rFonts w:asciiTheme="minorHAnsi" w:hAnsiTheme="minorHAnsi" w:cstheme="minorHAnsi"/>
                <w:color w:val="000000" w:themeColor="text1"/>
                <w:sz w:val="18"/>
                <w:szCs w:val="18"/>
              </w:rPr>
            </w:pPr>
            <w:r w:rsidRPr="00332AB5">
              <w:rPr>
                <w:rFonts w:asciiTheme="minorHAnsi" w:hAnsiTheme="minorHAnsi" w:cstheme="minorBidi"/>
                <w:color w:val="000000" w:themeColor="text1"/>
                <w:sz w:val="18"/>
                <w:szCs w:val="18"/>
              </w:rPr>
              <w:t>90,79</w:t>
            </w:r>
          </w:p>
        </w:tc>
        <w:tc>
          <w:tcPr>
            <w:tcW w:w="902" w:type="dxa"/>
            <w:tcBorders>
              <w:top w:val="single" w:sz="4" w:space="0" w:color="808080" w:themeColor="background1" w:themeShade="80"/>
              <w:bottom w:val="single" w:sz="4" w:space="0" w:color="808080" w:themeColor="background1" w:themeShade="80"/>
            </w:tcBorders>
            <w:vAlign w:val="center"/>
          </w:tcPr>
          <w:p w14:paraId="2D30C968" w14:textId="47762E15" w:rsidR="00226CDE" w:rsidRPr="00332AB5" w:rsidRDefault="00226CDE" w:rsidP="00226CDE">
            <w:pPr>
              <w:jc w:val="right"/>
              <w:rPr>
                <w:rFonts w:asciiTheme="minorHAnsi" w:hAnsiTheme="minorHAnsi" w:cstheme="minorHAnsi"/>
                <w:color w:val="000000" w:themeColor="text1"/>
                <w:sz w:val="18"/>
                <w:szCs w:val="18"/>
              </w:rPr>
            </w:pPr>
            <w:r w:rsidRPr="00332AB5">
              <w:rPr>
                <w:rFonts w:asciiTheme="minorHAnsi" w:hAnsiTheme="minorHAnsi" w:cstheme="minorBidi"/>
                <w:color w:val="000000" w:themeColor="text1"/>
                <w:sz w:val="18"/>
                <w:szCs w:val="18"/>
              </w:rPr>
              <w:t>1.454,28</w:t>
            </w:r>
          </w:p>
        </w:tc>
        <w:tc>
          <w:tcPr>
            <w:tcW w:w="799" w:type="dxa"/>
            <w:tcBorders>
              <w:top w:val="single" w:sz="4" w:space="0" w:color="808080" w:themeColor="background1" w:themeShade="80"/>
              <w:bottom w:val="single" w:sz="4" w:space="0" w:color="808080" w:themeColor="background1" w:themeShade="80"/>
            </w:tcBorders>
            <w:vAlign w:val="center"/>
          </w:tcPr>
          <w:p w14:paraId="7B6581E2" w14:textId="42D53DFC" w:rsidR="00226CDE" w:rsidRPr="00332AB5" w:rsidRDefault="00226CDE" w:rsidP="00226CDE">
            <w:pPr>
              <w:spacing w:line="259" w:lineRule="auto"/>
              <w:jc w:val="right"/>
              <w:rPr>
                <w:rFonts w:asciiTheme="minorHAnsi" w:hAnsiTheme="minorHAnsi" w:cstheme="minorHAnsi"/>
                <w:color w:val="000000" w:themeColor="text1"/>
                <w:sz w:val="18"/>
                <w:szCs w:val="18"/>
              </w:rPr>
            </w:pPr>
            <w:r w:rsidRPr="00332AB5">
              <w:rPr>
                <w:rFonts w:asciiTheme="minorHAnsi" w:hAnsiTheme="minorHAnsi" w:cstheme="minorBidi"/>
                <w:color w:val="000000" w:themeColor="text1"/>
                <w:sz w:val="18"/>
                <w:szCs w:val="18"/>
              </w:rPr>
              <w:t>89,71</w:t>
            </w:r>
          </w:p>
        </w:tc>
        <w:tc>
          <w:tcPr>
            <w:tcW w:w="992" w:type="dxa"/>
            <w:tcBorders>
              <w:top w:val="single" w:sz="4" w:space="0" w:color="808080" w:themeColor="background1" w:themeShade="80"/>
              <w:bottom w:val="single" w:sz="4" w:space="0" w:color="808080" w:themeColor="background1" w:themeShade="80"/>
            </w:tcBorders>
            <w:vAlign w:val="center"/>
          </w:tcPr>
          <w:p w14:paraId="1A94C46F" w14:textId="5FD7E4CB" w:rsidR="00226CDE" w:rsidRPr="00332AB5" w:rsidRDefault="00226CDE" w:rsidP="00226CDE">
            <w:pPr>
              <w:jc w:val="right"/>
              <w:rPr>
                <w:rFonts w:asciiTheme="minorHAnsi" w:hAnsiTheme="minorHAnsi" w:cstheme="minorHAnsi"/>
                <w:sz w:val="18"/>
                <w:szCs w:val="18"/>
              </w:rPr>
            </w:pPr>
            <w:r w:rsidRPr="00332AB5">
              <w:rPr>
                <w:rFonts w:asciiTheme="minorHAnsi" w:hAnsiTheme="minorHAnsi" w:cstheme="minorHAnsi"/>
                <w:sz w:val="18"/>
                <w:szCs w:val="18"/>
              </w:rPr>
              <w:t>1.331,92</w:t>
            </w:r>
          </w:p>
        </w:tc>
        <w:tc>
          <w:tcPr>
            <w:tcW w:w="709" w:type="dxa"/>
            <w:tcBorders>
              <w:top w:val="single" w:sz="4" w:space="0" w:color="808080" w:themeColor="background1" w:themeShade="80"/>
              <w:bottom w:val="single" w:sz="4" w:space="0" w:color="808080" w:themeColor="background1" w:themeShade="80"/>
            </w:tcBorders>
            <w:vAlign w:val="center"/>
          </w:tcPr>
          <w:p w14:paraId="5622040C" w14:textId="2A590E57" w:rsidR="00226CDE" w:rsidRPr="00332AB5" w:rsidRDefault="00226CDE" w:rsidP="00226CDE">
            <w:pPr>
              <w:jc w:val="right"/>
              <w:rPr>
                <w:rFonts w:asciiTheme="minorHAnsi" w:hAnsiTheme="minorHAnsi" w:cstheme="minorHAnsi"/>
                <w:sz w:val="18"/>
                <w:szCs w:val="18"/>
              </w:rPr>
            </w:pPr>
            <w:r w:rsidRPr="00332AB5">
              <w:rPr>
                <w:rFonts w:asciiTheme="minorHAnsi" w:hAnsiTheme="minorHAnsi" w:cstheme="minorHAnsi"/>
                <w:sz w:val="18"/>
                <w:szCs w:val="18"/>
              </w:rPr>
              <w:t>82,16</w:t>
            </w:r>
          </w:p>
        </w:tc>
      </w:tr>
      <w:bookmarkEnd w:id="52"/>
      <w:bookmarkEnd w:id="57"/>
    </w:tbl>
    <w:p w14:paraId="0DD19C6A" w14:textId="77777777" w:rsidR="004B5FBC" w:rsidRPr="00332AB5" w:rsidRDefault="004B5FBC" w:rsidP="00FA3316">
      <w:pPr>
        <w:spacing w:before="120" w:after="120"/>
        <w:jc w:val="both"/>
        <w:rPr>
          <w:b/>
        </w:rPr>
      </w:pPr>
    </w:p>
    <w:p w14:paraId="147CD28F" w14:textId="77777777" w:rsidR="0063198C" w:rsidRPr="00332AB5" w:rsidRDefault="0063198C">
      <w:pPr>
        <w:rPr>
          <w:b/>
        </w:rPr>
      </w:pPr>
      <w:r w:rsidRPr="00332AB5">
        <w:rPr>
          <w:b/>
        </w:rPr>
        <w:br w:type="page"/>
      </w:r>
    </w:p>
    <w:p w14:paraId="2E7559E3" w14:textId="0BC37402" w:rsidR="00FA3316" w:rsidRPr="00332AB5" w:rsidRDefault="00FA3316" w:rsidP="00E5698F">
      <w:pPr>
        <w:jc w:val="both"/>
        <w:rPr>
          <w:b/>
        </w:rPr>
      </w:pPr>
      <w:bookmarkStart w:id="58" w:name="_Toc152595302"/>
      <w:r w:rsidRPr="00332AB5">
        <w:rPr>
          <w:b/>
        </w:rPr>
        <w:lastRenderedPageBreak/>
        <w:t xml:space="preserve">Grafikon </w:t>
      </w:r>
      <w:r w:rsidR="008C2CC3" w:rsidRPr="00332AB5">
        <w:rPr>
          <w:rFonts w:eastAsia="Calibri"/>
          <w:b/>
          <w:szCs w:val="22"/>
          <w:lang w:eastAsia="en-US"/>
        </w:rPr>
        <w:fldChar w:fldCharType="begin"/>
      </w:r>
      <w:r w:rsidRPr="00332AB5">
        <w:rPr>
          <w:b/>
          <w:bCs/>
        </w:rPr>
        <w:instrText xml:space="preserve"> SEQ Grafikon \* ARABIC </w:instrText>
      </w:r>
      <w:r w:rsidR="008C2CC3" w:rsidRPr="00332AB5">
        <w:rPr>
          <w:rFonts w:eastAsia="Calibri"/>
          <w:b/>
          <w:szCs w:val="22"/>
          <w:lang w:eastAsia="en-US"/>
        </w:rPr>
        <w:fldChar w:fldCharType="separate"/>
      </w:r>
      <w:r w:rsidR="005E6E46">
        <w:rPr>
          <w:b/>
          <w:bCs/>
          <w:noProof/>
        </w:rPr>
        <w:t>2</w:t>
      </w:r>
      <w:r w:rsidR="008C2CC3" w:rsidRPr="00332AB5">
        <w:rPr>
          <w:rFonts w:eastAsia="Calibri"/>
          <w:b/>
          <w:szCs w:val="22"/>
          <w:lang w:eastAsia="en-US"/>
        </w:rPr>
        <w:fldChar w:fldCharType="end"/>
      </w:r>
      <w:r w:rsidRPr="00332AB5">
        <w:rPr>
          <w:b/>
        </w:rPr>
        <w:t xml:space="preserve">: </w:t>
      </w:r>
      <w:r w:rsidRPr="00332AB5">
        <w:rPr>
          <w:rFonts w:eastAsia="Calibri"/>
          <w:b/>
          <w:bCs/>
        </w:rPr>
        <w:t>Grafički prikaz geografske rasprostranjenosti projekata u okviru shema dodjele bespovratnih sredstava</w:t>
      </w:r>
      <w:r w:rsidRPr="00332AB5">
        <w:rPr>
          <w:b/>
          <w:bCs/>
        </w:rPr>
        <w:t xml:space="preserve"> Operativnog programa „Učinkoviti ljudski potencijali“ od početka provedbe do kraja izvještajnog razdoblja </w:t>
      </w:r>
      <w:r w:rsidR="0011067E" w:rsidRPr="00332AB5">
        <w:rPr>
          <w:b/>
          <w:bCs/>
        </w:rPr>
        <w:t>30. lipnja 2023.</w:t>
      </w:r>
      <w:r w:rsidRPr="00332AB5">
        <w:rPr>
          <w:b/>
          <w:bCs/>
        </w:rPr>
        <w:t xml:space="preserve"> (sredstva EU, u postocima)</w:t>
      </w:r>
      <w:bookmarkEnd w:id="58"/>
    </w:p>
    <w:p w14:paraId="67063121" w14:textId="77777777" w:rsidR="00FA3316" w:rsidRPr="00332AB5" w:rsidRDefault="00FA3316" w:rsidP="00FA3316">
      <w:pPr>
        <w:spacing w:before="120" w:after="120"/>
        <w:jc w:val="both"/>
        <w:rPr>
          <w:b/>
          <w:bCs/>
        </w:rPr>
      </w:pPr>
      <w:r w:rsidRPr="00332AB5">
        <w:rPr>
          <w:b/>
          <w:bCs/>
          <w:noProof/>
        </w:rPr>
        <w:drawing>
          <wp:inline distT="0" distB="0" distL="0" distR="0" wp14:anchorId="284D4AAD" wp14:editId="60683010">
            <wp:extent cx="5486400" cy="49720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90587B7" w14:textId="7C7A0DE7" w:rsidR="00C45EC5" w:rsidRPr="00332AB5" w:rsidRDefault="00FA3316" w:rsidP="00E8315B">
      <w:pPr>
        <w:spacing w:before="360" w:after="120"/>
        <w:jc w:val="both"/>
        <w:rPr>
          <w:sz w:val="24"/>
          <w:szCs w:val="24"/>
        </w:rPr>
      </w:pPr>
      <w:r w:rsidRPr="00332AB5">
        <w:rPr>
          <w:sz w:val="24"/>
          <w:szCs w:val="24"/>
        </w:rPr>
        <w:t xml:space="preserve">Najveći broj ugovora odnosi se na cijeli teritorij </w:t>
      </w:r>
      <w:r w:rsidR="003A330A" w:rsidRPr="00332AB5">
        <w:rPr>
          <w:sz w:val="24"/>
          <w:szCs w:val="24"/>
        </w:rPr>
        <w:t>RH</w:t>
      </w:r>
      <w:r w:rsidRPr="00332AB5">
        <w:rPr>
          <w:sz w:val="24"/>
          <w:szCs w:val="24"/>
        </w:rPr>
        <w:t xml:space="preserve"> budući da su ugovarani projekti putem izravne dodjele s nacionalnim obuhvatom aktivnosti (npr. mjere aktivne politike zapošljavanja, e-škole i slično).</w:t>
      </w:r>
    </w:p>
    <w:p w14:paraId="4B1E6F29" w14:textId="7CD6CFFA" w:rsidR="00041105" w:rsidRPr="00332AB5" w:rsidRDefault="00041105" w:rsidP="00041105">
      <w:pPr>
        <w:spacing w:before="120" w:after="120"/>
        <w:jc w:val="both"/>
        <w:rPr>
          <w:sz w:val="24"/>
          <w:szCs w:val="24"/>
        </w:rPr>
      </w:pPr>
      <w:r w:rsidRPr="00332AB5">
        <w:rPr>
          <w:sz w:val="24"/>
          <w:szCs w:val="24"/>
        </w:rPr>
        <w:t xml:space="preserve">U izvještajnom razdoblju održana je </w:t>
      </w:r>
      <w:r w:rsidR="008F5A50" w:rsidRPr="00332AB5">
        <w:rPr>
          <w:sz w:val="24"/>
          <w:szCs w:val="24"/>
        </w:rPr>
        <w:t>1</w:t>
      </w:r>
      <w:r w:rsidR="007A593A" w:rsidRPr="00332AB5">
        <w:rPr>
          <w:sz w:val="24"/>
          <w:szCs w:val="24"/>
        </w:rPr>
        <w:t>9</w:t>
      </w:r>
      <w:r w:rsidRPr="00332AB5">
        <w:rPr>
          <w:sz w:val="24"/>
          <w:szCs w:val="24"/>
        </w:rPr>
        <w:t>. sjednica Odbora za praćenje Operativnog programa Učinkoviti ljudski potencijali 2014.</w:t>
      </w:r>
      <w:r w:rsidR="00F27E7A" w:rsidRPr="00332AB5">
        <w:rPr>
          <w:sz w:val="24"/>
          <w:szCs w:val="24"/>
        </w:rPr>
        <w:t xml:space="preserve"> </w:t>
      </w:r>
      <w:r w:rsidRPr="00332AB5">
        <w:rPr>
          <w:sz w:val="24"/>
          <w:szCs w:val="24"/>
        </w:rPr>
        <w:t>-</w:t>
      </w:r>
      <w:r w:rsidR="00F27E7A" w:rsidRPr="00332AB5">
        <w:rPr>
          <w:sz w:val="24"/>
          <w:szCs w:val="24"/>
        </w:rPr>
        <w:t xml:space="preserve"> </w:t>
      </w:r>
      <w:r w:rsidRPr="00332AB5">
        <w:rPr>
          <w:sz w:val="24"/>
          <w:szCs w:val="24"/>
        </w:rPr>
        <w:t xml:space="preserve">2020. Sjednica je održana u </w:t>
      </w:r>
      <w:r w:rsidR="008F5A50" w:rsidRPr="00332AB5">
        <w:rPr>
          <w:sz w:val="24"/>
          <w:szCs w:val="24"/>
        </w:rPr>
        <w:t>Zagrebu</w:t>
      </w:r>
      <w:r w:rsidRPr="00332AB5">
        <w:rPr>
          <w:sz w:val="24"/>
          <w:szCs w:val="24"/>
        </w:rPr>
        <w:t xml:space="preserve"> </w:t>
      </w:r>
      <w:r w:rsidR="000740B3" w:rsidRPr="00332AB5">
        <w:rPr>
          <w:sz w:val="24"/>
          <w:szCs w:val="24"/>
        </w:rPr>
        <w:t>3</w:t>
      </w:r>
      <w:r w:rsidRPr="00332AB5">
        <w:rPr>
          <w:sz w:val="24"/>
          <w:szCs w:val="24"/>
        </w:rPr>
        <w:t xml:space="preserve">. </w:t>
      </w:r>
      <w:r w:rsidR="007A593A" w:rsidRPr="00332AB5">
        <w:rPr>
          <w:sz w:val="24"/>
          <w:szCs w:val="24"/>
        </w:rPr>
        <w:t xml:space="preserve">svibnja </w:t>
      </w:r>
      <w:r w:rsidRPr="00332AB5">
        <w:rPr>
          <w:sz w:val="24"/>
          <w:szCs w:val="24"/>
        </w:rPr>
        <w:t>202</w:t>
      </w:r>
      <w:r w:rsidR="007A593A" w:rsidRPr="00332AB5">
        <w:rPr>
          <w:sz w:val="24"/>
          <w:szCs w:val="24"/>
        </w:rPr>
        <w:t>3</w:t>
      </w:r>
      <w:r w:rsidRPr="00332AB5">
        <w:rPr>
          <w:sz w:val="24"/>
          <w:szCs w:val="24"/>
        </w:rPr>
        <w:t>.</w:t>
      </w:r>
    </w:p>
    <w:p w14:paraId="25876CDD" w14:textId="54AE917A" w:rsidR="007A593A" w:rsidRPr="00332AB5" w:rsidRDefault="007A593A" w:rsidP="007A593A">
      <w:pPr>
        <w:spacing w:before="120" w:after="120"/>
        <w:jc w:val="both"/>
        <w:rPr>
          <w:sz w:val="24"/>
          <w:szCs w:val="24"/>
        </w:rPr>
      </w:pPr>
      <w:r w:rsidRPr="00332AB5">
        <w:rPr>
          <w:sz w:val="24"/>
          <w:szCs w:val="24"/>
        </w:rPr>
        <w:t>Na 19. sjednici članstvu je predstavljen pregled napretka provedbe OPULJP-a, financijski pregled provedbe (ugovaranje, plaćanje, ovjeravanje), uključujući plan za zatvaranje OPULJP-a.</w:t>
      </w:r>
    </w:p>
    <w:p w14:paraId="57681314" w14:textId="7914C99C" w:rsidR="007A593A" w:rsidRPr="00332AB5" w:rsidRDefault="007A593A" w:rsidP="007A593A">
      <w:pPr>
        <w:spacing w:before="120" w:after="120"/>
        <w:jc w:val="both"/>
        <w:rPr>
          <w:sz w:val="24"/>
          <w:szCs w:val="24"/>
        </w:rPr>
      </w:pPr>
      <w:r w:rsidRPr="00332AB5">
        <w:rPr>
          <w:sz w:val="24"/>
          <w:szCs w:val="24"/>
        </w:rPr>
        <w:t xml:space="preserve">Tijekom sjednice </w:t>
      </w:r>
      <w:r w:rsidR="00EB675D" w:rsidRPr="00332AB5">
        <w:rPr>
          <w:sz w:val="24"/>
          <w:szCs w:val="24"/>
        </w:rPr>
        <w:t>PT2</w:t>
      </w:r>
      <w:r w:rsidRPr="00332AB5">
        <w:rPr>
          <w:sz w:val="24"/>
          <w:szCs w:val="24"/>
        </w:rPr>
        <w:t xml:space="preserve"> izvijestila su članstvo o aktivnostima koje se provode i planiraju provoditi kako bi se osigurala puna apsorpcija.</w:t>
      </w:r>
    </w:p>
    <w:p w14:paraId="4EB0DA54" w14:textId="0F888EBE" w:rsidR="007A593A" w:rsidRPr="00332AB5" w:rsidRDefault="007A593A" w:rsidP="007A593A">
      <w:pPr>
        <w:spacing w:before="120" w:after="120"/>
        <w:jc w:val="both"/>
        <w:rPr>
          <w:sz w:val="24"/>
          <w:szCs w:val="24"/>
        </w:rPr>
      </w:pPr>
      <w:r w:rsidRPr="00332AB5">
        <w:rPr>
          <w:sz w:val="24"/>
          <w:szCs w:val="24"/>
        </w:rPr>
        <w:t>Dodatno, tijekom sjednice predstavljeno je i usvojeno Godišnje izvješće o provedbi Operativnog programa Učinkoviti ljudski potencijali 2014.</w:t>
      </w:r>
      <w:r w:rsidR="000F59CF" w:rsidRPr="00332AB5">
        <w:rPr>
          <w:sz w:val="24"/>
          <w:szCs w:val="24"/>
        </w:rPr>
        <w:t xml:space="preserve"> – </w:t>
      </w:r>
      <w:r w:rsidRPr="00332AB5">
        <w:rPr>
          <w:sz w:val="24"/>
          <w:szCs w:val="24"/>
        </w:rPr>
        <w:t>2020. za 2022. godinu.</w:t>
      </w:r>
    </w:p>
    <w:p w14:paraId="71B4B037" w14:textId="113C3126" w:rsidR="007A593A" w:rsidRPr="00332AB5" w:rsidRDefault="007A593A" w:rsidP="007A593A">
      <w:pPr>
        <w:spacing w:before="120" w:after="120"/>
        <w:jc w:val="both"/>
        <w:rPr>
          <w:sz w:val="24"/>
          <w:szCs w:val="24"/>
        </w:rPr>
      </w:pPr>
      <w:r w:rsidRPr="00332AB5">
        <w:rPr>
          <w:sz w:val="24"/>
          <w:szCs w:val="24"/>
        </w:rPr>
        <w:lastRenderedPageBreak/>
        <w:t xml:space="preserve">U </w:t>
      </w:r>
      <w:r w:rsidR="00EB675D" w:rsidRPr="00332AB5">
        <w:rPr>
          <w:sz w:val="24"/>
          <w:szCs w:val="24"/>
        </w:rPr>
        <w:t>razdoblju</w:t>
      </w:r>
      <w:r w:rsidRPr="00332AB5">
        <w:rPr>
          <w:sz w:val="24"/>
          <w:szCs w:val="24"/>
        </w:rPr>
        <w:t xml:space="preserve"> od 1. siječnja do 30. lipnja 2023. zaprimljeno je 12 konačnih izvješća Tijela za reviziju vezano uz završene revizije operacija.</w:t>
      </w:r>
    </w:p>
    <w:p w14:paraId="5B818525" w14:textId="60478713" w:rsidR="007A593A" w:rsidRPr="00332AB5" w:rsidRDefault="007A593A" w:rsidP="007A593A">
      <w:pPr>
        <w:spacing w:before="120" w:after="120"/>
        <w:jc w:val="both"/>
        <w:rPr>
          <w:sz w:val="24"/>
          <w:szCs w:val="24"/>
        </w:rPr>
      </w:pPr>
      <w:r w:rsidRPr="00332AB5">
        <w:rPr>
          <w:sz w:val="24"/>
          <w:szCs w:val="24"/>
        </w:rPr>
        <w:t>Također je zaprimljeno i konačno izvješće revizije Sustava upravljanja i kontrola za ESF kao i konačna izvješća revizije praćenja provedbe preporuka iz prethodnih revizija sustava i operacija.</w:t>
      </w:r>
    </w:p>
    <w:p w14:paraId="4B205115" w14:textId="7C8B7B1F" w:rsidR="00A002EF" w:rsidRPr="00332AB5" w:rsidRDefault="00A002EF" w:rsidP="007A593A">
      <w:pPr>
        <w:spacing w:before="120" w:after="120"/>
        <w:jc w:val="both"/>
        <w:rPr>
          <w:sz w:val="24"/>
          <w:szCs w:val="24"/>
        </w:rPr>
      </w:pPr>
      <w:r w:rsidRPr="00332AB5">
        <w:rPr>
          <w:sz w:val="24"/>
          <w:szCs w:val="24"/>
        </w:rPr>
        <w:t xml:space="preserve">Na dan </w:t>
      </w:r>
      <w:r w:rsidR="0011067E" w:rsidRPr="00332AB5">
        <w:rPr>
          <w:sz w:val="24"/>
          <w:szCs w:val="24"/>
        </w:rPr>
        <w:t>30. lipnja 2023.</w:t>
      </w:r>
      <w:r w:rsidRPr="00332AB5">
        <w:rPr>
          <w:sz w:val="24"/>
          <w:szCs w:val="24"/>
        </w:rPr>
        <w:t xml:space="preserve"> u UT-u je ukupno zaposleno </w:t>
      </w:r>
      <w:r w:rsidR="00652E94" w:rsidRPr="00332AB5">
        <w:rPr>
          <w:sz w:val="24"/>
        </w:rPr>
        <w:t>79</w:t>
      </w:r>
      <w:r w:rsidRPr="00332AB5">
        <w:rPr>
          <w:sz w:val="24"/>
          <w:szCs w:val="24"/>
        </w:rPr>
        <w:t xml:space="preserve"> službenika, dok je ukupan broj zaposlenih u Tijelima SUK-a OPULJP-a </w:t>
      </w:r>
      <w:r w:rsidRPr="00332AB5">
        <w:rPr>
          <w:sz w:val="24"/>
        </w:rPr>
        <w:t>5</w:t>
      </w:r>
      <w:r w:rsidR="00003D37" w:rsidRPr="00332AB5">
        <w:rPr>
          <w:sz w:val="24"/>
        </w:rPr>
        <w:t>7</w:t>
      </w:r>
      <w:r w:rsidRPr="00332AB5">
        <w:rPr>
          <w:sz w:val="24"/>
        </w:rPr>
        <w:t>1.</w:t>
      </w:r>
    </w:p>
    <w:p w14:paraId="2349A663" w14:textId="77777777" w:rsidR="00E76191" w:rsidRPr="00332AB5" w:rsidRDefault="00E76191" w:rsidP="00E2152B">
      <w:pPr>
        <w:rPr>
          <w:sz w:val="24"/>
          <w:szCs w:val="24"/>
        </w:rPr>
      </w:pPr>
      <w:r w:rsidRPr="00332AB5">
        <w:rPr>
          <w:sz w:val="24"/>
          <w:szCs w:val="24"/>
        </w:rPr>
        <w:br w:type="page"/>
      </w:r>
    </w:p>
    <w:p w14:paraId="5B80DE08" w14:textId="7514C649" w:rsidR="002B7689" w:rsidRPr="00332AB5" w:rsidRDefault="002B7689" w:rsidP="00E2152B">
      <w:pPr>
        <w:pStyle w:val="Heading2"/>
        <w:numPr>
          <w:ilvl w:val="1"/>
          <w:numId w:val="3"/>
        </w:numPr>
      </w:pPr>
      <w:bookmarkStart w:id="59" w:name="_Toc152595221"/>
      <w:r w:rsidRPr="00332AB5">
        <w:lastRenderedPageBreak/>
        <w:t>PROGRAM RURALNOG RAZVOJA</w:t>
      </w:r>
      <w:r w:rsidR="00CF1F83" w:rsidRPr="00332AB5">
        <w:t xml:space="preserve"> REPUBLIKE HRVAT</w:t>
      </w:r>
      <w:r w:rsidR="00A3354E" w:rsidRPr="00332AB5">
        <w:t>SKE ZA RAZDOBLJE 2014.</w:t>
      </w:r>
      <w:r w:rsidR="008D397F" w:rsidRPr="00332AB5">
        <w:t xml:space="preserve"> – </w:t>
      </w:r>
      <w:r w:rsidR="00CF1F83" w:rsidRPr="00332AB5">
        <w:t>20</w:t>
      </w:r>
      <w:r w:rsidR="00CC7B9B" w:rsidRPr="00332AB5">
        <w:t>22</w:t>
      </w:r>
      <w:r w:rsidR="00CF1F83" w:rsidRPr="00332AB5">
        <w:t>.</w:t>
      </w:r>
      <w:bookmarkEnd w:id="59"/>
    </w:p>
    <w:p w14:paraId="62CD47A9" w14:textId="77777777" w:rsidR="000007CC" w:rsidRPr="00332AB5" w:rsidRDefault="000007CC" w:rsidP="000007CC">
      <w:pPr>
        <w:spacing w:before="120" w:after="120"/>
        <w:jc w:val="both"/>
        <w:rPr>
          <w:sz w:val="24"/>
          <w:szCs w:val="24"/>
        </w:rPr>
      </w:pPr>
      <w:r w:rsidRPr="00332AB5">
        <w:rPr>
          <w:sz w:val="24"/>
          <w:szCs w:val="24"/>
        </w:rPr>
        <w:t>U okviru PRR-a na raspolaganju je 2,03 milijarde eura iz Europskog poljoprivrednog fonda za ruralni razvoja (EPFRR). Kada se tome pridoda nacionalno sufinanciranje, ukupna vrijednost iznosi 2,38 milijardi eura. Kako bi osigurali kontinuitet dodjele potpora u ruralnom razvoju tijekom prijelaznog razdoblja, podnesene su izmjene PRR-a, uz povećanje alokacije iz Višegodišnjeg financijskog okvira (EPFRR 597,56 milijuna eura) te sredstava Europskog plana oporavka i otpornosti (201,67 milijuna eura - EURI sredstva). U prijelaznom razdoblju 2021. - 2022., nastavila se provedba PRR-a, uz povećanje alokacije za 799,23 milijuna eura, kada se tome pridoda nacionalno sufinanciranje ukupna vrijednost iznosi 3,28 milijardi eura.</w:t>
      </w:r>
    </w:p>
    <w:p w14:paraId="5595A130" w14:textId="7D99FE57" w:rsidR="00700A37" w:rsidRPr="00332AB5" w:rsidRDefault="000007CC" w:rsidP="000007CC">
      <w:pPr>
        <w:spacing w:before="120" w:after="120"/>
        <w:jc w:val="both"/>
        <w:rPr>
          <w:sz w:val="24"/>
          <w:szCs w:val="24"/>
        </w:rPr>
      </w:pPr>
      <w:r w:rsidRPr="00332AB5">
        <w:rPr>
          <w:sz w:val="24"/>
          <w:szCs w:val="24"/>
        </w:rPr>
        <w:t>Do 30. lipnja 2023. ukupno su objavljena 172 natječaja za dodjelu potpora. Ukupna vrijednost svih natječaja i objavljenih poziva je 3,54 milijardi eura. U izvještajnom razdoblju objavljena su tri natječaja za dodjelu potpora ukupne vrijednosti 37,75 milijuna eura</w:t>
      </w:r>
      <w:r w:rsidR="00731FFC" w:rsidRPr="00332AB5">
        <w:rPr>
          <w:sz w:val="24"/>
          <w:szCs w:val="24"/>
        </w:rPr>
        <w:t>.</w:t>
      </w:r>
    </w:p>
    <w:p w14:paraId="48604ABA" w14:textId="6935B934" w:rsidR="00E91DA8" w:rsidRPr="00332AB5" w:rsidRDefault="00E91DA8" w:rsidP="00741C5E">
      <w:pPr>
        <w:spacing w:before="120" w:after="120"/>
        <w:jc w:val="both"/>
        <w:rPr>
          <w:b/>
          <w:bCs/>
        </w:rPr>
      </w:pPr>
      <w:bookmarkStart w:id="60" w:name="_Toc152595285"/>
      <w:r w:rsidRPr="00332AB5">
        <w:rPr>
          <w:b/>
          <w:bCs/>
        </w:rPr>
        <w:t xml:space="preserve">Tablica </w:t>
      </w:r>
      <w:r w:rsidR="008C2CC3" w:rsidRPr="00332AB5">
        <w:rPr>
          <w:b/>
          <w:bCs/>
        </w:rPr>
        <w:fldChar w:fldCharType="begin"/>
      </w:r>
      <w:r w:rsidRPr="00332AB5">
        <w:rPr>
          <w:b/>
          <w:bCs/>
        </w:rPr>
        <w:instrText xml:space="preserve"> SEQ Tablica \* ARABIC </w:instrText>
      </w:r>
      <w:r w:rsidR="008C2CC3" w:rsidRPr="00332AB5">
        <w:rPr>
          <w:b/>
          <w:bCs/>
        </w:rPr>
        <w:fldChar w:fldCharType="separate"/>
      </w:r>
      <w:r w:rsidR="005E6E46">
        <w:rPr>
          <w:b/>
          <w:bCs/>
          <w:noProof/>
        </w:rPr>
        <w:t>11</w:t>
      </w:r>
      <w:r w:rsidR="008C2CC3" w:rsidRPr="00332AB5">
        <w:rPr>
          <w:b/>
          <w:bCs/>
        </w:rPr>
        <w:fldChar w:fldCharType="end"/>
      </w:r>
      <w:r w:rsidRPr="00332AB5">
        <w:rPr>
          <w:b/>
          <w:bCs/>
        </w:rPr>
        <w:t xml:space="preserve">: Popis objavljenih natječaja za dodjelu potpora iz </w:t>
      </w:r>
      <w:bookmarkStart w:id="61" w:name="_Hlk97213507"/>
      <w:r w:rsidRPr="00332AB5">
        <w:rPr>
          <w:b/>
          <w:bCs/>
        </w:rPr>
        <w:t xml:space="preserve">Programa ruralnog razvoja </w:t>
      </w:r>
      <w:bookmarkEnd w:id="61"/>
      <w:r w:rsidRPr="00332AB5">
        <w:rPr>
          <w:b/>
          <w:bCs/>
        </w:rPr>
        <w:t xml:space="preserve">u izvještajnom razdoblju </w:t>
      </w:r>
      <w:r w:rsidR="003D09AA" w:rsidRPr="00332AB5">
        <w:rPr>
          <w:b/>
          <w:bCs/>
        </w:rPr>
        <w:t xml:space="preserve">od </w:t>
      </w:r>
      <w:r w:rsidR="0011067E" w:rsidRPr="00332AB5">
        <w:rPr>
          <w:b/>
          <w:bCs/>
        </w:rPr>
        <w:t>1. siječnja</w:t>
      </w:r>
      <w:r w:rsidR="00B2004D" w:rsidRPr="00332AB5">
        <w:rPr>
          <w:b/>
          <w:bCs/>
        </w:rPr>
        <w:t xml:space="preserve"> do </w:t>
      </w:r>
      <w:r w:rsidR="0011067E" w:rsidRPr="00332AB5">
        <w:rPr>
          <w:b/>
          <w:bCs/>
        </w:rPr>
        <w:t>30. lipnja 2023.</w:t>
      </w:r>
      <w:r w:rsidR="00B2004D" w:rsidRPr="00332AB5">
        <w:rPr>
          <w:b/>
          <w:bCs/>
        </w:rPr>
        <w:t xml:space="preserve"> </w:t>
      </w:r>
      <w:r w:rsidR="008955F1" w:rsidRPr="00332AB5">
        <w:rPr>
          <w:b/>
          <w:bCs/>
        </w:rPr>
        <w:t>(bespovratna sredstva</w:t>
      </w:r>
      <w:r w:rsidRPr="00332AB5">
        <w:rPr>
          <w:b/>
          <w:bCs/>
        </w:rPr>
        <w:t>)</w:t>
      </w:r>
      <w:bookmarkEnd w:id="6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8"/>
        <w:gridCol w:w="6072"/>
        <w:gridCol w:w="1812"/>
      </w:tblGrid>
      <w:tr w:rsidR="00377A79" w:rsidRPr="00332AB5" w14:paraId="43820147" w14:textId="77777777" w:rsidTr="00275475">
        <w:tc>
          <w:tcPr>
            <w:tcW w:w="1178" w:type="dxa"/>
            <w:tcBorders>
              <w:bottom w:val="single" w:sz="4" w:space="0" w:color="808080" w:themeColor="text1" w:themeTint="7F" w:themeShade="00"/>
            </w:tcBorders>
            <w:vAlign w:val="bottom"/>
          </w:tcPr>
          <w:p w14:paraId="311F914C" w14:textId="77777777" w:rsidR="00377A79" w:rsidRPr="00332AB5" w:rsidRDefault="00377A79" w:rsidP="00275475">
            <w:pPr>
              <w:spacing w:before="120" w:after="120"/>
              <w:rPr>
                <w:b/>
                <w:bCs/>
              </w:rPr>
            </w:pPr>
            <w:r w:rsidRPr="00332AB5">
              <w:rPr>
                <w:b/>
                <w:bCs/>
              </w:rPr>
              <w:t>Mjera (M)</w:t>
            </w:r>
            <w:r w:rsidRPr="00332AB5">
              <w:rPr>
                <w:rStyle w:val="FootnoteReference"/>
                <w:b/>
                <w:bCs/>
              </w:rPr>
              <w:footnoteReference w:id="12"/>
            </w:r>
          </w:p>
        </w:tc>
        <w:tc>
          <w:tcPr>
            <w:tcW w:w="6072" w:type="dxa"/>
            <w:tcBorders>
              <w:bottom w:val="single" w:sz="4" w:space="0" w:color="808080" w:themeColor="text1" w:themeTint="7F" w:themeShade="00"/>
            </w:tcBorders>
            <w:vAlign w:val="bottom"/>
          </w:tcPr>
          <w:p w14:paraId="2315CE47" w14:textId="77777777" w:rsidR="00377A79" w:rsidRPr="00332AB5" w:rsidRDefault="00377A79" w:rsidP="00275475">
            <w:pPr>
              <w:spacing w:before="120" w:after="120"/>
              <w:rPr>
                <w:b/>
                <w:bCs/>
              </w:rPr>
            </w:pPr>
            <w:r w:rsidRPr="00332AB5">
              <w:rPr>
                <w:b/>
                <w:bCs/>
              </w:rPr>
              <w:t>Naziv natječaja</w:t>
            </w:r>
          </w:p>
        </w:tc>
        <w:tc>
          <w:tcPr>
            <w:tcW w:w="1812" w:type="dxa"/>
            <w:tcBorders>
              <w:bottom w:val="single" w:sz="4" w:space="0" w:color="808080" w:themeColor="text1" w:themeTint="7F" w:themeShade="00"/>
            </w:tcBorders>
            <w:vAlign w:val="bottom"/>
          </w:tcPr>
          <w:p w14:paraId="16974014" w14:textId="28933DFB" w:rsidR="00377A79" w:rsidRPr="00332AB5" w:rsidRDefault="00377A79" w:rsidP="00275475">
            <w:pPr>
              <w:spacing w:before="120" w:after="120"/>
              <w:rPr>
                <w:b/>
                <w:bCs/>
              </w:rPr>
            </w:pPr>
            <w:r w:rsidRPr="00332AB5">
              <w:rPr>
                <w:b/>
                <w:bCs/>
              </w:rPr>
              <w:t>Vrijednost bespovratnih sredstava (</w:t>
            </w:r>
            <w:r w:rsidR="00731FFC" w:rsidRPr="00332AB5">
              <w:rPr>
                <w:b/>
                <w:bCs/>
              </w:rPr>
              <w:t>eur</w:t>
            </w:r>
            <w:r w:rsidRPr="00332AB5">
              <w:rPr>
                <w:b/>
                <w:bCs/>
              </w:rPr>
              <w:t>)</w:t>
            </w:r>
          </w:p>
        </w:tc>
      </w:tr>
      <w:tr w:rsidR="000007CC" w:rsidRPr="00332AB5" w14:paraId="12BC0346" w14:textId="77777777" w:rsidTr="007351EC">
        <w:trPr>
          <w:trHeight w:val="507"/>
        </w:trPr>
        <w:tc>
          <w:tcPr>
            <w:tcW w:w="1178" w:type="dxa"/>
            <w:shd w:val="clear" w:color="auto" w:fill="auto"/>
          </w:tcPr>
          <w:p w14:paraId="6D77DB9B" w14:textId="77403313" w:rsidR="000007CC" w:rsidRPr="00332AB5" w:rsidRDefault="000007CC" w:rsidP="000007CC">
            <w:pPr>
              <w:spacing w:before="120" w:after="120"/>
            </w:pPr>
            <w:r w:rsidRPr="00332AB5">
              <w:t>M22</w:t>
            </w:r>
          </w:p>
        </w:tc>
        <w:tc>
          <w:tcPr>
            <w:tcW w:w="6072" w:type="dxa"/>
            <w:shd w:val="clear" w:color="auto" w:fill="auto"/>
          </w:tcPr>
          <w:p w14:paraId="2A30A8D8" w14:textId="5A466986" w:rsidR="000007CC" w:rsidRPr="00332AB5" w:rsidRDefault="000007CC" w:rsidP="000007CC">
            <w:pPr>
              <w:tabs>
                <w:tab w:val="left" w:pos="889"/>
              </w:tabs>
              <w:spacing w:before="120" w:after="120"/>
            </w:pPr>
            <w:r w:rsidRPr="00332AB5">
              <w:t>M22 „Izvanredna privremena potpora poljoprivrednicima i MSP-ovima koji su posebno pogođeni učinkom ruske invazije na Ukrajinu“ – „MPS-ovi“</w:t>
            </w:r>
          </w:p>
        </w:tc>
        <w:tc>
          <w:tcPr>
            <w:tcW w:w="1812" w:type="dxa"/>
            <w:shd w:val="clear" w:color="auto" w:fill="auto"/>
          </w:tcPr>
          <w:p w14:paraId="27CA30B9" w14:textId="1137F8F4" w:rsidR="000007CC" w:rsidRPr="00332AB5" w:rsidRDefault="000007CC" w:rsidP="000007CC">
            <w:pPr>
              <w:spacing w:before="120" w:after="120"/>
              <w:jc w:val="right"/>
            </w:pPr>
            <w:r w:rsidRPr="00332AB5">
              <w:t>3.185.347,40</w:t>
            </w:r>
          </w:p>
        </w:tc>
      </w:tr>
      <w:tr w:rsidR="000007CC" w:rsidRPr="00332AB5" w14:paraId="2C6F259A" w14:textId="77777777" w:rsidTr="007351EC">
        <w:tc>
          <w:tcPr>
            <w:tcW w:w="1178" w:type="dxa"/>
            <w:shd w:val="clear" w:color="auto" w:fill="auto"/>
          </w:tcPr>
          <w:p w14:paraId="51D654A4" w14:textId="29A30D62" w:rsidR="000007CC" w:rsidRPr="00332AB5" w:rsidRDefault="000007CC" w:rsidP="000007CC">
            <w:pPr>
              <w:spacing w:before="120" w:after="120"/>
            </w:pPr>
            <w:r w:rsidRPr="00332AB5">
              <w:t>M22</w:t>
            </w:r>
          </w:p>
        </w:tc>
        <w:tc>
          <w:tcPr>
            <w:tcW w:w="6072" w:type="dxa"/>
            <w:shd w:val="clear" w:color="auto" w:fill="auto"/>
          </w:tcPr>
          <w:p w14:paraId="267A0AF8" w14:textId="4ECDBDD3" w:rsidR="000007CC" w:rsidRPr="00332AB5" w:rsidRDefault="000007CC" w:rsidP="000007CC">
            <w:pPr>
              <w:tabs>
                <w:tab w:val="left" w:pos="889"/>
              </w:tabs>
              <w:spacing w:before="120" w:after="120"/>
            </w:pPr>
            <w:r w:rsidRPr="00332AB5">
              <w:t>M22 „Izvanredna privremena potpora poljoprivrednicima i MSP-ovima koji su posebno pogođeni učinkom ruske invazije na Ukrajinu“ – „POLJOPRIVREDNICI“</w:t>
            </w:r>
          </w:p>
        </w:tc>
        <w:tc>
          <w:tcPr>
            <w:tcW w:w="1812" w:type="dxa"/>
            <w:shd w:val="clear" w:color="auto" w:fill="auto"/>
          </w:tcPr>
          <w:p w14:paraId="33039B72" w14:textId="5E710AAE" w:rsidR="000007CC" w:rsidRPr="00332AB5" w:rsidRDefault="000007CC" w:rsidP="000007CC">
            <w:pPr>
              <w:spacing w:before="120" w:after="120"/>
              <w:jc w:val="right"/>
            </w:pPr>
            <w:r w:rsidRPr="00332AB5">
              <w:t>28.668.126,62</w:t>
            </w:r>
          </w:p>
        </w:tc>
      </w:tr>
      <w:tr w:rsidR="007351EC" w:rsidRPr="00332AB5" w14:paraId="1A6A6E51" w14:textId="77777777" w:rsidTr="007351EC">
        <w:tc>
          <w:tcPr>
            <w:tcW w:w="1178" w:type="dxa"/>
            <w:tcBorders>
              <w:bottom w:val="single" w:sz="4" w:space="0" w:color="808080" w:themeColor="text1" w:themeTint="7F" w:themeShade="00"/>
            </w:tcBorders>
          </w:tcPr>
          <w:p w14:paraId="49E271CB" w14:textId="1EAA36CE" w:rsidR="007351EC" w:rsidRPr="00332AB5" w:rsidRDefault="007351EC" w:rsidP="007351EC">
            <w:pPr>
              <w:spacing w:before="120" w:after="120"/>
            </w:pPr>
            <w:r w:rsidRPr="00332AB5">
              <w:rPr>
                <w:bCs/>
              </w:rPr>
              <w:t>M4</w:t>
            </w:r>
          </w:p>
        </w:tc>
        <w:tc>
          <w:tcPr>
            <w:tcW w:w="6072" w:type="dxa"/>
            <w:tcBorders>
              <w:bottom w:val="single" w:sz="4" w:space="0" w:color="808080" w:themeColor="text1" w:themeTint="7F" w:themeShade="00"/>
            </w:tcBorders>
            <w:vAlign w:val="center"/>
          </w:tcPr>
          <w:p w14:paraId="0F344939" w14:textId="7D73ACAF" w:rsidR="007351EC" w:rsidRPr="00332AB5" w:rsidRDefault="007351EC" w:rsidP="007351EC">
            <w:pPr>
              <w:tabs>
                <w:tab w:val="left" w:pos="889"/>
              </w:tabs>
              <w:spacing w:before="120" w:after="120"/>
            </w:pPr>
            <w:r w:rsidRPr="00332AB5">
              <w:rPr>
                <w:bCs/>
              </w:rPr>
              <w:t>4.4.1. „Neproduktivna ulaganja povezana s očuvanjem okoliša“</w:t>
            </w:r>
          </w:p>
        </w:tc>
        <w:tc>
          <w:tcPr>
            <w:tcW w:w="1812" w:type="dxa"/>
            <w:tcBorders>
              <w:bottom w:val="single" w:sz="4" w:space="0" w:color="808080" w:themeColor="text1" w:themeTint="7F" w:themeShade="00"/>
            </w:tcBorders>
          </w:tcPr>
          <w:p w14:paraId="63E9C654" w14:textId="015302B7" w:rsidR="007351EC" w:rsidRPr="00332AB5" w:rsidRDefault="007351EC" w:rsidP="007351EC">
            <w:pPr>
              <w:spacing w:before="120" w:after="120"/>
              <w:jc w:val="right"/>
            </w:pPr>
            <w:r w:rsidRPr="00332AB5">
              <w:t>5.900.000,00</w:t>
            </w:r>
          </w:p>
        </w:tc>
      </w:tr>
    </w:tbl>
    <w:p w14:paraId="0B2B926C" w14:textId="204616E1" w:rsidR="000007CC" w:rsidRPr="00332AB5" w:rsidRDefault="000007CC" w:rsidP="000007CC">
      <w:pPr>
        <w:spacing w:before="120" w:after="120"/>
        <w:jc w:val="both"/>
        <w:rPr>
          <w:sz w:val="24"/>
          <w:szCs w:val="24"/>
        </w:rPr>
      </w:pPr>
      <w:bookmarkStart w:id="62" w:name="_Hlk133310275"/>
      <w:r w:rsidRPr="00332AB5">
        <w:rPr>
          <w:sz w:val="24"/>
          <w:szCs w:val="24"/>
        </w:rPr>
        <w:t>Temeljem pokrenutih natječaja, do 30. lipnja 2023. doneseno je 27.706 odluka o dodjeli sredstava.</w:t>
      </w:r>
    </w:p>
    <w:p w14:paraId="219D0151" w14:textId="00B9A067" w:rsidR="000007CC" w:rsidRPr="00332AB5" w:rsidRDefault="000007CC" w:rsidP="000007CC">
      <w:pPr>
        <w:spacing w:before="120" w:after="120"/>
        <w:jc w:val="both"/>
        <w:rPr>
          <w:sz w:val="24"/>
          <w:szCs w:val="24"/>
        </w:rPr>
      </w:pPr>
      <w:r w:rsidRPr="00332AB5">
        <w:rPr>
          <w:sz w:val="24"/>
          <w:szCs w:val="24"/>
        </w:rPr>
        <w:t xml:space="preserve">Do 30. lipnja 2023. temeljem svih natječaja/postupaka dodjele ugovoreno </w:t>
      </w:r>
      <w:r w:rsidR="0050417E" w:rsidRPr="00332AB5">
        <w:rPr>
          <w:sz w:val="24"/>
          <w:szCs w:val="24"/>
        </w:rPr>
        <w:t xml:space="preserve">je </w:t>
      </w:r>
      <w:r w:rsidRPr="00332AB5">
        <w:rPr>
          <w:sz w:val="24"/>
          <w:szCs w:val="24"/>
        </w:rPr>
        <w:t>ukupno 2,60 milijardi eura (sredstva EU). U izvještajnom razdoblju je temeljem svih natječaja/postupaka dodjele ugovoreno ukupno 2</w:t>
      </w:r>
      <w:r w:rsidR="002411C4" w:rsidRPr="00332AB5">
        <w:rPr>
          <w:sz w:val="24"/>
          <w:szCs w:val="24"/>
        </w:rPr>
        <w:t>30</w:t>
      </w:r>
      <w:r w:rsidRPr="00332AB5">
        <w:rPr>
          <w:sz w:val="24"/>
          <w:szCs w:val="24"/>
        </w:rPr>
        <w:t>,95 milijuna eura (sredstva EU).</w:t>
      </w:r>
    </w:p>
    <w:p w14:paraId="7E4DFE51" w14:textId="3278EF00" w:rsidR="0065094A" w:rsidRPr="00332AB5" w:rsidRDefault="000007CC" w:rsidP="000007CC">
      <w:pPr>
        <w:spacing w:before="120" w:after="120"/>
        <w:jc w:val="both"/>
        <w:rPr>
          <w:sz w:val="24"/>
          <w:szCs w:val="24"/>
        </w:rPr>
      </w:pPr>
      <w:r w:rsidRPr="00332AB5">
        <w:rPr>
          <w:sz w:val="24"/>
          <w:szCs w:val="24"/>
        </w:rPr>
        <w:t>Ukupna plaćanja prema korisnicima izvršena su u iznosu od 2,21 milijardi eura (sredstva EU). U izvještajnom razdoblju korisnicima je plaćeno 238,44 milijuna eura (sredstva EU). Ukupno je do 30. lipnja 2023. ovjereno 2,04 milijarde eura (sredstva EU), a doznačeno je 2,1</w:t>
      </w:r>
      <w:r w:rsidR="002F48B7" w:rsidRPr="00332AB5">
        <w:rPr>
          <w:sz w:val="24"/>
          <w:szCs w:val="24"/>
        </w:rPr>
        <w:t>0</w:t>
      </w:r>
      <w:r w:rsidRPr="00332AB5">
        <w:rPr>
          <w:sz w:val="24"/>
          <w:szCs w:val="24"/>
        </w:rPr>
        <w:t xml:space="preserve"> milijardi eura. U izvještajnom razdoblju ovjereno je 125,70 milijuna eura (sredstva EU), a doznačeno je 125,10 milijuna eura (sredstva EU</w:t>
      </w:r>
      <w:r w:rsidR="00710A31" w:rsidRPr="00332AB5">
        <w:rPr>
          <w:sz w:val="24"/>
          <w:szCs w:val="24"/>
        </w:rPr>
        <w:t>).</w:t>
      </w:r>
    </w:p>
    <w:bookmarkEnd w:id="62"/>
    <w:p w14:paraId="28D8ACBB" w14:textId="77777777" w:rsidR="000007CC" w:rsidRPr="00332AB5" w:rsidRDefault="000007CC">
      <w:pPr>
        <w:rPr>
          <w:b/>
          <w:bCs/>
        </w:rPr>
      </w:pPr>
      <w:r w:rsidRPr="00332AB5">
        <w:rPr>
          <w:b/>
          <w:bCs/>
        </w:rPr>
        <w:br w:type="page"/>
      </w:r>
    </w:p>
    <w:p w14:paraId="4C92F305" w14:textId="015CB805" w:rsidR="003620A9" w:rsidRPr="00332AB5" w:rsidRDefault="003620A9" w:rsidP="00502637">
      <w:pPr>
        <w:spacing w:before="120" w:after="120"/>
        <w:rPr>
          <w:sz w:val="24"/>
          <w:szCs w:val="24"/>
          <w:shd w:val="clear" w:color="auto" w:fill="EAF1DD" w:themeFill="accent3" w:themeFillTint="33"/>
        </w:rPr>
      </w:pPr>
      <w:bookmarkStart w:id="63" w:name="_Toc152595286"/>
      <w:r w:rsidRPr="00332AB5">
        <w:rPr>
          <w:b/>
          <w:bCs/>
        </w:rPr>
        <w:lastRenderedPageBreak/>
        <w:t xml:space="preserve">Tablica </w:t>
      </w:r>
      <w:r w:rsidR="008C2CC3" w:rsidRPr="00332AB5">
        <w:rPr>
          <w:b/>
          <w:bCs/>
        </w:rPr>
        <w:fldChar w:fldCharType="begin"/>
      </w:r>
      <w:r w:rsidR="00BE6224" w:rsidRPr="00332AB5">
        <w:rPr>
          <w:b/>
          <w:bCs/>
        </w:rPr>
        <w:instrText xml:space="preserve"> SEQ Tablica \* ARABIC </w:instrText>
      </w:r>
      <w:r w:rsidR="008C2CC3" w:rsidRPr="00332AB5">
        <w:rPr>
          <w:b/>
          <w:bCs/>
        </w:rPr>
        <w:fldChar w:fldCharType="separate"/>
      </w:r>
      <w:r w:rsidR="005E6E46">
        <w:rPr>
          <w:b/>
          <w:bCs/>
          <w:noProof/>
        </w:rPr>
        <w:t>12</w:t>
      </w:r>
      <w:r w:rsidR="008C2CC3" w:rsidRPr="00332AB5">
        <w:rPr>
          <w:b/>
          <w:bCs/>
        </w:rPr>
        <w:fldChar w:fldCharType="end"/>
      </w:r>
      <w:r w:rsidRPr="00332AB5">
        <w:rPr>
          <w:b/>
          <w:bCs/>
        </w:rPr>
        <w:t>: Financijski pokazatelji statusa provedbe</w:t>
      </w:r>
      <w:r w:rsidRPr="00332AB5">
        <w:rPr>
          <w:b/>
          <w:bCs/>
          <w:shd w:val="clear" w:color="auto" w:fill="EAF1DD" w:themeFill="accent3" w:themeFillTint="33"/>
        </w:rPr>
        <w:t xml:space="preserve"> </w:t>
      </w:r>
      <w:r w:rsidRPr="00332AB5">
        <w:rPr>
          <w:b/>
          <w:bCs/>
        </w:rPr>
        <w:t xml:space="preserve">Programa ruralnog razvoja u izvještajnom razdoblju </w:t>
      </w:r>
      <w:r w:rsidR="003D09AA" w:rsidRPr="00332AB5">
        <w:rPr>
          <w:b/>
          <w:bCs/>
        </w:rPr>
        <w:t xml:space="preserve">od </w:t>
      </w:r>
      <w:r w:rsidR="0011067E" w:rsidRPr="00332AB5">
        <w:rPr>
          <w:b/>
          <w:bCs/>
        </w:rPr>
        <w:t>1. siječnja</w:t>
      </w:r>
      <w:r w:rsidR="00B2004D" w:rsidRPr="00332AB5">
        <w:rPr>
          <w:b/>
          <w:bCs/>
        </w:rPr>
        <w:t xml:space="preserve"> do </w:t>
      </w:r>
      <w:r w:rsidR="0011067E" w:rsidRPr="00332AB5">
        <w:rPr>
          <w:b/>
          <w:bCs/>
        </w:rPr>
        <w:t>30. lipnja 2023.</w:t>
      </w:r>
      <w:r w:rsidR="00B2004D" w:rsidRPr="00332AB5">
        <w:rPr>
          <w:b/>
          <w:bCs/>
        </w:rPr>
        <w:t xml:space="preserve"> </w:t>
      </w:r>
      <w:r w:rsidRPr="00332AB5">
        <w:rPr>
          <w:b/>
          <w:bCs/>
        </w:rPr>
        <w:t>(sredstva EU, u milijunima eura i postocima od dodijeljenih sredstava)</w:t>
      </w:r>
      <w:bookmarkEnd w:id="63"/>
    </w:p>
    <w:tbl>
      <w:tblPr>
        <w:tblStyle w:val="TableGrid"/>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1056"/>
        <w:gridCol w:w="1031"/>
        <w:gridCol w:w="703"/>
        <w:gridCol w:w="1021"/>
        <w:gridCol w:w="635"/>
        <w:gridCol w:w="1089"/>
        <w:gridCol w:w="799"/>
        <w:gridCol w:w="992"/>
        <w:gridCol w:w="568"/>
      </w:tblGrid>
      <w:tr w:rsidR="00377A79" w:rsidRPr="00332AB5" w14:paraId="5372711E" w14:textId="77777777" w:rsidTr="00502637">
        <w:trPr>
          <w:trHeight w:val="737"/>
        </w:trPr>
        <w:tc>
          <w:tcPr>
            <w:tcW w:w="1179" w:type="dxa"/>
            <w:vAlign w:val="center"/>
          </w:tcPr>
          <w:p w14:paraId="3C81D903" w14:textId="77777777" w:rsidR="00377A79" w:rsidRPr="00332AB5" w:rsidRDefault="00377A79" w:rsidP="00275475">
            <w:pPr>
              <w:spacing w:after="60"/>
              <w:rPr>
                <w:rFonts w:asciiTheme="minorHAnsi" w:hAnsiTheme="minorHAnsi" w:cstheme="minorHAnsi"/>
                <w:sz w:val="16"/>
                <w:szCs w:val="16"/>
              </w:rPr>
            </w:pPr>
            <w:r w:rsidRPr="00332AB5">
              <w:rPr>
                <w:rFonts w:asciiTheme="minorHAnsi" w:hAnsiTheme="minorHAnsi" w:cstheme="minorHAnsi"/>
                <w:sz w:val="16"/>
                <w:szCs w:val="16"/>
              </w:rPr>
              <w:t>Mjera (M)</w:t>
            </w:r>
            <w:r w:rsidRPr="00332AB5">
              <w:rPr>
                <w:rStyle w:val="FootnoteReference"/>
                <w:rFonts w:asciiTheme="minorHAnsi" w:hAnsiTheme="minorHAnsi" w:cstheme="minorHAnsi"/>
                <w:sz w:val="16"/>
                <w:szCs w:val="16"/>
              </w:rPr>
              <w:footnoteReference w:id="13"/>
            </w:r>
          </w:p>
        </w:tc>
        <w:tc>
          <w:tcPr>
            <w:tcW w:w="1056" w:type="dxa"/>
            <w:tcBorders>
              <w:bottom w:val="single" w:sz="4" w:space="0" w:color="808080" w:themeColor="background1" w:themeShade="80"/>
            </w:tcBorders>
            <w:vAlign w:val="center"/>
          </w:tcPr>
          <w:p w14:paraId="5C6F2BE5" w14:textId="77777777" w:rsidR="00377A79" w:rsidRPr="00332AB5" w:rsidRDefault="00377A79" w:rsidP="00275475">
            <w:pPr>
              <w:spacing w:after="60"/>
              <w:jc w:val="right"/>
              <w:rPr>
                <w:rFonts w:asciiTheme="minorHAnsi" w:hAnsiTheme="minorHAnsi" w:cstheme="minorHAnsi"/>
                <w:sz w:val="16"/>
                <w:szCs w:val="16"/>
              </w:rPr>
            </w:pPr>
            <w:r w:rsidRPr="00332AB5">
              <w:rPr>
                <w:rFonts w:asciiTheme="minorHAnsi" w:hAnsiTheme="minorHAnsi" w:cstheme="minorHAnsi"/>
                <w:sz w:val="16"/>
                <w:szCs w:val="16"/>
              </w:rPr>
              <w:t>Dodijeljena sredstva</w:t>
            </w:r>
          </w:p>
        </w:tc>
        <w:tc>
          <w:tcPr>
            <w:tcW w:w="1031" w:type="dxa"/>
            <w:tcBorders>
              <w:bottom w:val="single" w:sz="4" w:space="0" w:color="808080" w:themeColor="background1" w:themeShade="80"/>
            </w:tcBorders>
            <w:vAlign w:val="center"/>
          </w:tcPr>
          <w:p w14:paraId="2FF3C7EF" w14:textId="77777777" w:rsidR="00377A79" w:rsidRPr="00332AB5" w:rsidRDefault="00377A79" w:rsidP="00275475">
            <w:pPr>
              <w:spacing w:after="60"/>
              <w:jc w:val="right"/>
              <w:rPr>
                <w:rFonts w:asciiTheme="minorHAnsi" w:hAnsiTheme="minorHAnsi" w:cstheme="minorHAnsi"/>
                <w:sz w:val="16"/>
                <w:szCs w:val="16"/>
              </w:rPr>
            </w:pPr>
            <w:r w:rsidRPr="00332AB5">
              <w:rPr>
                <w:rFonts w:asciiTheme="minorHAnsi" w:hAnsiTheme="minorHAnsi" w:cstheme="minorHAnsi"/>
                <w:sz w:val="16"/>
                <w:szCs w:val="16"/>
              </w:rPr>
              <w:t>Ugovorena sredstva</w:t>
            </w:r>
          </w:p>
        </w:tc>
        <w:tc>
          <w:tcPr>
            <w:tcW w:w="703" w:type="dxa"/>
            <w:tcBorders>
              <w:bottom w:val="single" w:sz="4" w:space="0" w:color="808080" w:themeColor="background1" w:themeShade="80"/>
            </w:tcBorders>
            <w:vAlign w:val="center"/>
          </w:tcPr>
          <w:p w14:paraId="3649EA33" w14:textId="77777777" w:rsidR="00377A79" w:rsidRPr="00332AB5" w:rsidRDefault="00377A79" w:rsidP="00275475">
            <w:pPr>
              <w:spacing w:after="60"/>
              <w:jc w:val="right"/>
              <w:rPr>
                <w:rFonts w:asciiTheme="minorHAnsi" w:hAnsiTheme="minorHAnsi" w:cstheme="minorHAnsi"/>
                <w:sz w:val="16"/>
                <w:szCs w:val="16"/>
              </w:rPr>
            </w:pPr>
            <w:r w:rsidRPr="00332AB5">
              <w:rPr>
                <w:rFonts w:asciiTheme="minorHAnsi" w:hAnsiTheme="minorHAnsi" w:cstheme="minorHAnsi"/>
                <w:sz w:val="16"/>
                <w:szCs w:val="16"/>
              </w:rPr>
              <w:t xml:space="preserve"> %</w:t>
            </w:r>
          </w:p>
        </w:tc>
        <w:tc>
          <w:tcPr>
            <w:tcW w:w="1021" w:type="dxa"/>
            <w:tcBorders>
              <w:bottom w:val="single" w:sz="4" w:space="0" w:color="808080" w:themeColor="background1" w:themeShade="80"/>
            </w:tcBorders>
            <w:vAlign w:val="center"/>
          </w:tcPr>
          <w:p w14:paraId="4CAA8037" w14:textId="77777777" w:rsidR="00377A79" w:rsidRPr="00332AB5" w:rsidRDefault="00377A79" w:rsidP="00275475">
            <w:pPr>
              <w:spacing w:after="60"/>
              <w:jc w:val="right"/>
              <w:rPr>
                <w:rFonts w:asciiTheme="minorHAnsi" w:hAnsiTheme="minorHAnsi" w:cstheme="minorHAnsi"/>
                <w:sz w:val="16"/>
                <w:szCs w:val="16"/>
              </w:rPr>
            </w:pPr>
            <w:r w:rsidRPr="00332AB5">
              <w:rPr>
                <w:rFonts w:asciiTheme="minorHAnsi" w:hAnsiTheme="minorHAnsi" w:cstheme="minorHAnsi"/>
                <w:sz w:val="16"/>
                <w:szCs w:val="16"/>
              </w:rPr>
              <w:t>Plaćena sredstva</w:t>
            </w:r>
          </w:p>
        </w:tc>
        <w:tc>
          <w:tcPr>
            <w:tcW w:w="635" w:type="dxa"/>
            <w:tcBorders>
              <w:bottom w:val="single" w:sz="4" w:space="0" w:color="808080" w:themeColor="background1" w:themeShade="80"/>
            </w:tcBorders>
            <w:vAlign w:val="center"/>
          </w:tcPr>
          <w:p w14:paraId="4405A814" w14:textId="77777777" w:rsidR="00377A79" w:rsidRPr="00332AB5" w:rsidRDefault="00377A79" w:rsidP="00275475">
            <w:pPr>
              <w:spacing w:after="60"/>
              <w:jc w:val="right"/>
              <w:rPr>
                <w:rFonts w:asciiTheme="minorHAnsi" w:hAnsiTheme="minorHAnsi" w:cstheme="minorHAnsi"/>
                <w:sz w:val="16"/>
                <w:szCs w:val="16"/>
              </w:rPr>
            </w:pPr>
            <w:r w:rsidRPr="00332AB5">
              <w:rPr>
                <w:rFonts w:asciiTheme="minorHAnsi" w:hAnsiTheme="minorHAnsi" w:cstheme="minorHAnsi"/>
                <w:sz w:val="16"/>
                <w:szCs w:val="16"/>
              </w:rPr>
              <w:t xml:space="preserve"> %</w:t>
            </w:r>
          </w:p>
        </w:tc>
        <w:tc>
          <w:tcPr>
            <w:tcW w:w="1089" w:type="dxa"/>
            <w:tcBorders>
              <w:bottom w:val="single" w:sz="4" w:space="0" w:color="808080" w:themeColor="background1" w:themeShade="80"/>
            </w:tcBorders>
            <w:vAlign w:val="center"/>
          </w:tcPr>
          <w:p w14:paraId="280DE8E6" w14:textId="77777777" w:rsidR="00377A79" w:rsidRPr="00332AB5" w:rsidRDefault="00377A79" w:rsidP="00275475">
            <w:pPr>
              <w:spacing w:after="60"/>
              <w:jc w:val="right"/>
              <w:rPr>
                <w:rFonts w:asciiTheme="minorHAnsi" w:hAnsiTheme="minorHAnsi" w:cstheme="minorHAnsi"/>
                <w:sz w:val="16"/>
                <w:szCs w:val="16"/>
              </w:rPr>
            </w:pPr>
            <w:r w:rsidRPr="00332AB5">
              <w:rPr>
                <w:rFonts w:asciiTheme="minorHAnsi" w:hAnsiTheme="minorHAnsi" w:cstheme="minorHAnsi"/>
                <w:sz w:val="16"/>
                <w:szCs w:val="16"/>
              </w:rPr>
              <w:t>Ovjerena sredstva</w:t>
            </w:r>
          </w:p>
        </w:tc>
        <w:tc>
          <w:tcPr>
            <w:tcW w:w="799" w:type="dxa"/>
            <w:tcBorders>
              <w:bottom w:val="single" w:sz="4" w:space="0" w:color="808080" w:themeColor="background1" w:themeShade="80"/>
            </w:tcBorders>
            <w:vAlign w:val="center"/>
          </w:tcPr>
          <w:p w14:paraId="38AC8D08" w14:textId="77777777" w:rsidR="00377A79" w:rsidRPr="00332AB5" w:rsidRDefault="00377A79" w:rsidP="00275475">
            <w:pPr>
              <w:spacing w:after="60"/>
              <w:jc w:val="right"/>
              <w:rPr>
                <w:rFonts w:asciiTheme="minorHAnsi" w:hAnsiTheme="minorHAnsi" w:cstheme="minorHAnsi"/>
                <w:sz w:val="16"/>
                <w:szCs w:val="16"/>
              </w:rPr>
            </w:pPr>
            <w:r w:rsidRPr="00332AB5">
              <w:rPr>
                <w:rFonts w:asciiTheme="minorHAnsi" w:hAnsiTheme="minorHAnsi" w:cstheme="minorHAnsi"/>
                <w:sz w:val="16"/>
                <w:szCs w:val="16"/>
              </w:rPr>
              <w:t xml:space="preserve"> %</w:t>
            </w:r>
          </w:p>
        </w:tc>
        <w:tc>
          <w:tcPr>
            <w:tcW w:w="992" w:type="dxa"/>
            <w:tcBorders>
              <w:bottom w:val="single" w:sz="4" w:space="0" w:color="808080" w:themeColor="background1" w:themeShade="80"/>
            </w:tcBorders>
            <w:vAlign w:val="center"/>
          </w:tcPr>
          <w:p w14:paraId="4EAB3EB4" w14:textId="77777777" w:rsidR="00377A79" w:rsidRPr="00332AB5" w:rsidRDefault="00377A79" w:rsidP="00275475">
            <w:pPr>
              <w:spacing w:after="60"/>
              <w:jc w:val="right"/>
              <w:rPr>
                <w:rFonts w:asciiTheme="minorHAnsi" w:hAnsiTheme="minorHAnsi" w:cstheme="minorHAnsi"/>
                <w:sz w:val="16"/>
                <w:szCs w:val="16"/>
              </w:rPr>
            </w:pPr>
            <w:r w:rsidRPr="00332AB5">
              <w:rPr>
                <w:rFonts w:asciiTheme="minorHAnsi" w:hAnsiTheme="minorHAnsi" w:cstheme="minorHAnsi"/>
                <w:sz w:val="16"/>
                <w:szCs w:val="16"/>
              </w:rPr>
              <w:t>Doznačena sredstva</w:t>
            </w:r>
          </w:p>
        </w:tc>
        <w:tc>
          <w:tcPr>
            <w:tcW w:w="568" w:type="dxa"/>
            <w:tcBorders>
              <w:bottom w:val="single" w:sz="4" w:space="0" w:color="808080" w:themeColor="background1" w:themeShade="80"/>
            </w:tcBorders>
            <w:vAlign w:val="center"/>
          </w:tcPr>
          <w:p w14:paraId="1A914E38" w14:textId="77777777" w:rsidR="00377A79" w:rsidRPr="00332AB5" w:rsidRDefault="00377A79" w:rsidP="00275475">
            <w:pPr>
              <w:spacing w:after="60"/>
              <w:jc w:val="right"/>
              <w:rPr>
                <w:rFonts w:asciiTheme="minorHAnsi" w:hAnsiTheme="minorHAnsi" w:cstheme="minorHAnsi"/>
                <w:sz w:val="16"/>
                <w:szCs w:val="16"/>
              </w:rPr>
            </w:pPr>
            <w:r w:rsidRPr="00332AB5">
              <w:rPr>
                <w:rFonts w:asciiTheme="minorHAnsi" w:hAnsiTheme="minorHAnsi" w:cstheme="minorHAnsi"/>
                <w:sz w:val="16"/>
                <w:szCs w:val="16"/>
              </w:rPr>
              <w:t xml:space="preserve"> %</w:t>
            </w:r>
          </w:p>
        </w:tc>
      </w:tr>
      <w:tr w:rsidR="00377A79" w:rsidRPr="00332AB5" w14:paraId="52AD8C8D" w14:textId="77777777" w:rsidTr="000F74EE">
        <w:trPr>
          <w:trHeight w:val="113"/>
        </w:trPr>
        <w:tc>
          <w:tcPr>
            <w:tcW w:w="1179" w:type="dxa"/>
            <w:vAlign w:val="center"/>
          </w:tcPr>
          <w:p w14:paraId="686A5D45" w14:textId="77777777" w:rsidR="00377A79" w:rsidRPr="00332AB5" w:rsidRDefault="00377A79" w:rsidP="00275475">
            <w:pPr>
              <w:rPr>
                <w:rFonts w:asciiTheme="minorHAnsi" w:hAnsiTheme="minorHAnsi" w:cstheme="minorHAnsi"/>
                <w:sz w:val="18"/>
                <w:szCs w:val="18"/>
              </w:rPr>
            </w:pPr>
          </w:p>
        </w:tc>
        <w:tc>
          <w:tcPr>
            <w:tcW w:w="1056" w:type="dxa"/>
            <w:tcBorders>
              <w:top w:val="single" w:sz="4" w:space="0" w:color="808080" w:themeColor="background1" w:themeShade="80"/>
            </w:tcBorders>
            <w:vAlign w:val="center"/>
          </w:tcPr>
          <w:p w14:paraId="538903F2" w14:textId="77777777" w:rsidR="00377A79" w:rsidRPr="00332AB5" w:rsidRDefault="00377A79" w:rsidP="00275475">
            <w:pPr>
              <w:jc w:val="right"/>
              <w:rPr>
                <w:rFonts w:asciiTheme="minorHAnsi" w:hAnsiTheme="minorHAnsi" w:cstheme="minorHAnsi"/>
                <w:sz w:val="18"/>
                <w:szCs w:val="18"/>
              </w:rPr>
            </w:pPr>
          </w:p>
        </w:tc>
        <w:tc>
          <w:tcPr>
            <w:tcW w:w="1031" w:type="dxa"/>
            <w:tcBorders>
              <w:top w:val="single" w:sz="4" w:space="0" w:color="808080" w:themeColor="background1" w:themeShade="80"/>
            </w:tcBorders>
            <w:vAlign w:val="center"/>
          </w:tcPr>
          <w:p w14:paraId="4A6939A0" w14:textId="77777777" w:rsidR="00377A79" w:rsidRPr="00332AB5" w:rsidRDefault="00377A79" w:rsidP="00275475">
            <w:pPr>
              <w:jc w:val="right"/>
              <w:rPr>
                <w:rFonts w:asciiTheme="minorHAnsi" w:hAnsiTheme="minorHAnsi" w:cstheme="minorHAnsi"/>
                <w:sz w:val="18"/>
                <w:szCs w:val="18"/>
              </w:rPr>
            </w:pPr>
          </w:p>
        </w:tc>
        <w:tc>
          <w:tcPr>
            <w:tcW w:w="703" w:type="dxa"/>
            <w:tcBorders>
              <w:top w:val="single" w:sz="4" w:space="0" w:color="808080" w:themeColor="background1" w:themeShade="80"/>
            </w:tcBorders>
            <w:vAlign w:val="center"/>
          </w:tcPr>
          <w:p w14:paraId="41D47961" w14:textId="77777777" w:rsidR="00377A79" w:rsidRPr="00332AB5" w:rsidRDefault="00377A79" w:rsidP="00275475">
            <w:pPr>
              <w:jc w:val="right"/>
              <w:rPr>
                <w:rFonts w:asciiTheme="minorHAnsi" w:hAnsiTheme="minorHAnsi" w:cstheme="minorHAnsi"/>
                <w:sz w:val="18"/>
                <w:szCs w:val="18"/>
              </w:rPr>
            </w:pPr>
          </w:p>
        </w:tc>
        <w:tc>
          <w:tcPr>
            <w:tcW w:w="1021" w:type="dxa"/>
            <w:tcBorders>
              <w:top w:val="single" w:sz="4" w:space="0" w:color="808080" w:themeColor="background1" w:themeShade="80"/>
            </w:tcBorders>
            <w:vAlign w:val="center"/>
          </w:tcPr>
          <w:p w14:paraId="0F41584E" w14:textId="77777777" w:rsidR="00377A79" w:rsidRPr="00332AB5" w:rsidRDefault="00377A79" w:rsidP="00275475">
            <w:pPr>
              <w:jc w:val="right"/>
              <w:rPr>
                <w:rFonts w:asciiTheme="minorHAnsi" w:hAnsiTheme="minorHAnsi" w:cstheme="minorHAnsi"/>
                <w:sz w:val="18"/>
                <w:szCs w:val="18"/>
              </w:rPr>
            </w:pPr>
          </w:p>
        </w:tc>
        <w:tc>
          <w:tcPr>
            <w:tcW w:w="635" w:type="dxa"/>
            <w:tcBorders>
              <w:top w:val="single" w:sz="4" w:space="0" w:color="808080" w:themeColor="background1" w:themeShade="80"/>
            </w:tcBorders>
            <w:vAlign w:val="center"/>
          </w:tcPr>
          <w:p w14:paraId="58E5688C" w14:textId="77777777" w:rsidR="00377A79" w:rsidRPr="00332AB5" w:rsidRDefault="00377A79" w:rsidP="00275475">
            <w:pPr>
              <w:jc w:val="right"/>
              <w:rPr>
                <w:rFonts w:asciiTheme="minorHAnsi" w:hAnsiTheme="minorHAnsi" w:cstheme="minorHAnsi"/>
                <w:sz w:val="18"/>
                <w:szCs w:val="18"/>
              </w:rPr>
            </w:pPr>
          </w:p>
        </w:tc>
        <w:tc>
          <w:tcPr>
            <w:tcW w:w="1089" w:type="dxa"/>
            <w:tcBorders>
              <w:top w:val="single" w:sz="4" w:space="0" w:color="808080" w:themeColor="background1" w:themeShade="80"/>
            </w:tcBorders>
            <w:vAlign w:val="center"/>
          </w:tcPr>
          <w:p w14:paraId="73E8B63F" w14:textId="77777777" w:rsidR="00377A79" w:rsidRPr="00332AB5" w:rsidRDefault="00377A79" w:rsidP="00275475">
            <w:pPr>
              <w:jc w:val="right"/>
              <w:rPr>
                <w:rFonts w:asciiTheme="minorHAnsi" w:hAnsiTheme="minorHAnsi" w:cstheme="minorHAnsi"/>
                <w:sz w:val="18"/>
                <w:szCs w:val="18"/>
              </w:rPr>
            </w:pPr>
          </w:p>
        </w:tc>
        <w:tc>
          <w:tcPr>
            <w:tcW w:w="799" w:type="dxa"/>
            <w:tcBorders>
              <w:top w:val="single" w:sz="4" w:space="0" w:color="808080" w:themeColor="background1" w:themeShade="80"/>
            </w:tcBorders>
            <w:vAlign w:val="center"/>
          </w:tcPr>
          <w:p w14:paraId="41A48499" w14:textId="77777777" w:rsidR="00377A79" w:rsidRPr="00332AB5" w:rsidRDefault="00377A79" w:rsidP="00275475">
            <w:pPr>
              <w:jc w:val="right"/>
              <w:rPr>
                <w:rFonts w:asciiTheme="minorHAnsi" w:hAnsiTheme="minorHAnsi" w:cstheme="minorHAnsi"/>
                <w:sz w:val="18"/>
                <w:szCs w:val="18"/>
              </w:rPr>
            </w:pPr>
          </w:p>
        </w:tc>
        <w:tc>
          <w:tcPr>
            <w:tcW w:w="992" w:type="dxa"/>
            <w:tcBorders>
              <w:top w:val="single" w:sz="4" w:space="0" w:color="808080" w:themeColor="background1" w:themeShade="80"/>
            </w:tcBorders>
            <w:vAlign w:val="center"/>
          </w:tcPr>
          <w:p w14:paraId="5F7FC935" w14:textId="77777777" w:rsidR="00377A79" w:rsidRPr="00332AB5" w:rsidRDefault="00377A79" w:rsidP="00275475">
            <w:pPr>
              <w:jc w:val="right"/>
              <w:rPr>
                <w:rFonts w:asciiTheme="minorHAnsi" w:hAnsiTheme="minorHAnsi" w:cstheme="minorHAnsi"/>
                <w:sz w:val="18"/>
                <w:szCs w:val="18"/>
              </w:rPr>
            </w:pPr>
          </w:p>
        </w:tc>
        <w:tc>
          <w:tcPr>
            <w:tcW w:w="568" w:type="dxa"/>
            <w:tcBorders>
              <w:top w:val="single" w:sz="4" w:space="0" w:color="808080" w:themeColor="background1" w:themeShade="80"/>
            </w:tcBorders>
            <w:vAlign w:val="center"/>
          </w:tcPr>
          <w:p w14:paraId="4456D81C" w14:textId="77777777" w:rsidR="00377A79" w:rsidRPr="00332AB5" w:rsidRDefault="00377A79" w:rsidP="00275475">
            <w:pPr>
              <w:jc w:val="right"/>
              <w:rPr>
                <w:rFonts w:asciiTheme="minorHAnsi" w:hAnsiTheme="minorHAnsi" w:cstheme="minorHAnsi"/>
                <w:sz w:val="18"/>
                <w:szCs w:val="18"/>
              </w:rPr>
            </w:pPr>
          </w:p>
        </w:tc>
      </w:tr>
      <w:tr w:rsidR="004A75E3" w:rsidRPr="00332AB5" w14:paraId="6BBE165E" w14:textId="77777777" w:rsidTr="00441349">
        <w:trPr>
          <w:trHeight w:val="397"/>
        </w:trPr>
        <w:tc>
          <w:tcPr>
            <w:tcW w:w="1179" w:type="dxa"/>
            <w:vAlign w:val="center"/>
          </w:tcPr>
          <w:p w14:paraId="66F5EA04" w14:textId="77777777" w:rsidR="004A75E3" w:rsidRPr="00332AB5" w:rsidRDefault="004A75E3" w:rsidP="004A75E3">
            <w:pPr>
              <w:rPr>
                <w:rFonts w:asciiTheme="minorHAnsi" w:hAnsiTheme="minorHAnsi" w:cstheme="minorHAnsi"/>
                <w:sz w:val="18"/>
                <w:szCs w:val="18"/>
              </w:rPr>
            </w:pPr>
            <w:r w:rsidRPr="00332AB5">
              <w:rPr>
                <w:rFonts w:asciiTheme="minorHAnsi" w:hAnsiTheme="minorHAnsi" w:cstheme="minorHAnsi"/>
                <w:sz w:val="18"/>
                <w:szCs w:val="18"/>
              </w:rPr>
              <w:t>M 1</w:t>
            </w:r>
          </w:p>
        </w:tc>
        <w:tc>
          <w:tcPr>
            <w:tcW w:w="1056" w:type="dxa"/>
            <w:tcBorders>
              <w:top w:val="nil"/>
              <w:left w:val="nil"/>
              <w:bottom w:val="nil"/>
              <w:right w:val="nil"/>
            </w:tcBorders>
            <w:shd w:val="clear" w:color="auto" w:fill="auto"/>
            <w:vAlign w:val="center"/>
          </w:tcPr>
          <w:p w14:paraId="031F91C5" w14:textId="314B617C" w:rsidR="004A75E3" w:rsidRPr="00332AB5" w:rsidRDefault="004A75E3" w:rsidP="00441349">
            <w:pPr>
              <w:jc w:val="right"/>
              <w:rPr>
                <w:rFonts w:asciiTheme="minorHAnsi" w:hAnsiTheme="minorHAnsi" w:cstheme="minorHAnsi"/>
                <w:sz w:val="18"/>
                <w:szCs w:val="18"/>
              </w:rPr>
            </w:pPr>
            <w:r w:rsidRPr="00332AB5">
              <w:rPr>
                <w:rFonts w:asciiTheme="minorHAnsi" w:hAnsiTheme="minorHAnsi" w:cstheme="minorHAnsi"/>
                <w:color w:val="000000"/>
                <w:sz w:val="18"/>
                <w:szCs w:val="18"/>
              </w:rPr>
              <w:t>5,63</w:t>
            </w:r>
          </w:p>
        </w:tc>
        <w:tc>
          <w:tcPr>
            <w:tcW w:w="1031" w:type="dxa"/>
            <w:tcBorders>
              <w:top w:val="nil"/>
              <w:left w:val="nil"/>
              <w:bottom w:val="nil"/>
              <w:right w:val="nil"/>
            </w:tcBorders>
            <w:shd w:val="clear" w:color="auto" w:fill="auto"/>
            <w:vAlign w:val="center"/>
          </w:tcPr>
          <w:p w14:paraId="6D27DEC6" w14:textId="33E79183" w:rsidR="004A75E3" w:rsidRPr="00332AB5" w:rsidRDefault="004A75E3" w:rsidP="00441349">
            <w:pPr>
              <w:jc w:val="right"/>
              <w:rPr>
                <w:rFonts w:asciiTheme="minorHAnsi" w:hAnsiTheme="minorHAnsi" w:cstheme="minorHAnsi"/>
                <w:sz w:val="18"/>
                <w:szCs w:val="18"/>
              </w:rPr>
            </w:pPr>
            <w:r w:rsidRPr="00332AB5">
              <w:rPr>
                <w:rFonts w:asciiTheme="minorHAnsi" w:hAnsiTheme="minorHAnsi" w:cstheme="minorHAnsi"/>
                <w:color w:val="000000"/>
                <w:sz w:val="18"/>
                <w:szCs w:val="18"/>
              </w:rPr>
              <w:t>0,37</w:t>
            </w:r>
          </w:p>
        </w:tc>
        <w:tc>
          <w:tcPr>
            <w:tcW w:w="703" w:type="dxa"/>
            <w:tcBorders>
              <w:top w:val="nil"/>
              <w:left w:val="nil"/>
              <w:bottom w:val="nil"/>
              <w:right w:val="nil"/>
            </w:tcBorders>
            <w:shd w:val="clear" w:color="auto" w:fill="auto"/>
            <w:vAlign w:val="center"/>
          </w:tcPr>
          <w:p w14:paraId="2D9A3237" w14:textId="55C622A9" w:rsidR="004A75E3" w:rsidRPr="00332AB5" w:rsidRDefault="004A75E3" w:rsidP="00441349">
            <w:pPr>
              <w:jc w:val="right"/>
              <w:rPr>
                <w:rFonts w:asciiTheme="minorHAnsi" w:hAnsiTheme="minorHAnsi" w:cstheme="minorHAnsi"/>
                <w:sz w:val="18"/>
                <w:szCs w:val="18"/>
              </w:rPr>
            </w:pPr>
            <w:r w:rsidRPr="00332AB5">
              <w:rPr>
                <w:rFonts w:asciiTheme="minorHAnsi" w:hAnsiTheme="minorHAnsi" w:cstheme="minorHAnsi"/>
                <w:color w:val="000000"/>
                <w:sz w:val="18"/>
                <w:szCs w:val="18"/>
              </w:rPr>
              <w:t>6,63</w:t>
            </w:r>
          </w:p>
        </w:tc>
        <w:tc>
          <w:tcPr>
            <w:tcW w:w="1021" w:type="dxa"/>
            <w:tcBorders>
              <w:top w:val="nil"/>
              <w:left w:val="nil"/>
              <w:bottom w:val="nil"/>
              <w:right w:val="nil"/>
            </w:tcBorders>
            <w:shd w:val="clear" w:color="auto" w:fill="auto"/>
            <w:vAlign w:val="center"/>
          </w:tcPr>
          <w:p w14:paraId="0F85421F" w14:textId="2D2C7F98" w:rsidR="004A75E3" w:rsidRPr="00332AB5" w:rsidRDefault="004A75E3" w:rsidP="00441349">
            <w:pPr>
              <w:jc w:val="right"/>
              <w:rPr>
                <w:rFonts w:asciiTheme="minorHAnsi" w:hAnsiTheme="minorHAnsi" w:cstheme="minorHAnsi"/>
                <w:sz w:val="18"/>
                <w:szCs w:val="18"/>
              </w:rPr>
            </w:pPr>
            <w:r w:rsidRPr="00332AB5">
              <w:rPr>
                <w:rFonts w:asciiTheme="minorHAnsi" w:hAnsiTheme="minorHAnsi" w:cstheme="minorHAnsi"/>
                <w:color w:val="000000"/>
                <w:sz w:val="18"/>
                <w:szCs w:val="18"/>
              </w:rPr>
              <w:t>0,37</w:t>
            </w:r>
          </w:p>
        </w:tc>
        <w:tc>
          <w:tcPr>
            <w:tcW w:w="635" w:type="dxa"/>
            <w:tcBorders>
              <w:top w:val="nil"/>
              <w:left w:val="nil"/>
              <w:bottom w:val="nil"/>
              <w:right w:val="nil"/>
            </w:tcBorders>
            <w:shd w:val="clear" w:color="auto" w:fill="auto"/>
            <w:vAlign w:val="center"/>
          </w:tcPr>
          <w:p w14:paraId="06466673" w14:textId="1F27A7AA" w:rsidR="004A75E3" w:rsidRPr="00332AB5" w:rsidRDefault="004A75E3" w:rsidP="00441349">
            <w:pPr>
              <w:jc w:val="right"/>
              <w:rPr>
                <w:rFonts w:asciiTheme="minorHAnsi" w:hAnsiTheme="minorHAnsi" w:cstheme="minorHAnsi"/>
                <w:sz w:val="18"/>
                <w:szCs w:val="18"/>
              </w:rPr>
            </w:pPr>
            <w:r w:rsidRPr="00332AB5">
              <w:rPr>
                <w:rFonts w:asciiTheme="minorHAnsi" w:hAnsiTheme="minorHAnsi" w:cstheme="minorHAnsi"/>
                <w:color w:val="000000"/>
                <w:sz w:val="18"/>
                <w:szCs w:val="18"/>
              </w:rPr>
              <w:t>6,63</w:t>
            </w:r>
          </w:p>
        </w:tc>
        <w:tc>
          <w:tcPr>
            <w:tcW w:w="1089" w:type="dxa"/>
            <w:tcBorders>
              <w:top w:val="nil"/>
              <w:left w:val="nil"/>
              <w:bottom w:val="nil"/>
              <w:right w:val="nil"/>
            </w:tcBorders>
            <w:shd w:val="clear" w:color="auto" w:fill="auto"/>
            <w:vAlign w:val="center"/>
          </w:tcPr>
          <w:p w14:paraId="55D4EC51" w14:textId="4F57D623"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0,13</w:t>
            </w:r>
          </w:p>
        </w:tc>
        <w:tc>
          <w:tcPr>
            <w:tcW w:w="799" w:type="dxa"/>
            <w:tcBorders>
              <w:top w:val="nil"/>
              <w:left w:val="nil"/>
              <w:bottom w:val="nil"/>
              <w:right w:val="nil"/>
            </w:tcBorders>
            <w:shd w:val="clear" w:color="auto" w:fill="auto"/>
            <w:vAlign w:val="center"/>
          </w:tcPr>
          <w:p w14:paraId="647AD583" w14:textId="77BECB16"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2,30</w:t>
            </w:r>
          </w:p>
        </w:tc>
        <w:tc>
          <w:tcPr>
            <w:tcW w:w="992" w:type="dxa"/>
            <w:vAlign w:val="center"/>
          </w:tcPr>
          <w:p w14:paraId="575DE69E" w14:textId="77777777" w:rsidR="004A75E3" w:rsidRPr="00332AB5" w:rsidRDefault="004A75E3" w:rsidP="00441349">
            <w:pPr>
              <w:jc w:val="right"/>
              <w:rPr>
                <w:rFonts w:asciiTheme="minorHAnsi" w:hAnsiTheme="minorHAnsi" w:cstheme="minorHAnsi"/>
                <w:sz w:val="18"/>
                <w:szCs w:val="18"/>
              </w:rPr>
            </w:pPr>
          </w:p>
        </w:tc>
        <w:tc>
          <w:tcPr>
            <w:tcW w:w="568" w:type="dxa"/>
            <w:vAlign w:val="center"/>
          </w:tcPr>
          <w:p w14:paraId="4865280B" w14:textId="77777777" w:rsidR="004A75E3" w:rsidRPr="00332AB5" w:rsidRDefault="004A75E3" w:rsidP="004A75E3">
            <w:pPr>
              <w:jc w:val="right"/>
              <w:rPr>
                <w:rFonts w:asciiTheme="minorHAnsi" w:hAnsiTheme="minorHAnsi" w:cstheme="minorHAnsi"/>
                <w:sz w:val="18"/>
                <w:szCs w:val="18"/>
              </w:rPr>
            </w:pPr>
          </w:p>
        </w:tc>
      </w:tr>
      <w:tr w:rsidR="004A75E3" w:rsidRPr="00332AB5" w14:paraId="6CAD36B8" w14:textId="77777777" w:rsidTr="00441349">
        <w:trPr>
          <w:trHeight w:val="397"/>
        </w:trPr>
        <w:tc>
          <w:tcPr>
            <w:tcW w:w="1179" w:type="dxa"/>
            <w:vAlign w:val="center"/>
          </w:tcPr>
          <w:p w14:paraId="766D1552" w14:textId="77777777" w:rsidR="004A75E3" w:rsidRPr="00332AB5" w:rsidRDefault="004A75E3" w:rsidP="004A75E3">
            <w:pPr>
              <w:rPr>
                <w:rFonts w:asciiTheme="minorHAnsi" w:hAnsiTheme="minorHAnsi" w:cstheme="minorHAnsi"/>
                <w:sz w:val="18"/>
                <w:szCs w:val="18"/>
              </w:rPr>
            </w:pPr>
            <w:r w:rsidRPr="00332AB5">
              <w:rPr>
                <w:rFonts w:asciiTheme="minorHAnsi" w:hAnsiTheme="minorHAnsi" w:cstheme="minorHAnsi"/>
                <w:sz w:val="18"/>
                <w:szCs w:val="18"/>
              </w:rPr>
              <w:t>M 2</w:t>
            </w:r>
          </w:p>
        </w:tc>
        <w:tc>
          <w:tcPr>
            <w:tcW w:w="1056" w:type="dxa"/>
            <w:tcBorders>
              <w:top w:val="nil"/>
              <w:left w:val="nil"/>
              <w:bottom w:val="nil"/>
              <w:right w:val="nil"/>
            </w:tcBorders>
            <w:shd w:val="clear" w:color="auto" w:fill="auto"/>
            <w:vAlign w:val="center"/>
          </w:tcPr>
          <w:p w14:paraId="51D7F0AF" w14:textId="6D820B0B"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11,80</w:t>
            </w:r>
          </w:p>
        </w:tc>
        <w:tc>
          <w:tcPr>
            <w:tcW w:w="1031" w:type="dxa"/>
            <w:tcBorders>
              <w:top w:val="nil"/>
              <w:left w:val="nil"/>
              <w:bottom w:val="nil"/>
              <w:right w:val="nil"/>
            </w:tcBorders>
            <w:shd w:val="clear" w:color="auto" w:fill="auto"/>
            <w:vAlign w:val="center"/>
          </w:tcPr>
          <w:p w14:paraId="64395A31" w14:textId="30EE8F2C"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0,28</w:t>
            </w:r>
          </w:p>
        </w:tc>
        <w:tc>
          <w:tcPr>
            <w:tcW w:w="703" w:type="dxa"/>
            <w:tcBorders>
              <w:top w:val="nil"/>
              <w:left w:val="nil"/>
              <w:bottom w:val="nil"/>
              <w:right w:val="nil"/>
            </w:tcBorders>
            <w:shd w:val="clear" w:color="auto" w:fill="auto"/>
            <w:vAlign w:val="center"/>
          </w:tcPr>
          <w:p w14:paraId="0745E3DE" w14:textId="4AF74D4C"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2,38</w:t>
            </w:r>
          </w:p>
        </w:tc>
        <w:tc>
          <w:tcPr>
            <w:tcW w:w="1021" w:type="dxa"/>
            <w:tcBorders>
              <w:top w:val="nil"/>
              <w:left w:val="nil"/>
              <w:bottom w:val="nil"/>
              <w:right w:val="nil"/>
            </w:tcBorders>
            <w:shd w:val="clear" w:color="auto" w:fill="auto"/>
            <w:vAlign w:val="center"/>
          </w:tcPr>
          <w:p w14:paraId="1F437BDD" w14:textId="0C5D2CF0"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0,28</w:t>
            </w:r>
          </w:p>
        </w:tc>
        <w:tc>
          <w:tcPr>
            <w:tcW w:w="635" w:type="dxa"/>
            <w:tcBorders>
              <w:top w:val="nil"/>
              <w:left w:val="nil"/>
              <w:bottom w:val="nil"/>
              <w:right w:val="nil"/>
            </w:tcBorders>
            <w:shd w:val="clear" w:color="auto" w:fill="auto"/>
            <w:vAlign w:val="center"/>
          </w:tcPr>
          <w:p w14:paraId="7AF39A4F" w14:textId="6D919BDF"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2,38</w:t>
            </w:r>
          </w:p>
        </w:tc>
        <w:tc>
          <w:tcPr>
            <w:tcW w:w="1089" w:type="dxa"/>
            <w:tcBorders>
              <w:top w:val="nil"/>
              <w:left w:val="nil"/>
              <w:bottom w:val="nil"/>
              <w:right w:val="nil"/>
            </w:tcBorders>
            <w:shd w:val="clear" w:color="auto" w:fill="auto"/>
            <w:vAlign w:val="center"/>
          </w:tcPr>
          <w:p w14:paraId="6E73BE69" w14:textId="0615AC0E"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0,75</w:t>
            </w:r>
          </w:p>
        </w:tc>
        <w:tc>
          <w:tcPr>
            <w:tcW w:w="799" w:type="dxa"/>
            <w:tcBorders>
              <w:top w:val="nil"/>
              <w:left w:val="nil"/>
              <w:bottom w:val="nil"/>
              <w:right w:val="nil"/>
            </w:tcBorders>
            <w:shd w:val="clear" w:color="auto" w:fill="auto"/>
            <w:vAlign w:val="center"/>
          </w:tcPr>
          <w:p w14:paraId="695CA9C5" w14:textId="08765A40"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6,32</w:t>
            </w:r>
          </w:p>
        </w:tc>
        <w:tc>
          <w:tcPr>
            <w:tcW w:w="992" w:type="dxa"/>
            <w:vAlign w:val="center"/>
          </w:tcPr>
          <w:p w14:paraId="22E9CC80" w14:textId="77777777" w:rsidR="004A75E3" w:rsidRPr="00332AB5" w:rsidRDefault="004A75E3" w:rsidP="00441349">
            <w:pPr>
              <w:jc w:val="right"/>
              <w:rPr>
                <w:rFonts w:asciiTheme="minorHAnsi" w:hAnsiTheme="minorHAnsi" w:cstheme="minorHAnsi"/>
                <w:color w:val="000000"/>
                <w:sz w:val="18"/>
                <w:szCs w:val="18"/>
              </w:rPr>
            </w:pPr>
          </w:p>
        </w:tc>
        <w:tc>
          <w:tcPr>
            <w:tcW w:w="568" w:type="dxa"/>
            <w:vAlign w:val="center"/>
          </w:tcPr>
          <w:p w14:paraId="7E570D7B" w14:textId="77777777" w:rsidR="004A75E3" w:rsidRPr="00332AB5" w:rsidRDefault="004A75E3" w:rsidP="004A75E3">
            <w:pPr>
              <w:jc w:val="right"/>
              <w:rPr>
                <w:rFonts w:asciiTheme="minorHAnsi" w:hAnsiTheme="minorHAnsi" w:cstheme="minorHAnsi"/>
                <w:color w:val="000000"/>
                <w:sz w:val="18"/>
                <w:szCs w:val="18"/>
              </w:rPr>
            </w:pPr>
          </w:p>
        </w:tc>
      </w:tr>
      <w:tr w:rsidR="004A75E3" w:rsidRPr="00332AB5" w14:paraId="0EDDA1D5" w14:textId="77777777" w:rsidTr="00441349">
        <w:trPr>
          <w:trHeight w:val="397"/>
        </w:trPr>
        <w:tc>
          <w:tcPr>
            <w:tcW w:w="1179" w:type="dxa"/>
            <w:vAlign w:val="center"/>
          </w:tcPr>
          <w:p w14:paraId="4C19279B" w14:textId="77777777" w:rsidR="004A75E3" w:rsidRPr="00332AB5" w:rsidRDefault="004A75E3" w:rsidP="004A75E3">
            <w:pPr>
              <w:rPr>
                <w:rFonts w:asciiTheme="minorHAnsi" w:hAnsiTheme="minorHAnsi" w:cstheme="minorHAnsi"/>
                <w:sz w:val="18"/>
                <w:szCs w:val="18"/>
              </w:rPr>
            </w:pPr>
            <w:r w:rsidRPr="00332AB5">
              <w:rPr>
                <w:rFonts w:asciiTheme="minorHAnsi" w:hAnsiTheme="minorHAnsi" w:cstheme="minorHAnsi"/>
                <w:sz w:val="18"/>
                <w:szCs w:val="18"/>
              </w:rPr>
              <w:t>M 3</w:t>
            </w:r>
          </w:p>
        </w:tc>
        <w:tc>
          <w:tcPr>
            <w:tcW w:w="1056" w:type="dxa"/>
            <w:tcBorders>
              <w:top w:val="nil"/>
              <w:left w:val="nil"/>
              <w:bottom w:val="nil"/>
              <w:right w:val="nil"/>
            </w:tcBorders>
            <w:shd w:val="clear" w:color="auto" w:fill="auto"/>
            <w:vAlign w:val="center"/>
          </w:tcPr>
          <w:p w14:paraId="7C113B66" w14:textId="3F70EF77"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2,75</w:t>
            </w:r>
          </w:p>
        </w:tc>
        <w:tc>
          <w:tcPr>
            <w:tcW w:w="1031" w:type="dxa"/>
            <w:tcBorders>
              <w:top w:val="nil"/>
              <w:left w:val="nil"/>
              <w:bottom w:val="nil"/>
              <w:right w:val="nil"/>
            </w:tcBorders>
            <w:shd w:val="clear" w:color="auto" w:fill="auto"/>
            <w:vAlign w:val="center"/>
          </w:tcPr>
          <w:p w14:paraId="3C20ACF2" w14:textId="6A9F7421"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0,01</w:t>
            </w:r>
          </w:p>
        </w:tc>
        <w:tc>
          <w:tcPr>
            <w:tcW w:w="703" w:type="dxa"/>
            <w:tcBorders>
              <w:top w:val="nil"/>
              <w:left w:val="nil"/>
              <w:bottom w:val="nil"/>
              <w:right w:val="nil"/>
            </w:tcBorders>
            <w:shd w:val="clear" w:color="auto" w:fill="auto"/>
            <w:vAlign w:val="center"/>
          </w:tcPr>
          <w:p w14:paraId="4C97812D" w14:textId="02371645"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0,54</w:t>
            </w:r>
          </w:p>
        </w:tc>
        <w:tc>
          <w:tcPr>
            <w:tcW w:w="1021" w:type="dxa"/>
            <w:tcBorders>
              <w:top w:val="nil"/>
              <w:left w:val="nil"/>
              <w:bottom w:val="nil"/>
              <w:right w:val="nil"/>
            </w:tcBorders>
            <w:shd w:val="clear" w:color="auto" w:fill="auto"/>
            <w:vAlign w:val="center"/>
          </w:tcPr>
          <w:p w14:paraId="6B437D34" w14:textId="165E0759"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0,06</w:t>
            </w:r>
          </w:p>
        </w:tc>
        <w:tc>
          <w:tcPr>
            <w:tcW w:w="635" w:type="dxa"/>
            <w:tcBorders>
              <w:top w:val="nil"/>
              <w:left w:val="nil"/>
              <w:bottom w:val="nil"/>
              <w:right w:val="nil"/>
            </w:tcBorders>
            <w:shd w:val="clear" w:color="auto" w:fill="auto"/>
            <w:vAlign w:val="center"/>
          </w:tcPr>
          <w:p w14:paraId="17271646" w14:textId="304C903E"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2,01</w:t>
            </w:r>
          </w:p>
        </w:tc>
        <w:tc>
          <w:tcPr>
            <w:tcW w:w="1089" w:type="dxa"/>
            <w:tcBorders>
              <w:top w:val="nil"/>
              <w:left w:val="nil"/>
              <w:bottom w:val="nil"/>
              <w:right w:val="nil"/>
            </w:tcBorders>
            <w:shd w:val="clear" w:color="auto" w:fill="auto"/>
            <w:vAlign w:val="center"/>
          </w:tcPr>
          <w:p w14:paraId="518E41F0" w14:textId="044659C4"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0,04</w:t>
            </w:r>
          </w:p>
        </w:tc>
        <w:tc>
          <w:tcPr>
            <w:tcW w:w="799" w:type="dxa"/>
            <w:tcBorders>
              <w:top w:val="nil"/>
              <w:left w:val="nil"/>
              <w:bottom w:val="nil"/>
              <w:right w:val="nil"/>
            </w:tcBorders>
            <w:shd w:val="clear" w:color="auto" w:fill="auto"/>
            <w:vAlign w:val="center"/>
          </w:tcPr>
          <w:p w14:paraId="59846B1A" w14:textId="19EE735F"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1,47</w:t>
            </w:r>
          </w:p>
        </w:tc>
        <w:tc>
          <w:tcPr>
            <w:tcW w:w="992" w:type="dxa"/>
            <w:vAlign w:val="center"/>
          </w:tcPr>
          <w:p w14:paraId="480DB942" w14:textId="77777777" w:rsidR="004A75E3" w:rsidRPr="00332AB5" w:rsidRDefault="004A75E3" w:rsidP="00441349">
            <w:pPr>
              <w:jc w:val="right"/>
              <w:rPr>
                <w:rFonts w:asciiTheme="minorHAnsi" w:hAnsiTheme="minorHAnsi" w:cstheme="minorHAnsi"/>
                <w:color w:val="000000"/>
                <w:sz w:val="18"/>
                <w:szCs w:val="18"/>
              </w:rPr>
            </w:pPr>
          </w:p>
        </w:tc>
        <w:tc>
          <w:tcPr>
            <w:tcW w:w="568" w:type="dxa"/>
            <w:vAlign w:val="center"/>
          </w:tcPr>
          <w:p w14:paraId="5188F9A2" w14:textId="77777777" w:rsidR="004A75E3" w:rsidRPr="00332AB5" w:rsidRDefault="004A75E3" w:rsidP="004A75E3">
            <w:pPr>
              <w:jc w:val="right"/>
              <w:rPr>
                <w:rFonts w:asciiTheme="minorHAnsi" w:hAnsiTheme="minorHAnsi" w:cstheme="minorHAnsi"/>
                <w:color w:val="000000"/>
                <w:sz w:val="18"/>
                <w:szCs w:val="18"/>
              </w:rPr>
            </w:pPr>
          </w:p>
        </w:tc>
      </w:tr>
      <w:tr w:rsidR="004A75E3" w:rsidRPr="00332AB5" w14:paraId="62A87B04" w14:textId="77777777" w:rsidTr="00441349">
        <w:trPr>
          <w:trHeight w:val="397"/>
        </w:trPr>
        <w:tc>
          <w:tcPr>
            <w:tcW w:w="1179" w:type="dxa"/>
            <w:vAlign w:val="center"/>
          </w:tcPr>
          <w:p w14:paraId="67962405" w14:textId="77777777" w:rsidR="004A75E3" w:rsidRPr="00332AB5" w:rsidRDefault="004A75E3" w:rsidP="004A75E3">
            <w:pPr>
              <w:rPr>
                <w:rFonts w:asciiTheme="minorHAnsi" w:hAnsiTheme="minorHAnsi" w:cstheme="minorHAnsi"/>
                <w:sz w:val="18"/>
                <w:szCs w:val="18"/>
              </w:rPr>
            </w:pPr>
            <w:r w:rsidRPr="00332AB5">
              <w:rPr>
                <w:rFonts w:asciiTheme="minorHAnsi" w:hAnsiTheme="minorHAnsi" w:cstheme="minorHAnsi"/>
                <w:sz w:val="18"/>
                <w:szCs w:val="18"/>
              </w:rPr>
              <w:t>M 4</w:t>
            </w:r>
          </w:p>
        </w:tc>
        <w:tc>
          <w:tcPr>
            <w:tcW w:w="1056" w:type="dxa"/>
            <w:tcBorders>
              <w:top w:val="nil"/>
              <w:left w:val="nil"/>
              <w:bottom w:val="nil"/>
              <w:right w:val="nil"/>
            </w:tcBorders>
            <w:shd w:val="clear" w:color="auto" w:fill="auto"/>
            <w:vAlign w:val="center"/>
          </w:tcPr>
          <w:p w14:paraId="05F0C423" w14:textId="6BCCBBB5"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756,59</w:t>
            </w:r>
          </w:p>
        </w:tc>
        <w:tc>
          <w:tcPr>
            <w:tcW w:w="1031" w:type="dxa"/>
            <w:tcBorders>
              <w:top w:val="nil"/>
              <w:left w:val="nil"/>
              <w:bottom w:val="nil"/>
              <w:right w:val="nil"/>
            </w:tcBorders>
            <w:shd w:val="clear" w:color="auto" w:fill="auto"/>
            <w:vAlign w:val="center"/>
          </w:tcPr>
          <w:p w14:paraId="00A130E9" w14:textId="2849F170"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50,31</w:t>
            </w:r>
          </w:p>
        </w:tc>
        <w:tc>
          <w:tcPr>
            <w:tcW w:w="703" w:type="dxa"/>
            <w:tcBorders>
              <w:top w:val="nil"/>
              <w:left w:val="nil"/>
              <w:bottom w:val="nil"/>
              <w:right w:val="nil"/>
            </w:tcBorders>
            <w:shd w:val="clear" w:color="auto" w:fill="auto"/>
            <w:vAlign w:val="center"/>
          </w:tcPr>
          <w:p w14:paraId="42DE04FB" w14:textId="37C011B5"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6,65</w:t>
            </w:r>
          </w:p>
        </w:tc>
        <w:tc>
          <w:tcPr>
            <w:tcW w:w="1021" w:type="dxa"/>
            <w:tcBorders>
              <w:top w:val="nil"/>
              <w:left w:val="nil"/>
              <w:bottom w:val="nil"/>
              <w:right w:val="nil"/>
            </w:tcBorders>
            <w:shd w:val="clear" w:color="auto" w:fill="auto"/>
            <w:vAlign w:val="center"/>
          </w:tcPr>
          <w:p w14:paraId="5A71DCB6" w14:textId="5E74132F"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41,87</w:t>
            </w:r>
          </w:p>
        </w:tc>
        <w:tc>
          <w:tcPr>
            <w:tcW w:w="635" w:type="dxa"/>
            <w:tcBorders>
              <w:top w:val="nil"/>
              <w:left w:val="nil"/>
              <w:bottom w:val="nil"/>
              <w:right w:val="nil"/>
            </w:tcBorders>
            <w:shd w:val="clear" w:color="auto" w:fill="auto"/>
            <w:vAlign w:val="center"/>
          </w:tcPr>
          <w:p w14:paraId="5D2D1B04" w14:textId="2610E863"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5,53</w:t>
            </w:r>
          </w:p>
        </w:tc>
        <w:tc>
          <w:tcPr>
            <w:tcW w:w="1089" w:type="dxa"/>
            <w:tcBorders>
              <w:top w:val="nil"/>
              <w:left w:val="nil"/>
              <w:bottom w:val="nil"/>
              <w:right w:val="nil"/>
            </w:tcBorders>
            <w:shd w:val="clear" w:color="auto" w:fill="auto"/>
            <w:vAlign w:val="center"/>
          </w:tcPr>
          <w:p w14:paraId="26724DAF" w14:textId="71AFF088"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41,18</w:t>
            </w:r>
          </w:p>
        </w:tc>
        <w:tc>
          <w:tcPr>
            <w:tcW w:w="799" w:type="dxa"/>
            <w:tcBorders>
              <w:top w:val="nil"/>
              <w:left w:val="nil"/>
              <w:bottom w:val="nil"/>
              <w:right w:val="nil"/>
            </w:tcBorders>
            <w:shd w:val="clear" w:color="auto" w:fill="auto"/>
            <w:vAlign w:val="center"/>
          </w:tcPr>
          <w:p w14:paraId="0A1AF544" w14:textId="05AB980E"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5,44</w:t>
            </w:r>
          </w:p>
        </w:tc>
        <w:tc>
          <w:tcPr>
            <w:tcW w:w="992" w:type="dxa"/>
            <w:vAlign w:val="center"/>
          </w:tcPr>
          <w:p w14:paraId="473FD824" w14:textId="77777777" w:rsidR="004A75E3" w:rsidRPr="00332AB5" w:rsidRDefault="004A75E3" w:rsidP="00441349">
            <w:pPr>
              <w:jc w:val="right"/>
              <w:rPr>
                <w:rFonts w:asciiTheme="minorHAnsi" w:hAnsiTheme="minorHAnsi" w:cstheme="minorHAnsi"/>
                <w:color w:val="000000"/>
                <w:sz w:val="18"/>
                <w:szCs w:val="18"/>
              </w:rPr>
            </w:pPr>
          </w:p>
        </w:tc>
        <w:tc>
          <w:tcPr>
            <w:tcW w:w="568" w:type="dxa"/>
            <w:vAlign w:val="center"/>
          </w:tcPr>
          <w:p w14:paraId="7753BDE2" w14:textId="77777777" w:rsidR="004A75E3" w:rsidRPr="00332AB5" w:rsidRDefault="004A75E3" w:rsidP="004A75E3">
            <w:pPr>
              <w:jc w:val="right"/>
              <w:rPr>
                <w:rFonts w:asciiTheme="minorHAnsi" w:hAnsiTheme="minorHAnsi" w:cstheme="minorHAnsi"/>
                <w:color w:val="000000"/>
                <w:sz w:val="18"/>
                <w:szCs w:val="18"/>
              </w:rPr>
            </w:pPr>
          </w:p>
        </w:tc>
      </w:tr>
      <w:tr w:rsidR="004A75E3" w:rsidRPr="00332AB5" w14:paraId="33D0B860" w14:textId="77777777" w:rsidTr="00441349">
        <w:trPr>
          <w:trHeight w:val="397"/>
        </w:trPr>
        <w:tc>
          <w:tcPr>
            <w:tcW w:w="1179" w:type="dxa"/>
            <w:vAlign w:val="center"/>
          </w:tcPr>
          <w:p w14:paraId="7484224A" w14:textId="77777777" w:rsidR="004A75E3" w:rsidRPr="00332AB5" w:rsidRDefault="004A75E3" w:rsidP="004A75E3">
            <w:pPr>
              <w:rPr>
                <w:rFonts w:asciiTheme="minorHAnsi" w:hAnsiTheme="minorHAnsi" w:cstheme="minorHAnsi"/>
                <w:sz w:val="18"/>
                <w:szCs w:val="18"/>
              </w:rPr>
            </w:pPr>
            <w:r w:rsidRPr="00332AB5">
              <w:rPr>
                <w:rFonts w:asciiTheme="minorHAnsi" w:hAnsiTheme="minorHAnsi" w:cstheme="minorHAnsi"/>
                <w:sz w:val="18"/>
                <w:szCs w:val="18"/>
              </w:rPr>
              <w:t>M 5</w:t>
            </w:r>
          </w:p>
        </w:tc>
        <w:tc>
          <w:tcPr>
            <w:tcW w:w="1056" w:type="dxa"/>
            <w:tcBorders>
              <w:top w:val="nil"/>
              <w:left w:val="nil"/>
              <w:bottom w:val="nil"/>
              <w:right w:val="nil"/>
            </w:tcBorders>
            <w:shd w:val="clear" w:color="auto" w:fill="auto"/>
            <w:vAlign w:val="center"/>
          </w:tcPr>
          <w:p w14:paraId="0C2468EC" w14:textId="22F5144C"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73,59</w:t>
            </w:r>
          </w:p>
        </w:tc>
        <w:tc>
          <w:tcPr>
            <w:tcW w:w="1031" w:type="dxa"/>
            <w:tcBorders>
              <w:top w:val="nil"/>
              <w:left w:val="nil"/>
              <w:bottom w:val="nil"/>
              <w:right w:val="nil"/>
            </w:tcBorders>
            <w:shd w:val="clear" w:color="auto" w:fill="auto"/>
            <w:vAlign w:val="center"/>
          </w:tcPr>
          <w:p w14:paraId="6BD9D8E8" w14:textId="2F187ED4"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4,21</w:t>
            </w:r>
          </w:p>
        </w:tc>
        <w:tc>
          <w:tcPr>
            <w:tcW w:w="703" w:type="dxa"/>
            <w:tcBorders>
              <w:top w:val="nil"/>
              <w:left w:val="nil"/>
              <w:bottom w:val="nil"/>
              <w:right w:val="nil"/>
            </w:tcBorders>
            <w:shd w:val="clear" w:color="auto" w:fill="auto"/>
            <w:vAlign w:val="center"/>
          </w:tcPr>
          <w:p w14:paraId="1F633ECF" w14:textId="59C64EF9"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5,72</w:t>
            </w:r>
          </w:p>
        </w:tc>
        <w:tc>
          <w:tcPr>
            <w:tcW w:w="1021" w:type="dxa"/>
            <w:tcBorders>
              <w:top w:val="nil"/>
              <w:left w:val="nil"/>
              <w:bottom w:val="nil"/>
              <w:right w:val="nil"/>
            </w:tcBorders>
            <w:shd w:val="clear" w:color="auto" w:fill="auto"/>
            <w:vAlign w:val="center"/>
          </w:tcPr>
          <w:p w14:paraId="3D6D4EDC" w14:textId="27D09CFF"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1,74</w:t>
            </w:r>
          </w:p>
        </w:tc>
        <w:tc>
          <w:tcPr>
            <w:tcW w:w="635" w:type="dxa"/>
            <w:tcBorders>
              <w:top w:val="nil"/>
              <w:left w:val="nil"/>
              <w:bottom w:val="nil"/>
              <w:right w:val="nil"/>
            </w:tcBorders>
            <w:shd w:val="clear" w:color="auto" w:fill="auto"/>
            <w:vAlign w:val="center"/>
          </w:tcPr>
          <w:p w14:paraId="25772896" w14:textId="0923A3C1"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2,36</w:t>
            </w:r>
          </w:p>
        </w:tc>
        <w:tc>
          <w:tcPr>
            <w:tcW w:w="1089" w:type="dxa"/>
            <w:tcBorders>
              <w:top w:val="nil"/>
              <w:left w:val="nil"/>
              <w:bottom w:val="nil"/>
              <w:right w:val="nil"/>
            </w:tcBorders>
            <w:shd w:val="clear" w:color="auto" w:fill="auto"/>
            <w:vAlign w:val="center"/>
          </w:tcPr>
          <w:p w14:paraId="675CD416" w14:textId="374DD0AC"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1,94</w:t>
            </w:r>
          </w:p>
        </w:tc>
        <w:tc>
          <w:tcPr>
            <w:tcW w:w="799" w:type="dxa"/>
            <w:tcBorders>
              <w:top w:val="nil"/>
              <w:left w:val="nil"/>
              <w:bottom w:val="nil"/>
              <w:right w:val="nil"/>
            </w:tcBorders>
            <w:shd w:val="clear" w:color="auto" w:fill="auto"/>
            <w:vAlign w:val="center"/>
          </w:tcPr>
          <w:p w14:paraId="6F4148C6" w14:textId="7F6364FF"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2,64</w:t>
            </w:r>
          </w:p>
        </w:tc>
        <w:tc>
          <w:tcPr>
            <w:tcW w:w="992" w:type="dxa"/>
            <w:vAlign w:val="center"/>
          </w:tcPr>
          <w:p w14:paraId="3691CCA4" w14:textId="77777777" w:rsidR="004A75E3" w:rsidRPr="00332AB5" w:rsidRDefault="004A75E3" w:rsidP="00441349">
            <w:pPr>
              <w:jc w:val="right"/>
              <w:rPr>
                <w:rFonts w:asciiTheme="minorHAnsi" w:hAnsiTheme="minorHAnsi" w:cstheme="minorHAnsi"/>
                <w:color w:val="000000"/>
                <w:sz w:val="18"/>
                <w:szCs w:val="18"/>
              </w:rPr>
            </w:pPr>
          </w:p>
        </w:tc>
        <w:tc>
          <w:tcPr>
            <w:tcW w:w="568" w:type="dxa"/>
            <w:vAlign w:val="center"/>
          </w:tcPr>
          <w:p w14:paraId="12647B09" w14:textId="77777777" w:rsidR="004A75E3" w:rsidRPr="00332AB5" w:rsidRDefault="004A75E3" w:rsidP="004A75E3">
            <w:pPr>
              <w:jc w:val="right"/>
              <w:rPr>
                <w:rFonts w:asciiTheme="minorHAnsi" w:hAnsiTheme="minorHAnsi" w:cstheme="minorHAnsi"/>
                <w:color w:val="000000"/>
                <w:sz w:val="18"/>
                <w:szCs w:val="18"/>
              </w:rPr>
            </w:pPr>
          </w:p>
        </w:tc>
      </w:tr>
      <w:tr w:rsidR="004A75E3" w:rsidRPr="00332AB5" w14:paraId="02571185" w14:textId="77777777" w:rsidTr="00441349">
        <w:trPr>
          <w:trHeight w:val="397"/>
        </w:trPr>
        <w:tc>
          <w:tcPr>
            <w:tcW w:w="1179" w:type="dxa"/>
            <w:vAlign w:val="center"/>
          </w:tcPr>
          <w:p w14:paraId="693E05E0" w14:textId="77777777" w:rsidR="004A75E3" w:rsidRPr="00332AB5" w:rsidRDefault="004A75E3" w:rsidP="004A75E3">
            <w:pPr>
              <w:rPr>
                <w:rFonts w:asciiTheme="minorHAnsi" w:hAnsiTheme="minorHAnsi" w:cstheme="minorHAnsi"/>
                <w:sz w:val="18"/>
                <w:szCs w:val="18"/>
              </w:rPr>
            </w:pPr>
            <w:r w:rsidRPr="00332AB5">
              <w:rPr>
                <w:rFonts w:asciiTheme="minorHAnsi" w:hAnsiTheme="minorHAnsi" w:cstheme="minorHAnsi"/>
                <w:sz w:val="18"/>
                <w:szCs w:val="18"/>
              </w:rPr>
              <w:t>M 6</w:t>
            </w:r>
          </w:p>
        </w:tc>
        <w:tc>
          <w:tcPr>
            <w:tcW w:w="1056" w:type="dxa"/>
            <w:tcBorders>
              <w:top w:val="nil"/>
              <w:left w:val="nil"/>
              <w:bottom w:val="nil"/>
              <w:right w:val="nil"/>
            </w:tcBorders>
            <w:shd w:val="clear" w:color="auto" w:fill="auto"/>
            <w:vAlign w:val="center"/>
          </w:tcPr>
          <w:p w14:paraId="0B745BC3" w14:textId="232698ED"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210,11</w:t>
            </w:r>
          </w:p>
        </w:tc>
        <w:tc>
          <w:tcPr>
            <w:tcW w:w="1031" w:type="dxa"/>
            <w:tcBorders>
              <w:top w:val="nil"/>
              <w:left w:val="nil"/>
              <w:bottom w:val="nil"/>
              <w:right w:val="nil"/>
            </w:tcBorders>
            <w:shd w:val="clear" w:color="auto" w:fill="auto"/>
            <w:vAlign w:val="center"/>
          </w:tcPr>
          <w:p w14:paraId="09F10536" w14:textId="1AC5938B"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0,96</w:t>
            </w:r>
          </w:p>
        </w:tc>
        <w:tc>
          <w:tcPr>
            <w:tcW w:w="703" w:type="dxa"/>
            <w:tcBorders>
              <w:top w:val="nil"/>
              <w:left w:val="nil"/>
              <w:bottom w:val="nil"/>
              <w:right w:val="nil"/>
            </w:tcBorders>
            <w:shd w:val="clear" w:color="auto" w:fill="auto"/>
            <w:vAlign w:val="center"/>
          </w:tcPr>
          <w:p w14:paraId="7E619306" w14:textId="28B9EE00"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0,46</w:t>
            </w:r>
          </w:p>
        </w:tc>
        <w:tc>
          <w:tcPr>
            <w:tcW w:w="1021" w:type="dxa"/>
            <w:tcBorders>
              <w:top w:val="nil"/>
              <w:left w:val="nil"/>
              <w:bottom w:val="nil"/>
              <w:right w:val="nil"/>
            </w:tcBorders>
            <w:shd w:val="clear" w:color="auto" w:fill="auto"/>
            <w:vAlign w:val="center"/>
          </w:tcPr>
          <w:p w14:paraId="0052460B" w14:textId="7FEC39CE"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6,90</w:t>
            </w:r>
          </w:p>
        </w:tc>
        <w:tc>
          <w:tcPr>
            <w:tcW w:w="635" w:type="dxa"/>
            <w:tcBorders>
              <w:top w:val="nil"/>
              <w:left w:val="nil"/>
              <w:bottom w:val="nil"/>
              <w:right w:val="nil"/>
            </w:tcBorders>
            <w:shd w:val="clear" w:color="auto" w:fill="auto"/>
            <w:vAlign w:val="center"/>
          </w:tcPr>
          <w:p w14:paraId="6F55C705" w14:textId="2472A2CD"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3,28</w:t>
            </w:r>
          </w:p>
        </w:tc>
        <w:tc>
          <w:tcPr>
            <w:tcW w:w="1089" w:type="dxa"/>
            <w:tcBorders>
              <w:top w:val="nil"/>
              <w:left w:val="nil"/>
              <w:bottom w:val="nil"/>
              <w:right w:val="nil"/>
            </w:tcBorders>
            <w:shd w:val="clear" w:color="auto" w:fill="auto"/>
            <w:vAlign w:val="center"/>
          </w:tcPr>
          <w:p w14:paraId="48C0FF68" w14:textId="5CDC5BD3"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8,64</w:t>
            </w:r>
          </w:p>
        </w:tc>
        <w:tc>
          <w:tcPr>
            <w:tcW w:w="799" w:type="dxa"/>
            <w:tcBorders>
              <w:top w:val="nil"/>
              <w:left w:val="nil"/>
              <w:bottom w:val="nil"/>
              <w:right w:val="nil"/>
            </w:tcBorders>
            <w:shd w:val="clear" w:color="auto" w:fill="auto"/>
            <w:vAlign w:val="center"/>
          </w:tcPr>
          <w:p w14:paraId="2F1312EC" w14:textId="0CBBA731"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4,11</w:t>
            </w:r>
          </w:p>
        </w:tc>
        <w:tc>
          <w:tcPr>
            <w:tcW w:w="992" w:type="dxa"/>
            <w:vAlign w:val="center"/>
          </w:tcPr>
          <w:p w14:paraId="09C9AEEB" w14:textId="77777777" w:rsidR="004A75E3" w:rsidRPr="00332AB5" w:rsidRDefault="004A75E3" w:rsidP="00441349">
            <w:pPr>
              <w:jc w:val="right"/>
              <w:rPr>
                <w:rFonts w:asciiTheme="minorHAnsi" w:hAnsiTheme="minorHAnsi" w:cstheme="minorHAnsi"/>
                <w:color w:val="000000"/>
                <w:sz w:val="18"/>
                <w:szCs w:val="18"/>
              </w:rPr>
            </w:pPr>
          </w:p>
        </w:tc>
        <w:tc>
          <w:tcPr>
            <w:tcW w:w="568" w:type="dxa"/>
            <w:vAlign w:val="center"/>
          </w:tcPr>
          <w:p w14:paraId="19483647" w14:textId="77777777" w:rsidR="004A75E3" w:rsidRPr="00332AB5" w:rsidRDefault="004A75E3" w:rsidP="004A75E3">
            <w:pPr>
              <w:jc w:val="right"/>
              <w:rPr>
                <w:rFonts w:asciiTheme="minorHAnsi" w:hAnsiTheme="minorHAnsi" w:cstheme="minorHAnsi"/>
                <w:color w:val="000000"/>
                <w:sz w:val="18"/>
                <w:szCs w:val="18"/>
              </w:rPr>
            </w:pPr>
          </w:p>
        </w:tc>
      </w:tr>
      <w:tr w:rsidR="004A75E3" w:rsidRPr="00332AB5" w14:paraId="6339813C" w14:textId="77777777" w:rsidTr="00441349">
        <w:trPr>
          <w:trHeight w:val="397"/>
        </w:trPr>
        <w:tc>
          <w:tcPr>
            <w:tcW w:w="1179" w:type="dxa"/>
            <w:vAlign w:val="center"/>
          </w:tcPr>
          <w:p w14:paraId="6147D8FB" w14:textId="77777777" w:rsidR="004A75E3" w:rsidRPr="00332AB5" w:rsidRDefault="004A75E3" w:rsidP="004A75E3">
            <w:pPr>
              <w:rPr>
                <w:rFonts w:asciiTheme="minorHAnsi" w:hAnsiTheme="minorHAnsi" w:cstheme="minorHAnsi"/>
                <w:sz w:val="18"/>
                <w:szCs w:val="18"/>
              </w:rPr>
            </w:pPr>
            <w:r w:rsidRPr="00332AB5">
              <w:rPr>
                <w:rFonts w:asciiTheme="minorHAnsi" w:hAnsiTheme="minorHAnsi" w:cstheme="minorHAnsi"/>
                <w:sz w:val="18"/>
                <w:szCs w:val="18"/>
              </w:rPr>
              <w:t>M 7</w:t>
            </w:r>
          </w:p>
        </w:tc>
        <w:tc>
          <w:tcPr>
            <w:tcW w:w="1056" w:type="dxa"/>
            <w:tcBorders>
              <w:top w:val="nil"/>
              <w:left w:val="nil"/>
              <w:bottom w:val="nil"/>
              <w:right w:val="nil"/>
            </w:tcBorders>
            <w:shd w:val="clear" w:color="auto" w:fill="auto"/>
            <w:vAlign w:val="center"/>
          </w:tcPr>
          <w:p w14:paraId="1C5C01D6" w14:textId="1609A7BE"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333,33</w:t>
            </w:r>
          </w:p>
        </w:tc>
        <w:tc>
          <w:tcPr>
            <w:tcW w:w="1031" w:type="dxa"/>
            <w:tcBorders>
              <w:top w:val="nil"/>
              <w:left w:val="nil"/>
              <w:bottom w:val="nil"/>
              <w:right w:val="nil"/>
            </w:tcBorders>
            <w:shd w:val="clear" w:color="auto" w:fill="auto"/>
            <w:vAlign w:val="center"/>
          </w:tcPr>
          <w:p w14:paraId="10BF2166" w14:textId="0B74EC8F"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-2,85</w:t>
            </w:r>
          </w:p>
        </w:tc>
        <w:tc>
          <w:tcPr>
            <w:tcW w:w="703" w:type="dxa"/>
            <w:tcBorders>
              <w:top w:val="nil"/>
              <w:left w:val="nil"/>
              <w:bottom w:val="nil"/>
              <w:right w:val="nil"/>
            </w:tcBorders>
            <w:shd w:val="clear" w:color="auto" w:fill="auto"/>
            <w:vAlign w:val="center"/>
          </w:tcPr>
          <w:p w14:paraId="0F70F171" w14:textId="1FA3D6D5"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-0,86</w:t>
            </w:r>
          </w:p>
        </w:tc>
        <w:tc>
          <w:tcPr>
            <w:tcW w:w="1021" w:type="dxa"/>
            <w:tcBorders>
              <w:top w:val="nil"/>
              <w:left w:val="nil"/>
              <w:bottom w:val="nil"/>
              <w:right w:val="nil"/>
            </w:tcBorders>
            <w:shd w:val="clear" w:color="auto" w:fill="auto"/>
            <w:vAlign w:val="center"/>
          </w:tcPr>
          <w:p w14:paraId="7AEB360B" w14:textId="6B757BA6"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11,65</w:t>
            </w:r>
          </w:p>
        </w:tc>
        <w:tc>
          <w:tcPr>
            <w:tcW w:w="635" w:type="dxa"/>
            <w:tcBorders>
              <w:top w:val="nil"/>
              <w:left w:val="nil"/>
              <w:bottom w:val="nil"/>
              <w:right w:val="nil"/>
            </w:tcBorders>
            <w:shd w:val="clear" w:color="auto" w:fill="auto"/>
            <w:vAlign w:val="center"/>
          </w:tcPr>
          <w:p w14:paraId="2C853477" w14:textId="15157A15"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3,50</w:t>
            </w:r>
          </w:p>
        </w:tc>
        <w:tc>
          <w:tcPr>
            <w:tcW w:w="1089" w:type="dxa"/>
            <w:tcBorders>
              <w:top w:val="nil"/>
              <w:left w:val="nil"/>
              <w:bottom w:val="nil"/>
              <w:right w:val="nil"/>
            </w:tcBorders>
            <w:shd w:val="clear" w:color="auto" w:fill="auto"/>
            <w:vAlign w:val="center"/>
          </w:tcPr>
          <w:p w14:paraId="0D3A8570" w14:textId="73F924F5"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11,59</w:t>
            </w:r>
          </w:p>
        </w:tc>
        <w:tc>
          <w:tcPr>
            <w:tcW w:w="799" w:type="dxa"/>
            <w:tcBorders>
              <w:top w:val="nil"/>
              <w:left w:val="nil"/>
              <w:bottom w:val="nil"/>
              <w:right w:val="nil"/>
            </w:tcBorders>
            <w:shd w:val="clear" w:color="auto" w:fill="auto"/>
            <w:vAlign w:val="center"/>
          </w:tcPr>
          <w:p w14:paraId="191DC2C0" w14:textId="380BC716"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3,48</w:t>
            </w:r>
          </w:p>
        </w:tc>
        <w:tc>
          <w:tcPr>
            <w:tcW w:w="992" w:type="dxa"/>
            <w:vAlign w:val="center"/>
          </w:tcPr>
          <w:p w14:paraId="25C507E8" w14:textId="77777777" w:rsidR="004A75E3" w:rsidRPr="00332AB5" w:rsidRDefault="004A75E3" w:rsidP="00441349">
            <w:pPr>
              <w:jc w:val="right"/>
              <w:rPr>
                <w:rFonts w:asciiTheme="minorHAnsi" w:hAnsiTheme="minorHAnsi" w:cstheme="minorHAnsi"/>
                <w:color w:val="000000"/>
                <w:sz w:val="18"/>
                <w:szCs w:val="18"/>
              </w:rPr>
            </w:pPr>
          </w:p>
        </w:tc>
        <w:tc>
          <w:tcPr>
            <w:tcW w:w="568" w:type="dxa"/>
            <w:vAlign w:val="center"/>
          </w:tcPr>
          <w:p w14:paraId="12CD260D" w14:textId="77777777" w:rsidR="004A75E3" w:rsidRPr="00332AB5" w:rsidRDefault="004A75E3" w:rsidP="004A75E3">
            <w:pPr>
              <w:jc w:val="right"/>
              <w:rPr>
                <w:rFonts w:asciiTheme="minorHAnsi" w:hAnsiTheme="minorHAnsi" w:cstheme="minorHAnsi"/>
                <w:color w:val="000000"/>
                <w:sz w:val="18"/>
                <w:szCs w:val="18"/>
              </w:rPr>
            </w:pPr>
          </w:p>
        </w:tc>
      </w:tr>
      <w:tr w:rsidR="004A75E3" w:rsidRPr="00332AB5" w14:paraId="40EEA903" w14:textId="77777777" w:rsidTr="00441349">
        <w:trPr>
          <w:trHeight w:val="397"/>
        </w:trPr>
        <w:tc>
          <w:tcPr>
            <w:tcW w:w="1179" w:type="dxa"/>
            <w:vAlign w:val="center"/>
          </w:tcPr>
          <w:p w14:paraId="301FC3B3" w14:textId="77777777" w:rsidR="004A75E3" w:rsidRPr="00332AB5" w:rsidRDefault="004A75E3" w:rsidP="004A75E3">
            <w:pPr>
              <w:rPr>
                <w:rFonts w:asciiTheme="minorHAnsi" w:hAnsiTheme="minorHAnsi" w:cstheme="minorHAnsi"/>
                <w:sz w:val="18"/>
                <w:szCs w:val="18"/>
              </w:rPr>
            </w:pPr>
            <w:r w:rsidRPr="00332AB5">
              <w:rPr>
                <w:rFonts w:asciiTheme="minorHAnsi" w:hAnsiTheme="minorHAnsi" w:cstheme="minorHAnsi"/>
                <w:sz w:val="18"/>
                <w:szCs w:val="18"/>
              </w:rPr>
              <w:t>M 8</w:t>
            </w:r>
          </w:p>
        </w:tc>
        <w:tc>
          <w:tcPr>
            <w:tcW w:w="1056" w:type="dxa"/>
            <w:tcBorders>
              <w:top w:val="nil"/>
              <w:left w:val="nil"/>
              <w:bottom w:val="nil"/>
              <w:right w:val="nil"/>
            </w:tcBorders>
            <w:shd w:val="clear" w:color="auto" w:fill="auto"/>
            <w:vAlign w:val="center"/>
          </w:tcPr>
          <w:p w14:paraId="4DA368E4" w14:textId="36E1690A"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102,74</w:t>
            </w:r>
          </w:p>
        </w:tc>
        <w:tc>
          <w:tcPr>
            <w:tcW w:w="1031" w:type="dxa"/>
            <w:tcBorders>
              <w:top w:val="nil"/>
              <w:left w:val="nil"/>
              <w:bottom w:val="nil"/>
              <w:right w:val="nil"/>
            </w:tcBorders>
            <w:shd w:val="clear" w:color="auto" w:fill="auto"/>
            <w:vAlign w:val="center"/>
          </w:tcPr>
          <w:p w14:paraId="10FBDBE1" w14:textId="00877A81"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3,02</w:t>
            </w:r>
          </w:p>
        </w:tc>
        <w:tc>
          <w:tcPr>
            <w:tcW w:w="703" w:type="dxa"/>
            <w:tcBorders>
              <w:top w:val="nil"/>
              <w:left w:val="nil"/>
              <w:bottom w:val="nil"/>
              <w:right w:val="nil"/>
            </w:tcBorders>
            <w:shd w:val="clear" w:color="auto" w:fill="auto"/>
            <w:vAlign w:val="center"/>
          </w:tcPr>
          <w:p w14:paraId="292F138B" w14:textId="6873607B"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2,94</w:t>
            </w:r>
          </w:p>
        </w:tc>
        <w:tc>
          <w:tcPr>
            <w:tcW w:w="1021" w:type="dxa"/>
            <w:tcBorders>
              <w:top w:val="nil"/>
              <w:left w:val="nil"/>
              <w:bottom w:val="nil"/>
              <w:right w:val="nil"/>
            </w:tcBorders>
            <w:shd w:val="clear" w:color="auto" w:fill="auto"/>
            <w:vAlign w:val="center"/>
          </w:tcPr>
          <w:p w14:paraId="0E0D75F2" w14:textId="2D4942AD"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5,15</w:t>
            </w:r>
          </w:p>
        </w:tc>
        <w:tc>
          <w:tcPr>
            <w:tcW w:w="635" w:type="dxa"/>
            <w:tcBorders>
              <w:top w:val="nil"/>
              <w:left w:val="nil"/>
              <w:bottom w:val="nil"/>
              <w:right w:val="nil"/>
            </w:tcBorders>
            <w:shd w:val="clear" w:color="auto" w:fill="auto"/>
            <w:vAlign w:val="center"/>
          </w:tcPr>
          <w:p w14:paraId="35726C1A" w14:textId="6E8FACAE"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5,01</w:t>
            </w:r>
          </w:p>
        </w:tc>
        <w:tc>
          <w:tcPr>
            <w:tcW w:w="1089" w:type="dxa"/>
            <w:tcBorders>
              <w:top w:val="nil"/>
              <w:left w:val="nil"/>
              <w:bottom w:val="nil"/>
              <w:right w:val="nil"/>
            </w:tcBorders>
            <w:shd w:val="clear" w:color="auto" w:fill="auto"/>
            <w:vAlign w:val="center"/>
          </w:tcPr>
          <w:p w14:paraId="01A9FB37" w14:textId="18E07424"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4,71</w:t>
            </w:r>
          </w:p>
        </w:tc>
        <w:tc>
          <w:tcPr>
            <w:tcW w:w="799" w:type="dxa"/>
            <w:tcBorders>
              <w:top w:val="nil"/>
              <w:left w:val="nil"/>
              <w:bottom w:val="nil"/>
              <w:right w:val="nil"/>
            </w:tcBorders>
            <w:shd w:val="clear" w:color="auto" w:fill="auto"/>
            <w:vAlign w:val="center"/>
          </w:tcPr>
          <w:p w14:paraId="71171151" w14:textId="75D45654"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4,59</w:t>
            </w:r>
          </w:p>
        </w:tc>
        <w:tc>
          <w:tcPr>
            <w:tcW w:w="992" w:type="dxa"/>
            <w:vAlign w:val="center"/>
          </w:tcPr>
          <w:p w14:paraId="1D00544E" w14:textId="77777777" w:rsidR="004A75E3" w:rsidRPr="00332AB5" w:rsidRDefault="004A75E3" w:rsidP="00441349">
            <w:pPr>
              <w:jc w:val="right"/>
              <w:rPr>
                <w:rFonts w:asciiTheme="minorHAnsi" w:hAnsiTheme="minorHAnsi" w:cstheme="minorHAnsi"/>
                <w:color w:val="000000"/>
                <w:sz w:val="18"/>
                <w:szCs w:val="18"/>
              </w:rPr>
            </w:pPr>
          </w:p>
        </w:tc>
        <w:tc>
          <w:tcPr>
            <w:tcW w:w="568" w:type="dxa"/>
            <w:vAlign w:val="center"/>
          </w:tcPr>
          <w:p w14:paraId="30AEE75D" w14:textId="77777777" w:rsidR="004A75E3" w:rsidRPr="00332AB5" w:rsidRDefault="004A75E3" w:rsidP="004A75E3">
            <w:pPr>
              <w:jc w:val="right"/>
              <w:rPr>
                <w:rFonts w:asciiTheme="minorHAnsi" w:hAnsiTheme="minorHAnsi" w:cstheme="minorHAnsi"/>
                <w:color w:val="000000"/>
                <w:sz w:val="18"/>
                <w:szCs w:val="18"/>
              </w:rPr>
            </w:pPr>
          </w:p>
        </w:tc>
      </w:tr>
      <w:tr w:rsidR="004A75E3" w:rsidRPr="00332AB5" w14:paraId="4B31D24C" w14:textId="77777777" w:rsidTr="00441349">
        <w:trPr>
          <w:trHeight w:val="397"/>
        </w:trPr>
        <w:tc>
          <w:tcPr>
            <w:tcW w:w="1179" w:type="dxa"/>
            <w:vAlign w:val="center"/>
          </w:tcPr>
          <w:p w14:paraId="1ED6A3D8" w14:textId="77777777" w:rsidR="004A75E3" w:rsidRPr="00332AB5" w:rsidRDefault="004A75E3" w:rsidP="004A75E3">
            <w:pPr>
              <w:rPr>
                <w:rFonts w:asciiTheme="minorHAnsi" w:hAnsiTheme="minorHAnsi" w:cstheme="minorHAnsi"/>
                <w:sz w:val="18"/>
                <w:szCs w:val="18"/>
              </w:rPr>
            </w:pPr>
            <w:r w:rsidRPr="00332AB5">
              <w:rPr>
                <w:rFonts w:asciiTheme="minorHAnsi" w:hAnsiTheme="minorHAnsi" w:cstheme="minorHAnsi"/>
                <w:sz w:val="18"/>
                <w:szCs w:val="18"/>
              </w:rPr>
              <w:t>M 9</w:t>
            </w:r>
          </w:p>
        </w:tc>
        <w:tc>
          <w:tcPr>
            <w:tcW w:w="1056" w:type="dxa"/>
            <w:tcBorders>
              <w:top w:val="nil"/>
              <w:left w:val="nil"/>
              <w:bottom w:val="nil"/>
              <w:right w:val="nil"/>
            </w:tcBorders>
            <w:shd w:val="clear" w:color="auto" w:fill="auto"/>
            <w:vAlign w:val="center"/>
          </w:tcPr>
          <w:p w14:paraId="2B586173" w14:textId="6E00B8C4"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5,65</w:t>
            </w:r>
          </w:p>
        </w:tc>
        <w:tc>
          <w:tcPr>
            <w:tcW w:w="1031" w:type="dxa"/>
            <w:tcBorders>
              <w:top w:val="nil"/>
              <w:left w:val="nil"/>
              <w:bottom w:val="nil"/>
              <w:right w:val="nil"/>
            </w:tcBorders>
            <w:shd w:val="clear" w:color="auto" w:fill="auto"/>
            <w:vAlign w:val="center"/>
          </w:tcPr>
          <w:p w14:paraId="789F334B" w14:textId="2CBD38E8"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0,00</w:t>
            </w:r>
          </w:p>
        </w:tc>
        <w:tc>
          <w:tcPr>
            <w:tcW w:w="703" w:type="dxa"/>
            <w:tcBorders>
              <w:top w:val="nil"/>
              <w:left w:val="nil"/>
              <w:bottom w:val="nil"/>
              <w:right w:val="nil"/>
            </w:tcBorders>
            <w:shd w:val="clear" w:color="auto" w:fill="auto"/>
            <w:vAlign w:val="center"/>
          </w:tcPr>
          <w:p w14:paraId="0E7FBF22" w14:textId="723CDFF0"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-0,02</w:t>
            </w:r>
          </w:p>
        </w:tc>
        <w:tc>
          <w:tcPr>
            <w:tcW w:w="1021" w:type="dxa"/>
            <w:tcBorders>
              <w:top w:val="nil"/>
              <w:left w:val="nil"/>
              <w:bottom w:val="nil"/>
              <w:right w:val="nil"/>
            </w:tcBorders>
            <w:shd w:val="clear" w:color="auto" w:fill="auto"/>
            <w:vAlign w:val="center"/>
          </w:tcPr>
          <w:p w14:paraId="55D42AA1" w14:textId="2467FB37"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0,07</w:t>
            </w:r>
          </w:p>
        </w:tc>
        <w:tc>
          <w:tcPr>
            <w:tcW w:w="635" w:type="dxa"/>
            <w:tcBorders>
              <w:top w:val="nil"/>
              <w:left w:val="nil"/>
              <w:bottom w:val="nil"/>
              <w:right w:val="nil"/>
            </w:tcBorders>
            <w:shd w:val="clear" w:color="auto" w:fill="auto"/>
            <w:vAlign w:val="center"/>
          </w:tcPr>
          <w:p w14:paraId="477453EE" w14:textId="441D3EBA"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1,18</w:t>
            </w:r>
          </w:p>
        </w:tc>
        <w:tc>
          <w:tcPr>
            <w:tcW w:w="1089" w:type="dxa"/>
            <w:tcBorders>
              <w:top w:val="nil"/>
              <w:left w:val="nil"/>
              <w:bottom w:val="nil"/>
              <w:right w:val="nil"/>
            </w:tcBorders>
            <w:shd w:val="clear" w:color="auto" w:fill="auto"/>
            <w:vAlign w:val="center"/>
          </w:tcPr>
          <w:p w14:paraId="54C4AB73" w14:textId="30FC45EE"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0,18</w:t>
            </w:r>
          </w:p>
        </w:tc>
        <w:tc>
          <w:tcPr>
            <w:tcW w:w="799" w:type="dxa"/>
            <w:tcBorders>
              <w:top w:val="nil"/>
              <w:left w:val="nil"/>
              <w:bottom w:val="nil"/>
              <w:right w:val="nil"/>
            </w:tcBorders>
            <w:shd w:val="clear" w:color="auto" w:fill="auto"/>
            <w:vAlign w:val="center"/>
          </w:tcPr>
          <w:p w14:paraId="17F23A63" w14:textId="59138590"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3,14</w:t>
            </w:r>
          </w:p>
        </w:tc>
        <w:tc>
          <w:tcPr>
            <w:tcW w:w="992" w:type="dxa"/>
            <w:vAlign w:val="center"/>
          </w:tcPr>
          <w:p w14:paraId="42B6B91D" w14:textId="77777777" w:rsidR="004A75E3" w:rsidRPr="00332AB5" w:rsidRDefault="004A75E3" w:rsidP="00441349">
            <w:pPr>
              <w:jc w:val="right"/>
              <w:rPr>
                <w:rFonts w:asciiTheme="minorHAnsi" w:hAnsiTheme="minorHAnsi" w:cstheme="minorHAnsi"/>
                <w:color w:val="000000"/>
                <w:sz w:val="18"/>
                <w:szCs w:val="18"/>
              </w:rPr>
            </w:pPr>
          </w:p>
        </w:tc>
        <w:tc>
          <w:tcPr>
            <w:tcW w:w="568" w:type="dxa"/>
            <w:vAlign w:val="center"/>
          </w:tcPr>
          <w:p w14:paraId="76E85C82" w14:textId="77777777" w:rsidR="004A75E3" w:rsidRPr="00332AB5" w:rsidRDefault="004A75E3" w:rsidP="004A75E3">
            <w:pPr>
              <w:jc w:val="right"/>
              <w:rPr>
                <w:rFonts w:asciiTheme="minorHAnsi" w:hAnsiTheme="minorHAnsi" w:cstheme="minorHAnsi"/>
                <w:color w:val="000000"/>
                <w:sz w:val="18"/>
                <w:szCs w:val="18"/>
              </w:rPr>
            </w:pPr>
          </w:p>
        </w:tc>
      </w:tr>
      <w:tr w:rsidR="004A75E3" w:rsidRPr="00332AB5" w14:paraId="032E5619" w14:textId="77777777" w:rsidTr="00441349">
        <w:trPr>
          <w:trHeight w:val="397"/>
        </w:trPr>
        <w:tc>
          <w:tcPr>
            <w:tcW w:w="1179" w:type="dxa"/>
            <w:vAlign w:val="center"/>
          </w:tcPr>
          <w:p w14:paraId="515D9D2D" w14:textId="77777777" w:rsidR="004A75E3" w:rsidRPr="00332AB5" w:rsidRDefault="004A75E3" w:rsidP="004A75E3">
            <w:pPr>
              <w:rPr>
                <w:rFonts w:asciiTheme="minorHAnsi" w:hAnsiTheme="minorHAnsi" w:cstheme="minorHAnsi"/>
                <w:sz w:val="18"/>
                <w:szCs w:val="18"/>
              </w:rPr>
            </w:pPr>
            <w:r w:rsidRPr="00332AB5">
              <w:rPr>
                <w:rFonts w:asciiTheme="minorHAnsi" w:hAnsiTheme="minorHAnsi" w:cstheme="minorHAnsi"/>
                <w:sz w:val="18"/>
                <w:szCs w:val="18"/>
              </w:rPr>
              <w:t>M 10</w:t>
            </w:r>
          </w:p>
        </w:tc>
        <w:tc>
          <w:tcPr>
            <w:tcW w:w="1056" w:type="dxa"/>
            <w:tcBorders>
              <w:top w:val="nil"/>
              <w:left w:val="nil"/>
              <w:bottom w:val="nil"/>
              <w:right w:val="nil"/>
            </w:tcBorders>
            <w:shd w:val="clear" w:color="auto" w:fill="auto"/>
            <w:vAlign w:val="center"/>
          </w:tcPr>
          <w:p w14:paraId="0F63B2F3" w14:textId="5CF7D7CD"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115,31</w:t>
            </w:r>
          </w:p>
        </w:tc>
        <w:tc>
          <w:tcPr>
            <w:tcW w:w="1031" w:type="dxa"/>
            <w:tcBorders>
              <w:top w:val="nil"/>
              <w:left w:val="nil"/>
              <w:bottom w:val="nil"/>
              <w:right w:val="nil"/>
            </w:tcBorders>
            <w:shd w:val="clear" w:color="auto" w:fill="auto"/>
            <w:vAlign w:val="center"/>
          </w:tcPr>
          <w:p w14:paraId="7ED4C175" w14:textId="2B1EC24B"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41,82</w:t>
            </w:r>
          </w:p>
        </w:tc>
        <w:tc>
          <w:tcPr>
            <w:tcW w:w="703" w:type="dxa"/>
            <w:tcBorders>
              <w:top w:val="nil"/>
              <w:left w:val="nil"/>
              <w:bottom w:val="nil"/>
              <w:right w:val="nil"/>
            </w:tcBorders>
            <w:shd w:val="clear" w:color="auto" w:fill="auto"/>
            <w:vAlign w:val="center"/>
          </w:tcPr>
          <w:p w14:paraId="430E93A6" w14:textId="56108386"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36,26</w:t>
            </w:r>
          </w:p>
        </w:tc>
        <w:tc>
          <w:tcPr>
            <w:tcW w:w="1021" w:type="dxa"/>
            <w:tcBorders>
              <w:top w:val="nil"/>
              <w:left w:val="nil"/>
              <w:bottom w:val="nil"/>
              <w:right w:val="nil"/>
            </w:tcBorders>
            <w:shd w:val="clear" w:color="auto" w:fill="auto"/>
            <w:vAlign w:val="center"/>
          </w:tcPr>
          <w:p w14:paraId="214321BF" w14:textId="52928212"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41,34</w:t>
            </w:r>
          </w:p>
        </w:tc>
        <w:tc>
          <w:tcPr>
            <w:tcW w:w="635" w:type="dxa"/>
            <w:tcBorders>
              <w:top w:val="nil"/>
              <w:left w:val="nil"/>
              <w:bottom w:val="nil"/>
              <w:right w:val="nil"/>
            </w:tcBorders>
            <w:shd w:val="clear" w:color="auto" w:fill="auto"/>
            <w:vAlign w:val="center"/>
          </w:tcPr>
          <w:p w14:paraId="27725915" w14:textId="5994D6F0"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35,85</w:t>
            </w:r>
          </w:p>
        </w:tc>
        <w:tc>
          <w:tcPr>
            <w:tcW w:w="1089" w:type="dxa"/>
            <w:tcBorders>
              <w:top w:val="nil"/>
              <w:left w:val="nil"/>
              <w:bottom w:val="nil"/>
              <w:right w:val="nil"/>
            </w:tcBorders>
            <w:shd w:val="clear" w:color="auto" w:fill="auto"/>
            <w:vAlign w:val="center"/>
          </w:tcPr>
          <w:p w14:paraId="68D0330C" w14:textId="3E068C54"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-0,18</w:t>
            </w:r>
          </w:p>
        </w:tc>
        <w:tc>
          <w:tcPr>
            <w:tcW w:w="799" w:type="dxa"/>
            <w:tcBorders>
              <w:top w:val="nil"/>
              <w:left w:val="nil"/>
              <w:bottom w:val="nil"/>
              <w:right w:val="nil"/>
            </w:tcBorders>
            <w:shd w:val="clear" w:color="auto" w:fill="auto"/>
            <w:vAlign w:val="center"/>
          </w:tcPr>
          <w:p w14:paraId="16434AF3" w14:textId="1C4255DF"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-0,16</w:t>
            </w:r>
          </w:p>
        </w:tc>
        <w:tc>
          <w:tcPr>
            <w:tcW w:w="992" w:type="dxa"/>
            <w:vAlign w:val="center"/>
          </w:tcPr>
          <w:p w14:paraId="2E9EFBDC" w14:textId="77777777" w:rsidR="004A75E3" w:rsidRPr="00332AB5" w:rsidRDefault="004A75E3" w:rsidP="00441349">
            <w:pPr>
              <w:jc w:val="right"/>
              <w:rPr>
                <w:rFonts w:asciiTheme="minorHAnsi" w:hAnsiTheme="minorHAnsi" w:cstheme="minorHAnsi"/>
                <w:color w:val="000000"/>
                <w:sz w:val="18"/>
                <w:szCs w:val="18"/>
              </w:rPr>
            </w:pPr>
          </w:p>
        </w:tc>
        <w:tc>
          <w:tcPr>
            <w:tcW w:w="568" w:type="dxa"/>
            <w:vAlign w:val="center"/>
          </w:tcPr>
          <w:p w14:paraId="2430E783" w14:textId="77777777" w:rsidR="004A75E3" w:rsidRPr="00332AB5" w:rsidRDefault="004A75E3" w:rsidP="004A75E3">
            <w:pPr>
              <w:jc w:val="right"/>
              <w:rPr>
                <w:rFonts w:asciiTheme="minorHAnsi" w:hAnsiTheme="minorHAnsi" w:cstheme="minorHAnsi"/>
                <w:color w:val="000000"/>
                <w:sz w:val="18"/>
                <w:szCs w:val="18"/>
              </w:rPr>
            </w:pPr>
          </w:p>
        </w:tc>
      </w:tr>
      <w:tr w:rsidR="004A75E3" w:rsidRPr="00332AB5" w14:paraId="2F98C005" w14:textId="77777777" w:rsidTr="00441349">
        <w:trPr>
          <w:trHeight w:val="397"/>
        </w:trPr>
        <w:tc>
          <w:tcPr>
            <w:tcW w:w="1179" w:type="dxa"/>
            <w:vAlign w:val="center"/>
          </w:tcPr>
          <w:p w14:paraId="23A9B7D4" w14:textId="77777777" w:rsidR="004A75E3" w:rsidRPr="00332AB5" w:rsidRDefault="004A75E3" w:rsidP="004A75E3">
            <w:pPr>
              <w:rPr>
                <w:rFonts w:asciiTheme="minorHAnsi" w:hAnsiTheme="minorHAnsi" w:cstheme="minorHAnsi"/>
                <w:sz w:val="18"/>
                <w:szCs w:val="18"/>
              </w:rPr>
            </w:pPr>
            <w:r w:rsidRPr="00332AB5">
              <w:rPr>
                <w:rFonts w:asciiTheme="minorHAnsi" w:hAnsiTheme="minorHAnsi" w:cstheme="minorHAnsi"/>
                <w:sz w:val="18"/>
                <w:szCs w:val="18"/>
              </w:rPr>
              <w:t>M 11</w:t>
            </w:r>
          </w:p>
        </w:tc>
        <w:tc>
          <w:tcPr>
            <w:tcW w:w="1056" w:type="dxa"/>
            <w:tcBorders>
              <w:top w:val="nil"/>
              <w:left w:val="nil"/>
              <w:bottom w:val="nil"/>
              <w:right w:val="nil"/>
            </w:tcBorders>
            <w:shd w:val="clear" w:color="auto" w:fill="auto"/>
            <w:vAlign w:val="center"/>
          </w:tcPr>
          <w:p w14:paraId="40FE0314" w14:textId="37E5204F"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185,13</w:t>
            </w:r>
          </w:p>
        </w:tc>
        <w:tc>
          <w:tcPr>
            <w:tcW w:w="1031" w:type="dxa"/>
            <w:tcBorders>
              <w:top w:val="nil"/>
              <w:left w:val="nil"/>
              <w:bottom w:val="nil"/>
              <w:right w:val="nil"/>
            </w:tcBorders>
            <w:shd w:val="clear" w:color="auto" w:fill="auto"/>
            <w:vAlign w:val="center"/>
          </w:tcPr>
          <w:p w14:paraId="6BC8F68C" w14:textId="6C15376F"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22,57</w:t>
            </w:r>
          </w:p>
        </w:tc>
        <w:tc>
          <w:tcPr>
            <w:tcW w:w="703" w:type="dxa"/>
            <w:tcBorders>
              <w:top w:val="nil"/>
              <w:left w:val="nil"/>
              <w:bottom w:val="nil"/>
              <w:right w:val="nil"/>
            </w:tcBorders>
            <w:shd w:val="clear" w:color="auto" w:fill="auto"/>
            <w:vAlign w:val="center"/>
          </w:tcPr>
          <w:p w14:paraId="17A7425C" w14:textId="04FC9B22"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12,19</w:t>
            </w:r>
          </w:p>
        </w:tc>
        <w:tc>
          <w:tcPr>
            <w:tcW w:w="1021" w:type="dxa"/>
            <w:tcBorders>
              <w:top w:val="nil"/>
              <w:left w:val="nil"/>
              <w:bottom w:val="nil"/>
              <w:right w:val="nil"/>
            </w:tcBorders>
            <w:shd w:val="clear" w:color="auto" w:fill="auto"/>
            <w:vAlign w:val="center"/>
          </w:tcPr>
          <w:p w14:paraId="06A993AD" w14:textId="69D819ED"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22,57</w:t>
            </w:r>
          </w:p>
        </w:tc>
        <w:tc>
          <w:tcPr>
            <w:tcW w:w="635" w:type="dxa"/>
            <w:tcBorders>
              <w:top w:val="nil"/>
              <w:left w:val="nil"/>
              <w:bottom w:val="nil"/>
              <w:right w:val="nil"/>
            </w:tcBorders>
            <w:shd w:val="clear" w:color="auto" w:fill="auto"/>
            <w:vAlign w:val="center"/>
          </w:tcPr>
          <w:p w14:paraId="3292F591" w14:textId="22678A3E"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12,19</w:t>
            </w:r>
          </w:p>
        </w:tc>
        <w:tc>
          <w:tcPr>
            <w:tcW w:w="1089" w:type="dxa"/>
            <w:tcBorders>
              <w:top w:val="nil"/>
              <w:left w:val="nil"/>
              <w:bottom w:val="nil"/>
              <w:right w:val="nil"/>
            </w:tcBorders>
            <w:shd w:val="clear" w:color="auto" w:fill="auto"/>
            <w:vAlign w:val="center"/>
          </w:tcPr>
          <w:p w14:paraId="4AE38B79" w14:textId="792F2AA3"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-0,36</w:t>
            </w:r>
          </w:p>
        </w:tc>
        <w:tc>
          <w:tcPr>
            <w:tcW w:w="799" w:type="dxa"/>
            <w:tcBorders>
              <w:top w:val="nil"/>
              <w:left w:val="nil"/>
              <w:bottom w:val="nil"/>
              <w:right w:val="nil"/>
            </w:tcBorders>
            <w:shd w:val="clear" w:color="auto" w:fill="auto"/>
            <w:vAlign w:val="center"/>
          </w:tcPr>
          <w:p w14:paraId="166A8BF5" w14:textId="21839F4F"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-0,20</w:t>
            </w:r>
          </w:p>
        </w:tc>
        <w:tc>
          <w:tcPr>
            <w:tcW w:w="992" w:type="dxa"/>
            <w:vAlign w:val="center"/>
          </w:tcPr>
          <w:p w14:paraId="1087F82B" w14:textId="77777777" w:rsidR="004A75E3" w:rsidRPr="00332AB5" w:rsidRDefault="004A75E3" w:rsidP="00441349">
            <w:pPr>
              <w:jc w:val="right"/>
              <w:rPr>
                <w:rFonts w:asciiTheme="minorHAnsi" w:hAnsiTheme="minorHAnsi" w:cstheme="minorHAnsi"/>
                <w:color w:val="000000"/>
                <w:sz w:val="18"/>
                <w:szCs w:val="18"/>
              </w:rPr>
            </w:pPr>
          </w:p>
        </w:tc>
        <w:tc>
          <w:tcPr>
            <w:tcW w:w="568" w:type="dxa"/>
            <w:vAlign w:val="center"/>
          </w:tcPr>
          <w:p w14:paraId="4B484C02" w14:textId="77777777" w:rsidR="004A75E3" w:rsidRPr="00332AB5" w:rsidRDefault="004A75E3" w:rsidP="004A75E3">
            <w:pPr>
              <w:jc w:val="right"/>
              <w:rPr>
                <w:rFonts w:asciiTheme="minorHAnsi" w:hAnsiTheme="minorHAnsi" w:cstheme="minorHAnsi"/>
                <w:color w:val="000000"/>
                <w:sz w:val="18"/>
                <w:szCs w:val="18"/>
              </w:rPr>
            </w:pPr>
          </w:p>
        </w:tc>
      </w:tr>
      <w:tr w:rsidR="004A75E3" w:rsidRPr="00332AB5" w14:paraId="5281C269" w14:textId="77777777" w:rsidTr="00441349">
        <w:trPr>
          <w:trHeight w:val="397"/>
        </w:trPr>
        <w:tc>
          <w:tcPr>
            <w:tcW w:w="1179" w:type="dxa"/>
            <w:vAlign w:val="center"/>
          </w:tcPr>
          <w:p w14:paraId="120B4ABF" w14:textId="77777777" w:rsidR="004A75E3" w:rsidRPr="00332AB5" w:rsidRDefault="004A75E3" w:rsidP="004A75E3">
            <w:pPr>
              <w:rPr>
                <w:rFonts w:asciiTheme="minorHAnsi" w:hAnsiTheme="minorHAnsi" w:cstheme="minorHAnsi"/>
                <w:sz w:val="18"/>
                <w:szCs w:val="18"/>
              </w:rPr>
            </w:pPr>
            <w:r w:rsidRPr="00332AB5">
              <w:rPr>
                <w:rFonts w:asciiTheme="minorHAnsi" w:hAnsiTheme="minorHAnsi" w:cstheme="minorHAnsi"/>
                <w:sz w:val="18"/>
                <w:szCs w:val="18"/>
              </w:rPr>
              <w:t>M 13</w:t>
            </w:r>
          </w:p>
        </w:tc>
        <w:tc>
          <w:tcPr>
            <w:tcW w:w="1056" w:type="dxa"/>
            <w:tcBorders>
              <w:top w:val="nil"/>
              <w:left w:val="nil"/>
              <w:bottom w:val="nil"/>
              <w:right w:val="nil"/>
            </w:tcBorders>
            <w:shd w:val="clear" w:color="auto" w:fill="auto"/>
            <w:vAlign w:val="center"/>
          </w:tcPr>
          <w:p w14:paraId="563F4D70" w14:textId="51836959"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371,68</w:t>
            </w:r>
          </w:p>
        </w:tc>
        <w:tc>
          <w:tcPr>
            <w:tcW w:w="1031" w:type="dxa"/>
            <w:tcBorders>
              <w:top w:val="nil"/>
              <w:left w:val="nil"/>
              <w:bottom w:val="nil"/>
              <w:right w:val="nil"/>
            </w:tcBorders>
            <w:shd w:val="clear" w:color="auto" w:fill="auto"/>
            <w:vAlign w:val="center"/>
          </w:tcPr>
          <w:p w14:paraId="558AA98A" w14:textId="396D5865"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48,35</w:t>
            </w:r>
          </w:p>
        </w:tc>
        <w:tc>
          <w:tcPr>
            <w:tcW w:w="703" w:type="dxa"/>
            <w:tcBorders>
              <w:top w:val="nil"/>
              <w:left w:val="nil"/>
              <w:bottom w:val="nil"/>
              <w:right w:val="nil"/>
            </w:tcBorders>
            <w:shd w:val="clear" w:color="auto" w:fill="auto"/>
            <w:vAlign w:val="center"/>
          </w:tcPr>
          <w:p w14:paraId="4396E388" w14:textId="32E4E519"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13,01</w:t>
            </w:r>
          </w:p>
        </w:tc>
        <w:tc>
          <w:tcPr>
            <w:tcW w:w="1021" w:type="dxa"/>
            <w:tcBorders>
              <w:top w:val="nil"/>
              <w:left w:val="nil"/>
              <w:bottom w:val="nil"/>
              <w:right w:val="nil"/>
            </w:tcBorders>
            <w:shd w:val="clear" w:color="auto" w:fill="auto"/>
            <w:vAlign w:val="center"/>
          </w:tcPr>
          <w:p w14:paraId="0EA3AE6D" w14:textId="1235B1B9"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48,35</w:t>
            </w:r>
          </w:p>
        </w:tc>
        <w:tc>
          <w:tcPr>
            <w:tcW w:w="635" w:type="dxa"/>
            <w:tcBorders>
              <w:top w:val="nil"/>
              <w:left w:val="nil"/>
              <w:bottom w:val="nil"/>
              <w:right w:val="nil"/>
            </w:tcBorders>
            <w:shd w:val="clear" w:color="auto" w:fill="auto"/>
            <w:vAlign w:val="center"/>
          </w:tcPr>
          <w:p w14:paraId="38675328" w14:textId="30EFBE2E"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13,01</w:t>
            </w:r>
          </w:p>
        </w:tc>
        <w:tc>
          <w:tcPr>
            <w:tcW w:w="1089" w:type="dxa"/>
            <w:tcBorders>
              <w:top w:val="nil"/>
              <w:left w:val="nil"/>
              <w:bottom w:val="nil"/>
              <w:right w:val="nil"/>
            </w:tcBorders>
            <w:shd w:val="clear" w:color="auto" w:fill="auto"/>
            <w:vAlign w:val="center"/>
          </w:tcPr>
          <w:p w14:paraId="6EEDEAEA" w14:textId="785FB87C"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38,08</w:t>
            </w:r>
          </w:p>
        </w:tc>
        <w:tc>
          <w:tcPr>
            <w:tcW w:w="799" w:type="dxa"/>
            <w:tcBorders>
              <w:top w:val="nil"/>
              <w:left w:val="nil"/>
              <w:bottom w:val="nil"/>
              <w:right w:val="nil"/>
            </w:tcBorders>
            <w:shd w:val="clear" w:color="auto" w:fill="auto"/>
            <w:vAlign w:val="center"/>
          </w:tcPr>
          <w:p w14:paraId="3859F47E" w14:textId="0B355BB8"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10,25</w:t>
            </w:r>
          </w:p>
        </w:tc>
        <w:tc>
          <w:tcPr>
            <w:tcW w:w="992" w:type="dxa"/>
            <w:vAlign w:val="center"/>
          </w:tcPr>
          <w:p w14:paraId="6E054563" w14:textId="77777777" w:rsidR="004A75E3" w:rsidRPr="00332AB5" w:rsidRDefault="004A75E3" w:rsidP="00441349">
            <w:pPr>
              <w:jc w:val="right"/>
              <w:rPr>
                <w:rFonts w:asciiTheme="minorHAnsi" w:hAnsiTheme="minorHAnsi" w:cstheme="minorHAnsi"/>
                <w:color w:val="000000"/>
                <w:sz w:val="18"/>
                <w:szCs w:val="18"/>
              </w:rPr>
            </w:pPr>
          </w:p>
        </w:tc>
        <w:tc>
          <w:tcPr>
            <w:tcW w:w="568" w:type="dxa"/>
            <w:vAlign w:val="center"/>
          </w:tcPr>
          <w:p w14:paraId="5B43C8F8" w14:textId="77777777" w:rsidR="004A75E3" w:rsidRPr="00332AB5" w:rsidRDefault="004A75E3" w:rsidP="004A75E3">
            <w:pPr>
              <w:jc w:val="right"/>
              <w:rPr>
                <w:rFonts w:asciiTheme="minorHAnsi" w:hAnsiTheme="minorHAnsi" w:cstheme="minorHAnsi"/>
                <w:color w:val="000000"/>
                <w:sz w:val="18"/>
                <w:szCs w:val="18"/>
              </w:rPr>
            </w:pPr>
          </w:p>
        </w:tc>
      </w:tr>
      <w:tr w:rsidR="004A75E3" w:rsidRPr="00332AB5" w14:paraId="0B1684D2" w14:textId="77777777" w:rsidTr="00441349">
        <w:trPr>
          <w:trHeight w:val="397"/>
        </w:trPr>
        <w:tc>
          <w:tcPr>
            <w:tcW w:w="1179" w:type="dxa"/>
            <w:vAlign w:val="center"/>
          </w:tcPr>
          <w:p w14:paraId="570C1AB2" w14:textId="77777777" w:rsidR="004A75E3" w:rsidRPr="00332AB5" w:rsidRDefault="004A75E3" w:rsidP="004A75E3">
            <w:pPr>
              <w:rPr>
                <w:rFonts w:asciiTheme="minorHAnsi" w:hAnsiTheme="minorHAnsi" w:cstheme="minorHAnsi"/>
                <w:sz w:val="18"/>
                <w:szCs w:val="18"/>
              </w:rPr>
            </w:pPr>
            <w:r w:rsidRPr="00332AB5">
              <w:rPr>
                <w:rFonts w:asciiTheme="minorHAnsi" w:hAnsiTheme="minorHAnsi" w:cstheme="minorHAnsi"/>
                <w:sz w:val="18"/>
                <w:szCs w:val="18"/>
              </w:rPr>
              <w:t>M 14</w:t>
            </w:r>
          </w:p>
        </w:tc>
        <w:tc>
          <w:tcPr>
            <w:tcW w:w="1056" w:type="dxa"/>
            <w:tcBorders>
              <w:top w:val="nil"/>
              <w:left w:val="nil"/>
              <w:bottom w:val="nil"/>
              <w:right w:val="nil"/>
            </w:tcBorders>
            <w:shd w:val="clear" w:color="auto" w:fill="auto"/>
            <w:vAlign w:val="center"/>
          </w:tcPr>
          <w:p w14:paraId="066915BB" w14:textId="190C6043"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38,28</w:t>
            </w:r>
          </w:p>
        </w:tc>
        <w:tc>
          <w:tcPr>
            <w:tcW w:w="1031" w:type="dxa"/>
            <w:tcBorders>
              <w:top w:val="nil"/>
              <w:left w:val="nil"/>
              <w:bottom w:val="nil"/>
              <w:right w:val="nil"/>
            </w:tcBorders>
            <w:shd w:val="clear" w:color="auto" w:fill="auto"/>
            <w:vAlign w:val="center"/>
          </w:tcPr>
          <w:p w14:paraId="08734C1A" w14:textId="0AD5A995"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6,14</w:t>
            </w:r>
          </w:p>
        </w:tc>
        <w:tc>
          <w:tcPr>
            <w:tcW w:w="703" w:type="dxa"/>
            <w:tcBorders>
              <w:top w:val="nil"/>
              <w:left w:val="nil"/>
              <w:bottom w:val="nil"/>
              <w:right w:val="nil"/>
            </w:tcBorders>
            <w:shd w:val="clear" w:color="auto" w:fill="auto"/>
            <w:vAlign w:val="center"/>
          </w:tcPr>
          <w:p w14:paraId="4A3B3884" w14:textId="41D7784B"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16,05</w:t>
            </w:r>
          </w:p>
        </w:tc>
        <w:tc>
          <w:tcPr>
            <w:tcW w:w="1021" w:type="dxa"/>
            <w:tcBorders>
              <w:top w:val="nil"/>
              <w:left w:val="nil"/>
              <w:bottom w:val="nil"/>
              <w:right w:val="nil"/>
            </w:tcBorders>
            <w:shd w:val="clear" w:color="auto" w:fill="auto"/>
            <w:vAlign w:val="center"/>
          </w:tcPr>
          <w:p w14:paraId="5CF40D32" w14:textId="022EB3CF"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6,14</w:t>
            </w:r>
          </w:p>
        </w:tc>
        <w:tc>
          <w:tcPr>
            <w:tcW w:w="635" w:type="dxa"/>
            <w:tcBorders>
              <w:top w:val="nil"/>
              <w:left w:val="nil"/>
              <w:bottom w:val="nil"/>
              <w:right w:val="nil"/>
            </w:tcBorders>
            <w:shd w:val="clear" w:color="auto" w:fill="auto"/>
            <w:vAlign w:val="center"/>
          </w:tcPr>
          <w:p w14:paraId="19AB30ED" w14:textId="54B4C884"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16,05</w:t>
            </w:r>
          </w:p>
        </w:tc>
        <w:tc>
          <w:tcPr>
            <w:tcW w:w="1089" w:type="dxa"/>
            <w:tcBorders>
              <w:top w:val="nil"/>
              <w:left w:val="nil"/>
              <w:bottom w:val="nil"/>
              <w:right w:val="nil"/>
            </w:tcBorders>
            <w:shd w:val="clear" w:color="auto" w:fill="auto"/>
            <w:vAlign w:val="center"/>
          </w:tcPr>
          <w:p w14:paraId="5780ADF1" w14:textId="367D5243"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0,02</w:t>
            </w:r>
          </w:p>
        </w:tc>
        <w:tc>
          <w:tcPr>
            <w:tcW w:w="799" w:type="dxa"/>
            <w:tcBorders>
              <w:top w:val="nil"/>
              <w:left w:val="nil"/>
              <w:bottom w:val="nil"/>
              <w:right w:val="nil"/>
            </w:tcBorders>
            <w:shd w:val="clear" w:color="auto" w:fill="auto"/>
            <w:vAlign w:val="center"/>
          </w:tcPr>
          <w:p w14:paraId="7E9DD914" w14:textId="00C9AAD0"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0,04</w:t>
            </w:r>
          </w:p>
        </w:tc>
        <w:tc>
          <w:tcPr>
            <w:tcW w:w="992" w:type="dxa"/>
            <w:vAlign w:val="center"/>
          </w:tcPr>
          <w:p w14:paraId="089DCF00" w14:textId="77777777" w:rsidR="004A75E3" w:rsidRPr="00332AB5" w:rsidRDefault="004A75E3" w:rsidP="00441349">
            <w:pPr>
              <w:jc w:val="right"/>
              <w:rPr>
                <w:rFonts w:asciiTheme="minorHAnsi" w:hAnsiTheme="minorHAnsi" w:cstheme="minorHAnsi"/>
                <w:color w:val="000000"/>
                <w:sz w:val="18"/>
                <w:szCs w:val="18"/>
              </w:rPr>
            </w:pPr>
          </w:p>
        </w:tc>
        <w:tc>
          <w:tcPr>
            <w:tcW w:w="568" w:type="dxa"/>
            <w:vAlign w:val="center"/>
          </w:tcPr>
          <w:p w14:paraId="291AFADC" w14:textId="77777777" w:rsidR="004A75E3" w:rsidRPr="00332AB5" w:rsidRDefault="004A75E3" w:rsidP="004A75E3">
            <w:pPr>
              <w:jc w:val="right"/>
              <w:rPr>
                <w:rFonts w:asciiTheme="minorHAnsi" w:hAnsiTheme="minorHAnsi" w:cstheme="minorHAnsi"/>
                <w:color w:val="000000"/>
                <w:sz w:val="18"/>
                <w:szCs w:val="18"/>
              </w:rPr>
            </w:pPr>
          </w:p>
        </w:tc>
      </w:tr>
      <w:tr w:rsidR="004A75E3" w:rsidRPr="00332AB5" w14:paraId="1BCE5781" w14:textId="77777777" w:rsidTr="00441349">
        <w:trPr>
          <w:trHeight w:val="397"/>
        </w:trPr>
        <w:tc>
          <w:tcPr>
            <w:tcW w:w="1179" w:type="dxa"/>
            <w:vAlign w:val="center"/>
          </w:tcPr>
          <w:p w14:paraId="79F216EC" w14:textId="77777777" w:rsidR="004A75E3" w:rsidRPr="00332AB5" w:rsidRDefault="004A75E3" w:rsidP="004A75E3">
            <w:pPr>
              <w:rPr>
                <w:rFonts w:asciiTheme="minorHAnsi" w:hAnsiTheme="minorHAnsi" w:cstheme="minorHAnsi"/>
                <w:sz w:val="18"/>
                <w:szCs w:val="18"/>
              </w:rPr>
            </w:pPr>
            <w:r w:rsidRPr="00332AB5">
              <w:rPr>
                <w:rFonts w:asciiTheme="minorHAnsi" w:hAnsiTheme="minorHAnsi" w:cstheme="minorHAnsi"/>
                <w:sz w:val="18"/>
                <w:szCs w:val="18"/>
              </w:rPr>
              <w:t>M 16</w:t>
            </w:r>
          </w:p>
        </w:tc>
        <w:tc>
          <w:tcPr>
            <w:tcW w:w="1056" w:type="dxa"/>
            <w:tcBorders>
              <w:top w:val="nil"/>
              <w:left w:val="nil"/>
              <w:bottom w:val="nil"/>
              <w:right w:val="nil"/>
            </w:tcBorders>
            <w:shd w:val="clear" w:color="auto" w:fill="auto"/>
            <w:vAlign w:val="center"/>
          </w:tcPr>
          <w:p w14:paraId="57664322" w14:textId="53AA9234"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4,64</w:t>
            </w:r>
          </w:p>
        </w:tc>
        <w:tc>
          <w:tcPr>
            <w:tcW w:w="1031" w:type="dxa"/>
            <w:tcBorders>
              <w:top w:val="nil"/>
              <w:left w:val="nil"/>
              <w:bottom w:val="nil"/>
              <w:right w:val="nil"/>
            </w:tcBorders>
            <w:shd w:val="clear" w:color="auto" w:fill="auto"/>
            <w:vAlign w:val="center"/>
          </w:tcPr>
          <w:p w14:paraId="092A62AB" w14:textId="51B7A7E9"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-0,11</w:t>
            </w:r>
          </w:p>
        </w:tc>
        <w:tc>
          <w:tcPr>
            <w:tcW w:w="703" w:type="dxa"/>
            <w:tcBorders>
              <w:top w:val="nil"/>
              <w:left w:val="nil"/>
              <w:bottom w:val="nil"/>
              <w:right w:val="nil"/>
            </w:tcBorders>
            <w:shd w:val="clear" w:color="auto" w:fill="auto"/>
            <w:vAlign w:val="center"/>
          </w:tcPr>
          <w:p w14:paraId="3A180281" w14:textId="0DB184D7"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-2,42</w:t>
            </w:r>
          </w:p>
        </w:tc>
        <w:tc>
          <w:tcPr>
            <w:tcW w:w="1021" w:type="dxa"/>
            <w:tcBorders>
              <w:top w:val="nil"/>
              <w:left w:val="nil"/>
              <w:bottom w:val="nil"/>
              <w:right w:val="nil"/>
            </w:tcBorders>
            <w:shd w:val="clear" w:color="auto" w:fill="auto"/>
            <w:vAlign w:val="center"/>
          </w:tcPr>
          <w:p w14:paraId="4624D42C" w14:textId="6E41F4DC"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0,26</w:t>
            </w:r>
          </w:p>
        </w:tc>
        <w:tc>
          <w:tcPr>
            <w:tcW w:w="635" w:type="dxa"/>
            <w:tcBorders>
              <w:top w:val="nil"/>
              <w:left w:val="nil"/>
              <w:bottom w:val="nil"/>
              <w:right w:val="nil"/>
            </w:tcBorders>
            <w:shd w:val="clear" w:color="auto" w:fill="auto"/>
            <w:vAlign w:val="center"/>
          </w:tcPr>
          <w:p w14:paraId="0DEC7680" w14:textId="735B8412"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5,57</w:t>
            </w:r>
          </w:p>
        </w:tc>
        <w:tc>
          <w:tcPr>
            <w:tcW w:w="1089" w:type="dxa"/>
            <w:tcBorders>
              <w:top w:val="nil"/>
              <w:left w:val="nil"/>
              <w:bottom w:val="nil"/>
              <w:right w:val="nil"/>
            </w:tcBorders>
            <w:shd w:val="clear" w:color="auto" w:fill="auto"/>
            <w:vAlign w:val="center"/>
          </w:tcPr>
          <w:p w14:paraId="438AD029" w14:textId="18E692F7"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0,27</w:t>
            </w:r>
          </w:p>
        </w:tc>
        <w:tc>
          <w:tcPr>
            <w:tcW w:w="799" w:type="dxa"/>
            <w:tcBorders>
              <w:top w:val="nil"/>
              <w:left w:val="nil"/>
              <w:bottom w:val="nil"/>
              <w:right w:val="nil"/>
            </w:tcBorders>
            <w:shd w:val="clear" w:color="auto" w:fill="auto"/>
            <w:vAlign w:val="center"/>
          </w:tcPr>
          <w:p w14:paraId="3F608F8F" w14:textId="60A0BAE9"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5,85</w:t>
            </w:r>
          </w:p>
        </w:tc>
        <w:tc>
          <w:tcPr>
            <w:tcW w:w="992" w:type="dxa"/>
            <w:vAlign w:val="center"/>
          </w:tcPr>
          <w:p w14:paraId="7670328B" w14:textId="77777777" w:rsidR="004A75E3" w:rsidRPr="00332AB5" w:rsidRDefault="004A75E3" w:rsidP="00441349">
            <w:pPr>
              <w:jc w:val="right"/>
              <w:rPr>
                <w:rFonts w:asciiTheme="minorHAnsi" w:hAnsiTheme="minorHAnsi" w:cstheme="minorHAnsi"/>
                <w:color w:val="000000"/>
                <w:sz w:val="18"/>
                <w:szCs w:val="18"/>
              </w:rPr>
            </w:pPr>
          </w:p>
        </w:tc>
        <w:tc>
          <w:tcPr>
            <w:tcW w:w="568" w:type="dxa"/>
            <w:vAlign w:val="center"/>
          </w:tcPr>
          <w:p w14:paraId="494FF748" w14:textId="77777777" w:rsidR="004A75E3" w:rsidRPr="00332AB5" w:rsidRDefault="004A75E3" w:rsidP="004A75E3">
            <w:pPr>
              <w:jc w:val="right"/>
              <w:rPr>
                <w:rFonts w:asciiTheme="minorHAnsi" w:hAnsiTheme="minorHAnsi" w:cstheme="minorHAnsi"/>
                <w:color w:val="000000"/>
                <w:sz w:val="18"/>
                <w:szCs w:val="18"/>
              </w:rPr>
            </w:pPr>
          </w:p>
        </w:tc>
      </w:tr>
      <w:tr w:rsidR="004A75E3" w:rsidRPr="00332AB5" w14:paraId="50328738" w14:textId="77777777" w:rsidTr="00441349">
        <w:trPr>
          <w:trHeight w:val="397"/>
        </w:trPr>
        <w:tc>
          <w:tcPr>
            <w:tcW w:w="1179" w:type="dxa"/>
            <w:vAlign w:val="center"/>
          </w:tcPr>
          <w:p w14:paraId="55FFBB3D" w14:textId="77777777" w:rsidR="004A75E3" w:rsidRPr="00332AB5" w:rsidRDefault="004A75E3" w:rsidP="004A75E3">
            <w:pPr>
              <w:rPr>
                <w:rFonts w:asciiTheme="minorHAnsi" w:hAnsiTheme="minorHAnsi" w:cstheme="minorHAnsi"/>
                <w:sz w:val="18"/>
                <w:szCs w:val="18"/>
              </w:rPr>
            </w:pPr>
            <w:r w:rsidRPr="00332AB5">
              <w:rPr>
                <w:rFonts w:asciiTheme="minorHAnsi" w:hAnsiTheme="minorHAnsi" w:cstheme="minorHAnsi"/>
                <w:sz w:val="18"/>
                <w:szCs w:val="18"/>
              </w:rPr>
              <w:t>M 17</w:t>
            </w:r>
          </w:p>
        </w:tc>
        <w:tc>
          <w:tcPr>
            <w:tcW w:w="1056" w:type="dxa"/>
            <w:tcBorders>
              <w:top w:val="nil"/>
              <w:left w:val="nil"/>
              <w:bottom w:val="nil"/>
              <w:right w:val="nil"/>
            </w:tcBorders>
            <w:shd w:val="clear" w:color="auto" w:fill="auto"/>
            <w:vAlign w:val="center"/>
          </w:tcPr>
          <w:p w14:paraId="4EBF0906" w14:textId="112F6ACB"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92,87</w:t>
            </w:r>
          </w:p>
        </w:tc>
        <w:tc>
          <w:tcPr>
            <w:tcW w:w="1031" w:type="dxa"/>
            <w:tcBorders>
              <w:top w:val="nil"/>
              <w:left w:val="nil"/>
              <w:bottom w:val="nil"/>
              <w:right w:val="nil"/>
            </w:tcBorders>
            <w:shd w:val="clear" w:color="auto" w:fill="auto"/>
            <w:vAlign w:val="center"/>
          </w:tcPr>
          <w:p w14:paraId="11C9FA4F" w14:textId="6320A1AB"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15,61</w:t>
            </w:r>
          </w:p>
        </w:tc>
        <w:tc>
          <w:tcPr>
            <w:tcW w:w="703" w:type="dxa"/>
            <w:tcBorders>
              <w:top w:val="nil"/>
              <w:left w:val="nil"/>
              <w:bottom w:val="nil"/>
              <w:right w:val="nil"/>
            </w:tcBorders>
            <w:shd w:val="clear" w:color="auto" w:fill="auto"/>
            <w:vAlign w:val="center"/>
          </w:tcPr>
          <w:p w14:paraId="0C9454FC" w14:textId="75E7189A"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16,81</w:t>
            </w:r>
          </w:p>
        </w:tc>
        <w:tc>
          <w:tcPr>
            <w:tcW w:w="1021" w:type="dxa"/>
            <w:tcBorders>
              <w:top w:val="nil"/>
              <w:left w:val="nil"/>
              <w:bottom w:val="nil"/>
              <w:right w:val="nil"/>
            </w:tcBorders>
            <w:shd w:val="clear" w:color="auto" w:fill="auto"/>
            <w:vAlign w:val="center"/>
          </w:tcPr>
          <w:p w14:paraId="318D0870" w14:textId="3DA7B2F9"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15,61</w:t>
            </w:r>
          </w:p>
        </w:tc>
        <w:tc>
          <w:tcPr>
            <w:tcW w:w="635" w:type="dxa"/>
            <w:tcBorders>
              <w:top w:val="nil"/>
              <w:left w:val="nil"/>
              <w:bottom w:val="nil"/>
              <w:right w:val="nil"/>
            </w:tcBorders>
            <w:shd w:val="clear" w:color="auto" w:fill="auto"/>
            <w:vAlign w:val="center"/>
          </w:tcPr>
          <w:p w14:paraId="0A896FB5" w14:textId="6589CB01"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16,81</w:t>
            </w:r>
          </w:p>
        </w:tc>
        <w:tc>
          <w:tcPr>
            <w:tcW w:w="1089" w:type="dxa"/>
            <w:tcBorders>
              <w:top w:val="nil"/>
              <w:left w:val="nil"/>
              <w:bottom w:val="nil"/>
              <w:right w:val="nil"/>
            </w:tcBorders>
            <w:shd w:val="clear" w:color="auto" w:fill="auto"/>
            <w:vAlign w:val="center"/>
          </w:tcPr>
          <w:p w14:paraId="558F1D03" w14:textId="723DC951"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9,36</w:t>
            </w:r>
          </w:p>
        </w:tc>
        <w:tc>
          <w:tcPr>
            <w:tcW w:w="799" w:type="dxa"/>
            <w:tcBorders>
              <w:top w:val="nil"/>
              <w:left w:val="nil"/>
              <w:bottom w:val="nil"/>
              <w:right w:val="nil"/>
            </w:tcBorders>
            <w:shd w:val="clear" w:color="auto" w:fill="auto"/>
            <w:vAlign w:val="center"/>
          </w:tcPr>
          <w:p w14:paraId="6E58E703" w14:textId="47610E1A"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10,08</w:t>
            </w:r>
          </w:p>
        </w:tc>
        <w:tc>
          <w:tcPr>
            <w:tcW w:w="992" w:type="dxa"/>
            <w:vAlign w:val="center"/>
          </w:tcPr>
          <w:p w14:paraId="63A33FA5" w14:textId="77777777" w:rsidR="004A75E3" w:rsidRPr="00332AB5" w:rsidRDefault="004A75E3" w:rsidP="00441349">
            <w:pPr>
              <w:jc w:val="right"/>
              <w:rPr>
                <w:rFonts w:asciiTheme="minorHAnsi" w:hAnsiTheme="minorHAnsi" w:cstheme="minorHAnsi"/>
                <w:color w:val="000000"/>
                <w:sz w:val="18"/>
                <w:szCs w:val="18"/>
              </w:rPr>
            </w:pPr>
          </w:p>
        </w:tc>
        <w:tc>
          <w:tcPr>
            <w:tcW w:w="568" w:type="dxa"/>
            <w:vAlign w:val="center"/>
          </w:tcPr>
          <w:p w14:paraId="08CD89F7" w14:textId="77777777" w:rsidR="004A75E3" w:rsidRPr="00332AB5" w:rsidRDefault="004A75E3" w:rsidP="004A75E3">
            <w:pPr>
              <w:jc w:val="right"/>
              <w:rPr>
                <w:rFonts w:asciiTheme="minorHAnsi" w:hAnsiTheme="minorHAnsi" w:cstheme="minorHAnsi"/>
                <w:color w:val="000000"/>
                <w:sz w:val="18"/>
                <w:szCs w:val="18"/>
              </w:rPr>
            </w:pPr>
          </w:p>
        </w:tc>
      </w:tr>
      <w:tr w:rsidR="004A75E3" w:rsidRPr="00332AB5" w14:paraId="7F9C27D9" w14:textId="77777777" w:rsidTr="00441349">
        <w:trPr>
          <w:trHeight w:val="397"/>
        </w:trPr>
        <w:tc>
          <w:tcPr>
            <w:tcW w:w="1179" w:type="dxa"/>
            <w:vAlign w:val="center"/>
          </w:tcPr>
          <w:p w14:paraId="3D7A5BEA" w14:textId="77777777" w:rsidR="004A75E3" w:rsidRPr="00332AB5" w:rsidRDefault="004A75E3" w:rsidP="004A75E3">
            <w:pPr>
              <w:rPr>
                <w:rFonts w:asciiTheme="minorHAnsi" w:hAnsiTheme="minorHAnsi" w:cstheme="minorHAnsi"/>
                <w:sz w:val="18"/>
                <w:szCs w:val="18"/>
              </w:rPr>
            </w:pPr>
            <w:r w:rsidRPr="00332AB5">
              <w:rPr>
                <w:rFonts w:asciiTheme="minorHAnsi" w:hAnsiTheme="minorHAnsi" w:cstheme="minorHAnsi"/>
                <w:sz w:val="18"/>
                <w:szCs w:val="18"/>
              </w:rPr>
              <w:t>M 18</w:t>
            </w:r>
          </w:p>
        </w:tc>
        <w:tc>
          <w:tcPr>
            <w:tcW w:w="1056" w:type="dxa"/>
            <w:tcBorders>
              <w:top w:val="nil"/>
              <w:left w:val="nil"/>
              <w:bottom w:val="nil"/>
              <w:right w:val="nil"/>
            </w:tcBorders>
            <w:shd w:val="clear" w:color="auto" w:fill="auto"/>
            <w:vAlign w:val="center"/>
          </w:tcPr>
          <w:p w14:paraId="1A25016B" w14:textId="7166E804"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108,08</w:t>
            </w:r>
          </w:p>
        </w:tc>
        <w:tc>
          <w:tcPr>
            <w:tcW w:w="1031" w:type="dxa"/>
            <w:tcBorders>
              <w:top w:val="nil"/>
              <w:left w:val="nil"/>
              <w:bottom w:val="nil"/>
              <w:right w:val="nil"/>
            </w:tcBorders>
            <w:shd w:val="clear" w:color="auto" w:fill="auto"/>
            <w:vAlign w:val="center"/>
          </w:tcPr>
          <w:p w14:paraId="18B41E72" w14:textId="13DFC2DD"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-0,02</w:t>
            </w:r>
          </w:p>
        </w:tc>
        <w:tc>
          <w:tcPr>
            <w:tcW w:w="703" w:type="dxa"/>
            <w:tcBorders>
              <w:top w:val="nil"/>
              <w:left w:val="nil"/>
              <w:bottom w:val="nil"/>
              <w:right w:val="nil"/>
            </w:tcBorders>
            <w:shd w:val="clear" w:color="auto" w:fill="auto"/>
            <w:vAlign w:val="center"/>
          </w:tcPr>
          <w:p w14:paraId="5100B436" w14:textId="0A4350DC"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-0,01</w:t>
            </w:r>
          </w:p>
        </w:tc>
        <w:tc>
          <w:tcPr>
            <w:tcW w:w="1021" w:type="dxa"/>
            <w:tcBorders>
              <w:top w:val="nil"/>
              <w:left w:val="nil"/>
              <w:bottom w:val="nil"/>
              <w:right w:val="nil"/>
            </w:tcBorders>
            <w:shd w:val="clear" w:color="auto" w:fill="auto"/>
            <w:vAlign w:val="center"/>
          </w:tcPr>
          <w:p w14:paraId="230E4952" w14:textId="5381C0B7"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-0,02</w:t>
            </w:r>
          </w:p>
        </w:tc>
        <w:tc>
          <w:tcPr>
            <w:tcW w:w="635" w:type="dxa"/>
            <w:tcBorders>
              <w:top w:val="nil"/>
              <w:left w:val="nil"/>
              <w:bottom w:val="nil"/>
              <w:right w:val="nil"/>
            </w:tcBorders>
            <w:shd w:val="clear" w:color="auto" w:fill="auto"/>
            <w:vAlign w:val="center"/>
          </w:tcPr>
          <w:p w14:paraId="761F9020" w14:textId="33CB208C"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-0,01</w:t>
            </w:r>
          </w:p>
        </w:tc>
        <w:tc>
          <w:tcPr>
            <w:tcW w:w="1089" w:type="dxa"/>
            <w:tcBorders>
              <w:top w:val="nil"/>
              <w:left w:val="nil"/>
              <w:bottom w:val="nil"/>
              <w:right w:val="nil"/>
            </w:tcBorders>
            <w:shd w:val="clear" w:color="auto" w:fill="auto"/>
            <w:vAlign w:val="center"/>
          </w:tcPr>
          <w:p w14:paraId="33E90473" w14:textId="12AC5C33"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0,00</w:t>
            </w:r>
          </w:p>
        </w:tc>
        <w:tc>
          <w:tcPr>
            <w:tcW w:w="799" w:type="dxa"/>
            <w:tcBorders>
              <w:top w:val="nil"/>
              <w:left w:val="nil"/>
              <w:bottom w:val="nil"/>
              <w:right w:val="nil"/>
            </w:tcBorders>
            <w:shd w:val="clear" w:color="auto" w:fill="auto"/>
            <w:vAlign w:val="center"/>
          </w:tcPr>
          <w:p w14:paraId="0D5C8E1E" w14:textId="7959D2FC"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0,00</w:t>
            </w:r>
          </w:p>
        </w:tc>
        <w:tc>
          <w:tcPr>
            <w:tcW w:w="992" w:type="dxa"/>
            <w:vAlign w:val="center"/>
          </w:tcPr>
          <w:p w14:paraId="32C4BC50" w14:textId="77777777" w:rsidR="004A75E3" w:rsidRPr="00332AB5" w:rsidRDefault="004A75E3" w:rsidP="00441349">
            <w:pPr>
              <w:jc w:val="right"/>
              <w:rPr>
                <w:rFonts w:asciiTheme="minorHAnsi" w:hAnsiTheme="minorHAnsi" w:cstheme="minorHAnsi"/>
                <w:color w:val="000000"/>
                <w:sz w:val="18"/>
                <w:szCs w:val="18"/>
              </w:rPr>
            </w:pPr>
          </w:p>
        </w:tc>
        <w:tc>
          <w:tcPr>
            <w:tcW w:w="568" w:type="dxa"/>
            <w:vAlign w:val="center"/>
          </w:tcPr>
          <w:p w14:paraId="4079115E" w14:textId="77777777" w:rsidR="004A75E3" w:rsidRPr="00332AB5" w:rsidRDefault="004A75E3" w:rsidP="004A75E3">
            <w:pPr>
              <w:jc w:val="right"/>
              <w:rPr>
                <w:rFonts w:asciiTheme="minorHAnsi" w:hAnsiTheme="minorHAnsi" w:cstheme="minorHAnsi"/>
                <w:color w:val="000000"/>
                <w:sz w:val="18"/>
                <w:szCs w:val="18"/>
              </w:rPr>
            </w:pPr>
          </w:p>
        </w:tc>
      </w:tr>
      <w:tr w:rsidR="004A75E3" w:rsidRPr="00332AB5" w14:paraId="78A71665" w14:textId="77777777" w:rsidTr="00441349">
        <w:trPr>
          <w:trHeight w:val="397"/>
        </w:trPr>
        <w:tc>
          <w:tcPr>
            <w:tcW w:w="1179" w:type="dxa"/>
            <w:vAlign w:val="center"/>
          </w:tcPr>
          <w:p w14:paraId="24B1B4D5" w14:textId="77777777" w:rsidR="004A75E3" w:rsidRPr="00332AB5" w:rsidRDefault="004A75E3" w:rsidP="004A75E3">
            <w:pPr>
              <w:rPr>
                <w:rFonts w:asciiTheme="minorHAnsi" w:hAnsiTheme="minorHAnsi" w:cstheme="minorHAnsi"/>
                <w:sz w:val="18"/>
                <w:szCs w:val="18"/>
              </w:rPr>
            </w:pPr>
            <w:r w:rsidRPr="00332AB5">
              <w:rPr>
                <w:rFonts w:asciiTheme="minorHAnsi" w:hAnsiTheme="minorHAnsi" w:cstheme="minorHAnsi"/>
                <w:sz w:val="18"/>
                <w:szCs w:val="18"/>
              </w:rPr>
              <w:t>M 19</w:t>
            </w:r>
          </w:p>
        </w:tc>
        <w:tc>
          <w:tcPr>
            <w:tcW w:w="1056" w:type="dxa"/>
            <w:tcBorders>
              <w:top w:val="nil"/>
              <w:left w:val="nil"/>
              <w:bottom w:val="nil"/>
              <w:right w:val="nil"/>
            </w:tcBorders>
            <w:shd w:val="clear" w:color="auto" w:fill="auto"/>
            <w:vAlign w:val="center"/>
          </w:tcPr>
          <w:p w14:paraId="507312BD" w14:textId="0600122C"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90,66</w:t>
            </w:r>
          </w:p>
        </w:tc>
        <w:tc>
          <w:tcPr>
            <w:tcW w:w="1031" w:type="dxa"/>
            <w:tcBorders>
              <w:top w:val="nil"/>
              <w:left w:val="nil"/>
              <w:bottom w:val="nil"/>
              <w:right w:val="nil"/>
            </w:tcBorders>
            <w:shd w:val="clear" w:color="auto" w:fill="auto"/>
            <w:vAlign w:val="center"/>
          </w:tcPr>
          <w:p w14:paraId="69A2C1D0" w14:textId="4BC5E8F1"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11,75</w:t>
            </w:r>
          </w:p>
        </w:tc>
        <w:tc>
          <w:tcPr>
            <w:tcW w:w="703" w:type="dxa"/>
            <w:tcBorders>
              <w:top w:val="nil"/>
              <w:left w:val="nil"/>
              <w:bottom w:val="nil"/>
              <w:right w:val="nil"/>
            </w:tcBorders>
            <w:shd w:val="clear" w:color="auto" w:fill="auto"/>
            <w:vAlign w:val="center"/>
          </w:tcPr>
          <w:p w14:paraId="23F22AA5" w14:textId="02863FEB"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12,96</w:t>
            </w:r>
          </w:p>
        </w:tc>
        <w:tc>
          <w:tcPr>
            <w:tcW w:w="1021" w:type="dxa"/>
            <w:tcBorders>
              <w:top w:val="nil"/>
              <w:left w:val="nil"/>
              <w:bottom w:val="nil"/>
              <w:right w:val="nil"/>
            </w:tcBorders>
            <w:shd w:val="clear" w:color="auto" w:fill="auto"/>
            <w:vAlign w:val="center"/>
          </w:tcPr>
          <w:p w14:paraId="1C5ACCDE" w14:textId="734ED018"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7,42</w:t>
            </w:r>
          </w:p>
        </w:tc>
        <w:tc>
          <w:tcPr>
            <w:tcW w:w="635" w:type="dxa"/>
            <w:tcBorders>
              <w:top w:val="nil"/>
              <w:left w:val="nil"/>
              <w:bottom w:val="nil"/>
              <w:right w:val="nil"/>
            </w:tcBorders>
            <w:shd w:val="clear" w:color="auto" w:fill="auto"/>
            <w:vAlign w:val="center"/>
          </w:tcPr>
          <w:p w14:paraId="62721AB7" w14:textId="31920BA1"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8,19</w:t>
            </w:r>
          </w:p>
        </w:tc>
        <w:tc>
          <w:tcPr>
            <w:tcW w:w="1089" w:type="dxa"/>
            <w:tcBorders>
              <w:top w:val="nil"/>
              <w:left w:val="nil"/>
              <w:bottom w:val="nil"/>
              <w:right w:val="nil"/>
            </w:tcBorders>
            <w:shd w:val="clear" w:color="auto" w:fill="auto"/>
            <w:vAlign w:val="center"/>
          </w:tcPr>
          <w:p w14:paraId="4E77D5EA" w14:textId="4AD4E10D"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7,91</w:t>
            </w:r>
          </w:p>
        </w:tc>
        <w:tc>
          <w:tcPr>
            <w:tcW w:w="799" w:type="dxa"/>
            <w:tcBorders>
              <w:top w:val="nil"/>
              <w:left w:val="nil"/>
              <w:bottom w:val="nil"/>
              <w:right w:val="nil"/>
            </w:tcBorders>
            <w:shd w:val="clear" w:color="auto" w:fill="auto"/>
            <w:vAlign w:val="center"/>
          </w:tcPr>
          <w:p w14:paraId="66566060" w14:textId="63CA8716"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8,73</w:t>
            </w:r>
          </w:p>
        </w:tc>
        <w:tc>
          <w:tcPr>
            <w:tcW w:w="992" w:type="dxa"/>
            <w:vAlign w:val="center"/>
          </w:tcPr>
          <w:p w14:paraId="1ABC3212" w14:textId="77777777" w:rsidR="004A75E3" w:rsidRPr="00332AB5" w:rsidRDefault="004A75E3" w:rsidP="00441349">
            <w:pPr>
              <w:jc w:val="right"/>
              <w:rPr>
                <w:rFonts w:asciiTheme="minorHAnsi" w:hAnsiTheme="minorHAnsi" w:cstheme="minorHAnsi"/>
                <w:color w:val="000000"/>
                <w:sz w:val="18"/>
                <w:szCs w:val="18"/>
              </w:rPr>
            </w:pPr>
          </w:p>
        </w:tc>
        <w:tc>
          <w:tcPr>
            <w:tcW w:w="568" w:type="dxa"/>
            <w:vAlign w:val="center"/>
          </w:tcPr>
          <w:p w14:paraId="40D9A54B" w14:textId="77777777" w:rsidR="004A75E3" w:rsidRPr="00332AB5" w:rsidRDefault="004A75E3" w:rsidP="004A75E3">
            <w:pPr>
              <w:jc w:val="right"/>
              <w:rPr>
                <w:rFonts w:asciiTheme="minorHAnsi" w:hAnsiTheme="minorHAnsi" w:cstheme="minorHAnsi"/>
                <w:color w:val="000000"/>
                <w:sz w:val="18"/>
                <w:szCs w:val="18"/>
              </w:rPr>
            </w:pPr>
          </w:p>
        </w:tc>
      </w:tr>
      <w:tr w:rsidR="004A75E3" w:rsidRPr="00332AB5" w14:paraId="352E789B" w14:textId="77777777" w:rsidTr="00441349">
        <w:trPr>
          <w:trHeight w:val="397"/>
        </w:trPr>
        <w:tc>
          <w:tcPr>
            <w:tcW w:w="1179" w:type="dxa"/>
            <w:vAlign w:val="center"/>
          </w:tcPr>
          <w:p w14:paraId="3D130CF7" w14:textId="77777777" w:rsidR="004A75E3" w:rsidRPr="00332AB5" w:rsidRDefault="004A75E3" w:rsidP="004A75E3">
            <w:pPr>
              <w:rPr>
                <w:rFonts w:asciiTheme="minorHAnsi" w:hAnsiTheme="minorHAnsi" w:cstheme="minorHAnsi"/>
                <w:sz w:val="18"/>
                <w:szCs w:val="18"/>
              </w:rPr>
            </w:pPr>
            <w:r w:rsidRPr="00332AB5">
              <w:rPr>
                <w:rFonts w:asciiTheme="minorHAnsi" w:hAnsiTheme="minorHAnsi" w:cstheme="minorHAnsi"/>
                <w:sz w:val="18"/>
                <w:szCs w:val="18"/>
              </w:rPr>
              <w:t>M 20</w:t>
            </w:r>
          </w:p>
        </w:tc>
        <w:tc>
          <w:tcPr>
            <w:tcW w:w="1056" w:type="dxa"/>
            <w:tcBorders>
              <w:top w:val="nil"/>
              <w:left w:val="nil"/>
              <w:bottom w:val="nil"/>
              <w:right w:val="nil"/>
            </w:tcBorders>
            <w:shd w:val="clear" w:color="auto" w:fill="auto"/>
            <w:vAlign w:val="center"/>
          </w:tcPr>
          <w:p w14:paraId="1EE52557" w14:textId="6BAD4F40"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65,47</w:t>
            </w:r>
          </w:p>
        </w:tc>
        <w:tc>
          <w:tcPr>
            <w:tcW w:w="1031" w:type="dxa"/>
            <w:tcBorders>
              <w:top w:val="nil"/>
              <w:left w:val="nil"/>
              <w:bottom w:val="nil"/>
              <w:right w:val="nil"/>
            </w:tcBorders>
            <w:shd w:val="clear" w:color="auto" w:fill="auto"/>
            <w:vAlign w:val="center"/>
          </w:tcPr>
          <w:p w14:paraId="57D64AA1" w14:textId="72C6388B"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1,68</w:t>
            </w:r>
          </w:p>
        </w:tc>
        <w:tc>
          <w:tcPr>
            <w:tcW w:w="703" w:type="dxa"/>
            <w:tcBorders>
              <w:top w:val="nil"/>
              <w:left w:val="nil"/>
              <w:bottom w:val="nil"/>
              <w:right w:val="nil"/>
            </w:tcBorders>
            <w:shd w:val="clear" w:color="auto" w:fill="auto"/>
            <w:vAlign w:val="center"/>
          </w:tcPr>
          <w:p w14:paraId="52F9DC07" w14:textId="397414B9"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2,57</w:t>
            </w:r>
          </w:p>
        </w:tc>
        <w:tc>
          <w:tcPr>
            <w:tcW w:w="1021" w:type="dxa"/>
            <w:tcBorders>
              <w:top w:val="nil"/>
              <w:left w:val="nil"/>
              <w:bottom w:val="nil"/>
              <w:right w:val="nil"/>
            </w:tcBorders>
            <w:shd w:val="clear" w:color="auto" w:fill="auto"/>
            <w:vAlign w:val="center"/>
          </w:tcPr>
          <w:p w14:paraId="567AD4B4" w14:textId="354BCA29"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1,68</w:t>
            </w:r>
          </w:p>
        </w:tc>
        <w:tc>
          <w:tcPr>
            <w:tcW w:w="635" w:type="dxa"/>
            <w:tcBorders>
              <w:top w:val="nil"/>
              <w:left w:val="nil"/>
              <w:bottom w:val="nil"/>
              <w:right w:val="nil"/>
            </w:tcBorders>
            <w:shd w:val="clear" w:color="auto" w:fill="auto"/>
            <w:vAlign w:val="center"/>
          </w:tcPr>
          <w:p w14:paraId="413EE744" w14:textId="37974F47"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2,57</w:t>
            </w:r>
          </w:p>
        </w:tc>
        <w:tc>
          <w:tcPr>
            <w:tcW w:w="1089" w:type="dxa"/>
            <w:tcBorders>
              <w:top w:val="nil"/>
              <w:left w:val="nil"/>
              <w:bottom w:val="nil"/>
              <w:right w:val="nil"/>
            </w:tcBorders>
            <w:shd w:val="clear" w:color="auto" w:fill="auto"/>
            <w:vAlign w:val="center"/>
          </w:tcPr>
          <w:p w14:paraId="253AE86F" w14:textId="42C91C1A"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1,46</w:t>
            </w:r>
          </w:p>
        </w:tc>
        <w:tc>
          <w:tcPr>
            <w:tcW w:w="799" w:type="dxa"/>
            <w:tcBorders>
              <w:top w:val="nil"/>
              <w:left w:val="nil"/>
              <w:bottom w:val="nil"/>
              <w:right w:val="nil"/>
            </w:tcBorders>
            <w:shd w:val="clear" w:color="auto" w:fill="auto"/>
            <w:vAlign w:val="center"/>
          </w:tcPr>
          <w:p w14:paraId="5FF39DCC" w14:textId="3847EBF6"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2,23</w:t>
            </w:r>
          </w:p>
        </w:tc>
        <w:tc>
          <w:tcPr>
            <w:tcW w:w="992" w:type="dxa"/>
            <w:vAlign w:val="center"/>
          </w:tcPr>
          <w:p w14:paraId="1FF99326" w14:textId="77777777" w:rsidR="004A75E3" w:rsidRPr="00332AB5" w:rsidRDefault="004A75E3" w:rsidP="00441349">
            <w:pPr>
              <w:jc w:val="right"/>
              <w:rPr>
                <w:rFonts w:asciiTheme="minorHAnsi" w:hAnsiTheme="minorHAnsi" w:cstheme="minorHAnsi"/>
                <w:color w:val="000000"/>
                <w:sz w:val="18"/>
                <w:szCs w:val="18"/>
              </w:rPr>
            </w:pPr>
          </w:p>
        </w:tc>
        <w:tc>
          <w:tcPr>
            <w:tcW w:w="568" w:type="dxa"/>
            <w:vAlign w:val="center"/>
          </w:tcPr>
          <w:p w14:paraId="448ECBD5" w14:textId="77777777" w:rsidR="004A75E3" w:rsidRPr="00332AB5" w:rsidRDefault="004A75E3" w:rsidP="004A75E3">
            <w:pPr>
              <w:jc w:val="right"/>
              <w:rPr>
                <w:rFonts w:asciiTheme="minorHAnsi" w:hAnsiTheme="minorHAnsi" w:cstheme="minorHAnsi"/>
                <w:color w:val="000000"/>
                <w:sz w:val="18"/>
                <w:szCs w:val="18"/>
              </w:rPr>
            </w:pPr>
          </w:p>
        </w:tc>
      </w:tr>
      <w:tr w:rsidR="004A75E3" w:rsidRPr="00332AB5" w14:paraId="340DC985" w14:textId="77777777" w:rsidTr="00441349">
        <w:trPr>
          <w:trHeight w:val="397"/>
        </w:trPr>
        <w:tc>
          <w:tcPr>
            <w:tcW w:w="1179" w:type="dxa"/>
            <w:vAlign w:val="center"/>
          </w:tcPr>
          <w:p w14:paraId="52D59E0F" w14:textId="77777777" w:rsidR="004A75E3" w:rsidRPr="00332AB5" w:rsidRDefault="004A75E3" w:rsidP="004A75E3">
            <w:pPr>
              <w:rPr>
                <w:rFonts w:asciiTheme="minorHAnsi" w:hAnsiTheme="minorHAnsi" w:cstheme="minorHAnsi"/>
                <w:sz w:val="18"/>
                <w:szCs w:val="18"/>
              </w:rPr>
            </w:pPr>
            <w:r w:rsidRPr="00332AB5">
              <w:rPr>
                <w:rFonts w:asciiTheme="minorHAnsi" w:hAnsiTheme="minorHAnsi" w:cstheme="minorHAnsi"/>
                <w:sz w:val="18"/>
                <w:szCs w:val="18"/>
              </w:rPr>
              <w:t>M 21</w:t>
            </w:r>
          </w:p>
        </w:tc>
        <w:tc>
          <w:tcPr>
            <w:tcW w:w="1056" w:type="dxa"/>
            <w:tcBorders>
              <w:top w:val="nil"/>
              <w:left w:val="nil"/>
              <w:bottom w:val="nil"/>
              <w:right w:val="nil"/>
            </w:tcBorders>
            <w:shd w:val="clear" w:color="auto" w:fill="auto"/>
            <w:vAlign w:val="center"/>
          </w:tcPr>
          <w:p w14:paraId="681D97CA" w14:textId="3A340007"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22,40</w:t>
            </w:r>
          </w:p>
        </w:tc>
        <w:tc>
          <w:tcPr>
            <w:tcW w:w="1031" w:type="dxa"/>
            <w:tcBorders>
              <w:top w:val="nil"/>
              <w:left w:val="nil"/>
              <w:bottom w:val="nil"/>
              <w:right w:val="nil"/>
            </w:tcBorders>
            <w:shd w:val="clear" w:color="auto" w:fill="auto"/>
            <w:vAlign w:val="center"/>
          </w:tcPr>
          <w:p w14:paraId="52550144" w14:textId="77F1E734"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-0,16</w:t>
            </w:r>
          </w:p>
        </w:tc>
        <w:tc>
          <w:tcPr>
            <w:tcW w:w="703" w:type="dxa"/>
            <w:tcBorders>
              <w:top w:val="nil"/>
              <w:left w:val="nil"/>
              <w:bottom w:val="nil"/>
              <w:right w:val="nil"/>
            </w:tcBorders>
            <w:shd w:val="clear" w:color="auto" w:fill="auto"/>
            <w:vAlign w:val="center"/>
          </w:tcPr>
          <w:p w14:paraId="221E6239" w14:textId="163FADDB"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-0,71</w:t>
            </w:r>
          </w:p>
        </w:tc>
        <w:tc>
          <w:tcPr>
            <w:tcW w:w="1021" w:type="dxa"/>
            <w:tcBorders>
              <w:top w:val="nil"/>
              <w:left w:val="nil"/>
              <w:bottom w:val="nil"/>
              <w:right w:val="nil"/>
            </w:tcBorders>
            <w:shd w:val="clear" w:color="auto" w:fill="auto"/>
            <w:vAlign w:val="center"/>
          </w:tcPr>
          <w:p w14:paraId="02AAFA5B" w14:textId="23FD56B2"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0,00</w:t>
            </w:r>
          </w:p>
        </w:tc>
        <w:tc>
          <w:tcPr>
            <w:tcW w:w="635" w:type="dxa"/>
            <w:tcBorders>
              <w:top w:val="nil"/>
              <w:left w:val="nil"/>
              <w:bottom w:val="nil"/>
              <w:right w:val="nil"/>
            </w:tcBorders>
            <w:shd w:val="clear" w:color="auto" w:fill="auto"/>
            <w:vAlign w:val="center"/>
          </w:tcPr>
          <w:p w14:paraId="745319C5" w14:textId="48F39D9D"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0,00</w:t>
            </w:r>
          </w:p>
        </w:tc>
        <w:tc>
          <w:tcPr>
            <w:tcW w:w="1089" w:type="dxa"/>
            <w:tcBorders>
              <w:top w:val="nil"/>
              <w:left w:val="nil"/>
              <w:bottom w:val="nil"/>
              <w:right w:val="nil"/>
            </w:tcBorders>
            <w:shd w:val="clear" w:color="auto" w:fill="auto"/>
            <w:vAlign w:val="center"/>
          </w:tcPr>
          <w:p w14:paraId="33109AEC" w14:textId="44F27DA8"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0,00</w:t>
            </w:r>
          </w:p>
        </w:tc>
        <w:tc>
          <w:tcPr>
            <w:tcW w:w="799" w:type="dxa"/>
            <w:tcBorders>
              <w:top w:val="nil"/>
              <w:left w:val="nil"/>
              <w:bottom w:val="nil"/>
              <w:right w:val="nil"/>
            </w:tcBorders>
            <w:shd w:val="clear" w:color="auto" w:fill="auto"/>
            <w:vAlign w:val="center"/>
          </w:tcPr>
          <w:p w14:paraId="1F141FFC" w14:textId="25CB65E8" w:rsidR="004A75E3" w:rsidRPr="00332AB5" w:rsidRDefault="004A75E3"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0,00</w:t>
            </w:r>
          </w:p>
        </w:tc>
        <w:tc>
          <w:tcPr>
            <w:tcW w:w="992" w:type="dxa"/>
            <w:vAlign w:val="center"/>
          </w:tcPr>
          <w:p w14:paraId="621BCEA0" w14:textId="77777777" w:rsidR="004A75E3" w:rsidRPr="00332AB5" w:rsidRDefault="004A75E3" w:rsidP="00441349">
            <w:pPr>
              <w:jc w:val="right"/>
              <w:rPr>
                <w:rFonts w:asciiTheme="minorHAnsi" w:hAnsiTheme="minorHAnsi" w:cstheme="minorHAnsi"/>
                <w:color w:val="000000"/>
                <w:sz w:val="18"/>
                <w:szCs w:val="18"/>
              </w:rPr>
            </w:pPr>
          </w:p>
        </w:tc>
        <w:tc>
          <w:tcPr>
            <w:tcW w:w="568" w:type="dxa"/>
            <w:vAlign w:val="center"/>
          </w:tcPr>
          <w:p w14:paraId="5FD2C649" w14:textId="77777777" w:rsidR="004A75E3" w:rsidRPr="00332AB5" w:rsidRDefault="004A75E3" w:rsidP="004A75E3">
            <w:pPr>
              <w:jc w:val="right"/>
              <w:rPr>
                <w:rFonts w:asciiTheme="minorHAnsi" w:hAnsiTheme="minorHAnsi" w:cstheme="minorHAnsi"/>
                <w:color w:val="000000"/>
                <w:sz w:val="18"/>
                <w:szCs w:val="18"/>
              </w:rPr>
            </w:pPr>
          </w:p>
        </w:tc>
      </w:tr>
      <w:tr w:rsidR="008675D2" w:rsidRPr="00332AB5" w14:paraId="00093805" w14:textId="77777777" w:rsidTr="00441349">
        <w:trPr>
          <w:trHeight w:val="397"/>
        </w:trPr>
        <w:tc>
          <w:tcPr>
            <w:tcW w:w="1179" w:type="dxa"/>
            <w:vAlign w:val="center"/>
          </w:tcPr>
          <w:p w14:paraId="0EAAD875" w14:textId="2B517C20" w:rsidR="008675D2" w:rsidRPr="00332AB5" w:rsidRDefault="008675D2" w:rsidP="008675D2">
            <w:pPr>
              <w:rPr>
                <w:rFonts w:asciiTheme="minorHAnsi" w:hAnsiTheme="minorHAnsi" w:cstheme="minorHAnsi"/>
                <w:sz w:val="18"/>
                <w:szCs w:val="18"/>
              </w:rPr>
            </w:pPr>
            <w:r w:rsidRPr="00332AB5">
              <w:rPr>
                <w:rFonts w:asciiTheme="minorHAnsi" w:hAnsiTheme="minorHAnsi" w:cstheme="minorHAnsi"/>
                <w:sz w:val="18"/>
                <w:szCs w:val="18"/>
              </w:rPr>
              <w:t>M 22</w:t>
            </w:r>
          </w:p>
        </w:tc>
        <w:tc>
          <w:tcPr>
            <w:tcW w:w="1056" w:type="dxa"/>
            <w:tcBorders>
              <w:top w:val="nil"/>
              <w:left w:val="nil"/>
              <w:bottom w:val="nil"/>
              <w:right w:val="nil"/>
            </w:tcBorders>
            <w:shd w:val="clear" w:color="auto" w:fill="auto"/>
            <w:vAlign w:val="center"/>
          </w:tcPr>
          <w:p w14:paraId="4B3EC8BC" w14:textId="704B4512" w:rsidR="008675D2" w:rsidRPr="00332AB5" w:rsidRDefault="008675D2" w:rsidP="008675D2">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27,08</w:t>
            </w:r>
          </w:p>
        </w:tc>
        <w:tc>
          <w:tcPr>
            <w:tcW w:w="1031" w:type="dxa"/>
            <w:tcBorders>
              <w:top w:val="nil"/>
              <w:left w:val="nil"/>
              <w:bottom w:val="nil"/>
              <w:right w:val="nil"/>
            </w:tcBorders>
            <w:shd w:val="clear" w:color="auto" w:fill="auto"/>
            <w:vAlign w:val="center"/>
          </w:tcPr>
          <w:p w14:paraId="42A7B208" w14:textId="12A5B07D" w:rsidR="008675D2" w:rsidRPr="00332AB5" w:rsidRDefault="008675D2" w:rsidP="008675D2">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27,01</w:t>
            </w:r>
          </w:p>
        </w:tc>
        <w:tc>
          <w:tcPr>
            <w:tcW w:w="703" w:type="dxa"/>
            <w:tcBorders>
              <w:top w:val="nil"/>
              <w:left w:val="nil"/>
              <w:bottom w:val="nil"/>
              <w:right w:val="nil"/>
            </w:tcBorders>
            <w:shd w:val="clear" w:color="auto" w:fill="auto"/>
            <w:vAlign w:val="center"/>
          </w:tcPr>
          <w:p w14:paraId="3665BFAA" w14:textId="79706314" w:rsidR="008675D2" w:rsidRPr="00332AB5" w:rsidRDefault="008675D2" w:rsidP="008675D2">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99,76</w:t>
            </w:r>
          </w:p>
        </w:tc>
        <w:tc>
          <w:tcPr>
            <w:tcW w:w="1021" w:type="dxa"/>
            <w:tcBorders>
              <w:top w:val="nil"/>
              <w:left w:val="nil"/>
              <w:bottom w:val="nil"/>
              <w:right w:val="nil"/>
            </w:tcBorders>
            <w:shd w:val="clear" w:color="auto" w:fill="auto"/>
            <w:vAlign w:val="center"/>
          </w:tcPr>
          <w:p w14:paraId="78769FAA" w14:textId="6795F4E4" w:rsidR="008675D2" w:rsidRPr="00332AB5" w:rsidRDefault="008675D2" w:rsidP="008675D2">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27,00</w:t>
            </w:r>
          </w:p>
        </w:tc>
        <w:tc>
          <w:tcPr>
            <w:tcW w:w="635" w:type="dxa"/>
            <w:tcBorders>
              <w:top w:val="nil"/>
              <w:left w:val="nil"/>
              <w:bottom w:val="nil"/>
              <w:right w:val="nil"/>
            </w:tcBorders>
            <w:shd w:val="clear" w:color="auto" w:fill="auto"/>
            <w:vAlign w:val="center"/>
          </w:tcPr>
          <w:p w14:paraId="79D844D3" w14:textId="7EE0CE21" w:rsidR="008675D2" w:rsidRPr="00332AB5" w:rsidRDefault="008675D2" w:rsidP="008675D2">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99,72</w:t>
            </w:r>
          </w:p>
        </w:tc>
        <w:tc>
          <w:tcPr>
            <w:tcW w:w="1089" w:type="dxa"/>
            <w:tcBorders>
              <w:top w:val="nil"/>
              <w:left w:val="nil"/>
              <w:bottom w:val="nil"/>
              <w:right w:val="nil"/>
            </w:tcBorders>
            <w:shd w:val="clear" w:color="auto" w:fill="auto"/>
            <w:vAlign w:val="center"/>
          </w:tcPr>
          <w:p w14:paraId="78D54D75" w14:textId="1150B922" w:rsidR="008675D2" w:rsidRPr="00332AB5" w:rsidRDefault="008675D2" w:rsidP="008675D2">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0,01</w:t>
            </w:r>
          </w:p>
        </w:tc>
        <w:tc>
          <w:tcPr>
            <w:tcW w:w="799" w:type="dxa"/>
            <w:tcBorders>
              <w:top w:val="nil"/>
              <w:left w:val="nil"/>
              <w:bottom w:val="nil"/>
              <w:right w:val="nil"/>
            </w:tcBorders>
            <w:shd w:val="clear" w:color="auto" w:fill="auto"/>
            <w:vAlign w:val="center"/>
          </w:tcPr>
          <w:p w14:paraId="2A09769E" w14:textId="60DB0B9E" w:rsidR="008675D2" w:rsidRPr="00332AB5" w:rsidRDefault="008675D2" w:rsidP="008675D2">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0,03</w:t>
            </w:r>
          </w:p>
        </w:tc>
        <w:tc>
          <w:tcPr>
            <w:tcW w:w="992" w:type="dxa"/>
            <w:vAlign w:val="center"/>
          </w:tcPr>
          <w:p w14:paraId="481861A4" w14:textId="77777777" w:rsidR="008675D2" w:rsidRPr="00332AB5" w:rsidRDefault="008675D2" w:rsidP="008675D2">
            <w:pPr>
              <w:jc w:val="right"/>
              <w:rPr>
                <w:rFonts w:asciiTheme="minorHAnsi" w:hAnsiTheme="minorHAnsi" w:cstheme="minorHAnsi"/>
                <w:color w:val="000000"/>
                <w:sz w:val="18"/>
                <w:szCs w:val="18"/>
              </w:rPr>
            </w:pPr>
          </w:p>
        </w:tc>
        <w:tc>
          <w:tcPr>
            <w:tcW w:w="568" w:type="dxa"/>
            <w:vAlign w:val="center"/>
          </w:tcPr>
          <w:p w14:paraId="6A66AD0A" w14:textId="77777777" w:rsidR="008675D2" w:rsidRPr="00332AB5" w:rsidRDefault="008675D2" w:rsidP="008675D2">
            <w:pPr>
              <w:jc w:val="right"/>
              <w:rPr>
                <w:rFonts w:asciiTheme="minorHAnsi" w:hAnsiTheme="minorHAnsi" w:cstheme="minorHAnsi"/>
                <w:color w:val="000000"/>
                <w:sz w:val="18"/>
                <w:szCs w:val="18"/>
              </w:rPr>
            </w:pPr>
          </w:p>
        </w:tc>
      </w:tr>
      <w:tr w:rsidR="008675D2" w:rsidRPr="00332AB5" w14:paraId="6130CD36" w14:textId="77777777" w:rsidTr="00441349">
        <w:trPr>
          <w:trHeight w:val="510"/>
        </w:trPr>
        <w:tc>
          <w:tcPr>
            <w:tcW w:w="1179" w:type="dxa"/>
            <w:vAlign w:val="center"/>
          </w:tcPr>
          <w:p w14:paraId="0FF8B57B" w14:textId="77777777" w:rsidR="008675D2" w:rsidRPr="00332AB5" w:rsidRDefault="008675D2" w:rsidP="008675D2">
            <w:pPr>
              <w:rPr>
                <w:rFonts w:asciiTheme="minorHAnsi" w:hAnsiTheme="minorHAnsi" w:cstheme="minorHAnsi"/>
                <w:sz w:val="18"/>
                <w:szCs w:val="18"/>
              </w:rPr>
            </w:pPr>
            <w:r w:rsidRPr="00332AB5">
              <w:rPr>
                <w:rFonts w:asciiTheme="minorHAnsi" w:hAnsiTheme="minorHAnsi" w:cstheme="minorHAnsi"/>
                <w:sz w:val="18"/>
                <w:szCs w:val="18"/>
              </w:rPr>
              <w:t>UKUPNO</w:t>
            </w:r>
          </w:p>
        </w:tc>
        <w:tc>
          <w:tcPr>
            <w:tcW w:w="1056" w:type="dxa"/>
            <w:tcBorders>
              <w:top w:val="single" w:sz="4" w:space="0" w:color="808080" w:themeColor="background1" w:themeShade="80"/>
              <w:bottom w:val="single" w:sz="4" w:space="0" w:color="808080" w:themeColor="background1" w:themeShade="80"/>
            </w:tcBorders>
            <w:vAlign w:val="center"/>
          </w:tcPr>
          <w:p w14:paraId="5356F212" w14:textId="759BCEF9" w:rsidR="008675D2" w:rsidRPr="00332AB5" w:rsidRDefault="008675D2" w:rsidP="008675D2">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2.623,79</w:t>
            </w:r>
          </w:p>
        </w:tc>
        <w:tc>
          <w:tcPr>
            <w:tcW w:w="1031" w:type="dxa"/>
            <w:tcBorders>
              <w:top w:val="single" w:sz="4" w:space="0" w:color="808080" w:themeColor="background1" w:themeShade="80"/>
              <w:left w:val="nil"/>
              <w:bottom w:val="single" w:sz="4" w:space="0" w:color="808080" w:themeColor="background1" w:themeShade="80"/>
              <w:right w:val="nil"/>
            </w:tcBorders>
            <w:shd w:val="clear" w:color="auto" w:fill="auto"/>
            <w:vAlign w:val="center"/>
          </w:tcPr>
          <w:p w14:paraId="499173D5" w14:textId="361191D0" w:rsidR="008675D2" w:rsidRPr="00332AB5" w:rsidRDefault="008675D2" w:rsidP="008675D2">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w:t>
            </w:r>
            <w:r w:rsidR="00E60773" w:rsidRPr="00332AB5">
              <w:rPr>
                <w:rFonts w:asciiTheme="minorHAnsi" w:hAnsiTheme="minorHAnsi" w:cstheme="minorHAnsi"/>
                <w:color w:val="000000"/>
                <w:sz w:val="18"/>
                <w:szCs w:val="18"/>
              </w:rPr>
              <w:t>30</w:t>
            </w:r>
            <w:r w:rsidRPr="00332AB5">
              <w:rPr>
                <w:rFonts w:asciiTheme="minorHAnsi" w:hAnsiTheme="minorHAnsi" w:cstheme="minorHAnsi"/>
                <w:color w:val="000000"/>
                <w:sz w:val="18"/>
                <w:szCs w:val="18"/>
              </w:rPr>
              <w:t>,95</w:t>
            </w:r>
          </w:p>
        </w:tc>
        <w:tc>
          <w:tcPr>
            <w:tcW w:w="703" w:type="dxa"/>
            <w:tcBorders>
              <w:top w:val="single" w:sz="4" w:space="0" w:color="808080"/>
              <w:bottom w:val="single" w:sz="4" w:space="0" w:color="808080"/>
            </w:tcBorders>
            <w:vAlign w:val="center"/>
          </w:tcPr>
          <w:p w14:paraId="6C157D4E" w14:textId="2CB6666A" w:rsidR="008675D2" w:rsidRPr="00332AB5" w:rsidRDefault="008675D2" w:rsidP="008675D2">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8,80</w:t>
            </w:r>
          </w:p>
        </w:tc>
        <w:tc>
          <w:tcPr>
            <w:tcW w:w="1021" w:type="dxa"/>
            <w:tcBorders>
              <w:top w:val="single" w:sz="4" w:space="0" w:color="808080" w:themeColor="background1" w:themeShade="80"/>
              <w:left w:val="nil"/>
              <w:bottom w:val="single" w:sz="4" w:space="0" w:color="808080" w:themeColor="background1" w:themeShade="80"/>
              <w:right w:val="nil"/>
            </w:tcBorders>
            <w:shd w:val="clear" w:color="auto" w:fill="auto"/>
            <w:vAlign w:val="center"/>
          </w:tcPr>
          <w:p w14:paraId="0F750BC1" w14:textId="1D1C8F2E" w:rsidR="008675D2" w:rsidRPr="00332AB5" w:rsidRDefault="008675D2" w:rsidP="008675D2">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238,44</w:t>
            </w:r>
          </w:p>
        </w:tc>
        <w:tc>
          <w:tcPr>
            <w:tcW w:w="635" w:type="dxa"/>
            <w:tcBorders>
              <w:top w:val="single" w:sz="4" w:space="0" w:color="808080"/>
              <w:bottom w:val="single" w:sz="4" w:space="0" w:color="808080"/>
            </w:tcBorders>
            <w:vAlign w:val="center"/>
          </w:tcPr>
          <w:p w14:paraId="1850ACAE" w14:textId="4B783219" w:rsidR="008675D2" w:rsidRPr="00332AB5" w:rsidRDefault="008675D2" w:rsidP="008675D2">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9,09</w:t>
            </w:r>
          </w:p>
        </w:tc>
        <w:tc>
          <w:tcPr>
            <w:tcW w:w="1089" w:type="dxa"/>
            <w:tcBorders>
              <w:top w:val="single" w:sz="4" w:space="0" w:color="808080" w:themeColor="background1" w:themeShade="80"/>
              <w:left w:val="nil"/>
              <w:bottom w:val="single" w:sz="4" w:space="0" w:color="808080" w:themeColor="background1" w:themeShade="80"/>
              <w:right w:val="nil"/>
            </w:tcBorders>
            <w:shd w:val="clear" w:color="auto" w:fill="auto"/>
            <w:vAlign w:val="center"/>
          </w:tcPr>
          <w:p w14:paraId="69FD4036" w14:textId="636E59AA" w:rsidR="008675D2" w:rsidRPr="00332AB5" w:rsidRDefault="008675D2" w:rsidP="008675D2">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125,70</w:t>
            </w:r>
          </w:p>
        </w:tc>
        <w:tc>
          <w:tcPr>
            <w:tcW w:w="799" w:type="dxa"/>
            <w:tcBorders>
              <w:top w:val="single" w:sz="4" w:space="0" w:color="808080"/>
              <w:bottom w:val="single" w:sz="4" w:space="0" w:color="808080"/>
            </w:tcBorders>
            <w:vAlign w:val="center"/>
          </w:tcPr>
          <w:p w14:paraId="33954FE1" w14:textId="0208DC11" w:rsidR="008675D2" w:rsidRPr="00332AB5" w:rsidRDefault="008675D2" w:rsidP="008675D2">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4,79</w:t>
            </w:r>
          </w:p>
        </w:tc>
        <w:tc>
          <w:tcPr>
            <w:tcW w:w="992" w:type="dxa"/>
            <w:tcBorders>
              <w:top w:val="single" w:sz="4" w:space="0" w:color="808080" w:themeColor="background1" w:themeShade="80"/>
              <w:bottom w:val="single" w:sz="4" w:space="0" w:color="808080" w:themeColor="background1" w:themeShade="80"/>
            </w:tcBorders>
            <w:vAlign w:val="center"/>
          </w:tcPr>
          <w:p w14:paraId="022632AC" w14:textId="15CA4D8C" w:rsidR="008675D2" w:rsidRPr="00332AB5" w:rsidRDefault="008675D2" w:rsidP="008675D2">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125,10</w:t>
            </w:r>
          </w:p>
        </w:tc>
        <w:tc>
          <w:tcPr>
            <w:tcW w:w="568" w:type="dxa"/>
            <w:tcBorders>
              <w:top w:val="single" w:sz="4" w:space="0" w:color="808080" w:themeColor="background1" w:themeShade="80"/>
              <w:bottom w:val="single" w:sz="4" w:space="0" w:color="808080" w:themeColor="background1" w:themeShade="80"/>
            </w:tcBorders>
            <w:vAlign w:val="center"/>
          </w:tcPr>
          <w:p w14:paraId="0E72B25A" w14:textId="5D3BD32E" w:rsidR="008675D2" w:rsidRPr="00332AB5" w:rsidRDefault="008675D2" w:rsidP="008675D2">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4,77</w:t>
            </w:r>
          </w:p>
        </w:tc>
      </w:tr>
    </w:tbl>
    <w:p w14:paraId="283D6909" w14:textId="77777777" w:rsidR="000F1DE9" w:rsidRPr="00332AB5" w:rsidRDefault="000F1DE9" w:rsidP="000F1DE9">
      <w:pPr>
        <w:rPr>
          <w:b/>
          <w:bCs/>
        </w:rPr>
      </w:pPr>
    </w:p>
    <w:p w14:paraId="61E32A08" w14:textId="77777777" w:rsidR="000007CC" w:rsidRPr="00332AB5" w:rsidRDefault="000007CC">
      <w:pPr>
        <w:rPr>
          <w:b/>
          <w:bCs/>
        </w:rPr>
      </w:pPr>
      <w:r w:rsidRPr="00332AB5">
        <w:rPr>
          <w:b/>
          <w:bCs/>
        </w:rPr>
        <w:br w:type="page"/>
      </w:r>
    </w:p>
    <w:p w14:paraId="56F33EA2" w14:textId="55B0E120" w:rsidR="003620A9" w:rsidRPr="00332AB5" w:rsidRDefault="0033237F" w:rsidP="00502637">
      <w:pPr>
        <w:spacing w:before="120" w:after="120"/>
        <w:rPr>
          <w:b/>
          <w:bCs/>
        </w:rPr>
      </w:pPr>
      <w:bookmarkStart w:id="64" w:name="_Toc152595287"/>
      <w:r w:rsidRPr="00332AB5">
        <w:rPr>
          <w:b/>
          <w:bCs/>
        </w:rPr>
        <w:lastRenderedPageBreak/>
        <w:t>T</w:t>
      </w:r>
      <w:r w:rsidR="003620A9" w:rsidRPr="00332AB5">
        <w:rPr>
          <w:b/>
          <w:bCs/>
        </w:rPr>
        <w:t xml:space="preserve">ablica </w:t>
      </w:r>
      <w:r w:rsidR="008C2CC3" w:rsidRPr="00332AB5">
        <w:rPr>
          <w:b/>
          <w:bCs/>
        </w:rPr>
        <w:fldChar w:fldCharType="begin"/>
      </w:r>
      <w:r w:rsidR="00BE6224" w:rsidRPr="00332AB5">
        <w:rPr>
          <w:b/>
          <w:bCs/>
        </w:rPr>
        <w:instrText xml:space="preserve"> SEQ Tablica \* ARABIC </w:instrText>
      </w:r>
      <w:r w:rsidR="008C2CC3" w:rsidRPr="00332AB5">
        <w:rPr>
          <w:b/>
          <w:bCs/>
        </w:rPr>
        <w:fldChar w:fldCharType="separate"/>
      </w:r>
      <w:r w:rsidR="005E6E46">
        <w:rPr>
          <w:b/>
          <w:bCs/>
          <w:noProof/>
        </w:rPr>
        <w:t>13</w:t>
      </w:r>
      <w:r w:rsidR="008C2CC3" w:rsidRPr="00332AB5">
        <w:rPr>
          <w:b/>
          <w:bCs/>
        </w:rPr>
        <w:fldChar w:fldCharType="end"/>
      </w:r>
      <w:r w:rsidR="003620A9" w:rsidRPr="00332AB5">
        <w:rPr>
          <w:b/>
          <w:bCs/>
        </w:rPr>
        <w:t xml:space="preserve">: Financijski pokazatelji statusa provedbe Programa ruralnog razvoja od početka provedbe do kraja izvještajnog razdoblja </w:t>
      </w:r>
      <w:r w:rsidR="0011067E" w:rsidRPr="00332AB5">
        <w:rPr>
          <w:b/>
          <w:bCs/>
        </w:rPr>
        <w:t>30. lipnja 2023.</w:t>
      </w:r>
      <w:r w:rsidR="0039626B" w:rsidRPr="00332AB5">
        <w:rPr>
          <w:b/>
          <w:bCs/>
        </w:rPr>
        <w:t xml:space="preserve"> </w:t>
      </w:r>
      <w:r w:rsidR="003620A9" w:rsidRPr="00332AB5">
        <w:rPr>
          <w:b/>
          <w:bCs/>
        </w:rPr>
        <w:t>(sredstva EU, u milijunima eura i postocima od dodijeljenih sredstava)</w:t>
      </w:r>
      <w:bookmarkEnd w:id="64"/>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2"/>
        <w:gridCol w:w="1103"/>
        <w:gridCol w:w="1089"/>
        <w:gridCol w:w="846"/>
        <w:gridCol w:w="878"/>
        <w:gridCol w:w="822"/>
        <w:gridCol w:w="902"/>
        <w:gridCol w:w="798"/>
        <w:gridCol w:w="925"/>
        <w:gridCol w:w="65"/>
        <w:gridCol w:w="563"/>
      </w:tblGrid>
      <w:tr w:rsidR="00FA544D" w:rsidRPr="00332AB5" w14:paraId="22F7B86D" w14:textId="77777777" w:rsidTr="00441349">
        <w:trPr>
          <w:trHeight w:val="737"/>
        </w:trPr>
        <w:tc>
          <w:tcPr>
            <w:tcW w:w="596" w:type="pct"/>
            <w:shd w:val="clear" w:color="auto" w:fill="auto"/>
            <w:vAlign w:val="center"/>
          </w:tcPr>
          <w:p w14:paraId="4CB6A7D0" w14:textId="77777777" w:rsidR="00FA544D" w:rsidRPr="00332AB5" w:rsidRDefault="00FA544D" w:rsidP="00275475">
            <w:pPr>
              <w:spacing w:after="60"/>
              <w:rPr>
                <w:rFonts w:asciiTheme="minorHAnsi" w:hAnsiTheme="minorHAnsi" w:cstheme="minorHAnsi"/>
                <w:sz w:val="16"/>
                <w:szCs w:val="16"/>
              </w:rPr>
            </w:pPr>
            <w:r w:rsidRPr="00332AB5">
              <w:rPr>
                <w:rFonts w:asciiTheme="minorHAnsi" w:hAnsiTheme="minorHAnsi" w:cstheme="minorHAnsi"/>
                <w:sz w:val="16"/>
                <w:szCs w:val="16"/>
              </w:rPr>
              <w:t>Mjera (M)</w:t>
            </w:r>
          </w:p>
        </w:tc>
        <w:tc>
          <w:tcPr>
            <w:tcW w:w="608" w:type="pct"/>
            <w:tcBorders>
              <w:bottom w:val="single" w:sz="4" w:space="0" w:color="808080" w:themeColor="background1" w:themeShade="80"/>
            </w:tcBorders>
            <w:shd w:val="clear" w:color="auto" w:fill="auto"/>
            <w:vAlign w:val="center"/>
          </w:tcPr>
          <w:p w14:paraId="1650C409" w14:textId="77777777" w:rsidR="00FA544D" w:rsidRPr="00332AB5" w:rsidRDefault="00FA544D" w:rsidP="00275475">
            <w:pPr>
              <w:spacing w:after="60"/>
              <w:jc w:val="right"/>
              <w:rPr>
                <w:rFonts w:asciiTheme="minorHAnsi" w:hAnsiTheme="minorHAnsi" w:cstheme="minorHAnsi"/>
                <w:sz w:val="16"/>
                <w:szCs w:val="16"/>
              </w:rPr>
            </w:pPr>
            <w:r w:rsidRPr="00332AB5">
              <w:rPr>
                <w:rFonts w:asciiTheme="minorHAnsi" w:hAnsiTheme="minorHAnsi" w:cstheme="minorHAnsi"/>
                <w:sz w:val="16"/>
                <w:szCs w:val="16"/>
              </w:rPr>
              <w:t>Dodijeljena sredstva</w:t>
            </w:r>
          </w:p>
        </w:tc>
        <w:tc>
          <w:tcPr>
            <w:tcW w:w="600" w:type="pct"/>
            <w:tcBorders>
              <w:bottom w:val="single" w:sz="4" w:space="0" w:color="808080" w:themeColor="background1" w:themeShade="80"/>
            </w:tcBorders>
            <w:shd w:val="clear" w:color="auto" w:fill="auto"/>
            <w:vAlign w:val="center"/>
          </w:tcPr>
          <w:p w14:paraId="337D4F35" w14:textId="77777777" w:rsidR="00FA544D" w:rsidRPr="00332AB5" w:rsidRDefault="00FA544D" w:rsidP="00275475">
            <w:pPr>
              <w:spacing w:after="60"/>
              <w:jc w:val="right"/>
              <w:rPr>
                <w:rFonts w:asciiTheme="minorHAnsi" w:hAnsiTheme="minorHAnsi" w:cstheme="minorHAnsi"/>
                <w:sz w:val="16"/>
                <w:szCs w:val="16"/>
              </w:rPr>
            </w:pPr>
            <w:r w:rsidRPr="00332AB5">
              <w:rPr>
                <w:rFonts w:asciiTheme="minorHAnsi" w:hAnsiTheme="minorHAnsi" w:cstheme="minorHAnsi"/>
                <w:sz w:val="16"/>
                <w:szCs w:val="16"/>
              </w:rPr>
              <w:t>Ukupno ugovorena sredstva</w:t>
            </w:r>
          </w:p>
        </w:tc>
        <w:tc>
          <w:tcPr>
            <w:tcW w:w="466" w:type="pct"/>
            <w:tcBorders>
              <w:bottom w:val="single" w:sz="4" w:space="0" w:color="808080" w:themeColor="background1" w:themeShade="80"/>
            </w:tcBorders>
            <w:shd w:val="clear" w:color="auto" w:fill="auto"/>
            <w:vAlign w:val="center"/>
          </w:tcPr>
          <w:p w14:paraId="69547819" w14:textId="77777777" w:rsidR="00FA544D" w:rsidRPr="00332AB5" w:rsidRDefault="00FA544D" w:rsidP="00275475">
            <w:pPr>
              <w:spacing w:after="60"/>
              <w:jc w:val="right"/>
              <w:rPr>
                <w:rFonts w:asciiTheme="minorHAnsi" w:hAnsiTheme="minorHAnsi" w:cstheme="minorHAnsi"/>
                <w:sz w:val="16"/>
                <w:szCs w:val="16"/>
              </w:rPr>
            </w:pPr>
            <w:r w:rsidRPr="00332AB5">
              <w:rPr>
                <w:rFonts w:asciiTheme="minorHAnsi" w:hAnsiTheme="minorHAnsi" w:cstheme="minorHAnsi"/>
                <w:sz w:val="16"/>
                <w:szCs w:val="16"/>
              </w:rPr>
              <w:t xml:space="preserve"> %</w:t>
            </w:r>
          </w:p>
        </w:tc>
        <w:tc>
          <w:tcPr>
            <w:tcW w:w="484" w:type="pct"/>
            <w:tcBorders>
              <w:bottom w:val="single" w:sz="4" w:space="0" w:color="808080" w:themeColor="background1" w:themeShade="80"/>
            </w:tcBorders>
            <w:shd w:val="clear" w:color="auto" w:fill="auto"/>
            <w:vAlign w:val="center"/>
          </w:tcPr>
          <w:p w14:paraId="68903ABC" w14:textId="77777777" w:rsidR="00FA544D" w:rsidRPr="00332AB5" w:rsidRDefault="00FA544D" w:rsidP="00275475">
            <w:pPr>
              <w:spacing w:after="60"/>
              <w:jc w:val="right"/>
              <w:rPr>
                <w:rFonts w:asciiTheme="minorHAnsi" w:hAnsiTheme="minorHAnsi" w:cstheme="minorHAnsi"/>
                <w:sz w:val="16"/>
                <w:szCs w:val="16"/>
              </w:rPr>
            </w:pPr>
            <w:r w:rsidRPr="00332AB5">
              <w:rPr>
                <w:rFonts w:asciiTheme="minorHAnsi" w:hAnsiTheme="minorHAnsi" w:cstheme="minorHAnsi"/>
                <w:sz w:val="16"/>
                <w:szCs w:val="16"/>
              </w:rPr>
              <w:t>Ukupno plaćena sredstva</w:t>
            </w:r>
          </w:p>
        </w:tc>
        <w:tc>
          <w:tcPr>
            <w:tcW w:w="453" w:type="pct"/>
            <w:tcBorders>
              <w:bottom w:val="single" w:sz="4" w:space="0" w:color="808080" w:themeColor="background1" w:themeShade="80"/>
            </w:tcBorders>
            <w:shd w:val="clear" w:color="auto" w:fill="auto"/>
            <w:vAlign w:val="center"/>
          </w:tcPr>
          <w:p w14:paraId="002A2E78" w14:textId="77777777" w:rsidR="00FA544D" w:rsidRPr="00332AB5" w:rsidRDefault="00FA544D" w:rsidP="00275475">
            <w:pPr>
              <w:spacing w:after="60"/>
              <w:jc w:val="right"/>
              <w:rPr>
                <w:rFonts w:asciiTheme="minorHAnsi" w:hAnsiTheme="minorHAnsi" w:cstheme="minorHAnsi"/>
                <w:sz w:val="16"/>
                <w:szCs w:val="16"/>
              </w:rPr>
            </w:pPr>
            <w:r w:rsidRPr="00332AB5">
              <w:rPr>
                <w:rFonts w:asciiTheme="minorHAnsi" w:hAnsiTheme="minorHAnsi" w:cstheme="minorHAnsi"/>
                <w:sz w:val="16"/>
                <w:szCs w:val="16"/>
              </w:rPr>
              <w:t xml:space="preserve"> %</w:t>
            </w:r>
          </w:p>
        </w:tc>
        <w:tc>
          <w:tcPr>
            <w:tcW w:w="497" w:type="pct"/>
            <w:tcBorders>
              <w:bottom w:val="single" w:sz="4" w:space="0" w:color="808080" w:themeColor="background1" w:themeShade="80"/>
            </w:tcBorders>
            <w:shd w:val="clear" w:color="auto" w:fill="auto"/>
            <w:vAlign w:val="center"/>
          </w:tcPr>
          <w:p w14:paraId="6D4561D8" w14:textId="77777777" w:rsidR="00FA544D" w:rsidRPr="00332AB5" w:rsidRDefault="00FA544D" w:rsidP="00275475">
            <w:pPr>
              <w:spacing w:after="60"/>
              <w:jc w:val="right"/>
              <w:rPr>
                <w:rFonts w:asciiTheme="minorHAnsi" w:hAnsiTheme="minorHAnsi" w:cstheme="minorHAnsi"/>
                <w:sz w:val="16"/>
                <w:szCs w:val="16"/>
              </w:rPr>
            </w:pPr>
            <w:r w:rsidRPr="00332AB5">
              <w:rPr>
                <w:rFonts w:asciiTheme="minorHAnsi" w:hAnsiTheme="minorHAnsi" w:cstheme="minorHAnsi"/>
                <w:sz w:val="16"/>
                <w:szCs w:val="16"/>
              </w:rPr>
              <w:t>Ukupno ovjerena sredstva</w:t>
            </w:r>
          </w:p>
        </w:tc>
        <w:tc>
          <w:tcPr>
            <w:tcW w:w="440" w:type="pct"/>
            <w:tcBorders>
              <w:bottom w:val="single" w:sz="4" w:space="0" w:color="808080" w:themeColor="background1" w:themeShade="80"/>
            </w:tcBorders>
            <w:shd w:val="clear" w:color="auto" w:fill="auto"/>
            <w:vAlign w:val="center"/>
          </w:tcPr>
          <w:p w14:paraId="19C79AC7" w14:textId="77777777" w:rsidR="00FA544D" w:rsidRPr="00332AB5" w:rsidRDefault="00FA544D" w:rsidP="00275475">
            <w:pPr>
              <w:spacing w:after="60"/>
              <w:jc w:val="right"/>
              <w:rPr>
                <w:rFonts w:asciiTheme="minorHAnsi" w:hAnsiTheme="minorHAnsi" w:cstheme="minorHAnsi"/>
                <w:sz w:val="16"/>
                <w:szCs w:val="16"/>
              </w:rPr>
            </w:pPr>
            <w:r w:rsidRPr="00332AB5">
              <w:rPr>
                <w:rFonts w:asciiTheme="minorHAnsi" w:hAnsiTheme="minorHAnsi" w:cstheme="minorHAnsi"/>
                <w:sz w:val="16"/>
                <w:szCs w:val="16"/>
              </w:rPr>
              <w:t xml:space="preserve"> %</w:t>
            </w:r>
          </w:p>
        </w:tc>
        <w:tc>
          <w:tcPr>
            <w:tcW w:w="546" w:type="pct"/>
            <w:gridSpan w:val="2"/>
            <w:tcBorders>
              <w:bottom w:val="single" w:sz="4" w:space="0" w:color="808080" w:themeColor="background1" w:themeShade="80"/>
            </w:tcBorders>
            <w:shd w:val="clear" w:color="auto" w:fill="auto"/>
            <w:vAlign w:val="center"/>
          </w:tcPr>
          <w:p w14:paraId="1989772C" w14:textId="77777777" w:rsidR="00FA544D" w:rsidRPr="00332AB5" w:rsidRDefault="00FA544D" w:rsidP="00275475">
            <w:pPr>
              <w:spacing w:after="60"/>
              <w:jc w:val="right"/>
              <w:rPr>
                <w:rFonts w:asciiTheme="minorHAnsi" w:hAnsiTheme="minorHAnsi" w:cstheme="minorHAnsi"/>
                <w:sz w:val="16"/>
                <w:szCs w:val="16"/>
              </w:rPr>
            </w:pPr>
            <w:r w:rsidRPr="00332AB5">
              <w:rPr>
                <w:rFonts w:asciiTheme="minorHAnsi" w:hAnsiTheme="minorHAnsi" w:cstheme="minorHAnsi"/>
                <w:sz w:val="16"/>
                <w:szCs w:val="16"/>
              </w:rPr>
              <w:t>Ukupno doznačena sredstva</w:t>
            </w:r>
          </w:p>
        </w:tc>
        <w:tc>
          <w:tcPr>
            <w:tcW w:w="311" w:type="pct"/>
            <w:tcBorders>
              <w:bottom w:val="single" w:sz="4" w:space="0" w:color="808080" w:themeColor="background1" w:themeShade="80"/>
            </w:tcBorders>
            <w:shd w:val="clear" w:color="auto" w:fill="auto"/>
            <w:vAlign w:val="center"/>
          </w:tcPr>
          <w:p w14:paraId="49AD9346" w14:textId="77777777" w:rsidR="00FA544D" w:rsidRPr="00332AB5" w:rsidRDefault="00FA544D" w:rsidP="00275475">
            <w:pPr>
              <w:spacing w:after="60"/>
              <w:jc w:val="right"/>
              <w:rPr>
                <w:rFonts w:asciiTheme="minorHAnsi" w:hAnsiTheme="minorHAnsi" w:cstheme="minorHAnsi"/>
                <w:sz w:val="16"/>
                <w:szCs w:val="16"/>
              </w:rPr>
            </w:pPr>
            <w:r w:rsidRPr="00332AB5">
              <w:rPr>
                <w:rFonts w:asciiTheme="minorHAnsi" w:hAnsiTheme="minorHAnsi" w:cstheme="minorHAnsi"/>
                <w:sz w:val="16"/>
                <w:szCs w:val="16"/>
              </w:rPr>
              <w:t xml:space="preserve"> %</w:t>
            </w:r>
          </w:p>
        </w:tc>
      </w:tr>
      <w:tr w:rsidR="00FA544D" w:rsidRPr="00332AB5" w14:paraId="562986BA" w14:textId="77777777" w:rsidTr="00441349">
        <w:trPr>
          <w:trHeight w:val="113"/>
        </w:trPr>
        <w:tc>
          <w:tcPr>
            <w:tcW w:w="596" w:type="pct"/>
            <w:shd w:val="clear" w:color="auto" w:fill="auto"/>
            <w:vAlign w:val="center"/>
          </w:tcPr>
          <w:p w14:paraId="146AF8D4" w14:textId="77777777" w:rsidR="00FA544D" w:rsidRPr="00332AB5" w:rsidRDefault="00FA544D" w:rsidP="00275475">
            <w:pPr>
              <w:rPr>
                <w:rFonts w:asciiTheme="minorHAnsi" w:hAnsiTheme="minorHAnsi" w:cstheme="minorHAnsi"/>
                <w:sz w:val="18"/>
                <w:szCs w:val="18"/>
              </w:rPr>
            </w:pPr>
          </w:p>
        </w:tc>
        <w:tc>
          <w:tcPr>
            <w:tcW w:w="608" w:type="pct"/>
            <w:tcBorders>
              <w:top w:val="single" w:sz="4" w:space="0" w:color="808080" w:themeColor="background1" w:themeShade="80"/>
            </w:tcBorders>
            <w:shd w:val="clear" w:color="auto" w:fill="auto"/>
            <w:vAlign w:val="center"/>
          </w:tcPr>
          <w:p w14:paraId="66D89E93" w14:textId="77777777" w:rsidR="00FA544D" w:rsidRPr="00332AB5" w:rsidRDefault="00FA544D" w:rsidP="00275475">
            <w:pPr>
              <w:jc w:val="right"/>
              <w:rPr>
                <w:rFonts w:asciiTheme="minorHAnsi" w:hAnsiTheme="minorHAnsi" w:cstheme="minorHAnsi"/>
                <w:sz w:val="18"/>
                <w:szCs w:val="18"/>
              </w:rPr>
            </w:pPr>
          </w:p>
        </w:tc>
        <w:tc>
          <w:tcPr>
            <w:tcW w:w="600" w:type="pct"/>
            <w:tcBorders>
              <w:top w:val="single" w:sz="4" w:space="0" w:color="808080" w:themeColor="background1" w:themeShade="80"/>
            </w:tcBorders>
            <w:shd w:val="clear" w:color="auto" w:fill="auto"/>
            <w:vAlign w:val="center"/>
          </w:tcPr>
          <w:p w14:paraId="1F486B22" w14:textId="77777777" w:rsidR="00FA544D" w:rsidRPr="00332AB5" w:rsidRDefault="00FA544D" w:rsidP="00275475">
            <w:pPr>
              <w:jc w:val="right"/>
              <w:rPr>
                <w:rFonts w:asciiTheme="minorHAnsi" w:hAnsiTheme="minorHAnsi" w:cstheme="minorHAnsi"/>
                <w:sz w:val="18"/>
                <w:szCs w:val="18"/>
              </w:rPr>
            </w:pPr>
          </w:p>
        </w:tc>
        <w:tc>
          <w:tcPr>
            <w:tcW w:w="466" w:type="pct"/>
            <w:tcBorders>
              <w:top w:val="single" w:sz="4" w:space="0" w:color="808080" w:themeColor="background1" w:themeShade="80"/>
            </w:tcBorders>
            <w:shd w:val="clear" w:color="auto" w:fill="auto"/>
            <w:vAlign w:val="center"/>
          </w:tcPr>
          <w:p w14:paraId="3842C940" w14:textId="77777777" w:rsidR="00FA544D" w:rsidRPr="00332AB5" w:rsidRDefault="00FA544D" w:rsidP="00275475">
            <w:pPr>
              <w:jc w:val="right"/>
              <w:rPr>
                <w:rFonts w:asciiTheme="minorHAnsi" w:hAnsiTheme="minorHAnsi" w:cstheme="minorHAnsi"/>
                <w:sz w:val="18"/>
                <w:szCs w:val="18"/>
              </w:rPr>
            </w:pPr>
          </w:p>
        </w:tc>
        <w:tc>
          <w:tcPr>
            <w:tcW w:w="484" w:type="pct"/>
            <w:tcBorders>
              <w:top w:val="single" w:sz="4" w:space="0" w:color="808080" w:themeColor="background1" w:themeShade="80"/>
            </w:tcBorders>
            <w:shd w:val="clear" w:color="auto" w:fill="auto"/>
            <w:vAlign w:val="center"/>
          </w:tcPr>
          <w:p w14:paraId="752F642E" w14:textId="77777777" w:rsidR="00FA544D" w:rsidRPr="00332AB5" w:rsidRDefault="00FA544D" w:rsidP="00275475">
            <w:pPr>
              <w:jc w:val="right"/>
              <w:rPr>
                <w:rFonts w:asciiTheme="minorHAnsi" w:hAnsiTheme="minorHAnsi" w:cstheme="minorHAnsi"/>
                <w:sz w:val="18"/>
                <w:szCs w:val="18"/>
              </w:rPr>
            </w:pPr>
          </w:p>
        </w:tc>
        <w:tc>
          <w:tcPr>
            <w:tcW w:w="453" w:type="pct"/>
            <w:tcBorders>
              <w:top w:val="single" w:sz="4" w:space="0" w:color="808080" w:themeColor="background1" w:themeShade="80"/>
            </w:tcBorders>
            <w:shd w:val="clear" w:color="auto" w:fill="auto"/>
            <w:vAlign w:val="center"/>
          </w:tcPr>
          <w:p w14:paraId="362320F0" w14:textId="77777777" w:rsidR="00FA544D" w:rsidRPr="00332AB5" w:rsidRDefault="00FA544D" w:rsidP="00275475">
            <w:pPr>
              <w:jc w:val="right"/>
              <w:rPr>
                <w:rFonts w:asciiTheme="minorHAnsi" w:hAnsiTheme="minorHAnsi" w:cstheme="minorHAnsi"/>
                <w:sz w:val="18"/>
                <w:szCs w:val="18"/>
              </w:rPr>
            </w:pPr>
          </w:p>
        </w:tc>
        <w:tc>
          <w:tcPr>
            <w:tcW w:w="497" w:type="pct"/>
            <w:tcBorders>
              <w:top w:val="single" w:sz="4" w:space="0" w:color="808080" w:themeColor="background1" w:themeShade="80"/>
            </w:tcBorders>
            <w:shd w:val="clear" w:color="auto" w:fill="auto"/>
            <w:vAlign w:val="center"/>
          </w:tcPr>
          <w:p w14:paraId="7CB36423" w14:textId="77777777" w:rsidR="00FA544D" w:rsidRPr="00332AB5" w:rsidRDefault="00FA544D" w:rsidP="00275475">
            <w:pPr>
              <w:jc w:val="right"/>
              <w:rPr>
                <w:rFonts w:asciiTheme="minorHAnsi" w:hAnsiTheme="minorHAnsi" w:cstheme="minorHAnsi"/>
                <w:sz w:val="18"/>
                <w:szCs w:val="18"/>
              </w:rPr>
            </w:pPr>
          </w:p>
        </w:tc>
        <w:tc>
          <w:tcPr>
            <w:tcW w:w="440" w:type="pct"/>
            <w:tcBorders>
              <w:top w:val="single" w:sz="4" w:space="0" w:color="808080" w:themeColor="background1" w:themeShade="80"/>
            </w:tcBorders>
            <w:shd w:val="clear" w:color="auto" w:fill="auto"/>
            <w:vAlign w:val="center"/>
          </w:tcPr>
          <w:p w14:paraId="09158176" w14:textId="77777777" w:rsidR="00FA544D" w:rsidRPr="00332AB5" w:rsidRDefault="00FA544D" w:rsidP="00275475">
            <w:pPr>
              <w:jc w:val="right"/>
              <w:rPr>
                <w:rFonts w:asciiTheme="minorHAnsi" w:hAnsiTheme="minorHAnsi" w:cstheme="minorHAnsi"/>
                <w:sz w:val="18"/>
                <w:szCs w:val="18"/>
              </w:rPr>
            </w:pPr>
          </w:p>
        </w:tc>
        <w:tc>
          <w:tcPr>
            <w:tcW w:w="510" w:type="pct"/>
            <w:tcBorders>
              <w:top w:val="single" w:sz="4" w:space="0" w:color="808080" w:themeColor="background1" w:themeShade="80"/>
            </w:tcBorders>
            <w:shd w:val="clear" w:color="auto" w:fill="auto"/>
            <w:vAlign w:val="center"/>
          </w:tcPr>
          <w:p w14:paraId="19145154" w14:textId="77777777" w:rsidR="00FA544D" w:rsidRPr="00332AB5" w:rsidRDefault="00FA544D" w:rsidP="00275475">
            <w:pPr>
              <w:jc w:val="right"/>
              <w:rPr>
                <w:rFonts w:asciiTheme="minorHAnsi" w:hAnsiTheme="minorHAnsi" w:cstheme="minorHAnsi"/>
                <w:sz w:val="18"/>
                <w:szCs w:val="18"/>
              </w:rPr>
            </w:pPr>
          </w:p>
        </w:tc>
        <w:tc>
          <w:tcPr>
            <w:tcW w:w="347" w:type="pct"/>
            <w:gridSpan w:val="2"/>
            <w:tcBorders>
              <w:top w:val="single" w:sz="4" w:space="0" w:color="808080" w:themeColor="background1" w:themeShade="80"/>
            </w:tcBorders>
            <w:shd w:val="clear" w:color="auto" w:fill="auto"/>
            <w:vAlign w:val="center"/>
          </w:tcPr>
          <w:p w14:paraId="3B80C59A" w14:textId="77777777" w:rsidR="00FA544D" w:rsidRPr="00332AB5" w:rsidRDefault="00FA544D" w:rsidP="00275475">
            <w:pPr>
              <w:jc w:val="right"/>
              <w:rPr>
                <w:rFonts w:asciiTheme="minorHAnsi" w:hAnsiTheme="minorHAnsi" w:cstheme="minorHAnsi"/>
                <w:sz w:val="18"/>
                <w:szCs w:val="18"/>
              </w:rPr>
            </w:pPr>
          </w:p>
        </w:tc>
      </w:tr>
      <w:tr w:rsidR="009011D4" w:rsidRPr="00332AB5" w14:paraId="2176AD09" w14:textId="77777777" w:rsidTr="00441349">
        <w:trPr>
          <w:trHeight w:val="397"/>
        </w:trPr>
        <w:tc>
          <w:tcPr>
            <w:tcW w:w="596" w:type="pct"/>
            <w:shd w:val="clear" w:color="auto" w:fill="auto"/>
            <w:vAlign w:val="center"/>
          </w:tcPr>
          <w:p w14:paraId="122268FC" w14:textId="77777777" w:rsidR="009011D4" w:rsidRPr="00332AB5" w:rsidRDefault="009011D4" w:rsidP="009011D4">
            <w:pPr>
              <w:rPr>
                <w:rFonts w:asciiTheme="minorHAnsi" w:hAnsiTheme="minorHAnsi" w:cstheme="minorHAnsi"/>
                <w:sz w:val="18"/>
                <w:szCs w:val="18"/>
              </w:rPr>
            </w:pPr>
            <w:r w:rsidRPr="00332AB5">
              <w:rPr>
                <w:rFonts w:asciiTheme="minorHAnsi" w:hAnsiTheme="minorHAnsi" w:cstheme="minorHAnsi"/>
                <w:sz w:val="18"/>
                <w:szCs w:val="18"/>
              </w:rPr>
              <w:t>M 1</w:t>
            </w:r>
          </w:p>
        </w:tc>
        <w:tc>
          <w:tcPr>
            <w:tcW w:w="608" w:type="pct"/>
            <w:tcBorders>
              <w:top w:val="nil"/>
              <w:left w:val="nil"/>
              <w:bottom w:val="nil"/>
              <w:right w:val="nil"/>
            </w:tcBorders>
            <w:shd w:val="clear" w:color="auto" w:fill="auto"/>
            <w:vAlign w:val="center"/>
          </w:tcPr>
          <w:p w14:paraId="4D22561A" w14:textId="637B6B5E"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5,63</w:t>
            </w:r>
          </w:p>
        </w:tc>
        <w:tc>
          <w:tcPr>
            <w:tcW w:w="600" w:type="pct"/>
            <w:tcBorders>
              <w:top w:val="nil"/>
              <w:left w:val="nil"/>
              <w:bottom w:val="nil"/>
              <w:right w:val="nil"/>
            </w:tcBorders>
            <w:shd w:val="clear" w:color="auto" w:fill="auto"/>
            <w:vAlign w:val="center"/>
          </w:tcPr>
          <w:p w14:paraId="394DF305" w14:textId="47FE1F43"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3,28</w:t>
            </w:r>
          </w:p>
        </w:tc>
        <w:tc>
          <w:tcPr>
            <w:tcW w:w="466" w:type="pct"/>
            <w:tcBorders>
              <w:top w:val="nil"/>
              <w:left w:val="nil"/>
              <w:bottom w:val="nil"/>
              <w:right w:val="nil"/>
            </w:tcBorders>
            <w:shd w:val="clear" w:color="auto" w:fill="auto"/>
            <w:vAlign w:val="center"/>
          </w:tcPr>
          <w:p w14:paraId="7E70DCE8" w14:textId="7B02357D"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58,34</w:t>
            </w:r>
          </w:p>
        </w:tc>
        <w:tc>
          <w:tcPr>
            <w:tcW w:w="484" w:type="pct"/>
            <w:tcBorders>
              <w:top w:val="nil"/>
              <w:left w:val="nil"/>
              <w:bottom w:val="nil"/>
              <w:right w:val="nil"/>
            </w:tcBorders>
            <w:shd w:val="clear" w:color="auto" w:fill="auto"/>
            <w:vAlign w:val="center"/>
          </w:tcPr>
          <w:p w14:paraId="4AD7A52B" w14:textId="1ECAE8AF"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3,28</w:t>
            </w:r>
          </w:p>
        </w:tc>
        <w:tc>
          <w:tcPr>
            <w:tcW w:w="453" w:type="pct"/>
            <w:tcBorders>
              <w:top w:val="nil"/>
              <w:left w:val="nil"/>
              <w:bottom w:val="nil"/>
              <w:right w:val="nil"/>
            </w:tcBorders>
            <w:shd w:val="clear" w:color="auto" w:fill="auto"/>
            <w:vAlign w:val="center"/>
          </w:tcPr>
          <w:p w14:paraId="4DE84A3F" w14:textId="694D472E"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58,34</w:t>
            </w:r>
          </w:p>
        </w:tc>
        <w:tc>
          <w:tcPr>
            <w:tcW w:w="497" w:type="pct"/>
            <w:tcBorders>
              <w:top w:val="nil"/>
              <w:left w:val="nil"/>
              <w:bottom w:val="nil"/>
              <w:right w:val="nil"/>
            </w:tcBorders>
            <w:shd w:val="clear" w:color="auto" w:fill="auto"/>
            <w:vAlign w:val="center"/>
          </w:tcPr>
          <w:p w14:paraId="637534BE" w14:textId="54B0A619"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3,04</w:t>
            </w:r>
          </w:p>
        </w:tc>
        <w:tc>
          <w:tcPr>
            <w:tcW w:w="440" w:type="pct"/>
            <w:tcBorders>
              <w:top w:val="nil"/>
              <w:left w:val="nil"/>
              <w:bottom w:val="nil"/>
              <w:right w:val="nil"/>
            </w:tcBorders>
            <w:shd w:val="clear" w:color="auto" w:fill="auto"/>
            <w:vAlign w:val="center"/>
          </w:tcPr>
          <w:p w14:paraId="22753F68" w14:textId="17E0E6A0"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53,99</w:t>
            </w:r>
          </w:p>
        </w:tc>
        <w:tc>
          <w:tcPr>
            <w:tcW w:w="510" w:type="pct"/>
            <w:shd w:val="clear" w:color="auto" w:fill="auto"/>
            <w:vAlign w:val="center"/>
          </w:tcPr>
          <w:p w14:paraId="070E3F38" w14:textId="77777777" w:rsidR="009011D4" w:rsidRPr="00332AB5" w:rsidRDefault="009011D4" w:rsidP="009011D4">
            <w:pPr>
              <w:jc w:val="right"/>
              <w:rPr>
                <w:rFonts w:asciiTheme="minorHAnsi" w:hAnsiTheme="minorHAnsi" w:cstheme="minorHAnsi"/>
                <w:color w:val="000000"/>
                <w:sz w:val="18"/>
                <w:szCs w:val="18"/>
              </w:rPr>
            </w:pPr>
          </w:p>
        </w:tc>
        <w:tc>
          <w:tcPr>
            <w:tcW w:w="347" w:type="pct"/>
            <w:gridSpan w:val="2"/>
            <w:shd w:val="clear" w:color="auto" w:fill="auto"/>
            <w:vAlign w:val="center"/>
          </w:tcPr>
          <w:p w14:paraId="489BF0EE" w14:textId="77777777" w:rsidR="009011D4" w:rsidRPr="00332AB5" w:rsidRDefault="009011D4" w:rsidP="009011D4">
            <w:pPr>
              <w:jc w:val="right"/>
              <w:rPr>
                <w:rFonts w:asciiTheme="minorHAnsi" w:hAnsiTheme="minorHAnsi" w:cstheme="minorHAnsi"/>
                <w:color w:val="000000"/>
                <w:sz w:val="18"/>
                <w:szCs w:val="18"/>
              </w:rPr>
            </w:pPr>
          </w:p>
        </w:tc>
      </w:tr>
      <w:tr w:rsidR="009011D4" w:rsidRPr="00332AB5" w14:paraId="606B265E" w14:textId="77777777" w:rsidTr="00441349">
        <w:trPr>
          <w:trHeight w:val="397"/>
        </w:trPr>
        <w:tc>
          <w:tcPr>
            <w:tcW w:w="596" w:type="pct"/>
            <w:shd w:val="clear" w:color="auto" w:fill="auto"/>
            <w:vAlign w:val="center"/>
          </w:tcPr>
          <w:p w14:paraId="60D8EC30" w14:textId="77777777" w:rsidR="009011D4" w:rsidRPr="00332AB5" w:rsidRDefault="009011D4" w:rsidP="009011D4">
            <w:pPr>
              <w:rPr>
                <w:rFonts w:asciiTheme="minorHAnsi" w:hAnsiTheme="minorHAnsi" w:cstheme="minorHAnsi"/>
                <w:sz w:val="18"/>
                <w:szCs w:val="18"/>
              </w:rPr>
            </w:pPr>
            <w:r w:rsidRPr="00332AB5">
              <w:rPr>
                <w:rFonts w:asciiTheme="minorHAnsi" w:hAnsiTheme="minorHAnsi" w:cstheme="minorHAnsi"/>
                <w:sz w:val="18"/>
                <w:szCs w:val="18"/>
              </w:rPr>
              <w:t>M 2</w:t>
            </w:r>
          </w:p>
        </w:tc>
        <w:tc>
          <w:tcPr>
            <w:tcW w:w="608" w:type="pct"/>
            <w:tcBorders>
              <w:top w:val="nil"/>
              <w:left w:val="nil"/>
              <w:bottom w:val="nil"/>
              <w:right w:val="nil"/>
            </w:tcBorders>
            <w:shd w:val="clear" w:color="auto" w:fill="auto"/>
            <w:vAlign w:val="center"/>
          </w:tcPr>
          <w:p w14:paraId="7CE9D6EF" w14:textId="10D2F2CE"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11,80</w:t>
            </w:r>
          </w:p>
        </w:tc>
        <w:tc>
          <w:tcPr>
            <w:tcW w:w="600" w:type="pct"/>
            <w:tcBorders>
              <w:top w:val="nil"/>
              <w:left w:val="nil"/>
              <w:bottom w:val="nil"/>
              <w:right w:val="nil"/>
            </w:tcBorders>
            <w:shd w:val="clear" w:color="auto" w:fill="auto"/>
            <w:vAlign w:val="center"/>
          </w:tcPr>
          <w:p w14:paraId="31E78570" w14:textId="4CE0709C"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6,57</w:t>
            </w:r>
          </w:p>
        </w:tc>
        <w:tc>
          <w:tcPr>
            <w:tcW w:w="466" w:type="pct"/>
            <w:tcBorders>
              <w:top w:val="nil"/>
              <w:left w:val="nil"/>
              <w:bottom w:val="nil"/>
              <w:right w:val="nil"/>
            </w:tcBorders>
            <w:shd w:val="clear" w:color="auto" w:fill="auto"/>
            <w:vAlign w:val="center"/>
          </w:tcPr>
          <w:p w14:paraId="19F6E1D9" w14:textId="594CDD66"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55,68</w:t>
            </w:r>
          </w:p>
        </w:tc>
        <w:tc>
          <w:tcPr>
            <w:tcW w:w="484" w:type="pct"/>
            <w:tcBorders>
              <w:top w:val="nil"/>
              <w:left w:val="nil"/>
              <w:bottom w:val="nil"/>
              <w:right w:val="nil"/>
            </w:tcBorders>
            <w:shd w:val="clear" w:color="auto" w:fill="auto"/>
            <w:vAlign w:val="center"/>
          </w:tcPr>
          <w:p w14:paraId="2F42F23D" w14:textId="74D66BE4"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6,57</w:t>
            </w:r>
          </w:p>
        </w:tc>
        <w:tc>
          <w:tcPr>
            <w:tcW w:w="453" w:type="pct"/>
            <w:tcBorders>
              <w:top w:val="nil"/>
              <w:left w:val="nil"/>
              <w:bottom w:val="nil"/>
              <w:right w:val="nil"/>
            </w:tcBorders>
            <w:shd w:val="clear" w:color="auto" w:fill="auto"/>
            <w:vAlign w:val="center"/>
          </w:tcPr>
          <w:p w14:paraId="3653CEAD" w14:textId="60F601DD"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55,68</w:t>
            </w:r>
          </w:p>
        </w:tc>
        <w:tc>
          <w:tcPr>
            <w:tcW w:w="497" w:type="pct"/>
            <w:tcBorders>
              <w:top w:val="nil"/>
              <w:left w:val="nil"/>
              <w:bottom w:val="nil"/>
              <w:right w:val="nil"/>
            </w:tcBorders>
            <w:shd w:val="clear" w:color="auto" w:fill="auto"/>
            <w:vAlign w:val="center"/>
          </w:tcPr>
          <w:p w14:paraId="482C8562" w14:textId="58B254D3"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6,55</w:t>
            </w:r>
          </w:p>
        </w:tc>
        <w:tc>
          <w:tcPr>
            <w:tcW w:w="440" w:type="pct"/>
            <w:tcBorders>
              <w:top w:val="nil"/>
              <w:left w:val="nil"/>
              <w:bottom w:val="nil"/>
              <w:right w:val="nil"/>
            </w:tcBorders>
            <w:shd w:val="clear" w:color="auto" w:fill="auto"/>
            <w:vAlign w:val="center"/>
          </w:tcPr>
          <w:p w14:paraId="6F05E5D4" w14:textId="4C6CFED0"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55,46</w:t>
            </w:r>
          </w:p>
        </w:tc>
        <w:tc>
          <w:tcPr>
            <w:tcW w:w="510" w:type="pct"/>
            <w:shd w:val="clear" w:color="auto" w:fill="auto"/>
            <w:vAlign w:val="center"/>
          </w:tcPr>
          <w:p w14:paraId="504EDF10" w14:textId="77777777" w:rsidR="009011D4" w:rsidRPr="00332AB5" w:rsidRDefault="009011D4" w:rsidP="009011D4">
            <w:pPr>
              <w:jc w:val="right"/>
              <w:rPr>
                <w:rFonts w:asciiTheme="minorHAnsi" w:hAnsiTheme="minorHAnsi" w:cstheme="minorHAnsi"/>
                <w:color w:val="000000"/>
                <w:sz w:val="18"/>
                <w:szCs w:val="18"/>
              </w:rPr>
            </w:pPr>
          </w:p>
        </w:tc>
        <w:tc>
          <w:tcPr>
            <w:tcW w:w="347" w:type="pct"/>
            <w:gridSpan w:val="2"/>
            <w:shd w:val="clear" w:color="auto" w:fill="auto"/>
            <w:vAlign w:val="center"/>
          </w:tcPr>
          <w:p w14:paraId="7CD05C20" w14:textId="77777777" w:rsidR="009011D4" w:rsidRPr="00332AB5" w:rsidRDefault="009011D4" w:rsidP="009011D4">
            <w:pPr>
              <w:jc w:val="right"/>
              <w:rPr>
                <w:rFonts w:asciiTheme="minorHAnsi" w:hAnsiTheme="minorHAnsi" w:cstheme="minorHAnsi"/>
                <w:color w:val="000000"/>
                <w:sz w:val="18"/>
                <w:szCs w:val="18"/>
              </w:rPr>
            </w:pPr>
          </w:p>
        </w:tc>
      </w:tr>
      <w:tr w:rsidR="009011D4" w:rsidRPr="00332AB5" w14:paraId="42C6D03B" w14:textId="77777777" w:rsidTr="00441349">
        <w:trPr>
          <w:trHeight w:val="397"/>
        </w:trPr>
        <w:tc>
          <w:tcPr>
            <w:tcW w:w="596" w:type="pct"/>
            <w:shd w:val="clear" w:color="auto" w:fill="auto"/>
            <w:vAlign w:val="center"/>
          </w:tcPr>
          <w:p w14:paraId="09ABCFF9" w14:textId="77777777" w:rsidR="009011D4" w:rsidRPr="00332AB5" w:rsidRDefault="009011D4" w:rsidP="009011D4">
            <w:pPr>
              <w:rPr>
                <w:rFonts w:asciiTheme="minorHAnsi" w:hAnsiTheme="minorHAnsi" w:cstheme="minorHAnsi"/>
                <w:sz w:val="18"/>
                <w:szCs w:val="18"/>
              </w:rPr>
            </w:pPr>
            <w:r w:rsidRPr="00332AB5">
              <w:rPr>
                <w:rFonts w:asciiTheme="minorHAnsi" w:hAnsiTheme="minorHAnsi" w:cstheme="minorHAnsi"/>
                <w:sz w:val="18"/>
                <w:szCs w:val="18"/>
              </w:rPr>
              <w:t>M 3</w:t>
            </w:r>
          </w:p>
        </w:tc>
        <w:tc>
          <w:tcPr>
            <w:tcW w:w="608" w:type="pct"/>
            <w:tcBorders>
              <w:top w:val="nil"/>
              <w:left w:val="nil"/>
              <w:bottom w:val="nil"/>
              <w:right w:val="nil"/>
            </w:tcBorders>
            <w:shd w:val="clear" w:color="auto" w:fill="auto"/>
            <w:vAlign w:val="center"/>
          </w:tcPr>
          <w:p w14:paraId="1F56458C" w14:textId="07B993C5"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2,75</w:t>
            </w:r>
          </w:p>
        </w:tc>
        <w:tc>
          <w:tcPr>
            <w:tcW w:w="600" w:type="pct"/>
            <w:tcBorders>
              <w:top w:val="nil"/>
              <w:left w:val="nil"/>
              <w:bottom w:val="nil"/>
              <w:right w:val="nil"/>
            </w:tcBorders>
            <w:shd w:val="clear" w:color="auto" w:fill="auto"/>
            <w:vAlign w:val="center"/>
          </w:tcPr>
          <w:p w14:paraId="4BB6C747" w14:textId="0058A46B"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0,77</w:t>
            </w:r>
          </w:p>
        </w:tc>
        <w:tc>
          <w:tcPr>
            <w:tcW w:w="466" w:type="pct"/>
            <w:tcBorders>
              <w:top w:val="nil"/>
              <w:left w:val="nil"/>
              <w:bottom w:val="nil"/>
              <w:right w:val="nil"/>
            </w:tcBorders>
            <w:shd w:val="clear" w:color="auto" w:fill="auto"/>
            <w:vAlign w:val="center"/>
          </w:tcPr>
          <w:p w14:paraId="3E07CA35" w14:textId="63A85058"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28,08</w:t>
            </w:r>
          </w:p>
        </w:tc>
        <w:tc>
          <w:tcPr>
            <w:tcW w:w="484" w:type="pct"/>
            <w:tcBorders>
              <w:top w:val="nil"/>
              <w:left w:val="nil"/>
              <w:bottom w:val="nil"/>
              <w:right w:val="nil"/>
            </w:tcBorders>
            <w:shd w:val="clear" w:color="auto" w:fill="auto"/>
            <w:vAlign w:val="center"/>
          </w:tcPr>
          <w:p w14:paraId="4BE51DCF" w14:textId="4B1F3801"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0,18</w:t>
            </w:r>
          </w:p>
        </w:tc>
        <w:tc>
          <w:tcPr>
            <w:tcW w:w="453" w:type="pct"/>
            <w:tcBorders>
              <w:top w:val="nil"/>
              <w:left w:val="nil"/>
              <w:bottom w:val="nil"/>
              <w:right w:val="nil"/>
            </w:tcBorders>
            <w:shd w:val="clear" w:color="auto" w:fill="auto"/>
            <w:vAlign w:val="center"/>
          </w:tcPr>
          <w:p w14:paraId="2FB55DC6" w14:textId="07B46625"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6,62</w:t>
            </w:r>
          </w:p>
        </w:tc>
        <w:tc>
          <w:tcPr>
            <w:tcW w:w="497" w:type="pct"/>
            <w:tcBorders>
              <w:top w:val="nil"/>
              <w:left w:val="nil"/>
              <w:bottom w:val="nil"/>
              <w:right w:val="nil"/>
            </w:tcBorders>
            <w:shd w:val="clear" w:color="auto" w:fill="auto"/>
            <w:vAlign w:val="center"/>
          </w:tcPr>
          <w:p w14:paraId="5BDB4B05" w14:textId="2EBF3C82"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0,16</w:t>
            </w:r>
          </w:p>
        </w:tc>
        <w:tc>
          <w:tcPr>
            <w:tcW w:w="440" w:type="pct"/>
            <w:tcBorders>
              <w:top w:val="nil"/>
              <w:left w:val="nil"/>
              <w:bottom w:val="nil"/>
              <w:right w:val="nil"/>
            </w:tcBorders>
            <w:shd w:val="clear" w:color="auto" w:fill="auto"/>
            <w:vAlign w:val="center"/>
          </w:tcPr>
          <w:p w14:paraId="06D9F3B5" w14:textId="7981215D"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5,93</w:t>
            </w:r>
          </w:p>
        </w:tc>
        <w:tc>
          <w:tcPr>
            <w:tcW w:w="510" w:type="pct"/>
            <w:shd w:val="clear" w:color="auto" w:fill="auto"/>
            <w:vAlign w:val="center"/>
          </w:tcPr>
          <w:p w14:paraId="72672804" w14:textId="77777777" w:rsidR="009011D4" w:rsidRPr="00332AB5" w:rsidRDefault="009011D4" w:rsidP="009011D4">
            <w:pPr>
              <w:jc w:val="right"/>
              <w:rPr>
                <w:rFonts w:asciiTheme="minorHAnsi" w:hAnsiTheme="minorHAnsi" w:cstheme="minorHAnsi"/>
                <w:color w:val="000000"/>
                <w:sz w:val="18"/>
                <w:szCs w:val="18"/>
              </w:rPr>
            </w:pPr>
          </w:p>
        </w:tc>
        <w:tc>
          <w:tcPr>
            <w:tcW w:w="347" w:type="pct"/>
            <w:gridSpan w:val="2"/>
            <w:shd w:val="clear" w:color="auto" w:fill="auto"/>
            <w:vAlign w:val="center"/>
          </w:tcPr>
          <w:p w14:paraId="7A77034E" w14:textId="77777777" w:rsidR="009011D4" w:rsidRPr="00332AB5" w:rsidRDefault="009011D4" w:rsidP="009011D4">
            <w:pPr>
              <w:jc w:val="right"/>
              <w:rPr>
                <w:rFonts w:asciiTheme="minorHAnsi" w:hAnsiTheme="minorHAnsi" w:cstheme="minorHAnsi"/>
                <w:color w:val="000000"/>
                <w:sz w:val="18"/>
                <w:szCs w:val="18"/>
              </w:rPr>
            </w:pPr>
          </w:p>
        </w:tc>
      </w:tr>
      <w:tr w:rsidR="009011D4" w:rsidRPr="00332AB5" w14:paraId="70197A1A" w14:textId="77777777" w:rsidTr="00441349">
        <w:trPr>
          <w:trHeight w:val="397"/>
        </w:trPr>
        <w:tc>
          <w:tcPr>
            <w:tcW w:w="596" w:type="pct"/>
            <w:shd w:val="clear" w:color="auto" w:fill="auto"/>
            <w:vAlign w:val="center"/>
          </w:tcPr>
          <w:p w14:paraId="602F3BE0" w14:textId="77777777" w:rsidR="009011D4" w:rsidRPr="00332AB5" w:rsidRDefault="009011D4" w:rsidP="009011D4">
            <w:pPr>
              <w:rPr>
                <w:rFonts w:asciiTheme="minorHAnsi" w:hAnsiTheme="minorHAnsi" w:cstheme="minorHAnsi"/>
                <w:sz w:val="18"/>
                <w:szCs w:val="18"/>
              </w:rPr>
            </w:pPr>
            <w:r w:rsidRPr="00332AB5">
              <w:rPr>
                <w:rFonts w:asciiTheme="minorHAnsi" w:hAnsiTheme="minorHAnsi" w:cstheme="minorHAnsi"/>
                <w:sz w:val="18"/>
                <w:szCs w:val="18"/>
              </w:rPr>
              <w:t>M 4</w:t>
            </w:r>
          </w:p>
        </w:tc>
        <w:tc>
          <w:tcPr>
            <w:tcW w:w="608" w:type="pct"/>
            <w:tcBorders>
              <w:top w:val="nil"/>
              <w:left w:val="nil"/>
              <w:bottom w:val="nil"/>
              <w:right w:val="nil"/>
            </w:tcBorders>
            <w:shd w:val="clear" w:color="auto" w:fill="auto"/>
            <w:vAlign w:val="center"/>
          </w:tcPr>
          <w:p w14:paraId="0F18F56B" w14:textId="75669241"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756,59</w:t>
            </w:r>
          </w:p>
        </w:tc>
        <w:tc>
          <w:tcPr>
            <w:tcW w:w="600" w:type="pct"/>
            <w:tcBorders>
              <w:top w:val="nil"/>
              <w:left w:val="nil"/>
              <w:bottom w:val="nil"/>
              <w:right w:val="nil"/>
            </w:tcBorders>
            <w:shd w:val="clear" w:color="auto" w:fill="auto"/>
            <w:vAlign w:val="center"/>
          </w:tcPr>
          <w:p w14:paraId="4B8BB2B5" w14:textId="4B69B7EF"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731,82</w:t>
            </w:r>
          </w:p>
        </w:tc>
        <w:tc>
          <w:tcPr>
            <w:tcW w:w="466" w:type="pct"/>
            <w:tcBorders>
              <w:top w:val="nil"/>
              <w:left w:val="nil"/>
              <w:bottom w:val="nil"/>
              <w:right w:val="nil"/>
            </w:tcBorders>
            <w:shd w:val="clear" w:color="auto" w:fill="auto"/>
            <w:vAlign w:val="center"/>
          </w:tcPr>
          <w:p w14:paraId="4953A35E" w14:textId="31C2297C"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96,73</w:t>
            </w:r>
          </w:p>
        </w:tc>
        <w:tc>
          <w:tcPr>
            <w:tcW w:w="484" w:type="pct"/>
            <w:tcBorders>
              <w:top w:val="nil"/>
              <w:left w:val="nil"/>
              <w:bottom w:val="nil"/>
              <w:right w:val="nil"/>
            </w:tcBorders>
            <w:shd w:val="clear" w:color="auto" w:fill="auto"/>
            <w:vAlign w:val="center"/>
          </w:tcPr>
          <w:p w14:paraId="28AF3048" w14:textId="00BE55D7"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539,59</w:t>
            </w:r>
          </w:p>
        </w:tc>
        <w:tc>
          <w:tcPr>
            <w:tcW w:w="453" w:type="pct"/>
            <w:tcBorders>
              <w:top w:val="nil"/>
              <w:left w:val="nil"/>
              <w:bottom w:val="nil"/>
              <w:right w:val="nil"/>
            </w:tcBorders>
            <w:shd w:val="clear" w:color="auto" w:fill="auto"/>
            <w:vAlign w:val="center"/>
          </w:tcPr>
          <w:p w14:paraId="63DBF98B" w14:textId="20EFB9C7"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71,32</w:t>
            </w:r>
          </w:p>
        </w:tc>
        <w:tc>
          <w:tcPr>
            <w:tcW w:w="497" w:type="pct"/>
            <w:tcBorders>
              <w:top w:val="nil"/>
              <w:left w:val="nil"/>
              <w:bottom w:val="nil"/>
              <w:right w:val="nil"/>
            </w:tcBorders>
            <w:shd w:val="clear" w:color="auto" w:fill="auto"/>
            <w:vAlign w:val="center"/>
          </w:tcPr>
          <w:p w14:paraId="09013CF7" w14:textId="27B6C244"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506,17</w:t>
            </w:r>
          </w:p>
        </w:tc>
        <w:tc>
          <w:tcPr>
            <w:tcW w:w="440" w:type="pct"/>
            <w:tcBorders>
              <w:top w:val="nil"/>
              <w:left w:val="nil"/>
              <w:bottom w:val="nil"/>
              <w:right w:val="nil"/>
            </w:tcBorders>
            <w:shd w:val="clear" w:color="auto" w:fill="auto"/>
            <w:vAlign w:val="center"/>
          </w:tcPr>
          <w:p w14:paraId="0F8C7FB0" w14:textId="294767CF"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66,90</w:t>
            </w:r>
          </w:p>
        </w:tc>
        <w:tc>
          <w:tcPr>
            <w:tcW w:w="510" w:type="pct"/>
            <w:shd w:val="clear" w:color="auto" w:fill="auto"/>
            <w:vAlign w:val="center"/>
          </w:tcPr>
          <w:p w14:paraId="1C0B4002" w14:textId="77777777" w:rsidR="009011D4" w:rsidRPr="00332AB5" w:rsidRDefault="009011D4" w:rsidP="009011D4">
            <w:pPr>
              <w:jc w:val="right"/>
              <w:rPr>
                <w:rFonts w:asciiTheme="minorHAnsi" w:hAnsiTheme="minorHAnsi" w:cstheme="minorHAnsi"/>
                <w:color w:val="000000"/>
                <w:sz w:val="18"/>
                <w:szCs w:val="18"/>
              </w:rPr>
            </w:pPr>
          </w:p>
        </w:tc>
        <w:tc>
          <w:tcPr>
            <w:tcW w:w="347" w:type="pct"/>
            <w:gridSpan w:val="2"/>
            <w:shd w:val="clear" w:color="auto" w:fill="auto"/>
            <w:vAlign w:val="center"/>
          </w:tcPr>
          <w:p w14:paraId="76A3419F" w14:textId="77777777" w:rsidR="009011D4" w:rsidRPr="00332AB5" w:rsidRDefault="009011D4" w:rsidP="009011D4">
            <w:pPr>
              <w:jc w:val="right"/>
              <w:rPr>
                <w:rFonts w:asciiTheme="minorHAnsi" w:hAnsiTheme="minorHAnsi" w:cstheme="minorHAnsi"/>
                <w:color w:val="000000"/>
                <w:sz w:val="18"/>
                <w:szCs w:val="18"/>
              </w:rPr>
            </w:pPr>
          </w:p>
        </w:tc>
      </w:tr>
      <w:tr w:rsidR="009011D4" w:rsidRPr="00332AB5" w14:paraId="7028BBFF" w14:textId="77777777" w:rsidTr="00441349">
        <w:trPr>
          <w:trHeight w:val="397"/>
        </w:trPr>
        <w:tc>
          <w:tcPr>
            <w:tcW w:w="596" w:type="pct"/>
            <w:shd w:val="clear" w:color="auto" w:fill="auto"/>
            <w:vAlign w:val="center"/>
          </w:tcPr>
          <w:p w14:paraId="1C6E35B4" w14:textId="77777777" w:rsidR="009011D4" w:rsidRPr="00332AB5" w:rsidRDefault="009011D4" w:rsidP="009011D4">
            <w:pPr>
              <w:rPr>
                <w:rFonts w:asciiTheme="minorHAnsi" w:hAnsiTheme="minorHAnsi" w:cstheme="minorHAnsi"/>
                <w:sz w:val="18"/>
                <w:szCs w:val="18"/>
              </w:rPr>
            </w:pPr>
            <w:r w:rsidRPr="00332AB5">
              <w:rPr>
                <w:rFonts w:asciiTheme="minorHAnsi" w:hAnsiTheme="minorHAnsi" w:cstheme="minorHAnsi"/>
                <w:sz w:val="18"/>
                <w:szCs w:val="18"/>
              </w:rPr>
              <w:t>M 5</w:t>
            </w:r>
          </w:p>
        </w:tc>
        <w:tc>
          <w:tcPr>
            <w:tcW w:w="608" w:type="pct"/>
            <w:tcBorders>
              <w:top w:val="nil"/>
              <w:left w:val="nil"/>
              <w:bottom w:val="nil"/>
              <w:right w:val="nil"/>
            </w:tcBorders>
            <w:shd w:val="clear" w:color="auto" w:fill="auto"/>
            <w:vAlign w:val="center"/>
          </w:tcPr>
          <w:p w14:paraId="4B0EF06A" w14:textId="7B05AF76"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73,59</w:t>
            </w:r>
          </w:p>
        </w:tc>
        <w:tc>
          <w:tcPr>
            <w:tcW w:w="600" w:type="pct"/>
            <w:tcBorders>
              <w:top w:val="nil"/>
              <w:left w:val="nil"/>
              <w:bottom w:val="nil"/>
              <w:right w:val="nil"/>
            </w:tcBorders>
            <w:shd w:val="clear" w:color="auto" w:fill="auto"/>
            <w:vAlign w:val="center"/>
          </w:tcPr>
          <w:p w14:paraId="1729EAED" w14:textId="740F9BF0"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71,66</w:t>
            </w:r>
          </w:p>
        </w:tc>
        <w:tc>
          <w:tcPr>
            <w:tcW w:w="466" w:type="pct"/>
            <w:tcBorders>
              <w:top w:val="nil"/>
              <w:left w:val="nil"/>
              <w:bottom w:val="nil"/>
              <w:right w:val="nil"/>
            </w:tcBorders>
            <w:shd w:val="clear" w:color="auto" w:fill="auto"/>
            <w:vAlign w:val="center"/>
          </w:tcPr>
          <w:p w14:paraId="3E264676" w14:textId="15DE448F"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97,38</w:t>
            </w:r>
          </w:p>
        </w:tc>
        <w:tc>
          <w:tcPr>
            <w:tcW w:w="484" w:type="pct"/>
            <w:tcBorders>
              <w:top w:val="nil"/>
              <w:left w:val="nil"/>
              <w:bottom w:val="nil"/>
              <w:right w:val="nil"/>
            </w:tcBorders>
            <w:shd w:val="clear" w:color="auto" w:fill="auto"/>
            <w:vAlign w:val="center"/>
          </w:tcPr>
          <w:p w14:paraId="5D69F7D4" w14:textId="0AF8CF49"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65,50</w:t>
            </w:r>
          </w:p>
        </w:tc>
        <w:tc>
          <w:tcPr>
            <w:tcW w:w="453" w:type="pct"/>
            <w:tcBorders>
              <w:top w:val="nil"/>
              <w:left w:val="nil"/>
              <w:bottom w:val="nil"/>
              <w:right w:val="nil"/>
            </w:tcBorders>
            <w:shd w:val="clear" w:color="auto" w:fill="auto"/>
            <w:vAlign w:val="center"/>
          </w:tcPr>
          <w:p w14:paraId="45556D7C" w14:textId="0634D2E1"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89,02</w:t>
            </w:r>
          </w:p>
        </w:tc>
        <w:tc>
          <w:tcPr>
            <w:tcW w:w="497" w:type="pct"/>
            <w:tcBorders>
              <w:top w:val="nil"/>
              <w:left w:val="nil"/>
              <w:bottom w:val="nil"/>
              <w:right w:val="nil"/>
            </w:tcBorders>
            <w:shd w:val="clear" w:color="auto" w:fill="auto"/>
            <w:vAlign w:val="center"/>
          </w:tcPr>
          <w:p w14:paraId="79561658" w14:textId="338AAD6C"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64,68</w:t>
            </w:r>
          </w:p>
        </w:tc>
        <w:tc>
          <w:tcPr>
            <w:tcW w:w="440" w:type="pct"/>
            <w:tcBorders>
              <w:top w:val="nil"/>
              <w:left w:val="nil"/>
              <w:bottom w:val="nil"/>
              <w:right w:val="nil"/>
            </w:tcBorders>
            <w:shd w:val="clear" w:color="auto" w:fill="auto"/>
            <w:vAlign w:val="center"/>
          </w:tcPr>
          <w:p w14:paraId="76A4282C" w14:textId="6A2BDE1A"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87,89</w:t>
            </w:r>
          </w:p>
        </w:tc>
        <w:tc>
          <w:tcPr>
            <w:tcW w:w="510" w:type="pct"/>
            <w:shd w:val="clear" w:color="auto" w:fill="auto"/>
            <w:vAlign w:val="center"/>
          </w:tcPr>
          <w:p w14:paraId="12A62A15" w14:textId="77777777" w:rsidR="009011D4" w:rsidRPr="00332AB5" w:rsidRDefault="009011D4" w:rsidP="009011D4">
            <w:pPr>
              <w:jc w:val="right"/>
              <w:rPr>
                <w:rFonts w:asciiTheme="minorHAnsi" w:hAnsiTheme="minorHAnsi" w:cstheme="minorHAnsi"/>
                <w:color w:val="000000"/>
                <w:sz w:val="18"/>
                <w:szCs w:val="18"/>
              </w:rPr>
            </w:pPr>
          </w:p>
        </w:tc>
        <w:tc>
          <w:tcPr>
            <w:tcW w:w="347" w:type="pct"/>
            <w:gridSpan w:val="2"/>
            <w:shd w:val="clear" w:color="auto" w:fill="auto"/>
            <w:vAlign w:val="center"/>
          </w:tcPr>
          <w:p w14:paraId="0BA9121E" w14:textId="77777777" w:rsidR="009011D4" w:rsidRPr="00332AB5" w:rsidRDefault="009011D4" w:rsidP="009011D4">
            <w:pPr>
              <w:jc w:val="right"/>
              <w:rPr>
                <w:rFonts w:asciiTheme="minorHAnsi" w:hAnsiTheme="minorHAnsi" w:cstheme="minorHAnsi"/>
                <w:color w:val="000000"/>
                <w:sz w:val="18"/>
                <w:szCs w:val="18"/>
              </w:rPr>
            </w:pPr>
          </w:p>
        </w:tc>
      </w:tr>
      <w:tr w:rsidR="009011D4" w:rsidRPr="00332AB5" w14:paraId="3F95CF46" w14:textId="77777777" w:rsidTr="00441349">
        <w:trPr>
          <w:trHeight w:val="397"/>
        </w:trPr>
        <w:tc>
          <w:tcPr>
            <w:tcW w:w="596" w:type="pct"/>
            <w:shd w:val="clear" w:color="auto" w:fill="auto"/>
            <w:vAlign w:val="center"/>
          </w:tcPr>
          <w:p w14:paraId="65C12131" w14:textId="77777777" w:rsidR="009011D4" w:rsidRPr="00332AB5" w:rsidRDefault="009011D4" w:rsidP="009011D4">
            <w:pPr>
              <w:rPr>
                <w:rFonts w:asciiTheme="minorHAnsi" w:hAnsiTheme="minorHAnsi" w:cstheme="minorHAnsi"/>
                <w:sz w:val="18"/>
                <w:szCs w:val="18"/>
              </w:rPr>
            </w:pPr>
            <w:r w:rsidRPr="00332AB5">
              <w:rPr>
                <w:rFonts w:asciiTheme="minorHAnsi" w:hAnsiTheme="minorHAnsi" w:cstheme="minorHAnsi"/>
                <w:sz w:val="18"/>
                <w:szCs w:val="18"/>
              </w:rPr>
              <w:t>M 6</w:t>
            </w:r>
          </w:p>
        </w:tc>
        <w:tc>
          <w:tcPr>
            <w:tcW w:w="608" w:type="pct"/>
            <w:tcBorders>
              <w:top w:val="nil"/>
              <w:left w:val="nil"/>
              <w:bottom w:val="nil"/>
              <w:right w:val="nil"/>
            </w:tcBorders>
            <w:shd w:val="clear" w:color="auto" w:fill="auto"/>
            <w:vAlign w:val="center"/>
          </w:tcPr>
          <w:p w14:paraId="3D2342DF" w14:textId="242938C8"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210,11</w:t>
            </w:r>
          </w:p>
        </w:tc>
        <w:tc>
          <w:tcPr>
            <w:tcW w:w="600" w:type="pct"/>
            <w:tcBorders>
              <w:top w:val="nil"/>
              <w:left w:val="nil"/>
              <w:bottom w:val="nil"/>
              <w:right w:val="nil"/>
            </w:tcBorders>
            <w:shd w:val="clear" w:color="auto" w:fill="auto"/>
            <w:vAlign w:val="center"/>
          </w:tcPr>
          <w:p w14:paraId="0CC93856" w14:textId="4ECA2896"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246,56</w:t>
            </w:r>
          </w:p>
        </w:tc>
        <w:tc>
          <w:tcPr>
            <w:tcW w:w="466" w:type="pct"/>
            <w:tcBorders>
              <w:top w:val="nil"/>
              <w:left w:val="nil"/>
              <w:bottom w:val="nil"/>
              <w:right w:val="nil"/>
            </w:tcBorders>
            <w:shd w:val="clear" w:color="auto" w:fill="auto"/>
            <w:vAlign w:val="center"/>
          </w:tcPr>
          <w:p w14:paraId="1E82EE1F" w14:textId="3C83E33A"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117,35</w:t>
            </w:r>
          </w:p>
        </w:tc>
        <w:tc>
          <w:tcPr>
            <w:tcW w:w="484" w:type="pct"/>
            <w:tcBorders>
              <w:top w:val="nil"/>
              <w:left w:val="nil"/>
              <w:bottom w:val="nil"/>
              <w:right w:val="nil"/>
            </w:tcBorders>
            <w:shd w:val="clear" w:color="auto" w:fill="auto"/>
            <w:vAlign w:val="center"/>
          </w:tcPr>
          <w:p w14:paraId="1FF5DB8D" w14:textId="2AB0EEA8"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194,40</w:t>
            </w:r>
          </w:p>
        </w:tc>
        <w:tc>
          <w:tcPr>
            <w:tcW w:w="453" w:type="pct"/>
            <w:tcBorders>
              <w:top w:val="nil"/>
              <w:left w:val="nil"/>
              <w:bottom w:val="nil"/>
              <w:right w:val="nil"/>
            </w:tcBorders>
            <w:shd w:val="clear" w:color="auto" w:fill="auto"/>
            <w:vAlign w:val="center"/>
          </w:tcPr>
          <w:p w14:paraId="35F48438" w14:textId="60C05A8D"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92,52</w:t>
            </w:r>
          </w:p>
        </w:tc>
        <w:tc>
          <w:tcPr>
            <w:tcW w:w="497" w:type="pct"/>
            <w:tcBorders>
              <w:top w:val="nil"/>
              <w:left w:val="nil"/>
              <w:bottom w:val="nil"/>
              <w:right w:val="nil"/>
            </w:tcBorders>
            <w:shd w:val="clear" w:color="auto" w:fill="auto"/>
            <w:vAlign w:val="center"/>
          </w:tcPr>
          <w:p w14:paraId="00812393" w14:textId="4E5EC3EA"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189,33</w:t>
            </w:r>
          </w:p>
        </w:tc>
        <w:tc>
          <w:tcPr>
            <w:tcW w:w="440" w:type="pct"/>
            <w:tcBorders>
              <w:top w:val="nil"/>
              <w:left w:val="nil"/>
              <w:bottom w:val="nil"/>
              <w:right w:val="nil"/>
            </w:tcBorders>
            <w:shd w:val="clear" w:color="auto" w:fill="auto"/>
            <w:vAlign w:val="center"/>
          </w:tcPr>
          <w:p w14:paraId="753E7FF6" w14:textId="248EC90B"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90,11</w:t>
            </w:r>
          </w:p>
        </w:tc>
        <w:tc>
          <w:tcPr>
            <w:tcW w:w="510" w:type="pct"/>
            <w:shd w:val="clear" w:color="auto" w:fill="auto"/>
            <w:vAlign w:val="center"/>
          </w:tcPr>
          <w:p w14:paraId="79BFFE18" w14:textId="77777777" w:rsidR="009011D4" w:rsidRPr="00332AB5" w:rsidRDefault="009011D4" w:rsidP="009011D4">
            <w:pPr>
              <w:jc w:val="right"/>
              <w:rPr>
                <w:rFonts w:asciiTheme="minorHAnsi" w:hAnsiTheme="minorHAnsi" w:cstheme="minorHAnsi"/>
                <w:color w:val="000000"/>
                <w:sz w:val="18"/>
                <w:szCs w:val="18"/>
              </w:rPr>
            </w:pPr>
          </w:p>
        </w:tc>
        <w:tc>
          <w:tcPr>
            <w:tcW w:w="347" w:type="pct"/>
            <w:gridSpan w:val="2"/>
            <w:shd w:val="clear" w:color="auto" w:fill="auto"/>
            <w:vAlign w:val="center"/>
          </w:tcPr>
          <w:p w14:paraId="5583E284" w14:textId="77777777" w:rsidR="009011D4" w:rsidRPr="00332AB5" w:rsidRDefault="009011D4" w:rsidP="009011D4">
            <w:pPr>
              <w:jc w:val="right"/>
              <w:rPr>
                <w:rFonts w:asciiTheme="minorHAnsi" w:hAnsiTheme="minorHAnsi" w:cstheme="minorHAnsi"/>
                <w:color w:val="000000"/>
                <w:sz w:val="18"/>
                <w:szCs w:val="18"/>
              </w:rPr>
            </w:pPr>
          </w:p>
        </w:tc>
      </w:tr>
      <w:tr w:rsidR="009011D4" w:rsidRPr="00332AB5" w14:paraId="4FDCD4FA" w14:textId="77777777" w:rsidTr="00441349">
        <w:trPr>
          <w:trHeight w:val="397"/>
        </w:trPr>
        <w:tc>
          <w:tcPr>
            <w:tcW w:w="596" w:type="pct"/>
            <w:shd w:val="clear" w:color="auto" w:fill="auto"/>
            <w:vAlign w:val="center"/>
          </w:tcPr>
          <w:p w14:paraId="713D8ACA" w14:textId="77777777" w:rsidR="009011D4" w:rsidRPr="00332AB5" w:rsidRDefault="009011D4" w:rsidP="009011D4">
            <w:pPr>
              <w:rPr>
                <w:rFonts w:asciiTheme="minorHAnsi" w:hAnsiTheme="minorHAnsi" w:cstheme="minorHAnsi"/>
                <w:sz w:val="18"/>
                <w:szCs w:val="18"/>
              </w:rPr>
            </w:pPr>
            <w:r w:rsidRPr="00332AB5">
              <w:rPr>
                <w:rFonts w:asciiTheme="minorHAnsi" w:hAnsiTheme="minorHAnsi" w:cstheme="minorHAnsi"/>
                <w:sz w:val="18"/>
                <w:szCs w:val="18"/>
              </w:rPr>
              <w:t>M 7</w:t>
            </w:r>
          </w:p>
        </w:tc>
        <w:tc>
          <w:tcPr>
            <w:tcW w:w="608" w:type="pct"/>
            <w:tcBorders>
              <w:top w:val="nil"/>
              <w:left w:val="nil"/>
              <w:bottom w:val="nil"/>
              <w:right w:val="nil"/>
            </w:tcBorders>
            <w:shd w:val="clear" w:color="auto" w:fill="auto"/>
            <w:vAlign w:val="center"/>
          </w:tcPr>
          <w:p w14:paraId="610269D5" w14:textId="5C740E52"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333,33</w:t>
            </w:r>
          </w:p>
        </w:tc>
        <w:tc>
          <w:tcPr>
            <w:tcW w:w="600" w:type="pct"/>
            <w:tcBorders>
              <w:top w:val="nil"/>
              <w:left w:val="nil"/>
              <w:bottom w:val="nil"/>
              <w:right w:val="nil"/>
            </w:tcBorders>
            <w:shd w:val="clear" w:color="auto" w:fill="auto"/>
            <w:vAlign w:val="center"/>
          </w:tcPr>
          <w:p w14:paraId="34A2F35C" w14:textId="2756AAC2"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358,22</w:t>
            </w:r>
          </w:p>
        </w:tc>
        <w:tc>
          <w:tcPr>
            <w:tcW w:w="466" w:type="pct"/>
            <w:tcBorders>
              <w:top w:val="nil"/>
              <w:left w:val="nil"/>
              <w:bottom w:val="nil"/>
              <w:right w:val="nil"/>
            </w:tcBorders>
            <w:shd w:val="clear" w:color="auto" w:fill="auto"/>
            <w:vAlign w:val="center"/>
          </w:tcPr>
          <w:p w14:paraId="6A5EE83C" w14:textId="42E1A04E"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107,46</w:t>
            </w:r>
          </w:p>
        </w:tc>
        <w:tc>
          <w:tcPr>
            <w:tcW w:w="484" w:type="pct"/>
            <w:tcBorders>
              <w:top w:val="nil"/>
              <w:left w:val="nil"/>
              <w:bottom w:val="nil"/>
              <w:right w:val="nil"/>
            </w:tcBorders>
            <w:shd w:val="clear" w:color="auto" w:fill="auto"/>
            <w:vAlign w:val="center"/>
          </w:tcPr>
          <w:p w14:paraId="56004181" w14:textId="64CFA348"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273,54</w:t>
            </w:r>
          </w:p>
        </w:tc>
        <w:tc>
          <w:tcPr>
            <w:tcW w:w="453" w:type="pct"/>
            <w:tcBorders>
              <w:top w:val="nil"/>
              <w:left w:val="nil"/>
              <w:bottom w:val="nil"/>
              <w:right w:val="nil"/>
            </w:tcBorders>
            <w:shd w:val="clear" w:color="auto" w:fill="auto"/>
            <w:vAlign w:val="center"/>
          </w:tcPr>
          <w:p w14:paraId="62DDC76E" w14:textId="0CB7DDEC"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82,06</w:t>
            </w:r>
          </w:p>
        </w:tc>
        <w:tc>
          <w:tcPr>
            <w:tcW w:w="497" w:type="pct"/>
            <w:tcBorders>
              <w:top w:val="nil"/>
              <w:left w:val="nil"/>
              <w:bottom w:val="nil"/>
              <w:right w:val="nil"/>
            </w:tcBorders>
            <w:shd w:val="clear" w:color="auto" w:fill="auto"/>
            <w:vAlign w:val="center"/>
          </w:tcPr>
          <w:p w14:paraId="7138B16E" w14:textId="04C95545"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268,83</w:t>
            </w:r>
          </w:p>
        </w:tc>
        <w:tc>
          <w:tcPr>
            <w:tcW w:w="440" w:type="pct"/>
            <w:tcBorders>
              <w:top w:val="nil"/>
              <w:left w:val="nil"/>
              <w:bottom w:val="nil"/>
              <w:right w:val="nil"/>
            </w:tcBorders>
            <w:shd w:val="clear" w:color="auto" w:fill="auto"/>
            <w:vAlign w:val="center"/>
          </w:tcPr>
          <w:p w14:paraId="26FBCD70" w14:textId="3AD8E3D3"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80,65</w:t>
            </w:r>
          </w:p>
        </w:tc>
        <w:tc>
          <w:tcPr>
            <w:tcW w:w="510" w:type="pct"/>
            <w:shd w:val="clear" w:color="auto" w:fill="auto"/>
            <w:vAlign w:val="center"/>
          </w:tcPr>
          <w:p w14:paraId="2504FA8F" w14:textId="77777777" w:rsidR="009011D4" w:rsidRPr="00332AB5" w:rsidRDefault="009011D4" w:rsidP="009011D4">
            <w:pPr>
              <w:jc w:val="right"/>
              <w:rPr>
                <w:rFonts w:asciiTheme="minorHAnsi" w:hAnsiTheme="minorHAnsi" w:cstheme="minorHAnsi"/>
                <w:color w:val="000000"/>
                <w:sz w:val="18"/>
                <w:szCs w:val="18"/>
              </w:rPr>
            </w:pPr>
          </w:p>
        </w:tc>
        <w:tc>
          <w:tcPr>
            <w:tcW w:w="347" w:type="pct"/>
            <w:gridSpan w:val="2"/>
            <w:shd w:val="clear" w:color="auto" w:fill="auto"/>
            <w:vAlign w:val="center"/>
          </w:tcPr>
          <w:p w14:paraId="4B0D149E" w14:textId="77777777" w:rsidR="009011D4" w:rsidRPr="00332AB5" w:rsidRDefault="009011D4" w:rsidP="009011D4">
            <w:pPr>
              <w:jc w:val="right"/>
              <w:rPr>
                <w:rFonts w:asciiTheme="minorHAnsi" w:hAnsiTheme="minorHAnsi" w:cstheme="minorHAnsi"/>
                <w:color w:val="000000"/>
                <w:sz w:val="18"/>
                <w:szCs w:val="18"/>
              </w:rPr>
            </w:pPr>
          </w:p>
        </w:tc>
      </w:tr>
      <w:tr w:rsidR="009011D4" w:rsidRPr="00332AB5" w14:paraId="3F554959" w14:textId="77777777" w:rsidTr="00441349">
        <w:trPr>
          <w:trHeight w:val="397"/>
        </w:trPr>
        <w:tc>
          <w:tcPr>
            <w:tcW w:w="596" w:type="pct"/>
            <w:shd w:val="clear" w:color="auto" w:fill="auto"/>
            <w:vAlign w:val="center"/>
          </w:tcPr>
          <w:p w14:paraId="65E36405" w14:textId="77777777" w:rsidR="009011D4" w:rsidRPr="00332AB5" w:rsidRDefault="009011D4" w:rsidP="009011D4">
            <w:pPr>
              <w:rPr>
                <w:rFonts w:asciiTheme="minorHAnsi" w:hAnsiTheme="minorHAnsi" w:cstheme="minorHAnsi"/>
                <w:sz w:val="18"/>
                <w:szCs w:val="18"/>
              </w:rPr>
            </w:pPr>
            <w:r w:rsidRPr="00332AB5">
              <w:rPr>
                <w:rFonts w:asciiTheme="minorHAnsi" w:hAnsiTheme="minorHAnsi" w:cstheme="minorHAnsi"/>
                <w:sz w:val="18"/>
                <w:szCs w:val="18"/>
              </w:rPr>
              <w:t>M 8</w:t>
            </w:r>
          </w:p>
        </w:tc>
        <w:tc>
          <w:tcPr>
            <w:tcW w:w="608" w:type="pct"/>
            <w:tcBorders>
              <w:top w:val="nil"/>
              <w:left w:val="nil"/>
              <w:bottom w:val="nil"/>
              <w:right w:val="nil"/>
            </w:tcBorders>
            <w:shd w:val="clear" w:color="auto" w:fill="auto"/>
            <w:vAlign w:val="center"/>
          </w:tcPr>
          <w:p w14:paraId="5F80EE8E" w14:textId="6B564C6F"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102,74</w:t>
            </w:r>
          </w:p>
        </w:tc>
        <w:tc>
          <w:tcPr>
            <w:tcW w:w="600" w:type="pct"/>
            <w:tcBorders>
              <w:top w:val="nil"/>
              <w:left w:val="nil"/>
              <w:bottom w:val="nil"/>
              <w:right w:val="nil"/>
            </w:tcBorders>
            <w:shd w:val="clear" w:color="auto" w:fill="auto"/>
            <w:vAlign w:val="center"/>
          </w:tcPr>
          <w:p w14:paraId="704C9626" w14:textId="456B8146"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71,44</w:t>
            </w:r>
          </w:p>
        </w:tc>
        <w:tc>
          <w:tcPr>
            <w:tcW w:w="466" w:type="pct"/>
            <w:tcBorders>
              <w:top w:val="nil"/>
              <w:left w:val="nil"/>
              <w:bottom w:val="nil"/>
              <w:right w:val="nil"/>
            </w:tcBorders>
            <w:shd w:val="clear" w:color="auto" w:fill="auto"/>
            <w:vAlign w:val="center"/>
          </w:tcPr>
          <w:p w14:paraId="45292478" w14:textId="484B286E"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69,53</w:t>
            </w:r>
          </w:p>
        </w:tc>
        <w:tc>
          <w:tcPr>
            <w:tcW w:w="484" w:type="pct"/>
            <w:tcBorders>
              <w:top w:val="nil"/>
              <w:left w:val="nil"/>
              <w:bottom w:val="nil"/>
              <w:right w:val="nil"/>
            </w:tcBorders>
            <w:shd w:val="clear" w:color="auto" w:fill="auto"/>
            <w:vAlign w:val="center"/>
          </w:tcPr>
          <w:p w14:paraId="5668E263" w14:textId="065AE12D"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42,77</w:t>
            </w:r>
          </w:p>
        </w:tc>
        <w:tc>
          <w:tcPr>
            <w:tcW w:w="453" w:type="pct"/>
            <w:tcBorders>
              <w:top w:val="nil"/>
              <w:left w:val="nil"/>
              <w:bottom w:val="nil"/>
              <w:right w:val="nil"/>
            </w:tcBorders>
            <w:shd w:val="clear" w:color="auto" w:fill="auto"/>
            <w:vAlign w:val="center"/>
          </w:tcPr>
          <w:p w14:paraId="10C1E528" w14:textId="677D2D53"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41,63</w:t>
            </w:r>
          </w:p>
        </w:tc>
        <w:tc>
          <w:tcPr>
            <w:tcW w:w="497" w:type="pct"/>
            <w:tcBorders>
              <w:top w:val="nil"/>
              <w:left w:val="nil"/>
              <w:bottom w:val="nil"/>
              <w:right w:val="nil"/>
            </w:tcBorders>
            <w:shd w:val="clear" w:color="auto" w:fill="auto"/>
            <w:vAlign w:val="center"/>
          </w:tcPr>
          <w:p w14:paraId="7980E64D" w14:textId="4840A8E9"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39,93</w:t>
            </w:r>
          </w:p>
        </w:tc>
        <w:tc>
          <w:tcPr>
            <w:tcW w:w="440" w:type="pct"/>
            <w:tcBorders>
              <w:top w:val="nil"/>
              <w:left w:val="nil"/>
              <w:bottom w:val="nil"/>
              <w:right w:val="nil"/>
            </w:tcBorders>
            <w:shd w:val="clear" w:color="auto" w:fill="auto"/>
            <w:vAlign w:val="center"/>
          </w:tcPr>
          <w:p w14:paraId="61100FB5" w14:textId="739CD1BA"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38,87</w:t>
            </w:r>
          </w:p>
        </w:tc>
        <w:tc>
          <w:tcPr>
            <w:tcW w:w="510" w:type="pct"/>
            <w:shd w:val="clear" w:color="auto" w:fill="auto"/>
            <w:vAlign w:val="center"/>
          </w:tcPr>
          <w:p w14:paraId="403776C9" w14:textId="77777777" w:rsidR="009011D4" w:rsidRPr="00332AB5" w:rsidRDefault="009011D4" w:rsidP="009011D4">
            <w:pPr>
              <w:jc w:val="right"/>
              <w:rPr>
                <w:rFonts w:asciiTheme="minorHAnsi" w:hAnsiTheme="minorHAnsi" w:cstheme="minorHAnsi"/>
                <w:color w:val="000000"/>
                <w:sz w:val="18"/>
                <w:szCs w:val="18"/>
              </w:rPr>
            </w:pPr>
          </w:p>
        </w:tc>
        <w:tc>
          <w:tcPr>
            <w:tcW w:w="347" w:type="pct"/>
            <w:gridSpan w:val="2"/>
            <w:shd w:val="clear" w:color="auto" w:fill="auto"/>
            <w:vAlign w:val="center"/>
          </w:tcPr>
          <w:p w14:paraId="2AD4C34E" w14:textId="77777777" w:rsidR="009011D4" w:rsidRPr="00332AB5" w:rsidRDefault="009011D4" w:rsidP="009011D4">
            <w:pPr>
              <w:jc w:val="right"/>
              <w:rPr>
                <w:rFonts w:asciiTheme="minorHAnsi" w:hAnsiTheme="minorHAnsi" w:cstheme="minorHAnsi"/>
                <w:color w:val="000000"/>
                <w:sz w:val="18"/>
                <w:szCs w:val="18"/>
              </w:rPr>
            </w:pPr>
          </w:p>
        </w:tc>
      </w:tr>
      <w:tr w:rsidR="009011D4" w:rsidRPr="00332AB5" w14:paraId="4F6AA6B3" w14:textId="77777777" w:rsidTr="00441349">
        <w:trPr>
          <w:trHeight w:val="397"/>
        </w:trPr>
        <w:tc>
          <w:tcPr>
            <w:tcW w:w="596" w:type="pct"/>
            <w:shd w:val="clear" w:color="auto" w:fill="auto"/>
            <w:vAlign w:val="center"/>
          </w:tcPr>
          <w:p w14:paraId="45EBB625" w14:textId="77777777" w:rsidR="009011D4" w:rsidRPr="00332AB5" w:rsidRDefault="009011D4" w:rsidP="009011D4">
            <w:pPr>
              <w:rPr>
                <w:rFonts w:asciiTheme="minorHAnsi" w:hAnsiTheme="minorHAnsi" w:cstheme="minorHAnsi"/>
                <w:sz w:val="18"/>
                <w:szCs w:val="18"/>
              </w:rPr>
            </w:pPr>
            <w:r w:rsidRPr="00332AB5">
              <w:rPr>
                <w:rFonts w:asciiTheme="minorHAnsi" w:hAnsiTheme="minorHAnsi" w:cstheme="minorHAnsi"/>
                <w:sz w:val="18"/>
                <w:szCs w:val="18"/>
              </w:rPr>
              <w:t>M 9</w:t>
            </w:r>
          </w:p>
        </w:tc>
        <w:tc>
          <w:tcPr>
            <w:tcW w:w="608" w:type="pct"/>
            <w:tcBorders>
              <w:top w:val="nil"/>
              <w:left w:val="nil"/>
              <w:bottom w:val="nil"/>
              <w:right w:val="nil"/>
            </w:tcBorders>
            <w:shd w:val="clear" w:color="auto" w:fill="auto"/>
            <w:vAlign w:val="center"/>
          </w:tcPr>
          <w:p w14:paraId="7EB788F9" w14:textId="68BF26B2"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5,65</w:t>
            </w:r>
          </w:p>
        </w:tc>
        <w:tc>
          <w:tcPr>
            <w:tcW w:w="600" w:type="pct"/>
            <w:tcBorders>
              <w:top w:val="nil"/>
              <w:left w:val="nil"/>
              <w:bottom w:val="nil"/>
              <w:right w:val="nil"/>
            </w:tcBorders>
            <w:shd w:val="clear" w:color="auto" w:fill="auto"/>
            <w:vAlign w:val="center"/>
          </w:tcPr>
          <w:p w14:paraId="620EA8FF" w14:textId="02AD9A95"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3,15</w:t>
            </w:r>
          </w:p>
        </w:tc>
        <w:tc>
          <w:tcPr>
            <w:tcW w:w="466" w:type="pct"/>
            <w:tcBorders>
              <w:top w:val="nil"/>
              <w:left w:val="nil"/>
              <w:bottom w:val="nil"/>
              <w:right w:val="nil"/>
            </w:tcBorders>
            <w:shd w:val="clear" w:color="auto" w:fill="auto"/>
            <w:vAlign w:val="center"/>
          </w:tcPr>
          <w:p w14:paraId="6776383E" w14:textId="59100837"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55,77</w:t>
            </w:r>
          </w:p>
        </w:tc>
        <w:tc>
          <w:tcPr>
            <w:tcW w:w="484" w:type="pct"/>
            <w:tcBorders>
              <w:top w:val="nil"/>
              <w:left w:val="nil"/>
              <w:bottom w:val="nil"/>
              <w:right w:val="nil"/>
            </w:tcBorders>
            <w:shd w:val="clear" w:color="auto" w:fill="auto"/>
            <w:vAlign w:val="center"/>
          </w:tcPr>
          <w:p w14:paraId="3D589B29" w14:textId="571807C3"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1,62</w:t>
            </w:r>
          </w:p>
        </w:tc>
        <w:tc>
          <w:tcPr>
            <w:tcW w:w="453" w:type="pct"/>
            <w:tcBorders>
              <w:top w:val="nil"/>
              <w:left w:val="nil"/>
              <w:bottom w:val="nil"/>
              <w:right w:val="nil"/>
            </w:tcBorders>
            <w:shd w:val="clear" w:color="auto" w:fill="auto"/>
            <w:vAlign w:val="center"/>
          </w:tcPr>
          <w:p w14:paraId="0B45384F" w14:textId="4FEEB641"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28,66</w:t>
            </w:r>
          </w:p>
        </w:tc>
        <w:tc>
          <w:tcPr>
            <w:tcW w:w="497" w:type="pct"/>
            <w:tcBorders>
              <w:top w:val="nil"/>
              <w:left w:val="nil"/>
              <w:bottom w:val="nil"/>
              <w:right w:val="nil"/>
            </w:tcBorders>
            <w:shd w:val="clear" w:color="auto" w:fill="auto"/>
            <w:vAlign w:val="center"/>
          </w:tcPr>
          <w:p w14:paraId="798DDBF4" w14:textId="13D2C378"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1,64</w:t>
            </w:r>
          </w:p>
        </w:tc>
        <w:tc>
          <w:tcPr>
            <w:tcW w:w="440" w:type="pct"/>
            <w:tcBorders>
              <w:top w:val="nil"/>
              <w:left w:val="nil"/>
              <w:bottom w:val="nil"/>
              <w:right w:val="nil"/>
            </w:tcBorders>
            <w:shd w:val="clear" w:color="auto" w:fill="auto"/>
            <w:vAlign w:val="center"/>
          </w:tcPr>
          <w:p w14:paraId="523C14C1" w14:textId="17A17CA2"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29,03</w:t>
            </w:r>
          </w:p>
        </w:tc>
        <w:tc>
          <w:tcPr>
            <w:tcW w:w="510" w:type="pct"/>
            <w:shd w:val="clear" w:color="auto" w:fill="auto"/>
            <w:vAlign w:val="center"/>
          </w:tcPr>
          <w:p w14:paraId="65F5065B" w14:textId="77777777" w:rsidR="009011D4" w:rsidRPr="00332AB5" w:rsidRDefault="009011D4" w:rsidP="009011D4">
            <w:pPr>
              <w:jc w:val="right"/>
              <w:rPr>
                <w:rFonts w:asciiTheme="minorHAnsi" w:hAnsiTheme="minorHAnsi" w:cstheme="minorHAnsi"/>
                <w:color w:val="000000"/>
                <w:sz w:val="18"/>
                <w:szCs w:val="18"/>
              </w:rPr>
            </w:pPr>
          </w:p>
        </w:tc>
        <w:tc>
          <w:tcPr>
            <w:tcW w:w="347" w:type="pct"/>
            <w:gridSpan w:val="2"/>
            <w:shd w:val="clear" w:color="auto" w:fill="auto"/>
            <w:vAlign w:val="center"/>
          </w:tcPr>
          <w:p w14:paraId="0401AD86" w14:textId="77777777" w:rsidR="009011D4" w:rsidRPr="00332AB5" w:rsidRDefault="009011D4" w:rsidP="009011D4">
            <w:pPr>
              <w:jc w:val="right"/>
              <w:rPr>
                <w:rFonts w:asciiTheme="minorHAnsi" w:hAnsiTheme="minorHAnsi" w:cstheme="minorHAnsi"/>
                <w:color w:val="000000"/>
                <w:sz w:val="18"/>
                <w:szCs w:val="18"/>
              </w:rPr>
            </w:pPr>
          </w:p>
        </w:tc>
      </w:tr>
      <w:tr w:rsidR="009011D4" w:rsidRPr="00332AB5" w14:paraId="7DEA017F" w14:textId="77777777" w:rsidTr="00441349">
        <w:trPr>
          <w:trHeight w:val="397"/>
        </w:trPr>
        <w:tc>
          <w:tcPr>
            <w:tcW w:w="596" w:type="pct"/>
            <w:shd w:val="clear" w:color="auto" w:fill="auto"/>
            <w:vAlign w:val="center"/>
          </w:tcPr>
          <w:p w14:paraId="498A03A2" w14:textId="77777777" w:rsidR="009011D4" w:rsidRPr="00332AB5" w:rsidRDefault="009011D4" w:rsidP="009011D4">
            <w:pPr>
              <w:rPr>
                <w:rFonts w:asciiTheme="minorHAnsi" w:hAnsiTheme="minorHAnsi" w:cstheme="minorHAnsi"/>
                <w:sz w:val="18"/>
                <w:szCs w:val="18"/>
              </w:rPr>
            </w:pPr>
            <w:r w:rsidRPr="00332AB5">
              <w:rPr>
                <w:rFonts w:asciiTheme="minorHAnsi" w:hAnsiTheme="minorHAnsi" w:cstheme="minorHAnsi"/>
                <w:sz w:val="18"/>
                <w:szCs w:val="18"/>
              </w:rPr>
              <w:t>M 10</w:t>
            </w:r>
          </w:p>
        </w:tc>
        <w:tc>
          <w:tcPr>
            <w:tcW w:w="608" w:type="pct"/>
            <w:tcBorders>
              <w:top w:val="nil"/>
              <w:left w:val="nil"/>
              <w:bottom w:val="nil"/>
              <w:right w:val="nil"/>
            </w:tcBorders>
            <w:shd w:val="clear" w:color="auto" w:fill="auto"/>
            <w:vAlign w:val="center"/>
          </w:tcPr>
          <w:p w14:paraId="4EBA3930" w14:textId="083C7BEB"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115,31</w:t>
            </w:r>
          </w:p>
        </w:tc>
        <w:tc>
          <w:tcPr>
            <w:tcW w:w="600" w:type="pct"/>
            <w:tcBorders>
              <w:top w:val="nil"/>
              <w:left w:val="nil"/>
              <w:bottom w:val="nil"/>
              <w:right w:val="nil"/>
            </w:tcBorders>
            <w:shd w:val="clear" w:color="auto" w:fill="auto"/>
            <w:vAlign w:val="center"/>
          </w:tcPr>
          <w:p w14:paraId="5930D063" w14:textId="3E67FCC9"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132,41</w:t>
            </w:r>
          </w:p>
        </w:tc>
        <w:tc>
          <w:tcPr>
            <w:tcW w:w="466" w:type="pct"/>
            <w:tcBorders>
              <w:top w:val="nil"/>
              <w:left w:val="nil"/>
              <w:bottom w:val="nil"/>
              <w:right w:val="nil"/>
            </w:tcBorders>
            <w:shd w:val="clear" w:color="auto" w:fill="auto"/>
            <w:vAlign w:val="center"/>
          </w:tcPr>
          <w:p w14:paraId="40B739A9" w14:textId="36597067"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114,83</w:t>
            </w:r>
          </w:p>
        </w:tc>
        <w:tc>
          <w:tcPr>
            <w:tcW w:w="484" w:type="pct"/>
            <w:tcBorders>
              <w:top w:val="nil"/>
              <w:left w:val="nil"/>
              <w:bottom w:val="nil"/>
              <w:right w:val="nil"/>
            </w:tcBorders>
            <w:shd w:val="clear" w:color="auto" w:fill="auto"/>
            <w:vAlign w:val="center"/>
          </w:tcPr>
          <w:p w14:paraId="502BDE1D" w14:textId="203A00E7"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128,75</w:t>
            </w:r>
          </w:p>
        </w:tc>
        <w:tc>
          <w:tcPr>
            <w:tcW w:w="453" w:type="pct"/>
            <w:tcBorders>
              <w:top w:val="nil"/>
              <w:left w:val="nil"/>
              <w:bottom w:val="nil"/>
              <w:right w:val="nil"/>
            </w:tcBorders>
            <w:shd w:val="clear" w:color="auto" w:fill="auto"/>
            <w:vAlign w:val="center"/>
          </w:tcPr>
          <w:p w14:paraId="3DF4D095" w14:textId="6C415D74"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111,65</w:t>
            </w:r>
          </w:p>
        </w:tc>
        <w:tc>
          <w:tcPr>
            <w:tcW w:w="497" w:type="pct"/>
            <w:tcBorders>
              <w:top w:val="nil"/>
              <w:left w:val="nil"/>
              <w:bottom w:val="nil"/>
              <w:right w:val="nil"/>
            </w:tcBorders>
            <w:shd w:val="clear" w:color="auto" w:fill="auto"/>
            <w:vAlign w:val="center"/>
          </w:tcPr>
          <w:p w14:paraId="73F2B9FE" w14:textId="22AB2C8B"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87,47</w:t>
            </w:r>
          </w:p>
        </w:tc>
        <w:tc>
          <w:tcPr>
            <w:tcW w:w="440" w:type="pct"/>
            <w:tcBorders>
              <w:top w:val="nil"/>
              <w:left w:val="nil"/>
              <w:bottom w:val="nil"/>
              <w:right w:val="nil"/>
            </w:tcBorders>
            <w:shd w:val="clear" w:color="auto" w:fill="auto"/>
            <w:vAlign w:val="center"/>
          </w:tcPr>
          <w:p w14:paraId="41D64B9F" w14:textId="1BD89EA6"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75,85</w:t>
            </w:r>
          </w:p>
        </w:tc>
        <w:tc>
          <w:tcPr>
            <w:tcW w:w="510" w:type="pct"/>
            <w:shd w:val="clear" w:color="auto" w:fill="auto"/>
            <w:vAlign w:val="center"/>
          </w:tcPr>
          <w:p w14:paraId="551FE076" w14:textId="77777777" w:rsidR="009011D4" w:rsidRPr="00332AB5" w:rsidRDefault="009011D4" w:rsidP="009011D4">
            <w:pPr>
              <w:jc w:val="right"/>
              <w:rPr>
                <w:rFonts w:asciiTheme="minorHAnsi" w:hAnsiTheme="minorHAnsi" w:cstheme="minorHAnsi"/>
                <w:color w:val="000000"/>
                <w:sz w:val="18"/>
                <w:szCs w:val="18"/>
              </w:rPr>
            </w:pPr>
          </w:p>
        </w:tc>
        <w:tc>
          <w:tcPr>
            <w:tcW w:w="347" w:type="pct"/>
            <w:gridSpan w:val="2"/>
            <w:shd w:val="clear" w:color="auto" w:fill="auto"/>
            <w:vAlign w:val="center"/>
          </w:tcPr>
          <w:p w14:paraId="42F2F691" w14:textId="77777777" w:rsidR="009011D4" w:rsidRPr="00332AB5" w:rsidRDefault="009011D4" w:rsidP="009011D4">
            <w:pPr>
              <w:jc w:val="right"/>
              <w:rPr>
                <w:rFonts w:asciiTheme="minorHAnsi" w:hAnsiTheme="minorHAnsi" w:cstheme="minorHAnsi"/>
                <w:color w:val="000000"/>
                <w:sz w:val="18"/>
                <w:szCs w:val="18"/>
              </w:rPr>
            </w:pPr>
          </w:p>
        </w:tc>
      </w:tr>
      <w:tr w:rsidR="009011D4" w:rsidRPr="00332AB5" w14:paraId="719A9720" w14:textId="77777777" w:rsidTr="00441349">
        <w:trPr>
          <w:trHeight w:val="397"/>
        </w:trPr>
        <w:tc>
          <w:tcPr>
            <w:tcW w:w="596" w:type="pct"/>
            <w:shd w:val="clear" w:color="auto" w:fill="auto"/>
            <w:vAlign w:val="center"/>
          </w:tcPr>
          <w:p w14:paraId="154869C3" w14:textId="77777777" w:rsidR="009011D4" w:rsidRPr="00332AB5" w:rsidRDefault="009011D4" w:rsidP="009011D4">
            <w:pPr>
              <w:rPr>
                <w:rFonts w:asciiTheme="minorHAnsi" w:hAnsiTheme="minorHAnsi" w:cstheme="minorHAnsi"/>
                <w:sz w:val="18"/>
                <w:szCs w:val="18"/>
              </w:rPr>
            </w:pPr>
            <w:r w:rsidRPr="00332AB5">
              <w:rPr>
                <w:rFonts w:asciiTheme="minorHAnsi" w:hAnsiTheme="minorHAnsi" w:cstheme="minorHAnsi"/>
                <w:sz w:val="18"/>
                <w:szCs w:val="18"/>
              </w:rPr>
              <w:t>M 11</w:t>
            </w:r>
          </w:p>
        </w:tc>
        <w:tc>
          <w:tcPr>
            <w:tcW w:w="608" w:type="pct"/>
            <w:tcBorders>
              <w:top w:val="nil"/>
              <w:left w:val="nil"/>
              <w:bottom w:val="nil"/>
              <w:right w:val="nil"/>
            </w:tcBorders>
            <w:shd w:val="clear" w:color="auto" w:fill="auto"/>
            <w:vAlign w:val="center"/>
          </w:tcPr>
          <w:p w14:paraId="160E24CD" w14:textId="136AA683"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185,13</w:t>
            </w:r>
          </w:p>
        </w:tc>
        <w:tc>
          <w:tcPr>
            <w:tcW w:w="600" w:type="pct"/>
            <w:tcBorders>
              <w:top w:val="nil"/>
              <w:left w:val="nil"/>
              <w:bottom w:val="nil"/>
              <w:right w:val="nil"/>
            </w:tcBorders>
            <w:shd w:val="clear" w:color="auto" w:fill="auto"/>
            <w:vAlign w:val="center"/>
          </w:tcPr>
          <w:p w14:paraId="37A68079" w14:textId="39F54174"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193,21</w:t>
            </w:r>
          </w:p>
        </w:tc>
        <w:tc>
          <w:tcPr>
            <w:tcW w:w="466" w:type="pct"/>
            <w:tcBorders>
              <w:top w:val="nil"/>
              <w:left w:val="nil"/>
              <w:bottom w:val="nil"/>
              <w:right w:val="nil"/>
            </w:tcBorders>
            <w:shd w:val="clear" w:color="auto" w:fill="auto"/>
            <w:vAlign w:val="center"/>
          </w:tcPr>
          <w:p w14:paraId="099B7E0C" w14:textId="10DCDFA7"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104,36</w:t>
            </w:r>
          </w:p>
        </w:tc>
        <w:tc>
          <w:tcPr>
            <w:tcW w:w="484" w:type="pct"/>
            <w:tcBorders>
              <w:top w:val="nil"/>
              <w:left w:val="nil"/>
              <w:bottom w:val="nil"/>
              <w:right w:val="nil"/>
            </w:tcBorders>
            <w:shd w:val="clear" w:color="auto" w:fill="auto"/>
            <w:vAlign w:val="center"/>
          </w:tcPr>
          <w:p w14:paraId="2D3F4EE7" w14:textId="047CBB59"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193,21</w:t>
            </w:r>
          </w:p>
        </w:tc>
        <w:tc>
          <w:tcPr>
            <w:tcW w:w="453" w:type="pct"/>
            <w:tcBorders>
              <w:top w:val="nil"/>
              <w:left w:val="nil"/>
              <w:bottom w:val="nil"/>
              <w:right w:val="nil"/>
            </w:tcBorders>
            <w:shd w:val="clear" w:color="auto" w:fill="auto"/>
            <w:vAlign w:val="center"/>
          </w:tcPr>
          <w:p w14:paraId="70C2C4C3" w14:textId="402C0938"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104,36</w:t>
            </w:r>
          </w:p>
        </w:tc>
        <w:tc>
          <w:tcPr>
            <w:tcW w:w="497" w:type="pct"/>
            <w:tcBorders>
              <w:top w:val="nil"/>
              <w:left w:val="nil"/>
              <w:bottom w:val="nil"/>
              <w:right w:val="nil"/>
            </w:tcBorders>
            <w:shd w:val="clear" w:color="auto" w:fill="auto"/>
            <w:vAlign w:val="center"/>
          </w:tcPr>
          <w:p w14:paraId="7B036CAA" w14:textId="746A728C"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170,45</w:t>
            </w:r>
          </w:p>
        </w:tc>
        <w:tc>
          <w:tcPr>
            <w:tcW w:w="440" w:type="pct"/>
            <w:tcBorders>
              <w:top w:val="nil"/>
              <w:left w:val="nil"/>
              <w:bottom w:val="nil"/>
              <w:right w:val="nil"/>
            </w:tcBorders>
            <w:shd w:val="clear" w:color="auto" w:fill="auto"/>
            <w:vAlign w:val="center"/>
          </w:tcPr>
          <w:p w14:paraId="4D6CB177" w14:textId="32B95075"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92,07</w:t>
            </w:r>
          </w:p>
        </w:tc>
        <w:tc>
          <w:tcPr>
            <w:tcW w:w="510" w:type="pct"/>
            <w:shd w:val="clear" w:color="auto" w:fill="auto"/>
            <w:vAlign w:val="center"/>
          </w:tcPr>
          <w:p w14:paraId="5DE0F7DF" w14:textId="77777777" w:rsidR="009011D4" w:rsidRPr="00332AB5" w:rsidRDefault="009011D4" w:rsidP="009011D4">
            <w:pPr>
              <w:jc w:val="right"/>
              <w:rPr>
                <w:rFonts w:asciiTheme="minorHAnsi" w:hAnsiTheme="minorHAnsi" w:cstheme="minorHAnsi"/>
                <w:color w:val="000000"/>
                <w:sz w:val="18"/>
                <w:szCs w:val="18"/>
              </w:rPr>
            </w:pPr>
          </w:p>
        </w:tc>
        <w:tc>
          <w:tcPr>
            <w:tcW w:w="347" w:type="pct"/>
            <w:gridSpan w:val="2"/>
            <w:shd w:val="clear" w:color="auto" w:fill="auto"/>
            <w:vAlign w:val="center"/>
          </w:tcPr>
          <w:p w14:paraId="1A921775" w14:textId="77777777" w:rsidR="009011D4" w:rsidRPr="00332AB5" w:rsidRDefault="009011D4" w:rsidP="009011D4">
            <w:pPr>
              <w:jc w:val="right"/>
              <w:rPr>
                <w:rFonts w:asciiTheme="minorHAnsi" w:hAnsiTheme="minorHAnsi" w:cstheme="minorHAnsi"/>
                <w:color w:val="000000"/>
                <w:sz w:val="18"/>
                <w:szCs w:val="18"/>
              </w:rPr>
            </w:pPr>
          </w:p>
        </w:tc>
      </w:tr>
      <w:tr w:rsidR="009011D4" w:rsidRPr="00332AB5" w14:paraId="777990A1" w14:textId="77777777" w:rsidTr="00441349">
        <w:trPr>
          <w:trHeight w:val="397"/>
        </w:trPr>
        <w:tc>
          <w:tcPr>
            <w:tcW w:w="596" w:type="pct"/>
            <w:shd w:val="clear" w:color="auto" w:fill="auto"/>
            <w:vAlign w:val="center"/>
          </w:tcPr>
          <w:p w14:paraId="52A4AC99" w14:textId="77777777" w:rsidR="009011D4" w:rsidRPr="00332AB5" w:rsidRDefault="009011D4" w:rsidP="009011D4">
            <w:pPr>
              <w:rPr>
                <w:rFonts w:asciiTheme="minorHAnsi" w:hAnsiTheme="minorHAnsi" w:cstheme="minorHAnsi"/>
                <w:sz w:val="18"/>
                <w:szCs w:val="18"/>
              </w:rPr>
            </w:pPr>
            <w:r w:rsidRPr="00332AB5">
              <w:rPr>
                <w:rFonts w:asciiTheme="minorHAnsi" w:hAnsiTheme="minorHAnsi" w:cstheme="minorHAnsi"/>
                <w:sz w:val="18"/>
                <w:szCs w:val="18"/>
              </w:rPr>
              <w:t>M 13</w:t>
            </w:r>
          </w:p>
        </w:tc>
        <w:tc>
          <w:tcPr>
            <w:tcW w:w="608" w:type="pct"/>
            <w:tcBorders>
              <w:top w:val="nil"/>
              <w:left w:val="nil"/>
              <w:bottom w:val="nil"/>
              <w:right w:val="nil"/>
            </w:tcBorders>
            <w:shd w:val="clear" w:color="auto" w:fill="auto"/>
            <w:vAlign w:val="center"/>
          </w:tcPr>
          <w:p w14:paraId="127E3ABC" w14:textId="3E1624F6"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371,68</w:t>
            </w:r>
          </w:p>
        </w:tc>
        <w:tc>
          <w:tcPr>
            <w:tcW w:w="600" w:type="pct"/>
            <w:tcBorders>
              <w:top w:val="nil"/>
              <w:left w:val="nil"/>
              <w:bottom w:val="nil"/>
              <w:right w:val="nil"/>
            </w:tcBorders>
            <w:shd w:val="clear" w:color="auto" w:fill="auto"/>
            <w:vAlign w:val="center"/>
          </w:tcPr>
          <w:p w14:paraId="0F9FE6E9" w14:textId="4A4DF681"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357,67</w:t>
            </w:r>
          </w:p>
        </w:tc>
        <w:tc>
          <w:tcPr>
            <w:tcW w:w="466" w:type="pct"/>
            <w:tcBorders>
              <w:top w:val="nil"/>
              <w:left w:val="nil"/>
              <w:bottom w:val="nil"/>
              <w:right w:val="nil"/>
            </w:tcBorders>
            <w:shd w:val="clear" w:color="auto" w:fill="auto"/>
            <w:vAlign w:val="center"/>
          </w:tcPr>
          <w:p w14:paraId="046A3D5C" w14:textId="2BF68D27"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96,23</w:t>
            </w:r>
          </w:p>
        </w:tc>
        <w:tc>
          <w:tcPr>
            <w:tcW w:w="484" w:type="pct"/>
            <w:tcBorders>
              <w:top w:val="nil"/>
              <w:left w:val="nil"/>
              <w:bottom w:val="nil"/>
              <w:right w:val="nil"/>
            </w:tcBorders>
            <w:shd w:val="clear" w:color="auto" w:fill="auto"/>
            <w:vAlign w:val="center"/>
          </w:tcPr>
          <w:p w14:paraId="7AC0952F" w14:textId="2C91E64A"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357,67</w:t>
            </w:r>
          </w:p>
        </w:tc>
        <w:tc>
          <w:tcPr>
            <w:tcW w:w="453" w:type="pct"/>
            <w:tcBorders>
              <w:top w:val="nil"/>
              <w:left w:val="nil"/>
              <w:bottom w:val="nil"/>
              <w:right w:val="nil"/>
            </w:tcBorders>
            <w:shd w:val="clear" w:color="auto" w:fill="auto"/>
            <w:vAlign w:val="center"/>
          </w:tcPr>
          <w:p w14:paraId="49283711" w14:textId="743C658B"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96,23</w:t>
            </w:r>
          </w:p>
        </w:tc>
        <w:tc>
          <w:tcPr>
            <w:tcW w:w="497" w:type="pct"/>
            <w:tcBorders>
              <w:top w:val="nil"/>
              <w:left w:val="nil"/>
              <w:bottom w:val="nil"/>
              <w:right w:val="nil"/>
            </w:tcBorders>
            <w:shd w:val="clear" w:color="auto" w:fill="auto"/>
            <w:vAlign w:val="center"/>
          </w:tcPr>
          <w:p w14:paraId="26D55EEB" w14:textId="4C107C55"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347,50</w:t>
            </w:r>
          </w:p>
        </w:tc>
        <w:tc>
          <w:tcPr>
            <w:tcW w:w="440" w:type="pct"/>
            <w:tcBorders>
              <w:top w:val="nil"/>
              <w:left w:val="nil"/>
              <w:bottom w:val="nil"/>
              <w:right w:val="nil"/>
            </w:tcBorders>
            <w:shd w:val="clear" w:color="auto" w:fill="auto"/>
            <w:vAlign w:val="center"/>
          </w:tcPr>
          <w:p w14:paraId="62A72BBF" w14:textId="2F7EA604"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93,50</w:t>
            </w:r>
          </w:p>
        </w:tc>
        <w:tc>
          <w:tcPr>
            <w:tcW w:w="510" w:type="pct"/>
            <w:shd w:val="clear" w:color="auto" w:fill="auto"/>
            <w:vAlign w:val="center"/>
          </w:tcPr>
          <w:p w14:paraId="42461813" w14:textId="77777777" w:rsidR="009011D4" w:rsidRPr="00332AB5" w:rsidRDefault="009011D4" w:rsidP="009011D4">
            <w:pPr>
              <w:jc w:val="right"/>
              <w:rPr>
                <w:rFonts w:asciiTheme="minorHAnsi" w:hAnsiTheme="minorHAnsi" w:cstheme="minorHAnsi"/>
                <w:color w:val="000000"/>
                <w:sz w:val="18"/>
                <w:szCs w:val="18"/>
              </w:rPr>
            </w:pPr>
          </w:p>
        </w:tc>
        <w:tc>
          <w:tcPr>
            <w:tcW w:w="347" w:type="pct"/>
            <w:gridSpan w:val="2"/>
            <w:shd w:val="clear" w:color="auto" w:fill="auto"/>
            <w:vAlign w:val="center"/>
          </w:tcPr>
          <w:p w14:paraId="16167B01" w14:textId="77777777" w:rsidR="009011D4" w:rsidRPr="00332AB5" w:rsidRDefault="009011D4" w:rsidP="009011D4">
            <w:pPr>
              <w:jc w:val="right"/>
              <w:rPr>
                <w:rFonts w:asciiTheme="minorHAnsi" w:hAnsiTheme="minorHAnsi" w:cstheme="minorHAnsi"/>
                <w:color w:val="000000"/>
                <w:sz w:val="18"/>
                <w:szCs w:val="18"/>
              </w:rPr>
            </w:pPr>
          </w:p>
        </w:tc>
      </w:tr>
      <w:tr w:rsidR="009011D4" w:rsidRPr="00332AB5" w14:paraId="17FE1B38" w14:textId="77777777" w:rsidTr="00441349">
        <w:trPr>
          <w:trHeight w:val="397"/>
        </w:trPr>
        <w:tc>
          <w:tcPr>
            <w:tcW w:w="596" w:type="pct"/>
            <w:shd w:val="clear" w:color="auto" w:fill="auto"/>
            <w:vAlign w:val="center"/>
          </w:tcPr>
          <w:p w14:paraId="0DAE6455" w14:textId="77777777" w:rsidR="009011D4" w:rsidRPr="00332AB5" w:rsidRDefault="009011D4" w:rsidP="009011D4">
            <w:pPr>
              <w:rPr>
                <w:rFonts w:asciiTheme="minorHAnsi" w:hAnsiTheme="minorHAnsi" w:cstheme="minorHAnsi"/>
                <w:sz w:val="18"/>
                <w:szCs w:val="18"/>
              </w:rPr>
            </w:pPr>
            <w:r w:rsidRPr="00332AB5">
              <w:rPr>
                <w:rFonts w:asciiTheme="minorHAnsi" w:hAnsiTheme="minorHAnsi" w:cstheme="minorHAnsi"/>
                <w:sz w:val="18"/>
                <w:szCs w:val="18"/>
              </w:rPr>
              <w:t>M 14</w:t>
            </w:r>
          </w:p>
        </w:tc>
        <w:tc>
          <w:tcPr>
            <w:tcW w:w="608" w:type="pct"/>
            <w:tcBorders>
              <w:top w:val="nil"/>
              <w:left w:val="nil"/>
              <w:bottom w:val="nil"/>
              <w:right w:val="nil"/>
            </w:tcBorders>
            <w:shd w:val="clear" w:color="auto" w:fill="auto"/>
            <w:vAlign w:val="center"/>
          </w:tcPr>
          <w:p w14:paraId="764BBD75" w14:textId="7294BDDE"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38,28</w:t>
            </w:r>
          </w:p>
        </w:tc>
        <w:tc>
          <w:tcPr>
            <w:tcW w:w="600" w:type="pct"/>
            <w:tcBorders>
              <w:top w:val="nil"/>
              <w:left w:val="nil"/>
              <w:bottom w:val="nil"/>
              <w:right w:val="nil"/>
            </w:tcBorders>
            <w:shd w:val="clear" w:color="auto" w:fill="auto"/>
            <w:vAlign w:val="center"/>
          </w:tcPr>
          <w:p w14:paraId="52B034A1" w14:textId="11C65A89"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41,40</w:t>
            </w:r>
          </w:p>
        </w:tc>
        <w:tc>
          <w:tcPr>
            <w:tcW w:w="466" w:type="pct"/>
            <w:tcBorders>
              <w:top w:val="nil"/>
              <w:left w:val="nil"/>
              <w:bottom w:val="nil"/>
              <w:right w:val="nil"/>
            </w:tcBorders>
            <w:shd w:val="clear" w:color="auto" w:fill="auto"/>
            <w:vAlign w:val="center"/>
          </w:tcPr>
          <w:p w14:paraId="4CDFD988" w14:textId="018BF21F"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108,15</w:t>
            </w:r>
          </w:p>
        </w:tc>
        <w:tc>
          <w:tcPr>
            <w:tcW w:w="484" w:type="pct"/>
            <w:tcBorders>
              <w:top w:val="nil"/>
              <w:left w:val="nil"/>
              <w:bottom w:val="nil"/>
              <w:right w:val="nil"/>
            </w:tcBorders>
            <w:shd w:val="clear" w:color="auto" w:fill="auto"/>
            <w:vAlign w:val="center"/>
          </w:tcPr>
          <w:p w14:paraId="42A91677" w14:textId="70D43326"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41,40</w:t>
            </w:r>
          </w:p>
        </w:tc>
        <w:tc>
          <w:tcPr>
            <w:tcW w:w="453" w:type="pct"/>
            <w:tcBorders>
              <w:top w:val="nil"/>
              <w:left w:val="nil"/>
              <w:bottom w:val="nil"/>
              <w:right w:val="nil"/>
            </w:tcBorders>
            <w:shd w:val="clear" w:color="auto" w:fill="auto"/>
            <w:vAlign w:val="center"/>
          </w:tcPr>
          <w:p w14:paraId="6BCFA7D2" w14:textId="17BB393C"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108,15</w:t>
            </w:r>
          </w:p>
        </w:tc>
        <w:tc>
          <w:tcPr>
            <w:tcW w:w="497" w:type="pct"/>
            <w:tcBorders>
              <w:top w:val="nil"/>
              <w:left w:val="nil"/>
              <w:bottom w:val="nil"/>
              <w:right w:val="nil"/>
            </w:tcBorders>
            <w:shd w:val="clear" w:color="auto" w:fill="auto"/>
            <w:vAlign w:val="center"/>
          </w:tcPr>
          <w:p w14:paraId="18662644" w14:textId="048F7E8E"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35,28</w:t>
            </w:r>
          </w:p>
        </w:tc>
        <w:tc>
          <w:tcPr>
            <w:tcW w:w="440" w:type="pct"/>
            <w:tcBorders>
              <w:top w:val="nil"/>
              <w:left w:val="nil"/>
              <w:bottom w:val="nil"/>
              <w:right w:val="nil"/>
            </w:tcBorders>
            <w:shd w:val="clear" w:color="auto" w:fill="auto"/>
            <w:vAlign w:val="center"/>
          </w:tcPr>
          <w:p w14:paraId="21D6C5AA" w14:textId="0FF6B334"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92,15</w:t>
            </w:r>
          </w:p>
        </w:tc>
        <w:tc>
          <w:tcPr>
            <w:tcW w:w="510" w:type="pct"/>
            <w:shd w:val="clear" w:color="auto" w:fill="auto"/>
            <w:vAlign w:val="center"/>
          </w:tcPr>
          <w:p w14:paraId="4769BEC2" w14:textId="77777777" w:rsidR="009011D4" w:rsidRPr="00332AB5" w:rsidRDefault="009011D4" w:rsidP="009011D4">
            <w:pPr>
              <w:jc w:val="right"/>
              <w:rPr>
                <w:rFonts w:asciiTheme="minorHAnsi" w:hAnsiTheme="minorHAnsi" w:cstheme="minorHAnsi"/>
                <w:color w:val="000000"/>
                <w:sz w:val="18"/>
                <w:szCs w:val="18"/>
              </w:rPr>
            </w:pPr>
          </w:p>
        </w:tc>
        <w:tc>
          <w:tcPr>
            <w:tcW w:w="347" w:type="pct"/>
            <w:gridSpan w:val="2"/>
            <w:shd w:val="clear" w:color="auto" w:fill="auto"/>
            <w:vAlign w:val="center"/>
          </w:tcPr>
          <w:p w14:paraId="3EC7F490" w14:textId="77777777" w:rsidR="009011D4" w:rsidRPr="00332AB5" w:rsidRDefault="009011D4" w:rsidP="009011D4">
            <w:pPr>
              <w:jc w:val="right"/>
              <w:rPr>
                <w:rFonts w:asciiTheme="minorHAnsi" w:hAnsiTheme="minorHAnsi" w:cstheme="minorHAnsi"/>
                <w:color w:val="000000"/>
                <w:sz w:val="18"/>
                <w:szCs w:val="18"/>
              </w:rPr>
            </w:pPr>
          </w:p>
        </w:tc>
      </w:tr>
      <w:tr w:rsidR="009011D4" w:rsidRPr="00332AB5" w14:paraId="7F44773E" w14:textId="77777777" w:rsidTr="00441349">
        <w:trPr>
          <w:trHeight w:val="397"/>
        </w:trPr>
        <w:tc>
          <w:tcPr>
            <w:tcW w:w="596" w:type="pct"/>
            <w:shd w:val="clear" w:color="auto" w:fill="auto"/>
            <w:vAlign w:val="center"/>
          </w:tcPr>
          <w:p w14:paraId="0A670432" w14:textId="77777777" w:rsidR="009011D4" w:rsidRPr="00332AB5" w:rsidRDefault="009011D4" w:rsidP="009011D4">
            <w:pPr>
              <w:rPr>
                <w:rFonts w:asciiTheme="minorHAnsi" w:hAnsiTheme="minorHAnsi" w:cstheme="minorHAnsi"/>
                <w:sz w:val="18"/>
                <w:szCs w:val="18"/>
              </w:rPr>
            </w:pPr>
            <w:r w:rsidRPr="00332AB5">
              <w:rPr>
                <w:rFonts w:asciiTheme="minorHAnsi" w:hAnsiTheme="minorHAnsi" w:cstheme="minorHAnsi"/>
                <w:sz w:val="18"/>
                <w:szCs w:val="18"/>
              </w:rPr>
              <w:t>M 16</w:t>
            </w:r>
          </w:p>
        </w:tc>
        <w:tc>
          <w:tcPr>
            <w:tcW w:w="608" w:type="pct"/>
            <w:tcBorders>
              <w:top w:val="nil"/>
              <w:left w:val="nil"/>
              <w:bottom w:val="nil"/>
              <w:right w:val="nil"/>
            </w:tcBorders>
            <w:shd w:val="clear" w:color="auto" w:fill="auto"/>
            <w:vAlign w:val="center"/>
          </w:tcPr>
          <w:p w14:paraId="2D18A544" w14:textId="4F44D8F2"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4,64</w:t>
            </w:r>
          </w:p>
        </w:tc>
        <w:tc>
          <w:tcPr>
            <w:tcW w:w="600" w:type="pct"/>
            <w:tcBorders>
              <w:top w:val="nil"/>
              <w:left w:val="nil"/>
              <w:bottom w:val="nil"/>
              <w:right w:val="nil"/>
            </w:tcBorders>
            <w:shd w:val="clear" w:color="auto" w:fill="auto"/>
            <w:vAlign w:val="center"/>
          </w:tcPr>
          <w:p w14:paraId="2588F6E6" w14:textId="35286CAA"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2,26</w:t>
            </w:r>
          </w:p>
        </w:tc>
        <w:tc>
          <w:tcPr>
            <w:tcW w:w="466" w:type="pct"/>
            <w:tcBorders>
              <w:top w:val="nil"/>
              <w:left w:val="nil"/>
              <w:bottom w:val="nil"/>
              <w:right w:val="nil"/>
            </w:tcBorders>
            <w:shd w:val="clear" w:color="auto" w:fill="auto"/>
            <w:vAlign w:val="center"/>
          </w:tcPr>
          <w:p w14:paraId="12749D30" w14:textId="6ADD8B66"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48,75</w:t>
            </w:r>
          </w:p>
        </w:tc>
        <w:tc>
          <w:tcPr>
            <w:tcW w:w="484" w:type="pct"/>
            <w:tcBorders>
              <w:top w:val="nil"/>
              <w:left w:val="nil"/>
              <w:bottom w:val="nil"/>
              <w:right w:val="nil"/>
            </w:tcBorders>
            <w:shd w:val="clear" w:color="auto" w:fill="auto"/>
            <w:vAlign w:val="center"/>
          </w:tcPr>
          <w:p w14:paraId="1EBF06CB" w14:textId="5039B97F"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0,58</w:t>
            </w:r>
          </w:p>
        </w:tc>
        <w:tc>
          <w:tcPr>
            <w:tcW w:w="453" w:type="pct"/>
            <w:tcBorders>
              <w:top w:val="nil"/>
              <w:left w:val="nil"/>
              <w:bottom w:val="nil"/>
              <w:right w:val="nil"/>
            </w:tcBorders>
            <w:shd w:val="clear" w:color="auto" w:fill="auto"/>
            <w:vAlign w:val="center"/>
          </w:tcPr>
          <w:p w14:paraId="217450BF" w14:textId="518E1746"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12,48</w:t>
            </w:r>
          </w:p>
        </w:tc>
        <w:tc>
          <w:tcPr>
            <w:tcW w:w="497" w:type="pct"/>
            <w:tcBorders>
              <w:top w:val="nil"/>
              <w:left w:val="nil"/>
              <w:bottom w:val="nil"/>
              <w:right w:val="nil"/>
            </w:tcBorders>
            <w:shd w:val="clear" w:color="auto" w:fill="auto"/>
            <w:vAlign w:val="center"/>
          </w:tcPr>
          <w:p w14:paraId="064A6F4E" w14:textId="531FC5F9"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0,47</w:t>
            </w:r>
          </w:p>
        </w:tc>
        <w:tc>
          <w:tcPr>
            <w:tcW w:w="440" w:type="pct"/>
            <w:tcBorders>
              <w:top w:val="nil"/>
              <w:left w:val="nil"/>
              <w:bottom w:val="nil"/>
              <w:right w:val="nil"/>
            </w:tcBorders>
            <w:shd w:val="clear" w:color="auto" w:fill="auto"/>
            <w:vAlign w:val="center"/>
          </w:tcPr>
          <w:p w14:paraId="709CB47C" w14:textId="04FAD0BB"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10,07</w:t>
            </w:r>
          </w:p>
        </w:tc>
        <w:tc>
          <w:tcPr>
            <w:tcW w:w="510" w:type="pct"/>
            <w:shd w:val="clear" w:color="auto" w:fill="auto"/>
            <w:vAlign w:val="center"/>
          </w:tcPr>
          <w:p w14:paraId="46C4FF3E" w14:textId="77777777" w:rsidR="009011D4" w:rsidRPr="00332AB5" w:rsidRDefault="009011D4" w:rsidP="009011D4">
            <w:pPr>
              <w:jc w:val="right"/>
              <w:rPr>
                <w:rFonts w:asciiTheme="minorHAnsi" w:hAnsiTheme="minorHAnsi" w:cstheme="minorHAnsi"/>
                <w:color w:val="000000"/>
                <w:sz w:val="18"/>
                <w:szCs w:val="18"/>
              </w:rPr>
            </w:pPr>
          </w:p>
        </w:tc>
        <w:tc>
          <w:tcPr>
            <w:tcW w:w="347" w:type="pct"/>
            <w:gridSpan w:val="2"/>
            <w:shd w:val="clear" w:color="auto" w:fill="auto"/>
            <w:vAlign w:val="center"/>
          </w:tcPr>
          <w:p w14:paraId="0E80D3A7" w14:textId="77777777" w:rsidR="009011D4" w:rsidRPr="00332AB5" w:rsidRDefault="009011D4" w:rsidP="009011D4">
            <w:pPr>
              <w:jc w:val="right"/>
              <w:rPr>
                <w:rFonts w:asciiTheme="minorHAnsi" w:hAnsiTheme="minorHAnsi" w:cstheme="minorHAnsi"/>
                <w:color w:val="000000"/>
                <w:sz w:val="18"/>
                <w:szCs w:val="18"/>
              </w:rPr>
            </w:pPr>
          </w:p>
        </w:tc>
      </w:tr>
      <w:tr w:rsidR="009011D4" w:rsidRPr="00332AB5" w14:paraId="6E143EB4" w14:textId="77777777" w:rsidTr="00441349">
        <w:trPr>
          <w:trHeight w:val="397"/>
        </w:trPr>
        <w:tc>
          <w:tcPr>
            <w:tcW w:w="596" w:type="pct"/>
            <w:shd w:val="clear" w:color="auto" w:fill="auto"/>
            <w:vAlign w:val="center"/>
          </w:tcPr>
          <w:p w14:paraId="009F93F7" w14:textId="77777777" w:rsidR="009011D4" w:rsidRPr="00332AB5" w:rsidRDefault="009011D4" w:rsidP="009011D4">
            <w:pPr>
              <w:rPr>
                <w:rFonts w:asciiTheme="minorHAnsi" w:hAnsiTheme="minorHAnsi" w:cstheme="minorHAnsi"/>
                <w:sz w:val="18"/>
                <w:szCs w:val="18"/>
              </w:rPr>
            </w:pPr>
            <w:r w:rsidRPr="00332AB5">
              <w:rPr>
                <w:rFonts w:asciiTheme="minorHAnsi" w:hAnsiTheme="minorHAnsi" w:cstheme="minorHAnsi"/>
                <w:sz w:val="18"/>
                <w:szCs w:val="18"/>
              </w:rPr>
              <w:t>M 17</w:t>
            </w:r>
          </w:p>
        </w:tc>
        <w:tc>
          <w:tcPr>
            <w:tcW w:w="608" w:type="pct"/>
            <w:tcBorders>
              <w:top w:val="nil"/>
              <w:left w:val="nil"/>
              <w:bottom w:val="nil"/>
              <w:right w:val="nil"/>
            </w:tcBorders>
            <w:shd w:val="clear" w:color="auto" w:fill="auto"/>
            <w:vAlign w:val="center"/>
          </w:tcPr>
          <w:p w14:paraId="04FC29C0" w14:textId="1F4399F4"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92,87</w:t>
            </w:r>
          </w:p>
        </w:tc>
        <w:tc>
          <w:tcPr>
            <w:tcW w:w="600" w:type="pct"/>
            <w:tcBorders>
              <w:top w:val="nil"/>
              <w:left w:val="nil"/>
              <w:bottom w:val="nil"/>
              <w:right w:val="nil"/>
            </w:tcBorders>
            <w:shd w:val="clear" w:color="auto" w:fill="auto"/>
            <w:vAlign w:val="center"/>
          </w:tcPr>
          <w:p w14:paraId="58DA5502" w14:textId="47570446"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86,28</w:t>
            </w:r>
          </w:p>
        </w:tc>
        <w:tc>
          <w:tcPr>
            <w:tcW w:w="466" w:type="pct"/>
            <w:tcBorders>
              <w:top w:val="nil"/>
              <w:left w:val="nil"/>
              <w:bottom w:val="nil"/>
              <w:right w:val="nil"/>
            </w:tcBorders>
            <w:shd w:val="clear" w:color="auto" w:fill="auto"/>
            <w:vAlign w:val="center"/>
          </w:tcPr>
          <w:p w14:paraId="4AFC2425" w14:textId="704BDE13"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92,91</w:t>
            </w:r>
          </w:p>
        </w:tc>
        <w:tc>
          <w:tcPr>
            <w:tcW w:w="484" w:type="pct"/>
            <w:tcBorders>
              <w:top w:val="nil"/>
              <w:left w:val="nil"/>
              <w:bottom w:val="nil"/>
              <w:right w:val="nil"/>
            </w:tcBorders>
            <w:shd w:val="clear" w:color="auto" w:fill="auto"/>
            <w:vAlign w:val="center"/>
          </w:tcPr>
          <w:p w14:paraId="4603880B" w14:textId="29936747"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86,19</w:t>
            </w:r>
          </w:p>
        </w:tc>
        <w:tc>
          <w:tcPr>
            <w:tcW w:w="453" w:type="pct"/>
            <w:tcBorders>
              <w:top w:val="nil"/>
              <w:left w:val="nil"/>
              <w:bottom w:val="nil"/>
              <w:right w:val="nil"/>
            </w:tcBorders>
            <w:shd w:val="clear" w:color="auto" w:fill="auto"/>
            <w:vAlign w:val="center"/>
          </w:tcPr>
          <w:p w14:paraId="1086D75B" w14:textId="16EDE9AF"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92,81</w:t>
            </w:r>
          </w:p>
        </w:tc>
        <w:tc>
          <w:tcPr>
            <w:tcW w:w="497" w:type="pct"/>
            <w:tcBorders>
              <w:top w:val="nil"/>
              <w:left w:val="nil"/>
              <w:bottom w:val="nil"/>
              <w:right w:val="nil"/>
            </w:tcBorders>
            <w:shd w:val="clear" w:color="auto" w:fill="auto"/>
            <w:vAlign w:val="center"/>
          </w:tcPr>
          <w:p w14:paraId="20006ADE" w14:textId="402A9EB7"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79,68</w:t>
            </w:r>
          </w:p>
        </w:tc>
        <w:tc>
          <w:tcPr>
            <w:tcW w:w="440" w:type="pct"/>
            <w:tcBorders>
              <w:top w:val="nil"/>
              <w:left w:val="nil"/>
              <w:bottom w:val="nil"/>
              <w:right w:val="nil"/>
            </w:tcBorders>
            <w:shd w:val="clear" w:color="auto" w:fill="auto"/>
            <w:vAlign w:val="center"/>
          </w:tcPr>
          <w:p w14:paraId="4B1091F3" w14:textId="3E17988A"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85,79</w:t>
            </w:r>
          </w:p>
        </w:tc>
        <w:tc>
          <w:tcPr>
            <w:tcW w:w="510" w:type="pct"/>
            <w:shd w:val="clear" w:color="auto" w:fill="auto"/>
            <w:vAlign w:val="center"/>
          </w:tcPr>
          <w:p w14:paraId="55BC062C" w14:textId="77777777" w:rsidR="009011D4" w:rsidRPr="00332AB5" w:rsidRDefault="009011D4" w:rsidP="009011D4">
            <w:pPr>
              <w:jc w:val="right"/>
              <w:rPr>
                <w:rFonts w:asciiTheme="minorHAnsi" w:hAnsiTheme="minorHAnsi" w:cstheme="minorHAnsi"/>
                <w:color w:val="000000"/>
                <w:sz w:val="18"/>
                <w:szCs w:val="18"/>
              </w:rPr>
            </w:pPr>
          </w:p>
        </w:tc>
        <w:tc>
          <w:tcPr>
            <w:tcW w:w="347" w:type="pct"/>
            <w:gridSpan w:val="2"/>
            <w:shd w:val="clear" w:color="auto" w:fill="auto"/>
            <w:vAlign w:val="center"/>
          </w:tcPr>
          <w:p w14:paraId="2945993B" w14:textId="77777777" w:rsidR="009011D4" w:rsidRPr="00332AB5" w:rsidRDefault="009011D4" w:rsidP="009011D4">
            <w:pPr>
              <w:jc w:val="right"/>
              <w:rPr>
                <w:rFonts w:asciiTheme="minorHAnsi" w:hAnsiTheme="minorHAnsi" w:cstheme="minorHAnsi"/>
                <w:color w:val="000000"/>
                <w:sz w:val="18"/>
                <w:szCs w:val="18"/>
              </w:rPr>
            </w:pPr>
          </w:p>
        </w:tc>
      </w:tr>
      <w:tr w:rsidR="009011D4" w:rsidRPr="00332AB5" w14:paraId="7725CAC9" w14:textId="77777777" w:rsidTr="00441349">
        <w:trPr>
          <w:trHeight w:val="397"/>
        </w:trPr>
        <w:tc>
          <w:tcPr>
            <w:tcW w:w="596" w:type="pct"/>
            <w:shd w:val="clear" w:color="auto" w:fill="auto"/>
            <w:vAlign w:val="center"/>
          </w:tcPr>
          <w:p w14:paraId="19B66A2B" w14:textId="77777777" w:rsidR="009011D4" w:rsidRPr="00332AB5" w:rsidRDefault="009011D4" w:rsidP="009011D4">
            <w:pPr>
              <w:rPr>
                <w:rFonts w:asciiTheme="minorHAnsi" w:hAnsiTheme="minorHAnsi" w:cstheme="minorHAnsi"/>
                <w:sz w:val="18"/>
                <w:szCs w:val="18"/>
              </w:rPr>
            </w:pPr>
            <w:r w:rsidRPr="00332AB5">
              <w:rPr>
                <w:rFonts w:asciiTheme="minorHAnsi" w:hAnsiTheme="minorHAnsi" w:cstheme="minorHAnsi"/>
                <w:sz w:val="18"/>
                <w:szCs w:val="18"/>
              </w:rPr>
              <w:t>M 18</w:t>
            </w:r>
          </w:p>
        </w:tc>
        <w:tc>
          <w:tcPr>
            <w:tcW w:w="608" w:type="pct"/>
            <w:tcBorders>
              <w:top w:val="nil"/>
              <w:left w:val="nil"/>
              <w:bottom w:val="nil"/>
              <w:right w:val="nil"/>
            </w:tcBorders>
            <w:shd w:val="clear" w:color="auto" w:fill="auto"/>
            <w:vAlign w:val="center"/>
          </w:tcPr>
          <w:p w14:paraId="0613A0F5" w14:textId="7F75D78A"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108,08</w:t>
            </w:r>
          </w:p>
        </w:tc>
        <w:tc>
          <w:tcPr>
            <w:tcW w:w="600" w:type="pct"/>
            <w:tcBorders>
              <w:top w:val="nil"/>
              <w:left w:val="nil"/>
              <w:bottom w:val="nil"/>
              <w:right w:val="nil"/>
            </w:tcBorders>
            <w:shd w:val="clear" w:color="auto" w:fill="auto"/>
            <w:vAlign w:val="center"/>
          </w:tcPr>
          <w:p w14:paraId="3A12865C" w14:textId="03343020"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108,08</w:t>
            </w:r>
          </w:p>
        </w:tc>
        <w:tc>
          <w:tcPr>
            <w:tcW w:w="466" w:type="pct"/>
            <w:tcBorders>
              <w:top w:val="nil"/>
              <w:left w:val="nil"/>
              <w:bottom w:val="nil"/>
              <w:right w:val="nil"/>
            </w:tcBorders>
            <w:shd w:val="clear" w:color="auto" w:fill="auto"/>
            <w:vAlign w:val="center"/>
          </w:tcPr>
          <w:p w14:paraId="73B94977" w14:textId="0426F3AD"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100,00</w:t>
            </w:r>
          </w:p>
        </w:tc>
        <w:tc>
          <w:tcPr>
            <w:tcW w:w="484" w:type="pct"/>
            <w:tcBorders>
              <w:top w:val="nil"/>
              <w:left w:val="nil"/>
              <w:bottom w:val="nil"/>
              <w:right w:val="nil"/>
            </w:tcBorders>
            <w:shd w:val="clear" w:color="auto" w:fill="auto"/>
            <w:vAlign w:val="center"/>
          </w:tcPr>
          <w:p w14:paraId="26445677" w14:textId="655EE23B"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108,08</w:t>
            </w:r>
          </w:p>
        </w:tc>
        <w:tc>
          <w:tcPr>
            <w:tcW w:w="453" w:type="pct"/>
            <w:tcBorders>
              <w:top w:val="nil"/>
              <w:left w:val="nil"/>
              <w:bottom w:val="nil"/>
              <w:right w:val="nil"/>
            </w:tcBorders>
            <w:shd w:val="clear" w:color="auto" w:fill="auto"/>
            <w:vAlign w:val="center"/>
          </w:tcPr>
          <w:p w14:paraId="26B5CD01" w14:textId="0419CC9E"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100,00</w:t>
            </w:r>
          </w:p>
        </w:tc>
        <w:tc>
          <w:tcPr>
            <w:tcW w:w="497" w:type="pct"/>
            <w:tcBorders>
              <w:top w:val="nil"/>
              <w:left w:val="nil"/>
              <w:bottom w:val="nil"/>
              <w:right w:val="nil"/>
            </w:tcBorders>
            <w:shd w:val="clear" w:color="auto" w:fill="auto"/>
            <w:vAlign w:val="center"/>
          </w:tcPr>
          <w:p w14:paraId="27865490" w14:textId="6CCB6FC2"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108,10</w:t>
            </w:r>
          </w:p>
        </w:tc>
        <w:tc>
          <w:tcPr>
            <w:tcW w:w="440" w:type="pct"/>
            <w:tcBorders>
              <w:top w:val="nil"/>
              <w:left w:val="nil"/>
              <w:bottom w:val="nil"/>
              <w:right w:val="nil"/>
            </w:tcBorders>
            <w:shd w:val="clear" w:color="auto" w:fill="auto"/>
            <w:vAlign w:val="center"/>
          </w:tcPr>
          <w:p w14:paraId="6766F0CD" w14:textId="538B65AE"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100,01</w:t>
            </w:r>
          </w:p>
        </w:tc>
        <w:tc>
          <w:tcPr>
            <w:tcW w:w="510" w:type="pct"/>
            <w:shd w:val="clear" w:color="auto" w:fill="auto"/>
            <w:vAlign w:val="center"/>
          </w:tcPr>
          <w:p w14:paraId="7330D62A" w14:textId="77777777" w:rsidR="009011D4" w:rsidRPr="00332AB5" w:rsidRDefault="009011D4" w:rsidP="009011D4">
            <w:pPr>
              <w:jc w:val="right"/>
              <w:rPr>
                <w:rFonts w:asciiTheme="minorHAnsi" w:hAnsiTheme="minorHAnsi" w:cstheme="minorHAnsi"/>
                <w:color w:val="000000"/>
                <w:sz w:val="18"/>
                <w:szCs w:val="18"/>
              </w:rPr>
            </w:pPr>
          </w:p>
        </w:tc>
        <w:tc>
          <w:tcPr>
            <w:tcW w:w="347" w:type="pct"/>
            <w:gridSpan w:val="2"/>
            <w:shd w:val="clear" w:color="auto" w:fill="auto"/>
            <w:vAlign w:val="center"/>
          </w:tcPr>
          <w:p w14:paraId="33950677" w14:textId="77777777" w:rsidR="009011D4" w:rsidRPr="00332AB5" w:rsidRDefault="009011D4" w:rsidP="009011D4">
            <w:pPr>
              <w:jc w:val="right"/>
              <w:rPr>
                <w:rFonts w:asciiTheme="minorHAnsi" w:hAnsiTheme="minorHAnsi" w:cstheme="minorHAnsi"/>
                <w:color w:val="000000"/>
                <w:sz w:val="18"/>
                <w:szCs w:val="18"/>
              </w:rPr>
            </w:pPr>
          </w:p>
        </w:tc>
      </w:tr>
      <w:tr w:rsidR="009011D4" w:rsidRPr="00332AB5" w14:paraId="68F4FA49" w14:textId="77777777" w:rsidTr="00441349">
        <w:trPr>
          <w:trHeight w:val="397"/>
        </w:trPr>
        <w:tc>
          <w:tcPr>
            <w:tcW w:w="596" w:type="pct"/>
            <w:shd w:val="clear" w:color="auto" w:fill="auto"/>
            <w:vAlign w:val="center"/>
          </w:tcPr>
          <w:p w14:paraId="7FE16CC3" w14:textId="77777777" w:rsidR="009011D4" w:rsidRPr="00332AB5" w:rsidRDefault="009011D4" w:rsidP="009011D4">
            <w:pPr>
              <w:rPr>
                <w:rFonts w:asciiTheme="minorHAnsi" w:hAnsiTheme="minorHAnsi" w:cstheme="minorHAnsi"/>
                <w:sz w:val="18"/>
                <w:szCs w:val="18"/>
              </w:rPr>
            </w:pPr>
            <w:r w:rsidRPr="00332AB5">
              <w:rPr>
                <w:rFonts w:asciiTheme="minorHAnsi" w:hAnsiTheme="minorHAnsi" w:cstheme="minorHAnsi"/>
                <w:sz w:val="18"/>
                <w:szCs w:val="18"/>
              </w:rPr>
              <w:t>M 19</w:t>
            </w:r>
          </w:p>
        </w:tc>
        <w:tc>
          <w:tcPr>
            <w:tcW w:w="608" w:type="pct"/>
            <w:tcBorders>
              <w:top w:val="nil"/>
              <w:left w:val="nil"/>
              <w:bottom w:val="nil"/>
              <w:right w:val="nil"/>
            </w:tcBorders>
            <w:shd w:val="clear" w:color="auto" w:fill="auto"/>
            <w:vAlign w:val="center"/>
          </w:tcPr>
          <w:p w14:paraId="06167CD7" w14:textId="66DAC849"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90,66</w:t>
            </w:r>
          </w:p>
        </w:tc>
        <w:tc>
          <w:tcPr>
            <w:tcW w:w="600" w:type="pct"/>
            <w:tcBorders>
              <w:top w:val="nil"/>
              <w:left w:val="nil"/>
              <w:bottom w:val="nil"/>
              <w:right w:val="nil"/>
            </w:tcBorders>
            <w:shd w:val="clear" w:color="auto" w:fill="auto"/>
            <w:vAlign w:val="center"/>
          </w:tcPr>
          <w:p w14:paraId="27BFEB4B" w14:textId="1B2DB85D"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81,65</w:t>
            </w:r>
          </w:p>
        </w:tc>
        <w:tc>
          <w:tcPr>
            <w:tcW w:w="466" w:type="pct"/>
            <w:tcBorders>
              <w:top w:val="nil"/>
              <w:left w:val="nil"/>
              <w:bottom w:val="nil"/>
              <w:right w:val="nil"/>
            </w:tcBorders>
            <w:shd w:val="clear" w:color="auto" w:fill="auto"/>
            <w:vAlign w:val="center"/>
          </w:tcPr>
          <w:p w14:paraId="08B27604" w14:textId="440691E4"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90,06</w:t>
            </w:r>
          </w:p>
        </w:tc>
        <w:tc>
          <w:tcPr>
            <w:tcW w:w="484" w:type="pct"/>
            <w:tcBorders>
              <w:top w:val="nil"/>
              <w:left w:val="nil"/>
              <w:bottom w:val="nil"/>
              <w:right w:val="nil"/>
            </w:tcBorders>
            <w:shd w:val="clear" w:color="auto" w:fill="auto"/>
            <w:vAlign w:val="center"/>
          </w:tcPr>
          <w:p w14:paraId="41661BCB" w14:textId="4B17A3F4"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60,02</w:t>
            </w:r>
          </w:p>
        </w:tc>
        <w:tc>
          <w:tcPr>
            <w:tcW w:w="453" w:type="pct"/>
            <w:tcBorders>
              <w:top w:val="nil"/>
              <w:left w:val="nil"/>
              <w:bottom w:val="nil"/>
              <w:right w:val="nil"/>
            </w:tcBorders>
            <w:shd w:val="clear" w:color="auto" w:fill="auto"/>
            <w:vAlign w:val="center"/>
          </w:tcPr>
          <w:p w14:paraId="05451843" w14:textId="64F9B675"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66,20</w:t>
            </w:r>
          </w:p>
        </w:tc>
        <w:tc>
          <w:tcPr>
            <w:tcW w:w="497" w:type="pct"/>
            <w:tcBorders>
              <w:top w:val="nil"/>
              <w:left w:val="nil"/>
              <w:bottom w:val="nil"/>
              <w:right w:val="nil"/>
            </w:tcBorders>
            <w:shd w:val="clear" w:color="auto" w:fill="auto"/>
            <w:vAlign w:val="center"/>
          </w:tcPr>
          <w:p w14:paraId="46C069D4" w14:textId="5AD99925"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56,10</w:t>
            </w:r>
          </w:p>
        </w:tc>
        <w:tc>
          <w:tcPr>
            <w:tcW w:w="440" w:type="pct"/>
            <w:tcBorders>
              <w:top w:val="nil"/>
              <w:left w:val="nil"/>
              <w:bottom w:val="nil"/>
              <w:right w:val="nil"/>
            </w:tcBorders>
            <w:shd w:val="clear" w:color="auto" w:fill="auto"/>
            <w:vAlign w:val="center"/>
          </w:tcPr>
          <w:p w14:paraId="5EA8B94A" w14:textId="68D4F6D5"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61,87</w:t>
            </w:r>
          </w:p>
        </w:tc>
        <w:tc>
          <w:tcPr>
            <w:tcW w:w="510" w:type="pct"/>
            <w:shd w:val="clear" w:color="auto" w:fill="auto"/>
            <w:vAlign w:val="center"/>
          </w:tcPr>
          <w:p w14:paraId="09D92C78" w14:textId="77777777" w:rsidR="009011D4" w:rsidRPr="00332AB5" w:rsidRDefault="009011D4" w:rsidP="009011D4">
            <w:pPr>
              <w:jc w:val="right"/>
              <w:rPr>
                <w:rFonts w:asciiTheme="minorHAnsi" w:hAnsiTheme="minorHAnsi" w:cstheme="minorHAnsi"/>
                <w:color w:val="000000"/>
                <w:sz w:val="18"/>
                <w:szCs w:val="18"/>
              </w:rPr>
            </w:pPr>
          </w:p>
        </w:tc>
        <w:tc>
          <w:tcPr>
            <w:tcW w:w="347" w:type="pct"/>
            <w:gridSpan w:val="2"/>
            <w:shd w:val="clear" w:color="auto" w:fill="auto"/>
            <w:vAlign w:val="center"/>
          </w:tcPr>
          <w:p w14:paraId="6B8BB03D" w14:textId="77777777" w:rsidR="009011D4" w:rsidRPr="00332AB5" w:rsidRDefault="009011D4" w:rsidP="009011D4">
            <w:pPr>
              <w:jc w:val="right"/>
              <w:rPr>
                <w:rFonts w:asciiTheme="minorHAnsi" w:hAnsiTheme="minorHAnsi" w:cstheme="minorHAnsi"/>
                <w:color w:val="000000"/>
                <w:sz w:val="18"/>
                <w:szCs w:val="18"/>
              </w:rPr>
            </w:pPr>
          </w:p>
        </w:tc>
      </w:tr>
      <w:tr w:rsidR="009011D4" w:rsidRPr="00332AB5" w14:paraId="2ACFAA64" w14:textId="77777777" w:rsidTr="00441349">
        <w:trPr>
          <w:trHeight w:val="397"/>
        </w:trPr>
        <w:tc>
          <w:tcPr>
            <w:tcW w:w="596" w:type="pct"/>
            <w:shd w:val="clear" w:color="auto" w:fill="auto"/>
            <w:vAlign w:val="center"/>
          </w:tcPr>
          <w:p w14:paraId="1932B28A" w14:textId="77777777" w:rsidR="009011D4" w:rsidRPr="00332AB5" w:rsidRDefault="009011D4" w:rsidP="009011D4">
            <w:pPr>
              <w:rPr>
                <w:rFonts w:asciiTheme="minorHAnsi" w:hAnsiTheme="minorHAnsi" w:cstheme="minorHAnsi"/>
                <w:sz w:val="18"/>
                <w:szCs w:val="18"/>
              </w:rPr>
            </w:pPr>
            <w:r w:rsidRPr="00332AB5">
              <w:rPr>
                <w:rFonts w:asciiTheme="minorHAnsi" w:hAnsiTheme="minorHAnsi" w:cstheme="minorHAnsi"/>
                <w:sz w:val="18"/>
                <w:szCs w:val="18"/>
              </w:rPr>
              <w:t>M 20</w:t>
            </w:r>
          </w:p>
        </w:tc>
        <w:tc>
          <w:tcPr>
            <w:tcW w:w="608" w:type="pct"/>
            <w:tcBorders>
              <w:top w:val="nil"/>
              <w:left w:val="nil"/>
              <w:bottom w:val="nil"/>
              <w:right w:val="nil"/>
            </w:tcBorders>
            <w:shd w:val="clear" w:color="auto" w:fill="auto"/>
            <w:vAlign w:val="center"/>
          </w:tcPr>
          <w:p w14:paraId="48F820D0" w14:textId="72427BCC"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65,47</w:t>
            </w:r>
          </w:p>
        </w:tc>
        <w:tc>
          <w:tcPr>
            <w:tcW w:w="600" w:type="pct"/>
            <w:tcBorders>
              <w:top w:val="nil"/>
              <w:left w:val="nil"/>
              <w:bottom w:val="nil"/>
              <w:right w:val="nil"/>
            </w:tcBorders>
            <w:shd w:val="clear" w:color="auto" w:fill="auto"/>
            <w:vAlign w:val="center"/>
          </w:tcPr>
          <w:p w14:paraId="720FACBE" w14:textId="34E53070"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58,74</w:t>
            </w:r>
          </w:p>
        </w:tc>
        <w:tc>
          <w:tcPr>
            <w:tcW w:w="466" w:type="pct"/>
            <w:tcBorders>
              <w:top w:val="nil"/>
              <w:left w:val="nil"/>
              <w:bottom w:val="nil"/>
              <w:right w:val="nil"/>
            </w:tcBorders>
            <w:shd w:val="clear" w:color="auto" w:fill="auto"/>
            <w:vAlign w:val="center"/>
          </w:tcPr>
          <w:p w14:paraId="5E62E56A" w14:textId="577FF5AE"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89,73</w:t>
            </w:r>
          </w:p>
        </w:tc>
        <w:tc>
          <w:tcPr>
            <w:tcW w:w="484" w:type="pct"/>
            <w:tcBorders>
              <w:top w:val="nil"/>
              <w:left w:val="nil"/>
              <w:bottom w:val="nil"/>
              <w:right w:val="nil"/>
            </w:tcBorders>
            <w:shd w:val="clear" w:color="auto" w:fill="auto"/>
            <w:vAlign w:val="center"/>
          </w:tcPr>
          <w:p w14:paraId="1307FF08" w14:textId="6300E881"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58,74</w:t>
            </w:r>
          </w:p>
        </w:tc>
        <w:tc>
          <w:tcPr>
            <w:tcW w:w="453" w:type="pct"/>
            <w:tcBorders>
              <w:top w:val="nil"/>
              <w:left w:val="nil"/>
              <w:bottom w:val="nil"/>
              <w:right w:val="nil"/>
            </w:tcBorders>
            <w:shd w:val="clear" w:color="auto" w:fill="auto"/>
            <w:vAlign w:val="center"/>
          </w:tcPr>
          <w:p w14:paraId="34CFA27C" w14:textId="34E483F7"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89,73</w:t>
            </w:r>
          </w:p>
        </w:tc>
        <w:tc>
          <w:tcPr>
            <w:tcW w:w="497" w:type="pct"/>
            <w:tcBorders>
              <w:top w:val="nil"/>
              <w:left w:val="nil"/>
              <w:bottom w:val="nil"/>
              <w:right w:val="nil"/>
            </w:tcBorders>
            <w:shd w:val="clear" w:color="auto" w:fill="auto"/>
            <w:vAlign w:val="center"/>
          </w:tcPr>
          <w:p w14:paraId="1C993AF4" w14:textId="3DA7722C"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57,06</w:t>
            </w:r>
          </w:p>
        </w:tc>
        <w:tc>
          <w:tcPr>
            <w:tcW w:w="440" w:type="pct"/>
            <w:tcBorders>
              <w:top w:val="nil"/>
              <w:left w:val="nil"/>
              <w:bottom w:val="nil"/>
              <w:right w:val="nil"/>
            </w:tcBorders>
            <w:shd w:val="clear" w:color="auto" w:fill="auto"/>
            <w:vAlign w:val="center"/>
          </w:tcPr>
          <w:p w14:paraId="3D775631" w14:textId="5BD3DAD9"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87,16</w:t>
            </w:r>
          </w:p>
        </w:tc>
        <w:tc>
          <w:tcPr>
            <w:tcW w:w="510" w:type="pct"/>
            <w:shd w:val="clear" w:color="auto" w:fill="auto"/>
            <w:vAlign w:val="center"/>
          </w:tcPr>
          <w:p w14:paraId="26326E71" w14:textId="77777777" w:rsidR="009011D4" w:rsidRPr="00332AB5" w:rsidRDefault="009011D4" w:rsidP="009011D4">
            <w:pPr>
              <w:jc w:val="right"/>
              <w:rPr>
                <w:rFonts w:asciiTheme="minorHAnsi" w:hAnsiTheme="minorHAnsi" w:cstheme="minorHAnsi"/>
                <w:color w:val="000000"/>
                <w:sz w:val="18"/>
                <w:szCs w:val="18"/>
              </w:rPr>
            </w:pPr>
          </w:p>
        </w:tc>
        <w:tc>
          <w:tcPr>
            <w:tcW w:w="347" w:type="pct"/>
            <w:gridSpan w:val="2"/>
            <w:shd w:val="clear" w:color="auto" w:fill="auto"/>
            <w:vAlign w:val="center"/>
          </w:tcPr>
          <w:p w14:paraId="77C3BA51" w14:textId="77777777" w:rsidR="009011D4" w:rsidRPr="00332AB5" w:rsidRDefault="009011D4" w:rsidP="009011D4">
            <w:pPr>
              <w:jc w:val="right"/>
              <w:rPr>
                <w:rFonts w:asciiTheme="minorHAnsi" w:hAnsiTheme="minorHAnsi" w:cstheme="minorHAnsi"/>
                <w:color w:val="000000"/>
                <w:sz w:val="18"/>
                <w:szCs w:val="18"/>
              </w:rPr>
            </w:pPr>
          </w:p>
        </w:tc>
      </w:tr>
      <w:tr w:rsidR="009011D4" w:rsidRPr="00332AB5" w14:paraId="4F3F7A3D" w14:textId="77777777" w:rsidTr="00441349">
        <w:trPr>
          <w:trHeight w:val="397"/>
        </w:trPr>
        <w:tc>
          <w:tcPr>
            <w:tcW w:w="596" w:type="pct"/>
            <w:shd w:val="clear" w:color="auto" w:fill="auto"/>
            <w:vAlign w:val="center"/>
          </w:tcPr>
          <w:p w14:paraId="7BC886A1" w14:textId="77777777" w:rsidR="009011D4" w:rsidRPr="00332AB5" w:rsidRDefault="009011D4" w:rsidP="009011D4">
            <w:pPr>
              <w:rPr>
                <w:rFonts w:asciiTheme="minorHAnsi" w:hAnsiTheme="minorHAnsi" w:cstheme="minorHAnsi"/>
                <w:sz w:val="18"/>
                <w:szCs w:val="18"/>
              </w:rPr>
            </w:pPr>
            <w:r w:rsidRPr="00332AB5">
              <w:rPr>
                <w:rFonts w:asciiTheme="minorHAnsi" w:hAnsiTheme="minorHAnsi" w:cstheme="minorHAnsi"/>
                <w:sz w:val="18"/>
                <w:szCs w:val="18"/>
              </w:rPr>
              <w:t>M 21</w:t>
            </w:r>
          </w:p>
        </w:tc>
        <w:tc>
          <w:tcPr>
            <w:tcW w:w="608" w:type="pct"/>
            <w:tcBorders>
              <w:top w:val="nil"/>
              <w:left w:val="nil"/>
              <w:bottom w:val="nil"/>
              <w:right w:val="nil"/>
            </w:tcBorders>
            <w:shd w:val="clear" w:color="auto" w:fill="auto"/>
            <w:vAlign w:val="center"/>
          </w:tcPr>
          <w:p w14:paraId="56E1D98E" w14:textId="7B9434CC"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22,40</w:t>
            </w:r>
          </w:p>
        </w:tc>
        <w:tc>
          <w:tcPr>
            <w:tcW w:w="600" w:type="pct"/>
            <w:tcBorders>
              <w:top w:val="nil"/>
              <w:left w:val="nil"/>
              <w:bottom w:val="nil"/>
              <w:right w:val="nil"/>
            </w:tcBorders>
            <w:shd w:val="clear" w:color="auto" w:fill="auto"/>
            <w:vAlign w:val="center"/>
          </w:tcPr>
          <w:p w14:paraId="3163FB39" w14:textId="60508BF6"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22,42</w:t>
            </w:r>
          </w:p>
        </w:tc>
        <w:tc>
          <w:tcPr>
            <w:tcW w:w="466" w:type="pct"/>
            <w:tcBorders>
              <w:top w:val="nil"/>
              <w:left w:val="nil"/>
              <w:bottom w:val="nil"/>
              <w:right w:val="nil"/>
            </w:tcBorders>
            <w:shd w:val="clear" w:color="auto" w:fill="auto"/>
            <w:vAlign w:val="center"/>
          </w:tcPr>
          <w:p w14:paraId="63A97CFE" w14:textId="0D164C17"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100,08</w:t>
            </w:r>
          </w:p>
        </w:tc>
        <w:tc>
          <w:tcPr>
            <w:tcW w:w="484" w:type="pct"/>
            <w:tcBorders>
              <w:top w:val="nil"/>
              <w:left w:val="nil"/>
              <w:bottom w:val="nil"/>
              <w:right w:val="nil"/>
            </w:tcBorders>
            <w:shd w:val="clear" w:color="auto" w:fill="auto"/>
            <w:vAlign w:val="center"/>
          </w:tcPr>
          <w:p w14:paraId="782CFA75" w14:textId="2B71BB2A"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22,40</w:t>
            </w:r>
          </w:p>
        </w:tc>
        <w:tc>
          <w:tcPr>
            <w:tcW w:w="453" w:type="pct"/>
            <w:tcBorders>
              <w:top w:val="nil"/>
              <w:left w:val="nil"/>
              <w:bottom w:val="nil"/>
              <w:right w:val="nil"/>
            </w:tcBorders>
            <w:shd w:val="clear" w:color="auto" w:fill="auto"/>
            <w:vAlign w:val="center"/>
          </w:tcPr>
          <w:p w14:paraId="709140B4" w14:textId="45260590"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100,00</w:t>
            </w:r>
          </w:p>
        </w:tc>
        <w:tc>
          <w:tcPr>
            <w:tcW w:w="497" w:type="pct"/>
            <w:tcBorders>
              <w:top w:val="nil"/>
              <w:left w:val="nil"/>
              <w:bottom w:val="nil"/>
              <w:right w:val="nil"/>
            </w:tcBorders>
            <w:shd w:val="clear" w:color="auto" w:fill="auto"/>
            <w:vAlign w:val="center"/>
          </w:tcPr>
          <w:p w14:paraId="0F6C304E" w14:textId="5EB02DD7"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22,40</w:t>
            </w:r>
          </w:p>
        </w:tc>
        <w:tc>
          <w:tcPr>
            <w:tcW w:w="440" w:type="pct"/>
            <w:tcBorders>
              <w:top w:val="nil"/>
              <w:left w:val="nil"/>
              <w:bottom w:val="nil"/>
              <w:right w:val="nil"/>
            </w:tcBorders>
            <w:shd w:val="clear" w:color="auto" w:fill="auto"/>
            <w:vAlign w:val="center"/>
          </w:tcPr>
          <w:p w14:paraId="4485DE01" w14:textId="27DB8AB7" w:rsidR="009011D4" w:rsidRPr="00332AB5" w:rsidRDefault="009011D4" w:rsidP="009011D4">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100,00</w:t>
            </w:r>
          </w:p>
        </w:tc>
        <w:tc>
          <w:tcPr>
            <w:tcW w:w="510" w:type="pct"/>
            <w:tcBorders>
              <w:bottom w:val="single" w:sz="4" w:space="0" w:color="808080" w:themeColor="background1" w:themeShade="80"/>
            </w:tcBorders>
            <w:shd w:val="clear" w:color="auto" w:fill="auto"/>
            <w:vAlign w:val="center"/>
          </w:tcPr>
          <w:p w14:paraId="5EA292A5" w14:textId="77777777" w:rsidR="009011D4" w:rsidRPr="00332AB5" w:rsidRDefault="009011D4" w:rsidP="009011D4">
            <w:pPr>
              <w:jc w:val="right"/>
              <w:rPr>
                <w:rFonts w:asciiTheme="minorHAnsi" w:hAnsiTheme="minorHAnsi" w:cstheme="minorHAnsi"/>
                <w:color w:val="000000"/>
                <w:sz w:val="18"/>
                <w:szCs w:val="18"/>
              </w:rPr>
            </w:pPr>
          </w:p>
        </w:tc>
        <w:tc>
          <w:tcPr>
            <w:tcW w:w="347" w:type="pct"/>
            <w:gridSpan w:val="2"/>
            <w:tcBorders>
              <w:bottom w:val="single" w:sz="4" w:space="0" w:color="808080" w:themeColor="background1" w:themeShade="80"/>
            </w:tcBorders>
            <w:shd w:val="clear" w:color="auto" w:fill="auto"/>
            <w:vAlign w:val="center"/>
          </w:tcPr>
          <w:p w14:paraId="1DE0AC52" w14:textId="77777777" w:rsidR="009011D4" w:rsidRPr="00332AB5" w:rsidRDefault="009011D4" w:rsidP="009011D4">
            <w:pPr>
              <w:jc w:val="right"/>
              <w:rPr>
                <w:rFonts w:asciiTheme="minorHAnsi" w:hAnsiTheme="minorHAnsi" w:cstheme="minorHAnsi"/>
                <w:color w:val="000000"/>
                <w:sz w:val="18"/>
                <w:szCs w:val="18"/>
              </w:rPr>
            </w:pPr>
          </w:p>
        </w:tc>
      </w:tr>
      <w:tr w:rsidR="00441349" w:rsidRPr="00332AB5" w14:paraId="4A24B0FA" w14:textId="77777777" w:rsidTr="00B12B76">
        <w:trPr>
          <w:trHeight w:val="397"/>
        </w:trPr>
        <w:tc>
          <w:tcPr>
            <w:tcW w:w="596" w:type="pct"/>
            <w:shd w:val="clear" w:color="auto" w:fill="auto"/>
            <w:vAlign w:val="center"/>
          </w:tcPr>
          <w:p w14:paraId="1FEC8AD6" w14:textId="39B684BA" w:rsidR="00441349" w:rsidRPr="00332AB5" w:rsidRDefault="00441349" w:rsidP="00441349">
            <w:pPr>
              <w:rPr>
                <w:rFonts w:asciiTheme="minorHAnsi" w:hAnsiTheme="minorHAnsi" w:cstheme="minorHAnsi"/>
                <w:sz w:val="18"/>
                <w:szCs w:val="18"/>
              </w:rPr>
            </w:pPr>
            <w:r w:rsidRPr="00332AB5">
              <w:rPr>
                <w:rFonts w:asciiTheme="minorHAnsi" w:hAnsiTheme="minorHAnsi" w:cstheme="minorHAnsi"/>
                <w:sz w:val="18"/>
                <w:szCs w:val="18"/>
              </w:rPr>
              <w:t>M 22</w:t>
            </w:r>
          </w:p>
        </w:tc>
        <w:tc>
          <w:tcPr>
            <w:tcW w:w="608" w:type="pct"/>
            <w:tcBorders>
              <w:top w:val="nil"/>
              <w:left w:val="nil"/>
              <w:bottom w:val="nil"/>
              <w:right w:val="nil"/>
            </w:tcBorders>
            <w:shd w:val="clear" w:color="auto" w:fill="auto"/>
            <w:vAlign w:val="center"/>
          </w:tcPr>
          <w:p w14:paraId="5096F335" w14:textId="0679FE2E" w:rsidR="00441349" w:rsidRPr="00332AB5" w:rsidRDefault="00441349" w:rsidP="00B12B7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27,08</w:t>
            </w:r>
          </w:p>
        </w:tc>
        <w:tc>
          <w:tcPr>
            <w:tcW w:w="600" w:type="pct"/>
            <w:tcBorders>
              <w:top w:val="nil"/>
              <w:left w:val="nil"/>
              <w:bottom w:val="nil"/>
              <w:right w:val="nil"/>
            </w:tcBorders>
            <w:shd w:val="clear" w:color="auto" w:fill="auto"/>
            <w:vAlign w:val="center"/>
          </w:tcPr>
          <w:p w14:paraId="49FD0C53" w14:textId="1118EC47" w:rsidR="00441349" w:rsidRPr="00332AB5" w:rsidRDefault="00441349" w:rsidP="00B12B7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27,01</w:t>
            </w:r>
          </w:p>
        </w:tc>
        <w:tc>
          <w:tcPr>
            <w:tcW w:w="466" w:type="pct"/>
            <w:tcBorders>
              <w:top w:val="nil"/>
              <w:left w:val="nil"/>
              <w:bottom w:val="nil"/>
              <w:right w:val="nil"/>
            </w:tcBorders>
            <w:shd w:val="clear" w:color="auto" w:fill="auto"/>
            <w:vAlign w:val="center"/>
          </w:tcPr>
          <w:p w14:paraId="0BCE9E5A" w14:textId="042D10CD" w:rsidR="00441349" w:rsidRPr="00332AB5" w:rsidRDefault="00441349" w:rsidP="00B12B7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99,76</w:t>
            </w:r>
          </w:p>
        </w:tc>
        <w:tc>
          <w:tcPr>
            <w:tcW w:w="484" w:type="pct"/>
            <w:tcBorders>
              <w:top w:val="nil"/>
              <w:left w:val="nil"/>
              <w:bottom w:val="nil"/>
              <w:right w:val="nil"/>
            </w:tcBorders>
            <w:shd w:val="clear" w:color="auto" w:fill="auto"/>
            <w:vAlign w:val="center"/>
          </w:tcPr>
          <w:p w14:paraId="109DA024" w14:textId="4FEA3401" w:rsidR="00441349" w:rsidRPr="00332AB5" w:rsidRDefault="00441349" w:rsidP="00B12B7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27,00</w:t>
            </w:r>
          </w:p>
        </w:tc>
        <w:tc>
          <w:tcPr>
            <w:tcW w:w="453" w:type="pct"/>
            <w:tcBorders>
              <w:top w:val="nil"/>
              <w:left w:val="nil"/>
              <w:bottom w:val="nil"/>
              <w:right w:val="nil"/>
            </w:tcBorders>
            <w:shd w:val="clear" w:color="auto" w:fill="auto"/>
            <w:vAlign w:val="center"/>
          </w:tcPr>
          <w:p w14:paraId="0A153676" w14:textId="66D9F8A8" w:rsidR="00441349" w:rsidRPr="00332AB5" w:rsidRDefault="00441349" w:rsidP="00B12B7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99,72</w:t>
            </w:r>
          </w:p>
        </w:tc>
        <w:tc>
          <w:tcPr>
            <w:tcW w:w="497" w:type="pct"/>
            <w:tcBorders>
              <w:top w:val="nil"/>
              <w:left w:val="nil"/>
              <w:bottom w:val="nil"/>
              <w:right w:val="nil"/>
            </w:tcBorders>
            <w:shd w:val="clear" w:color="auto" w:fill="auto"/>
            <w:vAlign w:val="center"/>
          </w:tcPr>
          <w:p w14:paraId="6AD6F4E0" w14:textId="53252D41" w:rsidR="00441349" w:rsidRPr="00332AB5" w:rsidRDefault="00441349" w:rsidP="00B12B7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0,01</w:t>
            </w:r>
          </w:p>
        </w:tc>
        <w:tc>
          <w:tcPr>
            <w:tcW w:w="440" w:type="pct"/>
            <w:tcBorders>
              <w:top w:val="nil"/>
              <w:left w:val="nil"/>
              <w:bottom w:val="nil"/>
              <w:right w:val="nil"/>
            </w:tcBorders>
            <w:shd w:val="clear" w:color="auto" w:fill="auto"/>
            <w:vAlign w:val="center"/>
          </w:tcPr>
          <w:p w14:paraId="537D356D" w14:textId="544609DA" w:rsidR="00441349" w:rsidRPr="00332AB5" w:rsidRDefault="00441349" w:rsidP="00B12B7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0,03</w:t>
            </w:r>
          </w:p>
        </w:tc>
        <w:tc>
          <w:tcPr>
            <w:tcW w:w="510" w:type="pct"/>
            <w:tcBorders>
              <w:bottom w:val="single" w:sz="4" w:space="0" w:color="808080" w:themeColor="background1" w:themeShade="80"/>
            </w:tcBorders>
            <w:shd w:val="clear" w:color="auto" w:fill="auto"/>
            <w:vAlign w:val="center"/>
          </w:tcPr>
          <w:p w14:paraId="057780C6" w14:textId="77777777" w:rsidR="00441349" w:rsidRPr="00332AB5" w:rsidRDefault="00441349" w:rsidP="00441349">
            <w:pPr>
              <w:jc w:val="right"/>
              <w:rPr>
                <w:rFonts w:asciiTheme="minorHAnsi" w:hAnsiTheme="minorHAnsi" w:cstheme="minorHAnsi"/>
                <w:color w:val="000000"/>
                <w:sz w:val="18"/>
                <w:szCs w:val="18"/>
              </w:rPr>
            </w:pPr>
          </w:p>
        </w:tc>
        <w:tc>
          <w:tcPr>
            <w:tcW w:w="347" w:type="pct"/>
            <w:gridSpan w:val="2"/>
            <w:tcBorders>
              <w:bottom w:val="single" w:sz="4" w:space="0" w:color="808080" w:themeColor="background1" w:themeShade="80"/>
            </w:tcBorders>
            <w:shd w:val="clear" w:color="auto" w:fill="auto"/>
            <w:vAlign w:val="center"/>
          </w:tcPr>
          <w:p w14:paraId="5493EE2A" w14:textId="77777777" w:rsidR="00441349" w:rsidRPr="00332AB5" w:rsidRDefault="00441349" w:rsidP="00441349">
            <w:pPr>
              <w:jc w:val="right"/>
              <w:rPr>
                <w:rFonts w:asciiTheme="minorHAnsi" w:hAnsiTheme="minorHAnsi" w:cstheme="minorHAnsi"/>
                <w:color w:val="000000"/>
                <w:sz w:val="18"/>
                <w:szCs w:val="18"/>
              </w:rPr>
            </w:pPr>
          </w:p>
        </w:tc>
      </w:tr>
      <w:tr w:rsidR="00441349" w:rsidRPr="00332AB5" w14:paraId="55E7D781" w14:textId="77777777" w:rsidTr="00441349">
        <w:trPr>
          <w:trHeight w:val="510"/>
        </w:trPr>
        <w:tc>
          <w:tcPr>
            <w:tcW w:w="596" w:type="pct"/>
            <w:tcBorders>
              <w:bottom w:val="nil"/>
            </w:tcBorders>
            <w:shd w:val="clear" w:color="auto" w:fill="auto"/>
            <w:vAlign w:val="center"/>
          </w:tcPr>
          <w:p w14:paraId="514155B1" w14:textId="77777777" w:rsidR="00441349" w:rsidRPr="00332AB5" w:rsidRDefault="00441349" w:rsidP="00441349">
            <w:pPr>
              <w:rPr>
                <w:rFonts w:asciiTheme="minorHAnsi" w:hAnsiTheme="minorHAnsi" w:cstheme="minorHAnsi"/>
                <w:sz w:val="18"/>
                <w:szCs w:val="18"/>
              </w:rPr>
            </w:pPr>
            <w:r w:rsidRPr="00332AB5">
              <w:rPr>
                <w:rFonts w:asciiTheme="minorHAnsi" w:hAnsiTheme="minorHAnsi" w:cstheme="minorHAnsi"/>
                <w:sz w:val="18"/>
                <w:szCs w:val="18"/>
              </w:rPr>
              <w:t>UKUPNO</w:t>
            </w:r>
          </w:p>
        </w:tc>
        <w:tc>
          <w:tcPr>
            <w:tcW w:w="608" w:type="pct"/>
            <w:tcBorders>
              <w:top w:val="single" w:sz="4" w:space="0" w:color="808080" w:themeColor="background1" w:themeShade="80"/>
              <w:bottom w:val="single" w:sz="4" w:space="0" w:color="808080" w:themeColor="background1" w:themeShade="80"/>
            </w:tcBorders>
            <w:shd w:val="clear" w:color="auto" w:fill="auto"/>
            <w:vAlign w:val="center"/>
          </w:tcPr>
          <w:p w14:paraId="528157D8" w14:textId="4A48A1D9" w:rsidR="00441349" w:rsidRPr="00332AB5" w:rsidRDefault="00441349"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2.623,79</w:t>
            </w:r>
          </w:p>
        </w:tc>
        <w:tc>
          <w:tcPr>
            <w:tcW w:w="600" w:type="pct"/>
            <w:tcBorders>
              <w:top w:val="single" w:sz="4" w:space="0" w:color="808080" w:themeColor="background1" w:themeShade="80"/>
              <w:left w:val="nil"/>
              <w:bottom w:val="single" w:sz="4" w:space="0" w:color="808080" w:themeColor="background1" w:themeShade="80"/>
              <w:right w:val="nil"/>
            </w:tcBorders>
            <w:shd w:val="clear" w:color="auto" w:fill="auto"/>
            <w:vAlign w:val="center"/>
          </w:tcPr>
          <w:p w14:paraId="4713CC90" w14:textId="66A8120F" w:rsidR="00441349" w:rsidRPr="00332AB5" w:rsidRDefault="00441349"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2.604,61</w:t>
            </w:r>
          </w:p>
        </w:tc>
        <w:tc>
          <w:tcPr>
            <w:tcW w:w="466" w:type="pct"/>
            <w:tcBorders>
              <w:top w:val="single" w:sz="4" w:space="0" w:color="808080" w:themeColor="background1" w:themeShade="80"/>
              <w:left w:val="nil"/>
              <w:bottom w:val="single" w:sz="4" w:space="0" w:color="808080" w:themeColor="background1" w:themeShade="80"/>
              <w:right w:val="nil"/>
            </w:tcBorders>
            <w:shd w:val="clear" w:color="auto" w:fill="auto"/>
            <w:vAlign w:val="center"/>
          </w:tcPr>
          <w:p w14:paraId="5D9B9B02" w14:textId="5D945FC3" w:rsidR="00441349" w:rsidRPr="00332AB5" w:rsidRDefault="00441349"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99,27</w:t>
            </w:r>
          </w:p>
        </w:tc>
        <w:tc>
          <w:tcPr>
            <w:tcW w:w="484" w:type="pct"/>
            <w:tcBorders>
              <w:top w:val="single" w:sz="4" w:space="0" w:color="808080" w:themeColor="background1" w:themeShade="80"/>
              <w:left w:val="nil"/>
              <w:bottom w:val="single" w:sz="4" w:space="0" w:color="808080" w:themeColor="background1" w:themeShade="80"/>
              <w:right w:val="nil"/>
            </w:tcBorders>
            <w:shd w:val="clear" w:color="auto" w:fill="auto"/>
            <w:vAlign w:val="center"/>
          </w:tcPr>
          <w:p w14:paraId="35968EBE" w14:textId="221839EA" w:rsidR="00441349" w:rsidRPr="00332AB5" w:rsidRDefault="00441349"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2.211,51</w:t>
            </w:r>
          </w:p>
        </w:tc>
        <w:tc>
          <w:tcPr>
            <w:tcW w:w="453" w:type="pct"/>
            <w:tcBorders>
              <w:top w:val="single" w:sz="4" w:space="0" w:color="808080" w:themeColor="background1" w:themeShade="80"/>
              <w:left w:val="nil"/>
              <w:bottom w:val="single" w:sz="4" w:space="0" w:color="808080" w:themeColor="background1" w:themeShade="80"/>
              <w:right w:val="nil"/>
            </w:tcBorders>
            <w:shd w:val="clear" w:color="auto" w:fill="auto"/>
            <w:vAlign w:val="center"/>
          </w:tcPr>
          <w:p w14:paraId="6BEEE1E4" w14:textId="39CCA74B" w:rsidR="00441349" w:rsidRPr="00332AB5" w:rsidRDefault="00441349"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84,29</w:t>
            </w:r>
          </w:p>
        </w:tc>
        <w:tc>
          <w:tcPr>
            <w:tcW w:w="497" w:type="pct"/>
            <w:tcBorders>
              <w:top w:val="single" w:sz="4" w:space="0" w:color="808080" w:themeColor="background1" w:themeShade="80"/>
              <w:left w:val="nil"/>
              <w:bottom w:val="single" w:sz="4" w:space="0" w:color="808080" w:themeColor="background1" w:themeShade="80"/>
              <w:right w:val="nil"/>
            </w:tcBorders>
            <w:shd w:val="clear" w:color="auto" w:fill="auto"/>
            <w:vAlign w:val="center"/>
          </w:tcPr>
          <w:p w14:paraId="465CE3FC" w14:textId="4B4A742A" w:rsidR="00441349" w:rsidRPr="00332AB5" w:rsidRDefault="00441349"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2.044,83</w:t>
            </w:r>
          </w:p>
        </w:tc>
        <w:tc>
          <w:tcPr>
            <w:tcW w:w="440" w:type="pct"/>
            <w:tcBorders>
              <w:top w:val="single" w:sz="4" w:space="0" w:color="808080" w:themeColor="background1" w:themeShade="80"/>
              <w:left w:val="nil"/>
              <w:bottom w:val="single" w:sz="4" w:space="0" w:color="808080" w:themeColor="background1" w:themeShade="80"/>
              <w:right w:val="nil"/>
            </w:tcBorders>
            <w:shd w:val="clear" w:color="auto" w:fill="auto"/>
            <w:vAlign w:val="center"/>
          </w:tcPr>
          <w:p w14:paraId="74A313A2" w14:textId="71804E0B" w:rsidR="00441349" w:rsidRPr="00332AB5" w:rsidRDefault="00441349"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77,93</w:t>
            </w:r>
          </w:p>
        </w:tc>
        <w:tc>
          <w:tcPr>
            <w:tcW w:w="510" w:type="pct"/>
            <w:tcBorders>
              <w:top w:val="single" w:sz="4" w:space="0" w:color="808080" w:themeColor="background1" w:themeShade="80"/>
              <w:bottom w:val="single" w:sz="4" w:space="0" w:color="808080" w:themeColor="background1" w:themeShade="80"/>
            </w:tcBorders>
            <w:shd w:val="clear" w:color="auto" w:fill="auto"/>
            <w:vAlign w:val="center"/>
          </w:tcPr>
          <w:p w14:paraId="2F352CEE" w14:textId="57D5277C" w:rsidR="00441349" w:rsidRPr="00332AB5" w:rsidRDefault="00441349"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2.097,52</w:t>
            </w:r>
          </w:p>
        </w:tc>
        <w:tc>
          <w:tcPr>
            <w:tcW w:w="347" w:type="pct"/>
            <w:gridSpan w:val="2"/>
            <w:tcBorders>
              <w:top w:val="single" w:sz="4" w:space="0" w:color="808080" w:themeColor="background1" w:themeShade="80"/>
              <w:bottom w:val="single" w:sz="4" w:space="0" w:color="808080" w:themeColor="background1" w:themeShade="80"/>
            </w:tcBorders>
            <w:shd w:val="clear" w:color="auto" w:fill="auto"/>
            <w:vAlign w:val="center"/>
          </w:tcPr>
          <w:p w14:paraId="260982B3" w14:textId="4FEF45E4" w:rsidR="00441349" w:rsidRPr="00332AB5" w:rsidRDefault="00441349" w:rsidP="0044134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79,94</w:t>
            </w:r>
          </w:p>
        </w:tc>
      </w:tr>
    </w:tbl>
    <w:p w14:paraId="01754DEF" w14:textId="77777777" w:rsidR="00EE630F" w:rsidRPr="00332AB5" w:rsidRDefault="00EE630F" w:rsidP="00EF4E6E">
      <w:pPr>
        <w:spacing w:before="120" w:after="120"/>
        <w:jc w:val="both"/>
        <w:rPr>
          <w:b/>
        </w:rPr>
      </w:pPr>
    </w:p>
    <w:p w14:paraId="1E6DC508" w14:textId="7771115C" w:rsidR="00DF5566" w:rsidRPr="00332AB5" w:rsidRDefault="00EE630F" w:rsidP="00D950E3">
      <w:pPr>
        <w:rPr>
          <w:b/>
          <w:bCs/>
        </w:rPr>
      </w:pPr>
      <w:r w:rsidRPr="00332AB5">
        <w:rPr>
          <w:b/>
        </w:rPr>
        <w:br w:type="page"/>
      </w:r>
      <w:bookmarkStart w:id="65" w:name="_Toc152595303"/>
      <w:r w:rsidR="00ED1450" w:rsidRPr="00332AB5">
        <w:rPr>
          <w:b/>
        </w:rPr>
        <w:lastRenderedPageBreak/>
        <w:t xml:space="preserve">Grafikon </w:t>
      </w:r>
      <w:r w:rsidR="008C2CC3" w:rsidRPr="00332AB5">
        <w:rPr>
          <w:rFonts w:eastAsia="Calibri"/>
          <w:b/>
          <w:szCs w:val="22"/>
          <w:lang w:eastAsia="en-US"/>
        </w:rPr>
        <w:fldChar w:fldCharType="begin"/>
      </w:r>
      <w:r w:rsidR="0002082E" w:rsidRPr="00332AB5">
        <w:rPr>
          <w:b/>
          <w:bCs/>
        </w:rPr>
        <w:instrText xml:space="preserve"> SEQ Grafikon \* ARABIC </w:instrText>
      </w:r>
      <w:r w:rsidR="008C2CC3" w:rsidRPr="00332AB5">
        <w:rPr>
          <w:rFonts w:eastAsia="Calibri"/>
          <w:b/>
          <w:szCs w:val="22"/>
          <w:lang w:eastAsia="en-US"/>
        </w:rPr>
        <w:fldChar w:fldCharType="separate"/>
      </w:r>
      <w:r w:rsidR="005E6E46">
        <w:rPr>
          <w:b/>
          <w:bCs/>
          <w:noProof/>
        </w:rPr>
        <w:t>3</w:t>
      </w:r>
      <w:r w:rsidR="008C2CC3" w:rsidRPr="00332AB5">
        <w:rPr>
          <w:rFonts w:eastAsia="Calibri"/>
          <w:b/>
          <w:szCs w:val="22"/>
          <w:lang w:eastAsia="en-US"/>
        </w:rPr>
        <w:fldChar w:fldCharType="end"/>
      </w:r>
      <w:r w:rsidR="00ED1450" w:rsidRPr="00332AB5">
        <w:rPr>
          <w:b/>
        </w:rPr>
        <w:t xml:space="preserve">: </w:t>
      </w:r>
      <w:r w:rsidR="00ED1450" w:rsidRPr="00332AB5">
        <w:rPr>
          <w:rFonts w:eastAsia="Calibri"/>
          <w:b/>
          <w:bCs/>
        </w:rPr>
        <w:t>Grafički prikaz geografske rasprostranjenosti projekata u okviru shema dodjele bespovratnih sredstava</w:t>
      </w:r>
      <w:r w:rsidR="00ED1450" w:rsidRPr="00332AB5">
        <w:rPr>
          <w:b/>
          <w:bCs/>
        </w:rPr>
        <w:t xml:space="preserve"> Programa ruralnog razvoja od početka provedbe do kraja izvještajnog razdoblja</w:t>
      </w:r>
      <w:r w:rsidR="0039626B" w:rsidRPr="00332AB5">
        <w:rPr>
          <w:b/>
          <w:bCs/>
        </w:rPr>
        <w:t xml:space="preserve"> </w:t>
      </w:r>
      <w:r w:rsidR="0011067E" w:rsidRPr="00332AB5">
        <w:rPr>
          <w:b/>
          <w:bCs/>
        </w:rPr>
        <w:t>30. lipnja 2023.</w:t>
      </w:r>
      <w:r w:rsidR="0039626B" w:rsidRPr="00332AB5">
        <w:rPr>
          <w:b/>
          <w:bCs/>
        </w:rPr>
        <w:t xml:space="preserve"> </w:t>
      </w:r>
      <w:r w:rsidR="00ED1450" w:rsidRPr="00332AB5">
        <w:rPr>
          <w:b/>
          <w:bCs/>
        </w:rPr>
        <w:t>(sredstva EU, u postocima)</w:t>
      </w:r>
      <w:bookmarkEnd w:id="65"/>
    </w:p>
    <w:p w14:paraId="742C83BE" w14:textId="77777777" w:rsidR="00486D38" w:rsidRPr="00332AB5" w:rsidRDefault="00486D38" w:rsidP="00EF4E6E">
      <w:pPr>
        <w:spacing w:before="120" w:after="120"/>
        <w:jc w:val="both"/>
        <w:rPr>
          <w:b/>
          <w:bCs/>
        </w:rPr>
      </w:pPr>
    </w:p>
    <w:p w14:paraId="6AC706EF" w14:textId="77777777" w:rsidR="00486D38" w:rsidRPr="00332AB5" w:rsidRDefault="00486D38" w:rsidP="00EF4E6E">
      <w:pPr>
        <w:spacing w:before="120" w:after="120"/>
        <w:jc w:val="both"/>
        <w:rPr>
          <w:b/>
          <w:bCs/>
        </w:rPr>
      </w:pPr>
      <w:r w:rsidRPr="00332AB5">
        <w:rPr>
          <w:b/>
          <w:bCs/>
          <w:noProof/>
        </w:rPr>
        <w:drawing>
          <wp:inline distT="0" distB="0" distL="0" distR="0" wp14:anchorId="23CCDB4B" wp14:editId="04EFD300">
            <wp:extent cx="5486400" cy="477202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C59CDDE" w14:textId="77777777" w:rsidR="003B0812" w:rsidRPr="00332AB5" w:rsidRDefault="003B0812" w:rsidP="003B0812">
      <w:pPr>
        <w:spacing w:before="120" w:after="120"/>
        <w:jc w:val="both"/>
        <w:rPr>
          <w:sz w:val="24"/>
          <w:szCs w:val="24"/>
        </w:rPr>
      </w:pPr>
      <w:bookmarkStart w:id="66" w:name="_Hlk152587896"/>
      <w:r w:rsidRPr="00332AB5">
        <w:rPr>
          <w:sz w:val="24"/>
          <w:szCs w:val="24"/>
        </w:rPr>
        <w:t>U izvještajnom razdoblju objavljeni su sljedeći pravilnici o provedbi mjera PRR-a:</w:t>
      </w:r>
    </w:p>
    <w:p w14:paraId="4C3BABDE" w14:textId="74A1609A" w:rsidR="003B0812" w:rsidRPr="00332AB5" w:rsidRDefault="003B0812">
      <w:pPr>
        <w:numPr>
          <w:ilvl w:val="0"/>
          <w:numId w:val="11"/>
        </w:numPr>
        <w:spacing w:before="120" w:after="120"/>
        <w:contextualSpacing/>
        <w:jc w:val="both"/>
        <w:rPr>
          <w:sz w:val="24"/>
          <w:szCs w:val="24"/>
        </w:rPr>
      </w:pPr>
      <w:bookmarkStart w:id="67" w:name="_Hlk152587844"/>
      <w:bookmarkEnd w:id="66"/>
      <w:r w:rsidRPr="00332AB5">
        <w:rPr>
          <w:sz w:val="24"/>
          <w:szCs w:val="24"/>
        </w:rPr>
        <w:t>Pravilnik o izmjenama i dopunama Pravilnika o provedbi mjera Programa ruralnog razvoja Republike Hrvatske za razdoblje 2014. – 2020.</w:t>
      </w:r>
      <w:r w:rsidRPr="00332AB5">
        <w:t xml:space="preserve"> </w:t>
      </w:r>
      <w:r w:rsidRPr="00332AB5">
        <w:rPr>
          <w:sz w:val="24"/>
          <w:szCs w:val="24"/>
        </w:rPr>
        <w:t>(</w:t>
      </w:r>
      <w:bookmarkStart w:id="68" w:name="_Hlk152588188"/>
      <w:r w:rsidR="00254B1E" w:rsidRPr="00332AB5">
        <w:rPr>
          <w:sz w:val="24"/>
          <w:szCs w:val="24"/>
        </w:rPr>
        <w:t>„Narodne novine“, broj:</w:t>
      </w:r>
      <w:r w:rsidRPr="00332AB5">
        <w:rPr>
          <w:sz w:val="24"/>
          <w:szCs w:val="24"/>
        </w:rPr>
        <w:t xml:space="preserve"> </w:t>
      </w:r>
      <w:bookmarkEnd w:id="68"/>
      <w:r w:rsidR="00E625F3" w:rsidRPr="00332AB5">
        <w:rPr>
          <w:sz w:val="24"/>
          <w:szCs w:val="24"/>
        </w:rPr>
        <w:t>10</w:t>
      </w:r>
      <w:r w:rsidRPr="00332AB5">
        <w:rPr>
          <w:sz w:val="24"/>
          <w:szCs w:val="24"/>
        </w:rPr>
        <w:t>/23</w:t>
      </w:r>
      <w:r w:rsidR="00254B1E" w:rsidRPr="00332AB5">
        <w:rPr>
          <w:sz w:val="24"/>
          <w:szCs w:val="24"/>
        </w:rPr>
        <w:t>.</w:t>
      </w:r>
      <w:r w:rsidRPr="00332AB5">
        <w:rPr>
          <w:sz w:val="24"/>
          <w:szCs w:val="24"/>
        </w:rPr>
        <w:t>)</w:t>
      </w:r>
    </w:p>
    <w:bookmarkEnd w:id="67"/>
    <w:p w14:paraId="283D44FB" w14:textId="3E096D35" w:rsidR="003B0812" w:rsidRPr="00332AB5" w:rsidRDefault="003B0812">
      <w:pPr>
        <w:numPr>
          <w:ilvl w:val="0"/>
          <w:numId w:val="11"/>
        </w:numPr>
        <w:spacing w:before="120" w:after="120"/>
        <w:contextualSpacing/>
        <w:jc w:val="both"/>
        <w:rPr>
          <w:sz w:val="24"/>
          <w:szCs w:val="24"/>
        </w:rPr>
      </w:pPr>
      <w:r w:rsidRPr="00332AB5">
        <w:rPr>
          <w:sz w:val="24"/>
          <w:szCs w:val="24"/>
        </w:rPr>
        <w:t>Pravilnik o provedbi izravne potpore poljoprivredi i IAKS mjera ruralnog razvoja za 2023. godinu (</w:t>
      </w:r>
      <w:r w:rsidR="00254B1E" w:rsidRPr="00332AB5">
        <w:rPr>
          <w:sz w:val="24"/>
          <w:szCs w:val="24"/>
        </w:rPr>
        <w:t xml:space="preserve">„Narodne novine“, broj: </w:t>
      </w:r>
      <w:r w:rsidRPr="00332AB5">
        <w:rPr>
          <w:sz w:val="24"/>
          <w:szCs w:val="24"/>
        </w:rPr>
        <w:t>25/23</w:t>
      </w:r>
      <w:r w:rsidR="00254B1E" w:rsidRPr="00332AB5">
        <w:rPr>
          <w:sz w:val="24"/>
          <w:szCs w:val="24"/>
        </w:rPr>
        <w:t>.</w:t>
      </w:r>
      <w:r w:rsidRPr="00332AB5">
        <w:rPr>
          <w:sz w:val="24"/>
          <w:szCs w:val="24"/>
        </w:rPr>
        <w:t>)</w:t>
      </w:r>
    </w:p>
    <w:p w14:paraId="518C2926" w14:textId="0AAF6BBE" w:rsidR="003B0812" w:rsidRPr="00332AB5" w:rsidRDefault="003B0812">
      <w:pPr>
        <w:numPr>
          <w:ilvl w:val="0"/>
          <w:numId w:val="11"/>
        </w:numPr>
        <w:spacing w:before="120" w:after="120"/>
        <w:contextualSpacing/>
        <w:jc w:val="both"/>
        <w:rPr>
          <w:sz w:val="24"/>
          <w:szCs w:val="24"/>
        </w:rPr>
      </w:pPr>
      <w:r w:rsidRPr="00332AB5">
        <w:rPr>
          <w:sz w:val="24"/>
          <w:szCs w:val="24"/>
        </w:rPr>
        <w:t>Pravilnik o izmjeni Pravilnika o provedbi izravne potpore poljoprivredi i IAKS mjera ruralnog razvoja za 2023. godinu (</w:t>
      </w:r>
      <w:r w:rsidR="00254B1E" w:rsidRPr="00332AB5">
        <w:rPr>
          <w:sz w:val="24"/>
          <w:szCs w:val="24"/>
        </w:rPr>
        <w:t xml:space="preserve">„Narodne novine“, broj: </w:t>
      </w:r>
      <w:r w:rsidRPr="00332AB5">
        <w:rPr>
          <w:sz w:val="24"/>
          <w:szCs w:val="24"/>
        </w:rPr>
        <w:t>51/23</w:t>
      </w:r>
      <w:r w:rsidR="00254B1E" w:rsidRPr="00332AB5">
        <w:rPr>
          <w:sz w:val="24"/>
          <w:szCs w:val="24"/>
        </w:rPr>
        <w:t>.</w:t>
      </w:r>
      <w:r w:rsidRPr="00332AB5">
        <w:rPr>
          <w:sz w:val="24"/>
          <w:szCs w:val="24"/>
        </w:rPr>
        <w:t>)</w:t>
      </w:r>
    </w:p>
    <w:p w14:paraId="09137A17" w14:textId="06C50835" w:rsidR="003B0812" w:rsidRPr="00332AB5" w:rsidRDefault="003B0812">
      <w:pPr>
        <w:numPr>
          <w:ilvl w:val="0"/>
          <w:numId w:val="11"/>
        </w:numPr>
        <w:spacing w:before="120" w:after="120"/>
        <w:contextualSpacing/>
        <w:jc w:val="both"/>
        <w:rPr>
          <w:sz w:val="24"/>
          <w:szCs w:val="24"/>
        </w:rPr>
      </w:pPr>
      <w:r w:rsidRPr="00332AB5">
        <w:rPr>
          <w:sz w:val="24"/>
          <w:szCs w:val="24"/>
        </w:rPr>
        <w:t>Pravilnik o izmjenama i dopunama Pravilnika o provedbi izravne potpore poljoprivredi i IAKS mjera ruralnog razvoja za 2023. godinu (</w:t>
      </w:r>
      <w:r w:rsidR="00254B1E" w:rsidRPr="00332AB5">
        <w:rPr>
          <w:sz w:val="24"/>
          <w:szCs w:val="24"/>
        </w:rPr>
        <w:t>„Narodne novine“, broj:</w:t>
      </w:r>
      <w:r w:rsidRPr="00332AB5">
        <w:rPr>
          <w:sz w:val="24"/>
          <w:szCs w:val="24"/>
        </w:rPr>
        <w:t xml:space="preserve"> 56/23</w:t>
      </w:r>
      <w:r w:rsidR="00254B1E" w:rsidRPr="00332AB5">
        <w:rPr>
          <w:sz w:val="24"/>
          <w:szCs w:val="24"/>
        </w:rPr>
        <w:t>.</w:t>
      </w:r>
      <w:r w:rsidRPr="00332AB5">
        <w:rPr>
          <w:sz w:val="24"/>
          <w:szCs w:val="24"/>
        </w:rPr>
        <w:t>)</w:t>
      </w:r>
    </w:p>
    <w:p w14:paraId="4B3F6B51" w14:textId="4FD884DD" w:rsidR="003B0812" w:rsidRPr="00332AB5" w:rsidRDefault="003B0812">
      <w:pPr>
        <w:numPr>
          <w:ilvl w:val="0"/>
          <w:numId w:val="11"/>
        </w:numPr>
        <w:spacing w:before="120" w:after="120"/>
        <w:contextualSpacing/>
        <w:jc w:val="both"/>
        <w:rPr>
          <w:sz w:val="24"/>
          <w:szCs w:val="24"/>
        </w:rPr>
      </w:pPr>
      <w:r w:rsidRPr="00332AB5">
        <w:rPr>
          <w:sz w:val="24"/>
          <w:szCs w:val="24"/>
        </w:rPr>
        <w:t>Ispravak Pravilnika o izmjenama i dopunama Pravilnika o provedbi izravne potpore poljoprivredi i IAKS mjera ruralnog razvoja za 2023. godinu (</w:t>
      </w:r>
      <w:r w:rsidR="00254B1E" w:rsidRPr="00332AB5">
        <w:rPr>
          <w:sz w:val="24"/>
          <w:szCs w:val="24"/>
        </w:rPr>
        <w:t xml:space="preserve">„Narodne novine“, broj: </w:t>
      </w:r>
      <w:r w:rsidRPr="00332AB5">
        <w:rPr>
          <w:sz w:val="24"/>
          <w:szCs w:val="24"/>
        </w:rPr>
        <w:t>65/2023</w:t>
      </w:r>
      <w:r w:rsidR="00254B1E" w:rsidRPr="00332AB5">
        <w:rPr>
          <w:sz w:val="24"/>
          <w:szCs w:val="24"/>
        </w:rPr>
        <w:t>.</w:t>
      </w:r>
      <w:r w:rsidRPr="00332AB5">
        <w:rPr>
          <w:sz w:val="24"/>
          <w:szCs w:val="24"/>
        </w:rPr>
        <w:t>)</w:t>
      </w:r>
    </w:p>
    <w:p w14:paraId="6D44B244" w14:textId="5180AE57" w:rsidR="003B0812" w:rsidRPr="00332AB5" w:rsidRDefault="003B0812">
      <w:pPr>
        <w:numPr>
          <w:ilvl w:val="0"/>
          <w:numId w:val="11"/>
        </w:numPr>
        <w:spacing w:before="120" w:after="120"/>
        <w:contextualSpacing/>
        <w:jc w:val="both"/>
        <w:rPr>
          <w:sz w:val="24"/>
          <w:szCs w:val="24"/>
        </w:rPr>
      </w:pPr>
      <w:r w:rsidRPr="00332AB5">
        <w:rPr>
          <w:sz w:val="24"/>
          <w:szCs w:val="24"/>
        </w:rPr>
        <w:lastRenderedPageBreak/>
        <w:t>Pravilnik o određivanju područja s prirodnim i ostalim ograničenjima (</w:t>
      </w:r>
      <w:r w:rsidR="00254B1E" w:rsidRPr="00332AB5">
        <w:rPr>
          <w:sz w:val="24"/>
          <w:szCs w:val="24"/>
        </w:rPr>
        <w:t xml:space="preserve">„Narodne novine“, broj: </w:t>
      </w:r>
      <w:r w:rsidRPr="00332AB5">
        <w:rPr>
          <w:sz w:val="24"/>
          <w:szCs w:val="24"/>
        </w:rPr>
        <w:t>27/23</w:t>
      </w:r>
      <w:r w:rsidR="00254B1E" w:rsidRPr="00332AB5">
        <w:rPr>
          <w:sz w:val="24"/>
          <w:szCs w:val="24"/>
        </w:rPr>
        <w:t>.</w:t>
      </w:r>
      <w:r w:rsidRPr="00332AB5">
        <w:rPr>
          <w:sz w:val="24"/>
          <w:szCs w:val="24"/>
        </w:rPr>
        <w:t>)</w:t>
      </w:r>
    </w:p>
    <w:p w14:paraId="3875D182" w14:textId="77777777" w:rsidR="003B0812" w:rsidRPr="00332AB5" w:rsidRDefault="003B0812" w:rsidP="003B0812">
      <w:pPr>
        <w:spacing w:before="120" w:after="120"/>
        <w:jc w:val="both"/>
        <w:rPr>
          <w:sz w:val="24"/>
          <w:szCs w:val="24"/>
        </w:rPr>
      </w:pPr>
    </w:p>
    <w:p w14:paraId="7DCFA8E5" w14:textId="30B204FB" w:rsidR="003B0812" w:rsidRPr="00332AB5" w:rsidRDefault="003B0812" w:rsidP="003B0812">
      <w:pPr>
        <w:spacing w:before="120" w:after="120"/>
        <w:jc w:val="both"/>
        <w:rPr>
          <w:sz w:val="24"/>
          <w:szCs w:val="24"/>
        </w:rPr>
      </w:pPr>
      <w:r w:rsidRPr="00332AB5">
        <w:rPr>
          <w:sz w:val="24"/>
          <w:szCs w:val="24"/>
        </w:rPr>
        <w:t>U izvještajnom razdoblju je poduzet niz aktivnosti radi učinkovitije provedbe Programa:</w:t>
      </w:r>
    </w:p>
    <w:p w14:paraId="228F57F9" w14:textId="4E84E4F4" w:rsidR="003B0812" w:rsidRPr="00332AB5" w:rsidRDefault="003B0812">
      <w:pPr>
        <w:numPr>
          <w:ilvl w:val="0"/>
          <w:numId w:val="11"/>
        </w:numPr>
        <w:spacing w:before="120" w:after="120"/>
        <w:ind w:left="714" w:hanging="357"/>
        <w:contextualSpacing/>
        <w:jc w:val="both"/>
        <w:rPr>
          <w:sz w:val="24"/>
          <w:szCs w:val="24"/>
        </w:rPr>
      </w:pPr>
      <w:r w:rsidRPr="00332AB5">
        <w:rPr>
          <w:sz w:val="24"/>
          <w:szCs w:val="24"/>
        </w:rPr>
        <w:t>Dana 23. siječnja 2023., započelo je podnošenje Zahtjeva na četvrti po redu Natječaj za obnovu poljoprivrednih potencijala narušenih u potresu u sklopu tipa operacije 5.2.1.</w:t>
      </w:r>
    </w:p>
    <w:p w14:paraId="702EABD1" w14:textId="3D789A3C" w:rsidR="003B0812" w:rsidRPr="00332AB5" w:rsidRDefault="003B0812">
      <w:pPr>
        <w:numPr>
          <w:ilvl w:val="0"/>
          <w:numId w:val="11"/>
        </w:numPr>
        <w:spacing w:before="120" w:after="120"/>
        <w:contextualSpacing/>
        <w:jc w:val="both"/>
        <w:rPr>
          <w:sz w:val="24"/>
          <w:szCs w:val="24"/>
        </w:rPr>
      </w:pPr>
      <w:r w:rsidRPr="00332AB5">
        <w:rPr>
          <w:sz w:val="24"/>
          <w:szCs w:val="24"/>
        </w:rPr>
        <w:t>Dana 31. siječnja 2023. u Zagrebu održan je sastanak s više od stotinu predstavnika iz 51 lokalne akcijske grupe (LAG) na temu stanja provedbe LEADER pristupa u Hrvatskoj i mogućnostima za provedbu ovog programa od 2023. godine. Sastanak se održao u okviru radionice koju je Ministarstvo poljoprivrede u suradnji s Nacionalnom ruralnom mrežom, LEADER mrežom Hrvatske i Hrvatskom mrežom za ruralni razvoj organiziralo za LAG-ove.</w:t>
      </w:r>
    </w:p>
    <w:p w14:paraId="49827240" w14:textId="77777777" w:rsidR="003B0812" w:rsidRPr="00332AB5" w:rsidRDefault="003B0812">
      <w:pPr>
        <w:numPr>
          <w:ilvl w:val="0"/>
          <w:numId w:val="11"/>
        </w:numPr>
        <w:spacing w:before="120" w:after="120"/>
        <w:contextualSpacing/>
        <w:jc w:val="both"/>
        <w:rPr>
          <w:sz w:val="24"/>
          <w:szCs w:val="24"/>
        </w:rPr>
      </w:pPr>
      <w:r w:rsidRPr="00332AB5">
        <w:rPr>
          <w:sz w:val="24"/>
          <w:szCs w:val="24"/>
        </w:rPr>
        <w:t>Radi ublažavanja posljedica učinaka ruske invazije na Ukrajinu te osiguravanje likvidnosti s kojim se suočavaju poljoprivrednici te mikro, mala i srednja poduzeća koja se bave preradom, plasiranjem na tržište i razvojem poljoprivrednih proizvoda, objavljena su dva natječaja za provedbu mjere 22 „Izvanredna privremena potpora poljoprivrednicima i MSP-ovima koji su posebno pogođeni učinkom ruske invazije na Ukrajinu“ iz Programa. Ukupni iznos potpore raspoloživ kroz ove natječaje je bio 31.853.474,02 eura.</w:t>
      </w:r>
    </w:p>
    <w:p w14:paraId="2C65EEDF" w14:textId="4E74C223" w:rsidR="003B0812" w:rsidRPr="00332AB5" w:rsidRDefault="003B0812">
      <w:pPr>
        <w:numPr>
          <w:ilvl w:val="0"/>
          <w:numId w:val="11"/>
        </w:numPr>
        <w:spacing w:before="120" w:after="120"/>
        <w:contextualSpacing/>
        <w:jc w:val="both"/>
        <w:rPr>
          <w:sz w:val="24"/>
          <w:szCs w:val="24"/>
        </w:rPr>
      </w:pPr>
      <w:r w:rsidRPr="00332AB5">
        <w:rPr>
          <w:sz w:val="24"/>
          <w:szCs w:val="24"/>
        </w:rPr>
        <w:t xml:space="preserve">Od 6. ožujka 2023. započelo je podnošenje Jedinstvenog zahtjeva za izravne potpore poljoprivredi i IAKS mjere ruralnog razvoja za 2023. godinu. </w:t>
      </w:r>
    </w:p>
    <w:p w14:paraId="5D89B0E2" w14:textId="414FDCFE" w:rsidR="003B0812" w:rsidRPr="00332AB5" w:rsidRDefault="003B0812">
      <w:pPr>
        <w:numPr>
          <w:ilvl w:val="0"/>
          <w:numId w:val="11"/>
        </w:numPr>
        <w:spacing w:before="120" w:after="120"/>
        <w:contextualSpacing/>
        <w:jc w:val="both"/>
        <w:rPr>
          <w:sz w:val="24"/>
          <w:szCs w:val="24"/>
        </w:rPr>
      </w:pPr>
      <w:r w:rsidRPr="00332AB5">
        <w:rPr>
          <w:sz w:val="24"/>
          <w:szCs w:val="24"/>
        </w:rPr>
        <w:t>Dana 6. ožujka 2023. predstavljen</w:t>
      </w:r>
      <w:r w:rsidR="0050417E" w:rsidRPr="00332AB5">
        <w:rPr>
          <w:sz w:val="24"/>
          <w:szCs w:val="24"/>
        </w:rPr>
        <w:t xml:space="preserve"> je</w:t>
      </w:r>
      <w:r w:rsidRPr="00332AB5">
        <w:rPr>
          <w:sz w:val="24"/>
          <w:szCs w:val="24"/>
        </w:rPr>
        <w:t xml:space="preserve"> novi sustav monitoringa poljoprivrednih površina koji je aktivan i funkcionalan od ove godine za područje cijele Hrvatske, dok je prošle godine primjenjivan kao pilot projekt na područjima Osječko-baranjske i Vukovarsko-srijemske županije.</w:t>
      </w:r>
      <w:r w:rsidRPr="00332AB5">
        <w:t xml:space="preserve"> </w:t>
      </w:r>
      <w:r w:rsidRPr="00332AB5">
        <w:rPr>
          <w:sz w:val="24"/>
          <w:szCs w:val="24"/>
        </w:rPr>
        <w:t>Osnovna namjena sustava i njegova najveća vrijednost jesu upravo rana upozorenja poljoprivrednicima vezana uz ispunjavanje kriterija prihvatljivosti i obveza u okviru mjera propisanih Pravilnikom o provedbi izravne potpore i IAKS mjera ruralnog razvoja za 2023. godinu te razvijanje komunikacije i suradnje s proizvođačima.</w:t>
      </w:r>
    </w:p>
    <w:p w14:paraId="0653C012" w14:textId="77777777" w:rsidR="003B0812" w:rsidRPr="00332AB5" w:rsidRDefault="003B0812">
      <w:pPr>
        <w:numPr>
          <w:ilvl w:val="0"/>
          <w:numId w:val="11"/>
        </w:numPr>
        <w:spacing w:before="120" w:after="120"/>
        <w:contextualSpacing/>
        <w:jc w:val="both"/>
        <w:rPr>
          <w:sz w:val="24"/>
          <w:szCs w:val="24"/>
        </w:rPr>
      </w:pPr>
      <w:r w:rsidRPr="00332AB5">
        <w:rPr>
          <w:sz w:val="24"/>
          <w:szCs w:val="24"/>
        </w:rPr>
        <w:t xml:space="preserve">u Splitu, Rijeci, Zagrebu i Osijeku su tijekom ožujka i travnja 2023. godine održane regionalne radionice „Izravna plaćanja i IAKS mjere u 2023. godini”. Radionica je bila namijenjena prvenstveno poljoprivrednicima, ali i stručnim službama i službama za podršku poljoprivrednicima u RH. </w:t>
      </w:r>
    </w:p>
    <w:p w14:paraId="55FC3094" w14:textId="7B0BF3F2" w:rsidR="003B0812" w:rsidRPr="00332AB5" w:rsidRDefault="003B0812" w:rsidP="005D7050">
      <w:pPr>
        <w:numPr>
          <w:ilvl w:val="0"/>
          <w:numId w:val="11"/>
        </w:numPr>
        <w:spacing w:before="120" w:after="120"/>
        <w:contextualSpacing/>
        <w:jc w:val="both"/>
        <w:rPr>
          <w:sz w:val="24"/>
          <w:szCs w:val="24"/>
        </w:rPr>
      </w:pPr>
      <w:r w:rsidRPr="00332AB5">
        <w:rPr>
          <w:sz w:val="24"/>
          <w:szCs w:val="24"/>
        </w:rPr>
        <w:t>Republika Hrvatska je bila domaćin prvog sastanka Nacionalnih mreža Zajedničke poljoprivredne politike (NMZPP), koji se održao u gradu Omišu od 22.</w:t>
      </w:r>
      <w:r w:rsidR="000F59CF" w:rsidRPr="00332AB5">
        <w:rPr>
          <w:sz w:val="24"/>
          <w:szCs w:val="24"/>
        </w:rPr>
        <w:t xml:space="preserve"> – </w:t>
      </w:r>
      <w:r w:rsidRPr="00332AB5">
        <w:rPr>
          <w:sz w:val="24"/>
          <w:szCs w:val="24"/>
        </w:rPr>
        <w:t>23. ožujka 2023. Sastanku je prisustvovalo više od 75 sudionika iz 25 država članica Europske unije, uključujući Hrvatsku kao domaćina. Naime, sastanci NMZPP-a su namijenjeni nacionalnim mrežama za razmjenu znanja i iskustava vezano za ulogu i funkcioniranje mreža, a organizator istih je Europska mreža Zajedničke poljoprivredne politike, svaki put u drugoj državi članici Europske unije.</w:t>
      </w:r>
    </w:p>
    <w:p w14:paraId="094F6C30" w14:textId="77777777" w:rsidR="0021229F" w:rsidRPr="00332AB5" w:rsidRDefault="003B0812" w:rsidP="00332AB5">
      <w:pPr>
        <w:numPr>
          <w:ilvl w:val="0"/>
          <w:numId w:val="11"/>
        </w:numPr>
        <w:spacing w:before="120" w:after="120"/>
        <w:contextualSpacing/>
        <w:jc w:val="both"/>
        <w:rPr>
          <w:sz w:val="24"/>
          <w:szCs w:val="24"/>
        </w:rPr>
      </w:pPr>
      <w:r w:rsidRPr="00332AB5">
        <w:rPr>
          <w:sz w:val="24"/>
          <w:szCs w:val="24"/>
        </w:rPr>
        <w:lastRenderedPageBreak/>
        <w:t>Mreža je izradila novi Pravilnik te je donesen Višegodišnji indikativni akcijski plan, ujedno pokrenuta je promotivna kampanja Umreži se za privlačenje novih članova u Mrežu. U sklopu projekta Agriculture and Rural Inspiration Awards kojeg organizira Europska ZPP Mreža, Nacionalna ZPP mreža je prikupljala primjere dobre prakse od svojih članova te prijavila dva projekta.</w:t>
      </w:r>
    </w:p>
    <w:p w14:paraId="2EA3AC99" w14:textId="177DA8D7" w:rsidR="003B0812" w:rsidRPr="00332AB5" w:rsidRDefault="003B0812" w:rsidP="00332AB5">
      <w:pPr>
        <w:numPr>
          <w:ilvl w:val="0"/>
          <w:numId w:val="11"/>
        </w:numPr>
        <w:spacing w:before="120" w:after="120"/>
        <w:contextualSpacing/>
        <w:jc w:val="both"/>
        <w:rPr>
          <w:sz w:val="24"/>
          <w:szCs w:val="24"/>
        </w:rPr>
      </w:pPr>
      <w:r w:rsidRPr="00332AB5">
        <w:rPr>
          <w:sz w:val="24"/>
          <w:szCs w:val="24"/>
        </w:rPr>
        <w:t>Od 29. do 31.ožujka 2023. na Korčuli je održana radionica za LAG-ove „PROVEDBA LEADER PRISTUPA U RAZDOBLJU 2023.</w:t>
      </w:r>
      <w:r w:rsidR="00AA7D06" w:rsidRPr="00332AB5">
        <w:rPr>
          <w:sz w:val="24"/>
          <w:szCs w:val="24"/>
        </w:rPr>
        <w:t xml:space="preserve"> </w:t>
      </w:r>
      <w:r w:rsidRPr="00332AB5">
        <w:rPr>
          <w:sz w:val="24"/>
          <w:szCs w:val="24"/>
        </w:rPr>
        <w:t>-</w:t>
      </w:r>
      <w:r w:rsidR="00AA7D06" w:rsidRPr="00332AB5">
        <w:rPr>
          <w:sz w:val="24"/>
          <w:szCs w:val="24"/>
        </w:rPr>
        <w:t xml:space="preserve"> </w:t>
      </w:r>
      <w:r w:rsidRPr="00332AB5">
        <w:rPr>
          <w:sz w:val="24"/>
          <w:szCs w:val="24"/>
        </w:rPr>
        <w:t>2027.“ u organizaciji/suorganizaciji Ministarstva poljoprivrede, Nacionalne ruralne mreže, LEADER mreže Hrvatske, Hrvatske mreže za ruralni razvoj, Agencije za plaćanja u poljoprivredi, ribarstvu i ruralnom razvoju te uz domaćinstvo LAG-a 5 koji obuhvaća i područje otoka Korčule. Na radionici je sudjelovalo preko 110 predstavnika LAG-ova iz cijele Republike Hrvatske. Sudionici su raspravljali o trenutnom stanju provedbe LEADER mjere unutar Programa ruralnog razvoja, a naglasak je bio na pripremama za provedbu LEADER pristupa u razdoblju 2023.</w:t>
      </w:r>
      <w:r w:rsidR="000F59CF" w:rsidRPr="00332AB5">
        <w:rPr>
          <w:sz w:val="24"/>
          <w:szCs w:val="24"/>
        </w:rPr>
        <w:t xml:space="preserve"> – </w:t>
      </w:r>
      <w:r w:rsidRPr="00332AB5">
        <w:rPr>
          <w:sz w:val="24"/>
          <w:szCs w:val="24"/>
        </w:rPr>
        <w:t>2027. (završetak izrade lokalnih razvojnih strategija 2023.</w:t>
      </w:r>
      <w:r w:rsidR="000F59CF" w:rsidRPr="00332AB5">
        <w:rPr>
          <w:sz w:val="24"/>
          <w:szCs w:val="24"/>
        </w:rPr>
        <w:t xml:space="preserve"> – </w:t>
      </w:r>
      <w:r w:rsidRPr="00332AB5">
        <w:rPr>
          <w:sz w:val="24"/>
          <w:szCs w:val="24"/>
        </w:rPr>
        <w:t>2027., izrada Pravilnika za provedbu intervencije 77.06., izrada LEADER operativnih pravila) kao važnog elementa u provedbi ruralnog razvoja iz Strateškog plana Zajedničke poljoprivredne politike Republike Hrvatske 2023.</w:t>
      </w:r>
      <w:r w:rsidR="007316A2" w:rsidRPr="00332AB5">
        <w:rPr>
          <w:sz w:val="24"/>
          <w:szCs w:val="24"/>
        </w:rPr>
        <w:t xml:space="preserve"> </w:t>
      </w:r>
      <w:r w:rsidRPr="00332AB5">
        <w:rPr>
          <w:sz w:val="24"/>
          <w:szCs w:val="24"/>
        </w:rPr>
        <w:t>-</w:t>
      </w:r>
      <w:r w:rsidR="007316A2" w:rsidRPr="00332AB5">
        <w:rPr>
          <w:sz w:val="24"/>
          <w:szCs w:val="24"/>
        </w:rPr>
        <w:t xml:space="preserve"> </w:t>
      </w:r>
      <w:r w:rsidRPr="00332AB5">
        <w:rPr>
          <w:sz w:val="24"/>
          <w:szCs w:val="24"/>
        </w:rPr>
        <w:t>2027.</w:t>
      </w:r>
    </w:p>
    <w:p w14:paraId="58214644" w14:textId="41EEF81D" w:rsidR="003B0812" w:rsidRPr="00332AB5" w:rsidRDefault="003B0812">
      <w:pPr>
        <w:numPr>
          <w:ilvl w:val="0"/>
          <w:numId w:val="11"/>
        </w:numPr>
        <w:spacing w:before="120" w:after="120"/>
        <w:contextualSpacing/>
        <w:jc w:val="both"/>
        <w:rPr>
          <w:sz w:val="24"/>
          <w:szCs w:val="24"/>
        </w:rPr>
      </w:pPr>
      <w:r w:rsidRPr="00332AB5">
        <w:rPr>
          <w:sz w:val="24"/>
          <w:szCs w:val="24"/>
        </w:rPr>
        <w:t xml:space="preserve">U Mošćeničkoj Dragi, 24. svibnja 2023., održana </w:t>
      </w:r>
      <w:r w:rsidR="0050417E" w:rsidRPr="00332AB5">
        <w:rPr>
          <w:sz w:val="24"/>
          <w:szCs w:val="24"/>
        </w:rPr>
        <w:t>je</w:t>
      </w:r>
      <w:r w:rsidR="00891F60" w:rsidRPr="00332AB5">
        <w:rPr>
          <w:sz w:val="24"/>
          <w:szCs w:val="24"/>
        </w:rPr>
        <w:t xml:space="preserve"> </w:t>
      </w:r>
      <w:r w:rsidRPr="00332AB5">
        <w:rPr>
          <w:sz w:val="24"/>
          <w:szCs w:val="24"/>
        </w:rPr>
        <w:t>radionica za LAG-ove „Izrada LRS LAG-ova za razdoblje 2023. – 2027., Pravilnika za provedbu intervencije 77.06 i Uputa za izradu LRS i LAG intervencija 2023.</w:t>
      </w:r>
      <w:r w:rsidR="000F59CF" w:rsidRPr="00332AB5">
        <w:rPr>
          <w:sz w:val="24"/>
          <w:szCs w:val="24"/>
        </w:rPr>
        <w:t xml:space="preserve"> – </w:t>
      </w:r>
      <w:r w:rsidRPr="00332AB5">
        <w:rPr>
          <w:sz w:val="24"/>
          <w:szCs w:val="24"/>
        </w:rPr>
        <w:t>2027.“ u organizaciji/suorganizaciji Ministarstva poljoprivrede, Nacionalne ruralne mreže, LEADER mreže Hrvatske, Hrvatske mreže za ruralni razvoj, Agencije za plaćanja u poljoprivredi, ribarstvu i ruralnom razvoju te uz domaćinstvo LAG-a Terra Liburna. Na radionici je sudjelovalo više od 100 predstavnika LAG-ova iz cijele Republike Hrvatske. Sudionici su raspravljali o provedbi LEADER pristupa u razdoblju 2023.</w:t>
      </w:r>
      <w:r w:rsidR="000F59CF" w:rsidRPr="00332AB5">
        <w:rPr>
          <w:sz w:val="24"/>
          <w:szCs w:val="24"/>
        </w:rPr>
        <w:t xml:space="preserve"> – </w:t>
      </w:r>
      <w:r w:rsidRPr="00332AB5">
        <w:rPr>
          <w:sz w:val="24"/>
          <w:szCs w:val="24"/>
        </w:rPr>
        <w:t>2027. Naglasak je bio na završetku izrade lokalnih razvojnih strategija LAG-ova za razdoblje 2023.</w:t>
      </w:r>
      <w:r w:rsidR="000F59CF" w:rsidRPr="00332AB5">
        <w:rPr>
          <w:sz w:val="24"/>
          <w:szCs w:val="24"/>
        </w:rPr>
        <w:t xml:space="preserve"> – </w:t>
      </w:r>
      <w:r w:rsidRPr="00332AB5">
        <w:rPr>
          <w:sz w:val="24"/>
          <w:szCs w:val="24"/>
        </w:rPr>
        <w:t>2027. odnosno LAG intervencija unutar provedbe intervencije 77.06. „Potpora LEADER (CLLD) pristupu“ iz Strateškog plana Zajedničke poljoprivredne politike Republike Hrvatske 2023.</w:t>
      </w:r>
      <w:r w:rsidR="003B16E9" w:rsidRPr="00332AB5">
        <w:rPr>
          <w:sz w:val="24"/>
          <w:szCs w:val="24"/>
        </w:rPr>
        <w:t xml:space="preserve"> </w:t>
      </w:r>
      <w:r w:rsidRPr="00332AB5">
        <w:rPr>
          <w:sz w:val="24"/>
          <w:szCs w:val="24"/>
        </w:rPr>
        <w:t>-</w:t>
      </w:r>
      <w:r w:rsidR="003B16E9" w:rsidRPr="00332AB5">
        <w:rPr>
          <w:sz w:val="24"/>
          <w:szCs w:val="24"/>
        </w:rPr>
        <w:t xml:space="preserve"> </w:t>
      </w:r>
      <w:r w:rsidRPr="00332AB5">
        <w:rPr>
          <w:sz w:val="24"/>
          <w:szCs w:val="24"/>
        </w:rPr>
        <w:t>2027.</w:t>
      </w:r>
    </w:p>
    <w:p w14:paraId="2AD7D46B" w14:textId="11A17BBB" w:rsidR="003B0812" w:rsidRPr="00332AB5" w:rsidRDefault="003B0812">
      <w:pPr>
        <w:numPr>
          <w:ilvl w:val="0"/>
          <w:numId w:val="11"/>
        </w:numPr>
        <w:spacing w:before="120" w:after="120"/>
        <w:ind w:left="714" w:hanging="357"/>
        <w:contextualSpacing/>
        <w:jc w:val="both"/>
        <w:rPr>
          <w:sz w:val="24"/>
          <w:szCs w:val="24"/>
        </w:rPr>
      </w:pPr>
      <w:r w:rsidRPr="00332AB5">
        <w:rPr>
          <w:sz w:val="24"/>
          <w:szCs w:val="24"/>
        </w:rPr>
        <w:t>Od 12.</w:t>
      </w:r>
      <w:r w:rsidR="000F59CF" w:rsidRPr="00332AB5">
        <w:rPr>
          <w:sz w:val="24"/>
          <w:szCs w:val="24"/>
        </w:rPr>
        <w:t xml:space="preserve"> – </w:t>
      </w:r>
      <w:r w:rsidRPr="00332AB5">
        <w:rPr>
          <w:sz w:val="24"/>
          <w:szCs w:val="24"/>
        </w:rPr>
        <w:t>16. lipnja 2023</w:t>
      </w:r>
      <w:r w:rsidR="00891F60" w:rsidRPr="00332AB5">
        <w:rPr>
          <w:sz w:val="24"/>
          <w:szCs w:val="24"/>
        </w:rPr>
        <w:t>.</w:t>
      </w:r>
      <w:r w:rsidRPr="00332AB5">
        <w:rPr>
          <w:sz w:val="24"/>
          <w:szCs w:val="24"/>
        </w:rPr>
        <w:t xml:space="preserve"> na više lokacija snimane su dobre priče u okviru projekta FI-compass platforme (EK/EIB) kojim se nastoji zabilježiti primjere dobr</w:t>
      </w:r>
      <w:r w:rsidR="0050417E" w:rsidRPr="00332AB5">
        <w:rPr>
          <w:sz w:val="24"/>
          <w:szCs w:val="24"/>
        </w:rPr>
        <w:t>e</w:t>
      </w:r>
      <w:r w:rsidRPr="00332AB5">
        <w:rPr>
          <w:sz w:val="24"/>
          <w:szCs w:val="24"/>
        </w:rPr>
        <w:t xml:space="preserve"> praks</w:t>
      </w:r>
      <w:r w:rsidR="0050417E" w:rsidRPr="00332AB5">
        <w:rPr>
          <w:sz w:val="24"/>
          <w:szCs w:val="24"/>
        </w:rPr>
        <w:t>e</w:t>
      </w:r>
      <w:r w:rsidRPr="00332AB5">
        <w:rPr>
          <w:sz w:val="24"/>
          <w:szCs w:val="24"/>
        </w:rPr>
        <w:t xml:space="preserve"> u okviru projekata u ruralnom prostoru financiranih putem financijskih instrumenata Programa ruralnog razvoja, kao i stavove dionika uključenih u uspostavu i provedbu financijskih instrumenata „Mikro zajmovi za ruralni razvoj“ i „Mali zajmovi za ruralni razvoj“ (Ministarstvo poljoprivrede, Agencija za plaćanja u poljoprivredi, ribarstvu i ruralnom razvoju i HAMAG-BICRO).</w:t>
      </w:r>
    </w:p>
    <w:p w14:paraId="7AAFFAB8" w14:textId="77777777" w:rsidR="003B0812" w:rsidRPr="00332AB5" w:rsidRDefault="003B0812" w:rsidP="003B0812">
      <w:pPr>
        <w:spacing w:before="120" w:after="120"/>
        <w:jc w:val="both"/>
        <w:rPr>
          <w:color w:val="000000" w:themeColor="text1"/>
          <w:sz w:val="24"/>
          <w:szCs w:val="24"/>
        </w:rPr>
      </w:pPr>
    </w:p>
    <w:p w14:paraId="73F8A7B3" w14:textId="0A08479D" w:rsidR="003B0812" w:rsidRPr="00332AB5" w:rsidRDefault="003B0812" w:rsidP="00E60773">
      <w:pPr>
        <w:spacing w:before="120" w:after="120"/>
        <w:jc w:val="both"/>
        <w:rPr>
          <w:sz w:val="24"/>
          <w:szCs w:val="24"/>
        </w:rPr>
      </w:pPr>
      <w:r w:rsidRPr="00332AB5">
        <w:rPr>
          <w:color w:val="000000" w:themeColor="text1"/>
          <w:sz w:val="24"/>
          <w:szCs w:val="24"/>
        </w:rPr>
        <w:t>Što se tiče financijskih instrumenata (u daljnjem tekstu: FI) u izvještajnom razdoblju sklopljena je jedna Izmjena i dopuna Sporazuma o financiranju s korisnikom HAMAG-BICRO i to:</w:t>
      </w:r>
    </w:p>
    <w:p w14:paraId="25466CD9" w14:textId="74038307" w:rsidR="003B0812" w:rsidRPr="00332AB5" w:rsidRDefault="003B0812" w:rsidP="00E60773">
      <w:pPr>
        <w:numPr>
          <w:ilvl w:val="0"/>
          <w:numId w:val="10"/>
        </w:numPr>
        <w:spacing w:before="120" w:after="120"/>
        <w:ind w:left="714" w:hanging="357"/>
        <w:contextualSpacing/>
        <w:jc w:val="both"/>
        <w:rPr>
          <w:color w:val="000000" w:themeColor="text1"/>
          <w:sz w:val="24"/>
          <w:szCs w:val="24"/>
        </w:rPr>
      </w:pPr>
      <w:r w:rsidRPr="00332AB5">
        <w:rPr>
          <w:color w:val="000000" w:themeColor="text1"/>
          <w:sz w:val="24"/>
          <w:szCs w:val="24"/>
        </w:rPr>
        <w:lastRenderedPageBreak/>
        <w:t xml:space="preserve">19. travnja 2023. sklopljena je Izmjena i dopuna Sporazumu o financiranju radi usklađenja u pogledu povećanja alokacije za financijske instrumente Mikro zajmovi za ruralni razvoj na 9.773.955,53 </w:t>
      </w:r>
      <w:r w:rsidR="00E60773" w:rsidRPr="00332AB5">
        <w:rPr>
          <w:color w:val="000000" w:themeColor="text1"/>
          <w:sz w:val="24"/>
          <w:szCs w:val="24"/>
        </w:rPr>
        <w:t>eura</w:t>
      </w:r>
      <w:r w:rsidRPr="00332AB5">
        <w:rPr>
          <w:color w:val="000000" w:themeColor="text1"/>
          <w:sz w:val="24"/>
          <w:szCs w:val="24"/>
        </w:rPr>
        <w:t xml:space="preserve">, Pojedinačna jamstva za ruralni razvoj 4.511.613,85 EUR i Mali zajmovi za ruralni razvoj na 80.962.716,23 </w:t>
      </w:r>
      <w:r w:rsidR="00E60773" w:rsidRPr="00332AB5">
        <w:rPr>
          <w:color w:val="000000" w:themeColor="text1"/>
          <w:sz w:val="24"/>
          <w:szCs w:val="24"/>
        </w:rPr>
        <w:t>eura</w:t>
      </w:r>
      <w:r w:rsidRPr="00332AB5">
        <w:rPr>
          <w:color w:val="000000" w:themeColor="text1"/>
          <w:sz w:val="24"/>
          <w:szCs w:val="24"/>
        </w:rPr>
        <w:t xml:space="preserve">. </w:t>
      </w:r>
    </w:p>
    <w:p w14:paraId="423C07A0" w14:textId="77777777" w:rsidR="003B0812" w:rsidRPr="00332AB5" w:rsidRDefault="003B0812" w:rsidP="00E60773">
      <w:pPr>
        <w:autoSpaceDE w:val="0"/>
        <w:autoSpaceDN w:val="0"/>
        <w:adjustRightInd w:val="0"/>
        <w:spacing w:before="120" w:after="120"/>
        <w:jc w:val="both"/>
        <w:rPr>
          <w:sz w:val="24"/>
          <w:szCs w:val="24"/>
        </w:rPr>
      </w:pPr>
    </w:p>
    <w:p w14:paraId="19CA8D30" w14:textId="3B8D9559" w:rsidR="003B0812" w:rsidRPr="00332AB5" w:rsidRDefault="003B0812" w:rsidP="00E60773">
      <w:pPr>
        <w:autoSpaceDE w:val="0"/>
        <w:autoSpaceDN w:val="0"/>
        <w:adjustRightInd w:val="0"/>
        <w:spacing w:before="120" w:after="120"/>
        <w:jc w:val="both"/>
        <w:rPr>
          <w:sz w:val="24"/>
          <w:szCs w:val="24"/>
        </w:rPr>
      </w:pPr>
      <w:r w:rsidRPr="00332AB5">
        <w:rPr>
          <w:sz w:val="24"/>
          <w:szCs w:val="24"/>
        </w:rPr>
        <w:t>U okviru provedbe FI PRR u prvoj polovici 2023. HAMAG-BICRO je nastavio sa obradom zahtjeva za jamstva od strane krajnjih primatelja za FI „Pojedinačna jamstva za ruralni razvoj“. Zaprimanje zahtjeva za FI „Mikro zajmovi za ruralni razvoj“ i FI „Mikro zajmovi za obrtna sredstva za ruralni razvoj“ privremeno je zaustavljeno od 24. siječnja 2023., a zaprimanje zahtjeva za FI „Mali zajmovi za ruralni razvoj“ privremeno je zaustavljeno 21. travnja 2023.</w:t>
      </w:r>
    </w:p>
    <w:p w14:paraId="0A972170" w14:textId="11F64D09" w:rsidR="003B0812" w:rsidRPr="00332AB5" w:rsidRDefault="003B0812" w:rsidP="003B0812">
      <w:pPr>
        <w:autoSpaceDE w:val="0"/>
        <w:autoSpaceDN w:val="0"/>
        <w:adjustRightInd w:val="0"/>
        <w:spacing w:before="120" w:after="120"/>
        <w:jc w:val="both"/>
        <w:rPr>
          <w:sz w:val="24"/>
          <w:szCs w:val="24"/>
        </w:rPr>
      </w:pPr>
      <w:r w:rsidRPr="00332AB5">
        <w:rPr>
          <w:sz w:val="24"/>
          <w:szCs w:val="24"/>
        </w:rPr>
        <w:t>U izvještajnom razdoblju isplaćeno je 295 Malih zajmova za ruralni razvoj u ukupnom iznosu od 21.472.944,25 EUR</w:t>
      </w:r>
      <w:r w:rsidRPr="00332AB5" w:rsidDel="008368A8">
        <w:rPr>
          <w:sz w:val="24"/>
          <w:szCs w:val="24"/>
        </w:rPr>
        <w:t xml:space="preserve"> </w:t>
      </w:r>
      <w:r w:rsidRPr="00332AB5">
        <w:rPr>
          <w:sz w:val="24"/>
          <w:szCs w:val="24"/>
        </w:rPr>
        <w:t xml:space="preserve">te je izdano jedno Pojedinačno jamstvo za ruralni razvoj u ukupnom iznosu od 113.400,00 </w:t>
      </w:r>
      <w:r w:rsidR="00E60773" w:rsidRPr="00332AB5">
        <w:rPr>
          <w:sz w:val="24"/>
          <w:szCs w:val="24"/>
        </w:rPr>
        <w:t>eura</w:t>
      </w:r>
      <w:r w:rsidRPr="00332AB5">
        <w:rPr>
          <w:sz w:val="24"/>
          <w:szCs w:val="24"/>
        </w:rPr>
        <w:t>.</w:t>
      </w:r>
    </w:p>
    <w:p w14:paraId="62EA8599" w14:textId="75F44535" w:rsidR="003B0812" w:rsidRPr="00332AB5" w:rsidRDefault="003B0812" w:rsidP="003B0812">
      <w:pPr>
        <w:autoSpaceDE w:val="0"/>
        <w:autoSpaceDN w:val="0"/>
        <w:adjustRightInd w:val="0"/>
        <w:spacing w:before="120" w:after="120"/>
        <w:jc w:val="both"/>
        <w:rPr>
          <w:sz w:val="24"/>
          <w:szCs w:val="24"/>
        </w:rPr>
      </w:pPr>
      <w:r w:rsidRPr="00332AB5">
        <w:rPr>
          <w:sz w:val="24"/>
          <w:szCs w:val="24"/>
        </w:rPr>
        <w:t>U okviru provedbe FI PRR u 2023. HBOR je u izvještajnom razdoblju nastavio sa provedbom Sporazuma o financiranju za FI „Investicijski krediti za ruralni razvoj“ te sa zaprimanjem i obradom zahtjeva za FI „Obrtna sredstva za ruralni razvoj“.</w:t>
      </w:r>
    </w:p>
    <w:p w14:paraId="79609E61" w14:textId="199960C6" w:rsidR="003B0812" w:rsidRPr="00332AB5" w:rsidRDefault="003B0812" w:rsidP="003B0812">
      <w:pPr>
        <w:autoSpaceDE w:val="0"/>
        <w:autoSpaceDN w:val="0"/>
        <w:adjustRightInd w:val="0"/>
        <w:spacing w:before="120" w:after="120"/>
        <w:jc w:val="both"/>
        <w:rPr>
          <w:sz w:val="24"/>
          <w:szCs w:val="24"/>
        </w:rPr>
      </w:pPr>
      <w:r w:rsidRPr="00332AB5">
        <w:rPr>
          <w:sz w:val="24"/>
          <w:szCs w:val="24"/>
        </w:rPr>
        <w:t xml:space="preserve">U izvještajnom razdoblju potpisano je 40 ugovora između HBOR-a i krajnjih primatelja FI „Obrtna sredstva za ruralni razvoj“ u ukupnom iznosu od 4.554.784,37 </w:t>
      </w:r>
      <w:r w:rsidR="00E60773" w:rsidRPr="00332AB5">
        <w:rPr>
          <w:sz w:val="24"/>
          <w:szCs w:val="24"/>
        </w:rPr>
        <w:t>eura</w:t>
      </w:r>
      <w:r w:rsidRPr="00332AB5">
        <w:rPr>
          <w:sz w:val="24"/>
          <w:szCs w:val="24"/>
        </w:rPr>
        <w:t>. U izvještajnom razdoblju nije bilo novih ugovora o kreditu za FI „Investicijski krediti za ruralni razvoj“ između krajnjih primatelja i poslovnih banaka.</w:t>
      </w:r>
    </w:p>
    <w:p w14:paraId="0A738C4A" w14:textId="414E7162" w:rsidR="00A002EF" w:rsidRPr="00332AB5" w:rsidRDefault="00A002EF" w:rsidP="003B0812">
      <w:pPr>
        <w:autoSpaceDE w:val="0"/>
        <w:autoSpaceDN w:val="0"/>
        <w:adjustRightInd w:val="0"/>
        <w:spacing w:before="120" w:after="120"/>
        <w:jc w:val="both"/>
        <w:rPr>
          <w:rFonts w:ascii="Verdana" w:hAnsi="Verdana" w:cs="Verdana"/>
          <w:color w:val="000000"/>
          <w:sz w:val="24"/>
          <w:szCs w:val="24"/>
        </w:rPr>
      </w:pPr>
      <w:r w:rsidRPr="00332AB5">
        <w:rPr>
          <w:sz w:val="24"/>
          <w:szCs w:val="24"/>
        </w:rPr>
        <w:t xml:space="preserve">Na dan </w:t>
      </w:r>
      <w:r w:rsidR="0011067E" w:rsidRPr="00332AB5">
        <w:rPr>
          <w:sz w:val="24"/>
          <w:szCs w:val="24"/>
        </w:rPr>
        <w:t>30. lipnja 2023.</w:t>
      </w:r>
      <w:r w:rsidRPr="00332AB5">
        <w:rPr>
          <w:sz w:val="24"/>
          <w:szCs w:val="24"/>
        </w:rPr>
        <w:t xml:space="preserve"> u tijelima SUK-a PRR-a</w:t>
      </w:r>
      <w:r w:rsidRPr="00332AB5">
        <w:t xml:space="preserve"> </w:t>
      </w:r>
      <w:r w:rsidRPr="00332AB5">
        <w:rPr>
          <w:sz w:val="24"/>
          <w:szCs w:val="24"/>
        </w:rPr>
        <w:t>zaposlen je ukupno 3</w:t>
      </w:r>
      <w:r w:rsidR="00003D37" w:rsidRPr="00332AB5">
        <w:rPr>
          <w:sz w:val="24"/>
          <w:szCs w:val="24"/>
        </w:rPr>
        <w:t>79</w:t>
      </w:r>
      <w:r w:rsidRPr="00332AB5">
        <w:rPr>
          <w:sz w:val="24"/>
          <w:szCs w:val="24"/>
        </w:rPr>
        <w:t xml:space="preserve"> službenik.</w:t>
      </w:r>
    </w:p>
    <w:p w14:paraId="265FE992" w14:textId="77777777" w:rsidR="00115B27" w:rsidRPr="00332AB5" w:rsidRDefault="00115B27" w:rsidP="0089535D">
      <w:pPr>
        <w:spacing w:before="120" w:after="120"/>
        <w:rPr>
          <w:b/>
          <w:bCs/>
          <w:iCs/>
          <w:sz w:val="24"/>
          <w:szCs w:val="28"/>
        </w:rPr>
      </w:pPr>
      <w:r w:rsidRPr="00332AB5">
        <w:br w:type="page"/>
      </w:r>
    </w:p>
    <w:p w14:paraId="48904474" w14:textId="5E327C43" w:rsidR="00854B2C" w:rsidRPr="00332AB5" w:rsidRDefault="00A02F4D">
      <w:pPr>
        <w:pStyle w:val="Heading2"/>
        <w:numPr>
          <w:ilvl w:val="1"/>
          <w:numId w:val="9"/>
        </w:numPr>
      </w:pPr>
      <w:bookmarkStart w:id="69" w:name="_Toc152595222"/>
      <w:r w:rsidRPr="00332AB5">
        <w:lastRenderedPageBreak/>
        <w:t>OPERATIVNI PROGRAM ZA POMORSTVO I RIBARSTVO</w:t>
      </w:r>
      <w:r w:rsidR="009D0CDB" w:rsidRPr="00332AB5">
        <w:t xml:space="preserve"> REPUBLIKE HRVATSKE ZA PROGRAMSKO RAZDOBLJE 2014.</w:t>
      </w:r>
      <w:r w:rsidR="00312286" w:rsidRPr="00332AB5">
        <w:t xml:space="preserve"> </w:t>
      </w:r>
      <w:r w:rsidR="009D0CDB" w:rsidRPr="00332AB5">
        <w:t>-</w:t>
      </w:r>
      <w:r w:rsidR="00312286" w:rsidRPr="00332AB5">
        <w:t xml:space="preserve"> </w:t>
      </w:r>
      <w:r w:rsidR="009D0CDB" w:rsidRPr="00332AB5">
        <w:t>2020.</w:t>
      </w:r>
      <w:bookmarkEnd w:id="69"/>
    </w:p>
    <w:p w14:paraId="65636475" w14:textId="77777777" w:rsidR="00B8039C" w:rsidRPr="00332AB5" w:rsidRDefault="00B8039C" w:rsidP="00B8039C">
      <w:pPr>
        <w:spacing w:before="120" w:after="120"/>
        <w:jc w:val="both"/>
        <w:rPr>
          <w:sz w:val="24"/>
          <w:szCs w:val="24"/>
        </w:rPr>
      </w:pPr>
      <w:r w:rsidRPr="00332AB5">
        <w:rPr>
          <w:sz w:val="24"/>
          <w:szCs w:val="24"/>
        </w:rPr>
        <w:t>U okviru OPPiR-a na raspolaganju je 252,64 milijuna eura iz Europskog fonda za pomorstvo i ribarstvo (EFPR). Kada se tome pridoda nacionalno sufinanciranje, ukupna vrijednost iznosi 345,09 milijuna eura.</w:t>
      </w:r>
    </w:p>
    <w:p w14:paraId="2B2C8D8E" w14:textId="553B3AC4" w:rsidR="00F51000" w:rsidRPr="00332AB5" w:rsidRDefault="00B8039C" w:rsidP="00F51000">
      <w:pPr>
        <w:spacing w:before="120" w:after="120"/>
        <w:jc w:val="both"/>
        <w:rPr>
          <w:sz w:val="24"/>
          <w:szCs w:val="24"/>
        </w:rPr>
      </w:pPr>
      <w:r w:rsidRPr="00332AB5">
        <w:rPr>
          <w:sz w:val="24"/>
          <w:szCs w:val="24"/>
        </w:rPr>
        <w:t xml:space="preserve">Do 30. lipnja 2023. ukupno je objavljeno 82 natječaja za dodjelu potpora ukupne vrijednosti 335,53 milijuna eura. Navedeni iznosi natječaja predstavljaju maksimalnu alokaciju po pojedinoj mjeri, dok se iznosi za niže navedene natječaje </w:t>
      </w:r>
      <w:bookmarkStart w:id="70" w:name="_Hlk83628098"/>
      <w:r w:rsidRPr="00332AB5">
        <w:rPr>
          <w:sz w:val="24"/>
          <w:szCs w:val="24"/>
        </w:rPr>
        <w:t>utvrđuju odlukom o raspoređivanju sredstava</w:t>
      </w:r>
      <w:r w:rsidRPr="00332AB5">
        <w:t xml:space="preserve"> </w:t>
      </w:r>
      <w:r w:rsidRPr="00332AB5">
        <w:rPr>
          <w:sz w:val="24"/>
          <w:szCs w:val="24"/>
        </w:rPr>
        <w:t xml:space="preserve">koju donosi čelnik UT-a za pojedini natječaj. </w:t>
      </w:r>
      <w:bookmarkEnd w:id="70"/>
      <w:r w:rsidRPr="00332AB5">
        <w:rPr>
          <w:sz w:val="24"/>
          <w:szCs w:val="24"/>
        </w:rPr>
        <w:t>U izvještajnom razdoblju objavljena su tri natječaja za dodjelu potpora.</w:t>
      </w:r>
    </w:p>
    <w:p w14:paraId="673F38C8" w14:textId="4F927B72" w:rsidR="00265330" w:rsidRPr="00332AB5" w:rsidRDefault="00265330" w:rsidP="00EC015D">
      <w:pPr>
        <w:spacing w:before="120" w:after="120"/>
        <w:jc w:val="both"/>
        <w:rPr>
          <w:b/>
          <w:bCs/>
        </w:rPr>
      </w:pPr>
      <w:bookmarkStart w:id="71" w:name="_Toc152595288"/>
      <w:r w:rsidRPr="00332AB5">
        <w:rPr>
          <w:b/>
          <w:bCs/>
        </w:rPr>
        <w:t xml:space="preserve">Tablica </w:t>
      </w:r>
      <w:r w:rsidR="00D950E3" w:rsidRPr="00332AB5">
        <w:rPr>
          <w:b/>
          <w:bCs/>
        </w:rPr>
        <w:fldChar w:fldCharType="begin"/>
      </w:r>
      <w:r w:rsidR="00D950E3" w:rsidRPr="00332AB5">
        <w:rPr>
          <w:b/>
          <w:bCs/>
        </w:rPr>
        <w:instrText xml:space="preserve"> SEQ Tablica \* ARABIC </w:instrText>
      </w:r>
      <w:r w:rsidR="00D950E3" w:rsidRPr="00332AB5">
        <w:rPr>
          <w:b/>
          <w:bCs/>
        </w:rPr>
        <w:fldChar w:fldCharType="separate"/>
      </w:r>
      <w:r w:rsidR="005E6E46">
        <w:rPr>
          <w:b/>
          <w:bCs/>
          <w:noProof/>
        </w:rPr>
        <w:t>14</w:t>
      </w:r>
      <w:r w:rsidR="00D950E3" w:rsidRPr="00332AB5">
        <w:rPr>
          <w:b/>
          <w:bCs/>
        </w:rPr>
        <w:fldChar w:fldCharType="end"/>
      </w:r>
      <w:r w:rsidRPr="00332AB5">
        <w:rPr>
          <w:b/>
          <w:bCs/>
        </w:rPr>
        <w:t xml:space="preserve">: Popis objavljenih natječaja za dodjelu potpora iz Operativnog programa za pomorstvo i ribarstvo u izvještajnom razdoblju </w:t>
      </w:r>
      <w:r w:rsidR="00415E7F" w:rsidRPr="00332AB5">
        <w:rPr>
          <w:b/>
          <w:bCs/>
        </w:rPr>
        <w:t xml:space="preserve">od </w:t>
      </w:r>
      <w:r w:rsidR="0011067E" w:rsidRPr="00332AB5">
        <w:rPr>
          <w:b/>
          <w:bCs/>
        </w:rPr>
        <w:t>1. siječnja</w:t>
      </w:r>
      <w:r w:rsidR="00B2004D" w:rsidRPr="00332AB5">
        <w:rPr>
          <w:b/>
          <w:bCs/>
        </w:rPr>
        <w:t xml:space="preserve"> do </w:t>
      </w:r>
      <w:r w:rsidR="0011067E" w:rsidRPr="00332AB5">
        <w:rPr>
          <w:b/>
          <w:bCs/>
        </w:rPr>
        <w:t>30. lipnja 2023.</w:t>
      </w:r>
      <w:r w:rsidR="00B2004D" w:rsidRPr="00332AB5">
        <w:rPr>
          <w:b/>
          <w:bCs/>
        </w:rPr>
        <w:t xml:space="preserve"> </w:t>
      </w:r>
      <w:r w:rsidR="008955F1" w:rsidRPr="00332AB5">
        <w:rPr>
          <w:b/>
          <w:bCs/>
        </w:rPr>
        <w:t>(bespovratna sredstva</w:t>
      </w:r>
      <w:r w:rsidRPr="00332AB5">
        <w:rPr>
          <w:b/>
          <w:bCs/>
        </w:rPr>
        <w:t>)</w:t>
      </w:r>
      <w:bookmarkEnd w:id="71"/>
    </w:p>
    <w:tbl>
      <w:tblPr>
        <w:tblStyle w:val="TableGrid"/>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8"/>
        <w:gridCol w:w="6072"/>
        <w:gridCol w:w="1812"/>
      </w:tblGrid>
      <w:tr w:rsidR="00A66AD6" w:rsidRPr="00332AB5" w14:paraId="04754003" w14:textId="77777777" w:rsidTr="00275475">
        <w:tc>
          <w:tcPr>
            <w:tcW w:w="650" w:type="pct"/>
            <w:tcBorders>
              <w:bottom w:val="single" w:sz="4" w:space="0" w:color="808080" w:themeColor="text1" w:themeTint="7F" w:themeShade="00"/>
            </w:tcBorders>
            <w:vAlign w:val="bottom"/>
          </w:tcPr>
          <w:p w14:paraId="7F723355" w14:textId="77777777" w:rsidR="00A66AD6" w:rsidRPr="00332AB5" w:rsidRDefault="00A66AD6" w:rsidP="00275475">
            <w:pPr>
              <w:spacing w:before="120" w:after="120"/>
              <w:rPr>
                <w:b/>
                <w:bCs/>
              </w:rPr>
            </w:pPr>
            <w:r w:rsidRPr="00332AB5">
              <w:rPr>
                <w:b/>
                <w:bCs/>
              </w:rPr>
              <w:t>Prioritet Unije (PU)</w:t>
            </w:r>
          </w:p>
        </w:tc>
        <w:tc>
          <w:tcPr>
            <w:tcW w:w="3350" w:type="pct"/>
            <w:tcBorders>
              <w:bottom w:val="single" w:sz="4" w:space="0" w:color="808080" w:themeColor="text1" w:themeTint="7F" w:themeShade="00"/>
            </w:tcBorders>
            <w:vAlign w:val="bottom"/>
          </w:tcPr>
          <w:p w14:paraId="5B284C8C" w14:textId="77777777" w:rsidR="00A66AD6" w:rsidRPr="00332AB5" w:rsidRDefault="00A66AD6" w:rsidP="00275475">
            <w:pPr>
              <w:spacing w:before="120" w:after="120"/>
              <w:rPr>
                <w:b/>
                <w:bCs/>
              </w:rPr>
            </w:pPr>
            <w:r w:rsidRPr="00332AB5">
              <w:rPr>
                <w:b/>
                <w:bCs/>
              </w:rPr>
              <w:t>Naziv natječaja</w:t>
            </w:r>
          </w:p>
        </w:tc>
        <w:tc>
          <w:tcPr>
            <w:tcW w:w="1000" w:type="pct"/>
            <w:tcBorders>
              <w:bottom w:val="single" w:sz="4" w:space="0" w:color="808080" w:themeColor="text1" w:themeTint="7F" w:themeShade="00"/>
            </w:tcBorders>
            <w:vAlign w:val="bottom"/>
          </w:tcPr>
          <w:p w14:paraId="340D7CB0" w14:textId="303CDBD5" w:rsidR="00A66AD6" w:rsidRPr="00332AB5" w:rsidRDefault="00A66AD6" w:rsidP="00275475">
            <w:pPr>
              <w:spacing w:before="120" w:after="120"/>
              <w:rPr>
                <w:b/>
                <w:bCs/>
              </w:rPr>
            </w:pPr>
            <w:r w:rsidRPr="00332AB5">
              <w:rPr>
                <w:b/>
                <w:bCs/>
              </w:rPr>
              <w:t>Vrijednost bespovratnih sredstava (</w:t>
            </w:r>
            <w:r w:rsidR="005D576E" w:rsidRPr="00332AB5">
              <w:rPr>
                <w:b/>
                <w:bCs/>
              </w:rPr>
              <w:t>eur</w:t>
            </w:r>
            <w:r w:rsidRPr="00332AB5">
              <w:rPr>
                <w:b/>
                <w:bCs/>
              </w:rPr>
              <w:t>)</w:t>
            </w:r>
          </w:p>
        </w:tc>
      </w:tr>
      <w:tr w:rsidR="00CB66FC" w:rsidRPr="00332AB5" w14:paraId="2EF45DA8" w14:textId="77777777" w:rsidTr="00CB66FC">
        <w:tc>
          <w:tcPr>
            <w:tcW w:w="650" w:type="pct"/>
          </w:tcPr>
          <w:p w14:paraId="2ADC0D75" w14:textId="64EF8622" w:rsidR="00CB66FC" w:rsidRPr="00332AB5" w:rsidRDefault="00CB66FC" w:rsidP="00CB66FC">
            <w:pPr>
              <w:spacing w:before="120" w:after="120"/>
              <w:jc w:val="both"/>
            </w:pPr>
            <w:r w:rsidRPr="00332AB5">
              <w:t>PU 2</w:t>
            </w:r>
          </w:p>
        </w:tc>
        <w:tc>
          <w:tcPr>
            <w:tcW w:w="3350" w:type="pct"/>
          </w:tcPr>
          <w:p w14:paraId="56FCFB59" w14:textId="35A61A9F" w:rsidR="00CB66FC" w:rsidRPr="00332AB5" w:rsidRDefault="00CB66FC" w:rsidP="00CB66FC">
            <w:pPr>
              <w:spacing w:before="120" w:after="120"/>
            </w:pPr>
            <w:r w:rsidRPr="00332AB5">
              <w:t>Natječaj za dodjelu potpore u okviru mjere II.2./II.3./II.4. „Produktivna ulaganja u akvakulturu“</w:t>
            </w:r>
            <w:r w:rsidRPr="00332AB5" w:rsidDel="00924C80">
              <w:t xml:space="preserve"> </w:t>
            </w:r>
            <w:r w:rsidRPr="00332AB5">
              <w:t>(„Narodne novine“, broj</w:t>
            </w:r>
            <w:r w:rsidR="00AA7D06" w:rsidRPr="00332AB5">
              <w:t>:</w:t>
            </w:r>
            <w:r w:rsidRPr="00332AB5">
              <w:t xml:space="preserve"> 27/23</w:t>
            </w:r>
            <w:r w:rsidR="00AA7D06" w:rsidRPr="00332AB5">
              <w:t>.</w:t>
            </w:r>
            <w:r w:rsidRPr="00332AB5">
              <w:t>)</w:t>
            </w:r>
          </w:p>
        </w:tc>
        <w:tc>
          <w:tcPr>
            <w:tcW w:w="1000" w:type="pct"/>
          </w:tcPr>
          <w:p w14:paraId="424367DD" w14:textId="25DF40F7" w:rsidR="00CB66FC" w:rsidRPr="00332AB5" w:rsidRDefault="00CB66FC" w:rsidP="00CB66FC">
            <w:pPr>
              <w:spacing w:before="120" w:after="120"/>
              <w:jc w:val="center"/>
              <w:rPr>
                <w:bCs/>
              </w:rPr>
            </w:pPr>
            <w:r w:rsidRPr="00332AB5">
              <w:rPr>
                <w:color w:val="000000"/>
              </w:rPr>
              <w:t>Odluka o raspoređivanju sredstava</w:t>
            </w:r>
          </w:p>
        </w:tc>
      </w:tr>
      <w:tr w:rsidR="00CB66FC" w:rsidRPr="00332AB5" w14:paraId="408E0B8E" w14:textId="77777777" w:rsidTr="00CB66FC">
        <w:tc>
          <w:tcPr>
            <w:tcW w:w="650" w:type="pct"/>
          </w:tcPr>
          <w:p w14:paraId="6275ECA9" w14:textId="00CC0B84" w:rsidR="00CB66FC" w:rsidRPr="00332AB5" w:rsidRDefault="00CB66FC" w:rsidP="00CB66FC">
            <w:pPr>
              <w:spacing w:before="120" w:after="120"/>
              <w:jc w:val="both"/>
            </w:pPr>
            <w:r w:rsidRPr="00332AB5">
              <w:t>PU 2</w:t>
            </w:r>
          </w:p>
        </w:tc>
        <w:tc>
          <w:tcPr>
            <w:tcW w:w="3350" w:type="pct"/>
          </w:tcPr>
          <w:p w14:paraId="6104F7EB" w14:textId="4058211A" w:rsidR="00CB66FC" w:rsidRPr="00332AB5" w:rsidRDefault="00CB66FC" w:rsidP="00CB66FC">
            <w:pPr>
              <w:spacing w:before="120" w:after="120"/>
            </w:pPr>
            <w:r w:rsidRPr="00332AB5">
              <w:t>Natječaj za dodjelu potpore u okviru mjere II.7. „Povećanje potencijala akvakulturnih lokaliteta“</w:t>
            </w:r>
            <w:r w:rsidRPr="00332AB5" w:rsidDel="00684D2F">
              <w:t xml:space="preserve"> </w:t>
            </w:r>
            <w:r w:rsidRPr="00332AB5">
              <w:t>(„Narodne novine“, broj</w:t>
            </w:r>
            <w:r w:rsidR="00AA7D06" w:rsidRPr="00332AB5">
              <w:t>:</w:t>
            </w:r>
            <w:r w:rsidRPr="00332AB5">
              <w:t xml:space="preserve"> 27/23</w:t>
            </w:r>
            <w:r w:rsidR="00AA7D06" w:rsidRPr="00332AB5">
              <w:t>.</w:t>
            </w:r>
            <w:r w:rsidRPr="00332AB5">
              <w:t>)</w:t>
            </w:r>
          </w:p>
        </w:tc>
        <w:tc>
          <w:tcPr>
            <w:tcW w:w="1000" w:type="pct"/>
          </w:tcPr>
          <w:p w14:paraId="16A7DB20" w14:textId="4190DEDC" w:rsidR="00CB66FC" w:rsidRPr="00332AB5" w:rsidRDefault="00CB66FC" w:rsidP="00CB66FC">
            <w:pPr>
              <w:spacing w:before="120" w:after="120"/>
              <w:jc w:val="center"/>
              <w:rPr>
                <w:color w:val="000000"/>
              </w:rPr>
            </w:pPr>
            <w:r w:rsidRPr="00332AB5">
              <w:rPr>
                <w:color w:val="000000"/>
              </w:rPr>
              <w:t>Odluka o raspoređivanju sredstava</w:t>
            </w:r>
          </w:p>
        </w:tc>
      </w:tr>
      <w:tr w:rsidR="00CB66FC" w:rsidRPr="00332AB5" w14:paraId="168D0A01" w14:textId="77777777" w:rsidTr="00987732">
        <w:tc>
          <w:tcPr>
            <w:tcW w:w="650" w:type="pct"/>
            <w:tcBorders>
              <w:bottom w:val="single" w:sz="4" w:space="0" w:color="auto"/>
            </w:tcBorders>
          </w:tcPr>
          <w:p w14:paraId="5AD997C6" w14:textId="6DC26A16" w:rsidR="00CB66FC" w:rsidRPr="00332AB5" w:rsidRDefault="00CB66FC" w:rsidP="00CB66FC">
            <w:pPr>
              <w:spacing w:before="120" w:after="120"/>
              <w:jc w:val="both"/>
            </w:pPr>
            <w:r w:rsidRPr="00332AB5">
              <w:t>PU 5</w:t>
            </w:r>
          </w:p>
        </w:tc>
        <w:tc>
          <w:tcPr>
            <w:tcW w:w="3350" w:type="pct"/>
            <w:tcBorders>
              <w:bottom w:val="single" w:sz="4" w:space="0" w:color="auto"/>
            </w:tcBorders>
          </w:tcPr>
          <w:p w14:paraId="68A06124" w14:textId="0FFAA609" w:rsidR="00CB66FC" w:rsidRPr="00332AB5" w:rsidRDefault="00CB66FC" w:rsidP="00CB66FC">
            <w:pPr>
              <w:spacing w:before="120" w:after="120"/>
            </w:pPr>
            <w:r w:rsidRPr="00332AB5">
              <w:t>Natječaj za dodjelu potpore u okviru mjere IV.3. „Stavljanje na tržište proizvoda ribarstva i akvakulture – kompenzacija“ („Narodne novine“, broj</w:t>
            </w:r>
            <w:r w:rsidR="00AA7D06" w:rsidRPr="00332AB5">
              <w:t>:</w:t>
            </w:r>
            <w:r w:rsidRPr="00332AB5">
              <w:t xml:space="preserve"> 136/23</w:t>
            </w:r>
            <w:r w:rsidR="00AA7D06" w:rsidRPr="00332AB5">
              <w:t>.</w:t>
            </w:r>
            <w:r w:rsidRPr="00332AB5">
              <w:t>)</w:t>
            </w:r>
          </w:p>
        </w:tc>
        <w:tc>
          <w:tcPr>
            <w:tcW w:w="1000" w:type="pct"/>
            <w:tcBorders>
              <w:bottom w:val="single" w:sz="4" w:space="0" w:color="auto"/>
            </w:tcBorders>
          </w:tcPr>
          <w:p w14:paraId="6BBB9697" w14:textId="223B7F05" w:rsidR="00CB66FC" w:rsidRPr="00332AB5" w:rsidRDefault="00CB66FC" w:rsidP="00CB66FC">
            <w:pPr>
              <w:spacing w:before="120" w:after="120"/>
              <w:jc w:val="center"/>
              <w:rPr>
                <w:color w:val="000000"/>
              </w:rPr>
            </w:pPr>
            <w:r w:rsidRPr="00332AB5">
              <w:rPr>
                <w:color w:val="000000"/>
              </w:rPr>
              <w:t>Odluka o raspoređivanju sredstava</w:t>
            </w:r>
            <w:r w:rsidRPr="00332AB5" w:rsidDel="00394863">
              <w:t xml:space="preserve"> </w:t>
            </w:r>
          </w:p>
        </w:tc>
      </w:tr>
    </w:tbl>
    <w:p w14:paraId="4E72612B" w14:textId="3CD719E2" w:rsidR="00CB66FC" w:rsidRPr="00332AB5" w:rsidRDefault="00CB66FC" w:rsidP="00CB66FC">
      <w:pPr>
        <w:spacing w:before="120" w:after="120"/>
        <w:jc w:val="both"/>
        <w:rPr>
          <w:sz w:val="24"/>
          <w:szCs w:val="24"/>
        </w:rPr>
      </w:pPr>
      <w:r w:rsidRPr="00332AB5">
        <w:rPr>
          <w:sz w:val="24"/>
          <w:szCs w:val="24"/>
        </w:rPr>
        <w:t>Temeljem pokrenutih natječaja, do 30. lipnja 2023. doneseno je 5.237 odluka o dodjeli sredstava ukupne vrijednosti 279,4</w:t>
      </w:r>
      <w:r w:rsidR="00EF6E66" w:rsidRPr="00332AB5">
        <w:rPr>
          <w:sz w:val="24"/>
          <w:szCs w:val="24"/>
        </w:rPr>
        <w:t>5</w:t>
      </w:r>
      <w:r w:rsidRPr="00332AB5">
        <w:rPr>
          <w:sz w:val="24"/>
          <w:szCs w:val="24"/>
        </w:rPr>
        <w:t xml:space="preserve"> milijuna eura (sredstva EU). U izvještajnom razdoblju donijeto je 1105 odluka o dodjeli sredstava ukupne vrijednosti 18,17 milijuna eura (sredstva EU).</w:t>
      </w:r>
    </w:p>
    <w:p w14:paraId="705CCF6F" w14:textId="4311300C" w:rsidR="0029430F" w:rsidRPr="00332AB5" w:rsidRDefault="00CB66FC" w:rsidP="00CB66FC">
      <w:pPr>
        <w:spacing w:before="120" w:after="120"/>
        <w:jc w:val="both"/>
        <w:rPr>
          <w:sz w:val="24"/>
          <w:szCs w:val="24"/>
        </w:rPr>
      </w:pPr>
      <w:r w:rsidRPr="00332AB5">
        <w:rPr>
          <w:sz w:val="24"/>
          <w:szCs w:val="24"/>
        </w:rPr>
        <w:t>Ukupna plaćanja prema korisnicima izvršena su u iznosu od 166,36 milijuna eura (sredstva EU). U izvještajnom razdoblju korisnicima je plaćeno 26,72 milijuna eura (sredstva EU). Do 30. lipnja 2023. ukupno je ovjereno 165,89 milijuna eura (sredstva EU), a u izvještajnom razdoblju ovjereno je 11,82 milijuna eura (EU sredstava). Ukupno je doznačeno 135,73 milijuna eura, a u izvještajnom razdoblju doznačeno je 0,63 milijuna eura.</w:t>
      </w:r>
    </w:p>
    <w:p w14:paraId="0F04021B" w14:textId="77777777" w:rsidR="00631630" w:rsidRPr="00332AB5" w:rsidRDefault="00631630" w:rsidP="00631630">
      <w:pPr>
        <w:rPr>
          <w:b/>
          <w:bCs/>
        </w:rPr>
      </w:pPr>
    </w:p>
    <w:p w14:paraId="59744B43" w14:textId="77777777" w:rsidR="00CB66FC" w:rsidRPr="00332AB5" w:rsidRDefault="00CB66FC">
      <w:pPr>
        <w:rPr>
          <w:b/>
          <w:bCs/>
        </w:rPr>
      </w:pPr>
      <w:r w:rsidRPr="00332AB5">
        <w:rPr>
          <w:b/>
          <w:bCs/>
        </w:rPr>
        <w:br w:type="page"/>
      </w:r>
    </w:p>
    <w:p w14:paraId="02E13DA0" w14:textId="65AF04FD" w:rsidR="00837B4C" w:rsidRPr="00332AB5" w:rsidRDefault="00F323C6" w:rsidP="00363C3D">
      <w:pPr>
        <w:spacing w:before="120" w:after="120"/>
        <w:rPr>
          <w:b/>
          <w:bCs/>
        </w:rPr>
      </w:pPr>
      <w:bookmarkStart w:id="72" w:name="_Toc152595289"/>
      <w:r w:rsidRPr="00332AB5">
        <w:rPr>
          <w:b/>
          <w:bCs/>
        </w:rPr>
        <w:lastRenderedPageBreak/>
        <w:t xml:space="preserve">Tablica </w:t>
      </w:r>
      <w:r w:rsidR="008C2CC3" w:rsidRPr="00332AB5">
        <w:rPr>
          <w:b/>
          <w:bCs/>
        </w:rPr>
        <w:fldChar w:fldCharType="begin"/>
      </w:r>
      <w:r w:rsidR="00BE6224" w:rsidRPr="00332AB5">
        <w:rPr>
          <w:b/>
          <w:bCs/>
        </w:rPr>
        <w:instrText xml:space="preserve"> SEQ Tablica \* ARABIC </w:instrText>
      </w:r>
      <w:r w:rsidR="008C2CC3" w:rsidRPr="00332AB5">
        <w:rPr>
          <w:b/>
          <w:bCs/>
        </w:rPr>
        <w:fldChar w:fldCharType="separate"/>
      </w:r>
      <w:r w:rsidR="005E6E46">
        <w:rPr>
          <w:b/>
          <w:bCs/>
          <w:noProof/>
        </w:rPr>
        <w:t>15</w:t>
      </w:r>
      <w:r w:rsidR="008C2CC3" w:rsidRPr="00332AB5">
        <w:rPr>
          <w:b/>
          <w:bCs/>
        </w:rPr>
        <w:fldChar w:fldCharType="end"/>
      </w:r>
      <w:r w:rsidRPr="00332AB5">
        <w:rPr>
          <w:b/>
          <w:bCs/>
        </w:rPr>
        <w:t xml:space="preserve">: Financijski pokazatelji statusa provedbe Operativnog programa za pomorstvo i ribarstvo u izvještajnom razdoblju </w:t>
      </w:r>
      <w:r w:rsidR="00AD3F1C" w:rsidRPr="00332AB5">
        <w:rPr>
          <w:b/>
          <w:bCs/>
        </w:rPr>
        <w:t xml:space="preserve">od </w:t>
      </w:r>
      <w:r w:rsidR="0011067E" w:rsidRPr="00332AB5">
        <w:rPr>
          <w:b/>
          <w:bCs/>
        </w:rPr>
        <w:t>1. siječnja</w:t>
      </w:r>
      <w:r w:rsidR="00B2004D" w:rsidRPr="00332AB5">
        <w:rPr>
          <w:b/>
          <w:bCs/>
        </w:rPr>
        <w:t xml:space="preserve"> do </w:t>
      </w:r>
      <w:r w:rsidR="0011067E" w:rsidRPr="00332AB5">
        <w:rPr>
          <w:b/>
          <w:bCs/>
        </w:rPr>
        <w:t>30. lipnja 2023.</w:t>
      </w:r>
      <w:r w:rsidR="00B2004D" w:rsidRPr="00332AB5">
        <w:rPr>
          <w:b/>
          <w:bCs/>
        </w:rPr>
        <w:t xml:space="preserve"> </w:t>
      </w:r>
      <w:r w:rsidRPr="00332AB5">
        <w:rPr>
          <w:b/>
          <w:bCs/>
        </w:rPr>
        <w:t>(sredstva EU, u milijunima eura i postocima od dodijeljenih sredstava)</w:t>
      </w:r>
      <w:bookmarkEnd w:id="72"/>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4"/>
        <w:gridCol w:w="708"/>
        <w:gridCol w:w="1021"/>
        <w:gridCol w:w="680"/>
        <w:gridCol w:w="993"/>
        <w:gridCol w:w="686"/>
        <w:gridCol w:w="944"/>
        <w:gridCol w:w="638"/>
      </w:tblGrid>
      <w:tr w:rsidR="00F90BA3" w:rsidRPr="00332AB5" w14:paraId="42411FAF" w14:textId="77777777" w:rsidTr="00C23C4E">
        <w:trPr>
          <w:trHeight w:val="737"/>
          <w:jc w:val="center"/>
        </w:trPr>
        <w:tc>
          <w:tcPr>
            <w:tcW w:w="1179" w:type="dxa"/>
            <w:vAlign w:val="center"/>
          </w:tcPr>
          <w:p w14:paraId="1605C2D3" w14:textId="77777777" w:rsidR="00F90BA3" w:rsidRPr="00332AB5" w:rsidRDefault="00F90BA3" w:rsidP="00275475">
            <w:pPr>
              <w:spacing w:after="60"/>
              <w:rPr>
                <w:sz w:val="16"/>
                <w:szCs w:val="24"/>
              </w:rPr>
            </w:pPr>
            <w:r w:rsidRPr="00332AB5">
              <w:rPr>
                <w:rFonts w:asciiTheme="minorHAnsi" w:hAnsiTheme="minorHAnsi" w:cstheme="minorHAnsi"/>
                <w:sz w:val="16"/>
              </w:rPr>
              <w:t>Prioritet Unije (PU)</w:t>
            </w:r>
            <w:r w:rsidRPr="00332AB5">
              <w:rPr>
                <w:rStyle w:val="FootnoteReference"/>
                <w:rFonts w:asciiTheme="minorHAnsi" w:hAnsiTheme="minorHAnsi" w:cstheme="minorHAnsi"/>
                <w:sz w:val="16"/>
              </w:rPr>
              <w:footnoteReference w:id="14"/>
            </w:r>
          </w:p>
        </w:tc>
        <w:tc>
          <w:tcPr>
            <w:tcW w:w="998" w:type="dxa"/>
            <w:tcBorders>
              <w:bottom w:val="single" w:sz="4" w:space="0" w:color="808080" w:themeColor="background1" w:themeShade="80"/>
            </w:tcBorders>
            <w:vAlign w:val="center"/>
          </w:tcPr>
          <w:p w14:paraId="760FC5C2" w14:textId="77777777" w:rsidR="00F90BA3" w:rsidRPr="00332AB5" w:rsidRDefault="00F90BA3" w:rsidP="00275475">
            <w:pPr>
              <w:spacing w:after="60"/>
              <w:jc w:val="right"/>
              <w:rPr>
                <w:sz w:val="16"/>
                <w:szCs w:val="24"/>
              </w:rPr>
            </w:pPr>
            <w:r w:rsidRPr="00332AB5">
              <w:rPr>
                <w:rFonts w:asciiTheme="minorHAnsi" w:hAnsiTheme="minorHAnsi" w:cstheme="minorHAnsi"/>
                <w:sz w:val="16"/>
              </w:rPr>
              <w:t>Dodijeljena sredstva</w:t>
            </w:r>
          </w:p>
        </w:tc>
        <w:tc>
          <w:tcPr>
            <w:tcW w:w="1084" w:type="dxa"/>
            <w:tcBorders>
              <w:bottom w:val="single" w:sz="4" w:space="0" w:color="808080" w:themeColor="background1" w:themeShade="80"/>
            </w:tcBorders>
            <w:vAlign w:val="center"/>
          </w:tcPr>
          <w:p w14:paraId="5622A1A8" w14:textId="77777777" w:rsidR="00F90BA3" w:rsidRPr="00332AB5" w:rsidRDefault="00F90BA3" w:rsidP="00275475">
            <w:pPr>
              <w:spacing w:after="60"/>
              <w:jc w:val="right"/>
              <w:rPr>
                <w:sz w:val="16"/>
                <w:szCs w:val="24"/>
              </w:rPr>
            </w:pPr>
            <w:r w:rsidRPr="00332AB5">
              <w:rPr>
                <w:rFonts w:asciiTheme="minorHAnsi" w:hAnsiTheme="minorHAnsi" w:cstheme="minorHAnsi"/>
                <w:sz w:val="16"/>
              </w:rPr>
              <w:t>Ugovorena sredstva</w:t>
            </w:r>
          </w:p>
        </w:tc>
        <w:tc>
          <w:tcPr>
            <w:tcW w:w="708" w:type="dxa"/>
            <w:tcBorders>
              <w:bottom w:val="single" w:sz="4" w:space="0" w:color="808080" w:themeColor="background1" w:themeShade="80"/>
            </w:tcBorders>
            <w:vAlign w:val="center"/>
          </w:tcPr>
          <w:p w14:paraId="09A07F61" w14:textId="77777777" w:rsidR="00F90BA3" w:rsidRPr="00332AB5" w:rsidRDefault="00F90BA3" w:rsidP="00275475">
            <w:pPr>
              <w:spacing w:after="60"/>
              <w:jc w:val="right"/>
              <w:rPr>
                <w:sz w:val="16"/>
                <w:szCs w:val="24"/>
              </w:rPr>
            </w:pPr>
            <w:r w:rsidRPr="00332AB5">
              <w:rPr>
                <w:rFonts w:asciiTheme="minorHAnsi" w:hAnsiTheme="minorHAnsi" w:cstheme="minorHAnsi"/>
                <w:sz w:val="16"/>
              </w:rPr>
              <w:t xml:space="preserve"> %</w:t>
            </w:r>
          </w:p>
        </w:tc>
        <w:tc>
          <w:tcPr>
            <w:tcW w:w="1021" w:type="dxa"/>
            <w:tcBorders>
              <w:bottom w:val="single" w:sz="4" w:space="0" w:color="808080" w:themeColor="background1" w:themeShade="80"/>
            </w:tcBorders>
            <w:vAlign w:val="center"/>
          </w:tcPr>
          <w:p w14:paraId="6D435B71" w14:textId="77777777" w:rsidR="00F90BA3" w:rsidRPr="00332AB5" w:rsidRDefault="00F90BA3" w:rsidP="00275475">
            <w:pPr>
              <w:spacing w:after="60"/>
              <w:jc w:val="right"/>
              <w:rPr>
                <w:sz w:val="16"/>
                <w:szCs w:val="24"/>
              </w:rPr>
            </w:pPr>
            <w:r w:rsidRPr="00332AB5">
              <w:rPr>
                <w:rFonts w:asciiTheme="minorHAnsi" w:hAnsiTheme="minorHAnsi" w:cstheme="minorHAnsi"/>
                <w:sz w:val="16"/>
              </w:rPr>
              <w:t>Plaćena sredstva</w:t>
            </w:r>
          </w:p>
        </w:tc>
        <w:tc>
          <w:tcPr>
            <w:tcW w:w="680" w:type="dxa"/>
            <w:tcBorders>
              <w:bottom w:val="single" w:sz="4" w:space="0" w:color="808080" w:themeColor="background1" w:themeShade="80"/>
            </w:tcBorders>
            <w:vAlign w:val="center"/>
          </w:tcPr>
          <w:p w14:paraId="4C17E886" w14:textId="77777777" w:rsidR="00F90BA3" w:rsidRPr="00332AB5" w:rsidRDefault="00F90BA3" w:rsidP="00275475">
            <w:pPr>
              <w:spacing w:after="60"/>
              <w:jc w:val="right"/>
              <w:rPr>
                <w:sz w:val="16"/>
                <w:szCs w:val="24"/>
              </w:rPr>
            </w:pPr>
            <w:r w:rsidRPr="00332AB5">
              <w:rPr>
                <w:rFonts w:asciiTheme="minorHAnsi" w:hAnsiTheme="minorHAnsi" w:cstheme="minorHAnsi"/>
                <w:sz w:val="16"/>
              </w:rPr>
              <w:t xml:space="preserve"> %</w:t>
            </w:r>
          </w:p>
        </w:tc>
        <w:tc>
          <w:tcPr>
            <w:tcW w:w="993" w:type="dxa"/>
            <w:tcBorders>
              <w:bottom w:val="single" w:sz="4" w:space="0" w:color="808080" w:themeColor="background1" w:themeShade="80"/>
            </w:tcBorders>
            <w:vAlign w:val="center"/>
          </w:tcPr>
          <w:p w14:paraId="4C403ADD" w14:textId="77777777" w:rsidR="00F90BA3" w:rsidRPr="00332AB5" w:rsidRDefault="00F90BA3" w:rsidP="00275475">
            <w:pPr>
              <w:spacing w:after="60"/>
              <w:jc w:val="right"/>
              <w:rPr>
                <w:sz w:val="16"/>
                <w:szCs w:val="24"/>
              </w:rPr>
            </w:pPr>
            <w:r w:rsidRPr="00332AB5">
              <w:rPr>
                <w:rFonts w:asciiTheme="minorHAnsi" w:hAnsiTheme="minorHAnsi" w:cstheme="minorHAnsi"/>
                <w:sz w:val="16"/>
              </w:rPr>
              <w:t>Ovjerena sredstva</w:t>
            </w:r>
          </w:p>
        </w:tc>
        <w:tc>
          <w:tcPr>
            <w:tcW w:w="686" w:type="dxa"/>
            <w:tcBorders>
              <w:bottom w:val="single" w:sz="4" w:space="0" w:color="808080" w:themeColor="background1" w:themeShade="80"/>
            </w:tcBorders>
            <w:vAlign w:val="center"/>
          </w:tcPr>
          <w:p w14:paraId="571F167C" w14:textId="77777777" w:rsidR="00F90BA3" w:rsidRPr="00332AB5" w:rsidRDefault="00F90BA3" w:rsidP="00275475">
            <w:pPr>
              <w:spacing w:after="60"/>
              <w:jc w:val="right"/>
              <w:rPr>
                <w:sz w:val="16"/>
                <w:szCs w:val="24"/>
              </w:rPr>
            </w:pPr>
            <w:r w:rsidRPr="00332AB5">
              <w:rPr>
                <w:rFonts w:asciiTheme="minorHAnsi" w:hAnsiTheme="minorHAnsi" w:cstheme="minorHAnsi"/>
                <w:sz w:val="16"/>
              </w:rPr>
              <w:t xml:space="preserve"> %</w:t>
            </w:r>
          </w:p>
        </w:tc>
        <w:tc>
          <w:tcPr>
            <w:tcW w:w="944" w:type="dxa"/>
            <w:tcBorders>
              <w:bottom w:val="single" w:sz="4" w:space="0" w:color="808080" w:themeColor="background1" w:themeShade="80"/>
            </w:tcBorders>
            <w:vAlign w:val="center"/>
          </w:tcPr>
          <w:p w14:paraId="5EAE89F5" w14:textId="77777777" w:rsidR="00F90BA3" w:rsidRPr="00332AB5" w:rsidRDefault="00F90BA3" w:rsidP="00275475">
            <w:pPr>
              <w:spacing w:after="60"/>
              <w:jc w:val="right"/>
              <w:rPr>
                <w:sz w:val="16"/>
                <w:szCs w:val="24"/>
              </w:rPr>
            </w:pPr>
            <w:r w:rsidRPr="00332AB5">
              <w:rPr>
                <w:rFonts w:asciiTheme="minorHAnsi" w:hAnsiTheme="minorHAnsi" w:cstheme="minorHAnsi"/>
                <w:sz w:val="16"/>
              </w:rPr>
              <w:t>Doznačena sredstva</w:t>
            </w:r>
          </w:p>
        </w:tc>
        <w:tc>
          <w:tcPr>
            <w:tcW w:w="638" w:type="dxa"/>
            <w:tcBorders>
              <w:bottom w:val="single" w:sz="4" w:space="0" w:color="808080" w:themeColor="background1" w:themeShade="80"/>
            </w:tcBorders>
            <w:vAlign w:val="center"/>
          </w:tcPr>
          <w:p w14:paraId="68EF5FF5" w14:textId="77777777" w:rsidR="00F90BA3" w:rsidRPr="00332AB5" w:rsidRDefault="00F90BA3" w:rsidP="00275475">
            <w:pPr>
              <w:spacing w:after="60"/>
              <w:jc w:val="right"/>
              <w:rPr>
                <w:sz w:val="16"/>
                <w:szCs w:val="24"/>
              </w:rPr>
            </w:pPr>
            <w:r w:rsidRPr="00332AB5">
              <w:rPr>
                <w:rFonts w:asciiTheme="minorHAnsi" w:hAnsiTheme="minorHAnsi" w:cstheme="minorHAnsi"/>
                <w:sz w:val="16"/>
              </w:rPr>
              <w:t xml:space="preserve"> %</w:t>
            </w:r>
          </w:p>
        </w:tc>
      </w:tr>
      <w:tr w:rsidR="00F90BA3" w:rsidRPr="00332AB5" w14:paraId="08C631F4" w14:textId="77777777" w:rsidTr="00C23C4E">
        <w:trPr>
          <w:trHeight w:val="113"/>
          <w:jc w:val="center"/>
        </w:trPr>
        <w:tc>
          <w:tcPr>
            <w:tcW w:w="1179" w:type="dxa"/>
            <w:vAlign w:val="center"/>
          </w:tcPr>
          <w:p w14:paraId="576942B5" w14:textId="77777777" w:rsidR="00F90BA3" w:rsidRPr="00332AB5" w:rsidRDefault="00F90BA3" w:rsidP="00275475">
            <w:pPr>
              <w:rPr>
                <w:rFonts w:asciiTheme="minorHAnsi" w:hAnsiTheme="minorHAnsi" w:cstheme="minorHAnsi"/>
                <w:sz w:val="8"/>
                <w:szCs w:val="24"/>
              </w:rPr>
            </w:pPr>
          </w:p>
        </w:tc>
        <w:tc>
          <w:tcPr>
            <w:tcW w:w="998" w:type="dxa"/>
            <w:tcBorders>
              <w:top w:val="single" w:sz="4" w:space="0" w:color="808080" w:themeColor="background1" w:themeShade="80"/>
            </w:tcBorders>
            <w:vAlign w:val="center"/>
          </w:tcPr>
          <w:p w14:paraId="7C30F430" w14:textId="77777777" w:rsidR="00F90BA3" w:rsidRPr="00332AB5" w:rsidRDefault="00F90BA3" w:rsidP="00275475">
            <w:pPr>
              <w:jc w:val="right"/>
              <w:rPr>
                <w:rFonts w:asciiTheme="minorHAnsi" w:hAnsiTheme="minorHAnsi" w:cstheme="minorHAnsi"/>
                <w:sz w:val="8"/>
                <w:szCs w:val="24"/>
              </w:rPr>
            </w:pPr>
          </w:p>
        </w:tc>
        <w:tc>
          <w:tcPr>
            <w:tcW w:w="1084" w:type="dxa"/>
            <w:tcBorders>
              <w:top w:val="single" w:sz="4" w:space="0" w:color="808080" w:themeColor="background1" w:themeShade="80"/>
            </w:tcBorders>
            <w:vAlign w:val="center"/>
          </w:tcPr>
          <w:p w14:paraId="7D14DEDA" w14:textId="77777777" w:rsidR="00F90BA3" w:rsidRPr="00332AB5" w:rsidRDefault="00F90BA3" w:rsidP="00275475">
            <w:pPr>
              <w:jc w:val="right"/>
              <w:rPr>
                <w:rFonts w:asciiTheme="minorHAnsi" w:hAnsiTheme="minorHAnsi" w:cstheme="minorHAnsi"/>
                <w:sz w:val="8"/>
                <w:szCs w:val="24"/>
              </w:rPr>
            </w:pPr>
          </w:p>
        </w:tc>
        <w:tc>
          <w:tcPr>
            <w:tcW w:w="708" w:type="dxa"/>
            <w:tcBorders>
              <w:top w:val="single" w:sz="4" w:space="0" w:color="808080" w:themeColor="background1" w:themeShade="80"/>
            </w:tcBorders>
            <w:vAlign w:val="center"/>
          </w:tcPr>
          <w:p w14:paraId="24B6567F" w14:textId="77777777" w:rsidR="00F90BA3" w:rsidRPr="00332AB5" w:rsidRDefault="00F90BA3" w:rsidP="00275475">
            <w:pPr>
              <w:jc w:val="right"/>
              <w:rPr>
                <w:rFonts w:asciiTheme="minorHAnsi" w:hAnsiTheme="minorHAnsi" w:cstheme="minorHAnsi"/>
                <w:sz w:val="8"/>
                <w:szCs w:val="24"/>
              </w:rPr>
            </w:pPr>
          </w:p>
        </w:tc>
        <w:tc>
          <w:tcPr>
            <w:tcW w:w="1021" w:type="dxa"/>
            <w:tcBorders>
              <w:top w:val="single" w:sz="4" w:space="0" w:color="808080" w:themeColor="background1" w:themeShade="80"/>
            </w:tcBorders>
            <w:vAlign w:val="center"/>
          </w:tcPr>
          <w:p w14:paraId="0220FF03" w14:textId="77777777" w:rsidR="00F90BA3" w:rsidRPr="00332AB5" w:rsidRDefault="00F90BA3" w:rsidP="00275475">
            <w:pPr>
              <w:jc w:val="right"/>
              <w:rPr>
                <w:rFonts w:asciiTheme="minorHAnsi" w:hAnsiTheme="minorHAnsi" w:cstheme="minorHAnsi"/>
                <w:sz w:val="8"/>
                <w:szCs w:val="24"/>
              </w:rPr>
            </w:pPr>
          </w:p>
        </w:tc>
        <w:tc>
          <w:tcPr>
            <w:tcW w:w="680" w:type="dxa"/>
            <w:tcBorders>
              <w:top w:val="single" w:sz="4" w:space="0" w:color="808080" w:themeColor="background1" w:themeShade="80"/>
            </w:tcBorders>
            <w:vAlign w:val="center"/>
          </w:tcPr>
          <w:p w14:paraId="46E3C465" w14:textId="77777777" w:rsidR="00F90BA3" w:rsidRPr="00332AB5" w:rsidRDefault="00F90BA3" w:rsidP="00275475">
            <w:pPr>
              <w:jc w:val="right"/>
              <w:rPr>
                <w:rFonts w:asciiTheme="minorHAnsi" w:hAnsiTheme="minorHAnsi" w:cstheme="minorHAnsi"/>
                <w:sz w:val="8"/>
                <w:szCs w:val="24"/>
              </w:rPr>
            </w:pPr>
          </w:p>
        </w:tc>
        <w:tc>
          <w:tcPr>
            <w:tcW w:w="993" w:type="dxa"/>
            <w:tcBorders>
              <w:top w:val="single" w:sz="4" w:space="0" w:color="808080" w:themeColor="background1" w:themeShade="80"/>
            </w:tcBorders>
            <w:vAlign w:val="center"/>
          </w:tcPr>
          <w:p w14:paraId="2AF23A46" w14:textId="77777777" w:rsidR="00F90BA3" w:rsidRPr="00332AB5" w:rsidRDefault="00F90BA3" w:rsidP="00275475">
            <w:pPr>
              <w:jc w:val="right"/>
              <w:rPr>
                <w:rFonts w:asciiTheme="minorHAnsi" w:hAnsiTheme="minorHAnsi" w:cstheme="minorHAnsi"/>
                <w:sz w:val="8"/>
                <w:szCs w:val="24"/>
              </w:rPr>
            </w:pPr>
          </w:p>
        </w:tc>
        <w:tc>
          <w:tcPr>
            <w:tcW w:w="686" w:type="dxa"/>
            <w:tcBorders>
              <w:top w:val="single" w:sz="4" w:space="0" w:color="808080" w:themeColor="background1" w:themeShade="80"/>
            </w:tcBorders>
            <w:vAlign w:val="center"/>
          </w:tcPr>
          <w:p w14:paraId="29B26945" w14:textId="77777777" w:rsidR="00F90BA3" w:rsidRPr="00332AB5" w:rsidRDefault="00F90BA3" w:rsidP="00275475">
            <w:pPr>
              <w:jc w:val="right"/>
              <w:rPr>
                <w:rFonts w:asciiTheme="minorHAnsi" w:hAnsiTheme="minorHAnsi" w:cstheme="minorHAnsi"/>
                <w:sz w:val="8"/>
                <w:szCs w:val="24"/>
              </w:rPr>
            </w:pPr>
          </w:p>
        </w:tc>
        <w:tc>
          <w:tcPr>
            <w:tcW w:w="944" w:type="dxa"/>
            <w:tcBorders>
              <w:top w:val="single" w:sz="4" w:space="0" w:color="808080" w:themeColor="background1" w:themeShade="80"/>
            </w:tcBorders>
            <w:vAlign w:val="center"/>
          </w:tcPr>
          <w:p w14:paraId="3C7D4DBD" w14:textId="77777777" w:rsidR="00F90BA3" w:rsidRPr="00332AB5" w:rsidRDefault="00F90BA3" w:rsidP="00275475">
            <w:pPr>
              <w:jc w:val="right"/>
              <w:rPr>
                <w:rFonts w:asciiTheme="minorHAnsi" w:hAnsiTheme="minorHAnsi" w:cstheme="minorHAnsi"/>
                <w:sz w:val="8"/>
                <w:szCs w:val="24"/>
              </w:rPr>
            </w:pPr>
          </w:p>
        </w:tc>
        <w:tc>
          <w:tcPr>
            <w:tcW w:w="638" w:type="dxa"/>
            <w:tcBorders>
              <w:top w:val="single" w:sz="4" w:space="0" w:color="808080" w:themeColor="background1" w:themeShade="80"/>
            </w:tcBorders>
            <w:vAlign w:val="center"/>
          </w:tcPr>
          <w:p w14:paraId="2E1C250D" w14:textId="77777777" w:rsidR="00F90BA3" w:rsidRPr="00332AB5" w:rsidRDefault="00F90BA3" w:rsidP="00275475">
            <w:pPr>
              <w:jc w:val="right"/>
              <w:rPr>
                <w:rFonts w:asciiTheme="minorHAnsi" w:hAnsiTheme="minorHAnsi" w:cstheme="minorHAnsi"/>
                <w:sz w:val="8"/>
                <w:szCs w:val="24"/>
              </w:rPr>
            </w:pPr>
          </w:p>
        </w:tc>
      </w:tr>
      <w:tr w:rsidR="00251302" w:rsidRPr="00332AB5" w14:paraId="0AD36CFD" w14:textId="77777777" w:rsidTr="00C23C4E">
        <w:trPr>
          <w:trHeight w:val="397"/>
          <w:jc w:val="center"/>
        </w:trPr>
        <w:tc>
          <w:tcPr>
            <w:tcW w:w="1179" w:type="dxa"/>
            <w:vAlign w:val="center"/>
          </w:tcPr>
          <w:p w14:paraId="36770308" w14:textId="77777777" w:rsidR="00251302" w:rsidRPr="00332AB5" w:rsidRDefault="00251302" w:rsidP="00251302">
            <w:pPr>
              <w:rPr>
                <w:rFonts w:asciiTheme="minorHAnsi" w:hAnsiTheme="minorHAnsi" w:cstheme="minorHAnsi"/>
                <w:sz w:val="18"/>
                <w:szCs w:val="18"/>
              </w:rPr>
            </w:pPr>
            <w:r w:rsidRPr="00332AB5">
              <w:rPr>
                <w:rFonts w:asciiTheme="minorHAnsi" w:hAnsiTheme="minorHAnsi" w:cstheme="minorHAnsi"/>
                <w:sz w:val="18"/>
                <w:szCs w:val="18"/>
              </w:rPr>
              <w:t>PU 1</w:t>
            </w:r>
          </w:p>
        </w:tc>
        <w:tc>
          <w:tcPr>
            <w:tcW w:w="998" w:type="dxa"/>
            <w:vAlign w:val="center"/>
          </w:tcPr>
          <w:p w14:paraId="0EBC15E3" w14:textId="3391FE73" w:rsidR="00251302" w:rsidRPr="00332AB5" w:rsidRDefault="00251302" w:rsidP="00251302">
            <w:pPr>
              <w:jc w:val="right"/>
              <w:rPr>
                <w:rFonts w:asciiTheme="minorHAnsi" w:hAnsiTheme="minorHAnsi" w:cstheme="minorHAnsi"/>
                <w:sz w:val="18"/>
                <w:szCs w:val="18"/>
              </w:rPr>
            </w:pPr>
            <w:r w:rsidRPr="00332AB5">
              <w:rPr>
                <w:rFonts w:ascii="Calibri" w:hAnsi="Calibri" w:cs="Calibri"/>
                <w:color w:val="000000"/>
                <w:sz w:val="18"/>
                <w:szCs w:val="18"/>
              </w:rPr>
              <w:t>69,68</w:t>
            </w:r>
          </w:p>
        </w:tc>
        <w:tc>
          <w:tcPr>
            <w:tcW w:w="1084" w:type="dxa"/>
            <w:vAlign w:val="center"/>
          </w:tcPr>
          <w:p w14:paraId="60A05FFB" w14:textId="785E5BE9"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0,63</w:t>
            </w:r>
          </w:p>
        </w:tc>
        <w:tc>
          <w:tcPr>
            <w:tcW w:w="708" w:type="dxa"/>
            <w:vAlign w:val="center"/>
          </w:tcPr>
          <w:p w14:paraId="038F1B12" w14:textId="260C28CF"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0,91</w:t>
            </w:r>
          </w:p>
        </w:tc>
        <w:tc>
          <w:tcPr>
            <w:tcW w:w="1021" w:type="dxa"/>
            <w:vAlign w:val="center"/>
          </w:tcPr>
          <w:p w14:paraId="240E30D2" w14:textId="2AFE40E8"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2,13</w:t>
            </w:r>
          </w:p>
        </w:tc>
        <w:tc>
          <w:tcPr>
            <w:tcW w:w="680" w:type="dxa"/>
            <w:shd w:val="clear" w:color="auto" w:fill="auto"/>
            <w:vAlign w:val="center"/>
          </w:tcPr>
          <w:p w14:paraId="4F73B35E" w14:textId="402E656A"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3,06</w:t>
            </w:r>
          </w:p>
        </w:tc>
        <w:tc>
          <w:tcPr>
            <w:tcW w:w="993" w:type="dxa"/>
            <w:vAlign w:val="center"/>
          </w:tcPr>
          <w:p w14:paraId="24B4F724" w14:textId="36379A9C"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1,53</w:t>
            </w:r>
          </w:p>
        </w:tc>
        <w:tc>
          <w:tcPr>
            <w:tcW w:w="686" w:type="dxa"/>
            <w:vAlign w:val="center"/>
          </w:tcPr>
          <w:p w14:paraId="4D79D953" w14:textId="5DBADE30"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2,20</w:t>
            </w:r>
          </w:p>
        </w:tc>
        <w:tc>
          <w:tcPr>
            <w:tcW w:w="944" w:type="dxa"/>
            <w:vAlign w:val="center"/>
          </w:tcPr>
          <w:p w14:paraId="5693164C" w14:textId="77777777" w:rsidR="00251302" w:rsidRPr="00332AB5" w:rsidRDefault="00251302" w:rsidP="00251302">
            <w:pPr>
              <w:jc w:val="right"/>
              <w:rPr>
                <w:rFonts w:asciiTheme="minorHAnsi" w:hAnsiTheme="minorHAnsi" w:cstheme="minorHAnsi"/>
                <w:sz w:val="18"/>
                <w:szCs w:val="18"/>
              </w:rPr>
            </w:pPr>
          </w:p>
        </w:tc>
        <w:tc>
          <w:tcPr>
            <w:tcW w:w="638" w:type="dxa"/>
            <w:vAlign w:val="center"/>
          </w:tcPr>
          <w:p w14:paraId="63CB56F2" w14:textId="77777777" w:rsidR="00251302" w:rsidRPr="00332AB5" w:rsidRDefault="00251302" w:rsidP="00251302">
            <w:pPr>
              <w:jc w:val="right"/>
              <w:rPr>
                <w:rFonts w:asciiTheme="minorHAnsi" w:hAnsiTheme="minorHAnsi" w:cstheme="minorHAnsi"/>
                <w:sz w:val="18"/>
                <w:szCs w:val="18"/>
              </w:rPr>
            </w:pPr>
          </w:p>
        </w:tc>
      </w:tr>
      <w:tr w:rsidR="00251302" w:rsidRPr="00332AB5" w14:paraId="43B9CE04" w14:textId="77777777" w:rsidTr="00C23C4E">
        <w:trPr>
          <w:trHeight w:val="397"/>
          <w:jc w:val="center"/>
        </w:trPr>
        <w:tc>
          <w:tcPr>
            <w:tcW w:w="1179" w:type="dxa"/>
            <w:vAlign w:val="center"/>
          </w:tcPr>
          <w:p w14:paraId="6C08EF0A" w14:textId="77777777" w:rsidR="00251302" w:rsidRPr="00332AB5" w:rsidRDefault="00251302" w:rsidP="00251302">
            <w:pPr>
              <w:rPr>
                <w:rFonts w:asciiTheme="minorHAnsi" w:hAnsiTheme="minorHAnsi" w:cstheme="minorHAnsi"/>
                <w:sz w:val="18"/>
                <w:szCs w:val="18"/>
              </w:rPr>
            </w:pPr>
            <w:r w:rsidRPr="00332AB5">
              <w:rPr>
                <w:rFonts w:asciiTheme="minorHAnsi" w:hAnsiTheme="minorHAnsi" w:cstheme="minorHAnsi"/>
                <w:sz w:val="18"/>
                <w:szCs w:val="18"/>
              </w:rPr>
              <w:t>PU 2</w:t>
            </w:r>
          </w:p>
        </w:tc>
        <w:tc>
          <w:tcPr>
            <w:tcW w:w="998" w:type="dxa"/>
            <w:vAlign w:val="center"/>
          </w:tcPr>
          <w:p w14:paraId="2DC73743" w14:textId="6311E6C4" w:rsidR="00251302" w:rsidRPr="00332AB5" w:rsidRDefault="00251302" w:rsidP="00251302">
            <w:pPr>
              <w:jc w:val="right"/>
              <w:rPr>
                <w:rFonts w:asciiTheme="minorHAnsi" w:hAnsiTheme="minorHAnsi" w:cstheme="minorHAnsi"/>
                <w:sz w:val="18"/>
                <w:szCs w:val="18"/>
              </w:rPr>
            </w:pPr>
            <w:r w:rsidRPr="00332AB5">
              <w:rPr>
                <w:rFonts w:ascii="Calibri" w:hAnsi="Calibri" w:cs="Calibri"/>
                <w:color w:val="000000"/>
                <w:sz w:val="18"/>
                <w:szCs w:val="18"/>
              </w:rPr>
              <w:t>47,48</w:t>
            </w:r>
          </w:p>
        </w:tc>
        <w:tc>
          <w:tcPr>
            <w:tcW w:w="1084" w:type="dxa"/>
            <w:vAlign w:val="center"/>
          </w:tcPr>
          <w:p w14:paraId="4E9FDD15" w14:textId="1F45CCED"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1,16</w:t>
            </w:r>
          </w:p>
        </w:tc>
        <w:tc>
          <w:tcPr>
            <w:tcW w:w="708" w:type="dxa"/>
            <w:vAlign w:val="center"/>
          </w:tcPr>
          <w:p w14:paraId="65F13D00" w14:textId="7030DDEE"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2,45</w:t>
            </w:r>
          </w:p>
        </w:tc>
        <w:tc>
          <w:tcPr>
            <w:tcW w:w="1021" w:type="dxa"/>
            <w:vAlign w:val="center"/>
          </w:tcPr>
          <w:p w14:paraId="72BE290D" w14:textId="3F746B14"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0,80</w:t>
            </w:r>
          </w:p>
        </w:tc>
        <w:tc>
          <w:tcPr>
            <w:tcW w:w="680" w:type="dxa"/>
            <w:vAlign w:val="center"/>
          </w:tcPr>
          <w:p w14:paraId="0439C1D3" w14:textId="6205B149"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1,69</w:t>
            </w:r>
          </w:p>
        </w:tc>
        <w:tc>
          <w:tcPr>
            <w:tcW w:w="993" w:type="dxa"/>
            <w:vAlign w:val="center"/>
          </w:tcPr>
          <w:p w14:paraId="36CD76EC" w14:textId="345E7068"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0,12</w:t>
            </w:r>
          </w:p>
        </w:tc>
        <w:tc>
          <w:tcPr>
            <w:tcW w:w="686" w:type="dxa"/>
            <w:vAlign w:val="center"/>
          </w:tcPr>
          <w:p w14:paraId="03580937" w14:textId="0F8A5952"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0,24</w:t>
            </w:r>
          </w:p>
        </w:tc>
        <w:tc>
          <w:tcPr>
            <w:tcW w:w="944" w:type="dxa"/>
            <w:vAlign w:val="center"/>
          </w:tcPr>
          <w:p w14:paraId="63662F69" w14:textId="77777777" w:rsidR="00251302" w:rsidRPr="00332AB5" w:rsidRDefault="00251302" w:rsidP="00251302">
            <w:pPr>
              <w:jc w:val="right"/>
              <w:rPr>
                <w:rFonts w:asciiTheme="minorHAnsi" w:hAnsiTheme="minorHAnsi" w:cstheme="minorHAnsi"/>
                <w:sz w:val="18"/>
                <w:szCs w:val="18"/>
              </w:rPr>
            </w:pPr>
          </w:p>
        </w:tc>
        <w:tc>
          <w:tcPr>
            <w:tcW w:w="638" w:type="dxa"/>
            <w:vAlign w:val="center"/>
          </w:tcPr>
          <w:p w14:paraId="6235C455" w14:textId="77777777" w:rsidR="00251302" w:rsidRPr="00332AB5" w:rsidRDefault="00251302" w:rsidP="00251302">
            <w:pPr>
              <w:jc w:val="right"/>
              <w:rPr>
                <w:rFonts w:asciiTheme="minorHAnsi" w:hAnsiTheme="minorHAnsi" w:cstheme="minorHAnsi"/>
                <w:sz w:val="18"/>
                <w:szCs w:val="18"/>
              </w:rPr>
            </w:pPr>
          </w:p>
        </w:tc>
      </w:tr>
      <w:tr w:rsidR="00251302" w:rsidRPr="00332AB5" w14:paraId="375B1946" w14:textId="77777777" w:rsidTr="00C23C4E">
        <w:trPr>
          <w:trHeight w:val="397"/>
          <w:jc w:val="center"/>
        </w:trPr>
        <w:tc>
          <w:tcPr>
            <w:tcW w:w="1179" w:type="dxa"/>
            <w:vAlign w:val="center"/>
          </w:tcPr>
          <w:p w14:paraId="4A2140D3" w14:textId="77777777" w:rsidR="00251302" w:rsidRPr="00332AB5" w:rsidRDefault="00251302" w:rsidP="00251302">
            <w:pPr>
              <w:rPr>
                <w:rFonts w:asciiTheme="minorHAnsi" w:hAnsiTheme="minorHAnsi" w:cstheme="minorHAnsi"/>
                <w:sz w:val="18"/>
                <w:szCs w:val="18"/>
              </w:rPr>
            </w:pPr>
            <w:r w:rsidRPr="00332AB5">
              <w:rPr>
                <w:rFonts w:asciiTheme="minorHAnsi" w:hAnsiTheme="minorHAnsi" w:cstheme="minorHAnsi"/>
                <w:sz w:val="18"/>
                <w:szCs w:val="18"/>
              </w:rPr>
              <w:t>PU 3</w:t>
            </w:r>
          </w:p>
        </w:tc>
        <w:tc>
          <w:tcPr>
            <w:tcW w:w="998" w:type="dxa"/>
            <w:vAlign w:val="center"/>
          </w:tcPr>
          <w:p w14:paraId="78C0C287" w14:textId="0FBA7817" w:rsidR="00251302" w:rsidRPr="00332AB5" w:rsidRDefault="00251302" w:rsidP="00251302">
            <w:pPr>
              <w:jc w:val="right"/>
              <w:rPr>
                <w:rFonts w:asciiTheme="minorHAnsi" w:hAnsiTheme="minorHAnsi" w:cstheme="minorHAnsi"/>
                <w:sz w:val="18"/>
                <w:szCs w:val="18"/>
              </w:rPr>
            </w:pPr>
            <w:r w:rsidRPr="00332AB5">
              <w:rPr>
                <w:rFonts w:ascii="Calibri" w:hAnsi="Calibri" w:cs="Calibri"/>
                <w:color w:val="000000"/>
                <w:sz w:val="18"/>
                <w:szCs w:val="18"/>
              </w:rPr>
              <w:t>32,17</w:t>
            </w:r>
          </w:p>
        </w:tc>
        <w:tc>
          <w:tcPr>
            <w:tcW w:w="1084" w:type="dxa"/>
            <w:vAlign w:val="center"/>
          </w:tcPr>
          <w:p w14:paraId="15F3BA1E" w14:textId="6A77A50F"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1,45</w:t>
            </w:r>
          </w:p>
        </w:tc>
        <w:tc>
          <w:tcPr>
            <w:tcW w:w="708" w:type="dxa"/>
            <w:vAlign w:val="center"/>
          </w:tcPr>
          <w:p w14:paraId="4237DB27" w14:textId="36F43492"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4,52</w:t>
            </w:r>
          </w:p>
        </w:tc>
        <w:tc>
          <w:tcPr>
            <w:tcW w:w="1021" w:type="dxa"/>
            <w:vAlign w:val="center"/>
          </w:tcPr>
          <w:p w14:paraId="73DF413B" w14:textId="58F68184"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5,36</w:t>
            </w:r>
          </w:p>
        </w:tc>
        <w:tc>
          <w:tcPr>
            <w:tcW w:w="680" w:type="dxa"/>
            <w:vAlign w:val="center"/>
          </w:tcPr>
          <w:p w14:paraId="56D65B02" w14:textId="63DC419B"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16,66</w:t>
            </w:r>
          </w:p>
        </w:tc>
        <w:tc>
          <w:tcPr>
            <w:tcW w:w="993" w:type="dxa"/>
            <w:vAlign w:val="center"/>
          </w:tcPr>
          <w:p w14:paraId="786E4F30" w14:textId="57DAB067"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0,92</w:t>
            </w:r>
          </w:p>
        </w:tc>
        <w:tc>
          <w:tcPr>
            <w:tcW w:w="686" w:type="dxa"/>
            <w:vAlign w:val="center"/>
          </w:tcPr>
          <w:p w14:paraId="3AE0E11E" w14:textId="67D713A0"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2,86</w:t>
            </w:r>
          </w:p>
        </w:tc>
        <w:tc>
          <w:tcPr>
            <w:tcW w:w="944" w:type="dxa"/>
            <w:vAlign w:val="center"/>
          </w:tcPr>
          <w:p w14:paraId="60291F54" w14:textId="77777777" w:rsidR="00251302" w:rsidRPr="00332AB5" w:rsidRDefault="00251302" w:rsidP="00251302">
            <w:pPr>
              <w:jc w:val="right"/>
              <w:rPr>
                <w:rFonts w:asciiTheme="minorHAnsi" w:hAnsiTheme="minorHAnsi" w:cstheme="minorHAnsi"/>
                <w:sz w:val="18"/>
                <w:szCs w:val="18"/>
              </w:rPr>
            </w:pPr>
          </w:p>
        </w:tc>
        <w:tc>
          <w:tcPr>
            <w:tcW w:w="638" w:type="dxa"/>
            <w:vAlign w:val="center"/>
          </w:tcPr>
          <w:p w14:paraId="24A3B4C8" w14:textId="77777777" w:rsidR="00251302" w:rsidRPr="00332AB5" w:rsidRDefault="00251302" w:rsidP="00251302">
            <w:pPr>
              <w:jc w:val="right"/>
              <w:rPr>
                <w:rFonts w:asciiTheme="minorHAnsi" w:hAnsiTheme="minorHAnsi" w:cstheme="minorHAnsi"/>
                <w:sz w:val="18"/>
                <w:szCs w:val="18"/>
              </w:rPr>
            </w:pPr>
          </w:p>
        </w:tc>
      </w:tr>
      <w:tr w:rsidR="00251302" w:rsidRPr="00332AB5" w14:paraId="160FCEF9" w14:textId="77777777" w:rsidTr="00C23C4E">
        <w:trPr>
          <w:trHeight w:val="397"/>
          <w:jc w:val="center"/>
        </w:trPr>
        <w:tc>
          <w:tcPr>
            <w:tcW w:w="1179" w:type="dxa"/>
            <w:vAlign w:val="center"/>
          </w:tcPr>
          <w:p w14:paraId="3CE56A3F" w14:textId="77777777" w:rsidR="00251302" w:rsidRPr="00332AB5" w:rsidRDefault="00251302" w:rsidP="00251302">
            <w:pPr>
              <w:rPr>
                <w:rFonts w:asciiTheme="minorHAnsi" w:hAnsiTheme="minorHAnsi" w:cstheme="minorHAnsi"/>
                <w:sz w:val="18"/>
                <w:szCs w:val="18"/>
              </w:rPr>
            </w:pPr>
            <w:r w:rsidRPr="00332AB5">
              <w:rPr>
                <w:rFonts w:asciiTheme="minorHAnsi" w:hAnsiTheme="minorHAnsi" w:cstheme="minorHAnsi"/>
                <w:sz w:val="18"/>
                <w:szCs w:val="18"/>
              </w:rPr>
              <w:t>PU 4</w:t>
            </w:r>
          </w:p>
        </w:tc>
        <w:tc>
          <w:tcPr>
            <w:tcW w:w="998" w:type="dxa"/>
            <w:vAlign w:val="center"/>
          </w:tcPr>
          <w:p w14:paraId="4829C83B" w14:textId="776D4A55" w:rsidR="00251302" w:rsidRPr="00332AB5" w:rsidRDefault="00251302" w:rsidP="00251302">
            <w:pPr>
              <w:jc w:val="right"/>
              <w:rPr>
                <w:rFonts w:asciiTheme="minorHAnsi" w:hAnsiTheme="minorHAnsi" w:cstheme="minorHAnsi"/>
                <w:sz w:val="18"/>
                <w:szCs w:val="18"/>
              </w:rPr>
            </w:pPr>
            <w:r w:rsidRPr="00332AB5">
              <w:rPr>
                <w:rFonts w:ascii="Calibri" w:hAnsi="Calibri" w:cs="Calibri"/>
                <w:color w:val="000000"/>
                <w:sz w:val="18"/>
                <w:szCs w:val="18"/>
              </w:rPr>
              <w:t>25,90</w:t>
            </w:r>
          </w:p>
        </w:tc>
        <w:tc>
          <w:tcPr>
            <w:tcW w:w="1084" w:type="dxa"/>
            <w:vAlign w:val="center"/>
          </w:tcPr>
          <w:p w14:paraId="05F35501" w14:textId="71C5ADFB"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color w:val="000000"/>
                <w:sz w:val="18"/>
                <w:szCs w:val="18"/>
              </w:rPr>
              <w:t>0,00</w:t>
            </w:r>
          </w:p>
        </w:tc>
        <w:tc>
          <w:tcPr>
            <w:tcW w:w="708" w:type="dxa"/>
            <w:vAlign w:val="center"/>
          </w:tcPr>
          <w:p w14:paraId="6310CB79" w14:textId="53A9F487"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color w:val="000000"/>
                <w:sz w:val="18"/>
                <w:szCs w:val="18"/>
              </w:rPr>
              <w:t>0,00</w:t>
            </w:r>
          </w:p>
        </w:tc>
        <w:tc>
          <w:tcPr>
            <w:tcW w:w="1021" w:type="dxa"/>
            <w:vAlign w:val="center"/>
          </w:tcPr>
          <w:p w14:paraId="165ABF12" w14:textId="1512E407"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3,14</w:t>
            </w:r>
          </w:p>
        </w:tc>
        <w:tc>
          <w:tcPr>
            <w:tcW w:w="680" w:type="dxa"/>
            <w:vAlign w:val="center"/>
          </w:tcPr>
          <w:p w14:paraId="3260CE69" w14:textId="12FA7DE6"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12,12</w:t>
            </w:r>
          </w:p>
        </w:tc>
        <w:tc>
          <w:tcPr>
            <w:tcW w:w="993" w:type="dxa"/>
            <w:vAlign w:val="center"/>
          </w:tcPr>
          <w:p w14:paraId="46DB66D0" w14:textId="135CAA85"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1,08</w:t>
            </w:r>
          </w:p>
        </w:tc>
        <w:tc>
          <w:tcPr>
            <w:tcW w:w="686" w:type="dxa"/>
            <w:vAlign w:val="center"/>
          </w:tcPr>
          <w:p w14:paraId="6A041D24" w14:textId="44A1ACB7"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4,16</w:t>
            </w:r>
          </w:p>
        </w:tc>
        <w:tc>
          <w:tcPr>
            <w:tcW w:w="944" w:type="dxa"/>
            <w:vAlign w:val="center"/>
          </w:tcPr>
          <w:p w14:paraId="3ADED747" w14:textId="77777777" w:rsidR="00251302" w:rsidRPr="00332AB5" w:rsidRDefault="00251302" w:rsidP="00251302">
            <w:pPr>
              <w:jc w:val="right"/>
              <w:rPr>
                <w:rFonts w:asciiTheme="minorHAnsi" w:hAnsiTheme="minorHAnsi" w:cstheme="minorHAnsi"/>
                <w:sz w:val="18"/>
                <w:szCs w:val="18"/>
              </w:rPr>
            </w:pPr>
          </w:p>
        </w:tc>
        <w:tc>
          <w:tcPr>
            <w:tcW w:w="638" w:type="dxa"/>
            <w:vAlign w:val="center"/>
          </w:tcPr>
          <w:p w14:paraId="11F59989" w14:textId="77777777" w:rsidR="00251302" w:rsidRPr="00332AB5" w:rsidRDefault="00251302" w:rsidP="00251302">
            <w:pPr>
              <w:jc w:val="right"/>
              <w:rPr>
                <w:rFonts w:asciiTheme="minorHAnsi" w:hAnsiTheme="minorHAnsi" w:cstheme="minorHAnsi"/>
                <w:sz w:val="18"/>
                <w:szCs w:val="18"/>
              </w:rPr>
            </w:pPr>
          </w:p>
        </w:tc>
      </w:tr>
      <w:tr w:rsidR="00251302" w:rsidRPr="00332AB5" w14:paraId="10758360" w14:textId="77777777" w:rsidTr="00C23C4E">
        <w:trPr>
          <w:trHeight w:val="397"/>
          <w:jc w:val="center"/>
        </w:trPr>
        <w:tc>
          <w:tcPr>
            <w:tcW w:w="1179" w:type="dxa"/>
            <w:vAlign w:val="center"/>
          </w:tcPr>
          <w:p w14:paraId="7783F4C1" w14:textId="77777777" w:rsidR="00251302" w:rsidRPr="00332AB5" w:rsidRDefault="00251302" w:rsidP="00251302">
            <w:pPr>
              <w:rPr>
                <w:rFonts w:asciiTheme="minorHAnsi" w:hAnsiTheme="minorHAnsi" w:cstheme="minorHAnsi"/>
                <w:sz w:val="18"/>
                <w:szCs w:val="18"/>
              </w:rPr>
            </w:pPr>
            <w:r w:rsidRPr="00332AB5">
              <w:rPr>
                <w:rFonts w:asciiTheme="minorHAnsi" w:hAnsiTheme="minorHAnsi" w:cstheme="minorHAnsi"/>
                <w:sz w:val="18"/>
                <w:szCs w:val="18"/>
              </w:rPr>
              <w:t>PU 5</w:t>
            </w:r>
          </w:p>
        </w:tc>
        <w:tc>
          <w:tcPr>
            <w:tcW w:w="998" w:type="dxa"/>
            <w:vAlign w:val="center"/>
          </w:tcPr>
          <w:p w14:paraId="1C518933" w14:textId="420EFB93" w:rsidR="00251302" w:rsidRPr="00332AB5" w:rsidRDefault="00251302" w:rsidP="00251302">
            <w:pPr>
              <w:jc w:val="right"/>
              <w:rPr>
                <w:rFonts w:asciiTheme="minorHAnsi" w:hAnsiTheme="minorHAnsi" w:cstheme="minorHAnsi"/>
                <w:sz w:val="18"/>
                <w:szCs w:val="18"/>
              </w:rPr>
            </w:pPr>
            <w:r w:rsidRPr="00332AB5">
              <w:rPr>
                <w:rFonts w:ascii="Calibri" w:hAnsi="Calibri" w:cs="Calibri"/>
                <w:color w:val="000000"/>
                <w:sz w:val="18"/>
                <w:szCs w:val="18"/>
              </w:rPr>
              <w:t>68,91</w:t>
            </w:r>
          </w:p>
        </w:tc>
        <w:tc>
          <w:tcPr>
            <w:tcW w:w="1084" w:type="dxa"/>
            <w:vAlign w:val="center"/>
          </w:tcPr>
          <w:p w14:paraId="7F093161" w14:textId="0618F4D1"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14,93</w:t>
            </w:r>
          </w:p>
        </w:tc>
        <w:tc>
          <w:tcPr>
            <w:tcW w:w="708" w:type="dxa"/>
            <w:vAlign w:val="center"/>
          </w:tcPr>
          <w:p w14:paraId="1EB85DDC" w14:textId="472BA837"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21,66</w:t>
            </w:r>
          </w:p>
        </w:tc>
        <w:tc>
          <w:tcPr>
            <w:tcW w:w="1021" w:type="dxa"/>
            <w:vAlign w:val="center"/>
          </w:tcPr>
          <w:p w14:paraId="21F59212" w14:textId="088E6174"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14,86</w:t>
            </w:r>
          </w:p>
        </w:tc>
        <w:tc>
          <w:tcPr>
            <w:tcW w:w="680" w:type="dxa"/>
            <w:vAlign w:val="center"/>
          </w:tcPr>
          <w:p w14:paraId="64F18B83" w14:textId="230FAC9F"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21,57</w:t>
            </w:r>
          </w:p>
        </w:tc>
        <w:tc>
          <w:tcPr>
            <w:tcW w:w="993" w:type="dxa"/>
            <w:vAlign w:val="center"/>
          </w:tcPr>
          <w:p w14:paraId="21820BAA" w14:textId="52BA354B"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8,03</w:t>
            </w:r>
          </w:p>
        </w:tc>
        <w:tc>
          <w:tcPr>
            <w:tcW w:w="686" w:type="dxa"/>
            <w:vAlign w:val="center"/>
          </w:tcPr>
          <w:p w14:paraId="150641E4" w14:textId="0112F8B3"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11,66</w:t>
            </w:r>
          </w:p>
        </w:tc>
        <w:tc>
          <w:tcPr>
            <w:tcW w:w="944" w:type="dxa"/>
            <w:vAlign w:val="center"/>
          </w:tcPr>
          <w:p w14:paraId="2C1A8618" w14:textId="77777777" w:rsidR="00251302" w:rsidRPr="00332AB5" w:rsidRDefault="00251302" w:rsidP="00251302">
            <w:pPr>
              <w:jc w:val="right"/>
              <w:rPr>
                <w:rFonts w:asciiTheme="minorHAnsi" w:hAnsiTheme="minorHAnsi" w:cstheme="minorHAnsi"/>
                <w:sz w:val="18"/>
                <w:szCs w:val="18"/>
              </w:rPr>
            </w:pPr>
          </w:p>
        </w:tc>
        <w:tc>
          <w:tcPr>
            <w:tcW w:w="638" w:type="dxa"/>
            <w:vAlign w:val="center"/>
          </w:tcPr>
          <w:p w14:paraId="10971E63" w14:textId="77777777" w:rsidR="00251302" w:rsidRPr="00332AB5" w:rsidRDefault="00251302" w:rsidP="00251302">
            <w:pPr>
              <w:jc w:val="right"/>
              <w:rPr>
                <w:rFonts w:asciiTheme="minorHAnsi" w:hAnsiTheme="minorHAnsi" w:cstheme="minorHAnsi"/>
                <w:sz w:val="18"/>
                <w:szCs w:val="18"/>
              </w:rPr>
            </w:pPr>
          </w:p>
        </w:tc>
      </w:tr>
      <w:tr w:rsidR="00251302" w:rsidRPr="00332AB5" w14:paraId="36EBB4A3" w14:textId="77777777" w:rsidTr="00C23C4E">
        <w:trPr>
          <w:trHeight w:val="397"/>
          <w:jc w:val="center"/>
        </w:trPr>
        <w:tc>
          <w:tcPr>
            <w:tcW w:w="1179" w:type="dxa"/>
            <w:vAlign w:val="center"/>
          </w:tcPr>
          <w:p w14:paraId="073DB153" w14:textId="77777777" w:rsidR="00251302" w:rsidRPr="00332AB5" w:rsidRDefault="00251302" w:rsidP="00251302">
            <w:pPr>
              <w:rPr>
                <w:rFonts w:asciiTheme="minorHAnsi" w:hAnsiTheme="minorHAnsi" w:cstheme="minorHAnsi"/>
                <w:sz w:val="18"/>
                <w:szCs w:val="18"/>
              </w:rPr>
            </w:pPr>
            <w:r w:rsidRPr="00332AB5">
              <w:rPr>
                <w:rFonts w:asciiTheme="minorHAnsi" w:hAnsiTheme="minorHAnsi" w:cstheme="minorHAnsi"/>
                <w:sz w:val="18"/>
                <w:szCs w:val="18"/>
              </w:rPr>
              <w:t>PU 6</w:t>
            </w:r>
          </w:p>
        </w:tc>
        <w:tc>
          <w:tcPr>
            <w:tcW w:w="998" w:type="dxa"/>
            <w:vAlign w:val="center"/>
          </w:tcPr>
          <w:p w14:paraId="64C88083" w14:textId="64D4706C" w:rsidR="00251302" w:rsidRPr="00332AB5" w:rsidRDefault="00251302" w:rsidP="00251302">
            <w:pPr>
              <w:jc w:val="right"/>
              <w:rPr>
                <w:rFonts w:asciiTheme="minorHAnsi" w:hAnsiTheme="minorHAnsi" w:cstheme="minorHAnsi"/>
                <w:sz w:val="18"/>
                <w:szCs w:val="18"/>
              </w:rPr>
            </w:pPr>
            <w:r w:rsidRPr="00332AB5">
              <w:rPr>
                <w:rFonts w:ascii="Calibri" w:hAnsi="Calibri" w:cs="Calibri"/>
                <w:color w:val="000000"/>
                <w:sz w:val="18"/>
                <w:szCs w:val="18"/>
              </w:rPr>
              <w:t>0,33</w:t>
            </w:r>
          </w:p>
        </w:tc>
        <w:tc>
          <w:tcPr>
            <w:tcW w:w="1084" w:type="dxa"/>
            <w:vAlign w:val="center"/>
          </w:tcPr>
          <w:p w14:paraId="7AF706BD" w14:textId="36EF5174"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color w:val="000000"/>
                <w:sz w:val="18"/>
                <w:szCs w:val="18"/>
              </w:rPr>
              <w:t>0,00</w:t>
            </w:r>
          </w:p>
        </w:tc>
        <w:tc>
          <w:tcPr>
            <w:tcW w:w="708" w:type="dxa"/>
            <w:vAlign w:val="center"/>
          </w:tcPr>
          <w:p w14:paraId="71CA891A" w14:textId="2E0300A1"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color w:val="000000"/>
                <w:sz w:val="18"/>
                <w:szCs w:val="18"/>
              </w:rPr>
              <w:t>0,00</w:t>
            </w:r>
          </w:p>
        </w:tc>
        <w:tc>
          <w:tcPr>
            <w:tcW w:w="1021" w:type="dxa"/>
            <w:vAlign w:val="center"/>
          </w:tcPr>
          <w:p w14:paraId="01FAA1CF" w14:textId="4A306F02"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0,00</w:t>
            </w:r>
          </w:p>
        </w:tc>
        <w:tc>
          <w:tcPr>
            <w:tcW w:w="680" w:type="dxa"/>
            <w:vAlign w:val="center"/>
          </w:tcPr>
          <w:p w14:paraId="071E4351" w14:textId="37284E99"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0,00</w:t>
            </w:r>
          </w:p>
        </w:tc>
        <w:tc>
          <w:tcPr>
            <w:tcW w:w="993" w:type="dxa"/>
            <w:vAlign w:val="center"/>
          </w:tcPr>
          <w:p w14:paraId="2F0927FC" w14:textId="058050D6"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0,00</w:t>
            </w:r>
          </w:p>
        </w:tc>
        <w:tc>
          <w:tcPr>
            <w:tcW w:w="686" w:type="dxa"/>
            <w:vAlign w:val="center"/>
          </w:tcPr>
          <w:p w14:paraId="0D4FC9CE" w14:textId="5E3FE1AD"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0,00</w:t>
            </w:r>
          </w:p>
        </w:tc>
        <w:tc>
          <w:tcPr>
            <w:tcW w:w="944" w:type="dxa"/>
            <w:vAlign w:val="center"/>
          </w:tcPr>
          <w:p w14:paraId="48FD9134" w14:textId="77777777" w:rsidR="00251302" w:rsidRPr="00332AB5" w:rsidRDefault="00251302" w:rsidP="00251302">
            <w:pPr>
              <w:jc w:val="right"/>
              <w:rPr>
                <w:rFonts w:asciiTheme="minorHAnsi" w:hAnsiTheme="minorHAnsi" w:cstheme="minorHAnsi"/>
                <w:sz w:val="18"/>
                <w:szCs w:val="18"/>
              </w:rPr>
            </w:pPr>
          </w:p>
        </w:tc>
        <w:tc>
          <w:tcPr>
            <w:tcW w:w="638" w:type="dxa"/>
            <w:vAlign w:val="center"/>
          </w:tcPr>
          <w:p w14:paraId="42B86446" w14:textId="77777777" w:rsidR="00251302" w:rsidRPr="00332AB5" w:rsidRDefault="00251302" w:rsidP="00251302">
            <w:pPr>
              <w:jc w:val="right"/>
              <w:rPr>
                <w:rFonts w:asciiTheme="minorHAnsi" w:hAnsiTheme="minorHAnsi" w:cstheme="minorHAnsi"/>
                <w:sz w:val="18"/>
                <w:szCs w:val="18"/>
              </w:rPr>
            </w:pPr>
          </w:p>
        </w:tc>
      </w:tr>
      <w:tr w:rsidR="00251302" w:rsidRPr="00332AB5" w14:paraId="28370157" w14:textId="77777777" w:rsidTr="00C23C4E">
        <w:trPr>
          <w:trHeight w:val="397"/>
          <w:jc w:val="center"/>
        </w:trPr>
        <w:tc>
          <w:tcPr>
            <w:tcW w:w="1179" w:type="dxa"/>
            <w:vAlign w:val="center"/>
          </w:tcPr>
          <w:p w14:paraId="0B7D9793" w14:textId="77777777" w:rsidR="00251302" w:rsidRPr="00332AB5" w:rsidRDefault="00251302" w:rsidP="00251302">
            <w:pPr>
              <w:rPr>
                <w:rFonts w:asciiTheme="minorHAnsi" w:hAnsiTheme="minorHAnsi" w:cstheme="minorHAnsi"/>
                <w:sz w:val="18"/>
                <w:szCs w:val="18"/>
              </w:rPr>
            </w:pPr>
            <w:r w:rsidRPr="00332AB5">
              <w:rPr>
                <w:rFonts w:asciiTheme="minorHAnsi" w:hAnsiTheme="minorHAnsi" w:cstheme="minorHAnsi"/>
                <w:sz w:val="18"/>
                <w:szCs w:val="18"/>
              </w:rPr>
              <w:t>TP</w:t>
            </w:r>
          </w:p>
        </w:tc>
        <w:tc>
          <w:tcPr>
            <w:tcW w:w="998" w:type="dxa"/>
            <w:tcBorders>
              <w:bottom w:val="single" w:sz="4" w:space="0" w:color="808080" w:themeColor="background1" w:themeShade="80"/>
            </w:tcBorders>
            <w:vAlign w:val="center"/>
          </w:tcPr>
          <w:p w14:paraId="6C2CAB61" w14:textId="239EE1CB" w:rsidR="00251302" w:rsidRPr="00332AB5" w:rsidRDefault="00251302" w:rsidP="00251302">
            <w:pPr>
              <w:jc w:val="right"/>
              <w:rPr>
                <w:rFonts w:asciiTheme="minorHAnsi" w:hAnsiTheme="minorHAnsi" w:cstheme="minorHAnsi"/>
                <w:sz w:val="18"/>
                <w:szCs w:val="18"/>
              </w:rPr>
            </w:pPr>
            <w:r w:rsidRPr="00332AB5">
              <w:rPr>
                <w:rFonts w:ascii="Calibri" w:hAnsi="Calibri" w:cs="Calibri"/>
                <w:color w:val="000000"/>
                <w:sz w:val="18"/>
                <w:szCs w:val="18"/>
              </w:rPr>
              <w:t>8,17</w:t>
            </w:r>
          </w:p>
        </w:tc>
        <w:tc>
          <w:tcPr>
            <w:tcW w:w="1084" w:type="dxa"/>
            <w:tcBorders>
              <w:bottom w:val="single" w:sz="4" w:space="0" w:color="808080" w:themeColor="background1" w:themeShade="80"/>
            </w:tcBorders>
            <w:vAlign w:val="center"/>
          </w:tcPr>
          <w:p w14:paraId="08B7A54C" w14:textId="4369D727"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0,00</w:t>
            </w:r>
          </w:p>
        </w:tc>
        <w:tc>
          <w:tcPr>
            <w:tcW w:w="708" w:type="dxa"/>
            <w:tcBorders>
              <w:bottom w:val="single" w:sz="4" w:space="0" w:color="808080" w:themeColor="background1" w:themeShade="80"/>
            </w:tcBorders>
            <w:vAlign w:val="center"/>
          </w:tcPr>
          <w:p w14:paraId="084D0E3C" w14:textId="2F24996A"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0,00</w:t>
            </w:r>
          </w:p>
        </w:tc>
        <w:tc>
          <w:tcPr>
            <w:tcW w:w="1021" w:type="dxa"/>
            <w:tcBorders>
              <w:bottom w:val="single" w:sz="4" w:space="0" w:color="808080" w:themeColor="background1" w:themeShade="80"/>
            </w:tcBorders>
            <w:vAlign w:val="center"/>
          </w:tcPr>
          <w:p w14:paraId="0F27BB10" w14:textId="63C5674F"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0,43</w:t>
            </w:r>
          </w:p>
        </w:tc>
        <w:tc>
          <w:tcPr>
            <w:tcW w:w="680" w:type="dxa"/>
            <w:tcBorders>
              <w:bottom w:val="single" w:sz="4" w:space="0" w:color="808080" w:themeColor="background1" w:themeShade="80"/>
            </w:tcBorders>
            <w:vAlign w:val="center"/>
          </w:tcPr>
          <w:p w14:paraId="02400F30" w14:textId="0DB77B77"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5,23</w:t>
            </w:r>
          </w:p>
        </w:tc>
        <w:tc>
          <w:tcPr>
            <w:tcW w:w="993" w:type="dxa"/>
            <w:tcBorders>
              <w:bottom w:val="single" w:sz="4" w:space="0" w:color="808080" w:themeColor="background1" w:themeShade="80"/>
            </w:tcBorders>
            <w:vAlign w:val="center"/>
          </w:tcPr>
          <w:p w14:paraId="6E9344A7" w14:textId="7F44F5CA"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0,14</w:t>
            </w:r>
          </w:p>
        </w:tc>
        <w:tc>
          <w:tcPr>
            <w:tcW w:w="686" w:type="dxa"/>
            <w:tcBorders>
              <w:bottom w:val="single" w:sz="4" w:space="0" w:color="808080" w:themeColor="background1" w:themeShade="80"/>
            </w:tcBorders>
            <w:vAlign w:val="center"/>
          </w:tcPr>
          <w:p w14:paraId="22BDBEEC" w14:textId="08358DA0"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1,73</w:t>
            </w:r>
          </w:p>
        </w:tc>
        <w:tc>
          <w:tcPr>
            <w:tcW w:w="944" w:type="dxa"/>
            <w:tcBorders>
              <w:bottom w:val="single" w:sz="4" w:space="0" w:color="808080" w:themeColor="background1" w:themeShade="80"/>
            </w:tcBorders>
            <w:vAlign w:val="center"/>
          </w:tcPr>
          <w:p w14:paraId="64521EB3" w14:textId="7257BE0C" w:rsidR="00251302" w:rsidRPr="00332AB5" w:rsidRDefault="00251302" w:rsidP="00251302">
            <w:pPr>
              <w:jc w:val="right"/>
              <w:rPr>
                <w:rFonts w:asciiTheme="minorHAnsi" w:hAnsiTheme="minorHAnsi" w:cstheme="minorHAnsi"/>
                <w:sz w:val="18"/>
                <w:szCs w:val="18"/>
              </w:rPr>
            </w:pPr>
          </w:p>
        </w:tc>
        <w:tc>
          <w:tcPr>
            <w:tcW w:w="638" w:type="dxa"/>
            <w:tcBorders>
              <w:bottom w:val="single" w:sz="4" w:space="0" w:color="808080" w:themeColor="background1" w:themeShade="80"/>
            </w:tcBorders>
            <w:vAlign w:val="center"/>
          </w:tcPr>
          <w:p w14:paraId="3D70B75B" w14:textId="6BA9F638" w:rsidR="00251302" w:rsidRPr="00332AB5" w:rsidRDefault="00251302" w:rsidP="00251302">
            <w:pPr>
              <w:jc w:val="right"/>
              <w:rPr>
                <w:rFonts w:asciiTheme="minorHAnsi" w:hAnsiTheme="minorHAnsi" w:cstheme="minorHAnsi"/>
                <w:sz w:val="18"/>
                <w:szCs w:val="18"/>
              </w:rPr>
            </w:pPr>
          </w:p>
        </w:tc>
      </w:tr>
      <w:tr w:rsidR="00251302" w:rsidRPr="00332AB5" w14:paraId="31EEB6F0" w14:textId="77777777" w:rsidTr="00C23C4E">
        <w:trPr>
          <w:trHeight w:val="510"/>
          <w:jc w:val="center"/>
        </w:trPr>
        <w:tc>
          <w:tcPr>
            <w:tcW w:w="1179" w:type="dxa"/>
            <w:vAlign w:val="center"/>
          </w:tcPr>
          <w:p w14:paraId="613B33EE" w14:textId="77777777" w:rsidR="00251302" w:rsidRPr="00332AB5" w:rsidRDefault="00251302" w:rsidP="00251302">
            <w:pPr>
              <w:rPr>
                <w:sz w:val="18"/>
                <w:szCs w:val="24"/>
              </w:rPr>
            </w:pPr>
            <w:r w:rsidRPr="00332AB5">
              <w:rPr>
                <w:rFonts w:asciiTheme="minorHAnsi" w:hAnsiTheme="minorHAnsi" w:cstheme="minorHAnsi"/>
                <w:sz w:val="18"/>
              </w:rPr>
              <w:t>UKUPNO</w:t>
            </w:r>
          </w:p>
        </w:tc>
        <w:tc>
          <w:tcPr>
            <w:tcW w:w="998" w:type="dxa"/>
            <w:tcBorders>
              <w:top w:val="single" w:sz="4" w:space="0" w:color="808080" w:themeColor="background1" w:themeShade="80"/>
              <w:bottom w:val="single" w:sz="4" w:space="0" w:color="808080" w:themeColor="background1" w:themeShade="80"/>
            </w:tcBorders>
            <w:vAlign w:val="center"/>
          </w:tcPr>
          <w:p w14:paraId="37441CAF" w14:textId="2BBCC0F5" w:rsidR="00251302" w:rsidRPr="00332AB5" w:rsidRDefault="00251302" w:rsidP="00251302">
            <w:pPr>
              <w:jc w:val="right"/>
              <w:rPr>
                <w:rFonts w:asciiTheme="minorHAnsi" w:hAnsiTheme="minorHAnsi" w:cstheme="minorHAnsi"/>
                <w:sz w:val="18"/>
              </w:rPr>
            </w:pPr>
            <w:r w:rsidRPr="00332AB5">
              <w:rPr>
                <w:rFonts w:ascii="Calibri" w:hAnsi="Calibri" w:cs="Calibri"/>
                <w:color w:val="000000"/>
                <w:sz w:val="18"/>
                <w:szCs w:val="18"/>
              </w:rPr>
              <w:t>252,64</w:t>
            </w:r>
          </w:p>
        </w:tc>
        <w:tc>
          <w:tcPr>
            <w:tcW w:w="1084" w:type="dxa"/>
            <w:tcBorders>
              <w:bottom w:val="single" w:sz="4" w:space="0" w:color="808080" w:themeColor="background1" w:themeShade="80"/>
            </w:tcBorders>
            <w:vAlign w:val="center"/>
          </w:tcPr>
          <w:p w14:paraId="4B0D3CA4" w14:textId="14CE3033" w:rsidR="00251302" w:rsidRPr="00332AB5" w:rsidRDefault="00251302" w:rsidP="00251302">
            <w:pPr>
              <w:jc w:val="right"/>
              <w:rPr>
                <w:rFonts w:asciiTheme="minorHAnsi" w:hAnsiTheme="minorHAnsi" w:cstheme="minorHAnsi"/>
                <w:color w:val="000000"/>
                <w:sz w:val="18"/>
                <w:szCs w:val="18"/>
              </w:rPr>
            </w:pPr>
            <w:r w:rsidRPr="00332AB5">
              <w:rPr>
                <w:rFonts w:asciiTheme="minorHAnsi" w:hAnsiTheme="minorHAnsi" w:cstheme="minorHAnsi"/>
                <w:sz w:val="18"/>
                <w:szCs w:val="18"/>
              </w:rPr>
              <w:t>18,17</w:t>
            </w:r>
          </w:p>
        </w:tc>
        <w:tc>
          <w:tcPr>
            <w:tcW w:w="708" w:type="dxa"/>
            <w:tcBorders>
              <w:bottom w:val="single" w:sz="4" w:space="0" w:color="808080" w:themeColor="background1" w:themeShade="80"/>
            </w:tcBorders>
            <w:vAlign w:val="center"/>
          </w:tcPr>
          <w:p w14:paraId="55DC3BF7" w14:textId="5A04CFCC" w:rsidR="00251302" w:rsidRPr="00332AB5" w:rsidRDefault="00251302" w:rsidP="00251302">
            <w:pPr>
              <w:jc w:val="right"/>
              <w:rPr>
                <w:rFonts w:asciiTheme="minorHAnsi" w:hAnsiTheme="minorHAnsi" w:cstheme="minorHAnsi"/>
                <w:color w:val="000000"/>
                <w:sz w:val="18"/>
                <w:szCs w:val="18"/>
              </w:rPr>
            </w:pPr>
            <w:r w:rsidRPr="00332AB5">
              <w:rPr>
                <w:rFonts w:asciiTheme="minorHAnsi" w:hAnsiTheme="minorHAnsi" w:cstheme="minorHAnsi"/>
                <w:sz w:val="18"/>
                <w:szCs w:val="18"/>
              </w:rPr>
              <w:t>7,19</w:t>
            </w:r>
          </w:p>
        </w:tc>
        <w:tc>
          <w:tcPr>
            <w:tcW w:w="1021" w:type="dxa"/>
            <w:tcBorders>
              <w:top w:val="single" w:sz="4" w:space="0" w:color="808080" w:themeColor="background1" w:themeShade="80"/>
              <w:bottom w:val="single" w:sz="4" w:space="0" w:color="808080" w:themeColor="background1" w:themeShade="80"/>
            </w:tcBorders>
            <w:vAlign w:val="center"/>
          </w:tcPr>
          <w:p w14:paraId="7CF54B24" w14:textId="16FCC741" w:rsidR="00251302" w:rsidRPr="00332AB5" w:rsidRDefault="00251302" w:rsidP="00251302">
            <w:pPr>
              <w:jc w:val="right"/>
              <w:rPr>
                <w:rFonts w:asciiTheme="minorHAnsi" w:hAnsiTheme="minorHAnsi" w:cstheme="minorHAnsi"/>
                <w:color w:val="000000"/>
                <w:sz w:val="18"/>
                <w:szCs w:val="18"/>
              </w:rPr>
            </w:pPr>
            <w:r w:rsidRPr="00332AB5">
              <w:rPr>
                <w:rFonts w:asciiTheme="minorHAnsi" w:hAnsiTheme="minorHAnsi" w:cstheme="minorHAnsi"/>
                <w:sz w:val="18"/>
                <w:szCs w:val="18"/>
              </w:rPr>
              <w:t>26,72</w:t>
            </w:r>
          </w:p>
        </w:tc>
        <w:tc>
          <w:tcPr>
            <w:tcW w:w="680" w:type="dxa"/>
            <w:tcBorders>
              <w:top w:val="single" w:sz="4" w:space="0" w:color="808080" w:themeColor="background1" w:themeShade="80"/>
              <w:bottom w:val="single" w:sz="4" w:space="0" w:color="808080" w:themeColor="background1" w:themeShade="80"/>
            </w:tcBorders>
            <w:vAlign w:val="center"/>
          </w:tcPr>
          <w:p w14:paraId="6950B12A" w14:textId="6DA25608" w:rsidR="00251302" w:rsidRPr="00332AB5" w:rsidRDefault="00251302" w:rsidP="00251302">
            <w:pPr>
              <w:jc w:val="right"/>
              <w:rPr>
                <w:rFonts w:asciiTheme="minorHAnsi" w:hAnsiTheme="minorHAnsi" w:cstheme="minorHAnsi"/>
                <w:color w:val="000000"/>
                <w:sz w:val="18"/>
                <w:szCs w:val="18"/>
              </w:rPr>
            </w:pPr>
            <w:r w:rsidRPr="00332AB5">
              <w:rPr>
                <w:rFonts w:asciiTheme="minorHAnsi" w:hAnsiTheme="minorHAnsi" w:cstheme="minorHAnsi"/>
                <w:sz w:val="18"/>
                <w:szCs w:val="18"/>
              </w:rPr>
              <w:t>10,58</w:t>
            </w:r>
          </w:p>
        </w:tc>
        <w:tc>
          <w:tcPr>
            <w:tcW w:w="993" w:type="dxa"/>
            <w:tcBorders>
              <w:top w:val="single" w:sz="4" w:space="0" w:color="808080" w:themeColor="background1" w:themeShade="80"/>
              <w:bottom w:val="single" w:sz="4" w:space="0" w:color="808080" w:themeColor="background1" w:themeShade="80"/>
            </w:tcBorders>
            <w:vAlign w:val="center"/>
          </w:tcPr>
          <w:p w14:paraId="57A999A8" w14:textId="1F49B8C1" w:rsidR="00251302" w:rsidRPr="00332AB5" w:rsidRDefault="00251302" w:rsidP="00251302">
            <w:pPr>
              <w:jc w:val="right"/>
              <w:rPr>
                <w:rFonts w:asciiTheme="minorHAnsi" w:hAnsiTheme="minorHAnsi" w:cstheme="minorHAnsi"/>
                <w:color w:val="000000"/>
                <w:sz w:val="18"/>
                <w:szCs w:val="18"/>
              </w:rPr>
            </w:pPr>
            <w:r w:rsidRPr="00332AB5">
              <w:rPr>
                <w:rFonts w:ascii="Calibri" w:hAnsi="Calibri" w:cs="Calibri"/>
                <w:color w:val="000000"/>
                <w:sz w:val="18"/>
                <w:szCs w:val="18"/>
              </w:rPr>
              <w:t>11,82</w:t>
            </w:r>
          </w:p>
        </w:tc>
        <w:tc>
          <w:tcPr>
            <w:tcW w:w="686" w:type="dxa"/>
            <w:tcBorders>
              <w:top w:val="single" w:sz="4" w:space="0" w:color="808080" w:themeColor="background1" w:themeShade="80"/>
              <w:bottom w:val="single" w:sz="4" w:space="0" w:color="808080" w:themeColor="background1" w:themeShade="80"/>
            </w:tcBorders>
            <w:vAlign w:val="center"/>
          </w:tcPr>
          <w:p w14:paraId="2078B679" w14:textId="6E0E3C95" w:rsidR="00251302" w:rsidRPr="00332AB5" w:rsidRDefault="00251302" w:rsidP="00251302">
            <w:pPr>
              <w:jc w:val="right"/>
              <w:rPr>
                <w:rFonts w:asciiTheme="minorHAnsi" w:hAnsiTheme="minorHAnsi" w:cstheme="minorHAnsi"/>
                <w:color w:val="000000"/>
                <w:sz w:val="18"/>
                <w:szCs w:val="18"/>
              </w:rPr>
            </w:pPr>
            <w:r w:rsidRPr="00332AB5">
              <w:rPr>
                <w:rFonts w:ascii="Calibri" w:hAnsi="Calibri" w:cs="Calibri"/>
                <w:color w:val="000000"/>
                <w:sz w:val="18"/>
                <w:szCs w:val="18"/>
              </w:rPr>
              <w:t>4,68</w:t>
            </w:r>
          </w:p>
        </w:tc>
        <w:tc>
          <w:tcPr>
            <w:tcW w:w="944" w:type="dxa"/>
            <w:tcBorders>
              <w:top w:val="single" w:sz="4" w:space="0" w:color="808080" w:themeColor="background1" w:themeShade="80"/>
              <w:bottom w:val="single" w:sz="4" w:space="0" w:color="808080" w:themeColor="background1" w:themeShade="80"/>
            </w:tcBorders>
            <w:vAlign w:val="center"/>
          </w:tcPr>
          <w:p w14:paraId="51FCFDC6" w14:textId="36905DE6"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0,</w:t>
            </w:r>
            <w:r w:rsidR="002F48B7" w:rsidRPr="00332AB5">
              <w:rPr>
                <w:rFonts w:asciiTheme="minorHAnsi" w:hAnsiTheme="minorHAnsi" w:cstheme="minorHAnsi"/>
                <w:sz w:val="18"/>
                <w:szCs w:val="18"/>
              </w:rPr>
              <w:t>63</w:t>
            </w:r>
          </w:p>
        </w:tc>
        <w:tc>
          <w:tcPr>
            <w:tcW w:w="638" w:type="dxa"/>
            <w:tcBorders>
              <w:top w:val="single" w:sz="4" w:space="0" w:color="808080" w:themeColor="background1" w:themeShade="80"/>
              <w:bottom w:val="single" w:sz="4" w:space="0" w:color="808080" w:themeColor="background1" w:themeShade="80"/>
            </w:tcBorders>
            <w:vAlign w:val="center"/>
          </w:tcPr>
          <w:p w14:paraId="71A06925" w14:textId="007811A9"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0,</w:t>
            </w:r>
            <w:r w:rsidR="002F48B7" w:rsidRPr="00332AB5">
              <w:rPr>
                <w:rFonts w:asciiTheme="minorHAnsi" w:hAnsiTheme="minorHAnsi" w:cstheme="minorHAnsi"/>
                <w:sz w:val="18"/>
                <w:szCs w:val="18"/>
              </w:rPr>
              <w:t>25</w:t>
            </w:r>
          </w:p>
        </w:tc>
      </w:tr>
    </w:tbl>
    <w:p w14:paraId="2DECF0D4" w14:textId="77777777" w:rsidR="00CC3F69" w:rsidRPr="00332AB5" w:rsidRDefault="00CC3F69" w:rsidP="00EC015D">
      <w:pPr>
        <w:spacing w:before="120" w:after="120"/>
        <w:jc w:val="both"/>
        <w:rPr>
          <w:b/>
          <w:bCs/>
        </w:rPr>
      </w:pPr>
    </w:p>
    <w:p w14:paraId="75DFAE1C" w14:textId="3EDAA0F8" w:rsidR="00F323C6" w:rsidRPr="00332AB5" w:rsidRDefault="00F323C6" w:rsidP="00363C3D">
      <w:pPr>
        <w:spacing w:before="120" w:after="120"/>
        <w:rPr>
          <w:b/>
          <w:bCs/>
        </w:rPr>
      </w:pPr>
      <w:bookmarkStart w:id="73" w:name="_Toc152595290"/>
      <w:r w:rsidRPr="00332AB5">
        <w:rPr>
          <w:b/>
          <w:bCs/>
        </w:rPr>
        <w:t xml:space="preserve">Tablica </w:t>
      </w:r>
      <w:r w:rsidR="008C2CC3" w:rsidRPr="00332AB5">
        <w:rPr>
          <w:b/>
          <w:bCs/>
        </w:rPr>
        <w:fldChar w:fldCharType="begin"/>
      </w:r>
      <w:r w:rsidR="00BE6224" w:rsidRPr="00332AB5">
        <w:rPr>
          <w:b/>
          <w:bCs/>
        </w:rPr>
        <w:instrText xml:space="preserve"> SEQ Tablica \* ARABIC </w:instrText>
      </w:r>
      <w:r w:rsidR="008C2CC3" w:rsidRPr="00332AB5">
        <w:rPr>
          <w:b/>
          <w:bCs/>
        </w:rPr>
        <w:fldChar w:fldCharType="separate"/>
      </w:r>
      <w:r w:rsidR="005E6E46">
        <w:rPr>
          <w:b/>
          <w:bCs/>
          <w:noProof/>
        </w:rPr>
        <w:t>16</w:t>
      </w:r>
      <w:r w:rsidR="008C2CC3" w:rsidRPr="00332AB5">
        <w:rPr>
          <w:b/>
          <w:bCs/>
        </w:rPr>
        <w:fldChar w:fldCharType="end"/>
      </w:r>
      <w:r w:rsidRPr="00332AB5">
        <w:rPr>
          <w:b/>
          <w:bCs/>
        </w:rPr>
        <w:t xml:space="preserve">: Financijski pokazatelji statusa provedbe Operativnog programa za pomorstvo i ribarstvo od početka provedbe do kraja izvještajnog razdoblja </w:t>
      </w:r>
      <w:r w:rsidR="0011067E" w:rsidRPr="00332AB5">
        <w:rPr>
          <w:b/>
          <w:bCs/>
        </w:rPr>
        <w:t>30. lipnja 2023.</w:t>
      </w:r>
      <w:r w:rsidR="000C7C49" w:rsidRPr="00332AB5">
        <w:rPr>
          <w:b/>
          <w:bCs/>
        </w:rPr>
        <w:t xml:space="preserve"> </w:t>
      </w:r>
      <w:r w:rsidRPr="00332AB5">
        <w:rPr>
          <w:b/>
          <w:bCs/>
        </w:rPr>
        <w:t>(sredstva EU, u milijunima eura i postocima od dodijeljenih sredstava)</w:t>
      </w:r>
      <w:bookmarkEnd w:id="7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845"/>
        <w:gridCol w:w="879"/>
        <w:gridCol w:w="822"/>
        <w:gridCol w:w="902"/>
        <w:gridCol w:w="635"/>
        <w:gridCol w:w="1089"/>
        <w:gridCol w:w="635"/>
      </w:tblGrid>
      <w:tr w:rsidR="00593163" w:rsidRPr="00332AB5" w14:paraId="66162E7A" w14:textId="77777777" w:rsidTr="003C63C6">
        <w:trPr>
          <w:trHeight w:val="737"/>
        </w:trPr>
        <w:tc>
          <w:tcPr>
            <w:tcW w:w="1179" w:type="dxa"/>
            <w:vAlign w:val="center"/>
          </w:tcPr>
          <w:p w14:paraId="212751C0" w14:textId="77777777" w:rsidR="00593163" w:rsidRPr="00332AB5" w:rsidRDefault="00593163" w:rsidP="00593163">
            <w:pPr>
              <w:spacing w:after="60"/>
              <w:rPr>
                <w:sz w:val="16"/>
                <w:szCs w:val="24"/>
              </w:rPr>
            </w:pPr>
            <w:r w:rsidRPr="00332AB5">
              <w:rPr>
                <w:rFonts w:asciiTheme="minorHAnsi" w:hAnsiTheme="minorHAnsi" w:cstheme="minorHAnsi"/>
                <w:sz w:val="16"/>
              </w:rPr>
              <w:t>Prioritet Unije (PU)</w:t>
            </w:r>
          </w:p>
        </w:tc>
        <w:tc>
          <w:tcPr>
            <w:tcW w:w="998" w:type="dxa"/>
            <w:tcBorders>
              <w:bottom w:val="single" w:sz="4" w:space="0" w:color="808080" w:themeColor="background1" w:themeShade="80"/>
            </w:tcBorders>
            <w:vAlign w:val="center"/>
          </w:tcPr>
          <w:p w14:paraId="7C77E3AD" w14:textId="77777777" w:rsidR="00593163" w:rsidRPr="00332AB5" w:rsidRDefault="00593163" w:rsidP="00593163">
            <w:pPr>
              <w:spacing w:after="60"/>
              <w:jc w:val="right"/>
              <w:rPr>
                <w:sz w:val="16"/>
                <w:szCs w:val="24"/>
              </w:rPr>
            </w:pPr>
            <w:r w:rsidRPr="00332AB5">
              <w:rPr>
                <w:rFonts w:asciiTheme="minorHAnsi" w:hAnsiTheme="minorHAnsi" w:cstheme="minorHAnsi"/>
                <w:sz w:val="16"/>
              </w:rPr>
              <w:t>Dodijeljena sredstva</w:t>
            </w:r>
          </w:p>
        </w:tc>
        <w:tc>
          <w:tcPr>
            <w:tcW w:w="1089" w:type="dxa"/>
            <w:tcBorders>
              <w:bottom w:val="single" w:sz="4" w:space="0" w:color="808080" w:themeColor="background1" w:themeShade="80"/>
            </w:tcBorders>
            <w:vAlign w:val="center"/>
          </w:tcPr>
          <w:p w14:paraId="1E665524" w14:textId="77777777" w:rsidR="00593163" w:rsidRPr="00332AB5" w:rsidRDefault="00593163" w:rsidP="00593163">
            <w:pPr>
              <w:spacing w:after="60"/>
              <w:jc w:val="right"/>
              <w:rPr>
                <w:sz w:val="16"/>
                <w:szCs w:val="24"/>
              </w:rPr>
            </w:pPr>
            <w:r w:rsidRPr="00332AB5">
              <w:rPr>
                <w:rFonts w:asciiTheme="minorHAnsi" w:hAnsiTheme="minorHAnsi" w:cstheme="minorHAnsi"/>
                <w:sz w:val="16"/>
              </w:rPr>
              <w:t>Ukupno ugovorena sredstva</w:t>
            </w:r>
          </w:p>
        </w:tc>
        <w:tc>
          <w:tcPr>
            <w:tcW w:w="845" w:type="dxa"/>
            <w:tcBorders>
              <w:bottom w:val="single" w:sz="4" w:space="0" w:color="808080" w:themeColor="background1" w:themeShade="80"/>
            </w:tcBorders>
            <w:shd w:val="clear" w:color="auto" w:fill="auto"/>
            <w:vAlign w:val="center"/>
          </w:tcPr>
          <w:p w14:paraId="56DD1221" w14:textId="77777777" w:rsidR="00593163" w:rsidRPr="00332AB5" w:rsidRDefault="00593163" w:rsidP="00593163">
            <w:pPr>
              <w:spacing w:after="60"/>
              <w:jc w:val="right"/>
              <w:rPr>
                <w:sz w:val="16"/>
                <w:szCs w:val="24"/>
              </w:rPr>
            </w:pPr>
            <w:r w:rsidRPr="00332AB5">
              <w:rPr>
                <w:rFonts w:asciiTheme="minorHAnsi" w:hAnsiTheme="minorHAnsi" w:cstheme="minorHAnsi"/>
                <w:sz w:val="16"/>
              </w:rPr>
              <w:t xml:space="preserve"> %</w:t>
            </w:r>
          </w:p>
        </w:tc>
        <w:tc>
          <w:tcPr>
            <w:tcW w:w="879" w:type="dxa"/>
            <w:tcBorders>
              <w:bottom w:val="single" w:sz="4" w:space="0" w:color="808080" w:themeColor="background1" w:themeShade="80"/>
            </w:tcBorders>
            <w:vAlign w:val="center"/>
          </w:tcPr>
          <w:p w14:paraId="7A0D63D6" w14:textId="77777777" w:rsidR="00593163" w:rsidRPr="00332AB5" w:rsidRDefault="00593163" w:rsidP="00593163">
            <w:pPr>
              <w:spacing w:after="60"/>
              <w:jc w:val="right"/>
              <w:rPr>
                <w:sz w:val="16"/>
                <w:szCs w:val="24"/>
              </w:rPr>
            </w:pPr>
            <w:r w:rsidRPr="00332AB5">
              <w:rPr>
                <w:rFonts w:asciiTheme="minorHAnsi" w:hAnsiTheme="minorHAnsi" w:cstheme="minorHAnsi"/>
                <w:sz w:val="16"/>
              </w:rPr>
              <w:t>Ukupno plaćena sredstva</w:t>
            </w:r>
          </w:p>
        </w:tc>
        <w:tc>
          <w:tcPr>
            <w:tcW w:w="822" w:type="dxa"/>
            <w:tcBorders>
              <w:bottom w:val="single" w:sz="4" w:space="0" w:color="808080" w:themeColor="background1" w:themeShade="80"/>
            </w:tcBorders>
            <w:vAlign w:val="center"/>
          </w:tcPr>
          <w:p w14:paraId="6EBBFF80" w14:textId="77777777" w:rsidR="00593163" w:rsidRPr="00332AB5" w:rsidRDefault="00593163" w:rsidP="00593163">
            <w:pPr>
              <w:spacing w:after="60"/>
              <w:jc w:val="right"/>
              <w:rPr>
                <w:sz w:val="16"/>
                <w:szCs w:val="24"/>
              </w:rPr>
            </w:pPr>
            <w:r w:rsidRPr="00332AB5">
              <w:rPr>
                <w:rFonts w:asciiTheme="minorHAnsi" w:hAnsiTheme="minorHAnsi" w:cstheme="minorHAnsi"/>
                <w:sz w:val="16"/>
              </w:rPr>
              <w:t xml:space="preserve"> %</w:t>
            </w:r>
          </w:p>
        </w:tc>
        <w:tc>
          <w:tcPr>
            <w:tcW w:w="902" w:type="dxa"/>
            <w:tcBorders>
              <w:bottom w:val="single" w:sz="4" w:space="0" w:color="808080" w:themeColor="background1" w:themeShade="80"/>
            </w:tcBorders>
            <w:vAlign w:val="center"/>
          </w:tcPr>
          <w:p w14:paraId="3D45CDF5" w14:textId="77777777" w:rsidR="00593163" w:rsidRPr="00332AB5" w:rsidRDefault="00593163" w:rsidP="00593163">
            <w:pPr>
              <w:spacing w:after="60"/>
              <w:jc w:val="right"/>
              <w:rPr>
                <w:sz w:val="16"/>
                <w:szCs w:val="24"/>
              </w:rPr>
            </w:pPr>
            <w:r w:rsidRPr="00332AB5">
              <w:rPr>
                <w:rFonts w:asciiTheme="minorHAnsi" w:hAnsiTheme="minorHAnsi" w:cstheme="minorHAnsi"/>
                <w:sz w:val="16"/>
              </w:rPr>
              <w:t>Ukupno ovjerena sredstva</w:t>
            </w:r>
          </w:p>
        </w:tc>
        <w:tc>
          <w:tcPr>
            <w:tcW w:w="635" w:type="dxa"/>
            <w:tcBorders>
              <w:bottom w:val="single" w:sz="4" w:space="0" w:color="808080" w:themeColor="background1" w:themeShade="80"/>
            </w:tcBorders>
            <w:vAlign w:val="center"/>
          </w:tcPr>
          <w:p w14:paraId="39FAFE9B" w14:textId="77777777" w:rsidR="00593163" w:rsidRPr="00332AB5" w:rsidRDefault="00593163" w:rsidP="00593163">
            <w:pPr>
              <w:spacing w:after="60"/>
              <w:jc w:val="right"/>
              <w:rPr>
                <w:sz w:val="16"/>
                <w:szCs w:val="24"/>
              </w:rPr>
            </w:pPr>
            <w:r w:rsidRPr="00332AB5">
              <w:rPr>
                <w:rFonts w:asciiTheme="minorHAnsi" w:hAnsiTheme="minorHAnsi" w:cstheme="minorHAnsi"/>
                <w:sz w:val="16"/>
              </w:rPr>
              <w:t xml:space="preserve"> %</w:t>
            </w:r>
          </w:p>
        </w:tc>
        <w:tc>
          <w:tcPr>
            <w:tcW w:w="1089" w:type="dxa"/>
            <w:tcBorders>
              <w:bottom w:val="single" w:sz="4" w:space="0" w:color="808080" w:themeColor="background1" w:themeShade="80"/>
            </w:tcBorders>
            <w:vAlign w:val="center"/>
          </w:tcPr>
          <w:p w14:paraId="6D064889" w14:textId="77777777" w:rsidR="00593163" w:rsidRPr="00332AB5" w:rsidRDefault="00593163" w:rsidP="00593163">
            <w:pPr>
              <w:spacing w:after="60"/>
              <w:jc w:val="right"/>
              <w:rPr>
                <w:sz w:val="16"/>
                <w:szCs w:val="24"/>
              </w:rPr>
            </w:pPr>
            <w:r w:rsidRPr="00332AB5">
              <w:rPr>
                <w:rFonts w:asciiTheme="minorHAnsi" w:hAnsiTheme="minorHAnsi" w:cstheme="minorHAnsi"/>
                <w:sz w:val="16"/>
              </w:rPr>
              <w:t>Ukupno doznačena sredstva</w:t>
            </w:r>
          </w:p>
        </w:tc>
        <w:tc>
          <w:tcPr>
            <w:tcW w:w="635" w:type="dxa"/>
            <w:tcBorders>
              <w:bottom w:val="single" w:sz="4" w:space="0" w:color="808080" w:themeColor="background1" w:themeShade="80"/>
            </w:tcBorders>
            <w:vAlign w:val="center"/>
          </w:tcPr>
          <w:p w14:paraId="2519B3DF" w14:textId="77777777" w:rsidR="00593163" w:rsidRPr="00332AB5" w:rsidRDefault="00593163" w:rsidP="00593163">
            <w:pPr>
              <w:spacing w:after="60"/>
              <w:jc w:val="right"/>
              <w:rPr>
                <w:sz w:val="16"/>
                <w:szCs w:val="24"/>
              </w:rPr>
            </w:pPr>
            <w:r w:rsidRPr="00332AB5">
              <w:rPr>
                <w:rFonts w:asciiTheme="minorHAnsi" w:hAnsiTheme="minorHAnsi" w:cstheme="minorHAnsi"/>
                <w:sz w:val="16"/>
              </w:rPr>
              <w:t xml:space="preserve"> %</w:t>
            </w:r>
          </w:p>
        </w:tc>
      </w:tr>
      <w:tr w:rsidR="00593163" w:rsidRPr="00332AB5" w14:paraId="24F2FA26" w14:textId="77777777" w:rsidTr="003C63C6">
        <w:trPr>
          <w:trHeight w:val="113"/>
        </w:trPr>
        <w:tc>
          <w:tcPr>
            <w:tcW w:w="1179" w:type="dxa"/>
            <w:vAlign w:val="center"/>
          </w:tcPr>
          <w:p w14:paraId="7C01EE8F" w14:textId="77777777" w:rsidR="00593163" w:rsidRPr="00332AB5" w:rsidRDefault="00593163" w:rsidP="00593163">
            <w:pPr>
              <w:rPr>
                <w:rFonts w:asciiTheme="minorHAnsi" w:hAnsiTheme="minorHAnsi" w:cstheme="minorHAnsi"/>
                <w:sz w:val="8"/>
                <w:szCs w:val="24"/>
              </w:rPr>
            </w:pPr>
          </w:p>
        </w:tc>
        <w:tc>
          <w:tcPr>
            <w:tcW w:w="998" w:type="dxa"/>
            <w:tcBorders>
              <w:top w:val="single" w:sz="4" w:space="0" w:color="808080" w:themeColor="background1" w:themeShade="80"/>
            </w:tcBorders>
            <w:vAlign w:val="center"/>
          </w:tcPr>
          <w:p w14:paraId="7129E7E5" w14:textId="77777777" w:rsidR="00593163" w:rsidRPr="00332AB5" w:rsidRDefault="00593163" w:rsidP="00593163">
            <w:pPr>
              <w:jc w:val="right"/>
              <w:rPr>
                <w:rFonts w:asciiTheme="minorHAnsi" w:hAnsiTheme="minorHAnsi" w:cstheme="minorHAnsi"/>
                <w:sz w:val="8"/>
                <w:szCs w:val="24"/>
              </w:rPr>
            </w:pPr>
          </w:p>
        </w:tc>
        <w:tc>
          <w:tcPr>
            <w:tcW w:w="1089" w:type="dxa"/>
            <w:tcBorders>
              <w:top w:val="single" w:sz="4" w:space="0" w:color="808080" w:themeColor="background1" w:themeShade="80"/>
            </w:tcBorders>
            <w:vAlign w:val="center"/>
          </w:tcPr>
          <w:p w14:paraId="6FB23772" w14:textId="77777777" w:rsidR="00593163" w:rsidRPr="00332AB5" w:rsidRDefault="00593163" w:rsidP="00593163">
            <w:pPr>
              <w:jc w:val="right"/>
              <w:rPr>
                <w:rFonts w:asciiTheme="minorHAnsi" w:hAnsiTheme="minorHAnsi" w:cstheme="minorHAnsi"/>
                <w:sz w:val="8"/>
                <w:szCs w:val="24"/>
              </w:rPr>
            </w:pPr>
          </w:p>
        </w:tc>
        <w:tc>
          <w:tcPr>
            <w:tcW w:w="845" w:type="dxa"/>
            <w:tcBorders>
              <w:top w:val="single" w:sz="4" w:space="0" w:color="808080" w:themeColor="background1" w:themeShade="80"/>
            </w:tcBorders>
            <w:shd w:val="clear" w:color="auto" w:fill="auto"/>
            <w:vAlign w:val="center"/>
          </w:tcPr>
          <w:p w14:paraId="230608FA" w14:textId="77777777" w:rsidR="00593163" w:rsidRPr="00332AB5" w:rsidRDefault="00593163" w:rsidP="00593163">
            <w:pPr>
              <w:jc w:val="right"/>
              <w:rPr>
                <w:rFonts w:asciiTheme="minorHAnsi" w:hAnsiTheme="minorHAnsi" w:cstheme="minorHAnsi"/>
                <w:sz w:val="8"/>
                <w:szCs w:val="24"/>
              </w:rPr>
            </w:pPr>
          </w:p>
        </w:tc>
        <w:tc>
          <w:tcPr>
            <w:tcW w:w="879" w:type="dxa"/>
            <w:tcBorders>
              <w:top w:val="single" w:sz="4" w:space="0" w:color="808080" w:themeColor="background1" w:themeShade="80"/>
            </w:tcBorders>
            <w:vAlign w:val="center"/>
          </w:tcPr>
          <w:p w14:paraId="39931C56" w14:textId="77777777" w:rsidR="00593163" w:rsidRPr="00332AB5" w:rsidRDefault="00593163" w:rsidP="00593163">
            <w:pPr>
              <w:jc w:val="right"/>
              <w:rPr>
                <w:rFonts w:asciiTheme="minorHAnsi" w:hAnsiTheme="minorHAnsi" w:cstheme="minorHAnsi"/>
                <w:sz w:val="8"/>
                <w:szCs w:val="24"/>
              </w:rPr>
            </w:pPr>
          </w:p>
        </w:tc>
        <w:tc>
          <w:tcPr>
            <w:tcW w:w="822" w:type="dxa"/>
            <w:tcBorders>
              <w:top w:val="single" w:sz="4" w:space="0" w:color="808080" w:themeColor="background1" w:themeShade="80"/>
            </w:tcBorders>
            <w:vAlign w:val="center"/>
          </w:tcPr>
          <w:p w14:paraId="5BB2EDF3" w14:textId="77777777" w:rsidR="00593163" w:rsidRPr="00332AB5" w:rsidRDefault="00593163" w:rsidP="00593163">
            <w:pPr>
              <w:jc w:val="right"/>
              <w:rPr>
                <w:rFonts w:asciiTheme="minorHAnsi" w:hAnsiTheme="minorHAnsi" w:cstheme="minorHAnsi"/>
                <w:sz w:val="8"/>
                <w:szCs w:val="24"/>
              </w:rPr>
            </w:pPr>
          </w:p>
        </w:tc>
        <w:tc>
          <w:tcPr>
            <w:tcW w:w="902" w:type="dxa"/>
            <w:tcBorders>
              <w:top w:val="single" w:sz="4" w:space="0" w:color="808080" w:themeColor="background1" w:themeShade="80"/>
            </w:tcBorders>
            <w:vAlign w:val="center"/>
          </w:tcPr>
          <w:p w14:paraId="7A5F73E4" w14:textId="77777777" w:rsidR="00593163" w:rsidRPr="00332AB5" w:rsidRDefault="00593163" w:rsidP="00593163">
            <w:pPr>
              <w:jc w:val="right"/>
              <w:rPr>
                <w:rFonts w:asciiTheme="minorHAnsi" w:hAnsiTheme="minorHAnsi" w:cstheme="minorHAnsi"/>
                <w:sz w:val="8"/>
                <w:szCs w:val="24"/>
              </w:rPr>
            </w:pPr>
          </w:p>
        </w:tc>
        <w:tc>
          <w:tcPr>
            <w:tcW w:w="635" w:type="dxa"/>
            <w:tcBorders>
              <w:top w:val="single" w:sz="4" w:space="0" w:color="808080" w:themeColor="background1" w:themeShade="80"/>
            </w:tcBorders>
            <w:vAlign w:val="center"/>
          </w:tcPr>
          <w:p w14:paraId="3AEDF242" w14:textId="77777777" w:rsidR="00593163" w:rsidRPr="00332AB5" w:rsidRDefault="00593163" w:rsidP="00593163">
            <w:pPr>
              <w:jc w:val="right"/>
              <w:rPr>
                <w:rFonts w:asciiTheme="minorHAnsi" w:hAnsiTheme="minorHAnsi" w:cstheme="minorHAnsi"/>
                <w:sz w:val="8"/>
                <w:szCs w:val="24"/>
              </w:rPr>
            </w:pPr>
          </w:p>
        </w:tc>
        <w:tc>
          <w:tcPr>
            <w:tcW w:w="1089" w:type="dxa"/>
            <w:tcBorders>
              <w:top w:val="single" w:sz="4" w:space="0" w:color="808080" w:themeColor="background1" w:themeShade="80"/>
            </w:tcBorders>
            <w:vAlign w:val="center"/>
          </w:tcPr>
          <w:p w14:paraId="55738E57" w14:textId="77777777" w:rsidR="00593163" w:rsidRPr="00332AB5" w:rsidRDefault="00593163" w:rsidP="00593163">
            <w:pPr>
              <w:jc w:val="right"/>
              <w:rPr>
                <w:rFonts w:asciiTheme="minorHAnsi" w:hAnsiTheme="minorHAnsi" w:cstheme="minorHAnsi"/>
                <w:sz w:val="8"/>
                <w:szCs w:val="24"/>
              </w:rPr>
            </w:pPr>
          </w:p>
        </w:tc>
        <w:tc>
          <w:tcPr>
            <w:tcW w:w="635" w:type="dxa"/>
            <w:tcBorders>
              <w:top w:val="single" w:sz="4" w:space="0" w:color="808080" w:themeColor="background1" w:themeShade="80"/>
            </w:tcBorders>
            <w:vAlign w:val="center"/>
          </w:tcPr>
          <w:p w14:paraId="4D287A91" w14:textId="77777777" w:rsidR="00593163" w:rsidRPr="00332AB5" w:rsidRDefault="00593163" w:rsidP="00593163">
            <w:pPr>
              <w:jc w:val="right"/>
              <w:rPr>
                <w:rFonts w:asciiTheme="minorHAnsi" w:hAnsiTheme="minorHAnsi" w:cstheme="minorHAnsi"/>
                <w:sz w:val="8"/>
                <w:szCs w:val="24"/>
              </w:rPr>
            </w:pPr>
          </w:p>
        </w:tc>
      </w:tr>
      <w:tr w:rsidR="00251302" w:rsidRPr="00332AB5" w14:paraId="19D4698E" w14:textId="77777777" w:rsidTr="003C63C6">
        <w:trPr>
          <w:trHeight w:val="397"/>
        </w:trPr>
        <w:tc>
          <w:tcPr>
            <w:tcW w:w="1179" w:type="dxa"/>
            <w:vAlign w:val="center"/>
          </w:tcPr>
          <w:p w14:paraId="187345BF" w14:textId="77777777" w:rsidR="00251302" w:rsidRPr="00332AB5" w:rsidRDefault="00251302" w:rsidP="00251302">
            <w:pPr>
              <w:rPr>
                <w:rFonts w:asciiTheme="minorHAnsi" w:hAnsiTheme="minorHAnsi" w:cstheme="minorHAnsi"/>
                <w:sz w:val="18"/>
                <w:szCs w:val="18"/>
              </w:rPr>
            </w:pPr>
            <w:r w:rsidRPr="00332AB5">
              <w:rPr>
                <w:rFonts w:asciiTheme="minorHAnsi" w:hAnsiTheme="minorHAnsi" w:cstheme="minorHAnsi"/>
                <w:sz w:val="18"/>
                <w:szCs w:val="18"/>
              </w:rPr>
              <w:t>PU 1</w:t>
            </w:r>
          </w:p>
        </w:tc>
        <w:tc>
          <w:tcPr>
            <w:tcW w:w="998" w:type="dxa"/>
            <w:vAlign w:val="center"/>
          </w:tcPr>
          <w:p w14:paraId="19475DDF" w14:textId="1E895666"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color w:val="000000" w:themeColor="text1"/>
                <w:sz w:val="18"/>
                <w:szCs w:val="18"/>
              </w:rPr>
              <w:t>69,68</w:t>
            </w:r>
          </w:p>
        </w:tc>
        <w:tc>
          <w:tcPr>
            <w:tcW w:w="1089" w:type="dxa"/>
            <w:tcBorders>
              <w:top w:val="nil"/>
              <w:left w:val="nil"/>
              <w:bottom w:val="nil"/>
              <w:right w:val="nil"/>
            </w:tcBorders>
            <w:shd w:val="clear" w:color="auto" w:fill="auto"/>
            <w:vAlign w:val="center"/>
          </w:tcPr>
          <w:p w14:paraId="61E8F14D" w14:textId="1437A41E"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68,32</w:t>
            </w:r>
          </w:p>
        </w:tc>
        <w:tc>
          <w:tcPr>
            <w:tcW w:w="845" w:type="dxa"/>
            <w:tcBorders>
              <w:top w:val="nil"/>
              <w:left w:val="nil"/>
              <w:bottom w:val="nil"/>
              <w:right w:val="nil"/>
            </w:tcBorders>
            <w:shd w:val="clear" w:color="auto" w:fill="auto"/>
            <w:vAlign w:val="center"/>
          </w:tcPr>
          <w:p w14:paraId="407E0724" w14:textId="4DB260BC"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98,05</w:t>
            </w:r>
          </w:p>
        </w:tc>
        <w:tc>
          <w:tcPr>
            <w:tcW w:w="879" w:type="dxa"/>
            <w:tcBorders>
              <w:top w:val="nil"/>
              <w:left w:val="nil"/>
              <w:bottom w:val="nil"/>
              <w:right w:val="nil"/>
            </w:tcBorders>
            <w:shd w:val="clear" w:color="auto" w:fill="auto"/>
            <w:vAlign w:val="center"/>
          </w:tcPr>
          <w:p w14:paraId="3DE4C6B2" w14:textId="64937E50"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42,95</w:t>
            </w:r>
          </w:p>
        </w:tc>
        <w:tc>
          <w:tcPr>
            <w:tcW w:w="822" w:type="dxa"/>
            <w:tcBorders>
              <w:top w:val="nil"/>
              <w:left w:val="nil"/>
              <w:bottom w:val="nil"/>
              <w:right w:val="nil"/>
            </w:tcBorders>
            <w:shd w:val="clear" w:color="auto" w:fill="auto"/>
            <w:vAlign w:val="center"/>
          </w:tcPr>
          <w:p w14:paraId="0CA7739B" w14:textId="02CCC493"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61,63</w:t>
            </w:r>
          </w:p>
        </w:tc>
        <w:tc>
          <w:tcPr>
            <w:tcW w:w="902" w:type="dxa"/>
            <w:tcBorders>
              <w:top w:val="nil"/>
              <w:left w:val="nil"/>
              <w:bottom w:val="nil"/>
              <w:right w:val="nil"/>
            </w:tcBorders>
            <w:shd w:val="clear" w:color="auto" w:fill="auto"/>
            <w:vAlign w:val="center"/>
          </w:tcPr>
          <w:p w14:paraId="0F0ACC17" w14:textId="391E8835" w:rsidR="00251302" w:rsidRPr="00332AB5" w:rsidRDefault="00251302" w:rsidP="00251302">
            <w:pPr>
              <w:jc w:val="right"/>
              <w:rPr>
                <w:rFonts w:asciiTheme="minorHAnsi" w:hAnsiTheme="minorHAnsi" w:cstheme="minorHAnsi"/>
                <w:color w:val="FF0000"/>
                <w:sz w:val="18"/>
                <w:szCs w:val="18"/>
              </w:rPr>
            </w:pPr>
            <w:r w:rsidRPr="00332AB5">
              <w:rPr>
                <w:rFonts w:asciiTheme="minorHAnsi" w:hAnsiTheme="minorHAnsi" w:cstheme="minorHAnsi"/>
                <w:color w:val="000000" w:themeColor="text1"/>
                <w:sz w:val="18"/>
                <w:szCs w:val="18"/>
              </w:rPr>
              <w:t>46,59</w:t>
            </w:r>
          </w:p>
        </w:tc>
        <w:tc>
          <w:tcPr>
            <w:tcW w:w="635" w:type="dxa"/>
            <w:tcBorders>
              <w:top w:val="nil"/>
              <w:left w:val="nil"/>
              <w:bottom w:val="nil"/>
              <w:right w:val="nil"/>
            </w:tcBorders>
            <w:shd w:val="clear" w:color="auto" w:fill="auto"/>
            <w:vAlign w:val="center"/>
          </w:tcPr>
          <w:p w14:paraId="2C444C79" w14:textId="62827C7D" w:rsidR="00251302" w:rsidRPr="00332AB5" w:rsidRDefault="00251302" w:rsidP="00251302">
            <w:pPr>
              <w:jc w:val="right"/>
              <w:rPr>
                <w:rFonts w:asciiTheme="minorHAnsi" w:hAnsiTheme="minorHAnsi" w:cstheme="minorHAnsi"/>
                <w:color w:val="FF0000"/>
                <w:sz w:val="18"/>
                <w:szCs w:val="18"/>
              </w:rPr>
            </w:pPr>
            <w:r w:rsidRPr="00332AB5">
              <w:rPr>
                <w:rFonts w:asciiTheme="minorHAnsi" w:hAnsiTheme="minorHAnsi" w:cstheme="minorHAnsi"/>
                <w:color w:val="000000" w:themeColor="text1"/>
                <w:sz w:val="18"/>
                <w:szCs w:val="18"/>
              </w:rPr>
              <w:t>66,87</w:t>
            </w:r>
          </w:p>
        </w:tc>
        <w:tc>
          <w:tcPr>
            <w:tcW w:w="1089" w:type="dxa"/>
            <w:vAlign w:val="center"/>
          </w:tcPr>
          <w:p w14:paraId="533687B0" w14:textId="77777777" w:rsidR="00251302" w:rsidRPr="00332AB5" w:rsidRDefault="00251302" w:rsidP="00251302">
            <w:pPr>
              <w:jc w:val="right"/>
              <w:rPr>
                <w:rFonts w:asciiTheme="minorHAnsi" w:hAnsiTheme="minorHAnsi" w:cstheme="minorHAnsi"/>
                <w:sz w:val="18"/>
                <w:szCs w:val="18"/>
              </w:rPr>
            </w:pPr>
          </w:p>
        </w:tc>
        <w:tc>
          <w:tcPr>
            <w:tcW w:w="635" w:type="dxa"/>
            <w:vAlign w:val="center"/>
          </w:tcPr>
          <w:p w14:paraId="6E003A95" w14:textId="77777777" w:rsidR="00251302" w:rsidRPr="00332AB5" w:rsidRDefault="00251302" w:rsidP="00251302">
            <w:pPr>
              <w:jc w:val="right"/>
              <w:rPr>
                <w:rFonts w:asciiTheme="minorHAnsi" w:hAnsiTheme="minorHAnsi" w:cstheme="minorHAnsi"/>
                <w:sz w:val="18"/>
                <w:szCs w:val="18"/>
              </w:rPr>
            </w:pPr>
          </w:p>
        </w:tc>
      </w:tr>
      <w:tr w:rsidR="00251302" w:rsidRPr="00332AB5" w14:paraId="70286449" w14:textId="77777777" w:rsidTr="003C63C6">
        <w:trPr>
          <w:trHeight w:val="397"/>
        </w:trPr>
        <w:tc>
          <w:tcPr>
            <w:tcW w:w="1179" w:type="dxa"/>
            <w:vAlign w:val="center"/>
          </w:tcPr>
          <w:p w14:paraId="04E23725" w14:textId="77777777" w:rsidR="00251302" w:rsidRPr="00332AB5" w:rsidRDefault="00251302" w:rsidP="00251302">
            <w:pPr>
              <w:rPr>
                <w:rFonts w:asciiTheme="minorHAnsi" w:hAnsiTheme="minorHAnsi" w:cstheme="minorHAnsi"/>
                <w:sz w:val="18"/>
                <w:szCs w:val="18"/>
              </w:rPr>
            </w:pPr>
            <w:r w:rsidRPr="00332AB5">
              <w:rPr>
                <w:rFonts w:asciiTheme="minorHAnsi" w:hAnsiTheme="minorHAnsi" w:cstheme="minorHAnsi"/>
                <w:sz w:val="18"/>
                <w:szCs w:val="18"/>
              </w:rPr>
              <w:t>PU 2</w:t>
            </w:r>
          </w:p>
        </w:tc>
        <w:tc>
          <w:tcPr>
            <w:tcW w:w="998" w:type="dxa"/>
            <w:vAlign w:val="center"/>
          </w:tcPr>
          <w:p w14:paraId="756A2FA6" w14:textId="66E0387A"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color w:val="000000" w:themeColor="text1"/>
                <w:sz w:val="18"/>
                <w:szCs w:val="18"/>
              </w:rPr>
              <w:t>47,48</w:t>
            </w:r>
          </w:p>
        </w:tc>
        <w:tc>
          <w:tcPr>
            <w:tcW w:w="1089" w:type="dxa"/>
            <w:tcBorders>
              <w:top w:val="nil"/>
              <w:left w:val="nil"/>
              <w:bottom w:val="nil"/>
              <w:right w:val="nil"/>
            </w:tcBorders>
            <w:shd w:val="clear" w:color="auto" w:fill="auto"/>
            <w:vAlign w:val="center"/>
          </w:tcPr>
          <w:p w14:paraId="05B2EFC4" w14:textId="5C83CE2E"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55,04</w:t>
            </w:r>
          </w:p>
        </w:tc>
        <w:tc>
          <w:tcPr>
            <w:tcW w:w="845" w:type="dxa"/>
            <w:tcBorders>
              <w:top w:val="nil"/>
              <w:left w:val="nil"/>
              <w:bottom w:val="nil"/>
              <w:right w:val="nil"/>
            </w:tcBorders>
            <w:shd w:val="clear" w:color="auto" w:fill="auto"/>
            <w:vAlign w:val="center"/>
          </w:tcPr>
          <w:p w14:paraId="3CA4DA71" w14:textId="080B693F"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115,93</w:t>
            </w:r>
          </w:p>
        </w:tc>
        <w:tc>
          <w:tcPr>
            <w:tcW w:w="879" w:type="dxa"/>
            <w:tcBorders>
              <w:top w:val="nil"/>
              <w:left w:val="nil"/>
              <w:bottom w:val="nil"/>
              <w:right w:val="nil"/>
            </w:tcBorders>
            <w:shd w:val="clear" w:color="auto" w:fill="auto"/>
            <w:vAlign w:val="center"/>
          </w:tcPr>
          <w:p w14:paraId="1B5CE949" w14:textId="505CE1EE"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35,76</w:t>
            </w:r>
          </w:p>
        </w:tc>
        <w:tc>
          <w:tcPr>
            <w:tcW w:w="822" w:type="dxa"/>
            <w:tcBorders>
              <w:top w:val="nil"/>
              <w:left w:val="nil"/>
              <w:bottom w:val="nil"/>
              <w:right w:val="nil"/>
            </w:tcBorders>
            <w:shd w:val="clear" w:color="auto" w:fill="auto"/>
            <w:vAlign w:val="center"/>
          </w:tcPr>
          <w:p w14:paraId="566E4CE4" w14:textId="3AAA4984"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75,32</w:t>
            </w:r>
          </w:p>
        </w:tc>
        <w:tc>
          <w:tcPr>
            <w:tcW w:w="902" w:type="dxa"/>
            <w:tcBorders>
              <w:top w:val="nil"/>
              <w:left w:val="nil"/>
              <w:bottom w:val="nil"/>
              <w:right w:val="nil"/>
            </w:tcBorders>
            <w:shd w:val="clear" w:color="auto" w:fill="auto"/>
            <w:vAlign w:val="center"/>
          </w:tcPr>
          <w:p w14:paraId="6088A995" w14:textId="092E51D5" w:rsidR="00251302" w:rsidRPr="00332AB5" w:rsidRDefault="00251302" w:rsidP="00251302">
            <w:pPr>
              <w:jc w:val="right"/>
              <w:rPr>
                <w:rFonts w:asciiTheme="minorHAnsi" w:hAnsiTheme="minorHAnsi" w:cstheme="minorHAnsi"/>
                <w:color w:val="FF0000"/>
                <w:sz w:val="18"/>
                <w:szCs w:val="18"/>
              </w:rPr>
            </w:pPr>
            <w:r w:rsidRPr="00332AB5">
              <w:rPr>
                <w:rFonts w:asciiTheme="minorHAnsi" w:hAnsiTheme="minorHAnsi" w:cstheme="minorHAnsi"/>
                <w:color w:val="000000" w:themeColor="text1"/>
                <w:sz w:val="18"/>
                <w:szCs w:val="18"/>
              </w:rPr>
              <w:t>36,42</w:t>
            </w:r>
          </w:p>
        </w:tc>
        <w:tc>
          <w:tcPr>
            <w:tcW w:w="635" w:type="dxa"/>
            <w:tcBorders>
              <w:top w:val="nil"/>
              <w:left w:val="nil"/>
              <w:bottom w:val="nil"/>
              <w:right w:val="nil"/>
            </w:tcBorders>
            <w:shd w:val="clear" w:color="auto" w:fill="auto"/>
            <w:vAlign w:val="center"/>
          </w:tcPr>
          <w:p w14:paraId="75DEA266" w14:textId="6F638957" w:rsidR="00251302" w:rsidRPr="00332AB5" w:rsidRDefault="00251302" w:rsidP="00251302">
            <w:pPr>
              <w:jc w:val="right"/>
              <w:rPr>
                <w:rFonts w:asciiTheme="minorHAnsi" w:hAnsiTheme="minorHAnsi" w:cstheme="minorHAnsi"/>
                <w:color w:val="FF0000"/>
                <w:sz w:val="18"/>
                <w:szCs w:val="18"/>
              </w:rPr>
            </w:pPr>
            <w:r w:rsidRPr="00332AB5">
              <w:rPr>
                <w:rFonts w:asciiTheme="minorHAnsi" w:hAnsiTheme="minorHAnsi" w:cstheme="minorHAnsi"/>
                <w:color w:val="000000" w:themeColor="text1"/>
                <w:sz w:val="18"/>
                <w:szCs w:val="18"/>
              </w:rPr>
              <w:t>76,70</w:t>
            </w:r>
          </w:p>
        </w:tc>
        <w:tc>
          <w:tcPr>
            <w:tcW w:w="1089" w:type="dxa"/>
            <w:vAlign w:val="center"/>
          </w:tcPr>
          <w:p w14:paraId="79092B1F" w14:textId="77777777" w:rsidR="00251302" w:rsidRPr="00332AB5" w:rsidRDefault="00251302" w:rsidP="00251302">
            <w:pPr>
              <w:jc w:val="right"/>
              <w:rPr>
                <w:rFonts w:asciiTheme="minorHAnsi" w:hAnsiTheme="minorHAnsi" w:cstheme="minorHAnsi"/>
                <w:sz w:val="18"/>
                <w:szCs w:val="18"/>
              </w:rPr>
            </w:pPr>
          </w:p>
        </w:tc>
        <w:tc>
          <w:tcPr>
            <w:tcW w:w="635" w:type="dxa"/>
            <w:vAlign w:val="center"/>
          </w:tcPr>
          <w:p w14:paraId="6FC83F11" w14:textId="77777777" w:rsidR="00251302" w:rsidRPr="00332AB5" w:rsidRDefault="00251302" w:rsidP="00251302">
            <w:pPr>
              <w:jc w:val="right"/>
              <w:rPr>
                <w:rFonts w:asciiTheme="minorHAnsi" w:hAnsiTheme="minorHAnsi" w:cstheme="minorHAnsi"/>
                <w:sz w:val="18"/>
                <w:szCs w:val="18"/>
              </w:rPr>
            </w:pPr>
          </w:p>
        </w:tc>
      </w:tr>
      <w:tr w:rsidR="00251302" w:rsidRPr="00332AB5" w14:paraId="723E4BE5" w14:textId="77777777" w:rsidTr="003C63C6">
        <w:trPr>
          <w:trHeight w:val="397"/>
        </w:trPr>
        <w:tc>
          <w:tcPr>
            <w:tcW w:w="1179" w:type="dxa"/>
            <w:vAlign w:val="center"/>
          </w:tcPr>
          <w:p w14:paraId="589C4120" w14:textId="77777777" w:rsidR="00251302" w:rsidRPr="00332AB5" w:rsidRDefault="00251302" w:rsidP="00251302">
            <w:pPr>
              <w:rPr>
                <w:rFonts w:asciiTheme="minorHAnsi" w:hAnsiTheme="minorHAnsi" w:cstheme="minorHAnsi"/>
                <w:sz w:val="18"/>
                <w:szCs w:val="18"/>
              </w:rPr>
            </w:pPr>
            <w:r w:rsidRPr="00332AB5">
              <w:rPr>
                <w:rFonts w:asciiTheme="minorHAnsi" w:hAnsiTheme="minorHAnsi" w:cstheme="minorHAnsi"/>
                <w:sz w:val="18"/>
                <w:szCs w:val="18"/>
              </w:rPr>
              <w:t>PU 3</w:t>
            </w:r>
          </w:p>
        </w:tc>
        <w:tc>
          <w:tcPr>
            <w:tcW w:w="998" w:type="dxa"/>
            <w:vAlign w:val="center"/>
          </w:tcPr>
          <w:p w14:paraId="7D7B4528" w14:textId="659AA028"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color w:val="000000" w:themeColor="text1"/>
                <w:sz w:val="18"/>
                <w:szCs w:val="18"/>
              </w:rPr>
              <w:t>32,17</w:t>
            </w:r>
          </w:p>
        </w:tc>
        <w:tc>
          <w:tcPr>
            <w:tcW w:w="1089" w:type="dxa"/>
            <w:tcBorders>
              <w:top w:val="nil"/>
              <w:left w:val="nil"/>
              <w:bottom w:val="nil"/>
              <w:right w:val="nil"/>
            </w:tcBorders>
            <w:shd w:val="clear" w:color="auto" w:fill="auto"/>
            <w:vAlign w:val="center"/>
          </w:tcPr>
          <w:p w14:paraId="7D191C3E" w14:textId="78AA53DF"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50,75</w:t>
            </w:r>
          </w:p>
        </w:tc>
        <w:tc>
          <w:tcPr>
            <w:tcW w:w="845" w:type="dxa"/>
            <w:tcBorders>
              <w:top w:val="nil"/>
              <w:left w:val="nil"/>
              <w:bottom w:val="nil"/>
              <w:right w:val="nil"/>
            </w:tcBorders>
            <w:shd w:val="clear" w:color="auto" w:fill="auto"/>
            <w:vAlign w:val="center"/>
          </w:tcPr>
          <w:p w14:paraId="475D7B85" w14:textId="491836D4"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115,76</w:t>
            </w:r>
          </w:p>
        </w:tc>
        <w:tc>
          <w:tcPr>
            <w:tcW w:w="879" w:type="dxa"/>
            <w:tcBorders>
              <w:top w:val="nil"/>
              <w:left w:val="nil"/>
              <w:bottom w:val="nil"/>
              <w:right w:val="nil"/>
            </w:tcBorders>
            <w:shd w:val="clear" w:color="auto" w:fill="auto"/>
            <w:vAlign w:val="center"/>
          </w:tcPr>
          <w:p w14:paraId="6858870A" w14:textId="2708171F"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24,97</w:t>
            </w:r>
          </w:p>
        </w:tc>
        <w:tc>
          <w:tcPr>
            <w:tcW w:w="822" w:type="dxa"/>
            <w:tcBorders>
              <w:top w:val="nil"/>
              <w:left w:val="nil"/>
              <w:bottom w:val="nil"/>
              <w:right w:val="nil"/>
            </w:tcBorders>
            <w:shd w:val="clear" w:color="auto" w:fill="auto"/>
            <w:vAlign w:val="center"/>
          </w:tcPr>
          <w:p w14:paraId="27416FCA" w14:textId="4DF76782"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77,61</w:t>
            </w:r>
          </w:p>
        </w:tc>
        <w:tc>
          <w:tcPr>
            <w:tcW w:w="902" w:type="dxa"/>
            <w:tcBorders>
              <w:top w:val="nil"/>
              <w:left w:val="nil"/>
              <w:bottom w:val="nil"/>
              <w:right w:val="nil"/>
            </w:tcBorders>
            <w:shd w:val="clear" w:color="auto" w:fill="auto"/>
            <w:vAlign w:val="center"/>
          </w:tcPr>
          <w:p w14:paraId="146A541B" w14:textId="7B100E53" w:rsidR="00251302" w:rsidRPr="00332AB5" w:rsidRDefault="00251302" w:rsidP="00251302">
            <w:pPr>
              <w:jc w:val="right"/>
              <w:rPr>
                <w:rFonts w:asciiTheme="minorHAnsi" w:hAnsiTheme="minorHAnsi" w:cstheme="minorHAnsi"/>
                <w:color w:val="FF0000"/>
                <w:sz w:val="18"/>
                <w:szCs w:val="18"/>
              </w:rPr>
            </w:pPr>
            <w:r w:rsidRPr="00332AB5">
              <w:rPr>
                <w:rFonts w:asciiTheme="minorHAnsi" w:hAnsiTheme="minorHAnsi" w:cstheme="minorHAnsi"/>
                <w:color w:val="000000" w:themeColor="text1"/>
                <w:sz w:val="18"/>
                <w:szCs w:val="18"/>
              </w:rPr>
              <w:t>23,79</w:t>
            </w:r>
          </w:p>
        </w:tc>
        <w:tc>
          <w:tcPr>
            <w:tcW w:w="635" w:type="dxa"/>
            <w:tcBorders>
              <w:top w:val="nil"/>
              <w:left w:val="nil"/>
              <w:bottom w:val="nil"/>
              <w:right w:val="nil"/>
            </w:tcBorders>
            <w:shd w:val="clear" w:color="auto" w:fill="auto"/>
            <w:vAlign w:val="center"/>
          </w:tcPr>
          <w:p w14:paraId="4E293A5E" w14:textId="2678DC57" w:rsidR="00251302" w:rsidRPr="00332AB5" w:rsidRDefault="00251302" w:rsidP="00251302">
            <w:pPr>
              <w:jc w:val="right"/>
              <w:rPr>
                <w:rFonts w:asciiTheme="minorHAnsi" w:hAnsiTheme="minorHAnsi" w:cstheme="minorHAnsi"/>
                <w:color w:val="FF0000"/>
                <w:sz w:val="18"/>
                <w:szCs w:val="18"/>
              </w:rPr>
            </w:pPr>
            <w:r w:rsidRPr="00332AB5">
              <w:rPr>
                <w:rFonts w:asciiTheme="minorHAnsi" w:hAnsiTheme="minorHAnsi" w:cstheme="minorHAnsi"/>
                <w:color w:val="000000" w:themeColor="text1"/>
                <w:sz w:val="18"/>
                <w:szCs w:val="18"/>
              </w:rPr>
              <w:t>73,96</w:t>
            </w:r>
          </w:p>
        </w:tc>
        <w:tc>
          <w:tcPr>
            <w:tcW w:w="1089" w:type="dxa"/>
            <w:vAlign w:val="center"/>
          </w:tcPr>
          <w:p w14:paraId="1EB10895" w14:textId="77777777" w:rsidR="00251302" w:rsidRPr="00332AB5" w:rsidRDefault="00251302" w:rsidP="00251302">
            <w:pPr>
              <w:jc w:val="right"/>
              <w:rPr>
                <w:rFonts w:asciiTheme="minorHAnsi" w:hAnsiTheme="minorHAnsi" w:cstheme="minorHAnsi"/>
                <w:sz w:val="18"/>
                <w:szCs w:val="18"/>
              </w:rPr>
            </w:pPr>
          </w:p>
        </w:tc>
        <w:tc>
          <w:tcPr>
            <w:tcW w:w="635" w:type="dxa"/>
            <w:vAlign w:val="center"/>
          </w:tcPr>
          <w:p w14:paraId="08A30D34" w14:textId="77777777" w:rsidR="00251302" w:rsidRPr="00332AB5" w:rsidRDefault="00251302" w:rsidP="00251302">
            <w:pPr>
              <w:jc w:val="right"/>
              <w:rPr>
                <w:rFonts w:asciiTheme="minorHAnsi" w:hAnsiTheme="minorHAnsi" w:cstheme="minorHAnsi"/>
                <w:sz w:val="18"/>
                <w:szCs w:val="18"/>
              </w:rPr>
            </w:pPr>
          </w:p>
        </w:tc>
      </w:tr>
      <w:tr w:rsidR="00251302" w:rsidRPr="00332AB5" w14:paraId="03E9C0A2" w14:textId="77777777" w:rsidTr="003C63C6">
        <w:trPr>
          <w:trHeight w:val="397"/>
        </w:trPr>
        <w:tc>
          <w:tcPr>
            <w:tcW w:w="1179" w:type="dxa"/>
            <w:vAlign w:val="center"/>
          </w:tcPr>
          <w:p w14:paraId="5AF27F62" w14:textId="77777777" w:rsidR="00251302" w:rsidRPr="00332AB5" w:rsidRDefault="00251302" w:rsidP="00251302">
            <w:pPr>
              <w:rPr>
                <w:rFonts w:asciiTheme="minorHAnsi" w:hAnsiTheme="minorHAnsi" w:cstheme="minorHAnsi"/>
                <w:sz w:val="18"/>
                <w:szCs w:val="18"/>
              </w:rPr>
            </w:pPr>
            <w:r w:rsidRPr="00332AB5">
              <w:rPr>
                <w:rFonts w:asciiTheme="minorHAnsi" w:hAnsiTheme="minorHAnsi" w:cstheme="minorHAnsi"/>
                <w:sz w:val="18"/>
                <w:szCs w:val="18"/>
              </w:rPr>
              <w:t>PU 4</w:t>
            </w:r>
          </w:p>
        </w:tc>
        <w:tc>
          <w:tcPr>
            <w:tcW w:w="998" w:type="dxa"/>
            <w:vAlign w:val="center"/>
          </w:tcPr>
          <w:p w14:paraId="240DC1B9" w14:textId="77583D10"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color w:val="000000" w:themeColor="text1"/>
                <w:sz w:val="18"/>
                <w:szCs w:val="18"/>
              </w:rPr>
              <w:t>25,90</w:t>
            </w:r>
          </w:p>
        </w:tc>
        <w:tc>
          <w:tcPr>
            <w:tcW w:w="1089" w:type="dxa"/>
            <w:tcBorders>
              <w:top w:val="nil"/>
              <w:left w:val="nil"/>
              <w:bottom w:val="nil"/>
              <w:right w:val="nil"/>
            </w:tcBorders>
            <w:shd w:val="clear" w:color="auto" w:fill="auto"/>
            <w:vAlign w:val="center"/>
          </w:tcPr>
          <w:p w14:paraId="3ECD97FF" w14:textId="5D600768"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26,17</w:t>
            </w:r>
          </w:p>
        </w:tc>
        <w:tc>
          <w:tcPr>
            <w:tcW w:w="845" w:type="dxa"/>
            <w:tcBorders>
              <w:top w:val="nil"/>
              <w:left w:val="nil"/>
              <w:bottom w:val="nil"/>
              <w:right w:val="nil"/>
            </w:tcBorders>
            <w:shd w:val="clear" w:color="auto" w:fill="auto"/>
            <w:vAlign w:val="center"/>
          </w:tcPr>
          <w:p w14:paraId="704CD78B" w14:textId="1BD113F2"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101,04</w:t>
            </w:r>
          </w:p>
        </w:tc>
        <w:tc>
          <w:tcPr>
            <w:tcW w:w="879" w:type="dxa"/>
            <w:tcBorders>
              <w:top w:val="nil"/>
              <w:left w:val="nil"/>
              <w:bottom w:val="nil"/>
              <w:right w:val="nil"/>
            </w:tcBorders>
            <w:shd w:val="clear" w:color="auto" w:fill="auto"/>
            <w:vAlign w:val="center"/>
          </w:tcPr>
          <w:p w14:paraId="4EF5DB64" w14:textId="203FCE2F"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6,74</w:t>
            </w:r>
          </w:p>
        </w:tc>
        <w:tc>
          <w:tcPr>
            <w:tcW w:w="822" w:type="dxa"/>
            <w:tcBorders>
              <w:top w:val="nil"/>
              <w:left w:val="nil"/>
              <w:bottom w:val="nil"/>
              <w:right w:val="nil"/>
            </w:tcBorders>
            <w:shd w:val="clear" w:color="auto" w:fill="auto"/>
            <w:vAlign w:val="center"/>
          </w:tcPr>
          <w:p w14:paraId="48EE7ABF" w14:textId="7F93CCAD"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26,02</w:t>
            </w:r>
          </w:p>
        </w:tc>
        <w:tc>
          <w:tcPr>
            <w:tcW w:w="902" w:type="dxa"/>
            <w:tcBorders>
              <w:top w:val="nil"/>
              <w:left w:val="nil"/>
              <w:bottom w:val="nil"/>
              <w:right w:val="nil"/>
            </w:tcBorders>
            <w:shd w:val="clear" w:color="auto" w:fill="auto"/>
            <w:vAlign w:val="center"/>
          </w:tcPr>
          <w:p w14:paraId="7FE7CF0B" w14:textId="392B0A60" w:rsidR="00251302" w:rsidRPr="00332AB5" w:rsidRDefault="00251302" w:rsidP="00251302">
            <w:pPr>
              <w:jc w:val="right"/>
              <w:rPr>
                <w:rFonts w:asciiTheme="minorHAnsi" w:hAnsiTheme="minorHAnsi" w:cstheme="minorHAnsi"/>
                <w:color w:val="FF0000"/>
                <w:sz w:val="18"/>
                <w:szCs w:val="18"/>
              </w:rPr>
            </w:pPr>
            <w:r w:rsidRPr="00332AB5">
              <w:rPr>
                <w:rFonts w:asciiTheme="minorHAnsi" w:hAnsiTheme="minorHAnsi" w:cstheme="minorHAnsi"/>
                <w:color w:val="000000" w:themeColor="text1"/>
                <w:sz w:val="18"/>
                <w:szCs w:val="18"/>
              </w:rPr>
              <w:t>7,80</w:t>
            </w:r>
          </w:p>
        </w:tc>
        <w:tc>
          <w:tcPr>
            <w:tcW w:w="635" w:type="dxa"/>
            <w:tcBorders>
              <w:top w:val="nil"/>
              <w:left w:val="nil"/>
              <w:bottom w:val="nil"/>
              <w:right w:val="nil"/>
            </w:tcBorders>
            <w:shd w:val="clear" w:color="auto" w:fill="auto"/>
            <w:vAlign w:val="center"/>
          </w:tcPr>
          <w:p w14:paraId="7AFEDB25" w14:textId="1A92AD27" w:rsidR="00251302" w:rsidRPr="00332AB5" w:rsidRDefault="00251302" w:rsidP="00251302">
            <w:pPr>
              <w:jc w:val="right"/>
              <w:rPr>
                <w:rFonts w:asciiTheme="minorHAnsi" w:hAnsiTheme="minorHAnsi" w:cstheme="minorHAnsi"/>
                <w:color w:val="FF0000"/>
                <w:sz w:val="18"/>
                <w:szCs w:val="18"/>
              </w:rPr>
            </w:pPr>
            <w:r w:rsidRPr="00332AB5">
              <w:rPr>
                <w:rFonts w:asciiTheme="minorHAnsi" w:hAnsiTheme="minorHAnsi" w:cstheme="minorHAnsi"/>
                <w:color w:val="000000" w:themeColor="text1"/>
                <w:sz w:val="18"/>
                <w:szCs w:val="18"/>
              </w:rPr>
              <w:t>30,12</w:t>
            </w:r>
          </w:p>
        </w:tc>
        <w:tc>
          <w:tcPr>
            <w:tcW w:w="1089" w:type="dxa"/>
            <w:vAlign w:val="center"/>
          </w:tcPr>
          <w:p w14:paraId="1E2A07EA" w14:textId="77777777" w:rsidR="00251302" w:rsidRPr="00332AB5" w:rsidRDefault="00251302" w:rsidP="00251302">
            <w:pPr>
              <w:jc w:val="right"/>
              <w:rPr>
                <w:rFonts w:asciiTheme="minorHAnsi" w:hAnsiTheme="minorHAnsi" w:cstheme="minorHAnsi"/>
                <w:sz w:val="18"/>
                <w:szCs w:val="18"/>
              </w:rPr>
            </w:pPr>
          </w:p>
        </w:tc>
        <w:tc>
          <w:tcPr>
            <w:tcW w:w="635" w:type="dxa"/>
            <w:vAlign w:val="center"/>
          </w:tcPr>
          <w:p w14:paraId="4D7E5E05" w14:textId="77777777" w:rsidR="00251302" w:rsidRPr="00332AB5" w:rsidRDefault="00251302" w:rsidP="00251302">
            <w:pPr>
              <w:jc w:val="right"/>
              <w:rPr>
                <w:rFonts w:asciiTheme="minorHAnsi" w:hAnsiTheme="minorHAnsi" w:cstheme="minorHAnsi"/>
                <w:sz w:val="18"/>
                <w:szCs w:val="18"/>
              </w:rPr>
            </w:pPr>
          </w:p>
        </w:tc>
      </w:tr>
      <w:tr w:rsidR="00251302" w:rsidRPr="00332AB5" w14:paraId="3792DFC2" w14:textId="77777777" w:rsidTr="003C63C6">
        <w:trPr>
          <w:trHeight w:val="397"/>
        </w:trPr>
        <w:tc>
          <w:tcPr>
            <w:tcW w:w="1179" w:type="dxa"/>
            <w:vAlign w:val="center"/>
          </w:tcPr>
          <w:p w14:paraId="398FC006" w14:textId="77777777" w:rsidR="00251302" w:rsidRPr="00332AB5" w:rsidRDefault="00251302" w:rsidP="00251302">
            <w:pPr>
              <w:rPr>
                <w:rFonts w:asciiTheme="minorHAnsi" w:hAnsiTheme="minorHAnsi" w:cstheme="minorHAnsi"/>
                <w:sz w:val="18"/>
                <w:szCs w:val="18"/>
              </w:rPr>
            </w:pPr>
            <w:r w:rsidRPr="00332AB5">
              <w:rPr>
                <w:rFonts w:asciiTheme="minorHAnsi" w:hAnsiTheme="minorHAnsi" w:cstheme="minorHAnsi"/>
                <w:sz w:val="18"/>
                <w:szCs w:val="18"/>
              </w:rPr>
              <w:t>PU 5</w:t>
            </w:r>
          </w:p>
        </w:tc>
        <w:tc>
          <w:tcPr>
            <w:tcW w:w="998" w:type="dxa"/>
            <w:vAlign w:val="center"/>
          </w:tcPr>
          <w:p w14:paraId="5AC6705B" w14:textId="2C169DA4"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color w:val="000000" w:themeColor="text1"/>
                <w:sz w:val="18"/>
                <w:szCs w:val="18"/>
              </w:rPr>
              <w:t>68,91</w:t>
            </w:r>
          </w:p>
        </w:tc>
        <w:tc>
          <w:tcPr>
            <w:tcW w:w="1089" w:type="dxa"/>
            <w:tcBorders>
              <w:top w:val="nil"/>
              <w:left w:val="nil"/>
              <w:bottom w:val="nil"/>
              <w:right w:val="nil"/>
            </w:tcBorders>
            <w:shd w:val="clear" w:color="auto" w:fill="auto"/>
            <w:vAlign w:val="center"/>
          </w:tcPr>
          <w:p w14:paraId="09D14C85" w14:textId="6BA33CE5"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61,55</w:t>
            </w:r>
          </w:p>
        </w:tc>
        <w:tc>
          <w:tcPr>
            <w:tcW w:w="845" w:type="dxa"/>
            <w:tcBorders>
              <w:top w:val="nil"/>
              <w:left w:val="nil"/>
              <w:bottom w:val="nil"/>
              <w:right w:val="nil"/>
            </w:tcBorders>
            <w:shd w:val="clear" w:color="auto" w:fill="auto"/>
            <w:vAlign w:val="center"/>
          </w:tcPr>
          <w:p w14:paraId="3D714EA7" w14:textId="4A3EAF3B"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89,31</w:t>
            </w:r>
          </w:p>
        </w:tc>
        <w:tc>
          <w:tcPr>
            <w:tcW w:w="879" w:type="dxa"/>
            <w:tcBorders>
              <w:top w:val="nil"/>
              <w:left w:val="nil"/>
              <w:bottom w:val="nil"/>
              <w:right w:val="nil"/>
            </w:tcBorders>
            <w:shd w:val="clear" w:color="auto" w:fill="auto"/>
            <w:vAlign w:val="center"/>
          </w:tcPr>
          <w:p w14:paraId="3EE32952" w14:textId="4E107E72"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49,19</w:t>
            </w:r>
          </w:p>
        </w:tc>
        <w:tc>
          <w:tcPr>
            <w:tcW w:w="822" w:type="dxa"/>
            <w:tcBorders>
              <w:top w:val="nil"/>
              <w:left w:val="nil"/>
              <w:bottom w:val="nil"/>
              <w:right w:val="nil"/>
            </w:tcBorders>
            <w:shd w:val="clear" w:color="auto" w:fill="auto"/>
            <w:vAlign w:val="center"/>
          </w:tcPr>
          <w:p w14:paraId="2BB501A9" w14:textId="611B8844"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71,39</w:t>
            </w:r>
          </w:p>
        </w:tc>
        <w:tc>
          <w:tcPr>
            <w:tcW w:w="902" w:type="dxa"/>
            <w:tcBorders>
              <w:top w:val="nil"/>
              <w:left w:val="nil"/>
              <w:bottom w:val="nil"/>
              <w:right w:val="nil"/>
            </w:tcBorders>
            <w:shd w:val="clear" w:color="auto" w:fill="auto"/>
            <w:vAlign w:val="center"/>
          </w:tcPr>
          <w:p w14:paraId="5A0D8630" w14:textId="69E4FA70" w:rsidR="00251302" w:rsidRPr="00332AB5" w:rsidRDefault="00251302" w:rsidP="00251302">
            <w:pPr>
              <w:jc w:val="right"/>
              <w:rPr>
                <w:rFonts w:asciiTheme="minorHAnsi" w:hAnsiTheme="minorHAnsi" w:cstheme="minorHAnsi"/>
                <w:color w:val="FF0000"/>
                <w:sz w:val="18"/>
                <w:szCs w:val="18"/>
              </w:rPr>
            </w:pPr>
            <w:r w:rsidRPr="00332AB5">
              <w:rPr>
                <w:rFonts w:asciiTheme="minorHAnsi" w:hAnsiTheme="minorHAnsi" w:cstheme="minorHAnsi"/>
                <w:color w:val="000000" w:themeColor="text1"/>
                <w:sz w:val="18"/>
                <w:szCs w:val="18"/>
              </w:rPr>
              <w:t>44,57</w:t>
            </w:r>
          </w:p>
        </w:tc>
        <w:tc>
          <w:tcPr>
            <w:tcW w:w="635" w:type="dxa"/>
            <w:tcBorders>
              <w:top w:val="nil"/>
              <w:left w:val="nil"/>
              <w:bottom w:val="nil"/>
              <w:right w:val="nil"/>
            </w:tcBorders>
            <w:shd w:val="clear" w:color="auto" w:fill="auto"/>
            <w:vAlign w:val="center"/>
          </w:tcPr>
          <w:p w14:paraId="53E1B874" w14:textId="17BA7220" w:rsidR="00251302" w:rsidRPr="00332AB5" w:rsidRDefault="00251302" w:rsidP="00251302">
            <w:pPr>
              <w:jc w:val="right"/>
              <w:rPr>
                <w:rFonts w:asciiTheme="minorHAnsi" w:hAnsiTheme="minorHAnsi" w:cstheme="minorHAnsi"/>
                <w:color w:val="FF0000"/>
                <w:sz w:val="18"/>
                <w:szCs w:val="18"/>
              </w:rPr>
            </w:pPr>
            <w:r w:rsidRPr="00332AB5">
              <w:rPr>
                <w:rFonts w:asciiTheme="minorHAnsi" w:hAnsiTheme="minorHAnsi" w:cstheme="minorHAnsi"/>
                <w:color w:val="000000" w:themeColor="text1"/>
                <w:sz w:val="18"/>
                <w:szCs w:val="18"/>
              </w:rPr>
              <w:t>64,67</w:t>
            </w:r>
          </w:p>
        </w:tc>
        <w:tc>
          <w:tcPr>
            <w:tcW w:w="1089" w:type="dxa"/>
            <w:vAlign w:val="center"/>
          </w:tcPr>
          <w:p w14:paraId="156E0BE4" w14:textId="77777777" w:rsidR="00251302" w:rsidRPr="00332AB5" w:rsidRDefault="00251302" w:rsidP="00251302">
            <w:pPr>
              <w:jc w:val="right"/>
              <w:rPr>
                <w:rFonts w:asciiTheme="minorHAnsi" w:hAnsiTheme="minorHAnsi" w:cstheme="minorHAnsi"/>
                <w:sz w:val="18"/>
                <w:szCs w:val="18"/>
              </w:rPr>
            </w:pPr>
          </w:p>
        </w:tc>
        <w:tc>
          <w:tcPr>
            <w:tcW w:w="635" w:type="dxa"/>
            <w:vAlign w:val="center"/>
          </w:tcPr>
          <w:p w14:paraId="39CAE3D3" w14:textId="77777777" w:rsidR="00251302" w:rsidRPr="00332AB5" w:rsidRDefault="00251302" w:rsidP="00251302">
            <w:pPr>
              <w:jc w:val="right"/>
              <w:rPr>
                <w:rFonts w:asciiTheme="minorHAnsi" w:hAnsiTheme="minorHAnsi" w:cstheme="minorHAnsi"/>
                <w:sz w:val="18"/>
                <w:szCs w:val="18"/>
              </w:rPr>
            </w:pPr>
          </w:p>
        </w:tc>
      </w:tr>
      <w:tr w:rsidR="00251302" w:rsidRPr="00332AB5" w14:paraId="4C60B5EF" w14:textId="77777777" w:rsidTr="003C63C6">
        <w:trPr>
          <w:trHeight w:val="397"/>
        </w:trPr>
        <w:tc>
          <w:tcPr>
            <w:tcW w:w="1179" w:type="dxa"/>
            <w:vAlign w:val="center"/>
          </w:tcPr>
          <w:p w14:paraId="189EE19B" w14:textId="77777777" w:rsidR="00251302" w:rsidRPr="00332AB5" w:rsidRDefault="00251302" w:rsidP="00251302">
            <w:pPr>
              <w:rPr>
                <w:rFonts w:asciiTheme="minorHAnsi" w:hAnsiTheme="minorHAnsi" w:cstheme="minorHAnsi"/>
                <w:sz w:val="18"/>
                <w:szCs w:val="18"/>
              </w:rPr>
            </w:pPr>
            <w:r w:rsidRPr="00332AB5">
              <w:rPr>
                <w:rFonts w:asciiTheme="minorHAnsi" w:hAnsiTheme="minorHAnsi" w:cstheme="minorHAnsi"/>
                <w:sz w:val="18"/>
                <w:szCs w:val="18"/>
              </w:rPr>
              <w:t>PU 6</w:t>
            </w:r>
          </w:p>
        </w:tc>
        <w:tc>
          <w:tcPr>
            <w:tcW w:w="998" w:type="dxa"/>
            <w:vAlign w:val="center"/>
          </w:tcPr>
          <w:p w14:paraId="2241BFC4" w14:textId="69CCF900"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color w:val="000000" w:themeColor="text1"/>
                <w:sz w:val="18"/>
                <w:szCs w:val="18"/>
              </w:rPr>
              <w:t>0,33</w:t>
            </w:r>
          </w:p>
        </w:tc>
        <w:tc>
          <w:tcPr>
            <w:tcW w:w="1089" w:type="dxa"/>
            <w:tcBorders>
              <w:top w:val="nil"/>
              <w:left w:val="nil"/>
              <w:bottom w:val="nil"/>
              <w:right w:val="nil"/>
            </w:tcBorders>
            <w:shd w:val="clear" w:color="auto" w:fill="auto"/>
            <w:vAlign w:val="center"/>
          </w:tcPr>
          <w:p w14:paraId="4F668E7B" w14:textId="5ECD9C60"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0,33</w:t>
            </w:r>
          </w:p>
        </w:tc>
        <w:tc>
          <w:tcPr>
            <w:tcW w:w="845" w:type="dxa"/>
            <w:tcBorders>
              <w:top w:val="nil"/>
              <w:left w:val="nil"/>
              <w:bottom w:val="nil"/>
              <w:right w:val="nil"/>
            </w:tcBorders>
            <w:shd w:val="clear" w:color="auto" w:fill="auto"/>
            <w:vAlign w:val="center"/>
          </w:tcPr>
          <w:p w14:paraId="2C74DB14" w14:textId="1FBB78B4"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color w:val="000000" w:themeColor="text1"/>
                <w:sz w:val="18"/>
                <w:szCs w:val="18"/>
              </w:rPr>
              <w:t>100,00</w:t>
            </w:r>
          </w:p>
        </w:tc>
        <w:tc>
          <w:tcPr>
            <w:tcW w:w="879" w:type="dxa"/>
            <w:tcBorders>
              <w:top w:val="nil"/>
              <w:left w:val="nil"/>
              <w:bottom w:val="nil"/>
              <w:right w:val="nil"/>
            </w:tcBorders>
            <w:shd w:val="clear" w:color="auto" w:fill="auto"/>
            <w:vAlign w:val="center"/>
          </w:tcPr>
          <w:p w14:paraId="1A05524E" w14:textId="3A9A5443"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color w:val="000000" w:themeColor="text1"/>
                <w:sz w:val="18"/>
                <w:szCs w:val="18"/>
              </w:rPr>
              <w:t>0,30</w:t>
            </w:r>
          </w:p>
        </w:tc>
        <w:tc>
          <w:tcPr>
            <w:tcW w:w="822" w:type="dxa"/>
            <w:tcBorders>
              <w:top w:val="nil"/>
              <w:left w:val="nil"/>
              <w:bottom w:val="nil"/>
              <w:right w:val="nil"/>
            </w:tcBorders>
            <w:shd w:val="clear" w:color="auto" w:fill="auto"/>
            <w:vAlign w:val="center"/>
          </w:tcPr>
          <w:p w14:paraId="59332B1D" w14:textId="77EAF8B0"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color w:val="000000" w:themeColor="text1"/>
                <w:sz w:val="18"/>
                <w:szCs w:val="18"/>
              </w:rPr>
              <w:t>90,91</w:t>
            </w:r>
          </w:p>
        </w:tc>
        <w:tc>
          <w:tcPr>
            <w:tcW w:w="902" w:type="dxa"/>
            <w:tcBorders>
              <w:top w:val="nil"/>
              <w:left w:val="nil"/>
              <w:bottom w:val="nil"/>
              <w:right w:val="nil"/>
            </w:tcBorders>
            <w:shd w:val="clear" w:color="auto" w:fill="auto"/>
            <w:vAlign w:val="center"/>
          </w:tcPr>
          <w:p w14:paraId="1B09DAE5" w14:textId="7AB5FD7E" w:rsidR="00251302" w:rsidRPr="00332AB5" w:rsidRDefault="00251302" w:rsidP="00251302">
            <w:pPr>
              <w:jc w:val="right"/>
              <w:rPr>
                <w:rFonts w:asciiTheme="minorHAnsi" w:hAnsiTheme="minorHAnsi" w:cstheme="minorHAnsi"/>
                <w:color w:val="FF0000"/>
                <w:sz w:val="18"/>
                <w:szCs w:val="18"/>
              </w:rPr>
            </w:pPr>
            <w:r w:rsidRPr="00332AB5">
              <w:rPr>
                <w:rFonts w:asciiTheme="minorHAnsi" w:hAnsiTheme="minorHAnsi" w:cstheme="minorHAnsi"/>
                <w:color w:val="000000" w:themeColor="text1"/>
                <w:sz w:val="18"/>
                <w:szCs w:val="18"/>
              </w:rPr>
              <w:t>0,30</w:t>
            </w:r>
          </w:p>
        </w:tc>
        <w:tc>
          <w:tcPr>
            <w:tcW w:w="635" w:type="dxa"/>
            <w:tcBorders>
              <w:top w:val="nil"/>
              <w:left w:val="nil"/>
              <w:bottom w:val="nil"/>
              <w:right w:val="nil"/>
            </w:tcBorders>
            <w:shd w:val="clear" w:color="auto" w:fill="auto"/>
            <w:vAlign w:val="center"/>
          </w:tcPr>
          <w:p w14:paraId="641F311F" w14:textId="278F195E" w:rsidR="00251302" w:rsidRPr="00332AB5" w:rsidRDefault="00251302" w:rsidP="00251302">
            <w:pPr>
              <w:jc w:val="right"/>
              <w:rPr>
                <w:rFonts w:asciiTheme="minorHAnsi" w:hAnsiTheme="minorHAnsi" w:cstheme="minorHAnsi"/>
                <w:color w:val="FF0000"/>
                <w:sz w:val="18"/>
                <w:szCs w:val="18"/>
              </w:rPr>
            </w:pPr>
            <w:r w:rsidRPr="00332AB5">
              <w:rPr>
                <w:rFonts w:asciiTheme="minorHAnsi" w:hAnsiTheme="minorHAnsi" w:cstheme="minorHAnsi"/>
                <w:color w:val="000000" w:themeColor="text1"/>
                <w:sz w:val="18"/>
                <w:szCs w:val="18"/>
              </w:rPr>
              <w:t>90,91</w:t>
            </w:r>
          </w:p>
        </w:tc>
        <w:tc>
          <w:tcPr>
            <w:tcW w:w="1089" w:type="dxa"/>
            <w:vAlign w:val="center"/>
          </w:tcPr>
          <w:p w14:paraId="1BAC595E" w14:textId="77777777" w:rsidR="00251302" w:rsidRPr="00332AB5" w:rsidRDefault="00251302" w:rsidP="00251302">
            <w:pPr>
              <w:jc w:val="right"/>
              <w:rPr>
                <w:rFonts w:asciiTheme="minorHAnsi" w:hAnsiTheme="minorHAnsi" w:cstheme="minorHAnsi"/>
                <w:sz w:val="18"/>
                <w:szCs w:val="18"/>
              </w:rPr>
            </w:pPr>
          </w:p>
        </w:tc>
        <w:tc>
          <w:tcPr>
            <w:tcW w:w="635" w:type="dxa"/>
            <w:vAlign w:val="center"/>
          </w:tcPr>
          <w:p w14:paraId="3DED1C3A" w14:textId="77777777" w:rsidR="00251302" w:rsidRPr="00332AB5" w:rsidRDefault="00251302" w:rsidP="00251302">
            <w:pPr>
              <w:jc w:val="right"/>
              <w:rPr>
                <w:rFonts w:asciiTheme="minorHAnsi" w:hAnsiTheme="minorHAnsi" w:cstheme="minorHAnsi"/>
                <w:sz w:val="18"/>
                <w:szCs w:val="18"/>
              </w:rPr>
            </w:pPr>
          </w:p>
        </w:tc>
      </w:tr>
      <w:tr w:rsidR="00251302" w:rsidRPr="00332AB5" w14:paraId="54E870D5" w14:textId="77777777" w:rsidTr="003C63C6">
        <w:trPr>
          <w:trHeight w:val="397"/>
        </w:trPr>
        <w:tc>
          <w:tcPr>
            <w:tcW w:w="1179" w:type="dxa"/>
            <w:vAlign w:val="center"/>
          </w:tcPr>
          <w:p w14:paraId="35307C00" w14:textId="77777777" w:rsidR="00251302" w:rsidRPr="00332AB5" w:rsidRDefault="00251302" w:rsidP="00251302">
            <w:pPr>
              <w:rPr>
                <w:rFonts w:asciiTheme="minorHAnsi" w:hAnsiTheme="minorHAnsi" w:cstheme="minorHAnsi"/>
                <w:sz w:val="18"/>
                <w:szCs w:val="18"/>
              </w:rPr>
            </w:pPr>
            <w:r w:rsidRPr="00332AB5">
              <w:rPr>
                <w:rFonts w:asciiTheme="minorHAnsi" w:hAnsiTheme="minorHAnsi" w:cstheme="minorHAnsi"/>
                <w:sz w:val="18"/>
                <w:szCs w:val="18"/>
              </w:rPr>
              <w:t>TP</w:t>
            </w:r>
          </w:p>
        </w:tc>
        <w:tc>
          <w:tcPr>
            <w:tcW w:w="998" w:type="dxa"/>
            <w:tcBorders>
              <w:bottom w:val="single" w:sz="4" w:space="0" w:color="808080" w:themeColor="background1" w:themeShade="80"/>
            </w:tcBorders>
            <w:vAlign w:val="center"/>
          </w:tcPr>
          <w:p w14:paraId="2011CE3D" w14:textId="76109069"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color w:val="000000" w:themeColor="text1"/>
                <w:sz w:val="18"/>
                <w:szCs w:val="18"/>
              </w:rPr>
              <w:t>8,17</w:t>
            </w:r>
          </w:p>
        </w:tc>
        <w:tc>
          <w:tcPr>
            <w:tcW w:w="1089" w:type="dxa"/>
            <w:tcBorders>
              <w:top w:val="nil"/>
              <w:left w:val="nil"/>
              <w:bottom w:val="nil"/>
              <w:right w:val="nil"/>
            </w:tcBorders>
            <w:shd w:val="clear" w:color="auto" w:fill="auto"/>
            <w:vAlign w:val="center"/>
          </w:tcPr>
          <w:p w14:paraId="6621C383" w14:textId="4B7C7B2A"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17,29</w:t>
            </w:r>
          </w:p>
        </w:tc>
        <w:tc>
          <w:tcPr>
            <w:tcW w:w="845" w:type="dxa"/>
            <w:tcBorders>
              <w:top w:val="nil"/>
              <w:left w:val="nil"/>
              <w:bottom w:val="nil"/>
              <w:right w:val="nil"/>
            </w:tcBorders>
            <w:shd w:val="clear" w:color="auto" w:fill="auto"/>
            <w:vAlign w:val="center"/>
          </w:tcPr>
          <w:p w14:paraId="38567220" w14:textId="3A256836"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211,67</w:t>
            </w:r>
          </w:p>
        </w:tc>
        <w:tc>
          <w:tcPr>
            <w:tcW w:w="879" w:type="dxa"/>
            <w:tcBorders>
              <w:top w:val="nil"/>
              <w:left w:val="nil"/>
              <w:bottom w:val="nil"/>
              <w:right w:val="nil"/>
            </w:tcBorders>
            <w:shd w:val="clear" w:color="auto" w:fill="auto"/>
            <w:vAlign w:val="center"/>
          </w:tcPr>
          <w:p w14:paraId="676500ED" w14:textId="682B5738"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6,45</w:t>
            </w:r>
          </w:p>
        </w:tc>
        <w:tc>
          <w:tcPr>
            <w:tcW w:w="822" w:type="dxa"/>
            <w:tcBorders>
              <w:top w:val="nil"/>
              <w:left w:val="nil"/>
              <w:bottom w:val="nil"/>
              <w:right w:val="nil"/>
            </w:tcBorders>
            <w:shd w:val="clear" w:color="auto" w:fill="auto"/>
            <w:vAlign w:val="center"/>
          </w:tcPr>
          <w:p w14:paraId="28E172FE" w14:textId="4E3E4F58"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sz w:val="18"/>
                <w:szCs w:val="18"/>
              </w:rPr>
              <w:t>79,03</w:t>
            </w:r>
          </w:p>
        </w:tc>
        <w:tc>
          <w:tcPr>
            <w:tcW w:w="902" w:type="dxa"/>
            <w:tcBorders>
              <w:top w:val="nil"/>
              <w:left w:val="nil"/>
              <w:bottom w:val="nil"/>
              <w:right w:val="nil"/>
            </w:tcBorders>
            <w:shd w:val="clear" w:color="auto" w:fill="auto"/>
            <w:vAlign w:val="center"/>
          </w:tcPr>
          <w:p w14:paraId="6C054D84" w14:textId="33978774" w:rsidR="00251302" w:rsidRPr="00332AB5" w:rsidRDefault="00251302" w:rsidP="00251302">
            <w:pPr>
              <w:jc w:val="right"/>
              <w:rPr>
                <w:rFonts w:asciiTheme="minorHAnsi" w:hAnsiTheme="minorHAnsi" w:cstheme="minorHAnsi"/>
                <w:color w:val="FF0000"/>
                <w:sz w:val="18"/>
                <w:szCs w:val="18"/>
              </w:rPr>
            </w:pPr>
            <w:r w:rsidRPr="00332AB5">
              <w:rPr>
                <w:rFonts w:asciiTheme="minorHAnsi" w:hAnsiTheme="minorHAnsi" w:cstheme="minorHAnsi"/>
                <w:sz w:val="18"/>
                <w:szCs w:val="18"/>
              </w:rPr>
              <w:t>6,42</w:t>
            </w:r>
          </w:p>
        </w:tc>
        <w:tc>
          <w:tcPr>
            <w:tcW w:w="635" w:type="dxa"/>
            <w:tcBorders>
              <w:top w:val="nil"/>
              <w:left w:val="nil"/>
              <w:bottom w:val="nil"/>
              <w:right w:val="nil"/>
            </w:tcBorders>
            <w:shd w:val="clear" w:color="auto" w:fill="auto"/>
            <w:vAlign w:val="center"/>
          </w:tcPr>
          <w:p w14:paraId="227BB997" w14:textId="0CD00EA2" w:rsidR="00251302" w:rsidRPr="00332AB5" w:rsidRDefault="00251302" w:rsidP="00251302">
            <w:pPr>
              <w:jc w:val="right"/>
              <w:rPr>
                <w:rFonts w:asciiTheme="minorHAnsi" w:hAnsiTheme="minorHAnsi" w:cstheme="minorHAnsi"/>
                <w:color w:val="FF0000"/>
                <w:sz w:val="18"/>
                <w:szCs w:val="18"/>
              </w:rPr>
            </w:pPr>
            <w:r w:rsidRPr="00332AB5">
              <w:rPr>
                <w:rFonts w:asciiTheme="minorHAnsi" w:hAnsiTheme="minorHAnsi" w:cstheme="minorHAnsi"/>
                <w:color w:val="000000" w:themeColor="text1"/>
                <w:sz w:val="18"/>
                <w:szCs w:val="18"/>
              </w:rPr>
              <w:t>78,65</w:t>
            </w:r>
          </w:p>
        </w:tc>
        <w:tc>
          <w:tcPr>
            <w:tcW w:w="1089" w:type="dxa"/>
            <w:tcBorders>
              <w:bottom w:val="single" w:sz="4" w:space="0" w:color="808080" w:themeColor="background1" w:themeShade="80"/>
            </w:tcBorders>
            <w:vAlign w:val="center"/>
          </w:tcPr>
          <w:p w14:paraId="7F8B9A69" w14:textId="3AC59124"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color w:val="000000" w:themeColor="text1"/>
                <w:sz w:val="18"/>
                <w:szCs w:val="18"/>
              </w:rPr>
              <w:t> </w:t>
            </w:r>
          </w:p>
        </w:tc>
        <w:tc>
          <w:tcPr>
            <w:tcW w:w="635" w:type="dxa"/>
            <w:tcBorders>
              <w:bottom w:val="single" w:sz="4" w:space="0" w:color="808080" w:themeColor="background1" w:themeShade="80"/>
            </w:tcBorders>
            <w:vAlign w:val="center"/>
          </w:tcPr>
          <w:p w14:paraId="29AFB611" w14:textId="57CB8103"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color w:val="000000" w:themeColor="text1"/>
                <w:sz w:val="18"/>
                <w:szCs w:val="18"/>
              </w:rPr>
              <w:t> </w:t>
            </w:r>
          </w:p>
        </w:tc>
      </w:tr>
      <w:tr w:rsidR="00251302" w:rsidRPr="00332AB5" w14:paraId="210016A4" w14:textId="77777777" w:rsidTr="003C63C6">
        <w:trPr>
          <w:trHeight w:val="510"/>
        </w:trPr>
        <w:tc>
          <w:tcPr>
            <w:tcW w:w="1179" w:type="dxa"/>
            <w:vAlign w:val="center"/>
          </w:tcPr>
          <w:p w14:paraId="743D803B" w14:textId="77777777" w:rsidR="00251302" w:rsidRPr="00332AB5" w:rsidRDefault="00251302" w:rsidP="00251302">
            <w:pPr>
              <w:rPr>
                <w:sz w:val="18"/>
                <w:szCs w:val="24"/>
              </w:rPr>
            </w:pPr>
            <w:bookmarkStart w:id="74" w:name="_Hlk61440277"/>
            <w:r w:rsidRPr="00332AB5">
              <w:rPr>
                <w:rFonts w:asciiTheme="minorHAnsi" w:hAnsiTheme="minorHAnsi" w:cstheme="minorHAnsi"/>
                <w:sz w:val="18"/>
              </w:rPr>
              <w:t>UKUPNO</w:t>
            </w:r>
          </w:p>
        </w:tc>
        <w:tc>
          <w:tcPr>
            <w:tcW w:w="998" w:type="dxa"/>
            <w:tcBorders>
              <w:top w:val="single" w:sz="4" w:space="0" w:color="808080" w:themeColor="background1" w:themeShade="80"/>
              <w:bottom w:val="single" w:sz="4" w:space="0" w:color="808080" w:themeColor="background1" w:themeShade="80"/>
            </w:tcBorders>
            <w:vAlign w:val="center"/>
          </w:tcPr>
          <w:p w14:paraId="766D4400" w14:textId="76142910" w:rsidR="00251302" w:rsidRPr="00332AB5" w:rsidRDefault="00251302" w:rsidP="00251302">
            <w:pPr>
              <w:jc w:val="right"/>
              <w:rPr>
                <w:rFonts w:asciiTheme="minorHAnsi" w:hAnsiTheme="minorHAnsi" w:cstheme="minorHAnsi"/>
                <w:sz w:val="18"/>
              </w:rPr>
            </w:pPr>
            <w:r w:rsidRPr="00332AB5">
              <w:rPr>
                <w:rFonts w:asciiTheme="minorHAnsi" w:hAnsiTheme="minorHAnsi" w:cstheme="minorHAnsi"/>
                <w:color w:val="000000" w:themeColor="text1"/>
                <w:sz w:val="18"/>
                <w:szCs w:val="18"/>
              </w:rPr>
              <w:t>252,64</w:t>
            </w:r>
          </w:p>
        </w:tc>
        <w:tc>
          <w:tcPr>
            <w:tcW w:w="1089" w:type="dxa"/>
            <w:tcBorders>
              <w:top w:val="single" w:sz="8" w:space="0" w:color="808080"/>
              <w:left w:val="nil"/>
              <w:bottom w:val="single" w:sz="8" w:space="0" w:color="808080"/>
              <w:right w:val="nil"/>
            </w:tcBorders>
            <w:shd w:val="clear" w:color="auto" w:fill="auto"/>
            <w:vAlign w:val="center"/>
          </w:tcPr>
          <w:p w14:paraId="58D6BBD8" w14:textId="11522CCF" w:rsidR="00251302" w:rsidRPr="00332AB5" w:rsidRDefault="00251302" w:rsidP="00251302">
            <w:pPr>
              <w:jc w:val="right"/>
              <w:rPr>
                <w:rFonts w:asciiTheme="minorHAnsi" w:hAnsiTheme="minorHAnsi" w:cstheme="minorHAnsi"/>
                <w:color w:val="000000"/>
                <w:sz w:val="18"/>
                <w:szCs w:val="18"/>
              </w:rPr>
            </w:pPr>
            <w:r w:rsidRPr="00332AB5">
              <w:rPr>
                <w:rFonts w:asciiTheme="minorHAnsi" w:hAnsiTheme="minorHAnsi" w:cstheme="minorHAnsi"/>
                <w:sz w:val="18"/>
                <w:szCs w:val="18"/>
              </w:rPr>
              <w:t>279,45</w:t>
            </w:r>
          </w:p>
        </w:tc>
        <w:tc>
          <w:tcPr>
            <w:tcW w:w="845" w:type="dxa"/>
            <w:tcBorders>
              <w:top w:val="single" w:sz="8" w:space="0" w:color="808080"/>
              <w:left w:val="nil"/>
              <w:bottom w:val="single" w:sz="8" w:space="0" w:color="808080"/>
              <w:right w:val="nil"/>
            </w:tcBorders>
            <w:shd w:val="clear" w:color="auto" w:fill="auto"/>
            <w:vAlign w:val="center"/>
          </w:tcPr>
          <w:p w14:paraId="40F13372" w14:textId="126CBF16" w:rsidR="00251302" w:rsidRPr="00332AB5" w:rsidRDefault="00251302" w:rsidP="00251302">
            <w:pPr>
              <w:jc w:val="right"/>
              <w:rPr>
                <w:rFonts w:asciiTheme="minorHAnsi" w:hAnsiTheme="minorHAnsi" w:cstheme="minorHAnsi"/>
                <w:color w:val="000000"/>
                <w:sz w:val="18"/>
                <w:szCs w:val="18"/>
              </w:rPr>
            </w:pPr>
            <w:r w:rsidRPr="00332AB5">
              <w:rPr>
                <w:rFonts w:asciiTheme="minorHAnsi" w:hAnsiTheme="minorHAnsi" w:cstheme="minorHAnsi"/>
                <w:sz w:val="18"/>
                <w:szCs w:val="18"/>
              </w:rPr>
              <w:t>110,61</w:t>
            </w:r>
          </w:p>
        </w:tc>
        <w:tc>
          <w:tcPr>
            <w:tcW w:w="879" w:type="dxa"/>
            <w:tcBorders>
              <w:top w:val="single" w:sz="8" w:space="0" w:color="808080"/>
              <w:left w:val="nil"/>
              <w:bottom w:val="single" w:sz="8" w:space="0" w:color="808080"/>
              <w:right w:val="nil"/>
            </w:tcBorders>
            <w:shd w:val="clear" w:color="auto" w:fill="auto"/>
            <w:vAlign w:val="center"/>
          </w:tcPr>
          <w:p w14:paraId="004F7E6D" w14:textId="145DC28A" w:rsidR="00251302" w:rsidRPr="00332AB5" w:rsidRDefault="00251302" w:rsidP="00251302">
            <w:pPr>
              <w:jc w:val="right"/>
              <w:rPr>
                <w:rFonts w:asciiTheme="minorHAnsi" w:hAnsiTheme="minorHAnsi" w:cstheme="minorHAnsi"/>
                <w:color w:val="000000"/>
                <w:sz w:val="18"/>
                <w:szCs w:val="18"/>
              </w:rPr>
            </w:pPr>
            <w:r w:rsidRPr="00332AB5">
              <w:rPr>
                <w:rFonts w:asciiTheme="minorHAnsi" w:hAnsiTheme="minorHAnsi" w:cstheme="minorHAnsi"/>
                <w:sz w:val="18"/>
                <w:szCs w:val="18"/>
              </w:rPr>
              <w:t>166,36</w:t>
            </w:r>
          </w:p>
        </w:tc>
        <w:tc>
          <w:tcPr>
            <w:tcW w:w="822" w:type="dxa"/>
            <w:tcBorders>
              <w:top w:val="single" w:sz="8" w:space="0" w:color="808080"/>
              <w:left w:val="nil"/>
              <w:bottom w:val="single" w:sz="8" w:space="0" w:color="808080"/>
              <w:right w:val="nil"/>
            </w:tcBorders>
            <w:shd w:val="clear" w:color="auto" w:fill="auto"/>
            <w:vAlign w:val="center"/>
          </w:tcPr>
          <w:p w14:paraId="04B1BF31" w14:textId="614AA145" w:rsidR="00251302" w:rsidRPr="00332AB5" w:rsidRDefault="00251302" w:rsidP="00251302">
            <w:pPr>
              <w:jc w:val="right"/>
              <w:rPr>
                <w:rFonts w:asciiTheme="minorHAnsi" w:hAnsiTheme="minorHAnsi" w:cstheme="minorHAnsi"/>
                <w:color w:val="000000"/>
                <w:sz w:val="18"/>
                <w:szCs w:val="18"/>
              </w:rPr>
            </w:pPr>
            <w:r w:rsidRPr="00332AB5">
              <w:rPr>
                <w:rFonts w:asciiTheme="minorHAnsi" w:hAnsiTheme="minorHAnsi" w:cstheme="minorHAnsi"/>
                <w:sz w:val="18"/>
                <w:szCs w:val="18"/>
              </w:rPr>
              <w:t>65,85</w:t>
            </w:r>
          </w:p>
        </w:tc>
        <w:tc>
          <w:tcPr>
            <w:tcW w:w="902" w:type="dxa"/>
            <w:tcBorders>
              <w:top w:val="single" w:sz="8" w:space="0" w:color="808080"/>
              <w:left w:val="nil"/>
              <w:bottom w:val="single" w:sz="8" w:space="0" w:color="808080"/>
              <w:right w:val="nil"/>
            </w:tcBorders>
            <w:shd w:val="clear" w:color="auto" w:fill="auto"/>
            <w:vAlign w:val="center"/>
          </w:tcPr>
          <w:p w14:paraId="320078FE" w14:textId="0136D7AE"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color w:val="000000" w:themeColor="text1"/>
                <w:sz w:val="18"/>
                <w:szCs w:val="18"/>
              </w:rPr>
              <w:t xml:space="preserve"> 165,89</w:t>
            </w:r>
          </w:p>
        </w:tc>
        <w:tc>
          <w:tcPr>
            <w:tcW w:w="635" w:type="dxa"/>
            <w:tcBorders>
              <w:top w:val="single" w:sz="8" w:space="0" w:color="808080"/>
              <w:left w:val="nil"/>
              <w:bottom w:val="single" w:sz="8" w:space="0" w:color="808080"/>
              <w:right w:val="nil"/>
            </w:tcBorders>
            <w:shd w:val="clear" w:color="auto" w:fill="auto"/>
            <w:vAlign w:val="center"/>
          </w:tcPr>
          <w:p w14:paraId="572E8758" w14:textId="116B45A2" w:rsidR="00251302" w:rsidRPr="00332AB5" w:rsidRDefault="00251302" w:rsidP="00251302">
            <w:pPr>
              <w:jc w:val="right"/>
              <w:rPr>
                <w:rFonts w:asciiTheme="minorHAnsi" w:hAnsiTheme="minorHAnsi" w:cstheme="minorHAnsi"/>
                <w:sz w:val="18"/>
                <w:szCs w:val="18"/>
              </w:rPr>
            </w:pPr>
            <w:r w:rsidRPr="00332AB5">
              <w:rPr>
                <w:rFonts w:asciiTheme="minorHAnsi" w:hAnsiTheme="minorHAnsi" w:cstheme="minorHAnsi"/>
                <w:color w:val="000000" w:themeColor="text1"/>
                <w:sz w:val="18"/>
                <w:szCs w:val="18"/>
              </w:rPr>
              <w:t>65,67</w:t>
            </w:r>
          </w:p>
        </w:tc>
        <w:tc>
          <w:tcPr>
            <w:tcW w:w="1089" w:type="dxa"/>
            <w:tcBorders>
              <w:top w:val="single" w:sz="8" w:space="0" w:color="808080"/>
              <w:left w:val="nil"/>
              <w:bottom w:val="single" w:sz="8" w:space="0" w:color="808080"/>
              <w:right w:val="nil"/>
            </w:tcBorders>
            <w:shd w:val="clear" w:color="auto" w:fill="auto"/>
            <w:vAlign w:val="center"/>
          </w:tcPr>
          <w:p w14:paraId="2F0B112D" w14:textId="4783F427" w:rsidR="00251302" w:rsidRPr="00332AB5" w:rsidRDefault="002F48B7" w:rsidP="00251302">
            <w:pPr>
              <w:jc w:val="right"/>
              <w:rPr>
                <w:rFonts w:asciiTheme="minorHAnsi" w:hAnsiTheme="minorHAnsi" w:cstheme="minorHAnsi"/>
                <w:sz w:val="18"/>
                <w:szCs w:val="18"/>
              </w:rPr>
            </w:pPr>
            <w:r w:rsidRPr="00332AB5">
              <w:rPr>
                <w:rFonts w:asciiTheme="minorHAnsi" w:hAnsiTheme="minorHAnsi" w:cstheme="minorHAnsi"/>
                <w:color w:val="000000" w:themeColor="text1"/>
                <w:sz w:val="18"/>
                <w:szCs w:val="18"/>
              </w:rPr>
              <w:t>135,73</w:t>
            </w:r>
          </w:p>
        </w:tc>
        <w:tc>
          <w:tcPr>
            <w:tcW w:w="635" w:type="dxa"/>
            <w:tcBorders>
              <w:top w:val="single" w:sz="8" w:space="0" w:color="808080"/>
              <w:left w:val="nil"/>
              <w:bottom w:val="single" w:sz="8" w:space="0" w:color="808080"/>
              <w:right w:val="nil"/>
            </w:tcBorders>
            <w:shd w:val="clear" w:color="auto" w:fill="auto"/>
            <w:vAlign w:val="center"/>
          </w:tcPr>
          <w:p w14:paraId="569EB12E" w14:textId="563B8C68" w:rsidR="00251302" w:rsidRPr="00332AB5" w:rsidRDefault="002F48B7" w:rsidP="00251302">
            <w:pPr>
              <w:jc w:val="right"/>
              <w:rPr>
                <w:rFonts w:asciiTheme="minorHAnsi" w:hAnsiTheme="minorHAnsi" w:cstheme="minorHAnsi"/>
                <w:sz w:val="18"/>
                <w:szCs w:val="18"/>
              </w:rPr>
            </w:pPr>
            <w:r w:rsidRPr="00332AB5">
              <w:rPr>
                <w:rFonts w:asciiTheme="minorHAnsi" w:hAnsiTheme="minorHAnsi" w:cstheme="minorHAnsi"/>
                <w:color w:val="000000" w:themeColor="text1"/>
                <w:sz w:val="18"/>
                <w:szCs w:val="18"/>
              </w:rPr>
              <w:t>53,72</w:t>
            </w:r>
          </w:p>
        </w:tc>
      </w:tr>
      <w:bookmarkEnd w:id="74"/>
    </w:tbl>
    <w:p w14:paraId="1B715EC2" w14:textId="77777777" w:rsidR="00333651" w:rsidRPr="00332AB5" w:rsidRDefault="00333651" w:rsidP="00E2152B">
      <w:pPr>
        <w:spacing w:before="120" w:after="120"/>
        <w:jc w:val="both"/>
        <w:rPr>
          <w:b/>
        </w:rPr>
      </w:pPr>
    </w:p>
    <w:p w14:paraId="674CEF66" w14:textId="77777777" w:rsidR="00333651" w:rsidRPr="00332AB5" w:rsidRDefault="00333651" w:rsidP="00E2152B">
      <w:pPr>
        <w:rPr>
          <w:b/>
        </w:rPr>
      </w:pPr>
      <w:r w:rsidRPr="00332AB5">
        <w:rPr>
          <w:b/>
        </w:rPr>
        <w:br w:type="page"/>
      </w:r>
    </w:p>
    <w:p w14:paraId="0D88FB5E" w14:textId="2832FF8C" w:rsidR="0026776E" w:rsidRPr="00332AB5" w:rsidRDefault="0026776E" w:rsidP="00E2152B">
      <w:pPr>
        <w:spacing w:before="120" w:after="120"/>
        <w:jc w:val="both"/>
        <w:rPr>
          <w:b/>
          <w:bCs/>
        </w:rPr>
      </w:pPr>
      <w:bookmarkStart w:id="75" w:name="_Toc152595304"/>
      <w:r w:rsidRPr="00332AB5">
        <w:rPr>
          <w:b/>
        </w:rPr>
        <w:lastRenderedPageBreak/>
        <w:t xml:space="preserve">Grafikon </w:t>
      </w:r>
      <w:r w:rsidR="008C2CC3" w:rsidRPr="00332AB5">
        <w:rPr>
          <w:rFonts w:eastAsia="Calibri"/>
          <w:b/>
          <w:szCs w:val="22"/>
          <w:lang w:eastAsia="en-US"/>
        </w:rPr>
        <w:fldChar w:fldCharType="begin"/>
      </w:r>
      <w:r w:rsidRPr="00332AB5">
        <w:rPr>
          <w:b/>
          <w:bCs/>
        </w:rPr>
        <w:instrText xml:space="preserve"> SEQ Grafikon \* ARABIC </w:instrText>
      </w:r>
      <w:r w:rsidR="008C2CC3" w:rsidRPr="00332AB5">
        <w:rPr>
          <w:rFonts w:eastAsia="Calibri"/>
          <w:b/>
          <w:szCs w:val="22"/>
          <w:lang w:eastAsia="en-US"/>
        </w:rPr>
        <w:fldChar w:fldCharType="separate"/>
      </w:r>
      <w:r w:rsidR="005E6E46">
        <w:rPr>
          <w:b/>
          <w:bCs/>
          <w:noProof/>
        </w:rPr>
        <w:t>4</w:t>
      </w:r>
      <w:r w:rsidR="008C2CC3" w:rsidRPr="00332AB5">
        <w:rPr>
          <w:rFonts w:eastAsia="Calibri"/>
          <w:b/>
          <w:szCs w:val="22"/>
          <w:lang w:eastAsia="en-US"/>
        </w:rPr>
        <w:fldChar w:fldCharType="end"/>
      </w:r>
      <w:r w:rsidRPr="00332AB5">
        <w:rPr>
          <w:b/>
        </w:rPr>
        <w:t xml:space="preserve">: </w:t>
      </w:r>
      <w:r w:rsidRPr="00332AB5">
        <w:rPr>
          <w:rFonts w:eastAsia="Calibri"/>
          <w:b/>
          <w:bCs/>
        </w:rPr>
        <w:t>Grafički prikaz geografske rasprostranjenosti projekata u okviru shema dodjele bespovratnih sredstava</w:t>
      </w:r>
      <w:r w:rsidRPr="00332AB5">
        <w:rPr>
          <w:b/>
          <w:bCs/>
        </w:rPr>
        <w:t xml:space="preserve"> Operativnog programa za pomorstvo i ribarstvo od početka provedbe do kraja izvještajnog razdoblja </w:t>
      </w:r>
      <w:r w:rsidR="0011067E" w:rsidRPr="00332AB5">
        <w:rPr>
          <w:b/>
          <w:bCs/>
        </w:rPr>
        <w:t>30. lipnja 2023.</w:t>
      </w:r>
      <w:r w:rsidR="00166591" w:rsidRPr="00332AB5">
        <w:rPr>
          <w:b/>
          <w:bCs/>
        </w:rPr>
        <w:t xml:space="preserve"> </w:t>
      </w:r>
      <w:r w:rsidRPr="00332AB5">
        <w:rPr>
          <w:b/>
          <w:bCs/>
        </w:rPr>
        <w:t>(sredstva EU, u postocima)</w:t>
      </w:r>
      <w:bookmarkEnd w:id="75"/>
    </w:p>
    <w:p w14:paraId="5B1FFA6C" w14:textId="77777777" w:rsidR="00586E0A" w:rsidRPr="00332AB5" w:rsidRDefault="005E7BB3" w:rsidP="00E2152B">
      <w:pPr>
        <w:spacing w:before="120" w:after="120"/>
        <w:jc w:val="both"/>
        <w:rPr>
          <w:b/>
          <w:bCs/>
        </w:rPr>
      </w:pPr>
      <w:r w:rsidRPr="00332AB5">
        <w:rPr>
          <w:b/>
          <w:bCs/>
          <w:noProof/>
        </w:rPr>
        <w:drawing>
          <wp:inline distT="0" distB="0" distL="0" distR="0" wp14:anchorId="4137F467" wp14:editId="00A809D1">
            <wp:extent cx="5486400" cy="405765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1A00982" w14:textId="77777777" w:rsidR="00621B23" w:rsidRPr="00332AB5" w:rsidRDefault="00621B23" w:rsidP="00621B23">
      <w:pPr>
        <w:spacing w:before="120" w:after="120"/>
        <w:jc w:val="both"/>
        <w:rPr>
          <w:sz w:val="24"/>
          <w:szCs w:val="24"/>
        </w:rPr>
      </w:pPr>
      <w:bookmarkStart w:id="76" w:name="_Toc465419087"/>
      <w:r w:rsidRPr="00332AB5">
        <w:rPr>
          <w:sz w:val="24"/>
          <w:szCs w:val="24"/>
        </w:rPr>
        <w:t xml:space="preserve">Što se tiče revizija, u izvještajnom razdoblju Tijelo za reviziju provodilo je reviziju sustava ključnih zahtjeva 2, 4 i 5 u UT-u i PT-u – Agenciji za plaćanja u poljoprivredi, ribarstvu i ruralnom razvoju, te reviziju operacija u okviru OPPiR. Postupci u okviru navedenih revizija završeni su u veljači 2023. te su konačni izvještaji revizije sustava i revizije operacija izdani u siječnju i veljači 2023. </w:t>
      </w:r>
    </w:p>
    <w:p w14:paraId="13998517" w14:textId="63D5E0C6" w:rsidR="00621B23" w:rsidRPr="00332AB5" w:rsidRDefault="00621B23" w:rsidP="00621B23">
      <w:pPr>
        <w:spacing w:before="120" w:after="120"/>
        <w:jc w:val="both"/>
        <w:rPr>
          <w:sz w:val="24"/>
          <w:szCs w:val="24"/>
        </w:rPr>
      </w:pPr>
      <w:r w:rsidRPr="00332AB5">
        <w:rPr>
          <w:sz w:val="24"/>
          <w:szCs w:val="24"/>
        </w:rPr>
        <w:t>Na temelju provedenih revizija, Tijelo za reviziju je u veljači 2023. godine podnijelo Europskoj komisiji izvješće kojim je sustav u okviru Upravljačkog tijela ocijenjen Kategorijom 3: „Djelomično funkcionira, potrebna značajna poboljšanja“. Slijedom toga, napravljen je Akcijski plan za otklanjanje nedostataka koji se je provodio tijekom izvještajnog razdoblja te je Tijelo za reviziju 30. lipnja 2023. izvijestilo Europsku komisiju o rezultatima provedbe Akcijskog plana. U navedenom je dopisu Tijelo za reviziju izvijestilo da je većina sustavnih nedostataka otklonjena odnosno da je većina aktivnosti predviđena Akcijskog plana provedena. Odgovor Europske komisije na dopis Tijela za reviziju zaprimljen je u narednom izvještajnom razdoblju.</w:t>
      </w:r>
    </w:p>
    <w:p w14:paraId="03937410" w14:textId="48FEEC62" w:rsidR="00621B23" w:rsidRPr="00332AB5" w:rsidRDefault="00621B23" w:rsidP="00621B23">
      <w:pPr>
        <w:spacing w:before="120" w:after="120"/>
        <w:jc w:val="both"/>
        <w:rPr>
          <w:sz w:val="24"/>
          <w:szCs w:val="24"/>
        </w:rPr>
      </w:pPr>
      <w:r w:rsidRPr="00332AB5">
        <w:rPr>
          <w:sz w:val="24"/>
          <w:szCs w:val="24"/>
        </w:rPr>
        <w:t>Također, u izvještajnom razdoblju završena je i revizija operacija koja je započela u 2022. godini, a čiji je cilj bio stjecanje razumnog uvjerenja o točnosti i cjelovitosti izdataka prijavljenih Europskoj komisiji od 1. srpnja 2021. do 30. lipnja 2022. i usklađenosti sa zahtjevima nacionalnog zakonodavstva i zakonodavstva Europske unije (odnosno zakonitosti i pravilnosti izdataka).</w:t>
      </w:r>
    </w:p>
    <w:p w14:paraId="6515CD28" w14:textId="744ECA70" w:rsidR="00621B23" w:rsidRPr="00332AB5" w:rsidRDefault="00621B23" w:rsidP="00621B23">
      <w:pPr>
        <w:spacing w:before="120" w:after="120"/>
        <w:jc w:val="both"/>
        <w:rPr>
          <w:sz w:val="24"/>
          <w:szCs w:val="24"/>
        </w:rPr>
      </w:pPr>
      <w:r w:rsidRPr="00332AB5">
        <w:rPr>
          <w:sz w:val="24"/>
          <w:szCs w:val="24"/>
        </w:rPr>
        <w:lastRenderedPageBreak/>
        <w:t xml:space="preserve">Nadalje, u lipnju 2023. godine Europska komisija je u Upravljačkom tijelu provela reviziju funkcioniranja sustava upravljanja i kontrola uspostavljenog za provedbu mjere Prikupljanje podataka koja se provodi prema članku 77. Uredbe (EU) </w:t>
      </w:r>
      <w:r w:rsidRPr="00332AB5">
        <w:rPr>
          <w:bCs/>
          <w:sz w:val="24"/>
          <w:szCs w:val="24"/>
        </w:rPr>
        <w:t>br. 508/2014 Europskog parlamenta i Vijeća od 15. svibnja 2014. o Europskom fondu za pomorstvo i ribarstvo i stavljanju izvan snage uredbi Vijeća (EZ) br. 2328/2003, (EZ) br. 861/2006, (EZ) br. 1198/2006, (EZ) br. 791/2007 i Uredbe (EU) br. 1255/2011 Europskog parlamenta i Vijeća</w:t>
      </w:r>
      <w:r w:rsidR="007316A2" w:rsidRPr="00332AB5">
        <w:rPr>
          <w:bCs/>
          <w:sz w:val="24"/>
          <w:szCs w:val="24"/>
        </w:rPr>
        <w:t xml:space="preserve">, </w:t>
      </w:r>
      <w:r w:rsidR="00E625F3" w:rsidRPr="00332AB5">
        <w:rPr>
          <w:bCs/>
          <w:sz w:val="24"/>
          <w:szCs w:val="24"/>
        </w:rPr>
        <w:t>(</w:t>
      </w:r>
      <w:r w:rsidR="007316A2" w:rsidRPr="00332AB5">
        <w:rPr>
          <w:bCs/>
          <w:sz w:val="24"/>
          <w:szCs w:val="24"/>
        </w:rPr>
        <w:t>SL L149,</w:t>
      </w:r>
      <w:r w:rsidR="00E625F3" w:rsidRPr="00332AB5">
        <w:rPr>
          <w:bCs/>
          <w:sz w:val="24"/>
          <w:szCs w:val="24"/>
        </w:rPr>
        <w:t xml:space="preserve"> </w:t>
      </w:r>
      <w:r w:rsidR="007316A2" w:rsidRPr="00332AB5">
        <w:rPr>
          <w:bCs/>
          <w:sz w:val="24"/>
          <w:szCs w:val="24"/>
        </w:rPr>
        <w:t>20.</w:t>
      </w:r>
      <w:r w:rsidR="00E625F3" w:rsidRPr="00332AB5">
        <w:rPr>
          <w:bCs/>
          <w:sz w:val="24"/>
          <w:szCs w:val="24"/>
        </w:rPr>
        <w:t xml:space="preserve"> </w:t>
      </w:r>
      <w:r w:rsidR="007316A2" w:rsidRPr="00332AB5">
        <w:rPr>
          <w:bCs/>
          <w:sz w:val="24"/>
          <w:szCs w:val="24"/>
        </w:rPr>
        <w:t>5.</w:t>
      </w:r>
      <w:r w:rsidR="00E625F3" w:rsidRPr="00332AB5">
        <w:rPr>
          <w:bCs/>
          <w:sz w:val="24"/>
          <w:szCs w:val="24"/>
        </w:rPr>
        <w:t xml:space="preserve"> </w:t>
      </w:r>
      <w:r w:rsidR="007316A2" w:rsidRPr="00332AB5">
        <w:rPr>
          <w:bCs/>
          <w:sz w:val="24"/>
          <w:szCs w:val="24"/>
        </w:rPr>
        <w:t>2014</w:t>
      </w:r>
      <w:r w:rsidRPr="00332AB5">
        <w:rPr>
          <w:bCs/>
          <w:sz w:val="24"/>
          <w:szCs w:val="24"/>
        </w:rPr>
        <w:t>.</w:t>
      </w:r>
      <w:r w:rsidR="00E625F3" w:rsidRPr="00332AB5">
        <w:rPr>
          <w:bCs/>
          <w:sz w:val="24"/>
          <w:szCs w:val="24"/>
        </w:rPr>
        <w:t>)</w:t>
      </w:r>
      <w:r w:rsidRPr="00332AB5">
        <w:rPr>
          <w:bCs/>
          <w:sz w:val="24"/>
          <w:szCs w:val="24"/>
        </w:rPr>
        <w:t xml:space="preserve"> Revizijsko izvješće Europske komisije za predmetnu reviziju zaprimljeno je u narednom izvještajnom razdoblju.</w:t>
      </w:r>
    </w:p>
    <w:p w14:paraId="106C5E43" w14:textId="3E6CEEEF" w:rsidR="00621B23" w:rsidRPr="00332AB5" w:rsidRDefault="00621B23" w:rsidP="00621B23">
      <w:pPr>
        <w:spacing w:before="120" w:after="120"/>
        <w:jc w:val="both"/>
        <w:rPr>
          <w:sz w:val="24"/>
          <w:szCs w:val="24"/>
        </w:rPr>
      </w:pPr>
      <w:r w:rsidRPr="00332AB5">
        <w:rPr>
          <w:sz w:val="24"/>
          <w:szCs w:val="24"/>
        </w:rPr>
        <w:t>Tijekom izvještajnog razdoblja održan je i Pisani postupak Odbora za praćenje provedbe Operativnog programa za pomorstvo i ribarstvo Republike Hrvatske za programsko razdoblje 2014. - 2020., putem kojeg je članovima navedenog Odbora, dostavljeno na komentare i odobrenje Godišnje izvješće o provedbi Operativnog programa za pomorstvo i ribarstvo Republike Hrvatske za programsko razdoblje 2014.</w:t>
      </w:r>
      <w:r w:rsidR="009535AB" w:rsidRPr="00332AB5">
        <w:rPr>
          <w:sz w:val="24"/>
          <w:szCs w:val="24"/>
        </w:rPr>
        <w:t xml:space="preserve"> – </w:t>
      </w:r>
      <w:r w:rsidRPr="00332AB5">
        <w:rPr>
          <w:sz w:val="24"/>
          <w:szCs w:val="24"/>
        </w:rPr>
        <w:t xml:space="preserve">2020. za 2022. godinu. Slijedom odobrenja navedenog Godišnjeg izvješća od strane Odbora za praćenje, isto je dostavljeno Europskoj komisiji. </w:t>
      </w:r>
    </w:p>
    <w:p w14:paraId="4B62A6B1" w14:textId="2AC5DA1C" w:rsidR="00476A4D" w:rsidRPr="00332AB5" w:rsidRDefault="00621B23" w:rsidP="00476A4D">
      <w:pPr>
        <w:spacing w:before="120" w:after="120"/>
        <w:jc w:val="both"/>
        <w:rPr>
          <w:sz w:val="24"/>
          <w:szCs w:val="24"/>
        </w:rPr>
      </w:pPr>
      <w:r w:rsidRPr="00332AB5">
        <w:rPr>
          <w:sz w:val="24"/>
          <w:szCs w:val="24"/>
        </w:rPr>
        <w:t>Također, izrađen je Akcijski plan za unaprjeđenje procesa provedbe LRSR 2021.</w:t>
      </w:r>
      <w:r w:rsidR="000F59CF" w:rsidRPr="00332AB5">
        <w:rPr>
          <w:sz w:val="24"/>
          <w:szCs w:val="24"/>
        </w:rPr>
        <w:t xml:space="preserve"> – </w:t>
      </w:r>
      <w:r w:rsidRPr="00332AB5">
        <w:rPr>
          <w:sz w:val="24"/>
          <w:szCs w:val="24"/>
        </w:rPr>
        <w:t>2027., a na temelju zaprimljenih preporuka vrednovanja koje je provedeno u prethodnom izvještajnom razdoblju, odnosno vrednovanje OPPiR-a na razini Prioriteta Unije 4, tj. dodane vrijednosti integriranog pristupa putem lokalnog razvoja pod vodstvom zajednice te na razini lokalnih akcijskih grupa u ribarstvu, a kako bi se provjerilo postiže li mjera odnosno operacije unutar OPPiR očekivane rezultate, ciljeve i učinke. Slijedom navedenoga, nastavlja se praćenje i provedba preporuka iz provedenog vrednovanja, a sukladno Akcijskom planu.</w:t>
      </w:r>
    </w:p>
    <w:p w14:paraId="0483EE67" w14:textId="250356BD" w:rsidR="00A002EF" w:rsidRPr="00332AB5" w:rsidRDefault="00A002EF" w:rsidP="00A002EF">
      <w:pPr>
        <w:spacing w:before="120" w:after="120"/>
        <w:jc w:val="both"/>
        <w:rPr>
          <w:sz w:val="24"/>
          <w:szCs w:val="24"/>
        </w:rPr>
      </w:pPr>
      <w:r w:rsidRPr="00332AB5">
        <w:rPr>
          <w:sz w:val="24"/>
          <w:szCs w:val="24"/>
        </w:rPr>
        <w:t xml:space="preserve">Na dan </w:t>
      </w:r>
      <w:r w:rsidR="0011067E" w:rsidRPr="00332AB5">
        <w:rPr>
          <w:sz w:val="24"/>
          <w:szCs w:val="24"/>
        </w:rPr>
        <w:t>30. lipnja 2023.</w:t>
      </w:r>
      <w:r w:rsidRPr="00332AB5">
        <w:rPr>
          <w:sz w:val="24"/>
          <w:szCs w:val="24"/>
        </w:rPr>
        <w:t xml:space="preserve"> u tijelima SUK-a OPPiR-a zaposleno je ukupno 7</w:t>
      </w:r>
      <w:r w:rsidR="00003D37" w:rsidRPr="00332AB5">
        <w:rPr>
          <w:sz w:val="24"/>
          <w:szCs w:val="24"/>
        </w:rPr>
        <w:t>8</w:t>
      </w:r>
      <w:r w:rsidRPr="00332AB5">
        <w:rPr>
          <w:sz w:val="24"/>
          <w:szCs w:val="24"/>
        </w:rPr>
        <w:t xml:space="preserve"> službenika.</w:t>
      </w:r>
    </w:p>
    <w:p w14:paraId="3A111EB7" w14:textId="77777777" w:rsidR="00B2004D" w:rsidRPr="00332AB5" w:rsidRDefault="00B2004D">
      <w:pPr>
        <w:rPr>
          <w:b/>
          <w:bCs/>
          <w:iCs/>
          <w:sz w:val="24"/>
          <w:szCs w:val="28"/>
        </w:rPr>
      </w:pPr>
      <w:r w:rsidRPr="00332AB5">
        <w:br w:type="page"/>
      </w:r>
    </w:p>
    <w:p w14:paraId="32990DAC" w14:textId="31B9A58F" w:rsidR="00FB366B" w:rsidRPr="00332AB5" w:rsidRDefault="00A05063" w:rsidP="00E2152B">
      <w:pPr>
        <w:pStyle w:val="Heading2"/>
        <w:numPr>
          <w:ilvl w:val="1"/>
          <w:numId w:val="3"/>
        </w:numPr>
      </w:pPr>
      <w:bookmarkStart w:id="77" w:name="_Toc152595223"/>
      <w:r w:rsidRPr="00332AB5">
        <w:lastRenderedPageBreak/>
        <w:t>OPERATIVNI PROGRAM ZA HRANU I/ILI OSNOVNU MATERIJALNU POMOĆ U OKVIRU FONDA EUROPSKE POMOĆI ZA NAJPOTREBITIJE</w:t>
      </w:r>
      <w:bookmarkEnd w:id="77"/>
      <w:r w:rsidR="00444846" w:rsidRPr="00332AB5">
        <w:t xml:space="preserve"> </w:t>
      </w:r>
    </w:p>
    <w:p w14:paraId="63BD06B5" w14:textId="77777777" w:rsidR="0027529D" w:rsidRPr="00332AB5" w:rsidRDefault="0027529D" w:rsidP="0027529D">
      <w:pPr>
        <w:spacing w:after="120"/>
        <w:jc w:val="both"/>
        <w:rPr>
          <w:sz w:val="24"/>
          <w:szCs w:val="24"/>
        </w:rPr>
      </w:pPr>
      <w:r w:rsidRPr="00332AB5">
        <w:rPr>
          <w:sz w:val="24"/>
          <w:szCs w:val="24"/>
        </w:rPr>
        <w:t>Do 30. lipnja 2023. ukupno je objavljeno 12 otvorenih poziva na dostavu projektnih prijedloga ukupne vrijednosti 71,56 milijuna eura. Tijekom izvještajnog razdoblja, 17. ožujka 2023. objavljen je jedan otvoreni poziv na dostavu projektnih prijedloga. Ublažavanje siromaštva pružanjem pomoći najpotrebitijim osobama podjelom osnovne materijalne pomoći ukupne vrijednosti 2,85 milijuna eura.</w:t>
      </w:r>
    </w:p>
    <w:p w14:paraId="65B73B86" w14:textId="649F67D0" w:rsidR="0027529D" w:rsidRPr="00332AB5" w:rsidRDefault="0027529D" w:rsidP="0027529D">
      <w:pPr>
        <w:spacing w:after="120"/>
        <w:jc w:val="both"/>
        <w:rPr>
          <w:sz w:val="24"/>
          <w:szCs w:val="24"/>
        </w:rPr>
      </w:pPr>
      <w:r w:rsidRPr="00332AB5">
        <w:rPr>
          <w:sz w:val="24"/>
          <w:szCs w:val="24"/>
        </w:rPr>
        <w:t xml:space="preserve">Temeljem pokrenutih postupaka dodjele bespovratnih sredstava, do 30. lipnja 2023. sklopljeno je ukupno 440 ugovora o dodjeli bespovratnih sredstava ukupne vrijednosti 56,29 milijuna eura (sredstva EU). U izvještajnom razdoblju sklopljeno je </w:t>
      </w:r>
      <w:r w:rsidR="00020F30" w:rsidRPr="00332AB5">
        <w:rPr>
          <w:sz w:val="24"/>
          <w:szCs w:val="24"/>
        </w:rPr>
        <w:t>deset</w:t>
      </w:r>
      <w:r w:rsidRPr="00332AB5">
        <w:rPr>
          <w:sz w:val="24"/>
          <w:szCs w:val="24"/>
        </w:rPr>
        <w:t xml:space="preserve"> ugovora o dodjeli bespovratnih sredstava ukupne vrijednosti 2,26 milijuna eura (sredstva EU), a raskinuto je 29 ugovora ukupne vrijednosti 4,46 milijuna eura (sredstava EU).</w:t>
      </w:r>
    </w:p>
    <w:p w14:paraId="4173617D" w14:textId="77777777" w:rsidR="0027529D" w:rsidRPr="00332AB5" w:rsidRDefault="0027529D" w:rsidP="0027529D">
      <w:pPr>
        <w:spacing w:after="120"/>
        <w:jc w:val="both"/>
        <w:rPr>
          <w:sz w:val="24"/>
          <w:szCs w:val="24"/>
        </w:rPr>
      </w:pPr>
      <w:r w:rsidRPr="00332AB5">
        <w:rPr>
          <w:sz w:val="24"/>
          <w:szCs w:val="24"/>
        </w:rPr>
        <w:t>Sklopljeni ugovori u okviru OPFEAD od početka provedbe odnose se na materijalnu deprivaciju MD1 – nedostatak hrane, a usmjereni su na ublažavanje najgorih oblika dječjeg siromaštva osiguravanjem školske prehrane djeci u riziku od siromaštva te materijalnu deprivaciju MD2 – nedostatak osnovne materijalne pomoći, ublažavanjem siromaštva pružanjem pomoći najpotrebitijim osobama. Dio ugovora odnosi se na pružanje tehničke pomoći korisnicima i tijelima u sustavu.</w:t>
      </w:r>
    </w:p>
    <w:p w14:paraId="1A1C0412" w14:textId="5EF78DE2" w:rsidR="002E0FD7" w:rsidRPr="00332AB5" w:rsidRDefault="0027529D" w:rsidP="0027529D">
      <w:pPr>
        <w:spacing w:after="120"/>
        <w:jc w:val="both"/>
        <w:rPr>
          <w:b/>
          <w:bCs/>
        </w:rPr>
      </w:pPr>
      <w:r w:rsidRPr="00332AB5">
        <w:rPr>
          <w:sz w:val="24"/>
          <w:szCs w:val="24"/>
        </w:rPr>
        <w:t xml:space="preserve">Ukupna plaćanja prema korisnicima izvršena su u iznosu od 41,08 milijuna eura (sredstva EU). U izvještajnom razdoblju korisnicima je plaćeno 4,56 milijuna eura (sredstva EU). Ukupno je do 30. lipnja 2023. ovjereno 31,21 milijuna eura (sredstva EU), a doznačeno je </w:t>
      </w:r>
      <w:r w:rsidR="00880FFD" w:rsidRPr="00332AB5">
        <w:rPr>
          <w:sz w:val="24"/>
          <w:szCs w:val="24"/>
        </w:rPr>
        <w:t>34,72</w:t>
      </w:r>
      <w:r w:rsidRPr="00332AB5">
        <w:rPr>
          <w:sz w:val="24"/>
          <w:szCs w:val="24"/>
        </w:rPr>
        <w:t xml:space="preserve"> milijuna eura. U izvještajnom razdoblju nije bilo dodatnog ovjeravanja sredstava prema Europskoj komisiji</w:t>
      </w:r>
      <w:r w:rsidR="006D1B92" w:rsidRPr="00332AB5">
        <w:rPr>
          <w:sz w:val="24"/>
          <w:szCs w:val="24"/>
        </w:rPr>
        <w:t>, a doznačeno je 6,90 milijuna eura.</w:t>
      </w:r>
    </w:p>
    <w:p w14:paraId="52B0E782" w14:textId="1315D903" w:rsidR="00FA3316" w:rsidRPr="00332AB5" w:rsidRDefault="00FA3316" w:rsidP="008F163B">
      <w:pPr>
        <w:spacing w:before="120" w:after="120"/>
        <w:jc w:val="both"/>
        <w:rPr>
          <w:b/>
          <w:bCs/>
        </w:rPr>
      </w:pPr>
      <w:bookmarkStart w:id="78" w:name="_Toc152595291"/>
      <w:r w:rsidRPr="00332AB5">
        <w:rPr>
          <w:b/>
          <w:bCs/>
        </w:rPr>
        <w:t xml:space="preserve">Tablica </w:t>
      </w:r>
      <w:r w:rsidR="008C2CC3" w:rsidRPr="00332AB5">
        <w:rPr>
          <w:b/>
          <w:bCs/>
        </w:rPr>
        <w:fldChar w:fldCharType="begin"/>
      </w:r>
      <w:r w:rsidRPr="00332AB5">
        <w:rPr>
          <w:b/>
          <w:bCs/>
        </w:rPr>
        <w:instrText xml:space="preserve"> SEQ Tablica \* ARABIC </w:instrText>
      </w:r>
      <w:r w:rsidR="008C2CC3" w:rsidRPr="00332AB5">
        <w:rPr>
          <w:b/>
          <w:bCs/>
        </w:rPr>
        <w:fldChar w:fldCharType="separate"/>
      </w:r>
      <w:r w:rsidR="005E6E46">
        <w:rPr>
          <w:b/>
          <w:bCs/>
          <w:noProof/>
        </w:rPr>
        <w:t>17</w:t>
      </w:r>
      <w:r w:rsidR="008C2CC3" w:rsidRPr="00332AB5">
        <w:rPr>
          <w:b/>
          <w:bCs/>
        </w:rPr>
        <w:fldChar w:fldCharType="end"/>
      </w:r>
      <w:r w:rsidRPr="00332AB5">
        <w:rPr>
          <w:b/>
          <w:bCs/>
        </w:rPr>
        <w:t xml:space="preserve">: Financijski pokazatelji statusa provedbe Operativnog programa za hranu i/ili osnovnu materijalnu pomoć u izvještajnom razdoblju </w:t>
      </w:r>
      <w:r w:rsidR="00AD3F1C" w:rsidRPr="00332AB5">
        <w:rPr>
          <w:b/>
          <w:bCs/>
        </w:rPr>
        <w:t xml:space="preserve">od </w:t>
      </w:r>
      <w:r w:rsidR="0011067E" w:rsidRPr="00332AB5">
        <w:rPr>
          <w:b/>
          <w:bCs/>
        </w:rPr>
        <w:t>1. siječnja</w:t>
      </w:r>
      <w:r w:rsidR="00487DC5" w:rsidRPr="00332AB5">
        <w:rPr>
          <w:b/>
          <w:bCs/>
        </w:rPr>
        <w:t xml:space="preserve"> do </w:t>
      </w:r>
      <w:r w:rsidR="0011067E" w:rsidRPr="00332AB5">
        <w:rPr>
          <w:b/>
          <w:bCs/>
        </w:rPr>
        <w:t>30. lipnja 2023.</w:t>
      </w:r>
      <w:r w:rsidR="00487DC5" w:rsidRPr="00332AB5">
        <w:rPr>
          <w:b/>
          <w:bCs/>
        </w:rPr>
        <w:t xml:space="preserve"> </w:t>
      </w:r>
      <w:r w:rsidRPr="00332AB5">
        <w:rPr>
          <w:b/>
          <w:bCs/>
        </w:rPr>
        <w:t>(sredstva EU, u milijunima eura i postocima od dodijeljenih sredstava)</w:t>
      </w:r>
      <w:bookmarkEnd w:id="78"/>
    </w:p>
    <w:tbl>
      <w:tblPr>
        <w:tblStyle w:val="TableGrid"/>
        <w:tblW w:w="91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703"/>
        <w:gridCol w:w="1089"/>
        <w:gridCol w:w="754"/>
        <w:gridCol w:w="1015"/>
        <w:gridCol w:w="635"/>
        <w:gridCol w:w="1043"/>
        <w:gridCol w:w="681"/>
      </w:tblGrid>
      <w:tr w:rsidR="00FA3316" w:rsidRPr="00332AB5" w14:paraId="3165F8A3" w14:textId="77777777" w:rsidTr="00E80EE8">
        <w:trPr>
          <w:trHeight w:val="737"/>
          <w:jc w:val="center"/>
        </w:trPr>
        <w:tc>
          <w:tcPr>
            <w:tcW w:w="1179" w:type="dxa"/>
            <w:vAlign w:val="center"/>
          </w:tcPr>
          <w:p w14:paraId="67AE3DF7" w14:textId="77777777" w:rsidR="00FA3316" w:rsidRPr="00332AB5" w:rsidRDefault="00FA3316" w:rsidP="00477407">
            <w:pPr>
              <w:spacing w:after="60"/>
              <w:rPr>
                <w:sz w:val="16"/>
                <w:szCs w:val="24"/>
              </w:rPr>
            </w:pPr>
            <w:r w:rsidRPr="00332AB5">
              <w:rPr>
                <w:rFonts w:asciiTheme="minorHAnsi" w:hAnsiTheme="minorHAnsi" w:cstheme="minorHAnsi"/>
                <w:sz w:val="16"/>
              </w:rPr>
              <w:t>Materijalna deprivacija</w:t>
            </w:r>
            <w:r w:rsidRPr="00332AB5">
              <w:rPr>
                <w:rStyle w:val="FootnoteReference"/>
                <w:rFonts w:asciiTheme="minorHAnsi" w:hAnsiTheme="minorHAnsi" w:cstheme="minorHAnsi"/>
                <w:sz w:val="16"/>
              </w:rPr>
              <w:footnoteReference w:id="15"/>
            </w:r>
          </w:p>
        </w:tc>
        <w:tc>
          <w:tcPr>
            <w:tcW w:w="998" w:type="dxa"/>
            <w:tcBorders>
              <w:bottom w:val="single" w:sz="4" w:space="0" w:color="808080" w:themeColor="background1" w:themeShade="80"/>
            </w:tcBorders>
            <w:vAlign w:val="center"/>
          </w:tcPr>
          <w:p w14:paraId="228C2179" w14:textId="77777777" w:rsidR="00FA3316" w:rsidRPr="00332AB5" w:rsidRDefault="00FA3316" w:rsidP="00477407">
            <w:pPr>
              <w:spacing w:after="60"/>
              <w:jc w:val="right"/>
              <w:rPr>
                <w:sz w:val="16"/>
                <w:szCs w:val="24"/>
              </w:rPr>
            </w:pPr>
            <w:r w:rsidRPr="00332AB5">
              <w:rPr>
                <w:rFonts w:asciiTheme="minorHAnsi" w:hAnsiTheme="minorHAnsi" w:cstheme="minorHAnsi"/>
                <w:sz w:val="16"/>
              </w:rPr>
              <w:t>Dodijeljena sredstva</w:t>
            </w:r>
          </w:p>
        </w:tc>
        <w:tc>
          <w:tcPr>
            <w:tcW w:w="1089" w:type="dxa"/>
            <w:tcBorders>
              <w:bottom w:val="single" w:sz="4" w:space="0" w:color="808080" w:themeColor="background1" w:themeShade="80"/>
            </w:tcBorders>
            <w:vAlign w:val="center"/>
          </w:tcPr>
          <w:p w14:paraId="74ECD248" w14:textId="77777777" w:rsidR="00FA3316" w:rsidRPr="00332AB5" w:rsidRDefault="00FA3316" w:rsidP="00477407">
            <w:pPr>
              <w:spacing w:after="60"/>
              <w:jc w:val="right"/>
              <w:rPr>
                <w:sz w:val="16"/>
                <w:szCs w:val="24"/>
              </w:rPr>
            </w:pPr>
            <w:r w:rsidRPr="00332AB5">
              <w:rPr>
                <w:rFonts w:asciiTheme="minorHAnsi" w:hAnsiTheme="minorHAnsi" w:cstheme="minorHAnsi"/>
                <w:sz w:val="16"/>
              </w:rPr>
              <w:t>Ugovorena sredstva</w:t>
            </w:r>
          </w:p>
        </w:tc>
        <w:tc>
          <w:tcPr>
            <w:tcW w:w="703" w:type="dxa"/>
            <w:tcBorders>
              <w:bottom w:val="single" w:sz="4" w:space="0" w:color="808080" w:themeColor="background1" w:themeShade="80"/>
            </w:tcBorders>
            <w:vAlign w:val="center"/>
          </w:tcPr>
          <w:p w14:paraId="3C4BFE41" w14:textId="77777777" w:rsidR="00FA3316" w:rsidRPr="00332AB5" w:rsidRDefault="00FA3316" w:rsidP="00477407">
            <w:pPr>
              <w:spacing w:after="60"/>
              <w:jc w:val="right"/>
              <w:rPr>
                <w:sz w:val="16"/>
                <w:szCs w:val="24"/>
              </w:rPr>
            </w:pPr>
            <w:r w:rsidRPr="00332AB5">
              <w:rPr>
                <w:rFonts w:asciiTheme="minorHAnsi" w:hAnsiTheme="minorHAnsi" w:cstheme="minorHAnsi"/>
                <w:sz w:val="16"/>
              </w:rPr>
              <w:t xml:space="preserve"> %</w:t>
            </w:r>
          </w:p>
        </w:tc>
        <w:tc>
          <w:tcPr>
            <w:tcW w:w="1089" w:type="dxa"/>
            <w:tcBorders>
              <w:bottom w:val="single" w:sz="4" w:space="0" w:color="808080" w:themeColor="background1" w:themeShade="80"/>
            </w:tcBorders>
            <w:vAlign w:val="center"/>
          </w:tcPr>
          <w:p w14:paraId="4A65E53F" w14:textId="77777777" w:rsidR="00FA3316" w:rsidRPr="00332AB5" w:rsidRDefault="00FA3316" w:rsidP="00477407">
            <w:pPr>
              <w:spacing w:after="60"/>
              <w:jc w:val="right"/>
              <w:rPr>
                <w:sz w:val="16"/>
                <w:szCs w:val="24"/>
              </w:rPr>
            </w:pPr>
            <w:r w:rsidRPr="00332AB5">
              <w:rPr>
                <w:rFonts w:asciiTheme="minorHAnsi" w:hAnsiTheme="minorHAnsi" w:cstheme="minorHAnsi"/>
                <w:sz w:val="16"/>
              </w:rPr>
              <w:t>Plaćena sredstva</w:t>
            </w:r>
          </w:p>
        </w:tc>
        <w:tc>
          <w:tcPr>
            <w:tcW w:w="754" w:type="dxa"/>
            <w:tcBorders>
              <w:bottom w:val="single" w:sz="4" w:space="0" w:color="808080" w:themeColor="background1" w:themeShade="80"/>
            </w:tcBorders>
            <w:vAlign w:val="center"/>
          </w:tcPr>
          <w:p w14:paraId="42186F5D" w14:textId="77777777" w:rsidR="00FA3316" w:rsidRPr="00332AB5" w:rsidRDefault="00FA3316" w:rsidP="00477407">
            <w:pPr>
              <w:spacing w:after="60"/>
              <w:jc w:val="right"/>
              <w:rPr>
                <w:sz w:val="16"/>
                <w:szCs w:val="24"/>
              </w:rPr>
            </w:pPr>
            <w:r w:rsidRPr="00332AB5">
              <w:rPr>
                <w:rFonts w:asciiTheme="minorHAnsi" w:hAnsiTheme="minorHAnsi" w:cstheme="minorHAnsi"/>
                <w:sz w:val="16"/>
              </w:rPr>
              <w:t xml:space="preserve"> %</w:t>
            </w:r>
          </w:p>
        </w:tc>
        <w:tc>
          <w:tcPr>
            <w:tcW w:w="1015" w:type="dxa"/>
            <w:tcBorders>
              <w:bottom w:val="single" w:sz="4" w:space="0" w:color="808080" w:themeColor="background1" w:themeShade="80"/>
            </w:tcBorders>
            <w:vAlign w:val="center"/>
          </w:tcPr>
          <w:p w14:paraId="3E751595" w14:textId="77777777" w:rsidR="00FA3316" w:rsidRPr="00332AB5" w:rsidRDefault="00FA3316" w:rsidP="00477407">
            <w:pPr>
              <w:spacing w:after="60"/>
              <w:jc w:val="right"/>
              <w:rPr>
                <w:sz w:val="16"/>
                <w:szCs w:val="24"/>
              </w:rPr>
            </w:pPr>
            <w:r w:rsidRPr="00332AB5">
              <w:rPr>
                <w:rFonts w:asciiTheme="minorHAnsi" w:hAnsiTheme="minorHAnsi" w:cstheme="minorHAnsi"/>
                <w:sz w:val="16"/>
              </w:rPr>
              <w:t>Ovjerena sredstva</w:t>
            </w:r>
          </w:p>
        </w:tc>
        <w:tc>
          <w:tcPr>
            <w:tcW w:w="635" w:type="dxa"/>
            <w:tcBorders>
              <w:bottom w:val="single" w:sz="4" w:space="0" w:color="808080" w:themeColor="background1" w:themeShade="80"/>
            </w:tcBorders>
            <w:vAlign w:val="center"/>
          </w:tcPr>
          <w:p w14:paraId="2CC9C3F4" w14:textId="77777777" w:rsidR="00FA3316" w:rsidRPr="00332AB5" w:rsidRDefault="00FA3316" w:rsidP="00477407">
            <w:pPr>
              <w:spacing w:after="60"/>
              <w:jc w:val="right"/>
              <w:rPr>
                <w:sz w:val="16"/>
                <w:szCs w:val="24"/>
              </w:rPr>
            </w:pPr>
            <w:r w:rsidRPr="00332AB5">
              <w:rPr>
                <w:rFonts w:asciiTheme="minorHAnsi" w:hAnsiTheme="minorHAnsi" w:cstheme="minorHAnsi"/>
                <w:sz w:val="16"/>
              </w:rPr>
              <w:t xml:space="preserve"> %</w:t>
            </w:r>
          </w:p>
        </w:tc>
        <w:tc>
          <w:tcPr>
            <w:tcW w:w="1043" w:type="dxa"/>
            <w:tcBorders>
              <w:bottom w:val="single" w:sz="4" w:space="0" w:color="808080" w:themeColor="background1" w:themeShade="80"/>
            </w:tcBorders>
            <w:vAlign w:val="center"/>
          </w:tcPr>
          <w:p w14:paraId="536F44C7" w14:textId="77777777" w:rsidR="00FA3316" w:rsidRPr="00332AB5" w:rsidRDefault="00FA3316" w:rsidP="00477407">
            <w:pPr>
              <w:spacing w:after="60"/>
              <w:jc w:val="right"/>
              <w:rPr>
                <w:sz w:val="16"/>
                <w:szCs w:val="24"/>
              </w:rPr>
            </w:pPr>
            <w:r w:rsidRPr="00332AB5">
              <w:rPr>
                <w:rFonts w:asciiTheme="minorHAnsi" w:hAnsiTheme="minorHAnsi" w:cstheme="minorHAnsi"/>
                <w:sz w:val="16"/>
              </w:rPr>
              <w:t>Doznačena sredstva</w:t>
            </w:r>
          </w:p>
        </w:tc>
        <w:tc>
          <w:tcPr>
            <w:tcW w:w="681" w:type="dxa"/>
            <w:tcBorders>
              <w:bottom w:val="single" w:sz="4" w:space="0" w:color="808080" w:themeColor="background1" w:themeShade="80"/>
            </w:tcBorders>
            <w:vAlign w:val="center"/>
          </w:tcPr>
          <w:p w14:paraId="6EAE57AA" w14:textId="77777777" w:rsidR="00FA3316" w:rsidRPr="00332AB5" w:rsidRDefault="00FA3316" w:rsidP="00477407">
            <w:pPr>
              <w:spacing w:after="60"/>
              <w:jc w:val="right"/>
              <w:rPr>
                <w:sz w:val="16"/>
                <w:szCs w:val="24"/>
              </w:rPr>
            </w:pPr>
            <w:r w:rsidRPr="00332AB5">
              <w:rPr>
                <w:rFonts w:asciiTheme="minorHAnsi" w:hAnsiTheme="minorHAnsi" w:cstheme="minorHAnsi"/>
                <w:sz w:val="16"/>
              </w:rPr>
              <w:t xml:space="preserve"> %</w:t>
            </w:r>
          </w:p>
        </w:tc>
      </w:tr>
      <w:tr w:rsidR="00FA3316" w:rsidRPr="00332AB5" w14:paraId="6ABB044B" w14:textId="77777777" w:rsidTr="00E80EE8">
        <w:trPr>
          <w:trHeight w:val="113"/>
          <w:jc w:val="center"/>
        </w:trPr>
        <w:tc>
          <w:tcPr>
            <w:tcW w:w="1179" w:type="dxa"/>
            <w:vAlign w:val="center"/>
          </w:tcPr>
          <w:p w14:paraId="30006400" w14:textId="77777777" w:rsidR="00FA3316" w:rsidRPr="00332AB5" w:rsidRDefault="00FA3316" w:rsidP="00477407">
            <w:pPr>
              <w:rPr>
                <w:rFonts w:asciiTheme="minorHAnsi" w:hAnsiTheme="minorHAnsi" w:cstheme="minorHAnsi"/>
                <w:sz w:val="8"/>
                <w:szCs w:val="24"/>
              </w:rPr>
            </w:pPr>
          </w:p>
        </w:tc>
        <w:tc>
          <w:tcPr>
            <w:tcW w:w="998" w:type="dxa"/>
            <w:tcBorders>
              <w:top w:val="single" w:sz="4" w:space="0" w:color="808080" w:themeColor="background1" w:themeShade="80"/>
            </w:tcBorders>
            <w:vAlign w:val="center"/>
          </w:tcPr>
          <w:p w14:paraId="1A09253A" w14:textId="77777777" w:rsidR="00FA3316" w:rsidRPr="00332AB5" w:rsidRDefault="00FA3316" w:rsidP="00477407">
            <w:pPr>
              <w:jc w:val="right"/>
              <w:rPr>
                <w:rFonts w:asciiTheme="minorHAnsi" w:hAnsiTheme="minorHAnsi" w:cstheme="minorHAnsi"/>
                <w:sz w:val="8"/>
                <w:szCs w:val="24"/>
              </w:rPr>
            </w:pPr>
          </w:p>
        </w:tc>
        <w:tc>
          <w:tcPr>
            <w:tcW w:w="1089" w:type="dxa"/>
            <w:tcBorders>
              <w:top w:val="single" w:sz="4" w:space="0" w:color="808080" w:themeColor="background1" w:themeShade="80"/>
            </w:tcBorders>
            <w:vAlign w:val="center"/>
          </w:tcPr>
          <w:p w14:paraId="6BE5D1A6" w14:textId="77777777" w:rsidR="00FA3316" w:rsidRPr="00332AB5" w:rsidRDefault="00FA3316" w:rsidP="00477407">
            <w:pPr>
              <w:jc w:val="right"/>
              <w:rPr>
                <w:rFonts w:asciiTheme="minorHAnsi" w:hAnsiTheme="minorHAnsi" w:cstheme="minorHAnsi"/>
                <w:sz w:val="8"/>
                <w:szCs w:val="24"/>
              </w:rPr>
            </w:pPr>
          </w:p>
        </w:tc>
        <w:tc>
          <w:tcPr>
            <w:tcW w:w="703" w:type="dxa"/>
            <w:tcBorders>
              <w:top w:val="single" w:sz="4" w:space="0" w:color="808080" w:themeColor="background1" w:themeShade="80"/>
            </w:tcBorders>
            <w:vAlign w:val="center"/>
          </w:tcPr>
          <w:p w14:paraId="6AA8B441" w14:textId="77777777" w:rsidR="00FA3316" w:rsidRPr="00332AB5" w:rsidRDefault="00FA3316" w:rsidP="00477407">
            <w:pPr>
              <w:jc w:val="right"/>
              <w:rPr>
                <w:rFonts w:asciiTheme="minorHAnsi" w:hAnsiTheme="minorHAnsi" w:cstheme="minorHAnsi"/>
                <w:sz w:val="8"/>
                <w:szCs w:val="24"/>
              </w:rPr>
            </w:pPr>
          </w:p>
        </w:tc>
        <w:tc>
          <w:tcPr>
            <w:tcW w:w="1089" w:type="dxa"/>
            <w:tcBorders>
              <w:top w:val="single" w:sz="4" w:space="0" w:color="808080" w:themeColor="background1" w:themeShade="80"/>
            </w:tcBorders>
            <w:vAlign w:val="center"/>
          </w:tcPr>
          <w:p w14:paraId="651811A1" w14:textId="77777777" w:rsidR="00FA3316" w:rsidRPr="00332AB5" w:rsidRDefault="00FA3316" w:rsidP="00477407">
            <w:pPr>
              <w:jc w:val="right"/>
              <w:rPr>
                <w:rFonts w:asciiTheme="minorHAnsi" w:hAnsiTheme="minorHAnsi" w:cstheme="minorHAnsi"/>
                <w:sz w:val="8"/>
                <w:szCs w:val="24"/>
              </w:rPr>
            </w:pPr>
          </w:p>
        </w:tc>
        <w:tc>
          <w:tcPr>
            <w:tcW w:w="754" w:type="dxa"/>
            <w:tcBorders>
              <w:top w:val="single" w:sz="4" w:space="0" w:color="808080" w:themeColor="background1" w:themeShade="80"/>
            </w:tcBorders>
            <w:vAlign w:val="center"/>
          </w:tcPr>
          <w:p w14:paraId="67693C88" w14:textId="77777777" w:rsidR="00FA3316" w:rsidRPr="00332AB5" w:rsidRDefault="00FA3316" w:rsidP="00477407">
            <w:pPr>
              <w:jc w:val="right"/>
              <w:rPr>
                <w:rFonts w:asciiTheme="minorHAnsi" w:hAnsiTheme="minorHAnsi" w:cstheme="minorHAnsi"/>
                <w:sz w:val="8"/>
                <w:szCs w:val="24"/>
              </w:rPr>
            </w:pPr>
          </w:p>
        </w:tc>
        <w:tc>
          <w:tcPr>
            <w:tcW w:w="1015" w:type="dxa"/>
            <w:tcBorders>
              <w:top w:val="single" w:sz="4" w:space="0" w:color="808080" w:themeColor="background1" w:themeShade="80"/>
            </w:tcBorders>
            <w:vAlign w:val="center"/>
          </w:tcPr>
          <w:p w14:paraId="4B440E96" w14:textId="77777777" w:rsidR="00FA3316" w:rsidRPr="00332AB5" w:rsidRDefault="00FA3316" w:rsidP="00477407">
            <w:pPr>
              <w:jc w:val="right"/>
              <w:rPr>
                <w:rFonts w:asciiTheme="minorHAnsi" w:hAnsiTheme="minorHAnsi" w:cstheme="minorHAnsi"/>
                <w:sz w:val="8"/>
                <w:szCs w:val="24"/>
              </w:rPr>
            </w:pPr>
          </w:p>
        </w:tc>
        <w:tc>
          <w:tcPr>
            <w:tcW w:w="635" w:type="dxa"/>
            <w:tcBorders>
              <w:top w:val="single" w:sz="4" w:space="0" w:color="808080" w:themeColor="background1" w:themeShade="80"/>
            </w:tcBorders>
            <w:vAlign w:val="center"/>
          </w:tcPr>
          <w:p w14:paraId="0CF080E3" w14:textId="77777777" w:rsidR="00FA3316" w:rsidRPr="00332AB5" w:rsidRDefault="00FA3316" w:rsidP="00477407">
            <w:pPr>
              <w:jc w:val="right"/>
              <w:rPr>
                <w:rFonts w:asciiTheme="minorHAnsi" w:hAnsiTheme="minorHAnsi" w:cstheme="minorHAnsi"/>
                <w:sz w:val="8"/>
                <w:szCs w:val="24"/>
              </w:rPr>
            </w:pPr>
          </w:p>
        </w:tc>
        <w:tc>
          <w:tcPr>
            <w:tcW w:w="1043" w:type="dxa"/>
            <w:tcBorders>
              <w:top w:val="single" w:sz="4" w:space="0" w:color="808080" w:themeColor="background1" w:themeShade="80"/>
            </w:tcBorders>
            <w:vAlign w:val="center"/>
          </w:tcPr>
          <w:p w14:paraId="018D49A1" w14:textId="77777777" w:rsidR="00FA3316" w:rsidRPr="00332AB5" w:rsidRDefault="00FA3316" w:rsidP="00477407">
            <w:pPr>
              <w:jc w:val="right"/>
              <w:rPr>
                <w:rFonts w:asciiTheme="minorHAnsi" w:hAnsiTheme="minorHAnsi" w:cstheme="minorHAnsi"/>
                <w:sz w:val="8"/>
                <w:szCs w:val="24"/>
              </w:rPr>
            </w:pPr>
          </w:p>
        </w:tc>
        <w:tc>
          <w:tcPr>
            <w:tcW w:w="681" w:type="dxa"/>
            <w:tcBorders>
              <w:top w:val="single" w:sz="4" w:space="0" w:color="808080" w:themeColor="background1" w:themeShade="80"/>
            </w:tcBorders>
            <w:vAlign w:val="center"/>
          </w:tcPr>
          <w:p w14:paraId="244E4BB4" w14:textId="77777777" w:rsidR="00FA3316" w:rsidRPr="00332AB5" w:rsidRDefault="00FA3316" w:rsidP="00477407">
            <w:pPr>
              <w:jc w:val="right"/>
              <w:rPr>
                <w:rFonts w:asciiTheme="minorHAnsi" w:hAnsiTheme="minorHAnsi" w:cstheme="minorHAnsi"/>
                <w:sz w:val="8"/>
                <w:szCs w:val="24"/>
              </w:rPr>
            </w:pPr>
          </w:p>
        </w:tc>
      </w:tr>
      <w:tr w:rsidR="0027529D" w:rsidRPr="00332AB5" w14:paraId="03218A13" w14:textId="77777777" w:rsidTr="00E80EE8">
        <w:trPr>
          <w:trHeight w:val="397"/>
          <w:jc w:val="center"/>
        </w:trPr>
        <w:tc>
          <w:tcPr>
            <w:tcW w:w="1179" w:type="dxa"/>
            <w:vAlign w:val="center"/>
          </w:tcPr>
          <w:p w14:paraId="23A096AA" w14:textId="77777777" w:rsidR="0027529D" w:rsidRPr="00332AB5" w:rsidRDefault="0027529D" w:rsidP="0027529D">
            <w:pPr>
              <w:rPr>
                <w:rFonts w:asciiTheme="minorHAnsi" w:hAnsiTheme="minorHAnsi" w:cstheme="minorHAnsi"/>
                <w:sz w:val="18"/>
                <w:szCs w:val="18"/>
              </w:rPr>
            </w:pPr>
            <w:r w:rsidRPr="00332AB5">
              <w:rPr>
                <w:rFonts w:asciiTheme="minorHAnsi" w:hAnsiTheme="minorHAnsi" w:cstheme="minorHAnsi"/>
                <w:sz w:val="18"/>
                <w:szCs w:val="18"/>
              </w:rPr>
              <w:t>MD 1</w:t>
            </w:r>
          </w:p>
        </w:tc>
        <w:tc>
          <w:tcPr>
            <w:tcW w:w="998" w:type="dxa"/>
            <w:vAlign w:val="center"/>
          </w:tcPr>
          <w:p w14:paraId="62C0B8A5" w14:textId="6BF63803" w:rsidR="0027529D" w:rsidRPr="00332AB5" w:rsidRDefault="0027529D" w:rsidP="0027529D">
            <w:pPr>
              <w:jc w:val="right"/>
              <w:rPr>
                <w:rFonts w:asciiTheme="minorHAnsi" w:hAnsiTheme="minorHAnsi" w:cstheme="minorHAnsi"/>
                <w:sz w:val="18"/>
                <w:szCs w:val="18"/>
              </w:rPr>
            </w:pPr>
            <w:r w:rsidRPr="00332AB5">
              <w:rPr>
                <w:rFonts w:asciiTheme="minorHAnsi" w:hAnsiTheme="minorHAnsi" w:cstheme="minorBidi"/>
                <w:sz w:val="18"/>
                <w:szCs w:val="18"/>
              </w:rPr>
              <w:t>36,58</w:t>
            </w:r>
          </w:p>
        </w:tc>
        <w:tc>
          <w:tcPr>
            <w:tcW w:w="1089" w:type="dxa"/>
            <w:vAlign w:val="center"/>
          </w:tcPr>
          <w:p w14:paraId="16787752" w14:textId="58988589" w:rsidR="0027529D" w:rsidRPr="00332AB5" w:rsidRDefault="0027529D" w:rsidP="0027529D">
            <w:pPr>
              <w:spacing w:line="259" w:lineRule="auto"/>
              <w:jc w:val="right"/>
              <w:rPr>
                <w:rFonts w:ascii="Calibri" w:eastAsia="Calibri" w:hAnsi="Calibri" w:cs="Calibri"/>
                <w:sz w:val="18"/>
                <w:szCs w:val="18"/>
              </w:rPr>
            </w:pPr>
            <w:r w:rsidRPr="00332AB5">
              <w:rPr>
                <w:rFonts w:asciiTheme="minorHAnsi" w:hAnsiTheme="minorHAnsi" w:cstheme="minorBidi"/>
                <w:color w:val="000000" w:themeColor="text1"/>
                <w:sz w:val="18"/>
                <w:szCs w:val="18"/>
              </w:rPr>
              <w:t>-3,77</w:t>
            </w:r>
          </w:p>
        </w:tc>
        <w:tc>
          <w:tcPr>
            <w:tcW w:w="703" w:type="dxa"/>
            <w:vAlign w:val="center"/>
          </w:tcPr>
          <w:p w14:paraId="2686556A" w14:textId="52D7B719" w:rsidR="0027529D" w:rsidRPr="00332AB5" w:rsidRDefault="0027529D" w:rsidP="0027529D">
            <w:pPr>
              <w:spacing w:line="259" w:lineRule="auto"/>
              <w:jc w:val="right"/>
              <w:rPr>
                <w:rFonts w:ascii="Calibri" w:eastAsia="Calibri" w:hAnsi="Calibri" w:cs="Calibri"/>
                <w:sz w:val="18"/>
                <w:szCs w:val="18"/>
              </w:rPr>
            </w:pPr>
            <w:r w:rsidRPr="00332AB5">
              <w:rPr>
                <w:rFonts w:asciiTheme="minorHAnsi" w:hAnsiTheme="minorHAnsi" w:cstheme="minorBidi"/>
                <w:color w:val="000000" w:themeColor="text1"/>
                <w:sz w:val="18"/>
                <w:szCs w:val="18"/>
              </w:rPr>
              <w:t>-10,31</w:t>
            </w:r>
          </w:p>
        </w:tc>
        <w:tc>
          <w:tcPr>
            <w:tcW w:w="1089" w:type="dxa"/>
            <w:vAlign w:val="center"/>
          </w:tcPr>
          <w:p w14:paraId="0A878812" w14:textId="3D9192C9" w:rsidR="0027529D" w:rsidRPr="00332AB5" w:rsidRDefault="0027529D" w:rsidP="0027529D">
            <w:pPr>
              <w:spacing w:line="259" w:lineRule="auto"/>
              <w:jc w:val="right"/>
              <w:rPr>
                <w:rFonts w:ascii="Calibri" w:eastAsia="Calibri" w:hAnsi="Calibri" w:cs="Calibri"/>
                <w:sz w:val="18"/>
                <w:szCs w:val="18"/>
              </w:rPr>
            </w:pPr>
            <w:r w:rsidRPr="00332AB5">
              <w:rPr>
                <w:rFonts w:asciiTheme="minorHAnsi" w:hAnsiTheme="minorHAnsi" w:cstheme="minorBidi"/>
                <w:color w:val="000000" w:themeColor="text1"/>
                <w:sz w:val="18"/>
                <w:szCs w:val="18"/>
              </w:rPr>
              <w:t>3,04</w:t>
            </w:r>
          </w:p>
        </w:tc>
        <w:tc>
          <w:tcPr>
            <w:tcW w:w="754" w:type="dxa"/>
            <w:shd w:val="clear" w:color="auto" w:fill="auto"/>
            <w:vAlign w:val="center"/>
          </w:tcPr>
          <w:p w14:paraId="0C7BD5BC" w14:textId="1892C4E4" w:rsidR="0027529D" w:rsidRPr="00332AB5" w:rsidRDefault="0027529D" w:rsidP="0027529D">
            <w:pPr>
              <w:spacing w:line="259" w:lineRule="auto"/>
              <w:jc w:val="right"/>
              <w:rPr>
                <w:rFonts w:asciiTheme="minorHAnsi" w:eastAsia="Calibri" w:hAnsiTheme="minorHAnsi" w:cstheme="minorBidi"/>
                <w:sz w:val="18"/>
                <w:szCs w:val="18"/>
              </w:rPr>
            </w:pPr>
            <w:r w:rsidRPr="00332AB5">
              <w:rPr>
                <w:rFonts w:asciiTheme="minorHAnsi" w:hAnsiTheme="minorHAnsi" w:cstheme="minorBidi"/>
                <w:color w:val="000000" w:themeColor="text1"/>
                <w:sz w:val="18"/>
                <w:szCs w:val="18"/>
              </w:rPr>
              <w:t>8,32</w:t>
            </w:r>
          </w:p>
        </w:tc>
        <w:tc>
          <w:tcPr>
            <w:tcW w:w="1015" w:type="dxa"/>
            <w:vAlign w:val="center"/>
          </w:tcPr>
          <w:p w14:paraId="05C353CF" w14:textId="525F07DE" w:rsidR="0027529D" w:rsidRPr="00332AB5" w:rsidRDefault="0027529D" w:rsidP="0027529D">
            <w:pPr>
              <w:spacing w:line="259" w:lineRule="auto"/>
              <w:jc w:val="right"/>
              <w:rPr>
                <w:rFonts w:ascii="Calibri" w:eastAsia="Calibri" w:hAnsi="Calibri" w:cs="Calibri"/>
                <w:sz w:val="18"/>
                <w:szCs w:val="18"/>
              </w:rPr>
            </w:pPr>
            <w:r w:rsidRPr="00332AB5">
              <w:rPr>
                <w:rFonts w:ascii="Calibri" w:eastAsia="Calibri" w:hAnsi="Calibri" w:cs="Calibri"/>
                <w:sz w:val="18"/>
                <w:szCs w:val="18"/>
              </w:rPr>
              <w:t>0,00</w:t>
            </w:r>
          </w:p>
        </w:tc>
        <w:tc>
          <w:tcPr>
            <w:tcW w:w="635" w:type="dxa"/>
            <w:vAlign w:val="center"/>
          </w:tcPr>
          <w:p w14:paraId="3172DCC1" w14:textId="64468D9C" w:rsidR="0027529D" w:rsidRPr="00332AB5" w:rsidRDefault="0027529D" w:rsidP="0027529D">
            <w:pPr>
              <w:spacing w:line="259" w:lineRule="auto"/>
              <w:jc w:val="right"/>
              <w:rPr>
                <w:rFonts w:ascii="Calibri" w:eastAsia="Calibri" w:hAnsi="Calibri" w:cs="Calibri"/>
                <w:sz w:val="18"/>
                <w:szCs w:val="18"/>
              </w:rPr>
            </w:pPr>
            <w:r w:rsidRPr="00332AB5">
              <w:rPr>
                <w:rFonts w:ascii="Calibri" w:eastAsia="Calibri" w:hAnsi="Calibri" w:cs="Calibri"/>
                <w:sz w:val="18"/>
                <w:szCs w:val="18"/>
              </w:rPr>
              <w:t>0,00</w:t>
            </w:r>
          </w:p>
        </w:tc>
        <w:tc>
          <w:tcPr>
            <w:tcW w:w="1043" w:type="dxa"/>
            <w:vAlign w:val="center"/>
          </w:tcPr>
          <w:p w14:paraId="1E8BA691" w14:textId="77777777" w:rsidR="0027529D" w:rsidRPr="00332AB5" w:rsidRDefault="0027529D" w:rsidP="0027529D">
            <w:pPr>
              <w:jc w:val="right"/>
              <w:rPr>
                <w:rFonts w:asciiTheme="minorHAnsi" w:hAnsiTheme="minorHAnsi" w:cstheme="minorHAnsi"/>
                <w:sz w:val="18"/>
                <w:szCs w:val="18"/>
              </w:rPr>
            </w:pPr>
          </w:p>
        </w:tc>
        <w:tc>
          <w:tcPr>
            <w:tcW w:w="681" w:type="dxa"/>
            <w:vAlign w:val="center"/>
          </w:tcPr>
          <w:p w14:paraId="6E81C2F8" w14:textId="77777777" w:rsidR="0027529D" w:rsidRPr="00332AB5" w:rsidRDefault="0027529D" w:rsidP="0027529D">
            <w:pPr>
              <w:jc w:val="right"/>
              <w:rPr>
                <w:rFonts w:asciiTheme="minorHAnsi" w:hAnsiTheme="minorHAnsi" w:cstheme="minorHAnsi"/>
                <w:sz w:val="18"/>
                <w:szCs w:val="18"/>
              </w:rPr>
            </w:pPr>
          </w:p>
        </w:tc>
      </w:tr>
      <w:tr w:rsidR="0027529D" w:rsidRPr="00332AB5" w14:paraId="6BB695E3" w14:textId="77777777" w:rsidTr="00E80EE8">
        <w:trPr>
          <w:trHeight w:val="397"/>
          <w:jc w:val="center"/>
        </w:trPr>
        <w:tc>
          <w:tcPr>
            <w:tcW w:w="1179" w:type="dxa"/>
            <w:vAlign w:val="center"/>
          </w:tcPr>
          <w:p w14:paraId="38BAB69F" w14:textId="77777777" w:rsidR="0027529D" w:rsidRPr="00332AB5" w:rsidRDefault="0027529D" w:rsidP="0027529D">
            <w:pPr>
              <w:rPr>
                <w:rFonts w:asciiTheme="minorHAnsi" w:hAnsiTheme="minorHAnsi" w:cstheme="minorHAnsi"/>
                <w:sz w:val="18"/>
                <w:szCs w:val="18"/>
              </w:rPr>
            </w:pPr>
            <w:r w:rsidRPr="00332AB5">
              <w:rPr>
                <w:rFonts w:asciiTheme="minorHAnsi" w:hAnsiTheme="minorHAnsi" w:cstheme="minorHAnsi"/>
                <w:sz w:val="18"/>
                <w:szCs w:val="18"/>
              </w:rPr>
              <w:t>MD 2</w:t>
            </w:r>
          </w:p>
        </w:tc>
        <w:tc>
          <w:tcPr>
            <w:tcW w:w="998" w:type="dxa"/>
            <w:vAlign w:val="center"/>
          </w:tcPr>
          <w:p w14:paraId="6DFCC2AF" w14:textId="011ED9C0" w:rsidR="0027529D" w:rsidRPr="00332AB5" w:rsidRDefault="0027529D" w:rsidP="0027529D">
            <w:pPr>
              <w:jc w:val="right"/>
              <w:rPr>
                <w:rFonts w:asciiTheme="minorHAnsi" w:hAnsiTheme="minorHAnsi" w:cstheme="minorHAnsi"/>
                <w:sz w:val="18"/>
                <w:szCs w:val="18"/>
              </w:rPr>
            </w:pPr>
            <w:r w:rsidRPr="00332AB5">
              <w:rPr>
                <w:rFonts w:asciiTheme="minorHAnsi" w:hAnsiTheme="minorHAnsi" w:cstheme="minorBidi"/>
                <w:sz w:val="18"/>
                <w:szCs w:val="18"/>
              </w:rPr>
              <w:t>7,71</w:t>
            </w:r>
          </w:p>
        </w:tc>
        <w:tc>
          <w:tcPr>
            <w:tcW w:w="1089" w:type="dxa"/>
            <w:vAlign w:val="center"/>
          </w:tcPr>
          <w:p w14:paraId="14C5AB03" w14:textId="60628C38" w:rsidR="0027529D" w:rsidRPr="00332AB5" w:rsidRDefault="0027529D" w:rsidP="0027529D">
            <w:pPr>
              <w:jc w:val="right"/>
              <w:rPr>
                <w:rFonts w:asciiTheme="minorHAnsi" w:hAnsiTheme="minorHAnsi" w:cstheme="minorBidi"/>
                <w:sz w:val="18"/>
                <w:szCs w:val="18"/>
              </w:rPr>
            </w:pPr>
            <w:r w:rsidRPr="00332AB5">
              <w:rPr>
                <w:rFonts w:asciiTheme="minorHAnsi" w:hAnsiTheme="minorHAnsi" w:cstheme="minorBidi"/>
                <w:color w:val="000000" w:themeColor="text1"/>
                <w:sz w:val="18"/>
                <w:szCs w:val="18"/>
              </w:rPr>
              <w:t>1,7</w:t>
            </w:r>
          </w:p>
        </w:tc>
        <w:tc>
          <w:tcPr>
            <w:tcW w:w="703" w:type="dxa"/>
            <w:vAlign w:val="center"/>
          </w:tcPr>
          <w:p w14:paraId="7E3E5A3E" w14:textId="0005745A" w:rsidR="0027529D" w:rsidRPr="00332AB5" w:rsidRDefault="0027529D" w:rsidP="0027529D">
            <w:pPr>
              <w:jc w:val="right"/>
              <w:rPr>
                <w:rFonts w:asciiTheme="minorHAnsi" w:hAnsiTheme="minorHAnsi" w:cstheme="minorBidi"/>
                <w:sz w:val="18"/>
                <w:szCs w:val="18"/>
              </w:rPr>
            </w:pPr>
            <w:r w:rsidRPr="00332AB5">
              <w:rPr>
                <w:rFonts w:asciiTheme="minorHAnsi" w:hAnsiTheme="minorHAnsi" w:cstheme="minorBidi"/>
                <w:color w:val="000000" w:themeColor="text1"/>
                <w:sz w:val="18"/>
                <w:szCs w:val="18"/>
              </w:rPr>
              <w:t>22,05</w:t>
            </w:r>
          </w:p>
        </w:tc>
        <w:tc>
          <w:tcPr>
            <w:tcW w:w="1089" w:type="dxa"/>
            <w:vAlign w:val="center"/>
          </w:tcPr>
          <w:p w14:paraId="3918F9A8" w14:textId="6C022068" w:rsidR="0027529D" w:rsidRPr="00332AB5" w:rsidRDefault="0027529D" w:rsidP="0027529D">
            <w:pPr>
              <w:spacing w:line="259" w:lineRule="auto"/>
              <w:jc w:val="right"/>
              <w:rPr>
                <w:rFonts w:asciiTheme="minorHAnsi" w:eastAsia="Calibri" w:hAnsiTheme="minorHAnsi" w:cstheme="minorBidi"/>
                <w:sz w:val="18"/>
                <w:szCs w:val="18"/>
              </w:rPr>
            </w:pPr>
            <w:r w:rsidRPr="00332AB5">
              <w:rPr>
                <w:rFonts w:asciiTheme="minorHAnsi" w:hAnsiTheme="minorHAnsi" w:cstheme="minorBidi"/>
                <w:color w:val="000000" w:themeColor="text1"/>
                <w:sz w:val="18"/>
                <w:szCs w:val="18"/>
              </w:rPr>
              <w:t>1,42</w:t>
            </w:r>
          </w:p>
        </w:tc>
        <w:tc>
          <w:tcPr>
            <w:tcW w:w="754" w:type="dxa"/>
            <w:vAlign w:val="center"/>
          </w:tcPr>
          <w:p w14:paraId="0E2E62B3" w14:textId="71909B35" w:rsidR="0027529D" w:rsidRPr="00332AB5" w:rsidRDefault="0027529D" w:rsidP="0027529D">
            <w:pPr>
              <w:spacing w:line="259" w:lineRule="auto"/>
              <w:jc w:val="right"/>
              <w:rPr>
                <w:rFonts w:asciiTheme="minorHAnsi" w:eastAsia="Calibri" w:hAnsiTheme="minorHAnsi" w:cstheme="minorBidi"/>
                <w:sz w:val="18"/>
                <w:szCs w:val="18"/>
              </w:rPr>
            </w:pPr>
            <w:r w:rsidRPr="00332AB5">
              <w:rPr>
                <w:rFonts w:asciiTheme="minorHAnsi" w:hAnsiTheme="minorHAnsi" w:cstheme="minorBidi"/>
                <w:color w:val="000000" w:themeColor="text1"/>
                <w:sz w:val="18"/>
                <w:szCs w:val="18"/>
              </w:rPr>
              <w:t>18,42</w:t>
            </w:r>
          </w:p>
        </w:tc>
        <w:tc>
          <w:tcPr>
            <w:tcW w:w="1015" w:type="dxa"/>
            <w:vAlign w:val="center"/>
          </w:tcPr>
          <w:p w14:paraId="248D1724" w14:textId="1B2BABB6" w:rsidR="0027529D" w:rsidRPr="00332AB5" w:rsidRDefault="0027529D" w:rsidP="0027529D">
            <w:pPr>
              <w:spacing w:line="259" w:lineRule="auto"/>
              <w:jc w:val="right"/>
              <w:rPr>
                <w:rFonts w:ascii="Calibri" w:eastAsia="Calibri" w:hAnsi="Calibri" w:cs="Calibri"/>
                <w:sz w:val="18"/>
                <w:szCs w:val="18"/>
              </w:rPr>
            </w:pPr>
            <w:r w:rsidRPr="00332AB5">
              <w:rPr>
                <w:rFonts w:ascii="Calibri" w:eastAsia="Calibri" w:hAnsi="Calibri" w:cs="Calibri"/>
                <w:sz w:val="18"/>
                <w:szCs w:val="18"/>
              </w:rPr>
              <w:t>0,00</w:t>
            </w:r>
          </w:p>
        </w:tc>
        <w:tc>
          <w:tcPr>
            <w:tcW w:w="635" w:type="dxa"/>
            <w:vAlign w:val="center"/>
          </w:tcPr>
          <w:p w14:paraId="53BD76B3" w14:textId="0FE7E83B" w:rsidR="0027529D" w:rsidRPr="00332AB5" w:rsidRDefault="0027529D" w:rsidP="0027529D">
            <w:pPr>
              <w:spacing w:line="259" w:lineRule="auto"/>
              <w:jc w:val="right"/>
              <w:rPr>
                <w:rFonts w:ascii="Calibri" w:eastAsia="Calibri" w:hAnsi="Calibri" w:cs="Calibri"/>
                <w:sz w:val="18"/>
                <w:szCs w:val="18"/>
              </w:rPr>
            </w:pPr>
            <w:r w:rsidRPr="00332AB5">
              <w:rPr>
                <w:rFonts w:ascii="Calibri" w:eastAsia="Calibri" w:hAnsi="Calibri" w:cs="Calibri"/>
                <w:sz w:val="18"/>
                <w:szCs w:val="18"/>
              </w:rPr>
              <w:t>0,00</w:t>
            </w:r>
          </w:p>
        </w:tc>
        <w:tc>
          <w:tcPr>
            <w:tcW w:w="1043" w:type="dxa"/>
            <w:vAlign w:val="center"/>
          </w:tcPr>
          <w:p w14:paraId="267F9AD4" w14:textId="77777777" w:rsidR="0027529D" w:rsidRPr="00332AB5" w:rsidRDefault="0027529D" w:rsidP="0027529D">
            <w:pPr>
              <w:jc w:val="right"/>
              <w:rPr>
                <w:rFonts w:asciiTheme="minorHAnsi" w:hAnsiTheme="minorHAnsi" w:cstheme="minorHAnsi"/>
                <w:sz w:val="18"/>
                <w:szCs w:val="18"/>
              </w:rPr>
            </w:pPr>
          </w:p>
        </w:tc>
        <w:tc>
          <w:tcPr>
            <w:tcW w:w="681" w:type="dxa"/>
            <w:vAlign w:val="center"/>
          </w:tcPr>
          <w:p w14:paraId="08637CC7" w14:textId="77777777" w:rsidR="0027529D" w:rsidRPr="00332AB5" w:rsidRDefault="0027529D" w:rsidP="0027529D">
            <w:pPr>
              <w:jc w:val="right"/>
              <w:rPr>
                <w:rFonts w:asciiTheme="minorHAnsi" w:hAnsiTheme="minorHAnsi" w:cstheme="minorHAnsi"/>
                <w:sz w:val="18"/>
                <w:szCs w:val="18"/>
              </w:rPr>
            </w:pPr>
          </w:p>
        </w:tc>
      </w:tr>
      <w:tr w:rsidR="0027529D" w:rsidRPr="00332AB5" w14:paraId="35CFBE90" w14:textId="77777777" w:rsidTr="00EE30CE">
        <w:trPr>
          <w:trHeight w:val="397"/>
          <w:jc w:val="center"/>
        </w:trPr>
        <w:tc>
          <w:tcPr>
            <w:tcW w:w="1179" w:type="dxa"/>
            <w:vAlign w:val="center"/>
          </w:tcPr>
          <w:p w14:paraId="56A11D20" w14:textId="77777777" w:rsidR="0027529D" w:rsidRPr="00332AB5" w:rsidRDefault="0027529D" w:rsidP="0027529D">
            <w:pPr>
              <w:rPr>
                <w:rFonts w:asciiTheme="minorHAnsi" w:hAnsiTheme="minorHAnsi" w:cstheme="minorHAnsi"/>
                <w:sz w:val="18"/>
                <w:szCs w:val="18"/>
              </w:rPr>
            </w:pPr>
            <w:r w:rsidRPr="00332AB5">
              <w:rPr>
                <w:rFonts w:asciiTheme="minorHAnsi" w:hAnsiTheme="minorHAnsi" w:cstheme="minorHAnsi"/>
                <w:sz w:val="18"/>
                <w:szCs w:val="18"/>
              </w:rPr>
              <w:t>TP</w:t>
            </w:r>
          </w:p>
        </w:tc>
        <w:tc>
          <w:tcPr>
            <w:tcW w:w="998" w:type="dxa"/>
            <w:tcBorders>
              <w:bottom w:val="single" w:sz="4" w:space="0" w:color="808080" w:themeColor="background1" w:themeShade="80"/>
            </w:tcBorders>
            <w:vAlign w:val="center"/>
          </w:tcPr>
          <w:p w14:paraId="7DE7319C" w14:textId="75B5DCE4" w:rsidR="0027529D" w:rsidRPr="00332AB5" w:rsidRDefault="0027529D" w:rsidP="0027529D">
            <w:pPr>
              <w:jc w:val="right"/>
              <w:rPr>
                <w:rFonts w:asciiTheme="minorHAnsi" w:hAnsiTheme="minorHAnsi" w:cstheme="minorHAnsi"/>
                <w:sz w:val="18"/>
                <w:szCs w:val="18"/>
              </w:rPr>
            </w:pPr>
            <w:r w:rsidRPr="00332AB5">
              <w:rPr>
                <w:rFonts w:asciiTheme="minorHAnsi" w:hAnsiTheme="minorHAnsi" w:cstheme="minorBidi"/>
                <w:sz w:val="18"/>
                <w:szCs w:val="18"/>
              </w:rPr>
              <w:t>2,33</w:t>
            </w:r>
          </w:p>
        </w:tc>
        <w:tc>
          <w:tcPr>
            <w:tcW w:w="1089" w:type="dxa"/>
            <w:tcBorders>
              <w:bottom w:val="single" w:sz="4" w:space="0" w:color="808080" w:themeColor="background1" w:themeShade="80"/>
            </w:tcBorders>
            <w:vAlign w:val="center"/>
          </w:tcPr>
          <w:p w14:paraId="29671779" w14:textId="6EAB5406" w:rsidR="0027529D" w:rsidRPr="00332AB5" w:rsidRDefault="0027529D" w:rsidP="0027529D">
            <w:pPr>
              <w:spacing w:line="259" w:lineRule="auto"/>
              <w:jc w:val="right"/>
              <w:rPr>
                <w:rFonts w:ascii="Calibri" w:eastAsia="Calibri" w:hAnsi="Calibri" w:cs="Calibri"/>
                <w:sz w:val="18"/>
                <w:szCs w:val="18"/>
              </w:rPr>
            </w:pPr>
            <w:r w:rsidRPr="00332AB5">
              <w:rPr>
                <w:rFonts w:asciiTheme="minorHAnsi" w:hAnsiTheme="minorHAnsi" w:cstheme="minorBidi"/>
                <w:color w:val="000000" w:themeColor="text1"/>
                <w:sz w:val="18"/>
                <w:szCs w:val="18"/>
              </w:rPr>
              <w:t>-0,13</w:t>
            </w:r>
          </w:p>
        </w:tc>
        <w:tc>
          <w:tcPr>
            <w:tcW w:w="703" w:type="dxa"/>
            <w:tcBorders>
              <w:bottom w:val="single" w:sz="4" w:space="0" w:color="808080" w:themeColor="background1" w:themeShade="80"/>
            </w:tcBorders>
            <w:vAlign w:val="center"/>
          </w:tcPr>
          <w:p w14:paraId="72FC42B6" w14:textId="093D2CBC" w:rsidR="0027529D" w:rsidRPr="00332AB5" w:rsidRDefault="0027529D" w:rsidP="0027529D">
            <w:pPr>
              <w:spacing w:line="259" w:lineRule="auto"/>
              <w:jc w:val="right"/>
              <w:rPr>
                <w:rFonts w:ascii="Calibri" w:eastAsia="Calibri" w:hAnsi="Calibri" w:cs="Calibri"/>
                <w:sz w:val="18"/>
                <w:szCs w:val="18"/>
              </w:rPr>
            </w:pPr>
            <w:r w:rsidRPr="00332AB5">
              <w:rPr>
                <w:rFonts w:asciiTheme="minorHAnsi" w:hAnsiTheme="minorHAnsi" w:cstheme="minorBidi"/>
                <w:color w:val="000000" w:themeColor="text1"/>
                <w:sz w:val="18"/>
                <w:szCs w:val="18"/>
              </w:rPr>
              <w:t>-5,58</w:t>
            </w:r>
          </w:p>
        </w:tc>
        <w:tc>
          <w:tcPr>
            <w:tcW w:w="1089" w:type="dxa"/>
            <w:tcBorders>
              <w:bottom w:val="single" w:sz="4" w:space="0" w:color="808080" w:themeColor="background1" w:themeShade="80"/>
            </w:tcBorders>
            <w:vAlign w:val="center"/>
          </w:tcPr>
          <w:p w14:paraId="52984471" w14:textId="4BC30885" w:rsidR="0027529D" w:rsidRPr="00332AB5" w:rsidRDefault="0027529D" w:rsidP="0027529D">
            <w:pPr>
              <w:jc w:val="right"/>
              <w:rPr>
                <w:rFonts w:asciiTheme="minorHAnsi" w:hAnsiTheme="minorHAnsi" w:cstheme="minorBidi"/>
                <w:sz w:val="18"/>
                <w:szCs w:val="18"/>
              </w:rPr>
            </w:pPr>
            <w:r w:rsidRPr="00332AB5">
              <w:rPr>
                <w:rFonts w:asciiTheme="minorHAnsi" w:hAnsiTheme="minorHAnsi" w:cstheme="minorBidi"/>
                <w:color w:val="000000" w:themeColor="text1"/>
                <w:sz w:val="18"/>
                <w:szCs w:val="18"/>
              </w:rPr>
              <w:t>0,10</w:t>
            </w:r>
          </w:p>
        </w:tc>
        <w:tc>
          <w:tcPr>
            <w:tcW w:w="754" w:type="dxa"/>
            <w:tcBorders>
              <w:bottom w:val="single" w:sz="4" w:space="0" w:color="808080" w:themeColor="background1" w:themeShade="80"/>
            </w:tcBorders>
            <w:vAlign w:val="center"/>
          </w:tcPr>
          <w:p w14:paraId="36867480" w14:textId="44CE9F0A" w:rsidR="0027529D" w:rsidRPr="00332AB5" w:rsidRDefault="0027529D" w:rsidP="0027529D">
            <w:pPr>
              <w:spacing w:line="259" w:lineRule="auto"/>
              <w:jc w:val="right"/>
              <w:rPr>
                <w:rFonts w:asciiTheme="minorHAnsi" w:eastAsia="Calibri" w:hAnsiTheme="minorHAnsi" w:cstheme="minorBidi"/>
                <w:sz w:val="18"/>
                <w:szCs w:val="18"/>
              </w:rPr>
            </w:pPr>
            <w:r w:rsidRPr="00332AB5">
              <w:rPr>
                <w:rFonts w:asciiTheme="minorHAnsi" w:hAnsiTheme="minorHAnsi" w:cstheme="minorBidi"/>
                <w:color w:val="000000" w:themeColor="text1"/>
                <w:sz w:val="18"/>
                <w:szCs w:val="18"/>
              </w:rPr>
              <w:t>4,29</w:t>
            </w:r>
          </w:p>
        </w:tc>
        <w:tc>
          <w:tcPr>
            <w:tcW w:w="1015" w:type="dxa"/>
            <w:tcBorders>
              <w:bottom w:val="single" w:sz="4" w:space="0" w:color="808080" w:themeColor="background1" w:themeShade="80"/>
            </w:tcBorders>
            <w:vAlign w:val="center"/>
          </w:tcPr>
          <w:p w14:paraId="5F3016FC" w14:textId="4348BE35" w:rsidR="0027529D" w:rsidRPr="00332AB5" w:rsidRDefault="0027529D" w:rsidP="0027529D">
            <w:pPr>
              <w:spacing w:line="259" w:lineRule="auto"/>
              <w:jc w:val="right"/>
              <w:rPr>
                <w:rFonts w:ascii="Calibri" w:eastAsia="Calibri" w:hAnsi="Calibri" w:cs="Calibri"/>
                <w:sz w:val="18"/>
                <w:szCs w:val="18"/>
              </w:rPr>
            </w:pPr>
            <w:r w:rsidRPr="00332AB5">
              <w:rPr>
                <w:rFonts w:ascii="Calibri" w:eastAsia="Calibri" w:hAnsi="Calibri" w:cs="Calibri"/>
                <w:sz w:val="18"/>
                <w:szCs w:val="18"/>
              </w:rPr>
              <w:t>0,00</w:t>
            </w:r>
          </w:p>
        </w:tc>
        <w:tc>
          <w:tcPr>
            <w:tcW w:w="635" w:type="dxa"/>
            <w:tcBorders>
              <w:bottom w:val="single" w:sz="4" w:space="0" w:color="808080" w:themeColor="background1" w:themeShade="80"/>
            </w:tcBorders>
            <w:vAlign w:val="center"/>
          </w:tcPr>
          <w:p w14:paraId="52EE9C22" w14:textId="5106C431" w:rsidR="0027529D" w:rsidRPr="00332AB5" w:rsidRDefault="0027529D" w:rsidP="0027529D">
            <w:pPr>
              <w:spacing w:line="259" w:lineRule="auto"/>
              <w:jc w:val="right"/>
              <w:rPr>
                <w:rFonts w:ascii="Calibri" w:eastAsia="Calibri" w:hAnsi="Calibri" w:cs="Calibri"/>
                <w:sz w:val="18"/>
                <w:szCs w:val="18"/>
              </w:rPr>
            </w:pPr>
            <w:r w:rsidRPr="00332AB5">
              <w:rPr>
                <w:rFonts w:ascii="Calibri" w:eastAsia="Calibri" w:hAnsi="Calibri" w:cs="Calibri"/>
                <w:sz w:val="18"/>
                <w:szCs w:val="18"/>
              </w:rPr>
              <w:t>0,00</w:t>
            </w:r>
          </w:p>
        </w:tc>
        <w:tc>
          <w:tcPr>
            <w:tcW w:w="1043" w:type="dxa"/>
            <w:tcBorders>
              <w:bottom w:val="single" w:sz="4" w:space="0" w:color="FFFFFF" w:themeColor="text1" w:themeTint="00" w:themeShade="00"/>
            </w:tcBorders>
            <w:vAlign w:val="center"/>
          </w:tcPr>
          <w:p w14:paraId="26E8B558" w14:textId="77777777" w:rsidR="0027529D" w:rsidRPr="00332AB5" w:rsidRDefault="0027529D" w:rsidP="0027529D">
            <w:pPr>
              <w:jc w:val="right"/>
              <w:rPr>
                <w:rFonts w:asciiTheme="minorHAnsi" w:hAnsiTheme="minorHAnsi" w:cstheme="minorHAnsi"/>
                <w:sz w:val="18"/>
                <w:szCs w:val="18"/>
              </w:rPr>
            </w:pPr>
          </w:p>
        </w:tc>
        <w:tc>
          <w:tcPr>
            <w:tcW w:w="681" w:type="dxa"/>
            <w:tcBorders>
              <w:bottom w:val="single" w:sz="4" w:space="0" w:color="FFFFFF" w:themeColor="text1" w:themeTint="00" w:themeShade="00"/>
            </w:tcBorders>
            <w:vAlign w:val="center"/>
          </w:tcPr>
          <w:p w14:paraId="4881C783" w14:textId="77777777" w:rsidR="0027529D" w:rsidRPr="00332AB5" w:rsidRDefault="0027529D" w:rsidP="0027529D">
            <w:pPr>
              <w:jc w:val="right"/>
              <w:rPr>
                <w:rFonts w:asciiTheme="minorHAnsi" w:hAnsiTheme="minorHAnsi" w:cstheme="minorHAnsi"/>
                <w:sz w:val="18"/>
                <w:szCs w:val="18"/>
              </w:rPr>
            </w:pPr>
          </w:p>
        </w:tc>
      </w:tr>
      <w:tr w:rsidR="00BB613F" w:rsidRPr="00332AB5" w14:paraId="24CA279F" w14:textId="77777777" w:rsidTr="00E80EE8">
        <w:trPr>
          <w:trHeight w:val="536"/>
          <w:jc w:val="center"/>
        </w:trPr>
        <w:tc>
          <w:tcPr>
            <w:tcW w:w="1179" w:type="dxa"/>
            <w:vAlign w:val="center"/>
          </w:tcPr>
          <w:p w14:paraId="7DCE6935" w14:textId="77777777" w:rsidR="00BB613F" w:rsidRPr="00332AB5" w:rsidRDefault="00BB613F" w:rsidP="00BB613F">
            <w:pPr>
              <w:rPr>
                <w:sz w:val="18"/>
                <w:szCs w:val="24"/>
              </w:rPr>
            </w:pPr>
            <w:r w:rsidRPr="00332AB5">
              <w:rPr>
                <w:rFonts w:asciiTheme="minorHAnsi" w:hAnsiTheme="minorHAnsi" w:cstheme="minorHAnsi"/>
                <w:sz w:val="18"/>
              </w:rPr>
              <w:t>UKUPNO</w:t>
            </w:r>
          </w:p>
        </w:tc>
        <w:tc>
          <w:tcPr>
            <w:tcW w:w="998" w:type="dxa"/>
            <w:tcBorders>
              <w:top w:val="single" w:sz="4" w:space="0" w:color="808080" w:themeColor="background1" w:themeShade="80"/>
              <w:bottom w:val="single" w:sz="4" w:space="0" w:color="808080" w:themeColor="background1" w:themeShade="80"/>
            </w:tcBorders>
            <w:vAlign w:val="center"/>
          </w:tcPr>
          <w:p w14:paraId="72A720B8" w14:textId="2F43B273" w:rsidR="00BB613F" w:rsidRPr="00332AB5" w:rsidRDefault="00BB613F" w:rsidP="00BB613F">
            <w:pPr>
              <w:jc w:val="right"/>
              <w:rPr>
                <w:rFonts w:asciiTheme="minorHAnsi" w:hAnsiTheme="minorHAnsi" w:cstheme="minorHAnsi"/>
                <w:sz w:val="18"/>
                <w:szCs w:val="18"/>
              </w:rPr>
            </w:pPr>
            <w:r w:rsidRPr="00332AB5">
              <w:rPr>
                <w:rFonts w:asciiTheme="minorHAnsi" w:hAnsiTheme="minorHAnsi" w:cstheme="minorBidi"/>
                <w:sz w:val="18"/>
                <w:szCs w:val="18"/>
              </w:rPr>
              <w:t>46,62</w:t>
            </w:r>
          </w:p>
        </w:tc>
        <w:tc>
          <w:tcPr>
            <w:tcW w:w="1089" w:type="dxa"/>
            <w:tcBorders>
              <w:top w:val="single" w:sz="4" w:space="0" w:color="808080" w:themeColor="background1" w:themeShade="80"/>
              <w:bottom w:val="single" w:sz="4" w:space="0" w:color="808080" w:themeColor="background1" w:themeShade="80"/>
            </w:tcBorders>
            <w:vAlign w:val="center"/>
          </w:tcPr>
          <w:p w14:paraId="109F2676" w14:textId="0F03D6B2" w:rsidR="00BB613F" w:rsidRPr="00332AB5" w:rsidRDefault="00BB613F" w:rsidP="00BB613F">
            <w:pPr>
              <w:spacing w:line="259" w:lineRule="auto"/>
              <w:jc w:val="right"/>
              <w:rPr>
                <w:rFonts w:ascii="Calibri" w:eastAsia="Calibri" w:hAnsi="Calibri" w:cs="Calibri"/>
                <w:sz w:val="18"/>
                <w:szCs w:val="18"/>
              </w:rPr>
            </w:pPr>
            <w:r w:rsidRPr="00332AB5">
              <w:rPr>
                <w:rFonts w:asciiTheme="minorHAnsi" w:hAnsiTheme="minorHAnsi" w:cstheme="minorBidi"/>
                <w:sz w:val="18"/>
                <w:szCs w:val="18"/>
              </w:rPr>
              <w:t>-2,2</w:t>
            </w:r>
            <w:r w:rsidR="00094A96" w:rsidRPr="00332AB5">
              <w:rPr>
                <w:rFonts w:asciiTheme="minorHAnsi" w:hAnsiTheme="minorHAnsi" w:cstheme="minorBidi"/>
                <w:sz w:val="18"/>
                <w:szCs w:val="18"/>
              </w:rPr>
              <w:t>0</w:t>
            </w:r>
          </w:p>
        </w:tc>
        <w:tc>
          <w:tcPr>
            <w:tcW w:w="703" w:type="dxa"/>
            <w:tcBorders>
              <w:top w:val="single" w:sz="4" w:space="0" w:color="808080" w:themeColor="background1" w:themeShade="80"/>
              <w:bottom w:val="single" w:sz="4" w:space="0" w:color="808080" w:themeColor="background1" w:themeShade="80"/>
            </w:tcBorders>
            <w:vAlign w:val="center"/>
          </w:tcPr>
          <w:p w14:paraId="44933AD5" w14:textId="3A00487D" w:rsidR="00BB613F" w:rsidRPr="00332AB5" w:rsidRDefault="00BB613F" w:rsidP="00BB613F">
            <w:pPr>
              <w:spacing w:line="259" w:lineRule="auto"/>
              <w:jc w:val="right"/>
              <w:rPr>
                <w:rFonts w:ascii="Calibri" w:eastAsia="Calibri" w:hAnsi="Calibri" w:cs="Calibri"/>
                <w:sz w:val="18"/>
                <w:szCs w:val="18"/>
              </w:rPr>
            </w:pPr>
            <w:r w:rsidRPr="00332AB5">
              <w:rPr>
                <w:rFonts w:asciiTheme="minorHAnsi" w:hAnsiTheme="minorHAnsi" w:cstheme="minorBidi"/>
                <w:sz w:val="18"/>
                <w:szCs w:val="18"/>
              </w:rPr>
              <w:t>-4,72</w:t>
            </w:r>
          </w:p>
        </w:tc>
        <w:tc>
          <w:tcPr>
            <w:tcW w:w="1089" w:type="dxa"/>
            <w:tcBorders>
              <w:top w:val="single" w:sz="4" w:space="0" w:color="808080" w:themeColor="background1" w:themeShade="80"/>
              <w:bottom w:val="single" w:sz="4" w:space="0" w:color="808080" w:themeColor="background1" w:themeShade="80"/>
            </w:tcBorders>
            <w:vAlign w:val="center"/>
          </w:tcPr>
          <w:p w14:paraId="5F44DF89" w14:textId="1950DCFD" w:rsidR="00BB613F" w:rsidRPr="00332AB5" w:rsidRDefault="00BB613F" w:rsidP="00BB613F">
            <w:pPr>
              <w:spacing w:line="259" w:lineRule="auto"/>
              <w:jc w:val="right"/>
              <w:rPr>
                <w:rFonts w:ascii="Calibri" w:eastAsia="Calibri" w:hAnsi="Calibri" w:cs="Calibri"/>
                <w:sz w:val="18"/>
                <w:szCs w:val="18"/>
              </w:rPr>
            </w:pPr>
            <w:r w:rsidRPr="00332AB5">
              <w:rPr>
                <w:rFonts w:asciiTheme="minorHAnsi" w:hAnsiTheme="minorHAnsi" w:cstheme="minorBidi"/>
                <w:sz w:val="18"/>
                <w:szCs w:val="18"/>
              </w:rPr>
              <w:t>4,56</w:t>
            </w:r>
          </w:p>
        </w:tc>
        <w:tc>
          <w:tcPr>
            <w:tcW w:w="754" w:type="dxa"/>
            <w:tcBorders>
              <w:top w:val="single" w:sz="4" w:space="0" w:color="808080" w:themeColor="background1" w:themeShade="80"/>
              <w:bottom w:val="single" w:sz="4" w:space="0" w:color="808080" w:themeColor="background1" w:themeShade="80"/>
            </w:tcBorders>
            <w:vAlign w:val="center"/>
          </w:tcPr>
          <w:p w14:paraId="704062A8" w14:textId="3B139A54" w:rsidR="00BB613F" w:rsidRPr="00332AB5" w:rsidRDefault="00BB613F" w:rsidP="00BB613F">
            <w:pPr>
              <w:spacing w:line="259" w:lineRule="auto"/>
              <w:jc w:val="right"/>
              <w:rPr>
                <w:rFonts w:ascii="Calibri" w:eastAsia="Calibri" w:hAnsi="Calibri" w:cs="Calibri"/>
                <w:sz w:val="18"/>
                <w:szCs w:val="18"/>
              </w:rPr>
            </w:pPr>
            <w:r w:rsidRPr="00332AB5">
              <w:rPr>
                <w:rFonts w:asciiTheme="minorHAnsi" w:hAnsiTheme="minorHAnsi" w:cstheme="minorBidi"/>
                <w:sz w:val="18"/>
                <w:szCs w:val="18"/>
              </w:rPr>
              <w:t>9,78</w:t>
            </w:r>
          </w:p>
        </w:tc>
        <w:tc>
          <w:tcPr>
            <w:tcW w:w="1015" w:type="dxa"/>
            <w:tcBorders>
              <w:top w:val="single" w:sz="4" w:space="0" w:color="808080" w:themeColor="background1" w:themeShade="80"/>
              <w:bottom w:val="single" w:sz="4" w:space="0" w:color="808080" w:themeColor="background1" w:themeShade="80"/>
            </w:tcBorders>
            <w:vAlign w:val="center"/>
          </w:tcPr>
          <w:p w14:paraId="7115C9B4" w14:textId="7C362168" w:rsidR="00BB613F" w:rsidRPr="00332AB5" w:rsidRDefault="00BB613F" w:rsidP="00BB613F">
            <w:pPr>
              <w:spacing w:line="259" w:lineRule="auto"/>
              <w:jc w:val="right"/>
              <w:rPr>
                <w:rFonts w:ascii="Calibri" w:eastAsia="Calibri" w:hAnsi="Calibri" w:cs="Calibri"/>
                <w:sz w:val="18"/>
                <w:szCs w:val="18"/>
              </w:rPr>
            </w:pPr>
            <w:r w:rsidRPr="00332AB5">
              <w:rPr>
                <w:rFonts w:asciiTheme="minorHAnsi" w:hAnsiTheme="minorHAnsi" w:cstheme="minorBidi"/>
                <w:sz w:val="18"/>
                <w:szCs w:val="18"/>
              </w:rPr>
              <w:t>0,00</w:t>
            </w:r>
          </w:p>
        </w:tc>
        <w:tc>
          <w:tcPr>
            <w:tcW w:w="635" w:type="dxa"/>
            <w:tcBorders>
              <w:top w:val="single" w:sz="4" w:space="0" w:color="808080" w:themeColor="background1" w:themeShade="80"/>
              <w:bottom w:val="single" w:sz="4" w:space="0" w:color="808080" w:themeColor="background1" w:themeShade="80"/>
            </w:tcBorders>
            <w:vAlign w:val="center"/>
          </w:tcPr>
          <w:p w14:paraId="6BE7F633" w14:textId="4E226435" w:rsidR="00BB613F" w:rsidRPr="00332AB5" w:rsidRDefault="00BB613F" w:rsidP="00BB613F">
            <w:pPr>
              <w:spacing w:line="259" w:lineRule="auto"/>
              <w:jc w:val="right"/>
              <w:rPr>
                <w:rFonts w:ascii="Calibri" w:eastAsia="Calibri" w:hAnsi="Calibri" w:cs="Calibri"/>
                <w:sz w:val="18"/>
                <w:szCs w:val="18"/>
              </w:rPr>
            </w:pPr>
            <w:r w:rsidRPr="00332AB5">
              <w:rPr>
                <w:rFonts w:asciiTheme="minorHAnsi" w:hAnsiTheme="minorHAnsi" w:cstheme="minorBidi"/>
                <w:sz w:val="18"/>
                <w:szCs w:val="18"/>
              </w:rPr>
              <w:t>0,00</w:t>
            </w:r>
          </w:p>
        </w:tc>
        <w:tc>
          <w:tcPr>
            <w:tcW w:w="1043" w:type="dxa"/>
            <w:tcBorders>
              <w:top w:val="single" w:sz="4" w:space="0" w:color="808080" w:themeColor="background1" w:themeShade="80"/>
              <w:bottom w:val="single" w:sz="4" w:space="0" w:color="808080" w:themeColor="background1" w:themeShade="80"/>
            </w:tcBorders>
            <w:vAlign w:val="center"/>
          </w:tcPr>
          <w:p w14:paraId="3CDCED73" w14:textId="48E66201" w:rsidR="00BB613F" w:rsidRPr="00332AB5" w:rsidRDefault="00BB613F" w:rsidP="00BB613F">
            <w:pPr>
              <w:spacing w:line="259" w:lineRule="auto"/>
              <w:jc w:val="right"/>
              <w:rPr>
                <w:rFonts w:asciiTheme="minorHAnsi" w:eastAsia="Calibri" w:hAnsiTheme="minorHAnsi" w:cstheme="minorHAnsi"/>
                <w:sz w:val="18"/>
                <w:szCs w:val="18"/>
              </w:rPr>
            </w:pPr>
            <w:r w:rsidRPr="00332AB5">
              <w:rPr>
                <w:rFonts w:asciiTheme="minorHAnsi" w:hAnsiTheme="minorHAnsi" w:cstheme="minorHAnsi"/>
                <w:sz w:val="18"/>
                <w:szCs w:val="18"/>
              </w:rPr>
              <w:t>6,90</w:t>
            </w:r>
          </w:p>
        </w:tc>
        <w:tc>
          <w:tcPr>
            <w:tcW w:w="681" w:type="dxa"/>
            <w:tcBorders>
              <w:top w:val="single" w:sz="4" w:space="0" w:color="808080" w:themeColor="background1" w:themeShade="80"/>
              <w:bottom w:val="single" w:sz="4" w:space="0" w:color="808080" w:themeColor="background1" w:themeShade="80"/>
            </w:tcBorders>
            <w:vAlign w:val="center"/>
          </w:tcPr>
          <w:p w14:paraId="028E366A" w14:textId="4F8BBD3B" w:rsidR="00BB613F" w:rsidRPr="00332AB5" w:rsidRDefault="00BB613F" w:rsidP="00BB613F">
            <w:pPr>
              <w:jc w:val="right"/>
              <w:rPr>
                <w:rFonts w:asciiTheme="minorHAnsi" w:hAnsiTheme="minorHAnsi" w:cstheme="minorHAnsi"/>
                <w:sz w:val="18"/>
                <w:szCs w:val="18"/>
              </w:rPr>
            </w:pPr>
            <w:r w:rsidRPr="00332AB5">
              <w:rPr>
                <w:rFonts w:asciiTheme="minorHAnsi" w:hAnsiTheme="minorHAnsi" w:cstheme="minorHAnsi"/>
                <w:sz w:val="18"/>
                <w:szCs w:val="18"/>
              </w:rPr>
              <w:t>14,80</w:t>
            </w:r>
          </w:p>
        </w:tc>
      </w:tr>
    </w:tbl>
    <w:p w14:paraId="084B8074" w14:textId="77777777" w:rsidR="00C0711F" w:rsidRPr="00332AB5" w:rsidRDefault="00C0711F" w:rsidP="00477407">
      <w:pPr>
        <w:spacing w:before="120" w:after="120"/>
        <w:jc w:val="both"/>
        <w:rPr>
          <w:b/>
          <w:bCs/>
        </w:rPr>
      </w:pPr>
    </w:p>
    <w:p w14:paraId="7EFAA3CD" w14:textId="77777777" w:rsidR="00AC1650" w:rsidRPr="00332AB5" w:rsidRDefault="00AC1650">
      <w:pPr>
        <w:rPr>
          <w:b/>
          <w:bCs/>
        </w:rPr>
      </w:pPr>
      <w:r w:rsidRPr="00332AB5">
        <w:rPr>
          <w:b/>
          <w:bCs/>
        </w:rPr>
        <w:br w:type="page"/>
      </w:r>
    </w:p>
    <w:p w14:paraId="7A5ED18E" w14:textId="606C67C6" w:rsidR="00FA3316" w:rsidRPr="00332AB5" w:rsidRDefault="00FA3316" w:rsidP="00477407">
      <w:pPr>
        <w:spacing w:before="120" w:after="120"/>
        <w:jc w:val="both"/>
        <w:rPr>
          <w:b/>
          <w:bCs/>
        </w:rPr>
      </w:pPr>
      <w:bookmarkStart w:id="79" w:name="_Toc152595292"/>
      <w:r w:rsidRPr="00332AB5">
        <w:rPr>
          <w:b/>
          <w:bCs/>
        </w:rPr>
        <w:lastRenderedPageBreak/>
        <w:t xml:space="preserve">Tablica </w:t>
      </w:r>
      <w:r w:rsidR="008C2CC3" w:rsidRPr="00332AB5">
        <w:rPr>
          <w:b/>
          <w:bCs/>
        </w:rPr>
        <w:fldChar w:fldCharType="begin"/>
      </w:r>
      <w:r w:rsidRPr="00332AB5">
        <w:rPr>
          <w:b/>
          <w:bCs/>
        </w:rPr>
        <w:instrText xml:space="preserve"> SEQ Tablica \* ARABIC </w:instrText>
      </w:r>
      <w:r w:rsidR="008C2CC3" w:rsidRPr="00332AB5">
        <w:rPr>
          <w:b/>
          <w:bCs/>
        </w:rPr>
        <w:fldChar w:fldCharType="separate"/>
      </w:r>
      <w:r w:rsidR="005E6E46">
        <w:rPr>
          <w:b/>
          <w:bCs/>
          <w:noProof/>
        </w:rPr>
        <w:t>18</w:t>
      </w:r>
      <w:r w:rsidR="008C2CC3" w:rsidRPr="00332AB5">
        <w:rPr>
          <w:b/>
          <w:bCs/>
        </w:rPr>
        <w:fldChar w:fldCharType="end"/>
      </w:r>
      <w:r w:rsidRPr="00332AB5">
        <w:rPr>
          <w:b/>
          <w:bCs/>
        </w:rPr>
        <w:t xml:space="preserve">: Financijski pokazatelji statusa provedbe Operativnog programa za hranu i/ili osnovnu materijalnu pomoć od početka provedbe do kraja izvještajnog razdoblja </w:t>
      </w:r>
      <w:r w:rsidR="0011067E" w:rsidRPr="00332AB5">
        <w:rPr>
          <w:b/>
          <w:bCs/>
        </w:rPr>
        <w:t>30. lipnja 2023.</w:t>
      </w:r>
      <w:r w:rsidRPr="00332AB5">
        <w:rPr>
          <w:b/>
          <w:bCs/>
        </w:rPr>
        <w:t xml:space="preserve"> (sredstva EU, u milijunima eura i postocima od dodijeljenih sredstava)</w:t>
      </w:r>
      <w:bookmarkEnd w:id="79"/>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845"/>
        <w:gridCol w:w="992"/>
        <w:gridCol w:w="709"/>
        <w:gridCol w:w="992"/>
        <w:gridCol w:w="709"/>
        <w:gridCol w:w="992"/>
        <w:gridCol w:w="709"/>
      </w:tblGrid>
      <w:tr w:rsidR="00FA3316" w:rsidRPr="00332AB5" w14:paraId="2F8DD31C" w14:textId="77777777" w:rsidTr="009C6B10">
        <w:trPr>
          <w:trHeight w:val="737"/>
        </w:trPr>
        <w:tc>
          <w:tcPr>
            <w:tcW w:w="1179" w:type="dxa"/>
            <w:shd w:val="clear" w:color="auto" w:fill="auto"/>
            <w:vAlign w:val="center"/>
          </w:tcPr>
          <w:p w14:paraId="229A40C7" w14:textId="77777777" w:rsidR="00FA3316" w:rsidRPr="00332AB5" w:rsidRDefault="00FA3316" w:rsidP="00477407">
            <w:pPr>
              <w:spacing w:after="60"/>
              <w:rPr>
                <w:sz w:val="16"/>
                <w:szCs w:val="24"/>
              </w:rPr>
            </w:pPr>
            <w:r w:rsidRPr="00332AB5">
              <w:rPr>
                <w:rFonts w:asciiTheme="minorHAnsi" w:hAnsiTheme="minorHAnsi" w:cstheme="minorHAnsi"/>
                <w:sz w:val="16"/>
              </w:rPr>
              <w:t>Materijalna deprivacija</w:t>
            </w:r>
          </w:p>
        </w:tc>
        <w:tc>
          <w:tcPr>
            <w:tcW w:w="998" w:type="dxa"/>
            <w:tcBorders>
              <w:bottom w:val="single" w:sz="4" w:space="0" w:color="808080" w:themeColor="background1" w:themeShade="80"/>
            </w:tcBorders>
            <w:shd w:val="clear" w:color="auto" w:fill="auto"/>
            <w:vAlign w:val="center"/>
          </w:tcPr>
          <w:p w14:paraId="12B3E671" w14:textId="77777777" w:rsidR="00FA3316" w:rsidRPr="00332AB5" w:rsidRDefault="00FA3316" w:rsidP="00477407">
            <w:pPr>
              <w:spacing w:after="60"/>
              <w:jc w:val="right"/>
              <w:rPr>
                <w:sz w:val="16"/>
                <w:szCs w:val="24"/>
              </w:rPr>
            </w:pPr>
            <w:r w:rsidRPr="00332AB5">
              <w:rPr>
                <w:rFonts w:asciiTheme="minorHAnsi" w:hAnsiTheme="minorHAnsi" w:cstheme="minorHAnsi"/>
                <w:sz w:val="16"/>
              </w:rPr>
              <w:t>Dodijeljena sredstva</w:t>
            </w:r>
          </w:p>
        </w:tc>
        <w:tc>
          <w:tcPr>
            <w:tcW w:w="1089" w:type="dxa"/>
            <w:tcBorders>
              <w:bottom w:val="single" w:sz="4" w:space="0" w:color="808080" w:themeColor="background1" w:themeShade="80"/>
            </w:tcBorders>
            <w:shd w:val="clear" w:color="auto" w:fill="auto"/>
            <w:vAlign w:val="center"/>
          </w:tcPr>
          <w:p w14:paraId="1A9C2FDB" w14:textId="77777777" w:rsidR="00FA3316" w:rsidRPr="00332AB5" w:rsidRDefault="00FA3316" w:rsidP="00477407">
            <w:pPr>
              <w:spacing w:after="60"/>
              <w:jc w:val="right"/>
              <w:rPr>
                <w:sz w:val="16"/>
                <w:szCs w:val="24"/>
              </w:rPr>
            </w:pPr>
            <w:r w:rsidRPr="00332AB5">
              <w:rPr>
                <w:rFonts w:asciiTheme="minorHAnsi" w:hAnsiTheme="minorHAnsi" w:cstheme="minorHAnsi"/>
                <w:sz w:val="16"/>
              </w:rPr>
              <w:t>Ukupno ugovorena sredstva</w:t>
            </w:r>
          </w:p>
        </w:tc>
        <w:tc>
          <w:tcPr>
            <w:tcW w:w="845" w:type="dxa"/>
            <w:tcBorders>
              <w:bottom w:val="single" w:sz="4" w:space="0" w:color="808080" w:themeColor="background1" w:themeShade="80"/>
            </w:tcBorders>
            <w:shd w:val="clear" w:color="auto" w:fill="auto"/>
            <w:vAlign w:val="center"/>
          </w:tcPr>
          <w:p w14:paraId="74E49DE0" w14:textId="77777777" w:rsidR="00FA3316" w:rsidRPr="00332AB5" w:rsidRDefault="00FA3316" w:rsidP="00477407">
            <w:pPr>
              <w:spacing w:after="60"/>
              <w:jc w:val="right"/>
              <w:rPr>
                <w:sz w:val="16"/>
                <w:szCs w:val="24"/>
              </w:rPr>
            </w:pPr>
            <w:r w:rsidRPr="00332AB5">
              <w:rPr>
                <w:rFonts w:asciiTheme="minorHAnsi" w:hAnsiTheme="minorHAnsi" w:cstheme="minorHAnsi"/>
                <w:sz w:val="16"/>
              </w:rPr>
              <w:t xml:space="preserve"> %</w:t>
            </w:r>
          </w:p>
        </w:tc>
        <w:tc>
          <w:tcPr>
            <w:tcW w:w="992" w:type="dxa"/>
            <w:tcBorders>
              <w:bottom w:val="single" w:sz="4" w:space="0" w:color="808080" w:themeColor="background1" w:themeShade="80"/>
            </w:tcBorders>
            <w:shd w:val="clear" w:color="auto" w:fill="auto"/>
            <w:vAlign w:val="center"/>
          </w:tcPr>
          <w:p w14:paraId="018998DC" w14:textId="77777777" w:rsidR="00FA3316" w:rsidRPr="00332AB5" w:rsidRDefault="00FA3316" w:rsidP="00477407">
            <w:pPr>
              <w:spacing w:after="60"/>
              <w:jc w:val="right"/>
              <w:rPr>
                <w:sz w:val="16"/>
                <w:szCs w:val="24"/>
              </w:rPr>
            </w:pPr>
            <w:r w:rsidRPr="00332AB5">
              <w:rPr>
                <w:rFonts w:asciiTheme="minorHAnsi" w:hAnsiTheme="minorHAnsi" w:cstheme="minorHAnsi"/>
                <w:sz w:val="16"/>
              </w:rPr>
              <w:t>Ukupno plaćena sredstva</w:t>
            </w:r>
          </w:p>
        </w:tc>
        <w:tc>
          <w:tcPr>
            <w:tcW w:w="709" w:type="dxa"/>
            <w:tcBorders>
              <w:bottom w:val="single" w:sz="4" w:space="0" w:color="808080" w:themeColor="background1" w:themeShade="80"/>
            </w:tcBorders>
            <w:shd w:val="clear" w:color="auto" w:fill="auto"/>
            <w:vAlign w:val="center"/>
          </w:tcPr>
          <w:p w14:paraId="16B9D46A" w14:textId="77777777" w:rsidR="00FA3316" w:rsidRPr="00332AB5" w:rsidRDefault="00FA3316" w:rsidP="00477407">
            <w:pPr>
              <w:spacing w:after="60"/>
              <w:jc w:val="right"/>
              <w:rPr>
                <w:sz w:val="16"/>
                <w:szCs w:val="24"/>
              </w:rPr>
            </w:pPr>
            <w:r w:rsidRPr="00332AB5">
              <w:rPr>
                <w:rFonts w:asciiTheme="minorHAnsi" w:hAnsiTheme="minorHAnsi" w:cstheme="minorHAnsi"/>
                <w:sz w:val="16"/>
              </w:rPr>
              <w:t xml:space="preserve"> %</w:t>
            </w:r>
          </w:p>
        </w:tc>
        <w:tc>
          <w:tcPr>
            <w:tcW w:w="992" w:type="dxa"/>
            <w:tcBorders>
              <w:bottom w:val="single" w:sz="4" w:space="0" w:color="808080" w:themeColor="background1" w:themeShade="80"/>
            </w:tcBorders>
            <w:shd w:val="clear" w:color="auto" w:fill="auto"/>
            <w:vAlign w:val="center"/>
          </w:tcPr>
          <w:p w14:paraId="7216AB97" w14:textId="77777777" w:rsidR="00FA3316" w:rsidRPr="00332AB5" w:rsidRDefault="00FA3316" w:rsidP="00477407">
            <w:pPr>
              <w:spacing w:after="60"/>
              <w:jc w:val="right"/>
              <w:rPr>
                <w:sz w:val="16"/>
                <w:szCs w:val="24"/>
              </w:rPr>
            </w:pPr>
            <w:r w:rsidRPr="00332AB5">
              <w:rPr>
                <w:rFonts w:asciiTheme="minorHAnsi" w:hAnsiTheme="minorHAnsi" w:cstheme="minorHAnsi"/>
                <w:sz w:val="16"/>
              </w:rPr>
              <w:t>Ukupno ovjerena sredstva</w:t>
            </w:r>
          </w:p>
        </w:tc>
        <w:tc>
          <w:tcPr>
            <w:tcW w:w="709" w:type="dxa"/>
            <w:tcBorders>
              <w:bottom w:val="single" w:sz="4" w:space="0" w:color="808080" w:themeColor="background1" w:themeShade="80"/>
            </w:tcBorders>
            <w:shd w:val="clear" w:color="auto" w:fill="auto"/>
            <w:vAlign w:val="center"/>
          </w:tcPr>
          <w:p w14:paraId="6AC1B754" w14:textId="77777777" w:rsidR="00FA3316" w:rsidRPr="00332AB5" w:rsidRDefault="00FA3316" w:rsidP="00477407">
            <w:pPr>
              <w:spacing w:after="60"/>
              <w:jc w:val="right"/>
              <w:rPr>
                <w:sz w:val="16"/>
                <w:szCs w:val="24"/>
              </w:rPr>
            </w:pPr>
            <w:r w:rsidRPr="00332AB5">
              <w:rPr>
                <w:rFonts w:asciiTheme="minorHAnsi" w:hAnsiTheme="minorHAnsi" w:cstheme="minorHAnsi"/>
                <w:sz w:val="16"/>
              </w:rPr>
              <w:t xml:space="preserve"> %</w:t>
            </w:r>
          </w:p>
        </w:tc>
        <w:tc>
          <w:tcPr>
            <w:tcW w:w="992" w:type="dxa"/>
            <w:tcBorders>
              <w:bottom w:val="single" w:sz="4" w:space="0" w:color="808080" w:themeColor="background1" w:themeShade="80"/>
            </w:tcBorders>
            <w:shd w:val="clear" w:color="auto" w:fill="auto"/>
            <w:vAlign w:val="center"/>
          </w:tcPr>
          <w:p w14:paraId="24A2F04D" w14:textId="77777777" w:rsidR="00FA3316" w:rsidRPr="00332AB5" w:rsidRDefault="00FA3316" w:rsidP="00477407">
            <w:pPr>
              <w:spacing w:after="60"/>
              <w:jc w:val="right"/>
              <w:rPr>
                <w:sz w:val="16"/>
                <w:szCs w:val="24"/>
              </w:rPr>
            </w:pPr>
            <w:r w:rsidRPr="00332AB5">
              <w:rPr>
                <w:rFonts w:asciiTheme="minorHAnsi" w:hAnsiTheme="minorHAnsi" w:cstheme="minorHAnsi"/>
                <w:sz w:val="16"/>
              </w:rPr>
              <w:t>Ukupno doznačena sredstva</w:t>
            </w:r>
          </w:p>
        </w:tc>
        <w:tc>
          <w:tcPr>
            <w:tcW w:w="709" w:type="dxa"/>
            <w:tcBorders>
              <w:bottom w:val="single" w:sz="4" w:space="0" w:color="808080" w:themeColor="background1" w:themeShade="80"/>
            </w:tcBorders>
            <w:shd w:val="clear" w:color="auto" w:fill="auto"/>
            <w:vAlign w:val="center"/>
          </w:tcPr>
          <w:p w14:paraId="19E98B33" w14:textId="77777777" w:rsidR="00FA3316" w:rsidRPr="00332AB5" w:rsidRDefault="00FA3316" w:rsidP="00477407">
            <w:pPr>
              <w:spacing w:after="60"/>
              <w:jc w:val="right"/>
              <w:rPr>
                <w:sz w:val="16"/>
                <w:szCs w:val="24"/>
              </w:rPr>
            </w:pPr>
            <w:r w:rsidRPr="00332AB5">
              <w:rPr>
                <w:rFonts w:asciiTheme="minorHAnsi" w:hAnsiTheme="minorHAnsi" w:cstheme="minorHAnsi"/>
                <w:sz w:val="16"/>
              </w:rPr>
              <w:t xml:space="preserve"> %</w:t>
            </w:r>
          </w:p>
        </w:tc>
      </w:tr>
      <w:tr w:rsidR="00FA3316" w:rsidRPr="00332AB5" w14:paraId="16B2CC9E" w14:textId="77777777" w:rsidTr="009C6B10">
        <w:trPr>
          <w:trHeight w:val="113"/>
        </w:trPr>
        <w:tc>
          <w:tcPr>
            <w:tcW w:w="1179" w:type="dxa"/>
            <w:shd w:val="clear" w:color="auto" w:fill="auto"/>
            <w:vAlign w:val="center"/>
          </w:tcPr>
          <w:p w14:paraId="6EE899C2" w14:textId="77777777" w:rsidR="00FA3316" w:rsidRPr="00332AB5" w:rsidRDefault="00FA3316" w:rsidP="00477407">
            <w:pPr>
              <w:rPr>
                <w:rFonts w:asciiTheme="minorHAnsi" w:hAnsiTheme="minorHAnsi" w:cstheme="minorHAnsi"/>
                <w:sz w:val="8"/>
                <w:szCs w:val="24"/>
              </w:rPr>
            </w:pPr>
          </w:p>
        </w:tc>
        <w:tc>
          <w:tcPr>
            <w:tcW w:w="998" w:type="dxa"/>
            <w:tcBorders>
              <w:top w:val="single" w:sz="4" w:space="0" w:color="808080" w:themeColor="background1" w:themeShade="80"/>
            </w:tcBorders>
            <w:shd w:val="clear" w:color="auto" w:fill="auto"/>
            <w:vAlign w:val="center"/>
          </w:tcPr>
          <w:p w14:paraId="6C5F9758" w14:textId="77777777" w:rsidR="00FA3316" w:rsidRPr="00332AB5" w:rsidRDefault="00FA3316" w:rsidP="00477407">
            <w:pPr>
              <w:jc w:val="right"/>
              <w:rPr>
                <w:rFonts w:asciiTheme="minorHAnsi" w:hAnsiTheme="minorHAnsi" w:cstheme="minorHAnsi"/>
                <w:sz w:val="8"/>
                <w:szCs w:val="24"/>
              </w:rPr>
            </w:pPr>
          </w:p>
        </w:tc>
        <w:tc>
          <w:tcPr>
            <w:tcW w:w="1089" w:type="dxa"/>
            <w:tcBorders>
              <w:top w:val="single" w:sz="4" w:space="0" w:color="808080" w:themeColor="background1" w:themeShade="80"/>
            </w:tcBorders>
            <w:shd w:val="clear" w:color="auto" w:fill="auto"/>
            <w:vAlign w:val="center"/>
          </w:tcPr>
          <w:p w14:paraId="2A3DEC27" w14:textId="77777777" w:rsidR="00FA3316" w:rsidRPr="00332AB5" w:rsidRDefault="00FA3316" w:rsidP="00477407">
            <w:pPr>
              <w:jc w:val="right"/>
              <w:rPr>
                <w:rFonts w:asciiTheme="minorHAnsi" w:hAnsiTheme="minorHAnsi" w:cstheme="minorHAnsi"/>
                <w:sz w:val="8"/>
                <w:szCs w:val="24"/>
              </w:rPr>
            </w:pPr>
          </w:p>
        </w:tc>
        <w:tc>
          <w:tcPr>
            <w:tcW w:w="845" w:type="dxa"/>
            <w:tcBorders>
              <w:top w:val="single" w:sz="4" w:space="0" w:color="808080" w:themeColor="background1" w:themeShade="80"/>
            </w:tcBorders>
            <w:shd w:val="clear" w:color="auto" w:fill="auto"/>
            <w:vAlign w:val="center"/>
          </w:tcPr>
          <w:p w14:paraId="24995E46" w14:textId="77777777" w:rsidR="00FA3316" w:rsidRPr="00332AB5" w:rsidRDefault="00FA3316" w:rsidP="00477407">
            <w:pPr>
              <w:jc w:val="right"/>
              <w:rPr>
                <w:rFonts w:asciiTheme="minorHAnsi" w:hAnsiTheme="minorHAnsi" w:cstheme="minorHAnsi"/>
                <w:sz w:val="8"/>
                <w:szCs w:val="24"/>
              </w:rPr>
            </w:pPr>
          </w:p>
        </w:tc>
        <w:tc>
          <w:tcPr>
            <w:tcW w:w="992" w:type="dxa"/>
            <w:tcBorders>
              <w:top w:val="single" w:sz="4" w:space="0" w:color="808080" w:themeColor="background1" w:themeShade="80"/>
            </w:tcBorders>
            <w:shd w:val="clear" w:color="auto" w:fill="auto"/>
            <w:vAlign w:val="center"/>
          </w:tcPr>
          <w:p w14:paraId="2AC26F8F" w14:textId="77777777" w:rsidR="00FA3316" w:rsidRPr="00332AB5" w:rsidRDefault="00FA3316" w:rsidP="00477407">
            <w:pPr>
              <w:jc w:val="right"/>
              <w:rPr>
                <w:rFonts w:asciiTheme="minorHAnsi" w:hAnsiTheme="minorHAnsi" w:cstheme="minorHAnsi"/>
                <w:sz w:val="8"/>
                <w:szCs w:val="24"/>
              </w:rPr>
            </w:pPr>
          </w:p>
        </w:tc>
        <w:tc>
          <w:tcPr>
            <w:tcW w:w="709" w:type="dxa"/>
            <w:tcBorders>
              <w:top w:val="single" w:sz="4" w:space="0" w:color="808080" w:themeColor="background1" w:themeShade="80"/>
            </w:tcBorders>
            <w:shd w:val="clear" w:color="auto" w:fill="auto"/>
            <w:vAlign w:val="center"/>
          </w:tcPr>
          <w:p w14:paraId="003E8969" w14:textId="77777777" w:rsidR="00FA3316" w:rsidRPr="00332AB5" w:rsidRDefault="00FA3316" w:rsidP="00477407">
            <w:pPr>
              <w:jc w:val="right"/>
              <w:rPr>
                <w:rFonts w:asciiTheme="minorHAnsi" w:hAnsiTheme="minorHAnsi" w:cstheme="minorHAnsi"/>
                <w:sz w:val="8"/>
                <w:szCs w:val="24"/>
              </w:rPr>
            </w:pPr>
          </w:p>
        </w:tc>
        <w:tc>
          <w:tcPr>
            <w:tcW w:w="992" w:type="dxa"/>
            <w:tcBorders>
              <w:top w:val="single" w:sz="4" w:space="0" w:color="808080" w:themeColor="background1" w:themeShade="80"/>
            </w:tcBorders>
            <w:shd w:val="clear" w:color="auto" w:fill="auto"/>
            <w:vAlign w:val="center"/>
          </w:tcPr>
          <w:p w14:paraId="7A2A270E" w14:textId="77777777" w:rsidR="00FA3316" w:rsidRPr="00332AB5" w:rsidRDefault="00FA3316" w:rsidP="00477407">
            <w:pPr>
              <w:jc w:val="right"/>
              <w:rPr>
                <w:rFonts w:asciiTheme="minorHAnsi" w:hAnsiTheme="minorHAnsi" w:cstheme="minorHAnsi"/>
                <w:sz w:val="8"/>
                <w:szCs w:val="24"/>
              </w:rPr>
            </w:pPr>
          </w:p>
        </w:tc>
        <w:tc>
          <w:tcPr>
            <w:tcW w:w="709" w:type="dxa"/>
            <w:tcBorders>
              <w:top w:val="single" w:sz="4" w:space="0" w:color="808080" w:themeColor="background1" w:themeShade="80"/>
            </w:tcBorders>
            <w:shd w:val="clear" w:color="auto" w:fill="auto"/>
            <w:vAlign w:val="center"/>
          </w:tcPr>
          <w:p w14:paraId="3E2940D8" w14:textId="77777777" w:rsidR="00FA3316" w:rsidRPr="00332AB5" w:rsidRDefault="00FA3316" w:rsidP="00477407">
            <w:pPr>
              <w:jc w:val="right"/>
              <w:rPr>
                <w:rFonts w:asciiTheme="minorHAnsi" w:hAnsiTheme="minorHAnsi" w:cstheme="minorHAnsi"/>
                <w:sz w:val="8"/>
                <w:szCs w:val="24"/>
              </w:rPr>
            </w:pPr>
          </w:p>
        </w:tc>
        <w:tc>
          <w:tcPr>
            <w:tcW w:w="992" w:type="dxa"/>
            <w:tcBorders>
              <w:top w:val="single" w:sz="4" w:space="0" w:color="808080" w:themeColor="background1" w:themeShade="80"/>
            </w:tcBorders>
            <w:shd w:val="clear" w:color="auto" w:fill="auto"/>
            <w:vAlign w:val="center"/>
          </w:tcPr>
          <w:p w14:paraId="4FA970F7" w14:textId="77777777" w:rsidR="00FA3316" w:rsidRPr="00332AB5" w:rsidRDefault="00FA3316" w:rsidP="00477407">
            <w:pPr>
              <w:jc w:val="right"/>
              <w:rPr>
                <w:rFonts w:asciiTheme="minorHAnsi" w:hAnsiTheme="minorHAnsi" w:cstheme="minorHAnsi"/>
                <w:sz w:val="8"/>
                <w:szCs w:val="24"/>
              </w:rPr>
            </w:pPr>
          </w:p>
        </w:tc>
        <w:tc>
          <w:tcPr>
            <w:tcW w:w="709" w:type="dxa"/>
            <w:tcBorders>
              <w:top w:val="single" w:sz="4" w:space="0" w:color="808080" w:themeColor="background1" w:themeShade="80"/>
            </w:tcBorders>
            <w:shd w:val="clear" w:color="auto" w:fill="auto"/>
            <w:vAlign w:val="center"/>
          </w:tcPr>
          <w:p w14:paraId="325F8D0C" w14:textId="77777777" w:rsidR="00FA3316" w:rsidRPr="00332AB5" w:rsidRDefault="00FA3316" w:rsidP="00477407">
            <w:pPr>
              <w:jc w:val="right"/>
              <w:rPr>
                <w:rFonts w:asciiTheme="minorHAnsi" w:hAnsiTheme="minorHAnsi" w:cstheme="minorHAnsi"/>
                <w:sz w:val="8"/>
                <w:szCs w:val="24"/>
              </w:rPr>
            </w:pPr>
          </w:p>
        </w:tc>
      </w:tr>
      <w:tr w:rsidR="0027529D" w:rsidRPr="00332AB5" w14:paraId="6BD6D7BE" w14:textId="77777777" w:rsidTr="009C6B10">
        <w:trPr>
          <w:trHeight w:val="397"/>
        </w:trPr>
        <w:tc>
          <w:tcPr>
            <w:tcW w:w="1179" w:type="dxa"/>
            <w:shd w:val="clear" w:color="auto" w:fill="auto"/>
            <w:vAlign w:val="center"/>
          </w:tcPr>
          <w:p w14:paraId="64609945" w14:textId="77777777" w:rsidR="0027529D" w:rsidRPr="00332AB5" w:rsidRDefault="0027529D" w:rsidP="0027529D">
            <w:pPr>
              <w:rPr>
                <w:rFonts w:asciiTheme="minorHAnsi" w:hAnsiTheme="minorHAnsi" w:cstheme="minorHAnsi"/>
                <w:sz w:val="18"/>
                <w:szCs w:val="18"/>
              </w:rPr>
            </w:pPr>
            <w:r w:rsidRPr="00332AB5">
              <w:rPr>
                <w:rFonts w:asciiTheme="minorHAnsi" w:hAnsiTheme="minorHAnsi" w:cstheme="minorHAnsi"/>
                <w:sz w:val="18"/>
                <w:szCs w:val="18"/>
              </w:rPr>
              <w:t>MD 1</w:t>
            </w:r>
          </w:p>
        </w:tc>
        <w:tc>
          <w:tcPr>
            <w:tcW w:w="998" w:type="dxa"/>
            <w:shd w:val="clear" w:color="auto" w:fill="auto"/>
            <w:vAlign w:val="center"/>
          </w:tcPr>
          <w:p w14:paraId="68E4DE08" w14:textId="2CE3701C" w:rsidR="0027529D" w:rsidRPr="00332AB5" w:rsidRDefault="0027529D" w:rsidP="0027529D">
            <w:pPr>
              <w:jc w:val="right"/>
              <w:rPr>
                <w:rFonts w:asciiTheme="minorHAnsi" w:hAnsiTheme="minorHAnsi" w:cstheme="minorHAnsi"/>
                <w:sz w:val="18"/>
                <w:szCs w:val="18"/>
              </w:rPr>
            </w:pPr>
            <w:r w:rsidRPr="00332AB5">
              <w:rPr>
                <w:rFonts w:asciiTheme="minorHAnsi" w:hAnsiTheme="minorHAnsi" w:cstheme="minorBidi"/>
                <w:sz w:val="18"/>
                <w:szCs w:val="18"/>
              </w:rPr>
              <w:t>36,58</w:t>
            </w:r>
          </w:p>
        </w:tc>
        <w:tc>
          <w:tcPr>
            <w:tcW w:w="1089" w:type="dxa"/>
            <w:shd w:val="clear" w:color="auto" w:fill="auto"/>
            <w:vAlign w:val="center"/>
          </w:tcPr>
          <w:p w14:paraId="2F26BD50" w14:textId="5CC7CDBD" w:rsidR="0027529D" w:rsidRPr="00332AB5" w:rsidRDefault="0027529D" w:rsidP="0027529D">
            <w:pPr>
              <w:spacing w:line="259" w:lineRule="auto"/>
              <w:jc w:val="right"/>
              <w:rPr>
                <w:rFonts w:asciiTheme="minorHAnsi" w:eastAsia="Calibri" w:hAnsiTheme="minorHAnsi" w:cstheme="minorBidi"/>
                <w:sz w:val="18"/>
                <w:szCs w:val="18"/>
              </w:rPr>
            </w:pPr>
            <w:r w:rsidRPr="00332AB5">
              <w:rPr>
                <w:rFonts w:asciiTheme="minorHAnsi" w:hAnsiTheme="minorHAnsi" w:cstheme="minorBidi"/>
                <w:color w:val="000000" w:themeColor="text1"/>
                <w:sz w:val="18"/>
                <w:szCs w:val="18"/>
              </w:rPr>
              <w:t>45,10</w:t>
            </w:r>
          </w:p>
        </w:tc>
        <w:tc>
          <w:tcPr>
            <w:tcW w:w="845" w:type="dxa"/>
            <w:shd w:val="clear" w:color="auto" w:fill="auto"/>
            <w:vAlign w:val="center"/>
          </w:tcPr>
          <w:p w14:paraId="7C3968D2" w14:textId="65993CDE" w:rsidR="0027529D" w:rsidRPr="00332AB5" w:rsidRDefault="0027529D" w:rsidP="0027529D">
            <w:pPr>
              <w:jc w:val="right"/>
              <w:rPr>
                <w:rFonts w:asciiTheme="minorHAnsi" w:hAnsiTheme="minorHAnsi" w:cstheme="minorHAnsi"/>
                <w:sz w:val="18"/>
                <w:szCs w:val="18"/>
              </w:rPr>
            </w:pPr>
            <w:r w:rsidRPr="00332AB5">
              <w:rPr>
                <w:rFonts w:asciiTheme="minorHAnsi" w:hAnsiTheme="minorHAnsi" w:cstheme="minorBidi"/>
                <w:color w:val="000000" w:themeColor="text1"/>
                <w:sz w:val="18"/>
                <w:szCs w:val="18"/>
              </w:rPr>
              <w:t>123,29</w:t>
            </w:r>
          </w:p>
        </w:tc>
        <w:tc>
          <w:tcPr>
            <w:tcW w:w="992" w:type="dxa"/>
            <w:shd w:val="clear" w:color="auto" w:fill="auto"/>
            <w:vAlign w:val="center"/>
          </w:tcPr>
          <w:p w14:paraId="41773A6C" w14:textId="7EA886CD" w:rsidR="0027529D" w:rsidRPr="00332AB5" w:rsidRDefault="0027529D" w:rsidP="0027529D">
            <w:pPr>
              <w:spacing w:line="259" w:lineRule="auto"/>
              <w:jc w:val="right"/>
              <w:rPr>
                <w:rFonts w:asciiTheme="minorHAnsi" w:eastAsia="Calibri" w:hAnsiTheme="minorHAnsi" w:cstheme="minorHAnsi"/>
                <w:sz w:val="18"/>
                <w:szCs w:val="18"/>
              </w:rPr>
            </w:pPr>
            <w:r w:rsidRPr="00332AB5">
              <w:rPr>
                <w:rFonts w:asciiTheme="minorHAnsi" w:hAnsiTheme="minorHAnsi" w:cstheme="minorBidi"/>
                <w:color w:val="000000" w:themeColor="text1"/>
                <w:sz w:val="18"/>
                <w:szCs w:val="18"/>
              </w:rPr>
              <w:t>32,86</w:t>
            </w:r>
          </w:p>
        </w:tc>
        <w:tc>
          <w:tcPr>
            <w:tcW w:w="709" w:type="dxa"/>
            <w:shd w:val="clear" w:color="auto" w:fill="auto"/>
            <w:vAlign w:val="center"/>
          </w:tcPr>
          <w:p w14:paraId="16091E13" w14:textId="4F3E8518" w:rsidR="0027529D" w:rsidRPr="00332AB5" w:rsidRDefault="0027529D" w:rsidP="0027529D">
            <w:pPr>
              <w:spacing w:line="259" w:lineRule="auto"/>
              <w:jc w:val="right"/>
              <w:rPr>
                <w:rFonts w:ascii="Calibri" w:eastAsia="Calibri" w:hAnsi="Calibri" w:cs="Calibri"/>
                <w:sz w:val="18"/>
                <w:szCs w:val="18"/>
              </w:rPr>
            </w:pPr>
            <w:r w:rsidRPr="00332AB5">
              <w:rPr>
                <w:rFonts w:asciiTheme="minorHAnsi" w:hAnsiTheme="minorHAnsi" w:cstheme="minorBidi"/>
                <w:color w:val="000000" w:themeColor="text1"/>
                <w:sz w:val="18"/>
                <w:szCs w:val="18"/>
              </w:rPr>
              <w:t>89,83</w:t>
            </w:r>
          </w:p>
        </w:tc>
        <w:tc>
          <w:tcPr>
            <w:tcW w:w="992" w:type="dxa"/>
            <w:shd w:val="clear" w:color="auto" w:fill="auto"/>
            <w:vAlign w:val="center"/>
          </w:tcPr>
          <w:p w14:paraId="76D37466" w14:textId="128D0935" w:rsidR="0027529D" w:rsidRPr="00332AB5" w:rsidRDefault="0027529D" w:rsidP="0027529D">
            <w:pPr>
              <w:spacing w:line="259" w:lineRule="auto"/>
              <w:jc w:val="right"/>
              <w:rPr>
                <w:rFonts w:asciiTheme="minorHAnsi" w:eastAsia="Calibri" w:hAnsiTheme="minorHAnsi" w:cstheme="minorHAnsi"/>
                <w:sz w:val="18"/>
                <w:szCs w:val="18"/>
              </w:rPr>
            </w:pPr>
            <w:r w:rsidRPr="00332AB5">
              <w:rPr>
                <w:rFonts w:asciiTheme="minorHAnsi" w:hAnsiTheme="minorHAnsi" w:cstheme="minorBidi"/>
                <w:color w:val="000000" w:themeColor="text1"/>
                <w:sz w:val="18"/>
                <w:szCs w:val="18"/>
              </w:rPr>
              <w:t>25,10</w:t>
            </w:r>
          </w:p>
        </w:tc>
        <w:tc>
          <w:tcPr>
            <w:tcW w:w="709" w:type="dxa"/>
            <w:shd w:val="clear" w:color="auto" w:fill="auto"/>
            <w:vAlign w:val="center"/>
          </w:tcPr>
          <w:p w14:paraId="2925616C" w14:textId="47A700E2" w:rsidR="0027529D" w:rsidRPr="00332AB5" w:rsidRDefault="0027529D" w:rsidP="0027529D">
            <w:pPr>
              <w:spacing w:line="259" w:lineRule="auto"/>
              <w:jc w:val="right"/>
              <w:rPr>
                <w:rFonts w:ascii="Calibri" w:eastAsia="Calibri" w:hAnsi="Calibri" w:cs="Calibri"/>
                <w:sz w:val="18"/>
                <w:szCs w:val="18"/>
              </w:rPr>
            </w:pPr>
            <w:r w:rsidRPr="00332AB5">
              <w:rPr>
                <w:rFonts w:asciiTheme="minorHAnsi" w:hAnsiTheme="minorHAnsi" w:cstheme="minorBidi"/>
                <w:color w:val="000000" w:themeColor="text1"/>
                <w:sz w:val="18"/>
                <w:szCs w:val="18"/>
              </w:rPr>
              <w:t>68,62</w:t>
            </w:r>
          </w:p>
        </w:tc>
        <w:tc>
          <w:tcPr>
            <w:tcW w:w="992" w:type="dxa"/>
            <w:shd w:val="clear" w:color="auto" w:fill="auto"/>
            <w:vAlign w:val="center"/>
          </w:tcPr>
          <w:p w14:paraId="1A172329" w14:textId="77777777" w:rsidR="0027529D" w:rsidRPr="00332AB5" w:rsidRDefault="0027529D" w:rsidP="0027529D">
            <w:pPr>
              <w:jc w:val="right"/>
              <w:rPr>
                <w:rFonts w:asciiTheme="minorHAnsi" w:hAnsiTheme="minorHAnsi" w:cstheme="minorHAnsi"/>
                <w:sz w:val="18"/>
                <w:szCs w:val="18"/>
              </w:rPr>
            </w:pPr>
          </w:p>
        </w:tc>
        <w:tc>
          <w:tcPr>
            <w:tcW w:w="709" w:type="dxa"/>
            <w:shd w:val="clear" w:color="auto" w:fill="auto"/>
            <w:vAlign w:val="center"/>
          </w:tcPr>
          <w:p w14:paraId="04AC94D8" w14:textId="77777777" w:rsidR="0027529D" w:rsidRPr="00332AB5" w:rsidRDefault="0027529D" w:rsidP="0027529D">
            <w:pPr>
              <w:jc w:val="right"/>
              <w:rPr>
                <w:rFonts w:asciiTheme="minorHAnsi" w:hAnsiTheme="minorHAnsi" w:cstheme="minorHAnsi"/>
                <w:sz w:val="18"/>
                <w:szCs w:val="18"/>
              </w:rPr>
            </w:pPr>
          </w:p>
        </w:tc>
      </w:tr>
      <w:tr w:rsidR="0027529D" w:rsidRPr="00332AB5" w14:paraId="44CACDE4" w14:textId="77777777" w:rsidTr="009C6B10">
        <w:trPr>
          <w:trHeight w:val="397"/>
        </w:trPr>
        <w:tc>
          <w:tcPr>
            <w:tcW w:w="1179" w:type="dxa"/>
            <w:shd w:val="clear" w:color="auto" w:fill="auto"/>
            <w:vAlign w:val="center"/>
          </w:tcPr>
          <w:p w14:paraId="2C1F737C" w14:textId="77777777" w:rsidR="0027529D" w:rsidRPr="00332AB5" w:rsidRDefault="0027529D" w:rsidP="0027529D">
            <w:pPr>
              <w:rPr>
                <w:rFonts w:asciiTheme="minorHAnsi" w:hAnsiTheme="minorHAnsi" w:cstheme="minorHAnsi"/>
                <w:sz w:val="18"/>
                <w:szCs w:val="18"/>
              </w:rPr>
            </w:pPr>
            <w:r w:rsidRPr="00332AB5">
              <w:rPr>
                <w:rFonts w:asciiTheme="minorHAnsi" w:hAnsiTheme="minorHAnsi" w:cstheme="minorHAnsi"/>
                <w:sz w:val="18"/>
                <w:szCs w:val="18"/>
              </w:rPr>
              <w:t>MD 2</w:t>
            </w:r>
          </w:p>
        </w:tc>
        <w:tc>
          <w:tcPr>
            <w:tcW w:w="998" w:type="dxa"/>
            <w:shd w:val="clear" w:color="auto" w:fill="auto"/>
            <w:vAlign w:val="center"/>
          </w:tcPr>
          <w:p w14:paraId="4D9E1F68" w14:textId="24422ACC" w:rsidR="0027529D" w:rsidRPr="00332AB5" w:rsidRDefault="0027529D" w:rsidP="0027529D">
            <w:pPr>
              <w:jc w:val="right"/>
              <w:rPr>
                <w:rFonts w:asciiTheme="minorHAnsi" w:hAnsiTheme="minorHAnsi" w:cstheme="minorHAnsi"/>
                <w:sz w:val="18"/>
                <w:szCs w:val="18"/>
              </w:rPr>
            </w:pPr>
            <w:r w:rsidRPr="00332AB5">
              <w:rPr>
                <w:rFonts w:asciiTheme="minorHAnsi" w:hAnsiTheme="minorHAnsi" w:cstheme="minorBidi"/>
                <w:sz w:val="18"/>
                <w:szCs w:val="18"/>
              </w:rPr>
              <w:t>7,71</w:t>
            </w:r>
          </w:p>
        </w:tc>
        <w:tc>
          <w:tcPr>
            <w:tcW w:w="1089" w:type="dxa"/>
            <w:shd w:val="clear" w:color="auto" w:fill="auto"/>
            <w:vAlign w:val="center"/>
          </w:tcPr>
          <w:p w14:paraId="4627BDEF" w14:textId="7BF5FAA0" w:rsidR="0027529D" w:rsidRPr="00332AB5" w:rsidRDefault="0027529D" w:rsidP="0027529D">
            <w:pPr>
              <w:jc w:val="right"/>
              <w:rPr>
                <w:rFonts w:asciiTheme="minorHAnsi" w:hAnsiTheme="minorHAnsi" w:cstheme="minorHAnsi"/>
                <w:sz w:val="18"/>
                <w:szCs w:val="18"/>
              </w:rPr>
            </w:pPr>
            <w:r w:rsidRPr="00332AB5">
              <w:rPr>
                <w:rFonts w:asciiTheme="minorHAnsi" w:hAnsiTheme="minorHAnsi" w:cstheme="minorBidi"/>
                <w:color w:val="000000" w:themeColor="text1"/>
                <w:sz w:val="18"/>
                <w:szCs w:val="18"/>
              </w:rPr>
              <w:t>8,96</w:t>
            </w:r>
          </w:p>
        </w:tc>
        <w:tc>
          <w:tcPr>
            <w:tcW w:w="845" w:type="dxa"/>
            <w:shd w:val="clear" w:color="auto" w:fill="auto"/>
            <w:vAlign w:val="center"/>
          </w:tcPr>
          <w:p w14:paraId="7DAE5BE7" w14:textId="6A2C0F41" w:rsidR="0027529D" w:rsidRPr="00332AB5" w:rsidRDefault="0027529D" w:rsidP="0027529D">
            <w:pPr>
              <w:jc w:val="right"/>
              <w:rPr>
                <w:rFonts w:asciiTheme="minorHAnsi" w:hAnsiTheme="minorHAnsi" w:cstheme="minorHAnsi"/>
                <w:sz w:val="18"/>
                <w:szCs w:val="18"/>
              </w:rPr>
            </w:pPr>
            <w:r w:rsidRPr="00332AB5">
              <w:rPr>
                <w:rFonts w:asciiTheme="minorHAnsi" w:hAnsiTheme="minorHAnsi" w:cstheme="minorBidi"/>
                <w:color w:val="000000" w:themeColor="text1"/>
                <w:sz w:val="18"/>
                <w:szCs w:val="18"/>
              </w:rPr>
              <w:t>116,21</w:t>
            </w:r>
          </w:p>
        </w:tc>
        <w:tc>
          <w:tcPr>
            <w:tcW w:w="992" w:type="dxa"/>
            <w:shd w:val="clear" w:color="auto" w:fill="auto"/>
            <w:vAlign w:val="center"/>
          </w:tcPr>
          <w:p w14:paraId="2508A435" w14:textId="663EBE12" w:rsidR="0027529D" w:rsidRPr="00332AB5" w:rsidRDefault="0027529D" w:rsidP="0027529D">
            <w:pPr>
              <w:spacing w:line="259" w:lineRule="auto"/>
              <w:jc w:val="right"/>
              <w:rPr>
                <w:rFonts w:ascii="Calibri" w:eastAsia="Calibri" w:hAnsi="Calibri" w:cs="Calibri"/>
                <w:sz w:val="18"/>
                <w:szCs w:val="18"/>
              </w:rPr>
            </w:pPr>
            <w:r w:rsidRPr="00332AB5">
              <w:rPr>
                <w:rFonts w:asciiTheme="minorHAnsi" w:hAnsiTheme="minorHAnsi" w:cstheme="minorBidi"/>
                <w:color w:val="000000" w:themeColor="text1"/>
                <w:sz w:val="18"/>
                <w:szCs w:val="18"/>
              </w:rPr>
              <w:t>6,33</w:t>
            </w:r>
          </w:p>
        </w:tc>
        <w:tc>
          <w:tcPr>
            <w:tcW w:w="709" w:type="dxa"/>
            <w:shd w:val="clear" w:color="auto" w:fill="auto"/>
            <w:vAlign w:val="center"/>
          </w:tcPr>
          <w:p w14:paraId="57903F52" w14:textId="1E091743" w:rsidR="0027529D" w:rsidRPr="00332AB5" w:rsidRDefault="0027529D" w:rsidP="0027529D">
            <w:pPr>
              <w:jc w:val="right"/>
              <w:rPr>
                <w:rFonts w:asciiTheme="minorHAnsi" w:hAnsiTheme="minorHAnsi" w:cstheme="minorHAnsi"/>
                <w:sz w:val="18"/>
                <w:szCs w:val="18"/>
              </w:rPr>
            </w:pPr>
            <w:r w:rsidRPr="00332AB5">
              <w:rPr>
                <w:rFonts w:asciiTheme="minorHAnsi" w:hAnsiTheme="minorHAnsi" w:cstheme="minorBidi"/>
                <w:color w:val="000000" w:themeColor="text1"/>
                <w:sz w:val="18"/>
                <w:szCs w:val="18"/>
              </w:rPr>
              <w:t>82,10</w:t>
            </w:r>
          </w:p>
        </w:tc>
        <w:tc>
          <w:tcPr>
            <w:tcW w:w="992" w:type="dxa"/>
            <w:shd w:val="clear" w:color="auto" w:fill="auto"/>
            <w:vAlign w:val="center"/>
          </w:tcPr>
          <w:p w14:paraId="53DA2439" w14:textId="5EA020DE" w:rsidR="0027529D" w:rsidRPr="00332AB5" w:rsidRDefault="0027529D" w:rsidP="0027529D">
            <w:pPr>
              <w:spacing w:line="259" w:lineRule="auto"/>
              <w:jc w:val="right"/>
              <w:rPr>
                <w:rFonts w:asciiTheme="minorHAnsi" w:eastAsia="Calibri" w:hAnsiTheme="minorHAnsi" w:cstheme="minorHAnsi"/>
                <w:sz w:val="18"/>
                <w:szCs w:val="18"/>
              </w:rPr>
            </w:pPr>
            <w:r w:rsidRPr="00332AB5">
              <w:rPr>
                <w:rFonts w:asciiTheme="minorHAnsi" w:hAnsiTheme="minorHAnsi" w:cstheme="minorBidi"/>
                <w:color w:val="000000" w:themeColor="text1"/>
                <w:sz w:val="18"/>
                <w:szCs w:val="18"/>
              </w:rPr>
              <w:t>4,47</w:t>
            </w:r>
          </w:p>
        </w:tc>
        <w:tc>
          <w:tcPr>
            <w:tcW w:w="709" w:type="dxa"/>
            <w:shd w:val="clear" w:color="auto" w:fill="auto"/>
            <w:vAlign w:val="center"/>
          </w:tcPr>
          <w:p w14:paraId="72AC8D13" w14:textId="4019C588" w:rsidR="0027529D" w:rsidRPr="00332AB5" w:rsidRDefault="0027529D" w:rsidP="0027529D">
            <w:pPr>
              <w:jc w:val="right"/>
              <w:rPr>
                <w:rFonts w:asciiTheme="minorHAnsi" w:hAnsiTheme="minorHAnsi" w:cstheme="minorHAnsi"/>
                <w:sz w:val="18"/>
                <w:szCs w:val="18"/>
              </w:rPr>
            </w:pPr>
            <w:r w:rsidRPr="00332AB5">
              <w:rPr>
                <w:rFonts w:asciiTheme="minorHAnsi" w:hAnsiTheme="minorHAnsi" w:cstheme="minorBidi"/>
                <w:color w:val="000000" w:themeColor="text1"/>
                <w:sz w:val="18"/>
                <w:szCs w:val="18"/>
              </w:rPr>
              <w:t>57,98</w:t>
            </w:r>
          </w:p>
        </w:tc>
        <w:tc>
          <w:tcPr>
            <w:tcW w:w="992" w:type="dxa"/>
            <w:shd w:val="clear" w:color="auto" w:fill="auto"/>
            <w:vAlign w:val="center"/>
          </w:tcPr>
          <w:p w14:paraId="60AD0118" w14:textId="77777777" w:rsidR="0027529D" w:rsidRPr="00332AB5" w:rsidRDefault="0027529D" w:rsidP="0027529D">
            <w:pPr>
              <w:jc w:val="right"/>
              <w:rPr>
                <w:rFonts w:asciiTheme="minorHAnsi" w:hAnsiTheme="minorHAnsi" w:cstheme="minorHAnsi"/>
                <w:sz w:val="18"/>
                <w:szCs w:val="18"/>
              </w:rPr>
            </w:pPr>
          </w:p>
        </w:tc>
        <w:tc>
          <w:tcPr>
            <w:tcW w:w="709" w:type="dxa"/>
            <w:shd w:val="clear" w:color="auto" w:fill="auto"/>
            <w:vAlign w:val="center"/>
          </w:tcPr>
          <w:p w14:paraId="680FE4D6" w14:textId="77777777" w:rsidR="0027529D" w:rsidRPr="00332AB5" w:rsidRDefault="0027529D" w:rsidP="0027529D">
            <w:pPr>
              <w:jc w:val="right"/>
              <w:rPr>
                <w:rFonts w:asciiTheme="minorHAnsi" w:hAnsiTheme="minorHAnsi" w:cstheme="minorHAnsi"/>
                <w:sz w:val="18"/>
                <w:szCs w:val="18"/>
              </w:rPr>
            </w:pPr>
          </w:p>
        </w:tc>
      </w:tr>
      <w:tr w:rsidR="0027529D" w:rsidRPr="00332AB5" w14:paraId="189E5D0C" w14:textId="77777777" w:rsidTr="009C6B10">
        <w:trPr>
          <w:trHeight w:val="397"/>
        </w:trPr>
        <w:tc>
          <w:tcPr>
            <w:tcW w:w="1179" w:type="dxa"/>
            <w:shd w:val="clear" w:color="auto" w:fill="auto"/>
            <w:vAlign w:val="center"/>
          </w:tcPr>
          <w:p w14:paraId="3349901A" w14:textId="77777777" w:rsidR="0027529D" w:rsidRPr="00332AB5" w:rsidRDefault="0027529D" w:rsidP="0027529D">
            <w:pPr>
              <w:rPr>
                <w:rFonts w:asciiTheme="minorHAnsi" w:hAnsiTheme="minorHAnsi" w:cstheme="minorHAnsi"/>
                <w:sz w:val="18"/>
                <w:szCs w:val="18"/>
              </w:rPr>
            </w:pPr>
            <w:r w:rsidRPr="00332AB5">
              <w:rPr>
                <w:rFonts w:asciiTheme="minorHAnsi" w:hAnsiTheme="minorHAnsi" w:cstheme="minorHAnsi"/>
                <w:sz w:val="18"/>
                <w:szCs w:val="18"/>
              </w:rPr>
              <w:t>TP</w:t>
            </w:r>
          </w:p>
        </w:tc>
        <w:tc>
          <w:tcPr>
            <w:tcW w:w="998" w:type="dxa"/>
            <w:tcBorders>
              <w:bottom w:val="single" w:sz="4" w:space="0" w:color="808080" w:themeColor="background1" w:themeShade="80"/>
            </w:tcBorders>
            <w:shd w:val="clear" w:color="auto" w:fill="auto"/>
            <w:vAlign w:val="center"/>
          </w:tcPr>
          <w:p w14:paraId="2829FAFB" w14:textId="0DDC03C7" w:rsidR="0027529D" w:rsidRPr="00332AB5" w:rsidRDefault="0027529D" w:rsidP="0027529D">
            <w:pPr>
              <w:jc w:val="right"/>
              <w:rPr>
                <w:rFonts w:asciiTheme="minorHAnsi" w:hAnsiTheme="minorHAnsi" w:cstheme="minorHAnsi"/>
                <w:sz w:val="18"/>
                <w:szCs w:val="18"/>
              </w:rPr>
            </w:pPr>
            <w:r w:rsidRPr="00332AB5">
              <w:rPr>
                <w:rFonts w:asciiTheme="minorHAnsi" w:hAnsiTheme="minorHAnsi" w:cstheme="minorBidi"/>
                <w:sz w:val="18"/>
                <w:szCs w:val="18"/>
              </w:rPr>
              <w:t>2,33</w:t>
            </w:r>
          </w:p>
        </w:tc>
        <w:tc>
          <w:tcPr>
            <w:tcW w:w="1089" w:type="dxa"/>
            <w:tcBorders>
              <w:bottom w:val="single" w:sz="4" w:space="0" w:color="808080" w:themeColor="background1" w:themeShade="80"/>
            </w:tcBorders>
            <w:shd w:val="clear" w:color="auto" w:fill="auto"/>
            <w:vAlign w:val="center"/>
          </w:tcPr>
          <w:p w14:paraId="6D8E383C" w14:textId="46FF7712" w:rsidR="0027529D" w:rsidRPr="00332AB5" w:rsidRDefault="0027529D" w:rsidP="0027529D">
            <w:pPr>
              <w:spacing w:line="259" w:lineRule="auto"/>
              <w:jc w:val="right"/>
              <w:rPr>
                <w:rFonts w:asciiTheme="minorHAnsi" w:eastAsia="Calibri" w:hAnsiTheme="minorHAnsi" w:cstheme="minorHAnsi"/>
                <w:sz w:val="18"/>
                <w:szCs w:val="18"/>
              </w:rPr>
            </w:pPr>
            <w:r w:rsidRPr="00332AB5">
              <w:rPr>
                <w:rFonts w:asciiTheme="minorHAnsi" w:hAnsiTheme="minorHAnsi" w:cstheme="minorBidi"/>
                <w:color w:val="000000" w:themeColor="text1"/>
                <w:sz w:val="18"/>
                <w:szCs w:val="18"/>
              </w:rPr>
              <w:t>2,23</w:t>
            </w:r>
          </w:p>
        </w:tc>
        <w:tc>
          <w:tcPr>
            <w:tcW w:w="845" w:type="dxa"/>
            <w:tcBorders>
              <w:bottom w:val="single" w:sz="4" w:space="0" w:color="808080" w:themeColor="background1" w:themeShade="80"/>
            </w:tcBorders>
            <w:shd w:val="clear" w:color="auto" w:fill="auto"/>
            <w:vAlign w:val="center"/>
          </w:tcPr>
          <w:p w14:paraId="041059D3" w14:textId="6248F6C7" w:rsidR="0027529D" w:rsidRPr="00332AB5" w:rsidRDefault="0027529D" w:rsidP="0027529D">
            <w:pPr>
              <w:spacing w:line="259" w:lineRule="auto"/>
              <w:jc w:val="right"/>
              <w:rPr>
                <w:rFonts w:asciiTheme="minorHAnsi" w:eastAsia="Calibri" w:hAnsiTheme="minorHAnsi" w:cstheme="minorHAnsi"/>
                <w:sz w:val="18"/>
                <w:szCs w:val="18"/>
              </w:rPr>
            </w:pPr>
            <w:r w:rsidRPr="00332AB5">
              <w:rPr>
                <w:rFonts w:asciiTheme="minorHAnsi" w:hAnsiTheme="minorHAnsi" w:cstheme="minorBidi"/>
                <w:color w:val="000000" w:themeColor="text1"/>
                <w:sz w:val="18"/>
                <w:szCs w:val="18"/>
              </w:rPr>
              <w:t>95,71</w:t>
            </w:r>
          </w:p>
        </w:tc>
        <w:tc>
          <w:tcPr>
            <w:tcW w:w="992" w:type="dxa"/>
            <w:tcBorders>
              <w:bottom w:val="single" w:sz="4" w:space="0" w:color="808080" w:themeColor="background1" w:themeShade="80"/>
            </w:tcBorders>
            <w:shd w:val="clear" w:color="auto" w:fill="auto"/>
            <w:vAlign w:val="center"/>
          </w:tcPr>
          <w:p w14:paraId="0252A93B" w14:textId="646B9037" w:rsidR="0027529D" w:rsidRPr="00332AB5" w:rsidRDefault="0027529D" w:rsidP="0027529D">
            <w:pPr>
              <w:jc w:val="right"/>
              <w:rPr>
                <w:rFonts w:asciiTheme="minorHAnsi" w:hAnsiTheme="minorHAnsi" w:cstheme="minorBidi"/>
                <w:sz w:val="18"/>
                <w:szCs w:val="18"/>
              </w:rPr>
            </w:pPr>
            <w:r w:rsidRPr="00332AB5">
              <w:rPr>
                <w:rFonts w:asciiTheme="minorHAnsi" w:hAnsiTheme="minorHAnsi" w:cstheme="minorBidi"/>
                <w:color w:val="000000" w:themeColor="text1"/>
                <w:sz w:val="18"/>
                <w:szCs w:val="18"/>
              </w:rPr>
              <w:t>1,89</w:t>
            </w:r>
          </w:p>
        </w:tc>
        <w:tc>
          <w:tcPr>
            <w:tcW w:w="709" w:type="dxa"/>
            <w:tcBorders>
              <w:bottom w:val="single" w:sz="4" w:space="0" w:color="808080" w:themeColor="background1" w:themeShade="80"/>
            </w:tcBorders>
            <w:shd w:val="clear" w:color="auto" w:fill="auto"/>
            <w:vAlign w:val="center"/>
          </w:tcPr>
          <w:p w14:paraId="3832EB0A" w14:textId="4A2559DC" w:rsidR="0027529D" w:rsidRPr="00332AB5" w:rsidRDefault="0027529D" w:rsidP="0027529D">
            <w:pPr>
              <w:spacing w:line="259" w:lineRule="auto"/>
              <w:jc w:val="right"/>
              <w:rPr>
                <w:rFonts w:ascii="Calibri" w:eastAsia="Calibri" w:hAnsi="Calibri" w:cs="Calibri"/>
                <w:sz w:val="18"/>
                <w:szCs w:val="18"/>
              </w:rPr>
            </w:pPr>
            <w:r w:rsidRPr="00332AB5">
              <w:rPr>
                <w:rFonts w:asciiTheme="minorHAnsi" w:hAnsiTheme="minorHAnsi" w:cstheme="minorBidi"/>
                <w:color w:val="000000" w:themeColor="text1"/>
                <w:sz w:val="18"/>
                <w:szCs w:val="18"/>
              </w:rPr>
              <w:t>81,12</w:t>
            </w:r>
          </w:p>
        </w:tc>
        <w:tc>
          <w:tcPr>
            <w:tcW w:w="992" w:type="dxa"/>
            <w:tcBorders>
              <w:bottom w:val="single" w:sz="4" w:space="0" w:color="808080" w:themeColor="background1" w:themeShade="80"/>
            </w:tcBorders>
            <w:shd w:val="clear" w:color="auto" w:fill="auto"/>
            <w:vAlign w:val="center"/>
          </w:tcPr>
          <w:p w14:paraId="146FB7BA" w14:textId="6897ABEE" w:rsidR="0027529D" w:rsidRPr="00332AB5" w:rsidRDefault="0027529D" w:rsidP="0027529D">
            <w:pPr>
              <w:spacing w:line="259" w:lineRule="auto"/>
              <w:jc w:val="right"/>
              <w:rPr>
                <w:rFonts w:ascii="Calibri" w:eastAsia="Calibri" w:hAnsi="Calibri" w:cs="Calibri"/>
                <w:sz w:val="18"/>
                <w:szCs w:val="18"/>
              </w:rPr>
            </w:pPr>
            <w:r w:rsidRPr="00332AB5">
              <w:rPr>
                <w:rFonts w:asciiTheme="minorHAnsi" w:hAnsiTheme="minorHAnsi" w:cstheme="minorBidi"/>
                <w:color w:val="000000" w:themeColor="text1"/>
                <w:sz w:val="18"/>
                <w:szCs w:val="18"/>
              </w:rPr>
              <w:t>1,64</w:t>
            </w:r>
          </w:p>
        </w:tc>
        <w:tc>
          <w:tcPr>
            <w:tcW w:w="709" w:type="dxa"/>
            <w:tcBorders>
              <w:bottom w:val="single" w:sz="4" w:space="0" w:color="808080" w:themeColor="background1" w:themeShade="80"/>
            </w:tcBorders>
            <w:shd w:val="clear" w:color="auto" w:fill="auto"/>
            <w:vAlign w:val="center"/>
          </w:tcPr>
          <w:p w14:paraId="1CE823ED" w14:textId="1DABC0F9" w:rsidR="0027529D" w:rsidRPr="00332AB5" w:rsidRDefault="0027529D" w:rsidP="0027529D">
            <w:pPr>
              <w:jc w:val="right"/>
              <w:rPr>
                <w:rFonts w:asciiTheme="minorHAnsi" w:hAnsiTheme="minorHAnsi" w:cstheme="minorHAnsi"/>
                <w:sz w:val="18"/>
                <w:szCs w:val="18"/>
              </w:rPr>
            </w:pPr>
            <w:r w:rsidRPr="00332AB5">
              <w:rPr>
                <w:rFonts w:asciiTheme="minorHAnsi" w:hAnsiTheme="minorHAnsi" w:cstheme="minorBidi"/>
                <w:color w:val="000000" w:themeColor="text1"/>
                <w:sz w:val="18"/>
                <w:szCs w:val="18"/>
              </w:rPr>
              <w:t>70,39</w:t>
            </w:r>
          </w:p>
        </w:tc>
        <w:tc>
          <w:tcPr>
            <w:tcW w:w="992" w:type="dxa"/>
            <w:tcBorders>
              <w:bottom w:val="single" w:sz="4" w:space="0" w:color="808080" w:themeColor="background1" w:themeShade="80"/>
            </w:tcBorders>
            <w:shd w:val="clear" w:color="auto" w:fill="auto"/>
            <w:vAlign w:val="center"/>
          </w:tcPr>
          <w:p w14:paraId="10B70E45" w14:textId="77777777" w:rsidR="0027529D" w:rsidRPr="00332AB5" w:rsidRDefault="0027529D" w:rsidP="0027529D">
            <w:pPr>
              <w:jc w:val="right"/>
              <w:rPr>
                <w:rFonts w:asciiTheme="minorHAnsi" w:hAnsiTheme="minorHAnsi" w:cstheme="minorHAnsi"/>
                <w:sz w:val="18"/>
                <w:szCs w:val="18"/>
              </w:rPr>
            </w:pPr>
          </w:p>
        </w:tc>
        <w:tc>
          <w:tcPr>
            <w:tcW w:w="709" w:type="dxa"/>
            <w:tcBorders>
              <w:bottom w:val="single" w:sz="4" w:space="0" w:color="808080" w:themeColor="background1" w:themeShade="80"/>
            </w:tcBorders>
            <w:shd w:val="clear" w:color="auto" w:fill="auto"/>
            <w:vAlign w:val="center"/>
          </w:tcPr>
          <w:p w14:paraId="59AB385E" w14:textId="77777777" w:rsidR="0027529D" w:rsidRPr="00332AB5" w:rsidRDefault="0027529D" w:rsidP="0027529D">
            <w:pPr>
              <w:jc w:val="right"/>
              <w:rPr>
                <w:rFonts w:asciiTheme="minorHAnsi" w:hAnsiTheme="minorHAnsi" w:cstheme="minorHAnsi"/>
                <w:sz w:val="18"/>
                <w:szCs w:val="18"/>
              </w:rPr>
            </w:pPr>
          </w:p>
        </w:tc>
      </w:tr>
      <w:tr w:rsidR="00BB613F" w:rsidRPr="00332AB5" w14:paraId="3451B438" w14:textId="77777777" w:rsidTr="009C6B10">
        <w:trPr>
          <w:trHeight w:val="510"/>
        </w:trPr>
        <w:tc>
          <w:tcPr>
            <w:tcW w:w="1179" w:type="dxa"/>
            <w:shd w:val="clear" w:color="auto" w:fill="auto"/>
            <w:vAlign w:val="center"/>
          </w:tcPr>
          <w:p w14:paraId="0E64423F" w14:textId="77777777" w:rsidR="00BB613F" w:rsidRPr="00332AB5" w:rsidRDefault="00BB613F" w:rsidP="00BB613F">
            <w:pPr>
              <w:rPr>
                <w:sz w:val="18"/>
                <w:szCs w:val="24"/>
              </w:rPr>
            </w:pPr>
            <w:r w:rsidRPr="00332AB5">
              <w:rPr>
                <w:rFonts w:asciiTheme="minorHAnsi" w:hAnsiTheme="minorHAnsi" w:cstheme="minorHAnsi"/>
                <w:sz w:val="18"/>
              </w:rPr>
              <w:t>UKUPNO</w:t>
            </w:r>
          </w:p>
        </w:tc>
        <w:tc>
          <w:tcPr>
            <w:tcW w:w="998" w:type="dxa"/>
            <w:tcBorders>
              <w:top w:val="single" w:sz="4" w:space="0" w:color="808080" w:themeColor="background1" w:themeShade="80"/>
              <w:bottom w:val="single" w:sz="4" w:space="0" w:color="808080" w:themeColor="background1" w:themeShade="80"/>
            </w:tcBorders>
            <w:shd w:val="clear" w:color="auto" w:fill="auto"/>
            <w:vAlign w:val="center"/>
          </w:tcPr>
          <w:p w14:paraId="374E16CC" w14:textId="37B8151D" w:rsidR="00BB613F" w:rsidRPr="00332AB5" w:rsidRDefault="00BB613F" w:rsidP="00BB613F">
            <w:pPr>
              <w:jc w:val="right"/>
              <w:rPr>
                <w:rFonts w:asciiTheme="minorHAnsi" w:hAnsiTheme="minorHAnsi" w:cstheme="minorHAnsi"/>
                <w:sz w:val="18"/>
                <w:szCs w:val="18"/>
              </w:rPr>
            </w:pPr>
            <w:r w:rsidRPr="00332AB5">
              <w:rPr>
                <w:rFonts w:asciiTheme="minorHAnsi" w:hAnsiTheme="minorHAnsi" w:cstheme="minorBidi"/>
                <w:sz w:val="18"/>
                <w:szCs w:val="18"/>
              </w:rPr>
              <w:t>46,62</w:t>
            </w:r>
          </w:p>
        </w:tc>
        <w:tc>
          <w:tcPr>
            <w:tcW w:w="1089" w:type="dxa"/>
            <w:tcBorders>
              <w:top w:val="single" w:sz="4" w:space="0" w:color="808080" w:themeColor="background1" w:themeShade="80"/>
              <w:bottom w:val="single" w:sz="4" w:space="0" w:color="808080" w:themeColor="background1" w:themeShade="80"/>
            </w:tcBorders>
            <w:shd w:val="clear" w:color="auto" w:fill="auto"/>
            <w:vAlign w:val="center"/>
          </w:tcPr>
          <w:p w14:paraId="49CD5485" w14:textId="6606AABF" w:rsidR="00BB613F" w:rsidRPr="00332AB5" w:rsidRDefault="00BB613F" w:rsidP="00BB613F">
            <w:pPr>
              <w:spacing w:line="259" w:lineRule="auto"/>
              <w:jc w:val="right"/>
              <w:rPr>
                <w:rFonts w:asciiTheme="minorHAnsi" w:eastAsia="Calibri" w:hAnsiTheme="minorHAnsi" w:cstheme="minorBidi"/>
                <w:sz w:val="18"/>
                <w:szCs w:val="18"/>
              </w:rPr>
            </w:pPr>
            <w:r w:rsidRPr="00332AB5">
              <w:rPr>
                <w:rFonts w:asciiTheme="minorHAnsi" w:hAnsiTheme="minorHAnsi" w:cstheme="minorBidi"/>
                <w:sz w:val="18"/>
                <w:szCs w:val="18"/>
              </w:rPr>
              <w:t>56,2</w:t>
            </w:r>
            <w:r w:rsidR="00094A96" w:rsidRPr="00332AB5">
              <w:rPr>
                <w:rFonts w:asciiTheme="minorHAnsi" w:hAnsiTheme="minorHAnsi" w:cstheme="minorBidi"/>
                <w:sz w:val="18"/>
                <w:szCs w:val="18"/>
              </w:rPr>
              <w:t>9</w:t>
            </w:r>
          </w:p>
        </w:tc>
        <w:tc>
          <w:tcPr>
            <w:tcW w:w="845" w:type="dxa"/>
            <w:tcBorders>
              <w:top w:val="single" w:sz="4" w:space="0" w:color="808080" w:themeColor="background1" w:themeShade="80"/>
              <w:bottom w:val="single" w:sz="4" w:space="0" w:color="808080" w:themeColor="background1" w:themeShade="80"/>
            </w:tcBorders>
            <w:shd w:val="clear" w:color="auto" w:fill="auto"/>
            <w:vAlign w:val="center"/>
          </w:tcPr>
          <w:p w14:paraId="653045EF" w14:textId="322BBAAA" w:rsidR="00BB613F" w:rsidRPr="00332AB5" w:rsidRDefault="00BB613F" w:rsidP="00BB613F">
            <w:pPr>
              <w:spacing w:line="259" w:lineRule="auto"/>
              <w:jc w:val="right"/>
              <w:rPr>
                <w:rFonts w:asciiTheme="minorHAnsi" w:eastAsia="Calibri" w:hAnsiTheme="minorHAnsi" w:cstheme="minorHAnsi"/>
                <w:sz w:val="18"/>
                <w:szCs w:val="18"/>
              </w:rPr>
            </w:pPr>
            <w:r w:rsidRPr="00332AB5">
              <w:rPr>
                <w:rFonts w:asciiTheme="minorHAnsi" w:hAnsiTheme="minorHAnsi" w:cstheme="minorBidi"/>
                <w:sz w:val="18"/>
                <w:szCs w:val="18"/>
              </w:rPr>
              <w:t>120,74</w:t>
            </w:r>
          </w:p>
        </w:tc>
        <w:tc>
          <w:tcPr>
            <w:tcW w:w="992" w:type="dxa"/>
            <w:tcBorders>
              <w:top w:val="single" w:sz="4" w:space="0" w:color="808080" w:themeColor="background1" w:themeShade="80"/>
              <w:bottom w:val="single" w:sz="4" w:space="0" w:color="808080" w:themeColor="background1" w:themeShade="80"/>
            </w:tcBorders>
            <w:shd w:val="clear" w:color="auto" w:fill="auto"/>
            <w:vAlign w:val="center"/>
          </w:tcPr>
          <w:p w14:paraId="07F7D6F1" w14:textId="1829115D" w:rsidR="00BB613F" w:rsidRPr="00332AB5" w:rsidRDefault="00BB613F" w:rsidP="00BB613F">
            <w:pPr>
              <w:spacing w:line="259" w:lineRule="auto"/>
              <w:jc w:val="right"/>
              <w:rPr>
                <w:rFonts w:asciiTheme="minorHAnsi" w:eastAsia="Calibri" w:hAnsiTheme="minorHAnsi" w:cstheme="minorBidi"/>
                <w:sz w:val="18"/>
                <w:szCs w:val="18"/>
              </w:rPr>
            </w:pPr>
            <w:r w:rsidRPr="00332AB5">
              <w:rPr>
                <w:rFonts w:asciiTheme="minorHAnsi" w:hAnsiTheme="minorHAnsi" w:cstheme="minorBidi"/>
                <w:color w:val="000000" w:themeColor="text1"/>
                <w:sz w:val="18"/>
                <w:szCs w:val="18"/>
              </w:rPr>
              <w:t>41,08</w:t>
            </w:r>
          </w:p>
        </w:tc>
        <w:tc>
          <w:tcPr>
            <w:tcW w:w="709" w:type="dxa"/>
            <w:tcBorders>
              <w:top w:val="single" w:sz="4" w:space="0" w:color="808080" w:themeColor="background1" w:themeShade="80"/>
              <w:bottom w:val="single" w:sz="4" w:space="0" w:color="808080" w:themeColor="background1" w:themeShade="80"/>
            </w:tcBorders>
            <w:shd w:val="clear" w:color="auto" w:fill="auto"/>
            <w:vAlign w:val="center"/>
          </w:tcPr>
          <w:p w14:paraId="49FD8B5B" w14:textId="63900BAE" w:rsidR="00BB613F" w:rsidRPr="00332AB5" w:rsidRDefault="00BB613F" w:rsidP="00BB613F">
            <w:pPr>
              <w:spacing w:line="259" w:lineRule="auto"/>
              <w:jc w:val="right"/>
              <w:rPr>
                <w:rFonts w:ascii="Calibri" w:eastAsia="Calibri" w:hAnsi="Calibri" w:cs="Calibri"/>
                <w:sz w:val="18"/>
                <w:szCs w:val="18"/>
              </w:rPr>
            </w:pPr>
            <w:r w:rsidRPr="00332AB5">
              <w:rPr>
                <w:rFonts w:asciiTheme="minorHAnsi" w:hAnsiTheme="minorHAnsi" w:cstheme="minorBidi"/>
                <w:color w:val="000000" w:themeColor="text1"/>
                <w:sz w:val="18"/>
                <w:szCs w:val="18"/>
              </w:rPr>
              <w:t>88,12</w:t>
            </w:r>
          </w:p>
        </w:tc>
        <w:tc>
          <w:tcPr>
            <w:tcW w:w="992" w:type="dxa"/>
            <w:tcBorders>
              <w:top w:val="single" w:sz="4" w:space="0" w:color="808080" w:themeColor="background1" w:themeShade="80"/>
              <w:bottom w:val="single" w:sz="4" w:space="0" w:color="808080" w:themeColor="background1" w:themeShade="80"/>
            </w:tcBorders>
            <w:shd w:val="clear" w:color="auto" w:fill="auto"/>
            <w:vAlign w:val="center"/>
          </w:tcPr>
          <w:p w14:paraId="1ED7F78E" w14:textId="61E4E5C3" w:rsidR="00BB613F" w:rsidRPr="00332AB5" w:rsidRDefault="00BB613F" w:rsidP="00BB613F">
            <w:pPr>
              <w:spacing w:line="259" w:lineRule="auto"/>
              <w:jc w:val="right"/>
              <w:rPr>
                <w:rFonts w:ascii="Calibri" w:eastAsia="Calibri" w:hAnsi="Calibri" w:cs="Calibri"/>
                <w:sz w:val="18"/>
                <w:szCs w:val="18"/>
              </w:rPr>
            </w:pPr>
            <w:r w:rsidRPr="00332AB5">
              <w:rPr>
                <w:rFonts w:asciiTheme="minorHAnsi" w:hAnsiTheme="minorHAnsi" w:cstheme="minorBidi"/>
                <w:color w:val="000000" w:themeColor="text1"/>
                <w:sz w:val="18"/>
                <w:szCs w:val="18"/>
              </w:rPr>
              <w:t>31,21</w:t>
            </w:r>
          </w:p>
        </w:tc>
        <w:tc>
          <w:tcPr>
            <w:tcW w:w="709" w:type="dxa"/>
            <w:tcBorders>
              <w:top w:val="single" w:sz="4" w:space="0" w:color="808080" w:themeColor="background1" w:themeShade="80"/>
              <w:bottom w:val="single" w:sz="4" w:space="0" w:color="808080" w:themeColor="background1" w:themeShade="80"/>
            </w:tcBorders>
            <w:shd w:val="clear" w:color="auto" w:fill="auto"/>
            <w:vAlign w:val="center"/>
          </w:tcPr>
          <w:p w14:paraId="5E40BFBA" w14:textId="54D899AD" w:rsidR="00BB613F" w:rsidRPr="00332AB5" w:rsidRDefault="00BB613F" w:rsidP="00BB613F">
            <w:pPr>
              <w:jc w:val="right"/>
              <w:rPr>
                <w:rFonts w:asciiTheme="minorHAnsi" w:hAnsiTheme="minorHAnsi" w:cstheme="minorHAnsi"/>
                <w:sz w:val="18"/>
                <w:szCs w:val="18"/>
              </w:rPr>
            </w:pPr>
            <w:r w:rsidRPr="00332AB5">
              <w:rPr>
                <w:rFonts w:asciiTheme="minorHAnsi" w:hAnsiTheme="minorHAnsi" w:cstheme="minorBidi"/>
                <w:color w:val="000000" w:themeColor="text1"/>
                <w:sz w:val="18"/>
                <w:szCs w:val="18"/>
              </w:rPr>
              <w:t>66,95</w:t>
            </w:r>
          </w:p>
        </w:tc>
        <w:tc>
          <w:tcPr>
            <w:tcW w:w="992" w:type="dxa"/>
            <w:tcBorders>
              <w:top w:val="single" w:sz="4" w:space="0" w:color="808080" w:themeColor="background1" w:themeShade="80"/>
              <w:bottom w:val="single" w:sz="4" w:space="0" w:color="808080" w:themeColor="background1" w:themeShade="80"/>
            </w:tcBorders>
            <w:shd w:val="clear" w:color="auto" w:fill="auto"/>
            <w:vAlign w:val="center"/>
          </w:tcPr>
          <w:p w14:paraId="750824CC" w14:textId="4D8EC7BB" w:rsidR="00BB613F" w:rsidRPr="00332AB5" w:rsidRDefault="00BB613F" w:rsidP="00BB613F">
            <w:pPr>
              <w:spacing w:line="259" w:lineRule="auto"/>
              <w:jc w:val="right"/>
              <w:rPr>
                <w:rFonts w:asciiTheme="minorHAnsi" w:eastAsia="Calibri" w:hAnsiTheme="minorHAnsi" w:cstheme="minorHAnsi"/>
                <w:sz w:val="18"/>
                <w:szCs w:val="18"/>
              </w:rPr>
            </w:pPr>
            <w:r w:rsidRPr="00332AB5">
              <w:rPr>
                <w:rFonts w:asciiTheme="minorHAnsi" w:hAnsiTheme="minorHAnsi" w:cstheme="minorHAnsi"/>
                <w:color w:val="000000" w:themeColor="text1"/>
                <w:sz w:val="18"/>
                <w:szCs w:val="18"/>
              </w:rPr>
              <w:t>34,72</w:t>
            </w:r>
          </w:p>
        </w:tc>
        <w:tc>
          <w:tcPr>
            <w:tcW w:w="709" w:type="dxa"/>
            <w:tcBorders>
              <w:top w:val="single" w:sz="4" w:space="0" w:color="808080" w:themeColor="background1" w:themeShade="80"/>
              <w:bottom w:val="single" w:sz="4" w:space="0" w:color="808080" w:themeColor="background1" w:themeShade="80"/>
            </w:tcBorders>
            <w:shd w:val="clear" w:color="auto" w:fill="auto"/>
            <w:vAlign w:val="center"/>
          </w:tcPr>
          <w:p w14:paraId="5478AB55" w14:textId="50EF18EF" w:rsidR="00BB613F" w:rsidRPr="00332AB5" w:rsidRDefault="00BB613F" w:rsidP="00BB613F">
            <w:pPr>
              <w:spacing w:line="259" w:lineRule="auto"/>
              <w:jc w:val="right"/>
              <w:rPr>
                <w:rFonts w:asciiTheme="minorHAnsi" w:eastAsia="Calibri" w:hAnsiTheme="minorHAnsi" w:cstheme="minorHAnsi"/>
                <w:sz w:val="18"/>
                <w:szCs w:val="18"/>
              </w:rPr>
            </w:pPr>
            <w:r w:rsidRPr="00332AB5">
              <w:rPr>
                <w:rFonts w:asciiTheme="minorHAnsi" w:hAnsiTheme="minorHAnsi" w:cstheme="minorHAnsi"/>
                <w:color w:val="000000" w:themeColor="text1"/>
                <w:sz w:val="18"/>
                <w:szCs w:val="18"/>
              </w:rPr>
              <w:t>74,47</w:t>
            </w:r>
          </w:p>
        </w:tc>
      </w:tr>
    </w:tbl>
    <w:p w14:paraId="0E3EA81B" w14:textId="700B4B47" w:rsidR="004D190D" w:rsidRPr="00332AB5" w:rsidRDefault="004D190D" w:rsidP="004D190D">
      <w:pPr>
        <w:spacing w:before="120" w:after="120"/>
        <w:jc w:val="both"/>
        <w:rPr>
          <w:sz w:val="24"/>
          <w:szCs w:val="24"/>
        </w:rPr>
      </w:pPr>
      <w:r w:rsidRPr="00332AB5">
        <w:rPr>
          <w:sz w:val="24"/>
          <w:szCs w:val="24"/>
        </w:rPr>
        <w:t>Od ukupno provedenih sedam poziva, za njih šest su s ciljem pojednostavljenja provedbe uvrštene i mogućnosti pojednostavljenih troškovnih opcija u obliku standardne veličine jediničnog troška (za troškove školskih obroka) te fiksne stope od 5 % za administrativne troškove, troškove prijevoza i skladištenja. Riječ je o pozivima Osiguravanje školske prehrane za djecu u riziku od siromaštva (šk. godina 2017. - 2018.), Osiguravanje školske prehrane za djecu u riziku od siromaštva (šk. godina 2018. - 2019.), Osiguravanje školske prehrane za djecu u riziku od siromaštva (2019. - 2020.), Osiguravanje školske prehrane za djecu u riziku od siromaštva (2020. - 2021.), Osiguravanje školske prehrane za djecu u riziku od siromaštva (2021. - 2022.) te Osiguravanje školske prehrane za djecu u riziku od siromaštva (2022. - 2023.). U pozivima Ublažavanje siromaštva pružanjem pomoći najpotrebitijim osobama podjelom hrane i/ili osnovne materijalne pomoći - faza II, III i IV te Ublažavanje siromaštva pružanjem pomoći najpotrebitijim osobama podjelom hrane i/ili osnovne materijalne pomoći (MD1, MD2, TP) primjenjuje se fiksna stopa od 5 % za administrativne troškove, troškove prijevoza i skladištenja te 5 % za popratne mjere.</w:t>
      </w:r>
    </w:p>
    <w:p w14:paraId="14C3BD19" w14:textId="1B770490" w:rsidR="004D190D" w:rsidRPr="00332AB5" w:rsidRDefault="004D190D" w:rsidP="004D190D">
      <w:pPr>
        <w:spacing w:before="120" w:after="120" w:line="259" w:lineRule="auto"/>
        <w:jc w:val="both"/>
        <w:rPr>
          <w:rFonts w:eastAsia="Calibri"/>
          <w:sz w:val="24"/>
          <w:szCs w:val="24"/>
        </w:rPr>
      </w:pPr>
      <w:r w:rsidRPr="00332AB5">
        <w:rPr>
          <w:rFonts w:eastAsia="Calibri"/>
          <w:sz w:val="24"/>
          <w:szCs w:val="24"/>
        </w:rPr>
        <w:t xml:space="preserve">U </w:t>
      </w:r>
      <w:r w:rsidR="00EB675D" w:rsidRPr="00332AB5">
        <w:rPr>
          <w:rFonts w:eastAsia="Calibri"/>
          <w:sz w:val="24"/>
          <w:szCs w:val="24"/>
        </w:rPr>
        <w:t>razdoblju</w:t>
      </w:r>
      <w:r w:rsidRPr="00332AB5">
        <w:rPr>
          <w:rFonts w:eastAsia="Calibri"/>
          <w:sz w:val="24"/>
          <w:szCs w:val="24"/>
        </w:rPr>
        <w:t xml:space="preserve"> od 1. siječnja do 30. lipnja 2023. zaprimljeno je </w:t>
      </w:r>
      <w:r w:rsidR="00020F30" w:rsidRPr="00332AB5">
        <w:rPr>
          <w:rFonts w:eastAsia="Calibri"/>
          <w:sz w:val="24"/>
          <w:szCs w:val="24"/>
        </w:rPr>
        <w:t>sedam</w:t>
      </w:r>
      <w:r w:rsidRPr="00332AB5">
        <w:rPr>
          <w:rFonts w:eastAsia="Calibri"/>
          <w:sz w:val="24"/>
          <w:szCs w:val="24"/>
        </w:rPr>
        <w:t xml:space="preserve"> konačnih izvješća vezano za reviziju operacije.</w:t>
      </w:r>
    </w:p>
    <w:p w14:paraId="343A1EC8" w14:textId="77777777" w:rsidR="004D190D" w:rsidRPr="00332AB5" w:rsidRDefault="004D190D" w:rsidP="004D190D">
      <w:pPr>
        <w:spacing w:before="120" w:after="120" w:line="259" w:lineRule="auto"/>
        <w:jc w:val="both"/>
        <w:rPr>
          <w:rFonts w:eastAsia="Calibri"/>
          <w:sz w:val="24"/>
          <w:szCs w:val="24"/>
        </w:rPr>
      </w:pPr>
      <w:r w:rsidRPr="00332AB5">
        <w:rPr>
          <w:rFonts w:eastAsia="Calibri"/>
          <w:kern w:val="2"/>
          <w:sz w:val="24"/>
          <w:szCs w:val="24"/>
          <w:lang w:eastAsia="en-US"/>
          <w14:ligatures w14:val="standardContextual"/>
        </w:rPr>
        <w:t>Zaprimljena su i konačna izvješća vezano uz praćenje provedbe revizijskih preporuka revizija sustava i operacija iz prethodnih godina (follow-up).</w:t>
      </w:r>
    </w:p>
    <w:p w14:paraId="34BBA910" w14:textId="2A96E4B2" w:rsidR="004D190D" w:rsidRPr="00332AB5" w:rsidRDefault="004D190D" w:rsidP="004D190D">
      <w:pPr>
        <w:spacing w:before="120" w:after="120" w:line="259" w:lineRule="auto"/>
        <w:jc w:val="both"/>
        <w:rPr>
          <w:rFonts w:eastAsia="Calibri"/>
          <w:sz w:val="24"/>
          <w:szCs w:val="24"/>
        </w:rPr>
      </w:pPr>
      <w:r w:rsidRPr="00332AB5">
        <w:rPr>
          <w:rFonts w:eastAsia="Calibri"/>
          <w:sz w:val="24"/>
          <w:szCs w:val="24"/>
        </w:rPr>
        <w:t>U izvještajnom razdoblju, 3. svibnja 2023. u Zagrebu, održana je 19. sjednica Odbora za praćenje Operativnog programa Učinkoviti ljudski potencijali 2014</w:t>
      </w:r>
      <w:r w:rsidR="000F59CF" w:rsidRPr="00332AB5">
        <w:rPr>
          <w:rFonts w:eastAsia="Calibri"/>
          <w:sz w:val="24"/>
          <w:szCs w:val="24"/>
        </w:rPr>
        <w:t>. –</w:t>
      </w:r>
      <w:r w:rsidRPr="00332AB5">
        <w:rPr>
          <w:rFonts w:eastAsia="Calibri"/>
          <w:sz w:val="24"/>
          <w:szCs w:val="24"/>
        </w:rPr>
        <w:t xml:space="preserve"> 2020. Na 19. sjednici Odbora za praćenje Operativnog programa Učinkoviti ljudski potencijali 2014.</w:t>
      </w:r>
      <w:r w:rsidR="000F59CF" w:rsidRPr="00332AB5">
        <w:rPr>
          <w:rFonts w:eastAsia="Calibri"/>
          <w:sz w:val="24"/>
          <w:szCs w:val="24"/>
        </w:rPr>
        <w:t xml:space="preserve"> – </w:t>
      </w:r>
      <w:r w:rsidRPr="00332AB5">
        <w:rPr>
          <w:rFonts w:eastAsia="Calibri"/>
          <w:sz w:val="24"/>
          <w:szCs w:val="24"/>
        </w:rPr>
        <w:t>2020. članstvu je predstavljen napredak provedbe, financijski pregled provedbe OPFEAD te planovi za zatvaranje OPFEAD.</w:t>
      </w:r>
    </w:p>
    <w:p w14:paraId="1E518C74" w14:textId="165442C8" w:rsidR="004D190D" w:rsidRPr="00332AB5" w:rsidRDefault="004D190D" w:rsidP="004D190D">
      <w:pPr>
        <w:spacing w:before="120" w:after="120" w:line="259" w:lineRule="auto"/>
        <w:jc w:val="both"/>
        <w:rPr>
          <w:rFonts w:eastAsia="Calibri"/>
          <w:sz w:val="24"/>
          <w:szCs w:val="24"/>
        </w:rPr>
      </w:pPr>
      <w:r w:rsidRPr="00332AB5">
        <w:rPr>
          <w:rFonts w:eastAsia="Calibri"/>
          <w:sz w:val="24"/>
          <w:szCs w:val="24"/>
        </w:rPr>
        <w:t>Dodatno, tijekom 19. sjednice Odbora za praćenje Operativnog programa Učinkoviti ljudski potencijali 2014.</w:t>
      </w:r>
      <w:r w:rsidR="000F59CF" w:rsidRPr="00332AB5">
        <w:rPr>
          <w:rFonts w:eastAsia="Calibri"/>
          <w:sz w:val="24"/>
          <w:szCs w:val="24"/>
        </w:rPr>
        <w:t xml:space="preserve"> – </w:t>
      </w:r>
      <w:r w:rsidRPr="00332AB5">
        <w:rPr>
          <w:rFonts w:eastAsia="Calibri"/>
          <w:sz w:val="24"/>
          <w:szCs w:val="24"/>
        </w:rPr>
        <w:t>2020. članstvu je predstavljeno Godišnje izvješće o provedbi OPFEAD za 2022. godinu.</w:t>
      </w:r>
    </w:p>
    <w:p w14:paraId="3985F61D" w14:textId="77777777" w:rsidR="004D190D" w:rsidRPr="00332AB5" w:rsidRDefault="004D190D" w:rsidP="004D190D">
      <w:pPr>
        <w:spacing w:before="120" w:after="120" w:line="259" w:lineRule="auto"/>
        <w:jc w:val="both"/>
        <w:rPr>
          <w:rFonts w:eastAsia="Calibri"/>
          <w:sz w:val="24"/>
          <w:szCs w:val="24"/>
        </w:rPr>
      </w:pPr>
      <w:r w:rsidRPr="00332AB5">
        <w:rPr>
          <w:rFonts w:eastAsia="Calibri"/>
          <w:sz w:val="24"/>
          <w:szCs w:val="24"/>
        </w:rPr>
        <w:t>Tijekom izvještajnog razdoblja za potrebe izrade Godišnjeg izvješća o provedbi OPFEAD za 2022. godinu održane su i partnerske konzultacije s partnerskim organizacijama.</w:t>
      </w:r>
    </w:p>
    <w:p w14:paraId="633F844F" w14:textId="77777777" w:rsidR="004D190D" w:rsidRPr="00332AB5" w:rsidRDefault="004D190D" w:rsidP="004D190D">
      <w:pPr>
        <w:spacing w:before="120" w:after="120" w:line="259" w:lineRule="auto"/>
        <w:jc w:val="both"/>
        <w:rPr>
          <w:rFonts w:eastAsia="Calibri"/>
          <w:sz w:val="24"/>
          <w:szCs w:val="24"/>
        </w:rPr>
      </w:pPr>
    </w:p>
    <w:p w14:paraId="566F4423" w14:textId="16C3B95F" w:rsidR="00F63666" w:rsidRPr="00332AB5" w:rsidRDefault="00F63666" w:rsidP="004D190D">
      <w:pPr>
        <w:spacing w:before="120" w:after="120"/>
        <w:jc w:val="both"/>
        <w:rPr>
          <w:b/>
          <w:bCs/>
          <w:iCs/>
          <w:sz w:val="24"/>
          <w:szCs w:val="28"/>
        </w:rPr>
      </w:pPr>
      <w:r w:rsidRPr="00332AB5">
        <w:br w:type="page"/>
      </w:r>
    </w:p>
    <w:p w14:paraId="0595DE8A" w14:textId="77777777" w:rsidR="00F73CD0" w:rsidRPr="00332AB5" w:rsidRDefault="00C12100" w:rsidP="00E2152B">
      <w:pPr>
        <w:pStyle w:val="Heading2"/>
        <w:numPr>
          <w:ilvl w:val="1"/>
          <w:numId w:val="3"/>
        </w:numPr>
      </w:pPr>
      <w:bookmarkStart w:id="80" w:name="_Toc152595224"/>
      <w:r w:rsidRPr="00332AB5">
        <w:lastRenderedPageBreak/>
        <w:t>PROGRAMI TERITORIJALNE SURADNJE ZA FINANCIJSKO RAZDOBLJE 2014. – 2020.</w:t>
      </w:r>
      <w:bookmarkEnd w:id="76"/>
      <w:bookmarkEnd w:id="80"/>
    </w:p>
    <w:p w14:paraId="61871638" w14:textId="77777777" w:rsidR="00F73CD0" w:rsidRPr="00332AB5" w:rsidRDefault="00F73CD0" w:rsidP="00E2152B">
      <w:pPr>
        <w:spacing w:before="120" w:after="120"/>
        <w:jc w:val="both"/>
        <w:rPr>
          <w:rFonts w:eastAsia="Calibri"/>
          <w:sz w:val="24"/>
          <w:szCs w:val="24"/>
        </w:rPr>
      </w:pPr>
      <w:r w:rsidRPr="00332AB5">
        <w:rPr>
          <w:rFonts w:eastAsia="Calibri"/>
          <w:sz w:val="24"/>
          <w:szCs w:val="24"/>
        </w:rPr>
        <w:t>U financijskom razdoblju 2014. – 2020. RH sudjeluje u 13 programa prekogranične, transnacionalne i međuregionalne suradnje.</w:t>
      </w:r>
    </w:p>
    <w:p w14:paraId="166C4421" w14:textId="77777777" w:rsidR="00F73CD0" w:rsidRPr="00332AB5" w:rsidRDefault="00F73CD0" w:rsidP="00E2152B">
      <w:pPr>
        <w:spacing w:before="120" w:after="120"/>
        <w:jc w:val="both"/>
        <w:rPr>
          <w:rFonts w:eastAsia="Calibri"/>
          <w:sz w:val="24"/>
          <w:szCs w:val="24"/>
        </w:rPr>
      </w:pPr>
      <w:r w:rsidRPr="00332AB5">
        <w:rPr>
          <w:rFonts w:eastAsia="Calibri"/>
          <w:sz w:val="24"/>
          <w:szCs w:val="24"/>
        </w:rPr>
        <w:t>Programi prekogranične suradnje:</w:t>
      </w:r>
    </w:p>
    <w:p w14:paraId="527E5B09" w14:textId="77777777" w:rsidR="00F73CD0" w:rsidRPr="00332AB5" w:rsidRDefault="00F73CD0" w:rsidP="00E2152B">
      <w:pPr>
        <w:numPr>
          <w:ilvl w:val="0"/>
          <w:numId w:val="4"/>
        </w:numPr>
        <w:spacing w:before="120" w:after="120"/>
        <w:contextualSpacing/>
        <w:jc w:val="both"/>
        <w:rPr>
          <w:rFonts w:eastAsia="Calibri"/>
          <w:sz w:val="24"/>
          <w:szCs w:val="24"/>
        </w:rPr>
      </w:pPr>
      <w:r w:rsidRPr="00332AB5">
        <w:rPr>
          <w:rFonts w:eastAsia="Calibri"/>
          <w:sz w:val="24"/>
          <w:szCs w:val="24"/>
        </w:rPr>
        <w:t>Interreg IPA program prekogranične suradnje Hrvatska – Srbija 2014. – 2020.</w:t>
      </w:r>
    </w:p>
    <w:p w14:paraId="5477592F" w14:textId="77777777" w:rsidR="00F73CD0" w:rsidRPr="00332AB5" w:rsidRDefault="00F73CD0" w:rsidP="00E2152B">
      <w:pPr>
        <w:numPr>
          <w:ilvl w:val="0"/>
          <w:numId w:val="4"/>
        </w:numPr>
        <w:spacing w:before="120" w:after="120"/>
        <w:contextualSpacing/>
        <w:jc w:val="both"/>
        <w:rPr>
          <w:rFonts w:eastAsia="Calibri"/>
          <w:sz w:val="24"/>
          <w:szCs w:val="24"/>
        </w:rPr>
      </w:pPr>
      <w:r w:rsidRPr="00332AB5">
        <w:rPr>
          <w:rFonts w:eastAsia="Calibri"/>
          <w:sz w:val="24"/>
          <w:szCs w:val="24"/>
        </w:rPr>
        <w:t>Interreg IPA program prekogranične suradnje Hrvatska – Bosna i Hercegovina – Crna Gora 2014. – 2020.</w:t>
      </w:r>
    </w:p>
    <w:p w14:paraId="01A55604" w14:textId="77777777" w:rsidR="00F73CD0" w:rsidRPr="00332AB5" w:rsidRDefault="00F73CD0" w:rsidP="00E2152B">
      <w:pPr>
        <w:numPr>
          <w:ilvl w:val="0"/>
          <w:numId w:val="4"/>
        </w:numPr>
        <w:spacing w:before="120" w:after="120"/>
        <w:contextualSpacing/>
        <w:jc w:val="both"/>
        <w:rPr>
          <w:rFonts w:eastAsia="Calibri"/>
          <w:sz w:val="24"/>
          <w:szCs w:val="24"/>
        </w:rPr>
      </w:pPr>
      <w:r w:rsidRPr="00332AB5">
        <w:rPr>
          <w:rFonts w:eastAsia="Calibri"/>
          <w:sz w:val="24"/>
          <w:szCs w:val="24"/>
        </w:rPr>
        <w:t>Program prekogranične suradnje Interreg V-A Mađarska – Hrvatska 2014. – 2020.</w:t>
      </w:r>
    </w:p>
    <w:p w14:paraId="3EE1872F" w14:textId="77777777" w:rsidR="00F73CD0" w:rsidRPr="00332AB5" w:rsidRDefault="00F73CD0" w:rsidP="00E2152B">
      <w:pPr>
        <w:numPr>
          <w:ilvl w:val="0"/>
          <w:numId w:val="4"/>
        </w:numPr>
        <w:spacing w:before="120" w:after="120"/>
        <w:contextualSpacing/>
        <w:jc w:val="both"/>
        <w:rPr>
          <w:rFonts w:eastAsia="Calibri"/>
          <w:sz w:val="24"/>
          <w:szCs w:val="24"/>
        </w:rPr>
      </w:pPr>
      <w:r w:rsidRPr="00332AB5">
        <w:rPr>
          <w:rFonts w:eastAsia="Calibri"/>
          <w:sz w:val="24"/>
          <w:szCs w:val="24"/>
        </w:rPr>
        <w:t>Program prekogranične suradnje Interreg V-A Slovenija – Hrvatska 2014. – 2020.</w:t>
      </w:r>
    </w:p>
    <w:p w14:paraId="6D0BE499" w14:textId="77777777" w:rsidR="00F73CD0" w:rsidRPr="00332AB5" w:rsidRDefault="00F73CD0" w:rsidP="00E2152B">
      <w:pPr>
        <w:numPr>
          <w:ilvl w:val="0"/>
          <w:numId w:val="4"/>
        </w:numPr>
        <w:spacing w:before="120" w:after="120"/>
        <w:ind w:left="714" w:hanging="357"/>
        <w:jc w:val="both"/>
        <w:rPr>
          <w:rFonts w:eastAsia="Calibri"/>
          <w:sz w:val="24"/>
          <w:szCs w:val="24"/>
        </w:rPr>
      </w:pPr>
      <w:r w:rsidRPr="00332AB5">
        <w:rPr>
          <w:rFonts w:eastAsia="Calibri"/>
          <w:sz w:val="24"/>
          <w:szCs w:val="24"/>
        </w:rPr>
        <w:t>Program prekogranične suradnje Interreg V-A Italija – Hrvatska 2014. – 2020.</w:t>
      </w:r>
    </w:p>
    <w:p w14:paraId="7C4DB4AB" w14:textId="77777777" w:rsidR="00F73CD0" w:rsidRPr="00332AB5" w:rsidRDefault="00F73CD0" w:rsidP="00E2152B">
      <w:pPr>
        <w:spacing w:before="120" w:after="120"/>
        <w:jc w:val="both"/>
        <w:rPr>
          <w:rFonts w:eastAsia="Calibri"/>
          <w:sz w:val="24"/>
          <w:szCs w:val="24"/>
        </w:rPr>
      </w:pPr>
      <w:r w:rsidRPr="00332AB5">
        <w:rPr>
          <w:rFonts w:eastAsia="Calibri"/>
          <w:sz w:val="24"/>
          <w:szCs w:val="24"/>
        </w:rPr>
        <w:t>Programi Interreg B transnacionalne suradnje:</w:t>
      </w:r>
    </w:p>
    <w:p w14:paraId="4C190453" w14:textId="77777777" w:rsidR="00F73CD0" w:rsidRPr="00332AB5" w:rsidRDefault="00F73CD0" w:rsidP="00E2152B">
      <w:pPr>
        <w:numPr>
          <w:ilvl w:val="0"/>
          <w:numId w:val="5"/>
        </w:numPr>
        <w:spacing w:before="120" w:after="120"/>
        <w:contextualSpacing/>
        <w:jc w:val="both"/>
        <w:rPr>
          <w:rFonts w:eastAsia="Calibri"/>
          <w:sz w:val="24"/>
          <w:szCs w:val="24"/>
        </w:rPr>
      </w:pPr>
      <w:r w:rsidRPr="00332AB5">
        <w:rPr>
          <w:rFonts w:eastAsia="Calibri"/>
          <w:sz w:val="24"/>
          <w:szCs w:val="24"/>
        </w:rPr>
        <w:t>Program transnacionalne suradnje Interreg V-B Dunav 2014. – 2020.</w:t>
      </w:r>
    </w:p>
    <w:p w14:paraId="76C7B5E5" w14:textId="77777777" w:rsidR="00F73CD0" w:rsidRPr="00332AB5" w:rsidRDefault="00F73CD0" w:rsidP="00E2152B">
      <w:pPr>
        <w:numPr>
          <w:ilvl w:val="0"/>
          <w:numId w:val="5"/>
        </w:numPr>
        <w:spacing w:before="120" w:after="120"/>
        <w:contextualSpacing/>
        <w:jc w:val="both"/>
        <w:rPr>
          <w:rFonts w:eastAsia="Calibri"/>
          <w:sz w:val="24"/>
          <w:szCs w:val="24"/>
        </w:rPr>
      </w:pPr>
      <w:r w:rsidRPr="00332AB5">
        <w:rPr>
          <w:rFonts w:eastAsia="Calibri"/>
          <w:sz w:val="24"/>
          <w:szCs w:val="24"/>
        </w:rPr>
        <w:t>Interreg V-B Jadransko-jonski program transnacionalne suradnje 2014. – 2020.</w:t>
      </w:r>
    </w:p>
    <w:p w14:paraId="669A18E9" w14:textId="77777777" w:rsidR="00F73CD0" w:rsidRPr="00332AB5" w:rsidRDefault="00F73CD0" w:rsidP="00E2152B">
      <w:pPr>
        <w:numPr>
          <w:ilvl w:val="0"/>
          <w:numId w:val="5"/>
        </w:numPr>
        <w:spacing w:before="120" w:after="120"/>
        <w:contextualSpacing/>
        <w:jc w:val="both"/>
        <w:rPr>
          <w:rFonts w:eastAsia="Calibri"/>
          <w:sz w:val="24"/>
          <w:szCs w:val="24"/>
        </w:rPr>
      </w:pPr>
      <w:r w:rsidRPr="00332AB5">
        <w:rPr>
          <w:rFonts w:eastAsia="Calibri"/>
          <w:sz w:val="24"/>
          <w:szCs w:val="24"/>
        </w:rPr>
        <w:t>Program transnacionalne suradnje Interreg V-B Središnja Europa 2014. – 2020.</w:t>
      </w:r>
    </w:p>
    <w:p w14:paraId="40BA9343" w14:textId="77777777" w:rsidR="00F73CD0" w:rsidRPr="00332AB5" w:rsidRDefault="00F73CD0" w:rsidP="00E2152B">
      <w:pPr>
        <w:numPr>
          <w:ilvl w:val="0"/>
          <w:numId w:val="5"/>
        </w:numPr>
        <w:spacing w:before="120" w:after="120"/>
        <w:ind w:left="714" w:hanging="357"/>
        <w:jc w:val="both"/>
        <w:rPr>
          <w:rFonts w:eastAsia="Calibri"/>
          <w:sz w:val="24"/>
          <w:szCs w:val="24"/>
        </w:rPr>
      </w:pPr>
      <w:r w:rsidRPr="00332AB5">
        <w:rPr>
          <w:rFonts w:eastAsia="Calibri"/>
          <w:sz w:val="24"/>
          <w:szCs w:val="24"/>
        </w:rPr>
        <w:t>Program transnacionalne suradnje Interreg V-B Mediteran 2014. – 2020.</w:t>
      </w:r>
    </w:p>
    <w:p w14:paraId="50B04B67" w14:textId="77777777" w:rsidR="00F73CD0" w:rsidRPr="00332AB5" w:rsidRDefault="00F73CD0" w:rsidP="00E2152B">
      <w:pPr>
        <w:spacing w:before="120" w:after="120"/>
        <w:jc w:val="both"/>
        <w:rPr>
          <w:rFonts w:eastAsia="Calibri"/>
          <w:sz w:val="24"/>
          <w:szCs w:val="24"/>
        </w:rPr>
      </w:pPr>
      <w:r w:rsidRPr="00332AB5">
        <w:rPr>
          <w:rFonts w:eastAsia="Calibri"/>
          <w:sz w:val="24"/>
          <w:szCs w:val="24"/>
        </w:rPr>
        <w:t>Programi Interreg C međuregionalne suradnje:</w:t>
      </w:r>
    </w:p>
    <w:p w14:paraId="164994FF" w14:textId="77777777" w:rsidR="00F73CD0" w:rsidRPr="00332AB5" w:rsidRDefault="00F73CD0" w:rsidP="00E2152B">
      <w:pPr>
        <w:numPr>
          <w:ilvl w:val="0"/>
          <w:numId w:val="6"/>
        </w:numPr>
        <w:spacing w:before="120" w:after="120"/>
        <w:contextualSpacing/>
        <w:jc w:val="both"/>
        <w:rPr>
          <w:rFonts w:eastAsia="Calibri"/>
          <w:sz w:val="24"/>
          <w:szCs w:val="24"/>
        </w:rPr>
      </w:pPr>
      <w:r w:rsidRPr="00332AB5">
        <w:rPr>
          <w:rFonts w:eastAsia="Calibri"/>
          <w:sz w:val="24"/>
          <w:szCs w:val="24"/>
        </w:rPr>
        <w:t>Program međuregionalne suradnje INTERREG Europe 2014. – 2020.</w:t>
      </w:r>
    </w:p>
    <w:p w14:paraId="1FE5C7AA" w14:textId="32B61CB2" w:rsidR="00F73CD0" w:rsidRPr="00332AB5" w:rsidRDefault="00F73CD0" w:rsidP="00E2152B">
      <w:pPr>
        <w:numPr>
          <w:ilvl w:val="0"/>
          <w:numId w:val="6"/>
        </w:numPr>
        <w:spacing w:before="120" w:after="120"/>
        <w:contextualSpacing/>
        <w:jc w:val="both"/>
        <w:rPr>
          <w:rFonts w:eastAsia="Calibri"/>
          <w:sz w:val="24"/>
          <w:szCs w:val="24"/>
        </w:rPr>
      </w:pPr>
      <w:r w:rsidRPr="00332AB5">
        <w:rPr>
          <w:rFonts w:eastAsia="Calibri"/>
          <w:sz w:val="24"/>
          <w:szCs w:val="24"/>
        </w:rPr>
        <w:t xml:space="preserve">Program međuregionalne suradnje INTERACT </w:t>
      </w:r>
      <w:r w:rsidR="00B1314F" w:rsidRPr="00332AB5">
        <w:rPr>
          <w:rFonts w:eastAsia="Calibri"/>
          <w:sz w:val="24"/>
          <w:szCs w:val="24"/>
        </w:rPr>
        <w:t xml:space="preserve">III </w:t>
      </w:r>
      <w:r w:rsidRPr="00332AB5">
        <w:rPr>
          <w:rFonts w:eastAsia="Calibri"/>
          <w:sz w:val="24"/>
          <w:szCs w:val="24"/>
        </w:rPr>
        <w:t>2014. – 2020.</w:t>
      </w:r>
    </w:p>
    <w:p w14:paraId="4D29941B" w14:textId="77777777" w:rsidR="00F73CD0" w:rsidRPr="00332AB5" w:rsidRDefault="00F73CD0" w:rsidP="00E2152B">
      <w:pPr>
        <w:numPr>
          <w:ilvl w:val="0"/>
          <w:numId w:val="6"/>
        </w:numPr>
        <w:spacing w:before="120" w:after="120"/>
        <w:contextualSpacing/>
        <w:jc w:val="both"/>
        <w:rPr>
          <w:rFonts w:eastAsia="Calibri"/>
          <w:sz w:val="24"/>
          <w:szCs w:val="24"/>
        </w:rPr>
      </w:pPr>
      <w:r w:rsidRPr="00332AB5">
        <w:rPr>
          <w:rFonts w:eastAsia="Calibri"/>
          <w:sz w:val="24"/>
          <w:szCs w:val="24"/>
        </w:rPr>
        <w:t>Program međuregionalne suradnje URBACT III 2014. – 2020.</w:t>
      </w:r>
    </w:p>
    <w:p w14:paraId="4F23B75C" w14:textId="77777777" w:rsidR="00F73CD0" w:rsidRPr="00332AB5" w:rsidRDefault="00F73CD0" w:rsidP="00E2152B">
      <w:pPr>
        <w:numPr>
          <w:ilvl w:val="0"/>
          <w:numId w:val="6"/>
        </w:numPr>
        <w:spacing w:before="120" w:after="120"/>
        <w:contextualSpacing/>
        <w:jc w:val="both"/>
        <w:rPr>
          <w:rFonts w:eastAsia="Calibri"/>
          <w:sz w:val="24"/>
          <w:szCs w:val="24"/>
        </w:rPr>
      </w:pPr>
      <w:r w:rsidRPr="00332AB5">
        <w:rPr>
          <w:rFonts w:eastAsia="Calibri"/>
          <w:sz w:val="24"/>
          <w:szCs w:val="24"/>
        </w:rPr>
        <w:t>Program međuregionalne suradnje ESPON 2020.</w:t>
      </w:r>
    </w:p>
    <w:p w14:paraId="283E1F50" w14:textId="77777777" w:rsidR="004F7138" w:rsidRPr="00332AB5" w:rsidRDefault="004F7138" w:rsidP="004F7138">
      <w:pPr>
        <w:spacing w:before="120" w:after="120"/>
        <w:contextualSpacing/>
        <w:jc w:val="both"/>
        <w:rPr>
          <w:rFonts w:eastAsia="Calibri"/>
          <w:sz w:val="24"/>
          <w:szCs w:val="24"/>
        </w:rPr>
      </w:pPr>
    </w:p>
    <w:p w14:paraId="72440033" w14:textId="77777777" w:rsidR="00FF6F9F" w:rsidRPr="00332AB5" w:rsidRDefault="00FF6F9F" w:rsidP="00FF6F9F">
      <w:pPr>
        <w:keepNext/>
        <w:numPr>
          <w:ilvl w:val="2"/>
          <w:numId w:val="3"/>
        </w:numPr>
        <w:spacing w:before="240" w:after="240"/>
        <w:ind w:left="1276"/>
        <w:outlineLvl w:val="2"/>
        <w:rPr>
          <w:b/>
          <w:bCs/>
          <w:sz w:val="24"/>
          <w:szCs w:val="26"/>
        </w:rPr>
      </w:pPr>
      <w:bookmarkStart w:id="81" w:name="_Toc152595225"/>
      <w:r w:rsidRPr="00332AB5">
        <w:rPr>
          <w:b/>
          <w:bCs/>
          <w:sz w:val="24"/>
          <w:szCs w:val="26"/>
        </w:rPr>
        <w:t xml:space="preserve">Interreg IPA program prekogranične suradnje </w:t>
      </w:r>
      <w:r w:rsidRPr="00332AB5">
        <w:rPr>
          <w:rFonts w:eastAsia="Calibri"/>
          <w:b/>
          <w:bCs/>
          <w:sz w:val="24"/>
          <w:szCs w:val="24"/>
        </w:rPr>
        <w:t xml:space="preserve">Hrvatska – Bosna i </w:t>
      </w:r>
      <w:r w:rsidRPr="00332AB5">
        <w:rPr>
          <w:rFonts w:eastAsia="Calibri"/>
          <w:b/>
          <w:bCs/>
          <w:sz w:val="24"/>
          <w:szCs w:val="24"/>
        </w:rPr>
        <w:tab/>
        <w:t>Hercegovina – Crna Gora</w:t>
      </w:r>
      <w:r w:rsidRPr="00332AB5">
        <w:rPr>
          <w:b/>
          <w:bCs/>
          <w:sz w:val="24"/>
          <w:szCs w:val="26"/>
        </w:rPr>
        <w:t xml:space="preserve"> 2014. – 2020.</w:t>
      </w:r>
      <w:bookmarkEnd w:id="81"/>
    </w:p>
    <w:p w14:paraId="01577E11" w14:textId="014D30F6" w:rsidR="00436D0A" w:rsidRPr="00332AB5" w:rsidRDefault="00436D0A" w:rsidP="000B53E7">
      <w:pPr>
        <w:spacing w:before="120" w:after="120"/>
        <w:jc w:val="both"/>
        <w:rPr>
          <w:sz w:val="24"/>
          <w:szCs w:val="24"/>
        </w:rPr>
      </w:pPr>
      <w:bookmarkStart w:id="82" w:name="_Hlk3807382"/>
      <w:r w:rsidRPr="00332AB5">
        <w:rPr>
          <w:sz w:val="24"/>
          <w:szCs w:val="24"/>
        </w:rPr>
        <w:t xml:space="preserve">Ukupan proračun </w:t>
      </w:r>
      <w:r w:rsidR="00E625F3" w:rsidRPr="00332AB5">
        <w:rPr>
          <w:sz w:val="24"/>
          <w:szCs w:val="24"/>
        </w:rPr>
        <w:t>P</w:t>
      </w:r>
      <w:r w:rsidRPr="00332AB5">
        <w:rPr>
          <w:sz w:val="24"/>
          <w:szCs w:val="24"/>
        </w:rPr>
        <w:t xml:space="preserve">rograma iznosi </w:t>
      </w:r>
      <w:r w:rsidR="00E92B8B" w:rsidRPr="00332AB5">
        <w:rPr>
          <w:sz w:val="24"/>
          <w:szCs w:val="24"/>
        </w:rPr>
        <w:t>67,2</w:t>
      </w:r>
      <w:r w:rsidRPr="00332AB5">
        <w:rPr>
          <w:sz w:val="24"/>
          <w:szCs w:val="24"/>
        </w:rPr>
        <w:t xml:space="preserve"> milijuna eura (</w:t>
      </w:r>
      <w:r w:rsidR="00E92B8B" w:rsidRPr="00332AB5">
        <w:rPr>
          <w:sz w:val="24"/>
          <w:szCs w:val="24"/>
        </w:rPr>
        <w:t>57,2</w:t>
      </w:r>
      <w:r w:rsidRPr="00332AB5">
        <w:rPr>
          <w:sz w:val="24"/>
          <w:szCs w:val="24"/>
        </w:rPr>
        <w:t xml:space="preserve"> milijuna eura EU sredstva). Do </w:t>
      </w:r>
      <w:r w:rsidR="0011067E" w:rsidRPr="00332AB5">
        <w:rPr>
          <w:sz w:val="24"/>
          <w:szCs w:val="24"/>
        </w:rPr>
        <w:t>30. lipnja 2023.</w:t>
      </w:r>
      <w:r w:rsidRPr="00332AB5">
        <w:rPr>
          <w:sz w:val="24"/>
          <w:szCs w:val="24"/>
        </w:rPr>
        <w:t xml:space="preserve"> objavljena su </w:t>
      </w:r>
      <w:r w:rsidR="00E92B8B" w:rsidRPr="00332AB5">
        <w:rPr>
          <w:sz w:val="24"/>
          <w:szCs w:val="24"/>
        </w:rPr>
        <w:t>dva</w:t>
      </w:r>
      <w:r w:rsidRPr="00332AB5">
        <w:rPr>
          <w:sz w:val="24"/>
          <w:szCs w:val="24"/>
        </w:rPr>
        <w:t xml:space="preserve"> poziva na dostavu projektnih prijedloga ukupne vrijednosti </w:t>
      </w:r>
      <w:r w:rsidR="00E92B8B" w:rsidRPr="00332AB5">
        <w:rPr>
          <w:sz w:val="24"/>
          <w:szCs w:val="24"/>
        </w:rPr>
        <w:t>51</w:t>
      </w:r>
      <w:r w:rsidRPr="00332AB5">
        <w:rPr>
          <w:sz w:val="24"/>
          <w:szCs w:val="24"/>
        </w:rPr>
        <w:t>,</w:t>
      </w:r>
      <w:r w:rsidR="00E92B8B" w:rsidRPr="00332AB5">
        <w:rPr>
          <w:sz w:val="24"/>
          <w:szCs w:val="24"/>
        </w:rPr>
        <w:t>5</w:t>
      </w:r>
      <w:r w:rsidRPr="00332AB5">
        <w:rPr>
          <w:sz w:val="24"/>
          <w:szCs w:val="24"/>
        </w:rPr>
        <w:t xml:space="preserve"> milijuna eura (EU sredstva). U izvještajnom razdoblju </w:t>
      </w:r>
      <w:r w:rsidR="00E92B8B" w:rsidRPr="00332AB5">
        <w:rPr>
          <w:sz w:val="24"/>
          <w:szCs w:val="24"/>
        </w:rPr>
        <w:t>nije bilo objava poziva</w:t>
      </w:r>
      <w:r w:rsidRPr="00332AB5">
        <w:rPr>
          <w:sz w:val="24"/>
          <w:szCs w:val="24"/>
        </w:rPr>
        <w:t xml:space="preserve"> na dostavu projektnih prijedloga.</w:t>
      </w:r>
    </w:p>
    <w:p w14:paraId="6A6D8DD2" w14:textId="756B5FC1" w:rsidR="000B53E7" w:rsidRPr="00332AB5" w:rsidRDefault="000B53E7" w:rsidP="000B53E7">
      <w:pPr>
        <w:spacing w:before="120" w:after="120"/>
        <w:jc w:val="both"/>
        <w:rPr>
          <w:sz w:val="24"/>
          <w:szCs w:val="24"/>
        </w:rPr>
      </w:pPr>
      <w:r w:rsidRPr="00332AB5">
        <w:rPr>
          <w:sz w:val="24"/>
          <w:szCs w:val="24"/>
        </w:rPr>
        <w:t xml:space="preserve">Do </w:t>
      </w:r>
      <w:r w:rsidR="0011067E" w:rsidRPr="00332AB5">
        <w:rPr>
          <w:sz w:val="24"/>
          <w:szCs w:val="24"/>
        </w:rPr>
        <w:t>30. lipnja 2023.</w:t>
      </w:r>
      <w:r w:rsidRPr="00332AB5">
        <w:rPr>
          <w:sz w:val="24"/>
          <w:szCs w:val="24"/>
        </w:rPr>
        <w:t xml:space="preserve"> sklopljeno je 59 ugovora o dodjeli bespovratnih sredstava ukupne vrijednosti 52,8 milijuna eura (EU sredstva) s</w:t>
      </w:r>
      <w:r w:rsidR="009C3E90" w:rsidRPr="00332AB5">
        <w:rPr>
          <w:sz w:val="24"/>
          <w:szCs w:val="24"/>
        </w:rPr>
        <w:t xml:space="preserve">a </w:t>
      </w:r>
      <w:r w:rsidRPr="00332AB5">
        <w:rPr>
          <w:sz w:val="24"/>
          <w:szCs w:val="24"/>
        </w:rPr>
        <w:t>104 hrvatska projektna partnera na koje se odnosi 22,6 milijuna eura (EU sredstva).</w:t>
      </w:r>
    </w:p>
    <w:p w14:paraId="07E69F70" w14:textId="6C5E9CAE" w:rsidR="000B53E7" w:rsidRPr="00332AB5" w:rsidRDefault="000B53E7" w:rsidP="000B53E7">
      <w:pPr>
        <w:spacing w:before="120" w:after="120"/>
        <w:jc w:val="both"/>
        <w:rPr>
          <w:sz w:val="24"/>
          <w:szCs w:val="24"/>
        </w:rPr>
      </w:pPr>
      <w:r w:rsidRPr="00332AB5">
        <w:rPr>
          <w:sz w:val="24"/>
          <w:szCs w:val="24"/>
        </w:rPr>
        <w:t xml:space="preserve">U izvještajnom razdoblju </w:t>
      </w:r>
      <w:r w:rsidR="006E5FB1" w:rsidRPr="00332AB5">
        <w:rPr>
          <w:sz w:val="24"/>
          <w:szCs w:val="24"/>
        </w:rPr>
        <w:t>nije bilo novih ugovora o dodjeli bespovratnih sredstava.</w:t>
      </w:r>
    </w:p>
    <w:p w14:paraId="357F3F9D" w14:textId="05D2B5F5" w:rsidR="000B53E7" w:rsidRPr="00332AB5" w:rsidRDefault="000B53E7" w:rsidP="000B53E7">
      <w:pPr>
        <w:spacing w:before="120" w:after="120"/>
        <w:jc w:val="both"/>
        <w:rPr>
          <w:sz w:val="24"/>
          <w:szCs w:val="24"/>
        </w:rPr>
      </w:pPr>
      <w:r w:rsidRPr="00332AB5">
        <w:rPr>
          <w:sz w:val="24"/>
          <w:szCs w:val="24"/>
        </w:rPr>
        <w:lastRenderedPageBreak/>
        <w:t xml:space="preserve">Također, do </w:t>
      </w:r>
      <w:r w:rsidR="0011067E" w:rsidRPr="00332AB5">
        <w:rPr>
          <w:sz w:val="24"/>
          <w:szCs w:val="24"/>
        </w:rPr>
        <w:t>30. lipnja 2023.</w:t>
      </w:r>
      <w:r w:rsidRPr="00332AB5">
        <w:rPr>
          <w:sz w:val="24"/>
          <w:szCs w:val="24"/>
        </w:rPr>
        <w:t xml:space="preserve"> ugovoreno je 5,7 milijuna eura tehničke pomoći (EU sredstva).</w:t>
      </w:r>
    </w:p>
    <w:p w14:paraId="43549C38" w14:textId="60452ACB" w:rsidR="00436D0A" w:rsidRPr="00332AB5" w:rsidRDefault="00436D0A" w:rsidP="000B53E7">
      <w:pPr>
        <w:spacing w:before="120" w:after="120"/>
        <w:jc w:val="both"/>
        <w:rPr>
          <w:sz w:val="24"/>
          <w:szCs w:val="24"/>
        </w:rPr>
      </w:pPr>
      <w:r w:rsidRPr="00332AB5">
        <w:rPr>
          <w:sz w:val="24"/>
          <w:szCs w:val="24"/>
        </w:rPr>
        <w:t xml:space="preserve">Od početka provedbe </w:t>
      </w:r>
      <w:r w:rsidR="00E625F3" w:rsidRPr="00332AB5">
        <w:rPr>
          <w:sz w:val="24"/>
          <w:szCs w:val="24"/>
        </w:rPr>
        <w:t>P</w:t>
      </w:r>
      <w:r w:rsidRPr="00332AB5">
        <w:rPr>
          <w:sz w:val="24"/>
          <w:szCs w:val="24"/>
        </w:rPr>
        <w:t xml:space="preserve">rograma do </w:t>
      </w:r>
      <w:r w:rsidR="0011067E" w:rsidRPr="00332AB5">
        <w:rPr>
          <w:sz w:val="24"/>
          <w:szCs w:val="24"/>
        </w:rPr>
        <w:t>30. lipnja 2023.</w:t>
      </w:r>
      <w:r w:rsidRPr="00332AB5">
        <w:rPr>
          <w:sz w:val="24"/>
          <w:szCs w:val="24"/>
        </w:rPr>
        <w:t xml:space="preserve"> održano je </w:t>
      </w:r>
      <w:r w:rsidR="00435798" w:rsidRPr="00332AB5">
        <w:rPr>
          <w:sz w:val="24"/>
          <w:szCs w:val="24"/>
        </w:rPr>
        <w:t>osam</w:t>
      </w:r>
      <w:r w:rsidRPr="00332AB5">
        <w:rPr>
          <w:sz w:val="24"/>
          <w:szCs w:val="24"/>
        </w:rPr>
        <w:t xml:space="preserve"> sastanaka Odbora za praćenje Programa. U izvještajnom razdoblju održan je jedan sastanak Odbora za praćenje Programa.</w:t>
      </w:r>
    </w:p>
    <w:p w14:paraId="505BA232" w14:textId="77777777" w:rsidR="00FF6F9F" w:rsidRPr="00332AB5" w:rsidRDefault="00FF6F9F" w:rsidP="00FF6F9F">
      <w:pPr>
        <w:keepNext/>
        <w:numPr>
          <w:ilvl w:val="2"/>
          <w:numId w:val="3"/>
        </w:numPr>
        <w:spacing w:before="240" w:after="240"/>
        <w:outlineLvl w:val="2"/>
        <w:rPr>
          <w:b/>
          <w:bCs/>
          <w:sz w:val="24"/>
          <w:szCs w:val="26"/>
        </w:rPr>
      </w:pPr>
      <w:bookmarkStart w:id="83" w:name="_Toc152595226"/>
      <w:r w:rsidRPr="00332AB5">
        <w:rPr>
          <w:b/>
          <w:bCs/>
          <w:sz w:val="24"/>
          <w:szCs w:val="26"/>
        </w:rPr>
        <w:t xml:space="preserve">Interreg IPA program prekogranične suradnje Hrvatska – Srbija 2014. – </w:t>
      </w:r>
      <w:r w:rsidRPr="00332AB5">
        <w:rPr>
          <w:b/>
          <w:bCs/>
          <w:sz w:val="24"/>
          <w:szCs w:val="26"/>
        </w:rPr>
        <w:tab/>
        <w:t>2020.</w:t>
      </w:r>
      <w:bookmarkEnd w:id="83"/>
    </w:p>
    <w:p w14:paraId="74CEB802" w14:textId="2A346929" w:rsidR="00435798" w:rsidRPr="00332AB5" w:rsidRDefault="00435798" w:rsidP="00435798">
      <w:pPr>
        <w:spacing w:before="120" w:after="120"/>
        <w:jc w:val="both"/>
        <w:rPr>
          <w:sz w:val="24"/>
          <w:szCs w:val="24"/>
        </w:rPr>
      </w:pPr>
      <w:bookmarkStart w:id="84" w:name="_Hlk97212770"/>
      <w:r w:rsidRPr="00332AB5">
        <w:rPr>
          <w:sz w:val="24"/>
          <w:szCs w:val="24"/>
        </w:rPr>
        <w:t xml:space="preserve">Ukupan proračun </w:t>
      </w:r>
      <w:r w:rsidR="00E625F3" w:rsidRPr="00332AB5">
        <w:rPr>
          <w:sz w:val="24"/>
          <w:szCs w:val="24"/>
        </w:rPr>
        <w:t>P</w:t>
      </w:r>
      <w:r w:rsidRPr="00332AB5">
        <w:rPr>
          <w:sz w:val="24"/>
          <w:szCs w:val="24"/>
        </w:rPr>
        <w:t>rograma iznosi 40,3 milijuna eura (34,3 milijuna eura EU sredstva). Do 30. lipnja 2023. objavljena su tri poziva na dostavu projektnih prijedloga ukupne vrijednosti 31,9 milijuna eura (EU sredstva). U izvještajnom razdoblju nije bilo objava poziva na dostavu projektnih prijedloga.</w:t>
      </w:r>
    </w:p>
    <w:p w14:paraId="39762BD3" w14:textId="1469E6FB" w:rsidR="00435798" w:rsidRPr="00332AB5" w:rsidRDefault="00435798" w:rsidP="00435798">
      <w:pPr>
        <w:spacing w:before="120" w:after="120"/>
        <w:jc w:val="both"/>
        <w:rPr>
          <w:sz w:val="24"/>
          <w:szCs w:val="24"/>
        </w:rPr>
      </w:pPr>
      <w:r w:rsidRPr="00332AB5">
        <w:rPr>
          <w:sz w:val="24"/>
          <w:szCs w:val="24"/>
        </w:rPr>
        <w:t xml:space="preserve">Do 30. lipnja 2023. sklopljeno je 48 ugovora o dodjeli bespovratnih sredstava ukupne vrijednosti 32,3 milijuna eura (EU sredstva) s 98 hrvatskih projektnih partnera na koje se odnosi 18 milijuna eura (EU sredstva). U izvještajnom razdoblju dodijeljeno je </w:t>
      </w:r>
      <w:r w:rsidR="00020F30" w:rsidRPr="00332AB5">
        <w:rPr>
          <w:sz w:val="24"/>
          <w:szCs w:val="24"/>
        </w:rPr>
        <w:t>šest</w:t>
      </w:r>
      <w:r w:rsidRPr="00332AB5">
        <w:rPr>
          <w:sz w:val="24"/>
          <w:szCs w:val="24"/>
        </w:rPr>
        <w:t xml:space="preserve"> novih ugovora o dodjeli bespovratnih sredstava. Također, do 30. lipnja 2023. ugovoreno je 3,4 milijuna eura tehničke pomoći (EU sredstva).</w:t>
      </w:r>
    </w:p>
    <w:p w14:paraId="057C0450" w14:textId="6B7C26EA" w:rsidR="00435798" w:rsidRPr="00332AB5" w:rsidRDefault="00435798" w:rsidP="00435798">
      <w:pPr>
        <w:spacing w:before="120" w:after="120"/>
        <w:jc w:val="both"/>
        <w:rPr>
          <w:sz w:val="24"/>
          <w:szCs w:val="24"/>
        </w:rPr>
      </w:pPr>
      <w:r w:rsidRPr="00332AB5">
        <w:rPr>
          <w:sz w:val="24"/>
          <w:szCs w:val="24"/>
        </w:rPr>
        <w:t xml:space="preserve">Od početka provedbe </w:t>
      </w:r>
      <w:r w:rsidR="00E625F3" w:rsidRPr="00332AB5">
        <w:rPr>
          <w:sz w:val="24"/>
          <w:szCs w:val="24"/>
        </w:rPr>
        <w:t>P</w:t>
      </w:r>
      <w:r w:rsidRPr="00332AB5">
        <w:rPr>
          <w:sz w:val="24"/>
          <w:szCs w:val="24"/>
        </w:rPr>
        <w:t xml:space="preserve">rograma do 30. lipnja 2023. održano je ukupno </w:t>
      </w:r>
      <w:r w:rsidR="0034143E" w:rsidRPr="00332AB5">
        <w:rPr>
          <w:sz w:val="24"/>
          <w:szCs w:val="24"/>
        </w:rPr>
        <w:t>11</w:t>
      </w:r>
      <w:r w:rsidRPr="00332AB5">
        <w:rPr>
          <w:sz w:val="24"/>
          <w:szCs w:val="24"/>
        </w:rPr>
        <w:t xml:space="preserve"> sastanaka Odbora za praćenje Programa. U izvještajnom razdoblju održan je jedan sastanak Odbora za praćenje Programa.</w:t>
      </w:r>
    </w:p>
    <w:p w14:paraId="772D2479" w14:textId="77777777" w:rsidR="00FF6F9F" w:rsidRPr="00332AB5" w:rsidRDefault="00FF6F9F" w:rsidP="00FF6F9F">
      <w:pPr>
        <w:keepNext/>
        <w:numPr>
          <w:ilvl w:val="2"/>
          <w:numId w:val="3"/>
        </w:numPr>
        <w:spacing w:before="240" w:after="240"/>
        <w:outlineLvl w:val="2"/>
        <w:rPr>
          <w:b/>
          <w:bCs/>
          <w:sz w:val="24"/>
          <w:szCs w:val="26"/>
        </w:rPr>
      </w:pPr>
      <w:bookmarkStart w:id="85" w:name="_Toc152595227"/>
      <w:r w:rsidRPr="00332AB5">
        <w:rPr>
          <w:b/>
          <w:bCs/>
          <w:sz w:val="24"/>
          <w:szCs w:val="26"/>
        </w:rPr>
        <w:t xml:space="preserve">Program prekogranične suradnje Interreg V-A Italija – Hrvatska 2014. – </w:t>
      </w:r>
      <w:r w:rsidRPr="00332AB5">
        <w:rPr>
          <w:b/>
          <w:bCs/>
          <w:sz w:val="24"/>
          <w:szCs w:val="26"/>
        </w:rPr>
        <w:tab/>
        <w:t>2020.</w:t>
      </w:r>
      <w:bookmarkEnd w:id="85"/>
    </w:p>
    <w:bookmarkEnd w:id="84"/>
    <w:p w14:paraId="70853DC3" w14:textId="62975518" w:rsidR="006625BF" w:rsidRPr="00332AB5" w:rsidRDefault="006625BF" w:rsidP="006625BF">
      <w:pPr>
        <w:spacing w:before="120" w:after="120"/>
        <w:jc w:val="both"/>
        <w:rPr>
          <w:sz w:val="24"/>
          <w:szCs w:val="24"/>
        </w:rPr>
      </w:pPr>
      <w:r w:rsidRPr="00332AB5">
        <w:rPr>
          <w:sz w:val="24"/>
          <w:szCs w:val="24"/>
        </w:rPr>
        <w:t xml:space="preserve">Ukupan proračun </w:t>
      </w:r>
      <w:r w:rsidR="00E625F3" w:rsidRPr="00332AB5">
        <w:rPr>
          <w:sz w:val="24"/>
          <w:szCs w:val="24"/>
        </w:rPr>
        <w:t>P</w:t>
      </w:r>
      <w:r w:rsidRPr="00332AB5">
        <w:rPr>
          <w:sz w:val="24"/>
          <w:szCs w:val="24"/>
        </w:rPr>
        <w:t xml:space="preserve">rograma iznosi 236,8 milijuna eura (201 milijun eura EU sredstava). Do </w:t>
      </w:r>
      <w:r w:rsidR="0011067E" w:rsidRPr="00332AB5">
        <w:rPr>
          <w:sz w:val="24"/>
          <w:szCs w:val="24"/>
        </w:rPr>
        <w:t>30. lipnja 2023.</w:t>
      </w:r>
      <w:r w:rsidRPr="00332AB5">
        <w:rPr>
          <w:sz w:val="24"/>
          <w:szCs w:val="24"/>
        </w:rPr>
        <w:t xml:space="preserve"> objavljena su tri poziva na dostavu projektnih prijedloga ukupne vrijednosti 191,05 milijuna eura (EU sredstva). U izvještajnom razdoblju nije bilo objava poziva na dostavu projektnih prijedloga.</w:t>
      </w:r>
    </w:p>
    <w:p w14:paraId="662B0A10" w14:textId="77777777" w:rsidR="00435798" w:rsidRPr="00332AB5" w:rsidRDefault="00435798" w:rsidP="00435798">
      <w:pPr>
        <w:spacing w:before="120" w:after="120"/>
        <w:jc w:val="both"/>
        <w:rPr>
          <w:sz w:val="24"/>
          <w:szCs w:val="24"/>
        </w:rPr>
      </w:pPr>
      <w:r w:rsidRPr="00332AB5">
        <w:rPr>
          <w:sz w:val="24"/>
          <w:szCs w:val="24"/>
        </w:rPr>
        <w:t>Do 30. lipnja 2023. sklopljena su 92 ugovora o dodjeli bespovratnih sredstava na kojima su uključena 373 hrvatska projektna partnera za koje je ugovorena ukupna vrijednost od 81,2 milijuna eura (EU sredstva). U izvještajnom razdoblju nije sklopljen niti jedan ugovor o dodjeli bespovratnih sredstava.</w:t>
      </w:r>
    </w:p>
    <w:p w14:paraId="1C2DE4CD" w14:textId="77777777" w:rsidR="00435798" w:rsidRPr="00332AB5" w:rsidRDefault="00435798" w:rsidP="00435798">
      <w:pPr>
        <w:spacing w:before="120" w:after="120"/>
        <w:jc w:val="both"/>
        <w:rPr>
          <w:sz w:val="24"/>
          <w:szCs w:val="24"/>
        </w:rPr>
      </w:pPr>
      <w:r w:rsidRPr="00332AB5">
        <w:rPr>
          <w:sz w:val="24"/>
          <w:szCs w:val="24"/>
        </w:rPr>
        <w:t>Do 30. lipnja 2023. održano je 12 sastanaka Odbora za praćenje Programa. U izvještajnom razdoblju održan je jedan sastanak Odbora za praćenje.</w:t>
      </w:r>
    </w:p>
    <w:p w14:paraId="42433DEA" w14:textId="4ED5E803" w:rsidR="00FF6F9F" w:rsidRPr="00332AB5" w:rsidRDefault="00FF6F9F" w:rsidP="00FF6F9F">
      <w:pPr>
        <w:keepNext/>
        <w:numPr>
          <w:ilvl w:val="2"/>
          <w:numId w:val="3"/>
        </w:numPr>
        <w:spacing w:before="240" w:after="240"/>
        <w:outlineLvl w:val="2"/>
        <w:rPr>
          <w:b/>
          <w:bCs/>
          <w:sz w:val="24"/>
          <w:szCs w:val="26"/>
        </w:rPr>
      </w:pPr>
      <w:bookmarkStart w:id="86" w:name="_Toc152595228"/>
      <w:r w:rsidRPr="00332AB5">
        <w:rPr>
          <w:b/>
          <w:bCs/>
          <w:sz w:val="24"/>
          <w:szCs w:val="26"/>
        </w:rPr>
        <w:t xml:space="preserve">Program prekogranične suradnje Interreg V-A Slovenija – Hrvatska 2014. </w:t>
      </w:r>
      <w:r w:rsidRPr="00332AB5">
        <w:rPr>
          <w:b/>
          <w:bCs/>
          <w:sz w:val="24"/>
          <w:szCs w:val="26"/>
        </w:rPr>
        <w:tab/>
        <w:t>– 2020.</w:t>
      </w:r>
      <w:bookmarkEnd w:id="86"/>
    </w:p>
    <w:p w14:paraId="2AF2CFA1" w14:textId="702714C5" w:rsidR="006625BF" w:rsidRPr="00332AB5" w:rsidRDefault="000B53E7" w:rsidP="006625BF">
      <w:pPr>
        <w:spacing w:before="120" w:after="120"/>
        <w:jc w:val="both"/>
        <w:rPr>
          <w:sz w:val="24"/>
        </w:rPr>
      </w:pPr>
      <w:r w:rsidRPr="00332AB5">
        <w:rPr>
          <w:sz w:val="24"/>
        </w:rPr>
        <w:t xml:space="preserve">Ukupan proračun </w:t>
      </w:r>
      <w:r w:rsidR="00E625F3" w:rsidRPr="00332AB5">
        <w:rPr>
          <w:sz w:val="24"/>
        </w:rPr>
        <w:t>P</w:t>
      </w:r>
      <w:r w:rsidRPr="00332AB5">
        <w:rPr>
          <w:sz w:val="24"/>
        </w:rPr>
        <w:t xml:space="preserve">rograma iznosi 55,7 milijuna eura (46,1 milijuna eura EU sredstava). Trajno otvoreni poziv na dostavu projektnih prijedloga objavljen je u siječnju 2016., a do </w:t>
      </w:r>
      <w:r w:rsidR="0011067E" w:rsidRPr="00332AB5">
        <w:rPr>
          <w:sz w:val="24"/>
        </w:rPr>
        <w:t>30. lipnja 2023.</w:t>
      </w:r>
      <w:r w:rsidRPr="00332AB5">
        <w:rPr>
          <w:sz w:val="24"/>
        </w:rPr>
        <w:t xml:space="preserve"> objavljena su </w:t>
      </w:r>
      <w:r w:rsidR="001C3F8E" w:rsidRPr="00332AB5">
        <w:rPr>
          <w:sz w:val="24"/>
        </w:rPr>
        <w:t>če</w:t>
      </w:r>
      <w:r w:rsidRPr="00332AB5">
        <w:rPr>
          <w:sz w:val="24"/>
        </w:rPr>
        <w:t>t</w:t>
      </w:r>
      <w:r w:rsidR="001C3F8E" w:rsidRPr="00332AB5">
        <w:rPr>
          <w:sz w:val="24"/>
        </w:rPr>
        <w:t>i</w:t>
      </w:r>
      <w:r w:rsidRPr="00332AB5">
        <w:rPr>
          <w:sz w:val="24"/>
        </w:rPr>
        <w:t>ri roka na dostavu projektnih prijedloga ukupne vrijednosti 3</w:t>
      </w:r>
      <w:r w:rsidR="00B67A2A" w:rsidRPr="00332AB5">
        <w:rPr>
          <w:sz w:val="24"/>
        </w:rPr>
        <w:t>4,4</w:t>
      </w:r>
      <w:r w:rsidRPr="00332AB5">
        <w:rPr>
          <w:sz w:val="24"/>
        </w:rPr>
        <w:t xml:space="preserve"> milijuna eura (sredstva EU). </w:t>
      </w:r>
      <w:r w:rsidR="006625BF" w:rsidRPr="00332AB5">
        <w:rPr>
          <w:sz w:val="24"/>
        </w:rPr>
        <w:t>U izvještajnom razdoblju nije bilo objava poziva na dostavu projektnih prijedloga.</w:t>
      </w:r>
    </w:p>
    <w:p w14:paraId="4B5B576B" w14:textId="6F932B85" w:rsidR="00436D0A" w:rsidRPr="00332AB5" w:rsidRDefault="006625BF" w:rsidP="00436D0A">
      <w:pPr>
        <w:spacing w:before="120" w:after="120"/>
        <w:jc w:val="both"/>
        <w:rPr>
          <w:sz w:val="24"/>
        </w:rPr>
      </w:pPr>
      <w:r w:rsidRPr="00332AB5">
        <w:rPr>
          <w:sz w:val="24"/>
        </w:rPr>
        <w:lastRenderedPageBreak/>
        <w:t xml:space="preserve">Do </w:t>
      </w:r>
      <w:r w:rsidR="0011067E" w:rsidRPr="00332AB5">
        <w:rPr>
          <w:sz w:val="24"/>
        </w:rPr>
        <w:t>30. lipnja 2023.</w:t>
      </w:r>
      <w:r w:rsidRPr="00332AB5">
        <w:rPr>
          <w:sz w:val="24"/>
        </w:rPr>
        <w:t xml:space="preserve"> sklopljeno je 37 ugovora o dodjeli bespovratnih sredstava na kojima je uključeno 116 hrvatskih projektnih partnera za koje je ugovorena ukupna vrijednost od 15,5 </w:t>
      </w:r>
      <w:bookmarkStart w:id="87" w:name="_Hlk524607596"/>
      <w:r w:rsidRPr="00332AB5">
        <w:rPr>
          <w:sz w:val="24"/>
        </w:rPr>
        <w:t xml:space="preserve">milijuna eura (EU sredstva) </w:t>
      </w:r>
      <w:bookmarkEnd w:id="87"/>
      <w:r w:rsidRPr="00332AB5">
        <w:rPr>
          <w:sz w:val="24"/>
        </w:rPr>
        <w:t xml:space="preserve">te su ugovorena četiri strateška projekta ukupne vrijednosti 10 milijuna eura (EU sredstva) od kojih se 5 milijuna eura odnosi na hrvatske projektne partnere. </w:t>
      </w:r>
      <w:r w:rsidR="00436D0A" w:rsidRPr="00332AB5">
        <w:rPr>
          <w:sz w:val="24"/>
        </w:rPr>
        <w:t>U izvještajnom razdoblju nije sklopljen niti jedan ugovor o dodjeli bespovratnih sredstava.</w:t>
      </w:r>
    </w:p>
    <w:p w14:paraId="7EDE47E5" w14:textId="2528B99E" w:rsidR="00436D0A" w:rsidRPr="00332AB5" w:rsidRDefault="00436D0A" w:rsidP="00436D0A">
      <w:pPr>
        <w:spacing w:before="120" w:after="120"/>
        <w:jc w:val="both"/>
        <w:rPr>
          <w:sz w:val="24"/>
        </w:rPr>
      </w:pPr>
      <w:r w:rsidRPr="00332AB5">
        <w:rPr>
          <w:sz w:val="24"/>
        </w:rPr>
        <w:t xml:space="preserve">Do </w:t>
      </w:r>
      <w:r w:rsidR="0011067E" w:rsidRPr="00332AB5">
        <w:rPr>
          <w:sz w:val="24"/>
        </w:rPr>
        <w:t>30. lipnja 2023.</w:t>
      </w:r>
      <w:r w:rsidRPr="00332AB5">
        <w:rPr>
          <w:sz w:val="24"/>
        </w:rPr>
        <w:t xml:space="preserve"> održano je 13 sastanaka Odbora za praćenje Programa. U izvještajnom razdoblju </w:t>
      </w:r>
      <w:r w:rsidR="00435798" w:rsidRPr="00332AB5">
        <w:rPr>
          <w:sz w:val="24"/>
        </w:rPr>
        <w:t xml:space="preserve">nije </w:t>
      </w:r>
      <w:r w:rsidRPr="00332AB5">
        <w:rPr>
          <w:sz w:val="24"/>
        </w:rPr>
        <w:t xml:space="preserve">održan </w:t>
      </w:r>
      <w:r w:rsidR="00435798" w:rsidRPr="00332AB5">
        <w:rPr>
          <w:sz w:val="24"/>
        </w:rPr>
        <w:t>niti</w:t>
      </w:r>
      <w:r w:rsidRPr="00332AB5">
        <w:rPr>
          <w:sz w:val="24"/>
        </w:rPr>
        <w:t xml:space="preserve"> jedan sastanak Odbora za praćenje Programa.</w:t>
      </w:r>
    </w:p>
    <w:p w14:paraId="35DE6D4F" w14:textId="06A8A80D" w:rsidR="00FF6F9F" w:rsidRPr="00332AB5" w:rsidRDefault="00FF6F9F" w:rsidP="00FF6F9F">
      <w:pPr>
        <w:keepNext/>
        <w:numPr>
          <w:ilvl w:val="2"/>
          <w:numId w:val="3"/>
        </w:numPr>
        <w:spacing w:before="240" w:after="240"/>
        <w:outlineLvl w:val="2"/>
        <w:rPr>
          <w:b/>
          <w:bCs/>
          <w:sz w:val="24"/>
          <w:szCs w:val="26"/>
        </w:rPr>
      </w:pPr>
      <w:bookmarkStart w:id="88" w:name="_Toc152595229"/>
      <w:r w:rsidRPr="00332AB5">
        <w:rPr>
          <w:b/>
          <w:bCs/>
          <w:sz w:val="24"/>
          <w:szCs w:val="26"/>
        </w:rPr>
        <w:t xml:space="preserve">Program prekogranične suradnje Interreg V-A Mađarska – Hrvatska </w:t>
      </w:r>
      <w:r w:rsidRPr="00332AB5">
        <w:rPr>
          <w:b/>
          <w:bCs/>
          <w:sz w:val="24"/>
          <w:szCs w:val="26"/>
        </w:rPr>
        <w:tab/>
        <w:t>2014. – 2020.</w:t>
      </w:r>
      <w:bookmarkEnd w:id="88"/>
    </w:p>
    <w:p w14:paraId="31144784" w14:textId="34E20343" w:rsidR="000B53E7" w:rsidRPr="00332AB5" w:rsidRDefault="000B53E7" w:rsidP="000B53E7">
      <w:pPr>
        <w:spacing w:before="120" w:after="120"/>
        <w:jc w:val="both"/>
        <w:rPr>
          <w:sz w:val="24"/>
          <w:szCs w:val="24"/>
        </w:rPr>
      </w:pPr>
      <w:r w:rsidRPr="00332AB5">
        <w:rPr>
          <w:sz w:val="24"/>
          <w:szCs w:val="24"/>
        </w:rPr>
        <w:t xml:space="preserve">Ukupan proračun </w:t>
      </w:r>
      <w:r w:rsidR="00ED0F1C" w:rsidRPr="00332AB5">
        <w:rPr>
          <w:sz w:val="24"/>
          <w:szCs w:val="24"/>
        </w:rPr>
        <w:t>P</w:t>
      </w:r>
      <w:r w:rsidRPr="00332AB5">
        <w:rPr>
          <w:sz w:val="24"/>
          <w:szCs w:val="24"/>
        </w:rPr>
        <w:t xml:space="preserve">rograma iznosi 73,9 milijuna eura (60,8 milijuna eura EU sredstava). Do </w:t>
      </w:r>
      <w:r w:rsidR="0011067E" w:rsidRPr="00332AB5">
        <w:rPr>
          <w:sz w:val="24"/>
          <w:szCs w:val="24"/>
        </w:rPr>
        <w:t>30. lipnja 2023.</w:t>
      </w:r>
      <w:r w:rsidRPr="00332AB5">
        <w:rPr>
          <w:sz w:val="24"/>
          <w:szCs w:val="24"/>
        </w:rPr>
        <w:t xml:space="preserve"> objavljeno je šest poziva na dostavu projektnih prijedloga, dva otvorena poziva ukupne vrijednosti 46,6 milijuna eura </w:t>
      </w:r>
      <w:bookmarkStart w:id="89" w:name="_Hlk524616153"/>
      <w:r w:rsidRPr="00332AB5">
        <w:rPr>
          <w:sz w:val="24"/>
          <w:szCs w:val="24"/>
        </w:rPr>
        <w:t xml:space="preserve">(sredstva EU) </w:t>
      </w:r>
      <w:bookmarkEnd w:id="89"/>
      <w:r w:rsidRPr="00332AB5">
        <w:rPr>
          <w:sz w:val="24"/>
          <w:szCs w:val="24"/>
        </w:rPr>
        <w:t xml:space="preserve">te četiri poziva na dostavu projektnih prijedloga u sklopu strateškog projekta </w:t>
      </w:r>
      <w:r w:rsidRPr="00332AB5">
        <w:rPr>
          <w:i/>
          <w:sz w:val="24"/>
          <w:szCs w:val="24"/>
        </w:rPr>
        <w:t xml:space="preserve">B-light </w:t>
      </w:r>
      <w:r w:rsidRPr="00332AB5">
        <w:rPr>
          <w:sz w:val="24"/>
          <w:szCs w:val="24"/>
        </w:rPr>
        <w:t>namijenjenog malim i srednjim poduzetnicima vrijednog 10 milijuna eura (sredstva EU). U izvještajnom razdoblju nije objavljen niti jedan poziv na dostavu projektnih prijedloga.</w:t>
      </w:r>
    </w:p>
    <w:p w14:paraId="7208684B" w14:textId="0832BEF4" w:rsidR="000B53E7" w:rsidRPr="00332AB5" w:rsidRDefault="000B53E7" w:rsidP="000B53E7">
      <w:pPr>
        <w:spacing w:before="120" w:after="120"/>
        <w:jc w:val="both"/>
        <w:rPr>
          <w:sz w:val="24"/>
          <w:szCs w:val="24"/>
        </w:rPr>
      </w:pPr>
      <w:r w:rsidRPr="00332AB5">
        <w:rPr>
          <w:sz w:val="24"/>
          <w:szCs w:val="24"/>
        </w:rPr>
        <w:t xml:space="preserve">Do </w:t>
      </w:r>
      <w:r w:rsidR="0011067E" w:rsidRPr="00332AB5">
        <w:rPr>
          <w:sz w:val="24"/>
          <w:szCs w:val="24"/>
        </w:rPr>
        <w:t>30. lipnja 2023.</w:t>
      </w:r>
      <w:r w:rsidRPr="00332AB5">
        <w:rPr>
          <w:sz w:val="24"/>
          <w:szCs w:val="24"/>
        </w:rPr>
        <w:t xml:space="preserve"> u sklopu </w:t>
      </w:r>
      <w:r w:rsidR="00312286" w:rsidRPr="00332AB5">
        <w:rPr>
          <w:sz w:val="24"/>
          <w:szCs w:val="24"/>
        </w:rPr>
        <w:t>prvog</w:t>
      </w:r>
      <w:r w:rsidRPr="00332AB5">
        <w:rPr>
          <w:sz w:val="24"/>
          <w:szCs w:val="24"/>
        </w:rPr>
        <w:t xml:space="preserve"> i </w:t>
      </w:r>
      <w:r w:rsidR="00312286" w:rsidRPr="00332AB5">
        <w:rPr>
          <w:sz w:val="24"/>
          <w:szCs w:val="24"/>
        </w:rPr>
        <w:t>drugog</w:t>
      </w:r>
      <w:r w:rsidRPr="00332AB5">
        <w:rPr>
          <w:sz w:val="24"/>
          <w:szCs w:val="24"/>
        </w:rPr>
        <w:t xml:space="preserve"> poziva na dostavu projektnih prijedloga sklopljeno je 106 ugovora </w:t>
      </w:r>
      <w:bookmarkStart w:id="90" w:name="_Hlk524615890"/>
      <w:r w:rsidRPr="00332AB5">
        <w:rPr>
          <w:sz w:val="24"/>
        </w:rPr>
        <w:t xml:space="preserve">o dodjeli bespovratnih sredstava </w:t>
      </w:r>
      <w:bookmarkStart w:id="91" w:name="_Hlk524617184"/>
      <w:r w:rsidRPr="00332AB5">
        <w:rPr>
          <w:sz w:val="24"/>
        </w:rPr>
        <w:t xml:space="preserve">s </w:t>
      </w:r>
      <w:bookmarkEnd w:id="90"/>
      <w:bookmarkEnd w:id="91"/>
      <w:r w:rsidR="006D408F" w:rsidRPr="00332AB5">
        <w:rPr>
          <w:sz w:val="24"/>
        </w:rPr>
        <w:t xml:space="preserve">187 hrvatskih projektnih partnera </w:t>
      </w:r>
      <w:r w:rsidR="006D408F" w:rsidRPr="00332AB5">
        <w:rPr>
          <w:sz w:val="24"/>
          <w:szCs w:val="24"/>
        </w:rPr>
        <w:t xml:space="preserve">ukupne vrijednosti od 22,53 milijuna eura (sredstva EU), dok u sklopu strateških projekata </w:t>
      </w:r>
      <w:r w:rsidR="006D408F" w:rsidRPr="00332AB5">
        <w:rPr>
          <w:i/>
          <w:sz w:val="24"/>
          <w:szCs w:val="24"/>
        </w:rPr>
        <w:t>B-light</w:t>
      </w:r>
      <w:r w:rsidR="006D408F" w:rsidRPr="00332AB5">
        <w:rPr>
          <w:sz w:val="24"/>
          <w:szCs w:val="24"/>
        </w:rPr>
        <w:t xml:space="preserve">, </w:t>
      </w:r>
      <w:r w:rsidR="006D408F" w:rsidRPr="00332AB5">
        <w:rPr>
          <w:i/>
          <w:sz w:val="24"/>
          <w:szCs w:val="24"/>
        </w:rPr>
        <w:t>De-mine</w:t>
      </w:r>
      <w:r w:rsidR="006D408F" w:rsidRPr="00332AB5">
        <w:rPr>
          <w:sz w:val="24"/>
          <w:szCs w:val="24"/>
        </w:rPr>
        <w:t xml:space="preserve"> i MuKoBridge ugovorena vrijednost za hrvatske partnere iznosi ukupno 7,2 milijuna eura (sredstva EU). U izvještajnom razdoblju nije sklopljen niti jedan ugovor o dodjeli bespovratnih sredstava.</w:t>
      </w:r>
    </w:p>
    <w:p w14:paraId="4796012D" w14:textId="73269E56" w:rsidR="000B53E7" w:rsidRPr="00332AB5" w:rsidRDefault="000B53E7" w:rsidP="000B53E7">
      <w:pPr>
        <w:spacing w:before="120" w:after="120"/>
        <w:jc w:val="both"/>
        <w:rPr>
          <w:sz w:val="24"/>
          <w:szCs w:val="24"/>
        </w:rPr>
      </w:pPr>
      <w:r w:rsidRPr="00332AB5">
        <w:rPr>
          <w:sz w:val="24"/>
          <w:szCs w:val="24"/>
        </w:rPr>
        <w:t xml:space="preserve">Do </w:t>
      </w:r>
      <w:r w:rsidR="0011067E" w:rsidRPr="00332AB5">
        <w:rPr>
          <w:sz w:val="24"/>
          <w:szCs w:val="24"/>
        </w:rPr>
        <w:t>30. lipnja 2023.</w:t>
      </w:r>
      <w:r w:rsidRPr="00332AB5">
        <w:rPr>
          <w:sz w:val="24"/>
          <w:szCs w:val="24"/>
        </w:rPr>
        <w:t xml:space="preserve"> održano je de</w:t>
      </w:r>
      <w:r w:rsidR="00173ED4" w:rsidRPr="00332AB5">
        <w:rPr>
          <w:sz w:val="24"/>
          <w:szCs w:val="24"/>
        </w:rPr>
        <w:t>s</w:t>
      </w:r>
      <w:r w:rsidRPr="00332AB5">
        <w:rPr>
          <w:sz w:val="24"/>
          <w:szCs w:val="24"/>
        </w:rPr>
        <w:t xml:space="preserve">et sastanaka Odbora za praćenje Programa. U izvještajnom razdoblju </w:t>
      </w:r>
      <w:r w:rsidR="00886472" w:rsidRPr="00332AB5">
        <w:rPr>
          <w:sz w:val="24"/>
          <w:szCs w:val="24"/>
        </w:rPr>
        <w:t xml:space="preserve">nije </w:t>
      </w:r>
      <w:r w:rsidRPr="00332AB5">
        <w:rPr>
          <w:sz w:val="24"/>
          <w:szCs w:val="24"/>
        </w:rPr>
        <w:t xml:space="preserve">održan </w:t>
      </w:r>
      <w:r w:rsidR="00886472" w:rsidRPr="00332AB5">
        <w:rPr>
          <w:sz w:val="24"/>
          <w:szCs w:val="24"/>
        </w:rPr>
        <w:t>niti</w:t>
      </w:r>
      <w:r w:rsidRPr="00332AB5">
        <w:rPr>
          <w:sz w:val="24"/>
          <w:szCs w:val="24"/>
        </w:rPr>
        <w:t xml:space="preserve"> jedan sastanak Odbora za praćenje Programa.</w:t>
      </w:r>
    </w:p>
    <w:p w14:paraId="60B805F8" w14:textId="77777777" w:rsidR="00FF6F9F" w:rsidRPr="00332AB5" w:rsidRDefault="00FF6F9F" w:rsidP="00FF6F9F">
      <w:pPr>
        <w:keepNext/>
        <w:numPr>
          <w:ilvl w:val="2"/>
          <w:numId w:val="3"/>
        </w:numPr>
        <w:spacing w:before="240" w:after="240"/>
        <w:outlineLvl w:val="2"/>
        <w:rPr>
          <w:b/>
          <w:bCs/>
          <w:sz w:val="24"/>
          <w:szCs w:val="26"/>
        </w:rPr>
      </w:pPr>
      <w:bookmarkStart w:id="92" w:name="_Toc152595230"/>
      <w:r w:rsidRPr="00332AB5">
        <w:rPr>
          <w:b/>
          <w:bCs/>
          <w:sz w:val="24"/>
          <w:szCs w:val="26"/>
        </w:rPr>
        <w:t>Program transnacionalne suradnje Interreg V-B Dunav 2014. – 2020.</w:t>
      </w:r>
      <w:bookmarkEnd w:id="92"/>
    </w:p>
    <w:p w14:paraId="0EC9E725" w14:textId="7604CF99" w:rsidR="000B53E7" w:rsidRPr="00332AB5" w:rsidRDefault="000B53E7" w:rsidP="000B53E7">
      <w:pPr>
        <w:spacing w:before="120" w:after="120"/>
        <w:jc w:val="both"/>
        <w:rPr>
          <w:sz w:val="24"/>
          <w:szCs w:val="24"/>
        </w:rPr>
      </w:pPr>
      <w:r w:rsidRPr="00332AB5">
        <w:rPr>
          <w:sz w:val="24"/>
          <w:szCs w:val="24"/>
        </w:rPr>
        <w:t xml:space="preserve">Ukupan proračun </w:t>
      </w:r>
      <w:r w:rsidR="00ED0F1C" w:rsidRPr="00332AB5">
        <w:rPr>
          <w:sz w:val="24"/>
          <w:szCs w:val="24"/>
        </w:rPr>
        <w:t>P</w:t>
      </w:r>
      <w:r w:rsidRPr="00332AB5">
        <w:rPr>
          <w:sz w:val="24"/>
          <w:szCs w:val="24"/>
        </w:rPr>
        <w:t xml:space="preserve">rograma iznosi 263 milijuna eura. Do </w:t>
      </w:r>
      <w:r w:rsidR="0011067E" w:rsidRPr="00332AB5">
        <w:rPr>
          <w:sz w:val="24"/>
          <w:szCs w:val="24"/>
        </w:rPr>
        <w:t>30. lipnja 2023.</w:t>
      </w:r>
      <w:r w:rsidRPr="00332AB5">
        <w:rPr>
          <w:sz w:val="24"/>
          <w:szCs w:val="24"/>
        </w:rPr>
        <w:t xml:space="preserve"> objavljena su tri poziva na dostavu projektnih prijedloga ukupne vrijednosti 230 milijuna eura (sredstva EU), ciljani poziv za koordinatore prioritetnih područja Strategije EU za dunavsku regiju u iznosu od 3,6 milijuna eura (sredstva EU) te ciljani poziv na dostavu projektnih prijedloga za projekte koji isključivo doprinose Strategiji EU za dunavsku regiju (EUSDR) u iznosu od 1,6 milijuna eura (sredstva EU).</w:t>
      </w:r>
    </w:p>
    <w:p w14:paraId="1B91B85E" w14:textId="7FE9A612" w:rsidR="006D408F" w:rsidRPr="00332AB5" w:rsidRDefault="000B53E7" w:rsidP="006D408F">
      <w:pPr>
        <w:spacing w:before="120" w:after="120"/>
        <w:jc w:val="both"/>
        <w:rPr>
          <w:sz w:val="24"/>
          <w:szCs w:val="24"/>
        </w:rPr>
      </w:pPr>
      <w:r w:rsidRPr="00332AB5">
        <w:rPr>
          <w:sz w:val="24"/>
          <w:szCs w:val="24"/>
        </w:rPr>
        <w:t xml:space="preserve">Do </w:t>
      </w:r>
      <w:r w:rsidR="0011067E" w:rsidRPr="00332AB5">
        <w:rPr>
          <w:sz w:val="24"/>
          <w:szCs w:val="24"/>
        </w:rPr>
        <w:t>30. lipnja 2023.</w:t>
      </w:r>
      <w:r w:rsidRPr="00332AB5">
        <w:rPr>
          <w:sz w:val="24"/>
          <w:szCs w:val="24"/>
        </w:rPr>
        <w:t xml:space="preserve"> sklopljeno je </w:t>
      </w:r>
      <w:r w:rsidR="006D408F" w:rsidRPr="00332AB5">
        <w:rPr>
          <w:sz w:val="24"/>
          <w:szCs w:val="24"/>
        </w:rPr>
        <w:t>100 ugovora o dodjeli bespovratnih sredstava u koje je uključe</w:t>
      </w:r>
      <w:r w:rsidR="00F344A4" w:rsidRPr="00332AB5">
        <w:rPr>
          <w:sz w:val="24"/>
          <w:szCs w:val="24"/>
        </w:rPr>
        <w:t>n 141 hrvatski</w:t>
      </w:r>
      <w:r w:rsidR="006D408F" w:rsidRPr="00332AB5">
        <w:rPr>
          <w:sz w:val="24"/>
          <w:szCs w:val="24"/>
        </w:rPr>
        <w:t xml:space="preserve"> projektni partner za koje je ugovorena ukupna vrijednost od 17,5 milijuna eura (sredstva EU). U izvještajnom razdoblju nije sklopljen niti jedan ugovor o dodjeli bespovratnih sredstava.</w:t>
      </w:r>
    </w:p>
    <w:p w14:paraId="405AA080" w14:textId="0AE8BA9B" w:rsidR="006D408F" w:rsidRPr="00332AB5" w:rsidRDefault="006D408F" w:rsidP="006D408F">
      <w:pPr>
        <w:spacing w:before="120" w:after="120"/>
        <w:jc w:val="both"/>
        <w:rPr>
          <w:sz w:val="24"/>
          <w:szCs w:val="24"/>
        </w:rPr>
      </w:pPr>
      <w:r w:rsidRPr="00332AB5">
        <w:rPr>
          <w:sz w:val="24"/>
          <w:szCs w:val="24"/>
        </w:rPr>
        <w:t xml:space="preserve">Do </w:t>
      </w:r>
      <w:r w:rsidR="0011067E" w:rsidRPr="00332AB5">
        <w:rPr>
          <w:sz w:val="24"/>
          <w:szCs w:val="24"/>
        </w:rPr>
        <w:t>30. lipnja 2023.</w:t>
      </w:r>
      <w:r w:rsidRPr="00332AB5">
        <w:rPr>
          <w:sz w:val="24"/>
          <w:szCs w:val="24"/>
        </w:rPr>
        <w:t xml:space="preserve"> održano je 15 sastanaka Odbora za praćenje Programa. U izvještajnom razdoblju</w:t>
      </w:r>
      <w:r w:rsidR="00886472" w:rsidRPr="00332AB5">
        <w:rPr>
          <w:sz w:val="24"/>
          <w:szCs w:val="24"/>
        </w:rPr>
        <w:t xml:space="preserve"> nije</w:t>
      </w:r>
      <w:r w:rsidRPr="00332AB5">
        <w:rPr>
          <w:sz w:val="24"/>
          <w:szCs w:val="24"/>
        </w:rPr>
        <w:t xml:space="preserve"> održan </w:t>
      </w:r>
      <w:r w:rsidR="0044144E" w:rsidRPr="00332AB5">
        <w:rPr>
          <w:sz w:val="24"/>
          <w:szCs w:val="24"/>
        </w:rPr>
        <w:t xml:space="preserve">niti jedan </w:t>
      </w:r>
      <w:r w:rsidRPr="00332AB5">
        <w:rPr>
          <w:sz w:val="24"/>
          <w:szCs w:val="24"/>
        </w:rPr>
        <w:t>sastanak Odbora za praćenje Programa.</w:t>
      </w:r>
    </w:p>
    <w:p w14:paraId="24E63D8B" w14:textId="77777777" w:rsidR="00FF6F9F" w:rsidRPr="00332AB5" w:rsidRDefault="00FF6F9F" w:rsidP="00FF6F9F">
      <w:pPr>
        <w:keepNext/>
        <w:numPr>
          <w:ilvl w:val="2"/>
          <w:numId w:val="3"/>
        </w:numPr>
        <w:spacing w:before="240" w:after="240"/>
        <w:outlineLvl w:val="2"/>
        <w:rPr>
          <w:b/>
          <w:bCs/>
          <w:sz w:val="24"/>
          <w:szCs w:val="26"/>
        </w:rPr>
      </w:pPr>
      <w:bookmarkStart w:id="93" w:name="_Toc152595231"/>
      <w:r w:rsidRPr="00332AB5">
        <w:rPr>
          <w:b/>
          <w:bCs/>
          <w:sz w:val="24"/>
          <w:szCs w:val="26"/>
        </w:rPr>
        <w:lastRenderedPageBreak/>
        <w:t xml:space="preserve">Interreg V-B Jadransko-jonski program transnacionalne suradnje 2014. – </w:t>
      </w:r>
      <w:r w:rsidRPr="00332AB5">
        <w:rPr>
          <w:b/>
          <w:bCs/>
          <w:sz w:val="24"/>
          <w:szCs w:val="26"/>
        </w:rPr>
        <w:tab/>
        <w:t>2020.</w:t>
      </w:r>
      <w:bookmarkEnd w:id="93"/>
    </w:p>
    <w:p w14:paraId="15C14EE0" w14:textId="70FA53A1" w:rsidR="003151EA" w:rsidRPr="00332AB5" w:rsidRDefault="003151EA" w:rsidP="000B53E7">
      <w:pPr>
        <w:spacing w:before="120" w:after="120"/>
        <w:jc w:val="both"/>
        <w:rPr>
          <w:sz w:val="24"/>
          <w:szCs w:val="24"/>
        </w:rPr>
      </w:pPr>
      <w:r w:rsidRPr="00332AB5">
        <w:rPr>
          <w:sz w:val="24"/>
          <w:szCs w:val="24"/>
        </w:rPr>
        <w:t xml:space="preserve">Ukupan proračun </w:t>
      </w:r>
      <w:r w:rsidR="00ED0F1C" w:rsidRPr="00332AB5">
        <w:rPr>
          <w:sz w:val="24"/>
          <w:szCs w:val="24"/>
        </w:rPr>
        <w:t>P</w:t>
      </w:r>
      <w:r w:rsidRPr="00332AB5">
        <w:rPr>
          <w:sz w:val="24"/>
          <w:szCs w:val="24"/>
        </w:rPr>
        <w:t xml:space="preserve">rograma iznosi 118 milijuna eura. Do </w:t>
      </w:r>
      <w:r w:rsidR="0011067E" w:rsidRPr="00332AB5">
        <w:rPr>
          <w:sz w:val="24"/>
          <w:szCs w:val="24"/>
        </w:rPr>
        <w:t>30. lipnja 2023.</w:t>
      </w:r>
      <w:r w:rsidRPr="00332AB5">
        <w:rPr>
          <w:sz w:val="24"/>
          <w:szCs w:val="24"/>
        </w:rPr>
        <w:t xml:space="preserve"> objavljeno je pet poziva na dostavu projektnih prijedloga ukupne vrijednosti 85 milijuna eura (sredstva EU). U izvještajnom razdoblju nije objavljen niti jedan poziv na dostavu projektnih prijedloga.</w:t>
      </w:r>
    </w:p>
    <w:p w14:paraId="69191C87" w14:textId="6DD50167" w:rsidR="000B53E7" w:rsidRPr="00332AB5" w:rsidRDefault="000B53E7" w:rsidP="000B53E7">
      <w:pPr>
        <w:spacing w:before="120" w:after="120"/>
        <w:jc w:val="both"/>
        <w:rPr>
          <w:sz w:val="24"/>
          <w:szCs w:val="24"/>
        </w:rPr>
      </w:pPr>
      <w:r w:rsidRPr="00332AB5">
        <w:rPr>
          <w:sz w:val="24"/>
          <w:szCs w:val="24"/>
        </w:rPr>
        <w:t xml:space="preserve">U sklopu programa provodi se strateški projekt FACILITY POINT kao podrška upravljačkim strukturama Strategije EU za jadransku i jonsku regiju (EUSAIR) u kojem sudjeluje </w:t>
      </w:r>
      <w:r w:rsidR="00914FBC" w:rsidRPr="00332AB5">
        <w:rPr>
          <w:sz w:val="24"/>
          <w:szCs w:val="24"/>
        </w:rPr>
        <w:t>sedam</w:t>
      </w:r>
      <w:r w:rsidRPr="00332AB5">
        <w:rPr>
          <w:sz w:val="24"/>
          <w:szCs w:val="24"/>
        </w:rPr>
        <w:t xml:space="preserve"> nacionalnih i </w:t>
      </w:r>
      <w:r w:rsidR="00914FBC" w:rsidRPr="00332AB5">
        <w:rPr>
          <w:sz w:val="24"/>
          <w:szCs w:val="24"/>
        </w:rPr>
        <w:t>dva</w:t>
      </w:r>
      <w:r w:rsidRPr="00332AB5">
        <w:rPr>
          <w:sz w:val="24"/>
          <w:szCs w:val="24"/>
        </w:rPr>
        <w:t xml:space="preserve"> regionalna tijela javne vlasti iz </w:t>
      </w:r>
      <w:r w:rsidR="000977E7" w:rsidRPr="00332AB5">
        <w:rPr>
          <w:sz w:val="24"/>
          <w:szCs w:val="24"/>
        </w:rPr>
        <w:t>osam</w:t>
      </w:r>
      <w:r w:rsidRPr="00332AB5">
        <w:rPr>
          <w:sz w:val="24"/>
          <w:szCs w:val="24"/>
        </w:rPr>
        <w:t xml:space="preserve"> država članica programa, a ispred Republike Hrvatske projektni partner je Ministarstvo turizma</w:t>
      </w:r>
      <w:r w:rsidR="00914FBC" w:rsidRPr="00332AB5">
        <w:rPr>
          <w:sz w:val="24"/>
          <w:szCs w:val="24"/>
        </w:rPr>
        <w:t xml:space="preserve"> i sporta</w:t>
      </w:r>
      <w:r w:rsidRPr="00332AB5">
        <w:rPr>
          <w:sz w:val="24"/>
          <w:szCs w:val="24"/>
        </w:rPr>
        <w:t>. Proračun projekta je 9,5 milijuna eura (sredstva EU).</w:t>
      </w:r>
    </w:p>
    <w:p w14:paraId="26B61F87" w14:textId="77777777" w:rsidR="00435798" w:rsidRPr="00332AB5" w:rsidRDefault="00435798" w:rsidP="00435798">
      <w:pPr>
        <w:spacing w:before="120" w:after="120"/>
        <w:jc w:val="both"/>
        <w:rPr>
          <w:sz w:val="24"/>
          <w:szCs w:val="24"/>
        </w:rPr>
      </w:pPr>
      <w:r w:rsidRPr="00332AB5">
        <w:rPr>
          <w:sz w:val="24"/>
          <w:szCs w:val="24"/>
        </w:rPr>
        <w:t>Do 30. lipnja 2023. sklopljena su 82 ugovora o dodjeli bespovratnih sredstava na kojima je uključeno 113 hrvatskih projektnih partnera za koje je ugovorena ukupna vrijednost od 14,6 milijuna eura EU sredstava. U izvještajnom razdoblju sklopljeno je pet ugovora o dodjeli bespovratnih sredstava.</w:t>
      </w:r>
    </w:p>
    <w:p w14:paraId="33E440E1" w14:textId="77777777" w:rsidR="00435798" w:rsidRPr="00332AB5" w:rsidRDefault="00435798" w:rsidP="00435798">
      <w:pPr>
        <w:spacing w:before="120" w:after="120"/>
        <w:jc w:val="both"/>
        <w:rPr>
          <w:sz w:val="24"/>
          <w:szCs w:val="24"/>
        </w:rPr>
      </w:pPr>
      <w:r w:rsidRPr="00332AB5">
        <w:rPr>
          <w:sz w:val="24"/>
          <w:szCs w:val="24"/>
        </w:rPr>
        <w:t>Do 30. lipnja 2023. održano je 17 sastanaka Odbora za praćenje Programa. U izvještajnom razdoblju nije održan niti jedan sastanak Odbora za praćenje Programa.</w:t>
      </w:r>
    </w:p>
    <w:p w14:paraId="1EE8779C" w14:textId="77777777" w:rsidR="00FF6F9F" w:rsidRPr="00332AB5" w:rsidRDefault="00FF6F9F" w:rsidP="00FF6F9F">
      <w:pPr>
        <w:keepNext/>
        <w:numPr>
          <w:ilvl w:val="2"/>
          <w:numId w:val="3"/>
        </w:numPr>
        <w:spacing w:before="240" w:after="240"/>
        <w:outlineLvl w:val="2"/>
        <w:rPr>
          <w:b/>
          <w:bCs/>
          <w:sz w:val="24"/>
          <w:szCs w:val="26"/>
        </w:rPr>
      </w:pPr>
      <w:bookmarkStart w:id="94" w:name="_Toc152595232"/>
      <w:r w:rsidRPr="00332AB5">
        <w:rPr>
          <w:b/>
          <w:bCs/>
          <w:sz w:val="24"/>
          <w:szCs w:val="26"/>
        </w:rPr>
        <w:t>Program transnacionalne suradnje Interreg V-B Mediteran 2014. – 2020.</w:t>
      </w:r>
      <w:bookmarkEnd w:id="94"/>
    </w:p>
    <w:p w14:paraId="67691481" w14:textId="66E374E9" w:rsidR="00612F31" w:rsidRPr="00332AB5" w:rsidRDefault="000B53E7" w:rsidP="000B53E7">
      <w:pPr>
        <w:spacing w:before="120" w:after="120"/>
        <w:jc w:val="both"/>
        <w:rPr>
          <w:sz w:val="24"/>
          <w:szCs w:val="24"/>
        </w:rPr>
      </w:pPr>
      <w:r w:rsidRPr="00332AB5">
        <w:rPr>
          <w:sz w:val="24"/>
          <w:szCs w:val="24"/>
        </w:rPr>
        <w:t xml:space="preserve">Ukupan proračun </w:t>
      </w:r>
      <w:r w:rsidR="00ED0F1C" w:rsidRPr="00332AB5">
        <w:rPr>
          <w:sz w:val="24"/>
          <w:szCs w:val="24"/>
        </w:rPr>
        <w:t>P</w:t>
      </w:r>
      <w:r w:rsidRPr="00332AB5">
        <w:rPr>
          <w:sz w:val="24"/>
          <w:szCs w:val="24"/>
        </w:rPr>
        <w:t xml:space="preserve">rograma iznosi 276 milijuna eura. Do </w:t>
      </w:r>
      <w:r w:rsidR="0011067E" w:rsidRPr="00332AB5">
        <w:rPr>
          <w:sz w:val="24"/>
          <w:szCs w:val="24"/>
        </w:rPr>
        <w:t>30. lipnja 2023.</w:t>
      </w:r>
      <w:r w:rsidRPr="00332AB5">
        <w:rPr>
          <w:sz w:val="24"/>
          <w:szCs w:val="24"/>
        </w:rPr>
        <w:t xml:space="preserve"> objavljena su tri poziva na dostavu modularnih projektnih prijedloga ukupne vrijednosti 165 milijuna eura (sredstva EU), dva poziva na dostavu horizontalnih prijedloga ukupne vrijednosti 22 milijuna eura (sredstva EU), poziv na dostavu integriranih prijedloga ukupne vrijednosti 35 milijuna eura (sredstva EU),</w:t>
      </w:r>
      <w:bookmarkStart w:id="95" w:name="_Hlk63947217"/>
      <w:r w:rsidR="000817C1" w:rsidRPr="00332AB5">
        <w:rPr>
          <w:sz w:val="24"/>
          <w:szCs w:val="24"/>
        </w:rPr>
        <w:t xml:space="preserve"> </w:t>
      </w:r>
      <w:r w:rsidRPr="00332AB5">
        <w:rPr>
          <w:sz w:val="24"/>
          <w:szCs w:val="24"/>
        </w:rPr>
        <w:t>poziv na dostavu strateških projektnih prijedloga na temu Inovacija</w:t>
      </w:r>
      <w:bookmarkEnd w:id="95"/>
      <w:r w:rsidRPr="00332AB5">
        <w:rPr>
          <w:sz w:val="24"/>
          <w:szCs w:val="24"/>
        </w:rPr>
        <w:t xml:space="preserve">, u sklopu strateškog projekta PANORAMED </w:t>
      </w:r>
      <w:r w:rsidR="00612F31" w:rsidRPr="00332AB5">
        <w:rPr>
          <w:sz w:val="24"/>
          <w:szCs w:val="24"/>
        </w:rPr>
        <w:t xml:space="preserve">te dva poziva na dostavu projektnih prijedloga usmjerena na kapitalizaciju projekata, kao i jedan poziv za izradu </w:t>
      </w:r>
      <w:r w:rsidR="0043606C" w:rsidRPr="00332AB5">
        <w:rPr>
          <w:sz w:val="24"/>
          <w:szCs w:val="24"/>
        </w:rPr>
        <w:t>metodologije</w:t>
      </w:r>
      <w:r w:rsidR="00612F31" w:rsidRPr="00332AB5">
        <w:rPr>
          <w:sz w:val="24"/>
          <w:szCs w:val="24"/>
        </w:rPr>
        <w:t xml:space="preserve"> izračuna ugljičnog otiska. U izvještajnom razdoblju nije objavljen niti jedan poziv na dostavu projektnih prijedloga.</w:t>
      </w:r>
    </w:p>
    <w:p w14:paraId="7F2FFA5A" w14:textId="39D17160" w:rsidR="000B53E7" w:rsidRPr="00332AB5" w:rsidRDefault="000B53E7" w:rsidP="000B53E7">
      <w:pPr>
        <w:spacing w:before="120" w:after="120"/>
        <w:jc w:val="both"/>
        <w:rPr>
          <w:sz w:val="24"/>
          <w:szCs w:val="24"/>
        </w:rPr>
      </w:pPr>
      <w:r w:rsidRPr="00332AB5">
        <w:rPr>
          <w:sz w:val="24"/>
          <w:szCs w:val="24"/>
        </w:rPr>
        <w:t>PANORAMED</w:t>
      </w:r>
      <w:r w:rsidRPr="00332AB5">
        <w:t xml:space="preserve"> </w:t>
      </w:r>
      <w:r w:rsidRPr="00332AB5">
        <w:rPr>
          <w:sz w:val="24"/>
          <w:szCs w:val="24"/>
        </w:rPr>
        <w:t xml:space="preserve">je strateški projekt koji se provodi u sklopu predmetnog </w:t>
      </w:r>
      <w:r w:rsidR="00974C94" w:rsidRPr="00332AB5">
        <w:rPr>
          <w:sz w:val="24"/>
          <w:szCs w:val="24"/>
        </w:rPr>
        <w:t>P</w:t>
      </w:r>
      <w:r w:rsidRPr="00332AB5">
        <w:rPr>
          <w:sz w:val="24"/>
          <w:szCs w:val="24"/>
        </w:rPr>
        <w:t>rograma, a projektno partnerstvo čini 21 relevantn</w:t>
      </w:r>
      <w:r w:rsidR="00974C94" w:rsidRPr="00332AB5">
        <w:rPr>
          <w:sz w:val="24"/>
          <w:szCs w:val="24"/>
        </w:rPr>
        <w:t>o</w:t>
      </w:r>
      <w:r w:rsidRPr="00332AB5">
        <w:rPr>
          <w:sz w:val="24"/>
          <w:szCs w:val="24"/>
        </w:rPr>
        <w:t xml:space="preserve"> nacionaln</w:t>
      </w:r>
      <w:r w:rsidR="00974C94" w:rsidRPr="00332AB5">
        <w:rPr>
          <w:sz w:val="24"/>
          <w:szCs w:val="24"/>
        </w:rPr>
        <w:t>o</w:t>
      </w:r>
      <w:r w:rsidRPr="00332AB5">
        <w:rPr>
          <w:sz w:val="24"/>
          <w:szCs w:val="24"/>
        </w:rPr>
        <w:t xml:space="preserve"> i regionaln</w:t>
      </w:r>
      <w:r w:rsidR="00974C94" w:rsidRPr="00332AB5">
        <w:rPr>
          <w:sz w:val="24"/>
          <w:szCs w:val="24"/>
        </w:rPr>
        <w:t>o</w:t>
      </w:r>
      <w:r w:rsidRPr="00332AB5">
        <w:rPr>
          <w:sz w:val="24"/>
          <w:szCs w:val="24"/>
        </w:rPr>
        <w:t xml:space="preserve"> tijel</w:t>
      </w:r>
      <w:r w:rsidR="00974C94" w:rsidRPr="00332AB5">
        <w:rPr>
          <w:sz w:val="24"/>
          <w:szCs w:val="24"/>
        </w:rPr>
        <w:t>o</w:t>
      </w:r>
      <w:r w:rsidRPr="00332AB5">
        <w:rPr>
          <w:sz w:val="24"/>
          <w:szCs w:val="24"/>
        </w:rPr>
        <w:t xml:space="preserve"> javne vlasti te </w:t>
      </w:r>
      <w:r w:rsidR="00974C94" w:rsidRPr="00332AB5">
        <w:rPr>
          <w:sz w:val="24"/>
          <w:szCs w:val="24"/>
        </w:rPr>
        <w:t>deset</w:t>
      </w:r>
      <w:r w:rsidRPr="00332AB5">
        <w:rPr>
          <w:sz w:val="24"/>
          <w:szCs w:val="24"/>
        </w:rPr>
        <w:t xml:space="preserve"> pridruženih partnera iz 12 država članica </w:t>
      </w:r>
      <w:r w:rsidR="00974C94" w:rsidRPr="00332AB5">
        <w:rPr>
          <w:sz w:val="24"/>
          <w:szCs w:val="24"/>
        </w:rPr>
        <w:t>P</w:t>
      </w:r>
      <w:r w:rsidRPr="00332AB5">
        <w:rPr>
          <w:sz w:val="24"/>
          <w:szCs w:val="24"/>
        </w:rPr>
        <w:t>rograma. Nacionalni koordinator ispred RH je MRRFEU, a ujedno je i voditelj radnog paketa 5 Obalni i pomorski turizam. Proračun projekta je 9 milijuna eura (sredstva EU) dok je 15 milijuna eura (sredstva EU) predviđeno za provedbu strateških projekata</w:t>
      </w:r>
      <w:r w:rsidRPr="00332AB5">
        <w:t xml:space="preserve"> </w:t>
      </w:r>
      <w:r w:rsidRPr="00332AB5">
        <w:rPr>
          <w:sz w:val="24"/>
          <w:szCs w:val="24"/>
        </w:rPr>
        <w:t>iz triju strateških tema, odnosno: Obalnog i pomorskog turizma, Pomorskog nadzora i Inovacija.</w:t>
      </w:r>
      <w:r w:rsidR="00F46BDA" w:rsidRPr="00332AB5">
        <w:t xml:space="preserve"> </w:t>
      </w:r>
      <w:r w:rsidR="00F46BDA" w:rsidRPr="00332AB5">
        <w:rPr>
          <w:sz w:val="24"/>
          <w:szCs w:val="24"/>
        </w:rPr>
        <w:t>Implementacija PANORAMEDA je završena 29. travnja 2022.</w:t>
      </w:r>
    </w:p>
    <w:p w14:paraId="6EA456FD" w14:textId="294C1192" w:rsidR="000B53E7" w:rsidRPr="00332AB5" w:rsidRDefault="000B53E7" w:rsidP="000B53E7">
      <w:pPr>
        <w:spacing w:before="120" w:after="120"/>
        <w:jc w:val="both"/>
        <w:rPr>
          <w:sz w:val="24"/>
          <w:szCs w:val="24"/>
        </w:rPr>
      </w:pPr>
      <w:r w:rsidRPr="00332AB5">
        <w:rPr>
          <w:sz w:val="24"/>
          <w:szCs w:val="24"/>
        </w:rPr>
        <w:t xml:space="preserve">Do </w:t>
      </w:r>
      <w:r w:rsidR="0011067E" w:rsidRPr="00332AB5">
        <w:rPr>
          <w:sz w:val="24"/>
          <w:szCs w:val="24"/>
        </w:rPr>
        <w:t>30. lipnja 2023.</w:t>
      </w:r>
      <w:r w:rsidRPr="00332AB5">
        <w:rPr>
          <w:sz w:val="24"/>
          <w:szCs w:val="24"/>
        </w:rPr>
        <w:t xml:space="preserve"> sklopljeno je </w:t>
      </w:r>
      <w:r w:rsidR="00612F31" w:rsidRPr="00332AB5">
        <w:rPr>
          <w:sz w:val="24"/>
          <w:szCs w:val="24"/>
        </w:rPr>
        <w:t>88</w:t>
      </w:r>
      <w:r w:rsidRPr="00332AB5">
        <w:rPr>
          <w:sz w:val="24"/>
          <w:szCs w:val="24"/>
        </w:rPr>
        <w:t xml:space="preserve"> ugovora o dodjeli bespovratnih sredstava </w:t>
      </w:r>
      <w:r w:rsidR="009C3E90" w:rsidRPr="00332AB5">
        <w:rPr>
          <w:sz w:val="24"/>
          <w:szCs w:val="24"/>
        </w:rPr>
        <w:t>u koje je</w:t>
      </w:r>
      <w:r w:rsidRPr="00332AB5">
        <w:rPr>
          <w:sz w:val="24"/>
          <w:szCs w:val="24"/>
        </w:rPr>
        <w:t xml:space="preserve"> uključeno 1</w:t>
      </w:r>
      <w:r w:rsidR="00612F31" w:rsidRPr="00332AB5">
        <w:rPr>
          <w:sz w:val="24"/>
          <w:szCs w:val="24"/>
        </w:rPr>
        <w:t>15</w:t>
      </w:r>
      <w:r w:rsidRPr="00332AB5">
        <w:rPr>
          <w:sz w:val="24"/>
          <w:szCs w:val="24"/>
        </w:rPr>
        <w:t xml:space="preserve"> hrvatskih projektnih partnera za koje je ugovorena ukupna vrijednost od </w:t>
      </w:r>
      <w:r w:rsidR="00DD0B98" w:rsidRPr="00332AB5">
        <w:rPr>
          <w:sz w:val="24"/>
          <w:szCs w:val="24"/>
        </w:rPr>
        <w:t>18,21</w:t>
      </w:r>
      <w:r w:rsidRPr="00332AB5">
        <w:rPr>
          <w:sz w:val="24"/>
          <w:szCs w:val="24"/>
        </w:rPr>
        <w:t xml:space="preserve"> milijuna eura (sredstva EU). </w:t>
      </w:r>
      <w:r w:rsidR="00F46BDA" w:rsidRPr="00332AB5">
        <w:rPr>
          <w:sz w:val="24"/>
          <w:szCs w:val="24"/>
        </w:rPr>
        <w:t>U izvještajnom razdoblju nije sklopljen niti jedan ugovor o dodjeli bespovratnih sredstava.</w:t>
      </w:r>
    </w:p>
    <w:p w14:paraId="31AA1156" w14:textId="07608CE6" w:rsidR="000B53E7" w:rsidRPr="00332AB5" w:rsidRDefault="000B53E7" w:rsidP="000B53E7">
      <w:pPr>
        <w:spacing w:before="120" w:after="120"/>
        <w:jc w:val="both"/>
        <w:rPr>
          <w:sz w:val="24"/>
          <w:szCs w:val="24"/>
        </w:rPr>
      </w:pPr>
      <w:r w:rsidRPr="00332AB5">
        <w:rPr>
          <w:sz w:val="24"/>
          <w:szCs w:val="24"/>
        </w:rPr>
        <w:lastRenderedPageBreak/>
        <w:t xml:space="preserve">Do </w:t>
      </w:r>
      <w:r w:rsidR="0011067E" w:rsidRPr="00332AB5">
        <w:rPr>
          <w:sz w:val="24"/>
          <w:szCs w:val="24"/>
        </w:rPr>
        <w:t>30. lipnja 2023.</w:t>
      </w:r>
      <w:r w:rsidRPr="00332AB5">
        <w:rPr>
          <w:sz w:val="24"/>
          <w:szCs w:val="24"/>
        </w:rPr>
        <w:t xml:space="preserve"> održano je </w:t>
      </w:r>
      <w:r w:rsidR="000977E7" w:rsidRPr="00332AB5">
        <w:rPr>
          <w:sz w:val="24"/>
          <w:szCs w:val="24"/>
        </w:rPr>
        <w:t>1</w:t>
      </w:r>
      <w:r w:rsidR="00435798" w:rsidRPr="00332AB5">
        <w:rPr>
          <w:sz w:val="24"/>
          <w:szCs w:val="24"/>
        </w:rPr>
        <w:t>6</w:t>
      </w:r>
      <w:r w:rsidRPr="00332AB5">
        <w:rPr>
          <w:sz w:val="24"/>
          <w:szCs w:val="24"/>
        </w:rPr>
        <w:t xml:space="preserve"> sastanaka Odbora za praćenje Programa. </w:t>
      </w:r>
      <w:r w:rsidR="00F46BDA" w:rsidRPr="00332AB5">
        <w:rPr>
          <w:sz w:val="24"/>
          <w:szCs w:val="24"/>
        </w:rPr>
        <w:t xml:space="preserve">U izvještajnom razdoblju održan </w:t>
      </w:r>
      <w:r w:rsidR="00435798" w:rsidRPr="00332AB5">
        <w:rPr>
          <w:sz w:val="24"/>
          <w:szCs w:val="24"/>
        </w:rPr>
        <w:t>je</w:t>
      </w:r>
      <w:r w:rsidR="0044144E" w:rsidRPr="00332AB5">
        <w:rPr>
          <w:sz w:val="24"/>
          <w:szCs w:val="24"/>
        </w:rPr>
        <w:t xml:space="preserve"> </w:t>
      </w:r>
      <w:r w:rsidR="00F46BDA" w:rsidRPr="00332AB5">
        <w:rPr>
          <w:sz w:val="24"/>
          <w:szCs w:val="24"/>
        </w:rPr>
        <w:t>jedan sastanak Odbora za praćenje Programa.</w:t>
      </w:r>
    </w:p>
    <w:p w14:paraId="6467D998" w14:textId="77777777" w:rsidR="00FF6F9F" w:rsidRPr="00332AB5" w:rsidRDefault="00FF6F9F" w:rsidP="00FF6F9F">
      <w:pPr>
        <w:keepNext/>
        <w:numPr>
          <w:ilvl w:val="2"/>
          <w:numId w:val="3"/>
        </w:numPr>
        <w:spacing w:before="240" w:after="240"/>
        <w:outlineLvl w:val="2"/>
        <w:rPr>
          <w:b/>
          <w:bCs/>
          <w:sz w:val="24"/>
          <w:szCs w:val="26"/>
        </w:rPr>
      </w:pPr>
      <w:bookmarkStart w:id="96" w:name="_Toc152595233"/>
      <w:r w:rsidRPr="00332AB5">
        <w:rPr>
          <w:b/>
          <w:bCs/>
          <w:sz w:val="24"/>
          <w:szCs w:val="26"/>
        </w:rPr>
        <w:t xml:space="preserve">Program transnacionalne suradnje Interreg V-B Središnja Europa 2014. – </w:t>
      </w:r>
      <w:r w:rsidRPr="00332AB5">
        <w:rPr>
          <w:b/>
          <w:bCs/>
          <w:sz w:val="24"/>
          <w:szCs w:val="26"/>
        </w:rPr>
        <w:tab/>
        <w:t>2020.</w:t>
      </w:r>
      <w:bookmarkEnd w:id="96"/>
    </w:p>
    <w:p w14:paraId="7F1395C0" w14:textId="57DF1FC6" w:rsidR="000B53E7" w:rsidRPr="00332AB5" w:rsidRDefault="000B53E7" w:rsidP="000B53E7">
      <w:pPr>
        <w:spacing w:before="120" w:after="120"/>
        <w:jc w:val="both"/>
        <w:rPr>
          <w:sz w:val="24"/>
          <w:szCs w:val="24"/>
        </w:rPr>
      </w:pPr>
      <w:r w:rsidRPr="00332AB5">
        <w:rPr>
          <w:sz w:val="24"/>
          <w:szCs w:val="24"/>
        </w:rPr>
        <w:t xml:space="preserve">Ukupan proračun </w:t>
      </w:r>
      <w:r w:rsidR="00ED0F1C" w:rsidRPr="00332AB5">
        <w:rPr>
          <w:sz w:val="24"/>
          <w:szCs w:val="24"/>
        </w:rPr>
        <w:t>P</w:t>
      </w:r>
      <w:r w:rsidRPr="00332AB5">
        <w:rPr>
          <w:sz w:val="24"/>
          <w:szCs w:val="24"/>
        </w:rPr>
        <w:t xml:space="preserve">rograma iznosi 298,99 milijuna eura. Do </w:t>
      </w:r>
      <w:r w:rsidR="0011067E" w:rsidRPr="00332AB5">
        <w:rPr>
          <w:sz w:val="24"/>
          <w:szCs w:val="24"/>
        </w:rPr>
        <w:t>30. lipnja 2023.</w:t>
      </w:r>
      <w:r w:rsidRPr="00332AB5">
        <w:rPr>
          <w:sz w:val="24"/>
          <w:szCs w:val="24"/>
        </w:rPr>
        <w:t xml:space="preserve"> objavljena su četiri poziva na dostavu projektnih prijedloga ukupne vrijednosti 250 milijuna eura (sredstva EU). U izvještajnom razdoblju nije bilo objava poziva na dostavu projektnih prijedloga.</w:t>
      </w:r>
    </w:p>
    <w:p w14:paraId="7AA40F44" w14:textId="2BEBC838" w:rsidR="00F46BDA" w:rsidRPr="00332AB5" w:rsidRDefault="00F46BDA" w:rsidP="00F46BDA">
      <w:pPr>
        <w:spacing w:before="120" w:after="120"/>
        <w:jc w:val="both"/>
        <w:rPr>
          <w:sz w:val="24"/>
          <w:szCs w:val="24"/>
        </w:rPr>
      </w:pPr>
      <w:r w:rsidRPr="00332AB5">
        <w:rPr>
          <w:sz w:val="24"/>
          <w:szCs w:val="24"/>
        </w:rPr>
        <w:t xml:space="preserve">Do </w:t>
      </w:r>
      <w:r w:rsidR="0011067E" w:rsidRPr="00332AB5">
        <w:rPr>
          <w:sz w:val="24"/>
          <w:szCs w:val="24"/>
        </w:rPr>
        <w:t>30. lipnja 2023.</w:t>
      </w:r>
      <w:r w:rsidRPr="00332AB5">
        <w:rPr>
          <w:sz w:val="24"/>
          <w:szCs w:val="24"/>
        </w:rPr>
        <w:t xml:space="preserve"> sklopljeno je 89 ugovora o dodjeli bespovratnih sredstava u koje je uključeno 135 hrvatskih projektnih partnera za koje je ugovorena ukupna vrijednost od 18,7 milijuna eura (sredstva EU).</w:t>
      </w:r>
      <w:r w:rsidRPr="00332AB5">
        <w:t xml:space="preserve"> </w:t>
      </w:r>
      <w:r w:rsidRPr="00332AB5">
        <w:rPr>
          <w:sz w:val="24"/>
          <w:szCs w:val="24"/>
        </w:rPr>
        <w:t>U izvještajnom razdoblju nije sklopljen niti jedan ugovor o dodjeli bespovratnih sredstava.</w:t>
      </w:r>
    </w:p>
    <w:p w14:paraId="02EA93A6" w14:textId="54F5D221" w:rsidR="00F46BDA" w:rsidRPr="00332AB5" w:rsidRDefault="00F46BDA" w:rsidP="00F46BDA">
      <w:pPr>
        <w:spacing w:before="120" w:after="120"/>
        <w:jc w:val="both"/>
        <w:rPr>
          <w:sz w:val="24"/>
          <w:szCs w:val="24"/>
        </w:rPr>
      </w:pPr>
      <w:r w:rsidRPr="00332AB5">
        <w:rPr>
          <w:sz w:val="24"/>
          <w:szCs w:val="24"/>
        </w:rPr>
        <w:t xml:space="preserve">Do </w:t>
      </w:r>
      <w:r w:rsidR="0011067E" w:rsidRPr="00332AB5">
        <w:rPr>
          <w:sz w:val="24"/>
          <w:szCs w:val="24"/>
        </w:rPr>
        <w:t>30. lipnja 2023.</w:t>
      </w:r>
      <w:r w:rsidRPr="00332AB5">
        <w:rPr>
          <w:sz w:val="24"/>
          <w:szCs w:val="24"/>
        </w:rPr>
        <w:t xml:space="preserve"> održano je 1</w:t>
      </w:r>
      <w:r w:rsidR="0044144E" w:rsidRPr="00332AB5">
        <w:rPr>
          <w:sz w:val="24"/>
          <w:szCs w:val="24"/>
        </w:rPr>
        <w:t>2</w:t>
      </w:r>
      <w:r w:rsidRPr="00332AB5">
        <w:rPr>
          <w:sz w:val="24"/>
          <w:szCs w:val="24"/>
        </w:rPr>
        <w:t xml:space="preserve"> sastanaka Odbora za praćenje Programa. </w:t>
      </w:r>
      <w:bookmarkStart w:id="97" w:name="_Hlk114471665"/>
      <w:r w:rsidRPr="00332AB5">
        <w:rPr>
          <w:sz w:val="24"/>
          <w:szCs w:val="24"/>
        </w:rPr>
        <w:t xml:space="preserve">U izvještajnom razdoblju </w:t>
      </w:r>
      <w:r w:rsidR="00396F47" w:rsidRPr="00332AB5">
        <w:rPr>
          <w:sz w:val="24"/>
          <w:szCs w:val="24"/>
        </w:rPr>
        <w:t xml:space="preserve">nije </w:t>
      </w:r>
      <w:r w:rsidRPr="00332AB5">
        <w:rPr>
          <w:sz w:val="24"/>
          <w:szCs w:val="24"/>
        </w:rPr>
        <w:t>održan</w:t>
      </w:r>
      <w:r w:rsidR="0044144E" w:rsidRPr="00332AB5">
        <w:rPr>
          <w:sz w:val="24"/>
          <w:szCs w:val="24"/>
        </w:rPr>
        <w:t xml:space="preserve"> </w:t>
      </w:r>
      <w:r w:rsidR="00396F47" w:rsidRPr="00332AB5">
        <w:rPr>
          <w:sz w:val="24"/>
          <w:szCs w:val="24"/>
        </w:rPr>
        <w:t>niti</w:t>
      </w:r>
      <w:r w:rsidR="0044144E" w:rsidRPr="00332AB5">
        <w:rPr>
          <w:sz w:val="24"/>
          <w:szCs w:val="24"/>
        </w:rPr>
        <w:t xml:space="preserve"> jedan</w:t>
      </w:r>
      <w:r w:rsidRPr="00332AB5">
        <w:rPr>
          <w:sz w:val="24"/>
          <w:szCs w:val="24"/>
        </w:rPr>
        <w:t xml:space="preserve"> sastanak Odbora za praćenje Programa.</w:t>
      </w:r>
    </w:p>
    <w:p w14:paraId="7B42A788" w14:textId="2976B1B6" w:rsidR="00FF6F9F" w:rsidRPr="00332AB5" w:rsidRDefault="00FF6F9F" w:rsidP="00FF6F9F">
      <w:pPr>
        <w:keepNext/>
        <w:numPr>
          <w:ilvl w:val="2"/>
          <w:numId w:val="3"/>
        </w:numPr>
        <w:spacing w:before="240" w:after="240"/>
        <w:outlineLvl w:val="2"/>
        <w:rPr>
          <w:b/>
          <w:bCs/>
          <w:sz w:val="24"/>
          <w:szCs w:val="26"/>
        </w:rPr>
      </w:pPr>
      <w:bookmarkStart w:id="98" w:name="_Toc152595234"/>
      <w:bookmarkEnd w:id="97"/>
      <w:r w:rsidRPr="00332AB5">
        <w:rPr>
          <w:b/>
          <w:bCs/>
          <w:sz w:val="24"/>
          <w:szCs w:val="26"/>
        </w:rPr>
        <w:t>Program međuregionalne suradnje INTERREG E</w:t>
      </w:r>
      <w:r w:rsidR="00C808C8" w:rsidRPr="00332AB5">
        <w:rPr>
          <w:b/>
          <w:bCs/>
          <w:sz w:val="24"/>
          <w:szCs w:val="26"/>
        </w:rPr>
        <w:t>urope</w:t>
      </w:r>
      <w:r w:rsidRPr="00332AB5">
        <w:rPr>
          <w:b/>
          <w:bCs/>
          <w:sz w:val="24"/>
          <w:szCs w:val="26"/>
        </w:rPr>
        <w:t xml:space="preserve"> 2014. – 2020.</w:t>
      </w:r>
      <w:bookmarkEnd w:id="98"/>
    </w:p>
    <w:p w14:paraId="472200EB" w14:textId="22645FA1" w:rsidR="000B53E7" w:rsidRPr="00332AB5" w:rsidRDefault="000B53E7" w:rsidP="000B53E7">
      <w:pPr>
        <w:spacing w:before="120" w:after="120"/>
        <w:jc w:val="both"/>
        <w:rPr>
          <w:sz w:val="24"/>
          <w:szCs w:val="24"/>
        </w:rPr>
      </w:pPr>
      <w:r w:rsidRPr="00332AB5">
        <w:rPr>
          <w:sz w:val="24"/>
          <w:szCs w:val="24"/>
        </w:rPr>
        <w:t xml:space="preserve">Ukupan proračun </w:t>
      </w:r>
      <w:r w:rsidR="00ED0F1C" w:rsidRPr="00332AB5">
        <w:rPr>
          <w:sz w:val="24"/>
          <w:szCs w:val="24"/>
        </w:rPr>
        <w:t>P</w:t>
      </w:r>
      <w:r w:rsidRPr="00332AB5">
        <w:rPr>
          <w:sz w:val="24"/>
          <w:szCs w:val="24"/>
        </w:rPr>
        <w:t xml:space="preserve">rograma iznosi 359,33 milijuna eura. Do </w:t>
      </w:r>
      <w:r w:rsidR="0011067E" w:rsidRPr="00332AB5">
        <w:rPr>
          <w:sz w:val="24"/>
          <w:szCs w:val="24"/>
        </w:rPr>
        <w:t>30. lipnja 2023.</w:t>
      </w:r>
      <w:r w:rsidRPr="00332AB5">
        <w:rPr>
          <w:sz w:val="24"/>
          <w:szCs w:val="24"/>
        </w:rPr>
        <w:t xml:space="preserve"> objavljena su četiri poziva na dostavu projektnih prijedloga ukupne vrijednosti 316,14 milijuna eura (sredstva EU). U izvještajnom razdoblju nije bilo poziva na dostavu projektnih prijedloga.</w:t>
      </w:r>
    </w:p>
    <w:p w14:paraId="47ED7867" w14:textId="70FD8AE7" w:rsidR="00DE6269" w:rsidRPr="00332AB5" w:rsidRDefault="000B53E7" w:rsidP="00DE6269">
      <w:pPr>
        <w:spacing w:before="120" w:after="120"/>
        <w:jc w:val="both"/>
        <w:rPr>
          <w:sz w:val="24"/>
          <w:szCs w:val="24"/>
        </w:rPr>
      </w:pPr>
      <w:r w:rsidRPr="00332AB5">
        <w:rPr>
          <w:sz w:val="24"/>
          <w:szCs w:val="24"/>
        </w:rPr>
        <w:t xml:space="preserve">Do </w:t>
      </w:r>
      <w:r w:rsidR="0011067E" w:rsidRPr="00332AB5">
        <w:rPr>
          <w:sz w:val="24"/>
          <w:szCs w:val="24"/>
        </w:rPr>
        <w:t>30. lipnja 2023.</w:t>
      </w:r>
      <w:r w:rsidRPr="00332AB5">
        <w:rPr>
          <w:sz w:val="24"/>
          <w:szCs w:val="24"/>
        </w:rPr>
        <w:t xml:space="preserve"> sklopljeno je 29 ugovora o dodjeli bespovratnih sredstava u kojima sudjeluju 33 projektna partnera iz RH, za koje je ugovoreno </w:t>
      </w:r>
      <w:r w:rsidR="005C2BC3" w:rsidRPr="00332AB5">
        <w:rPr>
          <w:sz w:val="24"/>
          <w:szCs w:val="24"/>
        </w:rPr>
        <w:t>4</w:t>
      </w:r>
      <w:r w:rsidRPr="00332AB5">
        <w:rPr>
          <w:sz w:val="24"/>
          <w:szCs w:val="24"/>
        </w:rPr>
        <w:t xml:space="preserve"> milijuna eura (sredstva EU). </w:t>
      </w:r>
      <w:r w:rsidR="00DE6269" w:rsidRPr="00332AB5">
        <w:rPr>
          <w:sz w:val="24"/>
          <w:szCs w:val="24"/>
        </w:rPr>
        <w:t>U izvještajnom razdoblju nije sklopljen niti jedan ugovor o dodjeli bespovratnih sredstava.</w:t>
      </w:r>
    </w:p>
    <w:p w14:paraId="145DF84A" w14:textId="0FEAB018" w:rsidR="000B53E7" w:rsidRPr="00332AB5" w:rsidRDefault="00DE6269" w:rsidP="00DE6269">
      <w:pPr>
        <w:spacing w:before="120" w:after="120"/>
        <w:jc w:val="both"/>
        <w:rPr>
          <w:sz w:val="24"/>
          <w:szCs w:val="24"/>
        </w:rPr>
      </w:pPr>
      <w:r w:rsidRPr="00332AB5">
        <w:rPr>
          <w:sz w:val="24"/>
          <w:szCs w:val="24"/>
        </w:rPr>
        <w:t xml:space="preserve">Do </w:t>
      </w:r>
      <w:r w:rsidR="0011067E" w:rsidRPr="00332AB5">
        <w:rPr>
          <w:sz w:val="24"/>
          <w:szCs w:val="24"/>
        </w:rPr>
        <w:t>30. lipnja 2023.</w:t>
      </w:r>
      <w:r w:rsidRPr="00332AB5">
        <w:rPr>
          <w:sz w:val="24"/>
          <w:szCs w:val="24"/>
        </w:rPr>
        <w:t xml:space="preserve"> održano je </w:t>
      </w:r>
      <w:r w:rsidR="00396F47" w:rsidRPr="00332AB5">
        <w:rPr>
          <w:sz w:val="24"/>
          <w:szCs w:val="24"/>
        </w:rPr>
        <w:t>20</w:t>
      </w:r>
      <w:r w:rsidRPr="00332AB5">
        <w:rPr>
          <w:sz w:val="24"/>
          <w:szCs w:val="24"/>
        </w:rPr>
        <w:t xml:space="preserve"> sastanaka Odbora za praćenje Programa. U izvještajnom razdoblju održan</w:t>
      </w:r>
      <w:r w:rsidR="0044144E" w:rsidRPr="00332AB5">
        <w:rPr>
          <w:sz w:val="24"/>
          <w:szCs w:val="24"/>
        </w:rPr>
        <w:t xml:space="preserve"> </w:t>
      </w:r>
      <w:r w:rsidR="00396F47" w:rsidRPr="00332AB5">
        <w:rPr>
          <w:sz w:val="24"/>
          <w:szCs w:val="24"/>
        </w:rPr>
        <w:t>je</w:t>
      </w:r>
      <w:r w:rsidR="0044144E" w:rsidRPr="00332AB5">
        <w:rPr>
          <w:sz w:val="24"/>
          <w:szCs w:val="24"/>
        </w:rPr>
        <w:t xml:space="preserve"> </w:t>
      </w:r>
      <w:r w:rsidR="00396F47" w:rsidRPr="00332AB5">
        <w:rPr>
          <w:sz w:val="24"/>
          <w:szCs w:val="24"/>
        </w:rPr>
        <w:t>jedan</w:t>
      </w:r>
      <w:r w:rsidRPr="00332AB5">
        <w:rPr>
          <w:sz w:val="24"/>
          <w:szCs w:val="24"/>
        </w:rPr>
        <w:t xml:space="preserve"> sasta</w:t>
      </w:r>
      <w:r w:rsidR="0044144E" w:rsidRPr="00332AB5">
        <w:rPr>
          <w:sz w:val="24"/>
          <w:szCs w:val="24"/>
        </w:rPr>
        <w:t>n</w:t>
      </w:r>
      <w:r w:rsidR="00396F47" w:rsidRPr="00332AB5">
        <w:rPr>
          <w:sz w:val="24"/>
          <w:szCs w:val="24"/>
        </w:rPr>
        <w:t>a</w:t>
      </w:r>
      <w:r w:rsidR="0044144E" w:rsidRPr="00332AB5">
        <w:rPr>
          <w:sz w:val="24"/>
          <w:szCs w:val="24"/>
        </w:rPr>
        <w:t>k</w:t>
      </w:r>
      <w:r w:rsidRPr="00332AB5">
        <w:rPr>
          <w:sz w:val="24"/>
          <w:szCs w:val="24"/>
        </w:rPr>
        <w:t xml:space="preserve"> Odbora za praćenje Programa.</w:t>
      </w:r>
    </w:p>
    <w:p w14:paraId="740AE50E" w14:textId="77777777" w:rsidR="00FF6F9F" w:rsidRPr="00332AB5" w:rsidRDefault="00FF6F9F" w:rsidP="00FF6F9F">
      <w:pPr>
        <w:keepNext/>
        <w:numPr>
          <w:ilvl w:val="2"/>
          <w:numId w:val="3"/>
        </w:numPr>
        <w:spacing w:before="240" w:after="240"/>
        <w:outlineLvl w:val="2"/>
        <w:rPr>
          <w:b/>
          <w:bCs/>
          <w:sz w:val="24"/>
          <w:szCs w:val="26"/>
        </w:rPr>
      </w:pPr>
      <w:bookmarkStart w:id="99" w:name="_Toc152595235"/>
      <w:r w:rsidRPr="00332AB5">
        <w:rPr>
          <w:b/>
          <w:bCs/>
          <w:sz w:val="24"/>
          <w:szCs w:val="26"/>
        </w:rPr>
        <w:t>Program međuregionalne suradnje INTERACT III 2014. – 2020.</w:t>
      </w:r>
      <w:bookmarkEnd w:id="99"/>
    </w:p>
    <w:p w14:paraId="61023070" w14:textId="6C9F1ED6" w:rsidR="000B53E7" w:rsidRPr="00332AB5" w:rsidRDefault="000B53E7" w:rsidP="000B53E7">
      <w:pPr>
        <w:spacing w:before="120" w:after="120"/>
        <w:jc w:val="both"/>
        <w:rPr>
          <w:sz w:val="24"/>
          <w:szCs w:val="24"/>
        </w:rPr>
      </w:pPr>
      <w:bookmarkStart w:id="100" w:name="_Toc465419099"/>
      <w:bookmarkEnd w:id="82"/>
      <w:r w:rsidRPr="00332AB5">
        <w:rPr>
          <w:sz w:val="24"/>
          <w:szCs w:val="24"/>
        </w:rPr>
        <w:t xml:space="preserve">Ukupan proračun </w:t>
      </w:r>
      <w:r w:rsidR="00ED0F1C" w:rsidRPr="00332AB5">
        <w:rPr>
          <w:sz w:val="24"/>
          <w:szCs w:val="24"/>
        </w:rPr>
        <w:t>P</w:t>
      </w:r>
      <w:r w:rsidRPr="00332AB5">
        <w:rPr>
          <w:sz w:val="24"/>
          <w:szCs w:val="24"/>
        </w:rPr>
        <w:t>rograma iznosi 39,39 milijuna eura te je u potpunosti usmjeren na financiranje programskih aktivnosti namijenjenih razmjeni iskustava upravljačkih struktura i ujednačavanju provedbenih alata u programima europske teritorijalne suradnje.</w:t>
      </w:r>
    </w:p>
    <w:p w14:paraId="2C091753" w14:textId="6F36F36D" w:rsidR="000B53E7" w:rsidRPr="00332AB5" w:rsidRDefault="000B53E7" w:rsidP="000B53E7">
      <w:pPr>
        <w:spacing w:before="120" w:after="120"/>
        <w:contextualSpacing/>
        <w:jc w:val="both"/>
        <w:rPr>
          <w:rFonts w:eastAsia="Calibri"/>
          <w:sz w:val="24"/>
          <w:szCs w:val="24"/>
        </w:rPr>
      </w:pPr>
      <w:r w:rsidRPr="00332AB5">
        <w:rPr>
          <w:sz w:val="24"/>
          <w:szCs w:val="24"/>
        </w:rPr>
        <w:t xml:space="preserve">Do </w:t>
      </w:r>
      <w:r w:rsidR="0011067E" w:rsidRPr="00332AB5">
        <w:rPr>
          <w:sz w:val="24"/>
          <w:szCs w:val="24"/>
        </w:rPr>
        <w:t>30. lipnja 2023.</w:t>
      </w:r>
      <w:r w:rsidRPr="00332AB5">
        <w:rPr>
          <w:sz w:val="24"/>
          <w:szCs w:val="24"/>
        </w:rPr>
        <w:t xml:space="preserve"> održano je </w:t>
      </w:r>
      <w:r w:rsidR="000977E7" w:rsidRPr="00332AB5">
        <w:rPr>
          <w:sz w:val="24"/>
          <w:szCs w:val="24"/>
        </w:rPr>
        <w:t>1</w:t>
      </w:r>
      <w:r w:rsidR="00396F47" w:rsidRPr="00332AB5">
        <w:rPr>
          <w:sz w:val="24"/>
          <w:szCs w:val="24"/>
        </w:rPr>
        <w:t>7</w:t>
      </w:r>
      <w:r w:rsidRPr="00332AB5">
        <w:rPr>
          <w:sz w:val="24"/>
          <w:szCs w:val="24"/>
        </w:rPr>
        <w:t xml:space="preserve"> sastanaka Odbora za praćenje Programa. U izvještajnom razdoblju održan je jedan sastanak Odbora za praćenje Programa.</w:t>
      </w:r>
    </w:p>
    <w:p w14:paraId="73D08E6F" w14:textId="77777777" w:rsidR="00482C15" w:rsidRPr="00332AB5" w:rsidRDefault="00C12100" w:rsidP="00225C7B">
      <w:pPr>
        <w:pStyle w:val="Heading3"/>
        <w:numPr>
          <w:ilvl w:val="2"/>
          <w:numId w:val="3"/>
        </w:numPr>
      </w:pPr>
      <w:bookmarkStart w:id="101" w:name="_Toc152595236"/>
      <w:r w:rsidRPr="00332AB5">
        <w:lastRenderedPageBreak/>
        <w:t>Program</w:t>
      </w:r>
      <w:r w:rsidR="003B3716" w:rsidRPr="00332AB5">
        <w:t xml:space="preserve"> </w:t>
      </w:r>
      <w:r w:rsidRPr="00332AB5">
        <w:t>međuregionalne suradnje URBACT III 2014. – 2020.</w:t>
      </w:r>
      <w:bookmarkEnd w:id="100"/>
      <w:bookmarkEnd w:id="101"/>
    </w:p>
    <w:p w14:paraId="174A0F56" w14:textId="4EA6969C" w:rsidR="00762565" w:rsidRPr="00332AB5" w:rsidRDefault="00762565" w:rsidP="00762565">
      <w:pPr>
        <w:spacing w:before="120" w:after="120"/>
        <w:jc w:val="both"/>
        <w:rPr>
          <w:sz w:val="24"/>
          <w:szCs w:val="24"/>
        </w:rPr>
      </w:pPr>
      <w:bookmarkStart w:id="102" w:name="_Toc465419100"/>
      <w:r w:rsidRPr="00332AB5">
        <w:rPr>
          <w:sz w:val="24"/>
          <w:szCs w:val="24"/>
        </w:rPr>
        <w:t xml:space="preserve">Ukupan proračun </w:t>
      </w:r>
      <w:r w:rsidR="00ED0F1C" w:rsidRPr="00332AB5">
        <w:rPr>
          <w:sz w:val="24"/>
          <w:szCs w:val="24"/>
        </w:rPr>
        <w:t>P</w:t>
      </w:r>
      <w:r w:rsidRPr="00332AB5">
        <w:rPr>
          <w:sz w:val="24"/>
          <w:szCs w:val="24"/>
        </w:rPr>
        <w:t>rograma iznosi 96,3 milijuna EUR od čega 74,3 milijuna EUR čini doprinos iz EFRR-a. Program je usmjeren na financiranje razmjene znanja i dobrih praksi između gradova, ostalih JLP(R)S, središnjih tijela državne uprave i znanstveno-istraživačkih institucija. Cilj programa je promicanje integriranog, održivog razvoja JLP(R)S-a te poboljšavanje učinkovite provedbe kohezijske politike EU-a na regionalnoj i lokalnoj razini.</w:t>
      </w:r>
    </w:p>
    <w:p w14:paraId="0F3B12B6" w14:textId="77777777" w:rsidR="00762565" w:rsidRPr="00332AB5" w:rsidRDefault="00762565" w:rsidP="00762565">
      <w:pPr>
        <w:spacing w:before="120" w:after="120"/>
        <w:jc w:val="both"/>
        <w:rPr>
          <w:sz w:val="24"/>
          <w:szCs w:val="24"/>
        </w:rPr>
      </w:pPr>
      <w:r w:rsidRPr="00332AB5">
        <w:rPr>
          <w:sz w:val="24"/>
          <w:szCs w:val="24"/>
        </w:rPr>
        <w:t>Tijekom izvještajnoga razdoblja nije bilo značajnijih provedbenih aktivnosti te je usmjerenje rada bilo na okončavanje posljednjih programskih aktivnosti s ciljem osiguravanja pravovremenog zatvaranja programa URBACT III tijekom prve polovice 2025. godine. Razdoblje prihvatljivosti troškova završava 31. prosinca 2023.</w:t>
      </w:r>
    </w:p>
    <w:p w14:paraId="684999FF" w14:textId="77777777" w:rsidR="00762565" w:rsidRPr="00332AB5" w:rsidRDefault="00762565" w:rsidP="00762565">
      <w:pPr>
        <w:spacing w:before="120" w:after="120"/>
        <w:jc w:val="both"/>
        <w:rPr>
          <w:sz w:val="24"/>
          <w:szCs w:val="24"/>
        </w:rPr>
      </w:pPr>
      <w:r w:rsidRPr="00332AB5">
        <w:rPr>
          <w:sz w:val="24"/>
          <w:szCs w:val="24"/>
        </w:rPr>
        <w:t>Tijekom izvještajnog razdoblja održan je jedan sastanak Odbora za praćenje programa (URBACT III MC), 29. svibnja 2023., tijekom kojega je Tajništvo programa izvijestilo o posljednjim aktivnostima u okviru kapitalizacije i izgradnje kapaciteta. Do kraja 2023. godine planirano je održavanje još jednoga sastanka URBACT III MC-a, koji će ujedno biti i posljednji za ovaj program.</w:t>
      </w:r>
    </w:p>
    <w:p w14:paraId="31F663E4" w14:textId="7AB8CCC8" w:rsidR="0087642B" w:rsidRPr="00332AB5" w:rsidRDefault="009517A7">
      <w:pPr>
        <w:keepNext/>
        <w:numPr>
          <w:ilvl w:val="2"/>
          <w:numId w:val="8"/>
        </w:numPr>
        <w:spacing w:before="240" w:after="240"/>
        <w:outlineLvl w:val="2"/>
        <w:rPr>
          <w:b/>
          <w:bCs/>
          <w:sz w:val="24"/>
          <w:szCs w:val="26"/>
        </w:rPr>
      </w:pPr>
      <w:bookmarkStart w:id="103" w:name="_Toc152595237"/>
      <w:r w:rsidRPr="00332AB5">
        <w:rPr>
          <w:b/>
          <w:bCs/>
          <w:sz w:val="24"/>
          <w:szCs w:val="26"/>
        </w:rPr>
        <w:t>Program međuregionalne suradnje ESPON 2020</w:t>
      </w:r>
      <w:bookmarkEnd w:id="102"/>
      <w:bookmarkEnd w:id="103"/>
    </w:p>
    <w:p w14:paraId="75D236FE" w14:textId="001323E5" w:rsidR="00762565" w:rsidRPr="00332AB5" w:rsidRDefault="00762565" w:rsidP="00762565">
      <w:pPr>
        <w:spacing w:before="120" w:after="120"/>
        <w:jc w:val="both"/>
        <w:rPr>
          <w:sz w:val="24"/>
          <w:szCs w:val="24"/>
        </w:rPr>
      </w:pPr>
      <w:r w:rsidRPr="00332AB5">
        <w:rPr>
          <w:sz w:val="24"/>
          <w:szCs w:val="24"/>
        </w:rPr>
        <w:t xml:space="preserve">Ukupni proračun </w:t>
      </w:r>
      <w:r w:rsidR="00ED0F1C" w:rsidRPr="00332AB5">
        <w:rPr>
          <w:sz w:val="24"/>
          <w:szCs w:val="24"/>
        </w:rPr>
        <w:t>P</w:t>
      </w:r>
      <w:r w:rsidRPr="00332AB5">
        <w:rPr>
          <w:sz w:val="24"/>
          <w:szCs w:val="24"/>
        </w:rPr>
        <w:t>rograma ESPON 2020 iznosi 48,68 milijuna EUR od čega 41,38 milijuna EUR čini doprinos iz EFRR-a, a 7,3 milijuna EUR su nacionalni doprinosi država sudionica u programu. Ukupni doprinos koji RH uplaćuje iznosi 223.327,00 eura za razdoblje 2014. – 2020.</w:t>
      </w:r>
    </w:p>
    <w:p w14:paraId="1C94A676" w14:textId="77777777" w:rsidR="00762565" w:rsidRPr="00332AB5" w:rsidRDefault="00762565" w:rsidP="00762565">
      <w:pPr>
        <w:spacing w:before="120" w:after="120"/>
        <w:jc w:val="both"/>
        <w:rPr>
          <w:sz w:val="24"/>
          <w:szCs w:val="24"/>
        </w:rPr>
      </w:pPr>
      <w:r w:rsidRPr="00332AB5">
        <w:rPr>
          <w:sz w:val="24"/>
          <w:szCs w:val="24"/>
        </w:rPr>
        <w:t>Sastanci Odbora za praćenje ESPON-a 2020 (ESPON 2020 MC) održani su dva puta tijekom izvještajnoga razdoblja, 28. ožujka i 12. lipnja 2023. Tijekom sastanaka Upravljačko tijelo (ESPON MA) je izvijestilo o planovima i postupcima vezanima za zatvaranje programa, a članovi ESPON 2020 MC-a usvojili su izvješće o provedbi programa u 2022., izvješće o ocjeni jedinstvene operacije koje priprema ESPON EGTC te izvješće o stanju iskorištenosti mehanizma odgovornosti. Konačno zatvaranje programa očekuje se početkom 2025. do kada će biti okončani svi potrebni administrativni postupci vezani za zatvaranje programa.</w:t>
      </w:r>
    </w:p>
    <w:p w14:paraId="7CCBFFED" w14:textId="77777777" w:rsidR="00851D19" w:rsidRPr="00332AB5" w:rsidRDefault="00851D19">
      <w:pPr>
        <w:rPr>
          <w:b/>
          <w:bCs/>
          <w:iCs/>
          <w:sz w:val="24"/>
          <w:szCs w:val="28"/>
        </w:rPr>
      </w:pPr>
      <w:r w:rsidRPr="00332AB5">
        <w:br w:type="page"/>
      </w:r>
    </w:p>
    <w:p w14:paraId="3926298C" w14:textId="77777777" w:rsidR="00281FBA" w:rsidRPr="00332AB5" w:rsidRDefault="00417C8F" w:rsidP="00417C8F">
      <w:pPr>
        <w:pStyle w:val="Heading2"/>
        <w:numPr>
          <w:ilvl w:val="1"/>
          <w:numId w:val="3"/>
        </w:numPr>
      </w:pPr>
      <w:bookmarkStart w:id="104" w:name="_Toc152595238"/>
      <w:bookmarkStart w:id="105" w:name="_Hlk83727284"/>
      <w:r w:rsidRPr="00332AB5">
        <w:lastRenderedPageBreak/>
        <w:t>NAUČENE LEKCIJE</w:t>
      </w:r>
      <w:bookmarkEnd w:id="104"/>
    </w:p>
    <w:p w14:paraId="7BFB355D" w14:textId="5716B3C0" w:rsidR="0017471D" w:rsidRPr="00332AB5" w:rsidRDefault="0017471D" w:rsidP="0017471D">
      <w:pPr>
        <w:spacing w:before="120" w:after="120"/>
        <w:jc w:val="both"/>
        <w:rPr>
          <w:sz w:val="24"/>
          <w:szCs w:val="24"/>
        </w:rPr>
      </w:pPr>
      <w:r w:rsidRPr="00332AB5">
        <w:rPr>
          <w:sz w:val="24"/>
          <w:szCs w:val="24"/>
        </w:rPr>
        <w:t>Tijekom financijskog razdoblja 2014.</w:t>
      </w:r>
      <w:r w:rsidR="000F59CF" w:rsidRPr="00332AB5">
        <w:rPr>
          <w:sz w:val="24"/>
          <w:szCs w:val="24"/>
        </w:rPr>
        <w:t xml:space="preserve"> – </w:t>
      </w:r>
      <w:r w:rsidRPr="00332AB5">
        <w:rPr>
          <w:sz w:val="24"/>
          <w:szCs w:val="24"/>
        </w:rPr>
        <w:t xml:space="preserve">2020. stečena su i kroz vrednovanja Koordinacijskog tijela i nadležnih upravljačkih tijela prikupljena znanja i naučene lekcije o provedbi projekata financiranih iz EU fondova. </w:t>
      </w:r>
    </w:p>
    <w:p w14:paraId="6F3B211A" w14:textId="2A999F63" w:rsidR="0017471D" w:rsidRPr="00332AB5" w:rsidRDefault="0017471D" w:rsidP="0017471D">
      <w:pPr>
        <w:spacing w:before="120" w:after="120"/>
        <w:jc w:val="both"/>
        <w:rPr>
          <w:sz w:val="24"/>
          <w:szCs w:val="24"/>
        </w:rPr>
      </w:pPr>
      <w:r w:rsidRPr="00332AB5">
        <w:rPr>
          <w:sz w:val="24"/>
          <w:szCs w:val="24"/>
        </w:rPr>
        <w:t>Koordinacija aktivnosti vrednovanja i stvaranja baza znanja osigurana je kontinuirano i u 2014.</w:t>
      </w:r>
      <w:r w:rsidR="00E910EE" w:rsidRPr="00332AB5">
        <w:rPr>
          <w:sz w:val="24"/>
          <w:szCs w:val="24"/>
        </w:rPr>
        <w:t xml:space="preserve"> – </w:t>
      </w:r>
      <w:r w:rsidRPr="00332AB5">
        <w:rPr>
          <w:sz w:val="24"/>
          <w:szCs w:val="24"/>
        </w:rPr>
        <w:t>2020. kao i u 2021.</w:t>
      </w:r>
      <w:r w:rsidR="000F59CF" w:rsidRPr="00332AB5">
        <w:rPr>
          <w:sz w:val="24"/>
          <w:szCs w:val="24"/>
        </w:rPr>
        <w:t xml:space="preserve"> – </w:t>
      </w:r>
      <w:r w:rsidRPr="00332AB5">
        <w:rPr>
          <w:sz w:val="24"/>
          <w:szCs w:val="24"/>
        </w:rPr>
        <w:t xml:space="preserve">2027. U tu svrhu osiguran je i rad Međuresorne evaluacijske radne skupine (MERS) pod predsjedanjem predstavnika Koordinacijskog tijela. </w:t>
      </w:r>
    </w:p>
    <w:p w14:paraId="4A71C713" w14:textId="68D58D6E" w:rsidR="0017471D" w:rsidRPr="00332AB5" w:rsidRDefault="0017471D" w:rsidP="0017471D">
      <w:pPr>
        <w:spacing w:before="120" w:after="120"/>
        <w:jc w:val="both"/>
        <w:rPr>
          <w:sz w:val="24"/>
          <w:szCs w:val="24"/>
        </w:rPr>
      </w:pPr>
      <w:r w:rsidRPr="00332AB5">
        <w:rPr>
          <w:sz w:val="24"/>
          <w:szCs w:val="24"/>
        </w:rPr>
        <w:t>MERS je glavno referentno mjesto za sve aktivnosti u vezi s vrednovanjem provedbe fondova EU u tijelima državne uprave, ali i forum za raspravu i razmjenu iskustava, koordinaciju, analizu provedenih vrednovanja, diseminaciju rezultata, propisivanje standarda i uputa te unaprijeđena kapaciteta i njegovanja kulture vrednovanja. Do 30. lipnja 2023. održane su četiri (4) sjednice tijekom kojih su se pratile preporuke provedenih vrednovanja, izrada planova vrednovanja financijskog razdoblja 2021.</w:t>
      </w:r>
      <w:r w:rsidR="000F59CF" w:rsidRPr="00332AB5">
        <w:rPr>
          <w:sz w:val="24"/>
          <w:szCs w:val="24"/>
        </w:rPr>
        <w:t xml:space="preserve"> – </w:t>
      </w:r>
      <w:r w:rsidRPr="00332AB5">
        <w:rPr>
          <w:sz w:val="24"/>
          <w:szCs w:val="24"/>
        </w:rPr>
        <w:t>2027. te je u travnju 2023. raspravljena i usvojena Strategija vrednovanja EU fondova financijskog razdoblja 2021.</w:t>
      </w:r>
      <w:r w:rsidR="000F59CF" w:rsidRPr="00332AB5">
        <w:rPr>
          <w:sz w:val="24"/>
          <w:szCs w:val="24"/>
        </w:rPr>
        <w:t xml:space="preserve"> – </w:t>
      </w:r>
      <w:r w:rsidRPr="00332AB5">
        <w:rPr>
          <w:sz w:val="24"/>
          <w:szCs w:val="24"/>
        </w:rPr>
        <w:t>2027.</w:t>
      </w:r>
    </w:p>
    <w:p w14:paraId="09EEFBA6" w14:textId="0FE98494" w:rsidR="0017471D" w:rsidRPr="00332AB5" w:rsidRDefault="0017471D" w:rsidP="0017471D">
      <w:pPr>
        <w:spacing w:before="120" w:after="120"/>
        <w:jc w:val="both"/>
        <w:rPr>
          <w:sz w:val="24"/>
          <w:szCs w:val="24"/>
        </w:rPr>
      </w:pPr>
      <w:r w:rsidRPr="00332AB5">
        <w:rPr>
          <w:sz w:val="24"/>
          <w:szCs w:val="24"/>
        </w:rPr>
        <w:t>Strategija vrednovanja usmjerena je na procese vrednovanja programskih dokumenata financijskog razdoblja 2021.</w:t>
      </w:r>
      <w:r w:rsidR="000F59CF" w:rsidRPr="00332AB5">
        <w:rPr>
          <w:sz w:val="24"/>
          <w:szCs w:val="24"/>
        </w:rPr>
        <w:t xml:space="preserve"> – </w:t>
      </w:r>
      <w:r w:rsidRPr="00332AB5">
        <w:rPr>
          <w:sz w:val="24"/>
          <w:szCs w:val="24"/>
        </w:rPr>
        <w:t>2027. te definira okvir za provođenje aktivnosti vrednovanja EU fondova kao i okvir za osiguravanje dosljednosti u njegovu provođenju u okviru upravljanja EU fondovima, kroz opći i specifične ciljeve. Uz definiranje pojmova vezanih uz samo vrednovanje i njegove vrste, Strategija vrednovanja referira se i na načela provedbe vrednovanja, metodološki okvir te standarde vrednovanja s ciljem unaprijeđena djelotvornosti, učinkovitosti i održivosti provedbe EU fondova u RH s posebnim naglaskom na daljnje jačanje i širenje kulture vrednovanja, s ciljem osiguravanja sustavne i dosljedne primjene vrednovanja kroz cjelokupnu provedbu EU fondova, osiguravanje uključenosti rezultata vrednovanja u procese odlučivanja za provedbu EU fondova i jačanje kulture vrednovanja te s ciljem osiguravanja izgradnje kapaciteta za planiranje, ugovaranje i vođenje vrednovanja i slijedom toga korištenje rezultata provedenih vrednovanja.</w:t>
      </w:r>
    </w:p>
    <w:p w14:paraId="3038B751" w14:textId="65EA60F7" w:rsidR="0017471D" w:rsidRPr="00332AB5" w:rsidRDefault="0017471D" w:rsidP="0017471D">
      <w:pPr>
        <w:spacing w:before="120" w:after="120"/>
        <w:jc w:val="both"/>
        <w:rPr>
          <w:sz w:val="24"/>
          <w:szCs w:val="24"/>
        </w:rPr>
      </w:pPr>
      <w:r w:rsidRPr="00332AB5">
        <w:rPr>
          <w:sz w:val="24"/>
          <w:szCs w:val="24"/>
        </w:rPr>
        <w:t>Koordinacijsko tijelo u suradnji s upravljačkim tijelima i MERS u procesu je izrade Plana vrednovanja za Sporazum o partnerstvu, Program Konkurentnost i kohezija te Integrirani teritorijalni program 2021.</w:t>
      </w:r>
      <w:r w:rsidR="000F59CF" w:rsidRPr="00332AB5">
        <w:rPr>
          <w:sz w:val="24"/>
          <w:szCs w:val="24"/>
        </w:rPr>
        <w:t xml:space="preserve"> – </w:t>
      </w:r>
      <w:r w:rsidRPr="00332AB5">
        <w:rPr>
          <w:sz w:val="24"/>
          <w:szCs w:val="24"/>
        </w:rPr>
        <w:t>2027. čije se usvajanje očekuje do kraja 2023. godine te će u o istima više riječi biti u idućem izvještajnom razdoblju.</w:t>
      </w:r>
    </w:p>
    <w:p w14:paraId="5B87A95B" w14:textId="5F6F86BF" w:rsidR="001016DF" w:rsidRPr="00332AB5" w:rsidRDefault="0064002F" w:rsidP="0064002F">
      <w:pPr>
        <w:spacing w:before="120" w:after="120"/>
        <w:jc w:val="both"/>
        <w:rPr>
          <w:sz w:val="24"/>
          <w:szCs w:val="24"/>
        </w:rPr>
      </w:pPr>
      <w:r w:rsidRPr="00332AB5">
        <w:rPr>
          <w:sz w:val="24"/>
          <w:szCs w:val="24"/>
        </w:rPr>
        <w:t xml:space="preserve">Također, MRRFEU, kao upravljačko tijelo za Operativni program „Konkurentnost i kohezija 2014. - 2020.“ te za </w:t>
      </w:r>
      <w:r w:rsidR="0017471D" w:rsidRPr="00332AB5">
        <w:rPr>
          <w:sz w:val="24"/>
          <w:szCs w:val="24"/>
        </w:rPr>
        <w:t>Program</w:t>
      </w:r>
      <w:r w:rsidRPr="00332AB5">
        <w:rPr>
          <w:sz w:val="24"/>
          <w:szCs w:val="24"/>
        </w:rPr>
        <w:t xml:space="preserve"> Konkurentnost i kohezija i Integrirani teritorijalni program 2021.</w:t>
      </w:r>
      <w:r w:rsidR="005076F9" w:rsidRPr="00332AB5">
        <w:rPr>
          <w:sz w:val="24"/>
          <w:szCs w:val="24"/>
        </w:rPr>
        <w:t xml:space="preserve"> </w:t>
      </w:r>
      <w:r w:rsidRPr="00332AB5">
        <w:rPr>
          <w:sz w:val="24"/>
          <w:szCs w:val="24"/>
        </w:rPr>
        <w:t>-</w:t>
      </w:r>
      <w:r w:rsidR="00A96FF7" w:rsidRPr="00332AB5">
        <w:rPr>
          <w:sz w:val="24"/>
          <w:szCs w:val="24"/>
        </w:rPr>
        <w:t xml:space="preserve"> </w:t>
      </w:r>
      <w:r w:rsidRPr="00332AB5">
        <w:rPr>
          <w:sz w:val="24"/>
          <w:szCs w:val="24"/>
        </w:rPr>
        <w:t>2027., u izvještajnom je razdoblju nastavilo s radom Radne skupine za izradu procedura 2021.</w:t>
      </w:r>
      <w:r w:rsidR="00A96FF7" w:rsidRPr="00332AB5">
        <w:rPr>
          <w:sz w:val="24"/>
          <w:szCs w:val="24"/>
        </w:rPr>
        <w:t xml:space="preserve"> </w:t>
      </w:r>
      <w:r w:rsidRPr="00332AB5">
        <w:rPr>
          <w:sz w:val="24"/>
          <w:szCs w:val="24"/>
        </w:rPr>
        <w:t>-</w:t>
      </w:r>
      <w:r w:rsidR="00A96FF7" w:rsidRPr="00332AB5">
        <w:rPr>
          <w:sz w:val="24"/>
          <w:szCs w:val="24"/>
        </w:rPr>
        <w:t xml:space="preserve"> </w:t>
      </w:r>
      <w:r w:rsidRPr="00332AB5">
        <w:rPr>
          <w:sz w:val="24"/>
          <w:szCs w:val="24"/>
        </w:rPr>
        <w:t>2027</w:t>
      </w:r>
      <w:r w:rsidR="001B733C" w:rsidRPr="00332AB5">
        <w:rPr>
          <w:sz w:val="24"/>
          <w:szCs w:val="24"/>
        </w:rPr>
        <w:t>.</w:t>
      </w:r>
      <w:r w:rsidRPr="00332AB5">
        <w:rPr>
          <w:sz w:val="24"/>
          <w:szCs w:val="24"/>
        </w:rPr>
        <w:t xml:space="preserve"> u čiji su rad uključeni predstavnici upravljačkog tijela te relevantnih posredničkih tijela Operativnog programa „Konkurentnost i kohezija 2014. - 2020.“. Cilj radne skupine je priprema procedura za razdoblje 2021.</w:t>
      </w:r>
      <w:r w:rsidR="00A96FF7" w:rsidRPr="00332AB5">
        <w:rPr>
          <w:sz w:val="24"/>
          <w:szCs w:val="24"/>
        </w:rPr>
        <w:t xml:space="preserve"> </w:t>
      </w:r>
      <w:r w:rsidRPr="00332AB5">
        <w:rPr>
          <w:sz w:val="24"/>
          <w:szCs w:val="24"/>
        </w:rPr>
        <w:t>-</w:t>
      </w:r>
      <w:r w:rsidR="00A96FF7" w:rsidRPr="00332AB5">
        <w:rPr>
          <w:sz w:val="24"/>
          <w:szCs w:val="24"/>
        </w:rPr>
        <w:t xml:space="preserve"> </w:t>
      </w:r>
      <w:r w:rsidRPr="00332AB5">
        <w:rPr>
          <w:sz w:val="24"/>
          <w:szCs w:val="24"/>
        </w:rPr>
        <w:t xml:space="preserve">2027. i rasprava vezano za prijedloge unaprjeđenja i pojednostavljenja procedura, kao i primjena naučenih lekcija iz prethodnog programskog razdoblja. </w:t>
      </w:r>
      <w:r w:rsidR="0050417E" w:rsidRPr="00332AB5">
        <w:rPr>
          <w:sz w:val="24"/>
          <w:szCs w:val="24"/>
        </w:rPr>
        <w:t xml:space="preserve">U </w:t>
      </w:r>
      <w:r w:rsidR="0050417E" w:rsidRPr="00332AB5">
        <w:rPr>
          <w:sz w:val="24"/>
          <w:szCs w:val="24"/>
        </w:rPr>
        <w:lastRenderedPageBreak/>
        <w:t>izvještajnom razdoblju održana su još četiri sastanka Radne skupine za izradu procedura te se dodatno raspravljalo o pojedinim temama s fokusom na postupak dodjele bespovratnih sredstava i upravljačke provjere. Sve navedeno uzeto je u obzir pri pripremi procedura za financijsko razdoblje 2021. - 2027. koje su finalizirane i donesene u srpnju 2023. izvan izvještajnog razdoblja</w:t>
      </w:r>
      <w:r w:rsidR="001016DF" w:rsidRPr="00332AB5">
        <w:rPr>
          <w:sz w:val="24"/>
          <w:szCs w:val="24"/>
        </w:rPr>
        <w:t>.</w:t>
      </w:r>
    </w:p>
    <w:p w14:paraId="234681DF" w14:textId="223E3303" w:rsidR="001016DF" w:rsidRPr="00332AB5" w:rsidRDefault="001016DF" w:rsidP="00317DB2">
      <w:pPr>
        <w:spacing w:before="120" w:after="120"/>
        <w:jc w:val="both"/>
        <w:rPr>
          <w:sz w:val="24"/>
          <w:szCs w:val="24"/>
        </w:rPr>
      </w:pPr>
      <w:r w:rsidRPr="00332AB5">
        <w:rPr>
          <w:sz w:val="24"/>
          <w:szCs w:val="24"/>
        </w:rPr>
        <w:t xml:space="preserve">U izvještajnom je razdoblju Vlada Republike Hrvatske na sjednici održanoj 20. travnja 2023. donijela Odluku o davanju prethodne suglasnosti za sklapanje sporazuma s pružateljima usluga Centra dijeljenih usluga, temeljem koje je Središnji državni ured za razvoj digitalnog društva s Financijskom agencijom sklopio </w:t>
      </w:r>
      <w:r w:rsidR="003D625B" w:rsidRPr="00332AB5">
        <w:rPr>
          <w:sz w:val="24"/>
          <w:szCs w:val="24"/>
        </w:rPr>
        <w:t xml:space="preserve">sporazum </w:t>
      </w:r>
      <w:r w:rsidRPr="00332AB5">
        <w:rPr>
          <w:sz w:val="24"/>
          <w:szCs w:val="24"/>
        </w:rPr>
        <w:t>25. travnja 2023. Temeljem navedene Odluke nadležnost za osiguranje uspostave i održavanja informacijskih sustava iz djelokruga MRRFEU dodjeljuje</w:t>
      </w:r>
      <w:r w:rsidR="004C4D88" w:rsidRPr="00332AB5">
        <w:rPr>
          <w:sz w:val="24"/>
          <w:szCs w:val="24"/>
        </w:rPr>
        <w:t xml:space="preserve"> se</w:t>
      </w:r>
      <w:r w:rsidRPr="00332AB5">
        <w:rPr>
          <w:sz w:val="24"/>
          <w:szCs w:val="24"/>
        </w:rPr>
        <w:t xml:space="preserve"> Središnjem državnom uredu za razvoj digitalnog društva, a obuhvaća informacijske sustave za Operativni program „Konkurentnost i kohezija 2014. - 2020.“, Program Konkurentnost i kohezija 2021. - 2027. te Integrirani teritorijalni program 2021. - 2027.</w:t>
      </w:r>
    </w:p>
    <w:p w14:paraId="348FECD6" w14:textId="723CD865" w:rsidR="001C3462" w:rsidRPr="00332AB5" w:rsidRDefault="00E9340E" w:rsidP="00317DB2">
      <w:pPr>
        <w:spacing w:before="120" w:after="120"/>
        <w:jc w:val="both"/>
        <w:rPr>
          <w:sz w:val="24"/>
          <w:szCs w:val="24"/>
        </w:rPr>
      </w:pPr>
      <w:r w:rsidRPr="00332AB5">
        <w:rPr>
          <w:sz w:val="24"/>
          <w:szCs w:val="24"/>
        </w:rPr>
        <w:t>U nastavku teksta, detaljnije o pojedinim Operativnim programima.</w:t>
      </w:r>
    </w:p>
    <w:p w14:paraId="107D91DB" w14:textId="77777777" w:rsidR="004C1716" w:rsidRPr="00332AB5" w:rsidRDefault="004C1716" w:rsidP="004C6384"/>
    <w:p w14:paraId="3C51364E" w14:textId="77777777" w:rsidR="001C3462" w:rsidRPr="00332AB5" w:rsidRDefault="001C3462" w:rsidP="00E24CF9">
      <w:pPr>
        <w:spacing w:before="120" w:after="120"/>
        <w:rPr>
          <w:sz w:val="24"/>
          <w:szCs w:val="24"/>
        </w:rPr>
      </w:pPr>
      <w:r w:rsidRPr="00332AB5">
        <w:rPr>
          <w:sz w:val="24"/>
          <w:szCs w:val="24"/>
        </w:rPr>
        <w:t>OPERATIVNI PROGRAM „KONKURENTNOST I KOHEZIJA“</w:t>
      </w:r>
    </w:p>
    <w:bookmarkEnd w:id="105"/>
    <w:p w14:paraId="1DF7B8AE" w14:textId="1655764E" w:rsidR="00AE1E98" w:rsidRPr="00332AB5" w:rsidRDefault="00AE1E98" w:rsidP="00AE1E98">
      <w:pPr>
        <w:spacing w:before="120" w:after="120"/>
        <w:jc w:val="both"/>
        <w:rPr>
          <w:sz w:val="24"/>
          <w:szCs w:val="24"/>
        </w:rPr>
      </w:pPr>
      <w:r w:rsidRPr="00332AB5">
        <w:rPr>
          <w:sz w:val="24"/>
          <w:szCs w:val="24"/>
        </w:rPr>
        <w:t xml:space="preserve">U okviru Operativnog programa „Konkurentnost i kohezija 2014. - 2020.“ (OPKK) pokrenuto je deset financijskih instrumenata kao novog oblika potpore iz ESI fondova koji se po prvi puta provodi u RH. U praksi su se financijski instrumenti pokazali kao iznimno popularan oblik financiranja, jer predstavljaju novi i jednostavniji pristup EU sredstvima, prije svega zbog bitno manjih administrativnih zahtjeva kao što je, primjerice, čekanje objava </w:t>
      </w:r>
      <w:r w:rsidR="00AC0B97" w:rsidRPr="00332AB5">
        <w:rPr>
          <w:sz w:val="24"/>
          <w:szCs w:val="24"/>
        </w:rPr>
        <w:t>p</w:t>
      </w:r>
      <w:r w:rsidRPr="00332AB5">
        <w:rPr>
          <w:sz w:val="24"/>
          <w:szCs w:val="24"/>
        </w:rPr>
        <w:t>oziva, nepostojanje dugotrajnih i izrazito formaliziranih postupaka odabira projekata i kontrole javne nabave, prihvatljivost poreza na dodanu vrijednost (PDV-a) kao troška krajnjeg primatelja i slično, a sredstva se dobivaju unaprijed, za razliku od bespovratnih koja se nadoknađuju nakon što se prvo vlastita moraju potrošiti. S</w:t>
      </w:r>
      <w:r w:rsidR="00AC0B97" w:rsidRPr="00332AB5">
        <w:rPr>
          <w:sz w:val="24"/>
          <w:szCs w:val="24"/>
        </w:rPr>
        <w:t>a</w:t>
      </w:r>
      <w:r w:rsidRPr="00332AB5">
        <w:rPr>
          <w:sz w:val="24"/>
          <w:szCs w:val="24"/>
        </w:rPr>
        <w:t xml:space="preserve"> 720 milijuna eura javnog doprinosa privučeno je </w:t>
      </w:r>
      <w:r w:rsidR="00F85F58" w:rsidRPr="00332AB5">
        <w:rPr>
          <w:sz w:val="24"/>
          <w:szCs w:val="24"/>
        </w:rPr>
        <w:t>800</w:t>
      </w:r>
      <w:r w:rsidRPr="00332AB5">
        <w:rPr>
          <w:sz w:val="24"/>
          <w:szCs w:val="24"/>
        </w:rPr>
        <w:t xml:space="preserve"> milijuna eura privatnog kapitala, čime su se i više nego udvostručila dostupna sredstva kojima se sufinanciraju javne politike koje bi inače država morala financirati sama na teret poreznih obveznika. Također, u ESIF financijske instrumente do kraja izvještajnog razdoblja je uplaćeno </w:t>
      </w:r>
      <w:r w:rsidRPr="00332AB5">
        <w:rPr>
          <w:sz w:val="24"/>
          <w:szCs w:val="24"/>
          <w:lang w:val="hr"/>
        </w:rPr>
        <w:t>600 milijuna eura</w:t>
      </w:r>
      <w:r w:rsidRPr="00332AB5">
        <w:rPr>
          <w:sz w:val="24"/>
          <w:szCs w:val="24"/>
        </w:rPr>
        <w:t xml:space="preserve"> javnog doprinosa, a 670 milijuna eura je ovjereno i vraćeno u državni proračun od strane EK (93</w:t>
      </w:r>
      <w:r w:rsidR="008250E6" w:rsidRPr="00332AB5">
        <w:rPr>
          <w:sz w:val="24"/>
          <w:szCs w:val="24"/>
        </w:rPr>
        <w:t xml:space="preserve"> </w:t>
      </w:r>
      <w:r w:rsidRPr="00332AB5">
        <w:rPr>
          <w:sz w:val="24"/>
          <w:szCs w:val="24"/>
        </w:rPr>
        <w:t>% ESIF alokacije). Pored toga, mogućnost da se financijski instrumenti ponovno koriste u iste svrhe i nakon što se vrate u državni proračun, a što omogućuje da se novac koji se ulaže u financijske instrumente više puta upotrebljava, odnosno reciklira, čini ovaj oblik potpore iznimno prihvatljivim i državnim financijama i poreznim obveznicima.</w:t>
      </w:r>
    </w:p>
    <w:p w14:paraId="43749E76" w14:textId="77777777" w:rsidR="00AE1E98" w:rsidRPr="00332AB5" w:rsidRDefault="00AE1E98" w:rsidP="00AE1E98">
      <w:pPr>
        <w:spacing w:before="120" w:after="120"/>
        <w:jc w:val="both"/>
        <w:rPr>
          <w:sz w:val="24"/>
          <w:szCs w:val="24"/>
        </w:rPr>
      </w:pPr>
      <w:r w:rsidRPr="00332AB5">
        <w:rPr>
          <w:sz w:val="24"/>
          <w:szCs w:val="24"/>
        </w:rPr>
        <w:t xml:space="preserve">S obzirom na dinamiku provedbe i probleme koji se javljaju tijekom provedbe (posebice infrastrukturnih projekata) smatralo se opravdanim osigurati određenu razinu ugovaranja </w:t>
      </w:r>
      <w:bookmarkStart w:id="106" w:name="_Hlk83727791"/>
      <w:bookmarkStart w:id="107" w:name="_Hlk83727822"/>
      <w:r w:rsidRPr="00332AB5">
        <w:rPr>
          <w:sz w:val="24"/>
          <w:szCs w:val="24"/>
        </w:rPr>
        <w:t xml:space="preserve">sredstava iz EU fondova koja nadilazi raspoloživu </w:t>
      </w:r>
      <w:bookmarkEnd w:id="106"/>
      <w:r w:rsidRPr="00332AB5">
        <w:rPr>
          <w:sz w:val="24"/>
          <w:szCs w:val="24"/>
        </w:rPr>
        <w:t xml:space="preserve">alokaciju (tzv. preugovaranje). Na taj način osiguravala se puna apsorpcija raspoložive alokacije u slučaju kašnjenja određenih projekata, financijskih korekcija, itd. </w:t>
      </w:r>
    </w:p>
    <w:p w14:paraId="6BEFF7FF" w14:textId="1DC0549B" w:rsidR="00AE1E98" w:rsidRPr="00332AB5" w:rsidRDefault="00AE1E98" w:rsidP="00AE1E98">
      <w:pPr>
        <w:spacing w:before="120" w:after="120"/>
        <w:jc w:val="both"/>
        <w:rPr>
          <w:sz w:val="24"/>
          <w:szCs w:val="24"/>
        </w:rPr>
      </w:pPr>
      <w:r w:rsidRPr="00332AB5">
        <w:rPr>
          <w:sz w:val="24"/>
          <w:szCs w:val="24"/>
        </w:rPr>
        <w:t>Imajući u vidu iskustva s preugovaranjem iz programskog razdoblja 2014. - 2020. (primarno OPKK) putem donošenja Zakona o proračunu („Narodne novine“, broj</w:t>
      </w:r>
      <w:r w:rsidR="00AA7D06" w:rsidRPr="00332AB5">
        <w:rPr>
          <w:sz w:val="24"/>
          <w:szCs w:val="24"/>
        </w:rPr>
        <w:t>:</w:t>
      </w:r>
      <w:r w:rsidRPr="00332AB5">
        <w:rPr>
          <w:sz w:val="24"/>
          <w:szCs w:val="24"/>
        </w:rPr>
        <w:t xml:space="preserve"> </w:t>
      </w:r>
      <w:r w:rsidRPr="00332AB5">
        <w:rPr>
          <w:sz w:val="24"/>
          <w:szCs w:val="24"/>
        </w:rPr>
        <w:lastRenderedPageBreak/>
        <w:t>144/21.) i formalno je utvrđen okvir i procedura za preugovaranje, kao i za odobravanje najvećih projekata.</w:t>
      </w:r>
    </w:p>
    <w:bookmarkEnd w:id="107"/>
    <w:p w14:paraId="7009D763" w14:textId="49E2EF48" w:rsidR="00AE1E98" w:rsidRPr="00332AB5" w:rsidRDefault="00AE1E98" w:rsidP="00AE1E98">
      <w:pPr>
        <w:spacing w:before="120" w:after="120"/>
        <w:jc w:val="both"/>
        <w:rPr>
          <w:sz w:val="24"/>
          <w:szCs w:val="24"/>
        </w:rPr>
      </w:pPr>
      <w:r w:rsidRPr="00332AB5">
        <w:rPr>
          <w:sz w:val="24"/>
          <w:szCs w:val="24"/>
        </w:rPr>
        <w:t>Slijed</w:t>
      </w:r>
      <w:r w:rsidR="00AC0B97" w:rsidRPr="00332AB5">
        <w:rPr>
          <w:sz w:val="24"/>
          <w:szCs w:val="24"/>
        </w:rPr>
        <w:t>om</w:t>
      </w:r>
      <w:r w:rsidRPr="00332AB5">
        <w:rPr>
          <w:sz w:val="24"/>
          <w:szCs w:val="24"/>
        </w:rPr>
        <w:t xml:space="preserve"> približavanja završetka financijske perspektive 2014</w:t>
      </w:r>
      <w:r w:rsidR="00C3686C" w:rsidRPr="00332AB5">
        <w:rPr>
          <w:sz w:val="24"/>
          <w:szCs w:val="24"/>
        </w:rPr>
        <w:t xml:space="preserve">. </w:t>
      </w:r>
      <w:r w:rsidRPr="00332AB5">
        <w:rPr>
          <w:sz w:val="24"/>
          <w:szCs w:val="24"/>
        </w:rPr>
        <w:t>-</w:t>
      </w:r>
      <w:r w:rsidR="00C3686C" w:rsidRPr="00332AB5">
        <w:rPr>
          <w:sz w:val="24"/>
          <w:szCs w:val="24"/>
        </w:rPr>
        <w:t xml:space="preserve"> </w:t>
      </w:r>
      <w:r w:rsidRPr="00332AB5">
        <w:rPr>
          <w:sz w:val="24"/>
          <w:szCs w:val="24"/>
        </w:rPr>
        <w:t>2020. razmatra se nekoliko varijanti osiguranja sredstava za dovršetak projekata nakon 31. prosinca 2023. - putem tzv, faziranja ili dovršetka nacionalnim sredstvima (što uključuje i sredstva korisnika).</w:t>
      </w:r>
    </w:p>
    <w:p w14:paraId="4498E494" w14:textId="18C10882" w:rsidR="00AE1E98" w:rsidRPr="00332AB5" w:rsidRDefault="00AE1E98" w:rsidP="00AE1E98">
      <w:pPr>
        <w:spacing w:before="120" w:after="120"/>
        <w:jc w:val="both"/>
        <w:rPr>
          <w:sz w:val="24"/>
          <w:szCs w:val="24"/>
        </w:rPr>
      </w:pPr>
      <w:r w:rsidRPr="00332AB5">
        <w:rPr>
          <w:sz w:val="24"/>
          <w:szCs w:val="24"/>
        </w:rPr>
        <w:t>Slijedom posljedica dugotrajne pandemije, a od veljače 2022. i rata u Ukrajini, kao i velikog broja projekata koji se provode, dolazi do promjena na tržištima (primano u pogledu cijena pojedinih radova/usluga, ali i kašnjenja u dobavi materijala i opreme</w:t>
      </w:r>
      <w:r w:rsidRPr="00332AB5">
        <w:t xml:space="preserve"> </w:t>
      </w:r>
      <w:r w:rsidRPr="00332AB5">
        <w:rPr>
          <w:sz w:val="24"/>
          <w:szCs w:val="24"/>
        </w:rPr>
        <w:t>te značajnog povećanja cijena energenata, ali i financijskih kapaciteta korisnika) te je stoga nužna, kako sa strane sustava</w:t>
      </w:r>
      <w:r w:rsidR="00FE4923" w:rsidRPr="00332AB5">
        <w:rPr>
          <w:sz w:val="24"/>
          <w:szCs w:val="24"/>
        </w:rPr>
        <w:t>,</w:t>
      </w:r>
      <w:r w:rsidRPr="00332AB5">
        <w:rPr>
          <w:sz w:val="24"/>
          <w:szCs w:val="24"/>
        </w:rPr>
        <w:t xml:space="preserve"> tako i korisnika, određena razina fleksibilnosti i kontinuirane prilagodbe i pronalaženja rješenja u provedbi projekata, a kako bi se isti uspjeli (uspješno) provesti.</w:t>
      </w:r>
    </w:p>
    <w:p w14:paraId="3885E618" w14:textId="77777777" w:rsidR="00AE1E98" w:rsidRPr="00332AB5" w:rsidRDefault="00AE1E98" w:rsidP="00AE1E98">
      <w:pPr>
        <w:spacing w:before="120" w:after="120"/>
        <w:jc w:val="both"/>
        <w:rPr>
          <w:bCs/>
          <w:sz w:val="24"/>
          <w:szCs w:val="24"/>
        </w:rPr>
      </w:pPr>
      <w:r w:rsidRPr="00332AB5">
        <w:rPr>
          <w:sz w:val="24"/>
          <w:szCs w:val="24"/>
        </w:rPr>
        <w:t xml:space="preserve">U okviru OPKK, </w:t>
      </w:r>
      <w:r w:rsidRPr="00332AB5">
        <w:rPr>
          <w:bCs/>
          <w:sz w:val="24"/>
          <w:szCs w:val="24"/>
        </w:rPr>
        <w:t>MRRFEU je u ulozi UT-a zamijetio povećan broj nepravilnosti i s njima povezanih financijskih korekcija. Mjere koje MRRFEU kao UT kontinuirano provodi kako bi se smanjio broj nepravilnosti i s njima povezanih financijskih korekcija usmjerene su prvenstveno na preventivni učinak jer je bitno osigurati da postupanje korisnika bude u skladu s pozitivnim pravnim propisima hrvatskog zakonodavstva i zakonodavstva Europske unije. U tom smislu MRRFEU u skladu sa svojim ovlastima izdaje obvezujuće upute PT-ovima 2 čija je svrha osigurati pravilno i ujednačeno postupanje u postupcima utvrđivanja nepravilnosti. Upute su brz i učinkovit instrument kojim se utječe na cijeli sustav SUK-a i ispravljaju odnosno preveniraju eventualne greške tijela u svrhu učinkovitijeg postupanja.</w:t>
      </w:r>
    </w:p>
    <w:p w14:paraId="03D908E1" w14:textId="77777777" w:rsidR="00AE1E98" w:rsidRPr="00332AB5" w:rsidRDefault="00AE1E98" w:rsidP="00AE1E98">
      <w:pPr>
        <w:spacing w:before="120" w:after="120"/>
        <w:jc w:val="both"/>
        <w:rPr>
          <w:bCs/>
          <w:sz w:val="24"/>
          <w:szCs w:val="24"/>
        </w:rPr>
      </w:pPr>
      <w:r w:rsidRPr="00332AB5">
        <w:rPr>
          <w:bCs/>
          <w:sz w:val="24"/>
          <w:szCs w:val="24"/>
        </w:rPr>
        <w:t xml:space="preserve">MRRFEU je 25. ožujka 2021. objavio Upute UT-a za upravljanje nepravilnostima u OPKK na mrežnoj stranici </w:t>
      </w:r>
      <w:hyperlink r:id="rId22" w:history="1">
        <w:r w:rsidRPr="00332AB5">
          <w:rPr>
            <w:bCs/>
            <w:color w:val="0000FF"/>
            <w:sz w:val="24"/>
            <w:szCs w:val="24"/>
            <w:u w:val="single"/>
          </w:rPr>
          <w:t>https://strukturnifondovi.hr</w:t>
        </w:r>
      </w:hyperlink>
      <w:r w:rsidRPr="00332AB5">
        <w:rPr>
          <w:bCs/>
          <w:sz w:val="24"/>
          <w:szCs w:val="24"/>
        </w:rPr>
        <w:t xml:space="preserve"> s ciljem da se samim korisnicima bespovratnih sredstava na transparentan način učine dostupnim sve do sada izdane upute. Dodatno, stavovi UT-a izneseni u ovim Uputama primjenjivati će se za ubuduće od dana njihovog donošenja, na sve postupke koji su u tijeku. Uvažavajući stavove ARPA-e i prijedloge PT-a, ovim dokumentom znatno su revidirani pojedini stavovi izloženi u Sažetku uputa ver. 2.0 čime prestaju formalno važiti i sve do sada izdane upute UT-a čiji se stavovi ovdje izlažu i/ili mijenjaju.</w:t>
      </w:r>
    </w:p>
    <w:p w14:paraId="38365144" w14:textId="77777777" w:rsidR="00AE1E98" w:rsidRPr="00332AB5" w:rsidRDefault="00AE1E98" w:rsidP="00AE1E98">
      <w:pPr>
        <w:spacing w:before="120" w:after="120"/>
        <w:jc w:val="both"/>
        <w:rPr>
          <w:bCs/>
          <w:sz w:val="24"/>
          <w:szCs w:val="24"/>
        </w:rPr>
      </w:pPr>
      <w:r w:rsidRPr="00332AB5">
        <w:rPr>
          <w:bCs/>
          <w:sz w:val="24"/>
          <w:szCs w:val="24"/>
        </w:rPr>
        <w:t>Također, na navedenoj mrežnoj stranici MRRFEU-a objavljena je i tablica s primjerima najčešćih nepravilnosti zajedno s kraćim opisom pogrešnog postupanja korisnika i financijskim korekcijama, iz kojih korisnici mogu vidjeti koje su najčešće pogreške, koje su posljedice navedenih pogrešaka i samim time mogu ih izbjeći, čime se postiže preventivni učinak kako na postojeće korisnike, tako i na one gospodarske subjekte koji će tek sklopiti ugovore o dodjeli bespovratnih sredstava.</w:t>
      </w:r>
    </w:p>
    <w:p w14:paraId="16D87A05" w14:textId="77777777" w:rsidR="00AE1E98" w:rsidRPr="00332AB5" w:rsidRDefault="00AE1E98" w:rsidP="00AE1E98">
      <w:pPr>
        <w:spacing w:before="120" w:after="120"/>
        <w:jc w:val="both"/>
        <w:rPr>
          <w:bCs/>
          <w:sz w:val="24"/>
          <w:szCs w:val="24"/>
        </w:rPr>
      </w:pPr>
      <w:r w:rsidRPr="00332AB5">
        <w:rPr>
          <w:bCs/>
          <w:sz w:val="24"/>
          <w:szCs w:val="24"/>
        </w:rPr>
        <w:t xml:space="preserve">Nadalje, potrebno je istaknuti da se u organizaciji MRRFEU-a redovito održavaju sastanci triju mreža i to Mreže koordinatora iz područja javne nabave, Mreže koordinatora iz područja državnih potpora i Mreže za upravljanje nepravilnostima te brojni sastanci i </w:t>
      </w:r>
      <w:r w:rsidRPr="00332AB5">
        <w:rPr>
          <w:bCs/>
          <w:i/>
          <w:sz w:val="24"/>
          <w:szCs w:val="24"/>
        </w:rPr>
        <w:t>ad hoc</w:t>
      </w:r>
      <w:r w:rsidRPr="00332AB5">
        <w:rPr>
          <w:bCs/>
          <w:sz w:val="24"/>
          <w:szCs w:val="24"/>
        </w:rPr>
        <w:t xml:space="preserve"> paneli u svrhu ujednačavanja prakse i osiguravanja boljeg i učinkovitijeg postupanja svih tijela u sustavu upravljanja i kontrole.</w:t>
      </w:r>
    </w:p>
    <w:p w14:paraId="09CDBCE7" w14:textId="77777777" w:rsidR="00AE1E98" w:rsidRPr="00332AB5" w:rsidRDefault="00AE1E98" w:rsidP="00AE1E98">
      <w:pPr>
        <w:spacing w:before="120" w:after="120"/>
        <w:jc w:val="both"/>
        <w:rPr>
          <w:bCs/>
          <w:sz w:val="24"/>
          <w:szCs w:val="24"/>
        </w:rPr>
      </w:pPr>
      <w:r w:rsidRPr="00332AB5">
        <w:rPr>
          <w:bCs/>
          <w:sz w:val="24"/>
          <w:szCs w:val="24"/>
        </w:rPr>
        <w:lastRenderedPageBreak/>
        <w:t>Na sastancima Mreže koordinatora iz područja javne nabave i Mreže koordinatora iz područja državnih potpora, na kojima sudjeluju predstavnici svih tijela u sustavima upravljanja i kontrole ESIF-a redovito se provode aktivnosti vezane uz dijeljenje dobre prakse i preporuka u cilju sprečavanja nepravilnosti koje proizlaze iz pogrešne primjene pravila vezanih uz državne potpore i javnu nabavu.</w:t>
      </w:r>
    </w:p>
    <w:p w14:paraId="34D4AE67" w14:textId="4B8B05FA" w:rsidR="00AE1E98" w:rsidRPr="00332AB5" w:rsidRDefault="00AE1E98" w:rsidP="00AE1E98">
      <w:pPr>
        <w:spacing w:before="120" w:after="120"/>
        <w:jc w:val="both"/>
        <w:rPr>
          <w:bCs/>
          <w:sz w:val="24"/>
          <w:szCs w:val="24"/>
        </w:rPr>
      </w:pPr>
      <w:r w:rsidRPr="00332AB5">
        <w:rPr>
          <w:bCs/>
          <w:sz w:val="24"/>
          <w:szCs w:val="24"/>
        </w:rPr>
        <w:t>Od početka provedbe do 3</w:t>
      </w:r>
      <w:r w:rsidR="00547367" w:rsidRPr="00332AB5">
        <w:rPr>
          <w:bCs/>
          <w:sz w:val="24"/>
          <w:szCs w:val="24"/>
        </w:rPr>
        <w:t>0. lipnja 2023</w:t>
      </w:r>
      <w:r w:rsidRPr="00332AB5">
        <w:rPr>
          <w:bCs/>
          <w:sz w:val="24"/>
          <w:szCs w:val="24"/>
        </w:rPr>
        <w:t xml:space="preserve">. </w:t>
      </w:r>
      <w:r w:rsidR="00F85F58" w:rsidRPr="00332AB5">
        <w:rPr>
          <w:bCs/>
          <w:sz w:val="24"/>
          <w:szCs w:val="24"/>
        </w:rPr>
        <w:t>održano je sveukupno 32 sastanka Mreže koordinatora iz područja javne nabave i 28 sastanaka Mreže koordinatora iz područja državnih potpora.</w:t>
      </w:r>
    </w:p>
    <w:p w14:paraId="5E338001" w14:textId="46E62925" w:rsidR="00AE1E98" w:rsidRPr="00332AB5" w:rsidRDefault="00AE1E98" w:rsidP="00AE1E98">
      <w:pPr>
        <w:spacing w:before="120" w:after="120"/>
        <w:jc w:val="both"/>
        <w:rPr>
          <w:bCs/>
          <w:sz w:val="24"/>
          <w:szCs w:val="24"/>
        </w:rPr>
      </w:pPr>
      <w:r w:rsidRPr="00332AB5">
        <w:rPr>
          <w:bCs/>
          <w:sz w:val="24"/>
          <w:szCs w:val="24"/>
        </w:rPr>
        <w:t>S ciljem prevencije nastanka nepravilnosti i prijevara, razmjene dobre i loše prakse u postupanju te izvještavanju i praćenju postupanja po utvrđenim nepravilnostima, u siječnju 2017. uspostavljena je Mreža za upravljanje nepravilnostima. Sastanci ove Mreže održavaju se redovito svaka četiri mjeseca ili ranije po potrebi. Do trenutka izrade ovoga Izvješća pa do kraja izvještajnog razdoblja održan je sveukupno 2</w:t>
      </w:r>
      <w:r w:rsidR="00F85F58" w:rsidRPr="00332AB5">
        <w:rPr>
          <w:bCs/>
          <w:sz w:val="24"/>
          <w:szCs w:val="24"/>
        </w:rPr>
        <w:t>1</w:t>
      </w:r>
      <w:r w:rsidRPr="00332AB5">
        <w:rPr>
          <w:bCs/>
          <w:sz w:val="24"/>
          <w:szCs w:val="24"/>
        </w:rPr>
        <w:t xml:space="preserve"> </w:t>
      </w:r>
      <w:r w:rsidR="00F85F58" w:rsidRPr="00332AB5">
        <w:rPr>
          <w:bCs/>
          <w:sz w:val="24"/>
          <w:szCs w:val="24"/>
        </w:rPr>
        <w:t>sastanak</w:t>
      </w:r>
      <w:r w:rsidRPr="00332AB5">
        <w:rPr>
          <w:bCs/>
          <w:sz w:val="24"/>
          <w:szCs w:val="24"/>
        </w:rPr>
        <w:t xml:space="preserve"> Mreže za upravljanje nepravilnostima.</w:t>
      </w:r>
    </w:p>
    <w:p w14:paraId="78262C31" w14:textId="4F459EF7" w:rsidR="00F85F58" w:rsidRPr="00332AB5" w:rsidRDefault="00AE1E98" w:rsidP="00AE1E98">
      <w:pPr>
        <w:spacing w:before="120" w:after="120"/>
        <w:jc w:val="both"/>
        <w:rPr>
          <w:bCs/>
          <w:sz w:val="24"/>
          <w:szCs w:val="24"/>
        </w:rPr>
      </w:pPr>
      <w:r w:rsidRPr="00332AB5">
        <w:rPr>
          <w:bCs/>
          <w:sz w:val="24"/>
          <w:szCs w:val="24"/>
        </w:rPr>
        <w:t>Na odluke o nepravilnosti, odnosno u njima utvrđene vrste nepravilnosti i određene financijske korekcije, korisnici bespovratnih sredstava imaju pravo podnijeti prigovor UT-u, o kojem se donosi rješenje protiv kojega se može pokrenuti i upravni spor. Navedena prava korisnici često i koriste zbog čega je radno opterećenje u dijelu ove funkcije UT-a izrazito visoko.</w:t>
      </w:r>
    </w:p>
    <w:p w14:paraId="438517FF" w14:textId="3E288978" w:rsidR="00F85F58" w:rsidRPr="00332AB5" w:rsidRDefault="00F85F58" w:rsidP="00AE1E98">
      <w:pPr>
        <w:spacing w:before="120" w:after="120"/>
        <w:jc w:val="both"/>
        <w:rPr>
          <w:bCs/>
          <w:sz w:val="24"/>
          <w:szCs w:val="24"/>
        </w:rPr>
      </w:pPr>
      <w:r w:rsidRPr="00332AB5">
        <w:rPr>
          <w:bCs/>
          <w:sz w:val="24"/>
          <w:szCs w:val="24"/>
        </w:rPr>
        <w:t>MRRFEU je raznim mjerama, kao što su zapošljavanja, premještaji i interna reorganizacija posla ubrzao rješavanje ovih prigovora, pa je u prvom polugodištu ove godine u odnosu na isto lanjsko razdoblje dinamika rješavanja ubrzana za više od 50</w:t>
      </w:r>
      <w:r w:rsidR="009A77A8" w:rsidRPr="00332AB5">
        <w:rPr>
          <w:bCs/>
          <w:sz w:val="24"/>
          <w:szCs w:val="24"/>
        </w:rPr>
        <w:t xml:space="preserve"> </w:t>
      </w:r>
      <w:r w:rsidRPr="00332AB5">
        <w:rPr>
          <w:bCs/>
          <w:sz w:val="24"/>
          <w:szCs w:val="24"/>
        </w:rPr>
        <w:t>%, a sve u svrhu povećanja apsorpcije sredstava.</w:t>
      </w:r>
    </w:p>
    <w:p w14:paraId="5C355499" w14:textId="384ED66E" w:rsidR="00AE1E98" w:rsidRPr="00332AB5" w:rsidRDefault="00AE1E98" w:rsidP="00AE1E98">
      <w:pPr>
        <w:spacing w:before="120" w:after="120"/>
        <w:jc w:val="both"/>
        <w:rPr>
          <w:sz w:val="24"/>
          <w:szCs w:val="24"/>
        </w:rPr>
      </w:pPr>
      <w:r w:rsidRPr="00332AB5">
        <w:rPr>
          <w:sz w:val="24"/>
          <w:szCs w:val="24"/>
        </w:rPr>
        <w:t>Dodatno, kako bi se spriječile poteškoće u provođenju postupaka dodjele bespovratnih sredstava, MRRFEU kao UT, vezano uz postupanje po prigovorima prijavitelja u postupcima odabira operacija, priprema Izvješća o radu Komisije za razmatranje prigovora u kojima se na jasan, sažet i sveobuhvatan način daju preporuke za unapređenje postupka dodjele. U tom smislu do sada je izrađeno osam Izvješća o radu, sa svrhom da se cjelokupan postupak dodjele bespovratnih sredstava, koji često zna biti dugotrajan, složen i zahtjevan za prijavitelje koji apliciraju za bespovratna sredstva, učini jednostavnijim za prijavitelje te spriječe pogreške koje isti čine pri pripremi projektnih prijava. Isto tako, Izvješće sadrži i statistički pregled prigovora te preporuke za postupanje posredničkim tijelima. Pored statističkog pregleda</w:t>
      </w:r>
      <w:r w:rsidR="007A45F2" w:rsidRPr="00332AB5">
        <w:rPr>
          <w:sz w:val="24"/>
          <w:szCs w:val="24"/>
        </w:rPr>
        <w:t xml:space="preserve"> </w:t>
      </w:r>
      <w:r w:rsidRPr="00332AB5">
        <w:rPr>
          <w:sz w:val="24"/>
          <w:szCs w:val="24"/>
        </w:rPr>
        <w:t>prigovora, Izvješće sadrži i statistički pregled upravnih sporova u referentnom razdoblju.</w:t>
      </w:r>
    </w:p>
    <w:p w14:paraId="3C5F1095" w14:textId="77777777" w:rsidR="00F85F58" w:rsidRPr="00332AB5" w:rsidRDefault="00F85F58" w:rsidP="00F85F58">
      <w:pPr>
        <w:spacing w:after="240"/>
        <w:jc w:val="both"/>
        <w:rPr>
          <w:sz w:val="24"/>
          <w:szCs w:val="24"/>
        </w:rPr>
      </w:pPr>
      <w:r w:rsidRPr="00332AB5">
        <w:rPr>
          <w:sz w:val="24"/>
          <w:szCs w:val="24"/>
        </w:rPr>
        <w:t>U svrhu ispunjavanja uvjeta koji omogućavaju provedbu fondova Europske unije u razdoblju od 2021. do 2027. godine a vezano uz ispunjavanje horizontalnih uvjeta 3. Djelotvorna primjena i provedba Povelje EU-a o temeljnim pravima i 4. Provedba i primjena Konvencije Ujedinjenih naroda o pravima osoba s invaliditetom (UNCRPD) u skladu s Odlukom Vijeća 2010/48/EZ nastavljeno je s izradom materijala i informacija u svrhu ispunjavanja navedenih uvjeta u sklopu pripreme programa PKK I ITP za sljedeće financijsko razdoblje. Izrađene su kontrolne liste za provjeru usklađenosti s Poveljom i Konvencijom kao dio ZNP- a.</w:t>
      </w:r>
    </w:p>
    <w:p w14:paraId="151DF763" w14:textId="54913B02" w:rsidR="003D69FF" w:rsidRPr="00332AB5" w:rsidRDefault="00F85F58" w:rsidP="00F85F58">
      <w:pPr>
        <w:spacing w:after="240"/>
        <w:jc w:val="both"/>
        <w:rPr>
          <w:sz w:val="24"/>
          <w:szCs w:val="24"/>
        </w:rPr>
      </w:pPr>
      <w:r w:rsidRPr="00332AB5">
        <w:rPr>
          <w:sz w:val="24"/>
          <w:szCs w:val="24"/>
        </w:rPr>
        <w:lastRenderedPageBreak/>
        <w:t>Vezano za aktivnosti održavanja edukacije „Antidiskriminacija, ravnopravnost spolova i prava osoba s invaliditetom u ESI fondovima“ za tekuće programsko razdoblje, u izvještajnom razdoblju održane su tri edukacije. Kao nastavak redovnih aktivnosti jačanja kapaciteta koordinatora za nediskriminaciju i priprema za novo programsko razdoblje održana je i jedna edukacija na temu „ Jednakost i prava osoba starije životne dobi“.</w:t>
      </w:r>
    </w:p>
    <w:p w14:paraId="5B04F5DF" w14:textId="77777777" w:rsidR="006F5B58" w:rsidRPr="00332AB5" w:rsidRDefault="006F5B58" w:rsidP="006F5B58">
      <w:pPr>
        <w:spacing w:before="120" w:after="120"/>
        <w:jc w:val="both"/>
        <w:rPr>
          <w:sz w:val="24"/>
          <w:szCs w:val="24"/>
        </w:rPr>
      </w:pPr>
    </w:p>
    <w:p w14:paraId="39A85753" w14:textId="7BCF4E8A" w:rsidR="001C3462" w:rsidRPr="00332AB5" w:rsidRDefault="001C3462" w:rsidP="006F5B58">
      <w:pPr>
        <w:spacing w:before="120" w:after="120"/>
        <w:jc w:val="both"/>
        <w:rPr>
          <w:sz w:val="24"/>
          <w:szCs w:val="24"/>
        </w:rPr>
      </w:pPr>
      <w:r w:rsidRPr="00332AB5">
        <w:rPr>
          <w:sz w:val="24"/>
          <w:szCs w:val="24"/>
        </w:rPr>
        <w:t>OPERATIVNI PROGRAM „UČINKOVITI LJUDSKI POTENCIJALI“</w:t>
      </w:r>
    </w:p>
    <w:p w14:paraId="0A2AD423" w14:textId="4962F03E" w:rsidR="00F42598" w:rsidRPr="00332AB5" w:rsidRDefault="00F42598" w:rsidP="00F42598">
      <w:pPr>
        <w:spacing w:after="240"/>
        <w:jc w:val="both"/>
        <w:rPr>
          <w:sz w:val="24"/>
          <w:szCs w:val="24"/>
        </w:rPr>
      </w:pPr>
      <w:r w:rsidRPr="00332AB5">
        <w:rPr>
          <w:sz w:val="24"/>
          <w:szCs w:val="24"/>
        </w:rPr>
        <w:t xml:space="preserve">Na ostvarenje ciljeva OPULJP-a i osiguranje učinkovite provedbe s ciljem dostizanja N+3 ciljeva u </w:t>
      </w:r>
      <w:r w:rsidR="00CE5A12" w:rsidRPr="00332AB5">
        <w:rPr>
          <w:sz w:val="24"/>
          <w:szCs w:val="24"/>
        </w:rPr>
        <w:t>prvoj</w:t>
      </w:r>
      <w:r w:rsidR="00644FA2" w:rsidRPr="00332AB5">
        <w:rPr>
          <w:sz w:val="24"/>
          <w:szCs w:val="24"/>
        </w:rPr>
        <w:t xml:space="preserve"> </w:t>
      </w:r>
      <w:r w:rsidRPr="00332AB5">
        <w:rPr>
          <w:sz w:val="24"/>
          <w:szCs w:val="24"/>
        </w:rPr>
        <w:t>polovici 202</w:t>
      </w:r>
      <w:r w:rsidR="00CE5A12" w:rsidRPr="00332AB5">
        <w:rPr>
          <w:sz w:val="24"/>
          <w:szCs w:val="24"/>
        </w:rPr>
        <w:t>3</w:t>
      </w:r>
      <w:r w:rsidRPr="00332AB5">
        <w:rPr>
          <w:sz w:val="24"/>
          <w:szCs w:val="24"/>
        </w:rPr>
        <w:t>. utjecali su sljedeći izazovi:</w:t>
      </w:r>
    </w:p>
    <w:p w14:paraId="2818F30C" w14:textId="2DB0E93B" w:rsidR="00F42598" w:rsidRPr="00332AB5" w:rsidRDefault="00F42598">
      <w:pPr>
        <w:pStyle w:val="ListParagraph"/>
        <w:numPr>
          <w:ilvl w:val="0"/>
          <w:numId w:val="14"/>
        </w:numPr>
        <w:jc w:val="both"/>
        <w:rPr>
          <w:sz w:val="24"/>
          <w:szCs w:val="24"/>
        </w:rPr>
      </w:pPr>
      <w:r w:rsidRPr="00332AB5">
        <w:rPr>
          <w:sz w:val="24"/>
          <w:szCs w:val="24"/>
        </w:rPr>
        <w:t>potreba za daljnjim jačanjem kapaciteta tijela u sustavu upravljanja i kontrola (daljnje zapošljavanje, edukacijske aktivnosti i sl.)</w:t>
      </w:r>
    </w:p>
    <w:p w14:paraId="6030CCE7" w14:textId="76F04F60" w:rsidR="00F42598" w:rsidRPr="00332AB5" w:rsidRDefault="004E61D9">
      <w:pPr>
        <w:pStyle w:val="ListParagraph"/>
        <w:numPr>
          <w:ilvl w:val="0"/>
          <w:numId w:val="14"/>
        </w:numPr>
        <w:jc w:val="both"/>
        <w:rPr>
          <w:sz w:val="24"/>
          <w:szCs w:val="24"/>
        </w:rPr>
      </w:pPr>
      <w:r w:rsidRPr="00332AB5">
        <w:rPr>
          <w:sz w:val="24"/>
          <w:szCs w:val="24"/>
        </w:rPr>
        <w:t>potreba za dodatnim pojednostavljenjem procedura upravljanja te smanjenje administrativnih koraka i zahtjeva</w:t>
      </w:r>
    </w:p>
    <w:p w14:paraId="4B31A6F0" w14:textId="65AC72F8" w:rsidR="00F42598" w:rsidRPr="00332AB5" w:rsidRDefault="00F42598">
      <w:pPr>
        <w:pStyle w:val="ListParagraph"/>
        <w:numPr>
          <w:ilvl w:val="0"/>
          <w:numId w:val="14"/>
        </w:numPr>
        <w:jc w:val="both"/>
        <w:rPr>
          <w:sz w:val="24"/>
          <w:szCs w:val="24"/>
        </w:rPr>
      </w:pPr>
      <w:r w:rsidRPr="00332AB5">
        <w:rPr>
          <w:sz w:val="24"/>
          <w:szCs w:val="24"/>
        </w:rPr>
        <w:t>potreba za ubrzavanjem provedbe kontrole od strane tijela u sustavu upravljanja, aktivna uporaba uzorkovanja u kontrolnom procesu</w:t>
      </w:r>
    </w:p>
    <w:p w14:paraId="4ADE2A0A" w14:textId="7C2218FF" w:rsidR="00F42598" w:rsidRPr="00332AB5" w:rsidRDefault="00F42598">
      <w:pPr>
        <w:pStyle w:val="ListParagraph"/>
        <w:numPr>
          <w:ilvl w:val="0"/>
          <w:numId w:val="14"/>
        </w:numPr>
        <w:jc w:val="both"/>
        <w:rPr>
          <w:sz w:val="24"/>
          <w:szCs w:val="24"/>
        </w:rPr>
      </w:pPr>
      <w:r w:rsidRPr="00332AB5">
        <w:rPr>
          <w:sz w:val="24"/>
          <w:szCs w:val="24"/>
        </w:rPr>
        <w:t>korištenje većeg broja pojednostavljenih troškovnih opcija (PTO), kao i priprema novih prijedloga PTO</w:t>
      </w:r>
    </w:p>
    <w:p w14:paraId="0E6A3764" w14:textId="34639E3C" w:rsidR="00E667E1" w:rsidRPr="00332AB5" w:rsidRDefault="00F42598">
      <w:pPr>
        <w:pStyle w:val="ListParagraph"/>
        <w:numPr>
          <w:ilvl w:val="0"/>
          <w:numId w:val="14"/>
        </w:numPr>
        <w:jc w:val="both"/>
        <w:rPr>
          <w:sz w:val="24"/>
          <w:szCs w:val="24"/>
        </w:rPr>
      </w:pPr>
      <w:r w:rsidRPr="00332AB5">
        <w:rPr>
          <w:sz w:val="24"/>
          <w:szCs w:val="24"/>
        </w:rPr>
        <w:t>unaprjeđenje postojećih informacijskih sustava u svrhu bržeg, točnijeg i jednostavnijeg prikupljanja podataka povezanih s izvještavanjem prema E</w:t>
      </w:r>
      <w:r w:rsidR="00DB0220" w:rsidRPr="00332AB5">
        <w:rPr>
          <w:sz w:val="24"/>
          <w:szCs w:val="24"/>
        </w:rPr>
        <w:t>K</w:t>
      </w:r>
    </w:p>
    <w:p w14:paraId="78E31FA7" w14:textId="7D95F313" w:rsidR="00DE2F8A" w:rsidRPr="00332AB5" w:rsidRDefault="0086790F" w:rsidP="00080C75">
      <w:pPr>
        <w:spacing w:before="120" w:after="120"/>
        <w:jc w:val="both"/>
        <w:rPr>
          <w:sz w:val="24"/>
          <w:szCs w:val="24"/>
        </w:rPr>
      </w:pPr>
      <w:r w:rsidRPr="00332AB5">
        <w:rPr>
          <w:sz w:val="24"/>
          <w:szCs w:val="24"/>
        </w:rPr>
        <w:t>U</w:t>
      </w:r>
      <w:r w:rsidR="00B5325C" w:rsidRPr="00332AB5">
        <w:rPr>
          <w:sz w:val="24"/>
          <w:szCs w:val="24"/>
        </w:rPr>
        <w:t>T</w:t>
      </w:r>
      <w:r w:rsidRPr="00332AB5">
        <w:rPr>
          <w:sz w:val="24"/>
          <w:szCs w:val="24"/>
        </w:rPr>
        <w:t xml:space="preserve"> OPULJP-a kao primjer dobre prakse može navesti primjenu pojednostavljenih troškovnih opcija koje u velikoj mjeri olakšavaju provedbu Operativnog programa, ubrzavaju postupak kontrole troškova od strane </w:t>
      </w:r>
      <w:r w:rsidR="00B5325C" w:rsidRPr="00332AB5">
        <w:rPr>
          <w:sz w:val="24"/>
          <w:szCs w:val="24"/>
        </w:rPr>
        <w:t>PT</w:t>
      </w:r>
      <w:r w:rsidRPr="00332AB5">
        <w:rPr>
          <w:sz w:val="24"/>
          <w:szCs w:val="24"/>
        </w:rPr>
        <w:t xml:space="preserve">2, smanjuju razinu grešaka, ubrzavaju i olakšavaju korisnicima provedbu projekata te u konačnici olakšavaju i ubrzavaju postupak ovjeravanja sredstava prema </w:t>
      </w:r>
      <w:r w:rsidR="00B5325C" w:rsidRPr="00332AB5">
        <w:rPr>
          <w:sz w:val="24"/>
          <w:szCs w:val="24"/>
        </w:rPr>
        <w:t>EK</w:t>
      </w:r>
      <w:r w:rsidRPr="00332AB5">
        <w:rPr>
          <w:sz w:val="24"/>
          <w:szCs w:val="24"/>
        </w:rPr>
        <w:t xml:space="preserve">. Primjena pojednostavljenih troškovnih opcija bilo kroz korištenje mogućnosti koje je </w:t>
      </w:r>
      <w:r w:rsidR="00B5325C" w:rsidRPr="00332AB5">
        <w:rPr>
          <w:sz w:val="24"/>
          <w:szCs w:val="24"/>
        </w:rPr>
        <w:t>EK</w:t>
      </w:r>
      <w:r w:rsidRPr="00332AB5">
        <w:rPr>
          <w:sz w:val="24"/>
          <w:szCs w:val="24"/>
        </w:rPr>
        <w:t xml:space="preserve"> definirala Uredbama ili primjenom metodologija koje je razvila država članica uvelike pomaže i u ispunjenju </w:t>
      </w:r>
      <w:r w:rsidR="00910893" w:rsidRPr="00332AB5">
        <w:rPr>
          <w:sz w:val="24"/>
          <w:szCs w:val="24"/>
        </w:rPr>
        <w:t>N</w:t>
      </w:r>
      <w:r w:rsidRPr="00332AB5">
        <w:rPr>
          <w:sz w:val="24"/>
          <w:szCs w:val="24"/>
        </w:rPr>
        <w:t xml:space="preserve">+3 ciljeva. </w:t>
      </w:r>
      <w:r w:rsidR="00DE2F8A" w:rsidRPr="00332AB5">
        <w:rPr>
          <w:sz w:val="24"/>
          <w:szCs w:val="24"/>
        </w:rPr>
        <w:t xml:space="preserve">Republika Hrvatska kao članica Europske unije trenutno ima </w:t>
      </w:r>
      <w:r w:rsidR="00CE5A12" w:rsidRPr="00332AB5">
        <w:rPr>
          <w:sz w:val="24"/>
          <w:szCs w:val="24"/>
        </w:rPr>
        <w:t>pet</w:t>
      </w:r>
      <w:r w:rsidR="00DE2F8A" w:rsidRPr="00332AB5">
        <w:rPr>
          <w:sz w:val="24"/>
          <w:szCs w:val="24"/>
        </w:rPr>
        <w:t xml:space="preserve"> prihvaćenih uredbi pojednostavljenih troškovnih opcija temeljem Delegiranih akata. Osim </w:t>
      </w:r>
      <w:r w:rsidR="00B02F8D" w:rsidRPr="00332AB5">
        <w:rPr>
          <w:sz w:val="24"/>
          <w:szCs w:val="24"/>
        </w:rPr>
        <w:t>predmetnih</w:t>
      </w:r>
      <w:r w:rsidR="00DE2F8A" w:rsidRPr="00332AB5">
        <w:rPr>
          <w:sz w:val="24"/>
          <w:szCs w:val="24"/>
        </w:rPr>
        <w:t xml:space="preserve">, UT OPULJP aktivno surađuje s PT-ima u implementaciji različitih oblika pojednostavljenja definiranih Uredbama </w:t>
      </w:r>
      <w:r w:rsidR="00B62D9F" w:rsidRPr="00332AB5">
        <w:rPr>
          <w:sz w:val="24"/>
          <w:szCs w:val="24"/>
        </w:rPr>
        <w:t>EK</w:t>
      </w:r>
      <w:r w:rsidR="00DE2F8A" w:rsidRPr="00332AB5">
        <w:rPr>
          <w:sz w:val="24"/>
          <w:szCs w:val="24"/>
        </w:rPr>
        <w:t xml:space="preserve">, kao što su </w:t>
      </w:r>
      <w:r w:rsidR="00DE2F8A" w:rsidRPr="00332AB5">
        <w:rPr>
          <w:i/>
          <w:iCs/>
          <w:sz w:val="24"/>
          <w:szCs w:val="24"/>
        </w:rPr>
        <w:t>off-the-shelf</w:t>
      </w:r>
      <w:r w:rsidR="001621C6" w:rsidRPr="00332AB5">
        <w:rPr>
          <w:i/>
          <w:iCs/>
          <w:sz w:val="24"/>
          <w:szCs w:val="24"/>
        </w:rPr>
        <w:t xml:space="preserve"> </w:t>
      </w:r>
      <w:r w:rsidR="00DE2F8A" w:rsidRPr="00332AB5">
        <w:rPr>
          <w:sz w:val="24"/>
          <w:szCs w:val="24"/>
        </w:rPr>
        <w:t>SCO, fiksni postotak rada i sličnih modaliteta propisanih Uredbom (EU, Euratom) 2018/1046 Europskog parlamenta i Vijeća</w:t>
      </w:r>
      <w:r w:rsidR="00B62D9F" w:rsidRPr="00332AB5">
        <w:rPr>
          <w:sz w:val="24"/>
          <w:szCs w:val="24"/>
        </w:rPr>
        <w:t xml:space="preserve">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(SL L 193, 30.7.2018.)</w:t>
      </w:r>
      <w:r w:rsidR="00DE2F8A" w:rsidRPr="00332AB5">
        <w:rPr>
          <w:sz w:val="24"/>
          <w:szCs w:val="24"/>
        </w:rPr>
        <w:t>, a sve u svrhu dodatnog pojednostavljenja potraživanja i ovjeravanja sredstava, kao i reduciranja administrativnog opterećenja.</w:t>
      </w:r>
    </w:p>
    <w:p w14:paraId="660E0813" w14:textId="3010E661" w:rsidR="00BB72B3" w:rsidRPr="00332AB5" w:rsidRDefault="00BB72B3" w:rsidP="00BB72B3">
      <w:pPr>
        <w:spacing w:before="120" w:after="120"/>
        <w:jc w:val="both"/>
        <w:rPr>
          <w:sz w:val="24"/>
          <w:szCs w:val="24"/>
        </w:rPr>
      </w:pPr>
      <w:r w:rsidRPr="00332AB5">
        <w:rPr>
          <w:sz w:val="24"/>
          <w:szCs w:val="24"/>
        </w:rPr>
        <w:lastRenderedPageBreak/>
        <w:t>Radi dodatnog rasterećenja tijela u Sustavu upravljanja i kontrole, UT također aktivno promišlja dorade Smjernica i pripadajućih priloga u svrhu ubrzavanja, olakšavanja i osiguravanja ispravnosti funkcioniranja Operativnog programa</w:t>
      </w:r>
      <w:r w:rsidR="00DD3CDD" w:rsidRPr="00332AB5">
        <w:rPr>
          <w:sz w:val="24"/>
          <w:szCs w:val="24"/>
        </w:rPr>
        <w:t>, posebice u segmentu njegova skorog zaključenja</w:t>
      </w:r>
      <w:r w:rsidRPr="00332AB5">
        <w:rPr>
          <w:sz w:val="24"/>
          <w:szCs w:val="24"/>
        </w:rPr>
        <w:t>.</w:t>
      </w:r>
    </w:p>
    <w:p w14:paraId="463F0D8C" w14:textId="2472B99F" w:rsidR="00F42598" w:rsidRPr="00332AB5" w:rsidRDefault="00F42598" w:rsidP="00F42598">
      <w:pPr>
        <w:spacing w:before="120" w:after="120"/>
        <w:jc w:val="both"/>
        <w:rPr>
          <w:sz w:val="24"/>
          <w:szCs w:val="24"/>
        </w:rPr>
      </w:pPr>
      <w:r w:rsidRPr="00332AB5">
        <w:rPr>
          <w:sz w:val="24"/>
          <w:szCs w:val="24"/>
        </w:rPr>
        <w:t xml:space="preserve">Nastavno na provedeni postupak javne nabave za provedbu sedam evaluacija (vrednovanja) u okviru OPULJP-a, tadašnje Ministarstvo rada i mirovinskoga sustava je kao Naručitelj tijekom 2020., sklopilo ugovore za sedam grupa predmeta nabave s odabranim izvršiteljima. Ugovori su sklopljeni za: vrednovanje Prioritetne osi 1 </w:t>
      </w:r>
      <w:r w:rsidR="00B62D9F" w:rsidRPr="00332AB5">
        <w:rPr>
          <w:sz w:val="24"/>
          <w:szCs w:val="24"/>
        </w:rPr>
        <w:t>„</w:t>
      </w:r>
      <w:r w:rsidRPr="00332AB5">
        <w:rPr>
          <w:sz w:val="24"/>
          <w:szCs w:val="24"/>
        </w:rPr>
        <w:t>Visoka zapošljivost i mobilnost radne snage</w:t>
      </w:r>
      <w:r w:rsidR="00B62D9F" w:rsidRPr="00332AB5">
        <w:rPr>
          <w:sz w:val="24"/>
          <w:szCs w:val="24"/>
        </w:rPr>
        <w:t>“</w:t>
      </w:r>
      <w:r w:rsidRPr="00332AB5">
        <w:rPr>
          <w:sz w:val="24"/>
          <w:szCs w:val="24"/>
        </w:rPr>
        <w:t xml:space="preserve"> uz vrednovanje učinka mjera aktivne politike zapošljavanja; vrednovanje Prioritetne osi 2 „Socijalno uključivanje“; vrednovanje Prioritetne osi 3 </w:t>
      </w:r>
      <w:r w:rsidR="00592491" w:rsidRPr="00332AB5">
        <w:rPr>
          <w:sz w:val="24"/>
          <w:szCs w:val="24"/>
        </w:rPr>
        <w:t>„</w:t>
      </w:r>
      <w:r w:rsidRPr="00332AB5">
        <w:rPr>
          <w:sz w:val="24"/>
          <w:szCs w:val="24"/>
        </w:rPr>
        <w:t>Obrazovanje i cjeloživotno učenje“;</w:t>
      </w:r>
      <w:r w:rsidR="00592491" w:rsidRPr="00332AB5">
        <w:rPr>
          <w:sz w:val="24"/>
          <w:szCs w:val="24"/>
        </w:rPr>
        <w:t xml:space="preserve"> </w:t>
      </w:r>
      <w:r w:rsidRPr="00332AB5">
        <w:rPr>
          <w:sz w:val="24"/>
          <w:szCs w:val="24"/>
        </w:rPr>
        <w:t xml:space="preserve">vrednovanje </w:t>
      </w:r>
      <w:bookmarkStart w:id="108" w:name="_Hlk81484551"/>
      <w:r w:rsidRPr="00332AB5">
        <w:rPr>
          <w:sz w:val="24"/>
          <w:szCs w:val="24"/>
        </w:rPr>
        <w:t>Prioritetne osi 4 „Dobro upravljanje“</w:t>
      </w:r>
      <w:bookmarkEnd w:id="108"/>
      <w:r w:rsidRPr="00332AB5">
        <w:rPr>
          <w:sz w:val="24"/>
          <w:szCs w:val="24"/>
        </w:rPr>
        <w:t xml:space="preserve">; vrednovanje Prioritetne osi 5 </w:t>
      </w:r>
      <w:bookmarkStart w:id="109" w:name="_Hlk81484579"/>
      <w:r w:rsidR="00B62D9F" w:rsidRPr="00332AB5">
        <w:rPr>
          <w:sz w:val="24"/>
          <w:szCs w:val="24"/>
        </w:rPr>
        <w:t>„</w:t>
      </w:r>
      <w:r w:rsidRPr="00332AB5">
        <w:rPr>
          <w:sz w:val="24"/>
          <w:szCs w:val="24"/>
        </w:rPr>
        <w:t>Tehnička pomoć</w:t>
      </w:r>
      <w:r w:rsidR="00B62D9F" w:rsidRPr="00332AB5">
        <w:rPr>
          <w:sz w:val="24"/>
          <w:szCs w:val="24"/>
        </w:rPr>
        <w:t>“</w:t>
      </w:r>
      <w:r w:rsidRPr="00332AB5">
        <w:rPr>
          <w:sz w:val="24"/>
          <w:szCs w:val="24"/>
        </w:rPr>
        <w:t xml:space="preserve"> uz vrednovanje mjera informiranja, komunikacije i vidljivosti; </w:t>
      </w:r>
      <w:bookmarkEnd w:id="109"/>
      <w:r w:rsidRPr="00332AB5">
        <w:rPr>
          <w:sz w:val="24"/>
          <w:szCs w:val="24"/>
        </w:rPr>
        <w:t>vrednovanje djelotvornosti, učinkovitosti i učinka provedbe OPULJP i intervencija ESF-a prema kriteriju regionalne i lokalne zastupljenosti uz vrednovanje horizontalnih načela</w:t>
      </w:r>
      <w:r w:rsidR="0055179C" w:rsidRPr="00332AB5">
        <w:rPr>
          <w:sz w:val="24"/>
          <w:szCs w:val="24"/>
        </w:rPr>
        <w:t xml:space="preserve"> te</w:t>
      </w:r>
      <w:r w:rsidR="00C34483" w:rsidRPr="00332AB5">
        <w:rPr>
          <w:sz w:val="24"/>
          <w:szCs w:val="24"/>
        </w:rPr>
        <w:t xml:space="preserve"> </w:t>
      </w:r>
      <w:r w:rsidRPr="00332AB5">
        <w:rPr>
          <w:sz w:val="24"/>
          <w:szCs w:val="24"/>
        </w:rPr>
        <w:t>vrednovanje društvenog poduzetništva u RH.</w:t>
      </w:r>
      <w:r w:rsidR="001A7BDE" w:rsidRPr="00332AB5">
        <w:rPr>
          <w:sz w:val="24"/>
          <w:szCs w:val="24"/>
        </w:rPr>
        <w:t xml:space="preserve"> Svih sedam evaluacija </w:t>
      </w:r>
      <w:r w:rsidR="004E3666" w:rsidRPr="00332AB5">
        <w:rPr>
          <w:sz w:val="24"/>
          <w:szCs w:val="24"/>
        </w:rPr>
        <w:t xml:space="preserve">je </w:t>
      </w:r>
      <w:r w:rsidR="001A7BDE" w:rsidRPr="00332AB5">
        <w:rPr>
          <w:sz w:val="24"/>
          <w:szCs w:val="24"/>
        </w:rPr>
        <w:t xml:space="preserve">dovršeno do </w:t>
      </w:r>
      <w:r w:rsidR="60770501" w:rsidRPr="00332AB5">
        <w:rPr>
          <w:sz w:val="24"/>
          <w:szCs w:val="24"/>
        </w:rPr>
        <w:t>travnja</w:t>
      </w:r>
      <w:r w:rsidR="0043028C" w:rsidRPr="00332AB5">
        <w:rPr>
          <w:sz w:val="24"/>
          <w:szCs w:val="24"/>
        </w:rPr>
        <w:t xml:space="preserve"> 2022. godine.</w:t>
      </w:r>
    </w:p>
    <w:p w14:paraId="0036F47B" w14:textId="273EC645" w:rsidR="00D8681E" w:rsidRPr="00332AB5" w:rsidRDefault="00F42598" w:rsidP="00F42598">
      <w:pPr>
        <w:spacing w:before="120" w:after="120"/>
        <w:jc w:val="both"/>
        <w:rPr>
          <w:sz w:val="24"/>
          <w:szCs w:val="24"/>
        </w:rPr>
      </w:pPr>
      <w:r w:rsidRPr="00332AB5">
        <w:rPr>
          <w:sz w:val="24"/>
          <w:szCs w:val="24"/>
        </w:rPr>
        <w:t>U okviru svih ugovorenih evaluacija</w:t>
      </w:r>
      <w:r w:rsidR="00B4170D" w:rsidRPr="00332AB5">
        <w:rPr>
          <w:sz w:val="24"/>
          <w:szCs w:val="24"/>
        </w:rPr>
        <w:t>,</w:t>
      </w:r>
      <w:r w:rsidRPr="00332AB5">
        <w:rPr>
          <w:sz w:val="24"/>
          <w:szCs w:val="24"/>
        </w:rPr>
        <w:t xml:space="preserve"> evaluatori </w:t>
      </w:r>
      <w:r w:rsidR="00984692" w:rsidRPr="00332AB5">
        <w:rPr>
          <w:sz w:val="24"/>
          <w:szCs w:val="24"/>
        </w:rPr>
        <w:t xml:space="preserve">su </w:t>
      </w:r>
      <w:r w:rsidRPr="00332AB5">
        <w:rPr>
          <w:sz w:val="24"/>
          <w:szCs w:val="24"/>
        </w:rPr>
        <w:t>mora</w:t>
      </w:r>
      <w:r w:rsidR="00162062" w:rsidRPr="00332AB5">
        <w:rPr>
          <w:sz w:val="24"/>
          <w:szCs w:val="24"/>
        </w:rPr>
        <w:t>li</w:t>
      </w:r>
      <w:r w:rsidRPr="00332AB5">
        <w:rPr>
          <w:sz w:val="24"/>
          <w:szCs w:val="24"/>
        </w:rPr>
        <w:t xml:space="preserve"> dostaviti Početno izvješće, Izvješće u tijeku provedbe te Završno izvješće o provedenom vrednovanju sa završnim zaključcima i preporukama.</w:t>
      </w:r>
      <w:r w:rsidR="00D8681E" w:rsidRPr="00332AB5">
        <w:rPr>
          <w:sz w:val="24"/>
          <w:szCs w:val="24"/>
        </w:rPr>
        <w:t xml:space="preserve"> Završna izvješća svih vrednovanja javno su dostupna.</w:t>
      </w:r>
    </w:p>
    <w:p w14:paraId="31D8BBC2" w14:textId="62918B99" w:rsidR="00C409C6" w:rsidRPr="00332AB5" w:rsidRDefault="00C409C6" w:rsidP="00C409C6">
      <w:pPr>
        <w:spacing w:before="120" w:after="120"/>
        <w:jc w:val="both"/>
        <w:rPr>
          <w:sz w:val="24"/>
          <w:szCs w:val="24"/>
        </w:rPr>
      </w:pPr>
      <w:r w:rsidRPr="00332AB5">
        <w:rPr>
          <w:sz w:val="24"/>
          <w:szCs w:val="24"/>
        </w:rPr>
        <w:t>U izvještajnom razdoblju provedena je Strukturirana anketa</w:t>
      </w:r>
      <w:r w:rsidR="00F66C5F" w:rsidRPr="00332AB5">
        <w:rPr>
          <w:sz w:val="24"/>
          <w:szCs w:val="24"/>
        </w:rPr>
        <w:t xml:space="preserve"> o krajnjim prim</w:t>
      </w:r>
      <w:r w:rsidR="00A92BB6" w:rsidRPr="00332AB5">
        <w:rPr>
          <w:sz w:val="24"/>
          <w:szCs w:val="24"/>
        </w:rPr>
        <w:t xml:space="preserve">ateljima pomoći </w:t>
      </w:r>
      <w:r w:rsidR="00281A9A" w:rsidRPr="00332AB5">
        <w:rPr>
          <w:sz w:val="24"/>
          <w:szCs w:val="24"/>
        </w:rPr>
        <w:t xml:space="preserve">hrane i/ili </w:t>
      </w:r>
      <w:r w:rsidR="00916858" w:rsidRPr="00332AB5">
        <w:rPr>
          <w:sz w:val="24"/>
          <w:szCs w:val="24"/>
        </w:rPr>
        <w:t xml:space="preserve">osnovne materijalne pomoći </w:t>
      </w:r>
      <w:r w:rsidR="00D30536" w:rsidRPr="00332AB5">
        <w:rPr>
          <w:sz w:val="24"/>
          <w:szCs w:val="24"/>
        </w:rPr>
        <w:t>u okviru OPFEAD</w:t>
      </w:r>
      <w:r w:rsidR="00F6068B" w:rsidRPr="00332AB5">
        <w:rPr>
          <w:sz w:val="24"/>
          <w:szCs w:val="24"/>
        </w:rPr>
        <w:t xml:space="preserve"> za razdoblje 2014.</w:t>
      </w:r>
      <w:r w:rsidR="00312286" w:rsidRPr="00332AB5">
        <w:rPr>
          <w:sz w:val="24"/>
          <w:szCs w:val="24"/>
        </w:rPr>
        <w:t xml:space="preserve"> </w:t>
      </w:r>
      <w:r w:rsidR="002D6DB7" w:rsidRPr="00332AB5">
        <w:rPr>
          <w:sz w:val="24"/>
          <w:szCs w:val="24"/>
        </w:rPr>
        <w:t>-</w:t>
      </w:r>
      <w:r w:rsidR="00312286" w:rsidRPr="00332AB5">
        <w:rPr>
          <w:sz w:val="24"/>
          <w:szCs w:val="24"/>
        </w:rPr>
        <w:t xml:space="preserve"> </w:t>
      </w:r>
      <w:r w:rsidR="00F6068B" w:rsidRPr="00332AB5">
        <w:rPr>
          <w:sz w:val="24"/>
          <w:szCs w:val="24"/>
        </w:rPr>
        <w:t>2020.</w:t>
      </w:r>
      <w:r w:rsidR="000B287F" w:rsidRPr="00332AB5">
        <w:rPr>
          <w:sz w:val="24"/>
          <w:szCs w:val="24"/>
        </w:rPr>
        <w:t xml:space="preserve"> čije je Završno izvješće odobreno u prosincu 2022.</w:t>
      </w:r>
      <w:r w:rsidR="00F6068B" w:rsidRPr="00332AB5">
        <w:rPr>
          <w:sz w:val="24"/>
          <w:szCs w:val="24"/>
        </w:rPr>
        <w:t xml:space="preserve"> Iako nije riječ o evaluaciji u užem smislu</w:t>
      </w:r>
      <w:r w:rsidR="005439F7" w:rsidRPr="00332AB5">
        <w:rPr>
          <w:sz w:val="24"/>
          <w:szCs w:val="24"/>
        </w:rPr>
        <w:t xml:space="preserve">, prikupljeni podaci i nalazi </w:t>
      </w:r>
      <w:r w:rsidR="00167EE6" w:rsidRPr="00332AB5">
        <w:rPr>
          <w:sz w:val="24"/>
          <w:szCs w:val="24"/>
        </w:rPr>
        <w:t>o</w:t>
      </w:r>
      <w:r w:rsidRPr="00332AB5">
        <w:rPr>
          <w:sz w:val="24"/>
          <w:szCs w:val="24"/>
        </w:rPr>
        <w:t xml:space="preserve"> </w:t>
      </w:r>
      <w:r w:rsidR="00455BAF" w:rsidRPr="00332AB5">
        <w:rPr>
          <w:sz w:val="24"/>
          <w:szCs w:val="24"/>
        </w:rPr>
        <w:t>društveno-ekonomskoj pozadini, trenutnoj i prijašnjoj situaciji krajnjih primatelja pomoći te njihovim iskustvima s pomoći financiranom iz FEAD-a</w:t>
      </w:r>
      <w:r w:rsidR="00FA1E4E" w:rsidRPr="00332AB5">
        <w:rPr>
          <w:sz w:val="24"/>
          <w:szCs w:val="24"/>
        </w:rPr>
        <w:t xml:space="preserve">, kao i </w:t>
      </w:r>
      <w:r w:rsidR="00225E1C" w:rsidRPr="00332AB5">
        <w:rPr>
          <w:sz w:val="24"/>
          <w:szCs w:val="24"/>
        </w:rPr>
        <w:t xml:space="preserve">o </w:t>
      </w:r>
      <w:r w:rsidR="00FA1E4E" w:rsidRPr="00332AB5">
        <w:rPr>
          <w:sz w:val="24"/>
          <w:szCs w:val="24"/>
        </w:rPr>
        <w:t xml:space="preserve">iskustvima partnerskih organizacija čiji su predstavnici također anketirani, </w:t>
      </w:r>
      <w:r w:rsidR="003847DB" w:rsidRPr="00332AB5">
        <w:rPr>
          <w:sz w:val="24"/>
          <w:szCs w:val="24"/>
        </w:rPr>
        <w:t xml:space="preserve">poslužit će u planiranju budućih </w:t>
      </w:r>
      <w:r w:rsidR="00DB7FC4" w:rsidRPr="00332AB5">
        <w:rPr>
          <w:sz w:val="24"/>
          <w:szCs w:val="24"/>
        </w:rPr>
        <w:t>istovjetnih intervencija</w:t>
      </w:r>
      <w:r w:rsidR="000C1679" w:rsidRPr="00332AB5">
        <w:rPr>
          <w:sz w:val="24"/>
          <w:szCs w:val="24"/>
        </w:rPr>
        <w:t xml:space="preserve"> u narednom programskom razdoblju.</w:t>
      </w:r>
    </w:p>
    <w:p w14:paraId="587543C0" w14:textId="459996A2" w:rsidR="00F42598" w:rsidRPr="00332AB5" w:rsidRDefault="00F42598" w:rsidP="00F42598">
      <w:pPr>
        <w:jc w:val="both"/>
        <w:rPr>
          <w:sz w:val="24"/>
          <w:szCs w:val="24"/>
        </w:rPr>
      </w:pPr>
      <w:r w:rsidRPr="00332AB5">
        <w:rPr>
          <w:sz w:val="24"/>
          <w:szCs w:val="24"/>
        </w:rPr>
        <w:t>Iz do sada provedenih evaluacija, sljedeć</w:t>
      </w:r>
      <w:r w:rsidR="00D8681E" w:rsidRPr="00332AB5">
        <w:rPr>
          <w:sz w:val="24"/>
          <w:szCs w:val="24"/>
        </w:rPr>
        <w:t>e</w:t>
      </w:r>
      <w:r w:rsidRPr="00332AB5">
        <w:rPr>
          <w:sz w:val="24"/>
          <w:szCs w:val="24"/>
        </w:rPr>
        <w:t xml:space="preserve"> sumiran</w:t>
      </w:r>
      <w:r w:rsidR="00D8681E" w:rsidRPr="00332AB5">
        <w:rPr>
          <w:sz w:val="24"/>
          <w:szCs w:val="24"/>
        </w:rPr>
        <w:t>e</w:t>
      </w:r>
      <w:r w:rsidRPr="00332AB5">
        <w:rPr>
          <w:sz w:val="24"/>
          <w:szCs w:val="24"/>
        </w:rPr>
        <w:t xml:space="preserve"> preporuke se mogu izdvojiti kao naučene lekcije i podloga za buduće planiranje:</w:t>
      </w:r>
    </w:p>
    <w:p w14:paraId="25B4FE15" w14:textId="188E8C85" w:rsidR="00F42598" w:rsidRPr="00332AB5" w:rsidRDefault="00F42598">
      <w:pPr>
        <w:pStyle w:val="ListParagraph"/>
        <w:numPr>
          <w:ilvl w:val="0"/>
          <w:numId w:val="12"/>
        </w:numPr>
        <w:spacing w:before="120" w:after="120"/>
        <w:jc w:val="both"/>
        <w:rPr>
          <w:sz w:val="24"/>
          <w:szCs w:val="24"/>
        </w:rPr>
      </w:pPr>
      <w:r w:rsidRPr="00332AB5">
        <w:rPr>
          <w:sz w:val="24"/>
          <w:szCs w:val="24"/>
        </w:rPr>
        <w:t>primijeniti regionalni pristup u planiranju poziva i provođenju projekata te se u proces planiranja preporuča uključiti širi krug horizontalnih dionika kao što su regionalni i lokalni partneri</w:t>
      </w:r>
    </w:p>
    <w:p w14:paraId="2B844399" w14:textId="3034AB21" w:rsidR="00F42598" w:rsidRPr="00332AB5" w:rsidRDefault="00F42598">
      <w:pPr>
        <w:pStyle w:val="ListParagraph"/>
        <w:numPr>
          <w:ilvl w:val="0"/>
          <w:numId w:val="12"/>
        </w:numPr>
        <w:spacing w:before="120" w:after="120"/>
        <w:jc w:val="both"/>
        <w:rPr>
          <w:sz w:val="24"/>
          <w:szCs w:val="24"/>
        </w:rPr>
      </w:pPr>
      <w:r w:rsidRPr="00332AB5">
        <w:rPr>
          <w:sz w:val="24"/>
          <w:szCs w:val="24"/>
        </w:rPr>
        <w:t>unaprijediti informacijski sustav u svrhu osiguranja učinkovitosti prijave prijedloga projekata i praćenja provedbe projekata</w:t>
      </w:r>
    </w:p>
    <w:p w14:paraId="4F04C253" w14:textId="6F95E880" w:rsidR="00D8681E" w:rsidRPr="00332AB5" w:rsidRDefault="00D8681E">
      <w:pPr>
        <w:pStyle w:val="ListParagraph"/>
        <w:numPr>
          <w:ilvl w:val="0"/>
          <w:numId w:val="12"/>
        </w:numPr>
        <w:spacing w:before="120" w:after="120"/>
        <w:jc w:val="both"/>
        <w:rPr>
          <w:sz w:val="24"/>
          <w:szCs w:val="24"/>
        </w:rPr>
      </w:pPr>
      <w:r w:rsidRPr="00332AB5">
        <w:rPr>
          <w:sz w:val="24"/>
          <w:szCs w:val="24"/>
        </w:rPr>
        <w:t>pojednostavniti procedure, ujednačiti prakse različitih posredničkih tijela i osigurati kontinuitet pristupa projektima unutar istih poziva, između ostalih načina i kroz intenziviranje razmjena iskustava zaposlenika PT2 na poslovima provjere i odobravanja ZNS-ova</w:t>
      </w:r>
    </w:p>
    <w:p w14:paraId="049FBED3" w14:textId="77777777" w:rsidR="00D8681E" w:rsidRPr="00332AB5" w:rsidRDefault="00D8681E">
      <w:pPr>
        <w:pStyle w:val="ListParagraph"/>
        <w:numPr>
          <w:ilvl w:val="0"/>
          <w:numId w:val="12"/>
        </w:numPr>
        <w:spacing w:before="120" w:after="120"/>
        <w:jc w:val="both"/>
        <w:rPr>
          <w:sz w:val="24"/>
          <w:szCs w:val="24"/>
        </w:rPr>
      </w:pPr>
      <w:r w:rsidRPr="00332AB5">
        <w:rPr>
          <w:sz w:val="24"/>
          <w:szCs w:val="24"/>
        </w:rPr>
        <w:t>proširiti korištenje pojednostavljenih troškovnih opcija i uzorkovanja za provjeru prihvatljivosti troškova umjesto provjeravanja svakog pojedinačnog tro</w:t>
      </w:r>
      <w:r w:rsidRPr="00332AB5">
        <w:rPr>
          <w:sz w:val="24"/>
          <w:szCs w:val="24"/>
        </w:rPr>
        <w:lastRenderedPageBreak/>
        <w:t>ška, što se može pospješiti edukacijama za djelatnike o osmišljavanju metodologija za pojedine vrste pojednostavljenih troškovnih opcija i o njihovoj primjeni</w:t>
      </w:r>
    </w:p>
    <w:p w14:paraId="7F6861DD" w14:textId="65057CB2" w:rsidR="00D8681E" w:rsidRPr="00332AB5" w:rsidRDefault="00D8681E">
      <w:pPr>
        <w:pStyle w:val="ListParagraph"/>
        <w:numPr>
          <w:ilvl w:val="0"/>
          <w:numId w:val="12"/>
        </w:numPr>
        <w:spacing w:before="120" w:after="120"/>
        <w:jc w:val="both"/>
        <w:rPr>
          <w:sz w:val="24"/>
          <w:szCs w:val="24"/>
        </w:rPr>
      </w:pPr>
      <w:r w:rsidRPr="00332AB5">
        <w:rPr>
          <w:sz w:val="24"/>
          <w:szCs w:val="24"/>
        </w:rPr>
        <w:t>osnažiti koordinaciju među nadležnim tijelima i uskladiti intervencije s ciljem sinergijskih učinaka</w:t>
      </w:r>
    </w:p>
    <w:p w14:paraId="627F6AD9" w14:textId="77777777" w:rsidR="00D8681E" w:rsidRPr="00332AB5" w:rsidRDefault="00D8681E">
      <w:pPr>
        <w:pStyle w:val="ListParagraph"/>
        <w:numPr>
          <w:ilvl w:val="0"/>
          <w:numId w:val="12"/>
        </w:numPr>
        <w:spacing w:before="120" w:after="120"/>
        <w:jc w:val="both"/>
        <w:rPr>
          <w:sz w:val="24"/>
          <w:szCs w:val="24"/>
        </w:rPr>
      </w:pPr>
      <w:r w:rsidRPr="00332AB5">
        <w:rPr>
          <w:sz w:val="24"/>
          <w:szCs w:val="24"/>
        </w:rPr>
        <w:t>osmisliti sustav edukacija posebno prilagođenih za ESF+ uz stalno dostupne online edukacije na temu ESF+</w:t>
      </w:r>
    </w:p>
    <w:p w14:paraId="4D32E192" w14:textId="1E8D9ECB" w:rsidR="00D8681E" w:rsidRPr="00332AB5" w:rsidRDefault="00D8681E">
      <w:pPr>
        <w:pStyle w:val="ListParagraph"/>
        <w:numPr>
          <w:ilvl w:val="0"/>
          <w:numId w:val="12"/>
        </w:numPr>
        <w:spacing w:before="120" w:after="120"/>
        <w:jc w:val="both"/>
        <w:rPr>
          <w:sz w:val="24"/>
          <w:szCs w:val="24"/>
        </w:rPr>
      </w:pPr>
      <w:r w:rsidRPr="00332AB5">
        <w:rPr>
          <w:sz w:val="24"/>
          <w:szCs w:val="24"/>
        </w:rPr>
        <w:t>ojačati kanale prema potencijalnim korisnicima, uključujući prikupljanje informacija o njima i edukacije o dizajnu projekata te sadržaju i proračunu projektne prijave</w:t>
      </w:r>
    </w:p>
    <w:p w14:paraId="3404769B" w14:textId="77777777" w:rsidR="00D8681E" w:rsidRPr="00332AB5" w:rsidRDefault="00D8681E">
      <w:pPr>
        <w:pStyle w:val="ListParagraph"/>
        <w:numPr>
          <w:ilvl w:val="0"/>
          <w:numId w:val="12"/>
        </w:numPr>
        <w:spacing w:before="120" w:after="120"/>
        <w:jc w:val="both"/>
        <w:rPr>
          <w:sz w:val="24"/>
          <w:szCs w:val="24"/>
        </w:rPr>
      </w:pPr>
      <w:r w:rsidRPr="00332AB5">
        <w:rPr>
          <w:sz w:val="24"/>
          <w:szCs w:val="24"/>
        </w:rPr>
        <w:t>kontinuirano jačati kapacitete za strateško planiranje i izrađivati analitičke podloge</w:t>
      </w:r>
    </w:p>
    <w:p w14:paraId="2A46E69C" w14:textId="3A119B54" w:rsidR="00D8681E" w:rsidRPr="00332AB5" w:rsidRDefault="00D8681E">
      <w:pPr>
        <w:pStyle w:val="ListParagraph"/>
        <w:numPr>
          <w:ilvl w:val="0"/>
          <w:numId w:val="12"/>
        </w:numPr>
        <w:spacing w:before="120" w:after="120"/>
        <w:jc w:val="both"/>
        <w:rPr>
          <w:sz w:val="24"/>
          <w:szCs w:val="24"/>
        </w:rPr>
      </w:pPr>
      <w:r w:rsidRPr="00332AB5">
        <w:rPr>
          <w:sz w:val="24"/>
          <w:szCs w:val="24"/>
        </w:rPr>
        <w:t>osigurati veće pridavanje važnosti osiguravanju održivosti rezultata projekata, posebno kroz suradnju sa sektorski nadležnim tijelima</w:t>
      </w:r>
    </w:p>
    <w:p w14:paraId="7D09C164" w14:textId="77777777" w:rsidR="00D8681E" w:rsidRPr="00332AB5" w:rsidRDefault="00D8681E">
      <w:pPr>
        <w:pStyle w:val="ListParagraph"/>
        <w:numPr>
          <w:ilvl w:val="0"/>
          <w:numId w:val="12"/>
        </w:numPr>
        <w:spacing w:before="120" w:after="120"/>
        <w:jc w:val="both"/>
        <w:rPr>
          <w:sz w:val="24"/>
          <w:szCs w:val="24"/>
        </w:rPr>
      </w:pPr>
      <w:r w:rsidRPr="00332AB5">
        <w:rPr>
          <w:sz w:val="24"/>
          <w:szCs w:val="24"/>
        </w:rPr>
        <w:t>dodatno (sadržajno) ojačati koordinaciju i komunikaciju između svih dionika, a posebno tijela SUK-a</w:t>
      </w:r>
    </w:p>
    <w:p w14:paraId="7A4D078B" w14:textId="77777777" w:rsidR="00D8681E" w:rsidRPr="00332AB5" w:rsidRDefault="00D8681E">
      <w:pPr>
        <w:pStyle w:val="ListParagraph"/>
        <w:numPr>
          <w:ilvl w:val="0"/>
          <w:numId w:val="12"/>
        </w:numPr>
        <w:spacing w:before="120" w:after="120"/>
        <w:jc w:val="both"/>
        <w:rPr>
          <w:sz w:val="24"/>
          <w:szCs w:val="24"/>
        </w:rPr>
      </w:pPr>
      <w:r w:rsidRPr="00332AB5">
        <w:rPr>
          <w:sz w:val="24"/>
          <w:szCs w:val="24"/>
        </w:rPr>
        <w:t>ubrzati postupak dodjele i odobravanja ZNS-ova te poštovati rokove</w:t>
      </w:r>
    </w:p>
    <w:p w14:paraId="78276730" w14:textId="6BF7A326" w:rsidR="00D8681E" w:rsidRPr="00332AB5" w:rsidRDefault="00D8681E">
      <w:pPr>
        <w:pStyle w:val="ListParagraph"/>
        <w:numPr>
          <w:ilvl w:val="0"/>
          <w:numId w:val="12"/>
        </w:numPr>
        <w:spacing w:before="120" w:after="120"/>
        <w:jc w:val="both"/>
        <w:rPr>
          <w:sz w:val="24"/>
          <w:szCs w:val="24"/>
        </w:rPr>
      </w:pPr>
      <w:r w:rsidRPr="00332AB5">
        <w:rPr>
          <w:sz w:val="24"/>
          <w:szCs w:val="24"/>
        </w:rPr>
        <w:t>dodatno ojačati kapacitete svih tijela SUK-a, a posebno PT2</w:t>
      </w:r>
    </w:p>
    <w:p w14:paraId="180DE07F" w14:textId="5080A73A" w:rsidR="00D8681E" w:rsidRPr="00332AB5" w:rsidRDefault="00D8681E">
      <w:pPr>
        <w:pStyle w:val="ListParagraph"/>
        <w:numPr>
          <w:ilvl w:val="0"/>
          <w:numId w:val="12"/>
        </w:numPr>
        <w:spacing w:before="120" w:after="120"/>
        <w:jc w:val="both"/>
        <w:rPr>
          <w:sz w:val="24"/>
          <w:szCs w:val="24"/>
        </w:rPr>
      </w:pPr>
      <w:r w:rsidRPr="00332AB5">
        <w:rPr>
          <w:sz w:val="24"/>
          <w:szCs w:val="24"/>
        </w:rPr>
        <w:t>povećati redovitost u objavama i poštivati planove objava poziva što korisnicima omogućuje realistično planiranje aktivnosti i procjenu svojih kapaciteta te je posebno važno za one pozive koji osiguravaju socijalne usluge u širem smislu; u tu svrhu, detaljnije definirati proces pripreme poziva, posebno u pogledu donošenja planova objave poziva, pregleda stanja pripreme poziva, te načina (hodograma) suradnje i koordinacije tijela SUK-a međusobno i sa sektorski nadležnim tijelima u tom procesu</w:t>
      </w:r>
    </w:p>
    <w:p w14:paraId="676A153E" w14:textId="77777777" w:rsidR="00D8681E" w:rsidRPr="00332AB5" w:rsidRDefault="00D8681E">
      <w:pPr>
        <w:pStyle w:val="ListParagraph"/>
        <w:numPr>
          <w:ilvl w:val="0"/>
          <w:numId w:val="12"/>
        </w:numPr>
        <w:jc w:val="both"/>
        <w:rPr>
          <w:sz w:val="24"/>
          <w:szCs w:val="24"/>
        </w:rPr>
      </w:pPr>
      <w:r w:rsidRPr="00332AB5">
        <w:rPr>
          <w:sz w:val="24"/>
          <w:szCs w:val="24"/>
        </w:rPr>
        <w:t>jasnije i detaljnije definirati kriterije odabira te osigurati kvalitetniji angažman vanjskih ocjenjivača projektnih prijava</w:t>
      </w:r>
    </w:p>
    <w:p w14:paraId="6BBDD2B3" w14:textId="729C415F" w:rsidR="00D8681E" w:rsidRPr="00332AB5" w:rsidRDefault="00D8681E">
      <w:pPr>
        <w:pStyle w:val="ListParagraph"/>
        <w:numPr>
          <w:ilvl w:val="0"/>
          <w:numId w:val="12"/>
        </w:numPr>
        <w:jc w:val="both"/>
        <w:rPr>
          <w:sz w:val="24"/>
          <w:szCs w:val="24"/>
        </w:rPr>
      </w:pPr>
      <w:r w:rsidRPr="00332AB5">
        <w:rPr>
          <w:sz w:val="24"/>
          <w:szCs w:val="24"/>
        </w:rPr>
        <w:t>u idućem programskom razdoblju pripremiti detaljnu intervencijsku logiku za svaki specifični cilj koja se može jasnije povezati s konkretnim intervencijama i pružiti podlogu za okvir uspješnosti (pokazatelje i ciljne vrijednosti) te pripremiti okvirni višegodišnji plan objave poziva već u trenutku programiranja u sklopu pripreme intervencijske logike za cijelo programsko razdoblje. Preporučuje se detaljnije pristupiti planiranju reformskih intervencija u smislu očekivanih ishoda te nužnih preduvjeta da bi se očekivani ishodi ostvarili u ciljanim vrijednostima i vremenskom periodu</w:t>
      </w:r>
    </w:p>
    <w:p w14:paraId="6C48FB6F" w14:textId="77777777" w:rsidR="00D8681E" w:rsidRPr="00332AB5" w:rsidRDefault="00D8681E">
      <w:pPr>
        <w:pStyle w:val="ListParagraph"/>
        <w:numPr>
          <w:ilvl w:val="0"/>
          <w:numId w:val="12"/>
        </w:numPr>
        <w:spacing w:after="240"/>
        <w:jc w:val="both"/>
        <w:rPr>
          <w:sz w:val="24"/>
          <w:szCs w:val="24"/>
        </w:rPr>
      </w:pPr>
      <w:r w:rsidRPr="00332AB5">
        <w:rPr>
          <w:sz w:val="24"/>
          <w:szCs w:val="24"/>
        </w:rPr>
        <w:t>preporuča se da UT osigura pravovremeno provođenje vrednovanja čiji će rezultati poslužiti kao temelj za donošenje odluka.</w:t>
      </w:r>
    </w:p>
    <w:p w14:paraId="5A3EB3E1" w14:textId="77777777" w:rsidR="00D8681E" w:rsidRPr="00332AB5" w:rsidRDefault="00D8681E" w:rsidP="00E24CF9">
      <w:pPr>
        <w:spacing w:before="120" w:after="120"/>
        <w:jc w:val="both"/>
        <w:rPr>
          <w:sz w:val="24"/>
          <w:szCs w:val="24"/>
        </w:rPr>
      </w:pPr>
    </w:p>
    <w:p w14:paraId="623614C3" w14:textId="3EABA751" w:rsidR="00B12ACB" w:rsidRPr="00332AB5" w:rsidRDefault="00B12ACB" w:rsidP="00E24CF9">
      <w:pPr>
        <w:spacing w:before="120" w:after="120"/>
        <w:jc w:val="both"/>
        <w:rPr>
          <w:sz w:val="24"/>
          <w:szCs w:val="24"/>
        </w:rPr>
      </w:pPr>
      <w:r w:rsidRPr="00332AB5">
        <w:rPr>
          <w:sz w:val="24"/>
          <w:szCs w:val="24"/>
        </w:rPr>
        <w:t>PROGRAM RURALNOG RAZVOJA REPUBLIKE HRVATSKE ZA RAZDOBLJE 2014. – 2020.</w:t>
      </w:r>
    </w:p>
    <w:p w14:paraId="4FC76092" w14:textId="77777777" w:rsidR="00B12ACB" w:rsidRPr="00332AB5" w:rsidRDefault="00B12ACB" w:rsidP="00080C75">
      <w:pPr>
        <w:spacing w:before="120"/>
        <w:jc w:val="both"/>
        <w:rPr>
          <w:bCs/>
          <w:sz w:val="24"/>
          <w:szCs w:val="24"/>
        </w:rPr>
      </w:pPr>
      <w:r w:rsidRPr="00332AB5">
        <w:rPr>
          <w:bCs/>
          <w:sz w:val="24"/>
          <w:szCs w:val="24"/>
        </w:rPr>
        <w:t xml:space="preserve">Najveći dio alokacije Programa usmjereno je na investicijske mjere, za projekte koji generiraju rast i razvoj prvenstveno poljoprivrednog, prerađivačkog i šumarskog sektora, no </w:t>
      </w:r>
      <w:r w:rsidR="006960B6" w:rsidRPr="00332AB5">
        <w:rPr>
          <w:bCs/>
          <w:sz w:val="24"/>
          <w:szCs w:val="24"/>
        </w:rPr>
        <w:t xml:space="preserve">značajan </w:t>
      </w:r>
      <w:r w:rsidRPr="00332AB5">
        <w:rPr>
          <w:bCs/>
          <w:sz w:val="24"/>
          <w:szCs w:val="24"/>
        </w:rPr>
        <w:t xml:space="preserve">udio odlazi i na tzv. IAKS mjere, koje su jedan od najvažnijih </w:t>
      </w:r>
      <w:r w:rsidRPr="00332AB5">
        <w:rPr>
          <w:bCs/>
          <w:sz w:val="24"/>
          <w:szCs w:val="24"/>
        </w:rPr>
        <w:lastRenderedPageBreak/>
        <w:t>mehanizama Zajedničke poljoprivredne politike za očuvanje okoliša i smanjenje negativnog utjecaja poljoprivrede</w:t>
      </w:r>
      <w:r w:rsidR="00B947D1" w:rsidRPr="00332AB5">
        <w:rPr>
          <w:bCs/>
          <w:sz w:val="24"/>
          <w:szCs w:val="24"/>
        </w:rPr>
        <w:t>,</w:t>
      </w:r>
      <w:r w:rsidRPr="00332AB5">
        <w:rPr>
          <w:bCs/>
          <w:sz w:val="24"/>
          <w:szCs w:val="24"/>
        </w:rPr>
        <w:t xml:space="preserve"> odnosno za osiguravanje zdrave i održive poljoprivrede i zdravog okoliša.</w:t>
      </w:r>
    </w:p>
    <w:p w14:paraId="2ED091D0" w14:textId="1C19E556" w:rsidR="00B12ACB" w:rsidRPr="00332AB5" w:rsidRDefault="009C25AF" w:rsidP="00080C75">
      <w:pPr>
        <w:spacing w:before="120"/>
        <w:jc w:val="both"/>
        <w:rPr>
          <w:bCs/>
          <w:sz w:val="24"/>
          <w:szCs w:val="24"/>
        </w:rPr>
      </w:pPr>
      <w:r w:rsidRPr="00332AB5">
        <w:rPr>
          <w:bCs/>
          <w:sz w:val="24"/>
          <w:szCs w:val="24"/>
        </w:rPr>
        <w:t>Od investicijskih mjera, poljoprivrednicima su</w:t>
      </w:r>
      <w:r w:rsidR="00C50514" w:rsidRPr="00332AB5">
        <w:rPr>
          <w:bCs/>
          <w:sz w:val="24"/>
          <w:szCs w:val="24"/>
        </w:rPr>
        <w:t xml:space="preserve"> se kao</w:t>
      </w:r>
      <w:r w:rsidRPr="00332AB5">
        <w:rPr>
          <w:bCs/>
          <w:sz w:val="24"/>
          <w:szCs w:val="24"/>
        </w:rPr>
        <w:t xml:space="preserve"> najznačajnije mjere </w:t>
      </w:r>
      <w:r w:rsidR="00C50514" w:rsidRPr="00332AB5">
        <w:rPr>
          <w:bCs/>
          <w:sz w:val="24"/>
          <w:szCs w:val="24"/>
        </w:rPr>
        <w:t>pokazale</w:t>
      </w:r>
      <w:r w:rsidR="00A2795D" w:rsidRPr="00332AB5">
        <w:rPr>
          <w:bCs/>
          <w:sz w:val="24"/>
          <w:szCs w:val="24"/>
        </w:rPr>
        <w:t xml:space="preserve"> </w:t>
      </w:r>
      <w:r w:rsidRPr="00332AB5">
        <w:rPr>
          <w:bCs/>
          <w:sz w:val="24"/>
          <w:szCs w:val="24"/>
        </w:rPr>
        <w:t>Mjera 4 „Ulaganja u fizičku imovinu“ koja omogućava sufinanciranje ulaganja u primarnu poljoprivrednu proizvodnju (uključujući kupnju poljoprivredne mehanizacije) i preradu poljoprivrednih proizvoda, korištenje obnovljivih izvora energije za vlastite potrebe</w:t>
      </w:r>
      <w:r w:rsidR="00A47F5E" w:rsidRPr="00332AB5">
        <w:rPr>
          <w:bCs/>
          <w:sz w:val="24"/>
          <w:szCs w:val="24"/>
        </w:rPr>
        <w:t>,</w:t>
      </w:r>
      <w:r w:rsidRPr="00332AB5">
        <w:rPr>
          <w:bCs/>
          <w:sz w:val="24"/>
          <w:szCs w:val="24"/>
        </w:rPr>
        <w:t xml:space="preserve"> kao i djelatnosti usmjerene ka navodnjavanju poljoprivrednih površina i očuvanja krajobraznih vrijednosti te Mjera 6 „Razvoj poljoprivrednih gospodarstava i poslovanja“ kojom se potiču mladi poljoprivrednici, mala poljoprivredna gospodarstva i ulaganja u nepoljoprivredne djelatnosti. Pokazan je značajan interes korisnika i za Mjeru 7 </w:t>
      </w:r>
      <w:r w:rsidR="00B12ACB" w:rsidRPr="00332AB5">
        <w:rPr>
          <w:bCs/>
          <w:sz w:val="24"/>
          <w:szCs w:val="24"/>
        </w:rPr>
        <w:t>„Temeljne usluge i obnova sela u ruralnom području“ putem koje se dodjeljuju potpore za izradu kvalitetnih lokalnih strateških dokumenata, rekonstrukciju i izgradnju cestovne i komunalne infrastrukture, izgradnju objekata namijenjenih predškolskom odgoju, kulturnim i društvenim aktivnostima te širenju sportsko-rekreacijskih sadržaja čime se stvaraju preduvjeti za poticanje društveno-gospodarskog rasta i zaustavljanje depopulacijskog trenda čime ruralna područja trebaju postati poželjna mjesta za život i rad.</w:t>
      </w:r>
    </w:p>
    <w:p w14:paraId="1276AB10" w14:textId="36592A3D" w:rsidR="00166782" w:rsidRPr="00332AB5" w:rsidRDefault="00B12ACB" w:rsidP="00080C75">
      <w:pPr>
        <w:spacing w:before="120"/>
        <w:jc w:val="both"/>
        <w:rPr>
          <w:sz w:val="24"/>
          <w:szCs w:val="24"/>
        </w:rPr>
      </w:pPr>
      <w:r w:rsidRPr="00332AB5">
        <w:rPr>
          <w:sz w:val="24"/>
          <w:szCs w:val="24"/>
        </w:rPr>
        <w:t xml:space="preserve">U </w:t>
      </w:r>
      <w:r w:rsidR="002D2346" w:rsidRPr="00332AB5">
        <w:rPr>
          <w:sz w:val="24"/>
          <w:szCs w:val="24"/>
        </w:rPr>
        <w:t>početku</w:t>
      </w:r>
      <w:r w:rsidRPr="00332AB5">
        <w:rPr>
          <w:sz w:val="24"/>
          <w:szCs w:val="24"/>
        </w:rPr>
        <w:t xml:space="preserve"> provedbe IAKS mjera ruralnog razvoja (mjere 10, 11, 13, 14) odaziv korisnika</w:t>
      </w:r>
      <w:r w:rsidR="002D2346" w:rsidRPr="00332AB5">
        <w:rPr>
          <w:sz w:val="24"/>
          <w:szCs w:val="24"/>
        </w:rPr>
        <w:t xml:space="preserve"> je bio nedostatan</w:t>
      </w:r>
      <w:r w:rsidRPr="00332AB5">
        <w:rPr>
          <w:sz w:val="24"/>
          <w:szCs w:val="24"/>
        </w:rPr>
        <w:t xml:space="preserve"> u mjeri 10. </w:t>
      </w:r>
      <w:r w:rsidR="00D7154F" w:rsidRPr="00332AB5">
        <w:rPr>
          <w:sz w:val="24"/>
          <w:szCs w:val="24"/>
        </w:rPr>
        <w:t>MPOLJ</w:t>
      </w:r>
      <w:r w:rsidRPr="00332AB5">
        <w:rPr>
          <w:sz w:val="24"/>
          <w:szCs w:val="24"/>
        </w:rPr>
        <w:t xml:space="preserve"> je svake godine poduzimalo različite aktivnosti kako bi se potencijalni korisnici motivirali i odlučili na provedbu ove važne mjere. Najveći porast korisnika koji je podnio zahtjev za potporu za M10 je u 2019. te </w:t>
      </w:r>
      <w:r w:rsidR="00392A1D" w:rsidRPr="00332AB5">
        <w:rPr>
          <w:sz w:val="24"/>
          <w:szCs w:val="24"/>
        </w:rPr>
        <w:t xml:space="preserve">se </w:t>
      </w:r>
      <w:r w:rsidRPr="00332AB5">
        <w:rPr>
          <w:sz w:val="24"/>
          <w:szCs w:val="24"/>
        </w:rPr>
        <w:t>bilježi povećanje za 62</w:t>
      </w:r>
      <w:r w:rsidR="00B947D1" w:rsidRPr="00332AB5">
        <w:rPr>
          <w:sz w:val="24"/>
          <w:szCs w:val="24"/>
        </w:rPr>
        <w:t xml:space="preserve"> </w:t>
      </w:r>
      <w:r w:rsidRPr="00332AB5">
        <w:rPr>
          <w:sz w:val="24"/>
          <w:szCs w:val="24"/>
        </w:rPr>
        <w:t xml:space="preserve">% u odnosu na 2018., najviše zahvaljujući intenzivnoj promotivnoj kampanje na terenu </w:t>
      </w:r>
      <w:r w:rsidR="00B947D1" w:rsidRPr="00332AB5">
        <w:rPr>
          <w:sz w:val="24"/>
          <w:szCs w:val="24"/>
        </w:rPr>
        <w:t>„</w:t>
      </w:r>
      <w:r w:rsidRPr="00332AB5">
        <w:rPr>
          <w:sz w:val="24"/>
          <w:szCs w:val="24"/>
        </w:rPr>
        <w:t>Poljoprivrednik za 10</w:t>
      </w:r>
      <w:r w:rsidR="00B947D1" w:rsidRPr="00332AB5">
        <w:rPr>
          <w:sz w:val="24"/>
          <w:szCs w:val="24"/>
        </w:rPr>
        <w:t>“</w:t>
      </w:r>
      <w:r w:rsidRPr="00332AB5">
        <w:rPr>
          <w:sz w:val="24"/>
          <w:szCs w:val="24"/>
        </w:rPr>
        <w:t xml:space="preserve"> kojom se ciljano promovirala M10. U pripremi ove kampanje zajedno su sudjelovali </w:t>
      </w:r>
      <w:r w:rsidR="00D7154F" w:rsidRPr="00332AB5">
        <w:rPr>
          <w:sz w:val="24"/>
          <w:szCs w:val="24"/>
        </w:rPr>
        <w:t>MPOLJ</w:t>
      </w:r>
      <w:r w:rsidRPr="00332AB5">
        <w:rPr>
          <w:sz w:val="24"/>
          <w:szCs w:val="24"/>
        </w:rPr>
        <w:t xml:space="preserve">, </w:t>
      </w:r>
      <w:r w:rsidR="00392A1D" w:rsidRPr="00332AB5">
        <w:rPr>
          <w:sz w:val="24"/>
          <w:szCs w:val="24"/>
        </w:rPr>
        <w:t>S</w:t>
      </w:r>
      <w:r w:rsidRPr="00332AB5">
        <w:rPr>
          <w:sz w:val="24"/>
          <w:szCs w:val="24"/>
        </w:rPr>
        <w:t>avjetodavna služba, Agencija za plaćanja</w:t>
      </w:r>
      <w:r w:rsidR="00392A1D" w:rsidRPr="00332AB5">
        <w:rPr>
          <w:sz w:val="24"/>
          <w:szCs w:val="24"/>
        </w:rPr>
        <w:t xml:space="preserve"> u poljoprivredi, ribarstvu i ruralnom razvoju</w:t>
      </w:r>
      <w:r w:rsidRPr="00332AB5">
        <w:rPr>
          <w:sz w:val="24"/>
          <w:szCs w:val="24"/>
        </w:rPr>
        <w:t>, upravni odjeli za poljoprivredu jedinica regionalne i lokalne samouprave</w:t>
      </w:r>
      <w:r w:rsidR="00392A1D" w:rsidRPr="00332AB5">
        <w:rPr>
          <w:sz w:val="24"/>
          <w:szCs w:val="24"/>
        </w:rPr>
        <w:t>,</w:t>
      </w:r>
      <w:r w:rsidRPr="00332AB5">
        <w:rPr>
          <w:sz w:val="24"/>
          <w:szCs w:val="24"/>
        </w:rPr>
        <w:t xml:space="preserve"> kao i pojedine udruge poljoprivrednih proizvođača na području cijele RH.</w:t>
      </w:r>
    </w:p>
    <w:p w14:paraId="6D8D37C3" w14:textId="632E752B" w:rsidR="00B12ACB" w:rsidRPr="00332AB5" w:rsidRDefault="00881E43" w:rsidP="00080C75">
      <w:pPr>
        <w:spacing w:before="120"/>
        <w:jc w:val="both"/>
        <w:rPr>
          <w:sz w:val="24"/>
          <w:szCs w:val="24"/>
        </w:rPr>
      </w:pPr>
      <w:r w:rsidRPr="00332AB5">
        <w:rPr>
          <w:sz w:val="24"/>
          <w:szCs w:val="24"/>
        </w:rPr>
        <w:t xml:space="preserve">U 2021. </w:t>
      </w:r>
      <w:r w:rsidR="00A47F5E" w:rsidRPr="00332AB5">
        <w:rPr>
          <w:sz w:val="24"/>
          <w:szCs w:val="24"/>
        </w:rPr>
        <w:t xml:space="preserve">godini </w:t>
      </w:r>
      <w:r w:rsidRPr="00332AB5">
        <w:rPr>
          <w:sz w:val="24"/>
          <w:szCs w:val="24"/>
        </w:rPr>
        <w:t xml:space="preserve">u odnosu na 2020. </w:t>
      </w:r>
      <w:r w:rsidR="00A47F5E" w:rsidRPr="00332AB5">
        <w:rPr>
          <w:sz w:val="24"/>
          <w:szCs w:val="24"/>
        </w:rPr>
        <w:t xml:space="preserve">godinu </w:t>
      </w:r>
      <w:r w:rsidRPr="00332AB5">
        <w:rPr>
          <w:sz w:val="24"/>
          <w:szCs w:val="24"/>
        </w:rPr>
        <w:t>bilježi se daljnji porast korisnika koji su podnijeli zahtjev za mjeru 10 za 28 %, odnosno za 65 % ako se radi usporedba s brojem korisnika u 2019.</w:t>
      </w:r>
      <w:r w:rsidRPr="00332AB5">
        <w:t xml:space="preserve"> </w:t>
      </w:r>
      <w:r w:rsidR="00A47F5E" w:rsidRPr="00332AB5">
        <w:rPr>
          <w:sz w:val="24"/>
          <w:szCs w:val="24"/>
        </w:rPr>
        <w:t>godini.</w:t>
      </w:r>
      <w:r w:rsidR="00A47F5E" w:rsidRPr="00332AB5">
        <w:t xml:space="preserve"> </w:t>
      </w:r>
      <w:r w:rsidRPr="00332AB5">
        <w:rPr>
          <w:sz w:val="24"/>
          <w:szCs w:val="24"/>
        </w:rPr>
        <w:t xml:space="preserve">Preliminarni podaci o podnesenim zahtjevima za potporu za 2022. </w:t>
      </w:r>
      <w:r w:rsidR="00A47F5E" w:rsidRPr="00332AB5">
        <w:rPr>
          <w:sz w:val="24"/>
          <w:szCs w:val="24"/>
        </w:rPr>
        <w:t xml:space="preserve">godinu </w:t>
      </w:r>
      <w:r w:rsidRPr="00332AB5">
        <w:rPr>
          <w:sz w:val="24"/>
          <w:szCs w:val="24"/>
        </w:rPr>
        <w:t xml:space="preserve">pokazuju daljnji rast broja korisnika koji su podnijeli zahtjev za IAKS mjere ruralnog razvoja. </w:t>
      </w:r>
      <w:r w:rsidR="00166782" w:rsidRPr="00332AB5">
        <w:rPr>
          <w:sz w:val="24"/>
          <w:szCs w:val="24"/>
        </w:rPr>
        <w:t>Rezultat je to svakodnevnog informiranja od strane djelatnika Agencije za plaćanja</w:t>
      </w:r>
      <w:r w:rsidR="00392A1D" w:rsidRPr="00332AB5">
        <w:t xml:space="preserve"> </w:t>
      </w:r>
      <w:r w:rsidR="00392A1D" w:rsidRPr="00332AB5">
        <w:rPr>
          <w:sz w:val="24"/>
          <w:szCs w:val="24"/>
        </w:rPr>
        <w:t>u poljoprivredi, ribarstvu i ruralnom razvoju</w:t>
      </w:r>
      <w:r w:rsidR="00166782" w:rsidRPr="00332AB5">
        <w:rPr>
          <w:sz w:val="24"/>
          <w:szCs w:val="24"/>
        </w:rPr>
        <w:t xml:space="preserve">, </w:t>
      </w:r>
      <w:r w:rsidR="00D7154F" w:rsidRPr="00332AB5">
        <w:rPr>
          <w:sz w:val="24"/>
          <w:szCs w:val="24"/>
        </w:rPr>
        <w:t>MPOLJ</w:t>
      </w:r>
      <w:r w:rsidR="00166782" w:rsidRPr="00332AB5">
        <w:rPr>
          <w:sz w:val="24"/>
          <w:szCs w:val="24"/>
        </w:rPr>
        <w:t xml:space="preserve"> i Hrvatske agencije za poljoprivredu i hranu. </w:t>
      </w:r>
      <w:r w:rsidRPr="00332AB5">
        <w:rPr>
          <w:sz w:val="24"/>
          <w:szCs w:val="24"/>
        </w:rPr>
        <w:t>U ožujku 2022. tiskane</w:t>
      </w:r>
      <w:r w:rsidR="00CB6596" w:rsidRPr="00332AB5">
        <w:rPr>
          <w:sz w:val="24"/>
          <w:szCs w:val="24"/>
        </w:rPr>
        <w:t xml:space="preserve"> su i distribuirane brošure s najvažnijim podacima o provedbi IAKS mjera (brošura za mjere 10, 11 i 13 te posebna brošura za mjeru 14) ruralnog razvoja</w:t>
      </w:r>
      <w:r w:rsidR="00C8640E" w:rsidRPr="00332AB5">
        <w:rPr>
          <w:sz w:val="24"/>
          <w:szCs w:val="24"/>
        </w:rPr>
        <w:t>,</w:t>
      </w:r>
      <w:r w:rsidR="00CB6596" w:rsidRPr="00332AB5">
        <w:rPr>
          <w:sz w:val="24"/>
          <w:szCs w:val="24"/>
        </w:rPr>
        <w:t xml:space="preserve"> a iste su dostupne na mrežnim stranicama </w:t>
      </w:r>
      <w:r w:rsidR="00D7154F" w:rsidRPr="00332AB5">
        <w:rPr>
          <w:sz w:val="24"/>
          <w:szCs w:val="24"/>
        </w:rPr>
        <w:t>MPOLJ</w:t>
      </w:r>
      <w:r w:rsidR="009C25AF" w:rsidRPr="00332AB5">
        <w:rPr>
          <w:sz w:val="24"/>
          <w:szCs w:val="24"/>
        </w:rPr>
        <w:t xml:space="preserve"> s</w:t>
      </w:r>
      <w:r w:rsidR="00166782" w:rsidRPr="00332AB5">
        <w:rPr>
          <w:sz w:val="24"/>
          <w:szCs w:val="24"/>
        </w:rPr>
        <w:t xml:space="preserve"> ciljem dobivanja informacija o tome kako poboljšati provedbu anketirani su postojeći</w:t>
      </w:r>
      <w:r w:rsidR="000D2342" w:rsidRPr="00332AB5">
        <w:rPr>
          <w:sz w:val="24"/>
          <w:szCs w:val="24"/>
        </w:rPr>
        <w:t>,</w:t>
      </w:r>
      <w:r w:rsidR="00166782" w:rsidRPr="00332AB5">
        <w:rPr>
          <w:sz w:val="24"/>
          <w:szCs w:val="24"/>
        </w:rPr>
        <w:t xml:space="preserve"> kao i potencijalni korisnici.</w:t>
      </w:r>
    </w:p>
    <w:p w14:paraId="71774D24" w14:textId="330934D1" w:rsidR="009C25AF" w:rsidRPr="00332AB5" w:rsidRDefault="009C25AF" w:rsidP="009C25AF">
      <w:pPr>
        <w:spacing w:before="120"/>
        <w:jc w:val="both"/>
        <w:rPr>
          <w:sz w:val="24"/>
          <w:szCs w:val="24"/>
        </w:rPr>
      </w:pPr>
      <w:r w:rsidRPr="00332AB5">
        <w:rPr>
          <w:sz w:val="24"/>
          <w:szCs w:val="24"/>
        </w:rPr>
        <w:t xml:space="preserve">Tijekom druge polovice 2022. </w:t>
      </w:r>
      <w:r w:rsidR="00A47F5E" w:rsidRPr="00332AB5">
        <w:rPr>
          <w:sz w:val="24"/>
          <w:szCs w:val="24"/>
        </w:rPr>
        <w:t xml:space="preserve">godine </w:t>
      </w:r>
      <w:r w:rsidRPr="00332AB5">
        <w:rPr>
          <w:sz w:val="24"/>
          <w:szCs w:val="24"/>
        </w:rPr>
        <w:t>intenzivirale su se aktivnosti u vezi edukacija LAG-ovca i konzultacijskog procesa za pripremu LRS za razdoblje 2023. – 2027. godine.</w:t>
      </w:r>
    </w:p>
    <w:p w14:paraId="16450902" w14:textId="72AF9F9C" w:rsidR="009C25AF" w:rsidRPr="00332AB5" w:rsidRDefault="009C25AF" w:rsidP="00080C75">
      <w:pPr>
        <w:spacing w:before="120"/>
        <w:jc w:val="both"/>
        <w:rPr>
          <w:sz w:val="24"/>
          <w:szCs w:val="24"/>
        </w:rPr>
      </w:pPr>
      <w:r w:rsidRPr="00332AB5">
        <w:rPr>
          <w:sz w:val="24"/>
          <w:szCs w:val="24"/>
        </w:rPr>
        <w:lastRenderedPageBreak/>
        <w:t xml:space="preserve">Radi pojave prirodnih nepogoda, tijekom druge polovice 2022. godine, javila se potreba za objavom novog natječaja za tip operacije 5.2.1. „Obnova poljoprivrednog zemljišta i proizvodnog potencijala“ za dodjelu potpore za obnovu poljoprivrednog potencijala narušenog elementarnim i prirodnim nepogodama i katastrofalnim događajima. Isto tako, za poljoprivrednike koji nisu obnovili svoj poljoprivredni potencijal uništen potresom, objavljen je još jedan natječaj u kojima je predmet potpore bila obnova poljoprivrednog potencijala narušenog potresom 22. ožujka 2020. i potresima od 28. </w:t>
      </w:r>
      <w:r w:rsidR="004602EA" w:rsidRPr="00332AB5">
        <w:rPr>
          <w:sz w:val="24"/>
          <w:szCs w:val="24"/>
        </w:rPr>
        <w:t xml:space="preserve">i 29. </w:t>
      </w:r>
      <w:r w:rsidRPr="00332AB5">
        <w:rPr>
          <w:sz w:val="24"/>
          <w:szCs w:val="24"/>
        </w:rPr>
        <w:t>prosinca 2020. Cilj objavljenih natječaja bio je osigurati održivost poljoprivredne proizvodnje i izvor prihoda stanovništvu ruralnih prostora, kako bi se spriječilo propadanje poljoprivrednih gospodarstava i iseljavanje iz potresom pogođenog područja.</w:t>
      </w:r>
    </w:p>
    <w:p w14:paraId="707D6BA9" w14:textId="04A55E8D" w:rsidR="004B5356" w:rsidRPr="00332AB5" w:rsidRDefault="004B5356" w:rsidP="004B5356">
      <w:pPr>
        <w:spacing w:before="120"/>
        <w:jc w:val="both"/>
        <w:rPr>
          <w:sz w:val="24"/>
          <w:szCs w:val="24"/>
        </w:rPr>
      </w:pPr>
      <w:r w:rsidRPr="00332AB5">
        <w:rPr>
          <w:sz w:val="24"/>
          <w:szCs w:val="24"/>
        </w:rPr>
        <w:t xml:space="preserve">Mrežna stranica jedan je od najvažnijih komunikacijskih alata te bilježi iznimnu posjećenost. Na Facebook stranici Programa ruralnog razvoja od 1. siječnja do 30. lipnja bilo je 57 objava, dobiveno je 550 novih pratitelja, a paralelno su korištene i društvene mreže Twitter i LinkedIn. Također, kampanje na radio postajama su se pokazale kao jedan od najučinkovitijih alata za dijeljenje informacija za potencijalne korisnike i opću javnost. U prvoj polovici 2023. godini na radiju je provedena kampanja za izravna plaćanja i IAKS mjere. </w:t>
      </w:r>
    </w:p>
    <w:p w14:paraId="16981CB8" w14:textId="4D6CDD00" w:rsidR="004B5356" w:rsidRPr="00332AB5" w:rsidRDefault="004B5356" w:rsidP="004B5356">
      <w:pPr>
        <w:spacing w:before="120"/>
        <w:jc w:val="both"/>
        <w:rPr>
          <w:sz w:val="24"/>
          <w:szCs w:val="24"/>
        </w:rPr>
      </w:pPr>
      <w:r w:rsidRPr="00332AB5">
        <w:rPr>
          <w:sz w:val="24"/>
          <w:szCs w:val="24"/>
        </w:rPr>
        <w:t>Također, 2023. godine održano je niz radionica i to za potencijalne korisnike podmjere 4.2, više radionica za LAG-ove i korisnike izravnih plaćanja i IAKS mjera ruralnog razvoja te za agrarne novinare.</w:t>
      </w:r>
    </w:p>
    <w:p w14:paraId="3A03AF46" w14:textId="3A67D511" w:rsidR="004B5356" w:rsidRPr="00332AB5" w:rsidRDefault="004B5356" w:rsidP="004B5356">
      <w:pPr>
        <w:spacing w:before="120"/>
        <w:jc w:val="both"/>
        <w:rPr>
          <w:sz w:val="24"/>
          <w:szCs w:val="24"/>
        </w:rPr>
      </w:pPr>
      <w:r w:rsidRPr="00332AB5">
        <w:rPr>
          <w:sz w:val="24"/>
          <w:szCs w:val="24"/>
        </w:rPr>
        <w:t>Pozivni centar namijenjen informiranju potencijalnih korisnika o mogućnostima financiranja PRR RH/SP ZPP djeluje kontinuirano kroz godinu.</w:t>
      </w:r>
    </w:p>
    <w:p w14:paraId="13F1D5E2" w14:textId="658853CC" w:rsidR="00DB12CC" w:rsidRPr="00332AB5" w:rsidRDefault="00B12ACB" w:rsidP="004B5356">
      <w:pPr>
        <w:spacing w:before="120"/>
        <w:jc w:val="both"/>
        <w:rPr>
          <w:bCs/>
          <w:sz w:val="24"/>
          <w:szCs w:val="24"/>
        </w:rPr>
      </w:pPr>
      <w:r w:rsidRPr="00332AB5">
        <w:rPr>
          <w:bCs/>
          <w:sz w:val="24"/>
          <w:szCs w:val="24"/>
        </w:rPr>
        <w:t xml:space="preserve">Od sredine 2018. </w:t>
      </w:r>
      <w:r w:rsidR="004816E7" w:rsidRPr="00332AB5">
        <w:rPr>
          <w:bCs/>
          <w:sz w:val="24"/>
          <w:szCs w:val="24"/>
        </w:rPr>
        <w:t xml:space="preserve">godine </w:t>
      </w:r>
      <w:r w:rsidRPr="00332AB5">
        <w:rPr>
          <w:bCs/>
          <w:sz w:val="24"/>
          <w:szCs w:val="24"/>
        </w:rPr>
        <w:t xml:space="preserve">pokrenuti su i financijski instrumenti u okviru mjera 4, 6 i 8 kojima se </w:t>
      </w:r>
      <w:r w:rsidR="002D2346" w:rsidRPr="00332AB5">
        <w:rPr>
          <w:bCs/>
          <w:sz w:val="24"/>
          <w:szCs w:val="24"/>
        </w:rPr>
        <w:t>potencijalnim krajnjim primateljima iz sektora poljoprivrede, prerade i šumarstva</w:t>
      </w:r>
      <w:r w:rsidRPr="00332AB5">
        <w:rPr>
          <w:bCs/>
          <w:sz w:val="24"/>
          <w:szCs w:val="24"/>
        </w:rPr>
        <w:t xml:space="preserve"> putem financijskih posrednika (HAMAG-BICRO i HBOR) nude izuzetno povoljna kreditna sredstva i zajmovi od svega 0,1</w:t>
      </w:r>
      <w:r w:rsidR="00392A1D" w:rsidRPr="00332AB5">
        <w:rPr>
          <w:bCs/>
          <w:sz w:val="24"/>
          <w:szCs w:val="24"/>
        </w:rPr>
        <w:t xml:space="preserve"> </w:t>
      </w:r>
      <w:r w:rsidRPr="00332AB5">
        <w:rPr>
          <w:bCs/>
          <w:sz w:val="24"/>
          <w:szCs w:val="24"/>
        </w:rPr>
        <w:t xml:space="preserve">% do </w:t>
      </w:r>
      <w:r w:rsidR="00166782" w:rsidRPr="00332AB5">
        <w:rPr>
          <w:bCs/>
          <w:sz w:val="24"/>
          <w:szCs w:val="24"/>
        </w:rPr>
        <w:t>0,5</w:t>
      </w:r>
      <w:r w:rsidR="00392A1D" w:rsidRPr="00332AB5">
        <w:rPr>
          <w:bCs/>
          <w:sz w:val="24"/>
          <w:szCs w:val="24"/>
        </w:rPr>
        <w:t xml:space="preserve"> </w:t>
      </w:r>
      <w:r w:rsidRPr="00332AB5">
        <w:rPr>
          <w:bCs/>
          <w:sz w:val="24"/>
          <w:szCs w:val="24"/>
        </w:rPr>
        <w:t>% kamate</w:t>
      </w:r>
      <w:r w:rsidR="002D2346" w:rsidRPr="00332AB5">
        <w:rPr>
          <w:bCs/>
          <w:sz w:val="24"/>
          <w:szCs w:val="24"/>
        </w:rPr>
        <w:t>, odnosno stopa jamstva do 80</w:t>
      </w:r>
      <w:r w:rsidR="00116A45" w:rsidRPr="00332AB5">
        <w:rPr>
          <w:bCs/>
          <w:sz w:val="24"/>
          <w:szCs w:val="24"/>
        </w:rPr>
        <w:t xml:space="preserve"> </w:t>
      </w:r>
      <w:r w:rsidR="002D2346" w:rsidRPr="00332AB5">
        <w:rPr>
          <w:bCs/>
          <w:sz w:val="24"/>
          <w:szCs w:val="24"/>
        </w:rPr>
        <w:t xml:space="preserve">%. </w:t>
      </w:r>
      <w:r w:rsidRPr="00332AB5">
        <w:rPr>
          <w:bCs/>
          <w:sz w:val="24"/>
          <w:szCs w:val="24"/>
        </w:rPr>
        <w:t xml:space="preserve">Financijski instrumenti koji su dostupni krajnjim primateljima su: </w:t>
      </w:r>
      <w:r w:rsidR="002D2346" w:rsidRPr="00332AB5">
        <w:rPr>
          <w:bCs/>
          <w:sz w:val="24"/>
          <w:szCs w:val="24"/>
        </w:rPr>
        <w:t>P</w:t>
      </w:r>
      <w:r w:rsidRPr="00332AB5">
        <w:rPr>
          <w:bCs/>
          <w:sz w:val="24"/>
          <w:szCs w:val="24"/>
        </w:rPr>
        <w:t xml:space="preserve">ojedinačno jamstvo za ruralni razvoj, </w:t>
      </w:r>
      <w:r w:rsidR="002D2346" w:rsidRPr="00332AB5">
        <w:rPr>
          <w:bCs/>
          <w:sz w:val="24"/>
          <w:szCs w:val="24"/>
        </w:rPr>
        <w:t>M</w:t>
      </w:r>
      <w:r w:rsidRPr="00332AB5">
        <w:rPr>
          <w:bCs/>
          <w:sz w:val="24"/>
          <w:szCs w:val="24"/>
        </w:rPr>
        <w:t xml:space="preserve">ikro </w:t>
      </w:r>
      <w:r w:rsidR="002D2346" w:rsidRPr="00332AB5">
        <w:rPr>
          <w:bCs/>
          <w:sz w:val="24"/>
          <w:szCs w:val="24"/>
        </w:rPr>
        <w:t>zajmovi za ruralni razvoj, Mikro zajmovi za obrtna sredstva za ruralni razvoj te M</w:t>
      </w:r>
      <w:r w:rsidRPr="00332AB5">
        <w:rPr>
          <w:bCs/>
          <w:sz w:val="24"/>
          <w:szCs w:val="24"/>
        </w:rPr>
        <w:t xml:space="preserve">ali zajmovi za ruralni razvoj koje provodi HAMAG-BICRO i </w:t>
      </w:r>
      <w:r w:rsidR="002D2346" w:rsidRPr="00332AB5">
        <w:rPr>
          <w:bCs/>
          <w:sz w:val="24"/>
          <w:szCs w:val="24"/>
        </w:rPr>
        <w:t>I</w:t>
      </w:r>
      <w:r w:rsidRPr="00332AB5">
        <w:rPr>
          <w:bCs/>
          <w:sz w:val="24"/>
          <w:szCs w:val="24"/>
        </w:rPr>
        <w:t xml:space="preserve">nvesticijski krediti za ruralni razvoj </w:t>
      </w:r>
      <w:r w:rsidR="00DB12CC" w:rsidRPr="00332AB5">
        <w:rPr>
          <w:bCs/>
          <w:sz w:val="24"/>
          <w:szCs w:val="24"/>
        </w:rPr>
        <w:t xml:space="preserve">te Obrtna sredstva za ruralni razvoj </w:t>
      </w:r>
      <w:r w:rsidRPr="00332AB5">
        <w:rPr>
          <w:bCs/>
          <w:sz w:val="24"/>
          <w:szCs w:val="24"/>
        </w:rPr>
        <w:t>koje provodi HBO</w:t>
      </w:r>
      <w:r w:rsidR="001C3462" w:rsidRPr="00332AB5">
        <w:rPr>
          <w:bCs/>
          <w:sz w:val="24"/>
          <w:szCs w:val="24"/>
        </w:rPr>
        <w:t>R.</w:t>
      </w:r>
      <w:r w:rsidR="00166782" w:rsidRPr="00332AB5">
        <w:t xml:space="preserve"> </w:t>
      </w:r>
      <w:r w:rsidR="00DB12CC" w:rsidRPr="00332AB5">
        <w:rPr>
          <w:bCs/>
          <w:sz w:val="24"/>
          <w:szCs w:val="24"/>
        </w:rPr>
        <w:t>F</w:t>
      </w:r>
      <w:r w:rsidR="00166782" w:rsidRPr="00332AB5">
        <w:rPr>
          <w:bCs/>
          <w:sz w:val="24"/>
          <w:szCs w:val="24"/>
        </w:rPr>
        <w:t xml:space="preserve">inancijski instrumenti namijenjeni financiranju obrtnih sredstava potrebnih za neometano odvijanje proizvodnje i financiranje tekućeg poslovanja za prihvatljive krajnje primatelje pogođene </w:t>
      </w:r>
      <w:r w:rsidR="00B754AA" w:rsidRPr="00332AB5">
        <w:rPr>
          <w:sz w:val="24"/>
          <w:szCs w:val="24"/>
        </w:rPr>
        <w:t>epidemijom virusa SARS-CoV-2</w:t>
      </w:r>
      <w:r w:rsidR="00166782" w:rsidRPr="00332AB5">
        <w:rPr>
          <w:bCs/>
          <w:sz w:val="24"/>
          <w:szCs w:val="24"/>
        </w:rPr>
        <w:t xml:space="preserve"> </w:t>
      </w:r>
      <w:r w:rsidR="00DB12CC" w:rsidRPr="00332AB5">
        <w:rPr>
          <w:bCs/>
          <w:sz w:val="24"/>
          <w:szCs w:val="24"/>
        </w:rPr>
        <w:t>pokrenuti su od sredine 2020.</w:t>
      </w:r>
    </w:p>
    <w:p w14:paraId="098D7BD2" w14:textId="50597BDE" w:rsidR="00B12ACB" w:rsidRPr="00332AB5" w:rsidRDefault="00B12ACB" w:rsidP="00080C75">
      <w:pPr>
        <w:spacing w:before="120"/>
        <w:jc w:val="both"/>
        <w:rPr>
          <w:sz w:val="24"/>
          <w:szCs w:val="24"/>
        </w:rPr>
      </w:pPr>
      <w:r w:rsidRPr="00332AB5">
        <w:rPr>
          <w:sz w:val="24"/>
          <w:szCs w:val="24"/>
        </w:rPr>
        <w:t>Posljednjih nekoliko godina uložen je dodatni napor kako bi se skratile procedure obrade prijava na natječaje iz P</w:t>
      </w:r>
      <w:r w:rsidR="00392A1D" w:rsidRPr="00332AB5">
        <w:rPr>
          <w:sz w:val="24"/>
          <w:szCs w:val="24"/>
        </w:rPr>
        <w:t>RR-a</w:t>
      </w:r>
      <w:r w:rsidRPr="00332AB5">
        <w:rPr>
          <w:sz w:val="24"/>
          <w:szCs w:val="24"/>
        </w:rPr>
        <w:t>, uvedena su administrativna rasterećenja i ubrzan je proces dodjele sredstava, a rezultat toga je i visoki stupanj iskorištenosti.</w:t>
      </w:r>
    </w:p>
    <w:p w14:paraId="13D3D380" w14:textId="18A0A608" w:rsidR="00B12ACB" w:rsidRPr="00332AB5" w:rsidRDefault="00310FA2" w:rsidP="00984692">
      <w:pPr>
        <w:spacing w:before="120" w:after="120"/>
        <w:jc w:val="both"/>
        <w:rPr>
          <w:sz w:val="24"/>
          <w:szCs w:val="24"/>
        </w:rPr>
      </w:pPr>
      <w:hyperlink r:id="rId23" w:tgtFrame="_blank" w:history="1">
        <w:r w:rsidR="00B12ACB" w:rsidRPr="00332AB5">
          <w:rPr>
            <w:rStyle w:val="Hyperlink"/>
            <w:color w:val="auto"/>
            <w:sz w:val="24"/>
            <w:szCs w:val="24"/>
            <w:u w:val="none"/>
          </w:rPr>
          <w:t>Temeljem novog Pravilnika o provedbi mjera Programa ruralnog razvoja Republike Hrvatske za razdoblje 2014. – 2020.</w:t>
        </w:r>
      </w:hyperlink>
      <w:r w:rsidR="00B12ACB" w:rsidRPr="00332AB5">
        <w:rPr>
          <w:sz w:val="24"/>
          <w:szCs w:val="24"/>
        </w:rPr>
        <w:t xml:space="preserve"> (</w:t>
      </w:r>
      <w:r w:rsidR="00392A1D" w:rsidRPr="00332AB5">
        <w:rPr>
          <w:sz w:val="24"/>
          <w:szCs w:val="24"/>
        </w:rPr>
        <w:t>„</w:t>
      </w:r>
      <w:r w:rsidR="00B12ACB" w:rsidRPr="00332AB5">
        <w:rPr>
          <w:sz w:val="24"/>
          <w:szCs w:val="24"/>
        </w:rPr>
        <w:t>Narodne novine</w:t>
      </w:r>
      <w:r w:rsidR="00392A1D" w:rsidRPr="00332AB5">
        <w:rPr>
          <w:sz w:val="24"/>
          <w:szCs w:val="24"/>
        </w:rPr>
        <w:t>“,</w:t>
      </w:r>
      <w:r w:rsidR="00B12ACB" w:rsidRPr="00332AB5">
        <w:rPr>
          <w:sz w:val="24"/>
          <w:szCs w:val="24"/>
        </w:rPr>
        <w:t xml:space="preserve"> </w:t>
      </w:r>
      <w:r w:rsidR="00AA7D06" w:rsidRPr="00332AB5">
        <w:rPr>
          <w:sz w:val="24"/>
          <w:szCs w:val="24"/>
        </w:rPr>
        <w:t>broj:</w:t>
      </w:r>
      <w:r w:rsidR="00B12ACB" w:rsidRPr="00332AB5">
        <w:rPr>
          <w:sz w:val="24"/>
          <w:szCs w:val="24"/>
        </w:rPr>
        <w:t xml:space="preserve"> 91/19</w:t>
      </w:r>
      <w:r w:rsidR="00392A1D" w:rsidRPr="00332AB5">
        <w:rPr>
          <w:sz w:val="24"/>
          <w:szCs w:val="24"/>
        </w:rPr>
        <w:t>.</w:t>
      </w:r>
      <w:r w:rsidR="00B12ACB" w:rsidRPr="00332AB5">
        <w:rPr>
          <w:sz w:val="24"/>
          <w:szCs w:val="24"/>
        </w:rPr>
        <w:t>, 37/20</w:t>
      </w:r>
      <w:r w:rsidR="00392A1D" w:rsidRPr="00332AB5">
        <w:rPr>
          <w:sz w:val="24"/>
          <w:szCs w:val="24"/>
        </w:rPr>
        <w:t>.</w:t>
      </w:r>
      <w:r w:rsidR="00DA40E4" w:rsidRPr="00332AB5">
        <w:rPr>
          <w:sz w:val="24"/>
          <w:szCs w:val="24"/>
        </w:rPr>
        <w:t>,</w:t>
      </w:r>
      <w:r w:rsidR="001A5F9C" w:rsidRPr="00332AB5">
        <w:rPr>
          <w:sz w:val="24"/>
          <w:szCs w:val="24"/>
        </w:rPr>
        <w:t xml:space="preserve"> </w:t>
      </w:r>
      <w:r w:rsidR="00CB6596" w:rsidRPr="00332AB5">
        <w:rPr>
          <w:sz w:val="24"/>
          <w:szCs w:val="24"/>
        </w:rPr>
        <w:t>31/21</w:t>
      </w:r>
      <w:r w:rsidR="00392A1D" w:rsidRPr="00332AB5">
        <w:rPr>
          <w:sz w:val="24"/>
          <w:szCs w:val="24"/>
        </w:rPr>
        <w:t>.</w:t>
      </w:r>
      <w:r w:rsidR="004B5356" w:rsidRPr="00332AB5">
        <w:rPr>
          <w:sz w:val="24"/>
          <w:szCs w:val="24"/>
        </w:rPr>
        <w:t>,</w:t>
      </w:r>
      <w:r w:rsidR="00DA40E4" w:rsidRPr="00332AB5">
        <w:rPr>
          <w:sz w:val="24"/>
          <w:szCs w:val="24"/>
        </w:rPr>
        <w:t xml:space="preserve"> 134/21</w:t>
      </w:r>
      <w:r w:rsidR="001A5F9C" w:rsidRPr="00332AB5">
        <w:rPr>
          <w:sz w:val="24"/>
          <w:szCs w:val="24"/>
        </w:rPr>
        <w:t>.</w:t>
      </w:r>
      <w:r w:rsidR="004B5356" w:rsidRPr="00332AB5">
        <w:rPr>
          <w:sz w:val="24"/>
          <w:szCs w:val="24"/>
        </w:rPr>
        <w:t xml:space="preserve"> i 10/23.</w:t>
      </w:r>
      <w:r w:rsidR="00B12ACB" w:rsidRPr="00332AB5">
        <w:rPr>
          <w:sz w:val="24"/>
          <w:szCs w:val="24"/>
        </w:rPr>
        <w:t>) svi se natječaji</w:t>
      </w:r>
      <w:r w:rsidR="00392A1D" w:rsidRPr="00332AB5">
        <w:rPr>
          <w:sz w:val="24"/>
          <w:szCs w:val="24"/>
        </w:rPr>
        <w:t>,</w:t>
      </w:r>
      <w:r w:rsidR="00B12ACB" w:rsidRPr="00332AB5">
        <w:rPr>
          <w:sz w:val="24"/>
          <w:szCs w:val="24"/>
        </w:rPr>
        <w:t xml:space="preserve"> prethodno objavi od strane Agencije za plaćanja u poljoprivredi, ribarstvu i ruralnom razvoju</w:t>
      </w:r>
      <w:r w:rsidR="00392A1D" w:rsidRPr="00332AB5">
        <w:rPr>
          <w:sz w:val="24"/>
          <w:szCs w:val="24"/>
        </w:rPr>
        <w:t>,</w:t>
      </w:r>
      <w:r w:rsidR="00B12ACB" w:rsidRPr="00332AB5">
        <w:rPr>
          <w:sz w:val="24"/>
          <w:szCs w:val="24"/>
        </w:rPr>
        <w:t xml:space="preserve"> objavljuju na </w:t>
      </w:r>
      <w:r w:rsidR="00CB6596" w:rsidRPr="00332AB5">
        <w:rPr>
          <w:sz w:val="24"/>
          <w:szCs w:val="24"/>
        </w:rPr>
        <w:t>portalu</w:t>
      </w:r>
      <w:r w:rsidR="00B12ACB" w:rsidRPr="00332AB5">
        <w:rPr>
          <w:sz w:val="24"/>
          <w:szCs w:val="24"/>
        </w:rPr>
        <w:t xml:space="preserve"> e-savjetovanja kako </w:t>
      </w:r>
      <w:r w:rsidR="00B12ACB" w:rsidRPr="00332AB5">
        <w:rPr>
          <w:sz w:val="24"/>
          <w:szCs w:val="24"/>
        </w:rPr>
        <w:lastRenderedPageBreak/>
        <w:t>bi korisnici i svi ostali dionici mogli aktivno, transparentno i pravovremeno sudjelovati u kreiranju natječajnih pravila. Na taj način U</w:t>
      </w:r>
      <w:r w:rsidR="00392A1D" w:rsidRPr="00332AB5">
        <w:rPr>
          <w:sz w:val="24"/>
          <w:szCs w:val="24"/>
        </w:rPr>
        <w:t>T</w:t>
      </w:r>
      <w:r w:rsidR="00B12ACB" w:rsidRPr="00332AB5">
        <w:rPr>
          <w:sz w:val="24"/>
          <w:szCs w:val="24"/>
        </w:rPr>
        <w:t xml:space="preserve"> uključuje potencijalne korisnike i konzultante u proces kreiranja što jasnije propisanih odredbi natječaja, razmatrajući sve zaprimljene primjedbe i komentare temeljem kojih se natječaj finalizira za objavu. Dodatno, korisnicima je na ovaj način na raspolaganju još više vremena za pripremu kvalitetnih prijava.</w:t>
      </w:r>
    </w:p>
    <w:p w14:paraId="40658F6B" w14:textId="7C2383BE" w:rsidR="001C3462" w:rsidRPr="00332AB5" w:rsidRDefault="001C3462" w:rsidP="00B12ACB">
      <w:pPr>
        <w:jc w:val="both"/>
        <w:rPr>
          <w:sz w:val="24"/>
          <w:szCs w:val="24"/>
        </w:rPr>
      </w:pPr>
    </w:p>
    <w:p w14:paraId="0A87D758" w14:textId="7613EE61" w:rsidR="008D6B07" w:rsidRPr="00332AB5" w:rsidRDefault="008D6B07" w:rsidP="008D6B07">
      <w:pPr>
        <w:spacing w:before="120" w:after="120"/>
        <w:jc w:val="both"/>
        <w:rPr>
          <w:sz w:val="24"/>
          <w:szCs w:val="24"/>
        </w:rPr>
      </w:pPr>
      <w:r w:rsidRPr="00332AB5">
        <w:rPr>
          <w:sz w:val="24"/>
          <w:szCs w:val="24"/>
        </w:rPr>
        <w:t>OPERATIVNI PROGRAM ZA POMORSTVO I RIBARSTVO REPUBLIKE HRVATSKE ZA PROGRAMSKO RAZDOBLJE 2014.</w:t>
      </w:r>
      <w:r w:rsidR="00312286" w:rsidRPr="00332AB5">
        <w:rPr>
          <w:sz w:val="24"/>
          <w:szCs w:val="24"/>
        </w:rPr>
        <w:t xml:space="preserve"> </w:t>
      </w:r>
      <w:r w:rsidRPr="00332AB5">
        <w:rPr>
          <w:sz w:val="24"/>
          <w:szCs w:val="24"/>
        </w:rPr>
        <w:t>-</w:t>
      </w:r>
      <w:r w:rsidR="00312286" w:rsidRPr="00332AB5">
        <w:rPr>
          <w:sz w:val="24"/>
          <w:szCs w:val="24"/>
        </w:rPr>
        <w:t xml:space="preserve"> </w:t>
      </w:r>
      <w:r w:rsidRPr="00332AB5">
        <w:rPr>
          <w:sz w:val="24"/>
          <w:szCs w:val="24"/>
        </w:rPr>
        <w:t>2020.</w:t>
      </w:r>
    </w:p>
    <w:p w14:paraId="185D0D6F" w14:textId="5AAC67EA" w:rsidR="008D6B07" w:rsidRPr="00332AB5" w:rsidRDefault="008D6B07" w:rsidP="008D6B07">
      <w:pPr>
        <w:spacing w:before="120" w:after="120"/>
        <w:jc w:val="both"/>
        <w:rPr>
          <w:sz w:val="24"/>
          <w:szCs w:val="24"/>
        </w:rPr>
      </w:pPr>
      <w:r w:rsidRPr="00332AB5">
        <w:rPr>
          <w:sz w:val="24"/>
          <w:szCs w:val="24"/>
        </w:rPr>
        <w:t xml:space="preserve">U okviru Vrednovanja učinkovitosti i djelotvornosti </w:t>
      </w:r>
      <w:r w:rsidR="002A2D38" w:rsidRPr="00332AB5">
        <w:rPr>
          <w:sz w:val="24"/>
          <w:szCs w:val="24"/>
        </w:rPr>
        <w:t>OPPiR-a</w:t>
      </w:r>
      <w:r w:rsidRPr="00332AB5">
        <w:rPr>
          <w:sz w:val="24"/>
          <w:szCs w:val="24"/>
        </w:rPr>
        <w:t xml:space="preserve"> provedenog u prethodnim izvještajnim razdobljima, a nastavno na sveobuhvatnu analizu i zaključke provedene evaluacije, donesen je sljedeći niz preporuka za poboljšanje daljnje provedbe OPPiR-a:</w:t>
      </w:r>
    </w:p>
    <w:p w14:paraId="44D91339" w14:textId="2248F13D" w:rsidR="008D6B07" w:rsidRPr="00332AB5" w:rsidRDefault="00DF3A02">
      <w:pPr>
        <w:numPr>
          <w:ilvl w:val="0"/>
          <w:numId w:val="19"/>
        </w:numPr>
        <w:spacing w:before="120" w:after="120"/>
        <w:jc w:val="both"/>
        <w:rPr>
          <w:sz w:val="24"/>
          <w:szCs w:val="24"/>
        </w:rPr>
      </w:pPr>
      <w:r w:rsidRPr="00332AB5">
        <w:rPr>
          <w:sz w:val="24"/>
          <w:szCs w:val="24"/>
        </w:rPr>
        <w:t>u</w:t>
      </w:r>
      <w:r w:rsidR="008D6B07" w:rsidRPr="00332AB5">
        <w:rPr>
          <w:sz w:val="24"/>
          <w:szCs w:val="24"/>
        </w:rPr>
        <w:t>naprijediti praćenje pokazatelja zaposlenosti i neto dobiti, posebice u sektoru akvakulture, na način da se postizanje pokazatelja može direktno povezati s potporom iz OPPiR-a (mjeriti konkretan učinak potpore)</w:t>
      </w:r>
    </w:p>
    <w:p w14:paraId="56C33883" w14:textId="5AC7D125" w:rsidR="008D6B07" w:rsidRPr="00332AB5" w:rsidRDefault="00DF3A02">
      <w:pPr>
        <w:numPr>
          <w:ilvl w:val="0"/>
          <w:numId w:val="19"/>
        </w:numPr>
        <w:spacing w:before="120" w:after="120"/>
        <w:jc w:val="both"/>
        <w:rPr>
          <w:sz w:val="24"/>
          <w:szCs w:val="24"/>
        </w:rPr>
      </w:pPr>
      <w:r w:rsidRPr="00332AB5">
        <w:rPr>
          <w:sz w:val="24"/>
          <w:szCs w:val="24"/>
        </w:rPr>
        <w:t>d</w:t>
      </w:r>
      <w:r w:rsidR="008D6B07" w:rsidRPr="00332AB5">
        <w:rPr>
          <w:sz w:val="24"/>
          <w:szCs w:val="24"/>
        </w:rPr>
        <w:t>odatno unaprijediti sustav kontrole iskrcaja i povećati postotak kontroliranih iskrcaja</w:t>
      </w:r>
    </w:p>
    <w:p w14:paraId="1A5BEC62" w14:textId="294C64C8" w:rsidR="008D6B07" w:rsidRPr="00332AB5" w:rsidRDefault="00DF3A02">
      <w:pPr>
        <w:numPr>
          <w:ilvl w:val="0"/>
          <w:numId w:val="19"/>
        </w:numPr>
        <w:spacing w:before="120" w:after="120"/>
        <w:jc w:val="both"/>
        <w:rPr>
          <w:sz w:val="24"/>
          <w:szCs w:val="24"/>
        </w:rPr>
      </w:pPr>
      <w:r w:rsidRPr="00332AB5">
        <w:rPr>
          <w:sz w:val="24"/>
          <w:szCs w:val="24"/>
        </w:rPr>
        <w:t>p</w:t>
      </w:r>
      <w:r w:rsidR="008D6B07" w:rsidRPr="00332AB5">
        <w:rPr>
          <w:sz w:val="24"/>
          <w:szCs w:val="24"/>
        </w:rPr>
        <w:t>oticati dodatno udruživanje proizvođača u organizacije proizvođača, ali i stvaranje udruženja organizacija proizvođača te međugranskih organizacija te pratiti i mjeriti konkretne koristi koje članice imaju od udruživanja</w:t>
      </w:r>
    </w:p>
    <w:p w14:paraId="53882991" w14:textId="02205CE9" w:rsidR="008D6B07" w:rsidRPr="00332AB5" w:rsidRDefault="00DF3A02">
      <w:pPr>
        <w:numPr>
          <w:ilvl w:val="0"/>
          <w:numId w:val="19"/>
        </w:numPr>
        <w:spacing w:before="120" w:after="120"/>
        <w:jc w:val="both"/>
        <w:rPr>
          <w:sz w:val="24"/>
          <w:szCs w:val="24"/>
        </w:rPr>
      </w:pPr>
      <w:r w:rsidRPr="00332AB5">
        <w:rPr>
          <w:sz w:val="24"/>
          <w:szCs w:val="24"/>
        </w:rPr>
        <w:t>p</w:t>
      </w:r>
      <w:r w:rsidR="008D6B07" w:rsidRPr="00332AB5">
        <w:rPr>
          <w:sz w:val="24"/>
          <w:szCs w:val="24"/>
        </w:rPr>
        <w:t>oticati druge oblike udruživanja i suradnje subjekata u ribarstvu i akvakulturi, primjerice kroz klastere ili druga interesna udruživanja većih i manjih gospodarskih subjekata</w:t>
      </w:r>
    </w:p>
    <w:p w14:paraId="29AF81D5" w14:textId="41F52A4D" w:rsidR="008D6B07" w:rsidRPr="00332AB5" w:rsidRDefault="00DF3A02">
      <w:pPr>
        <w:numPr>
          <w:ilvl w:val="0"/>
          <w:numId w:val="19"/>
        </w:numPr>
        <w:spacing w:before="120" w:after="120"/>
        <w:jc w:val="both"/>
        <w:rPr>
          <w:sz w:val="24"/>
          <w:szCs w:val="24"/>
        </w:rPr>
      </w:pPr>
      <w:r w:rsidRPr="00332AB5">
        <w:rPr>
          <w:sz w:val="24"/>
          <w:szCs w:val="24"/>
        </w:rPr>
        <w:t>r</w:t>
      </w:r>
      <w:r w:rsidR="008D6B07" w:rsidRPr="00332AB5">
        <w:rPr>
          <w:sz w:val="24"/>
          <w:szCs w:val="24"/>
        </w:rPr>
        <w:t xml:space="preserve">azmisliti o subvenciji skupljanja morskog otpada (posebice od strane koćara), npr. kao mjeru </w:t>
      </w:r>
      <w:r w:rsidR="00B754AA" w:rsidRPr="00332AB5">
        <w:rPr>
          <w:sz w:val="24"/>
          <w:szCs w:val="24"/>
        </w:rPr>
        <w:t>Lokalnih razvojnih strategija u ribarstvu (u daljnjem tekstu: LRSR)</w:t>
      </w:r>
    </w:p>
    <w:p w14:paraId="4D14A045" w14:textId="054F363E" w:rsidR="008D6B07" w:rsidRPr="00332AB5" w:rsidRDefault="00DF3A02">
      <w:pPr>
        <w:numPr>
          <w:ilvl w:val="0"/>
          <w:numId w:val="19"/>
        </w:numPr>
        <w:spacing w:before="120" w:after="120"/>
        <w:jc w:val="both"/>
        <w:rPr>
          <w:sz w:val="24"/>
          <w:szCs w:val="24"/>
        </w:rPr>
      </w:pPr>
      <w:r w:rsidRPr="00332AB5">
        <w:rPr>
          <w:sz w:val="24"/>
          <w:szCs w:val="24"/>
        </w:rPr>
        <w:t>s</w:t>
      </w:r>
      <w:r w:rsidR="008D6B07" w:rsidRPr="00332AB5">
        <w:rPr>
          <w:sz w:val="24"/>
          <w:szCs w:val="24"/>
        </w:rPr>
        <w:t xml:space="preserve"> dodatnom pozornošću pratiti mjere i pokazatelje koji se odnose na zaštitu okoliša (prioritet Unije 2, specifični ciljevi 2 i 3) te povećanje zaposlenosti i teritorijalne kohezije (prioritet Unije 4)</w:t>
      </w:r>
    </w:p>
    <w:p w14:paraId="2B555361" w14:textId="2F7F37AB" w:rsidR="008D6B07" w:rsidRPr="00332AB5" w:rsidRDefault="00DF3A02">
      <w:pPr>
        <w:numPr>
          <w:ilvl w:val="0"/>
          <w:numId w:val="19"/>
        </w:numPr>
        <w:spacing w:before="120" w:after="120"/>
        <w:jc w:val="both"/>
        <w:rPr>
          <w:sz w:val="24"/>
          <w:szCs w:val="24"/>
        </w:rPr>
      </w:pPr>
      <w:r w:rsidRPr="00332AB5">
        <w:rPr>
          <w:sz w:val="24"/>
          <w:szCs w:val="24"/>
        </w:rPr>
        <w:t>p</w:t>
      </w:r>
      <w:r w:rsidR="008D6B07" w:rsidRPr="00332AB5">
        <w:rPr>
          <w:sz w:val="24"/>
          <w:szCs w:val="24"/>
        </w:rPr>
        <w:t>okazatelj iz prioritet Unije 3 – povećanje broja iskrcaja koji su podvrgnuti fizičkoj kontroli potrebno je značajnije povećati</w:t>
      </w:r>
    </w:p>
    <w:p w14:paraId="036C81B0" w14:textId="4E85C43E" w:rsidR="008D6B07" w:rsidRPr="00332AB5" w:rsidRDefault="00DF3A02">
      <w:pPr>
        <w:numPr>
          <w:ilvl w:val="0"/>
          <w:numId w:val="19"/>
        </w:numPr>
        <w:spacing w:before="120" w:after="120"/>
        <w:jc w:val="both"/>
        <w:rPr>
          <w:sz w:val="24"/>
          <w:szCs w:val="24"/>
        </w:rPr>
      </w:pPr>
      <w:r w:rsidRPr="00332AB5">
        <w:rPr>
          <w:sz w:val="24"/>
          <w:szCs w:val="24"/>
        </w:rPr>
        <w:t>p</w:t>
      </w:r>
      <w:r w:rsidR="008D6B07" w:rsidRPr="00332AB5">
        <w:rPr>
          <w:sz w:val="24"/>
          <w:szCs w:val="24"/>
        </w:rPr>
        <w:t>ratiti moguće probleme pri provedbi projekata iz OPPiR-a i korektivno reagirati kroz dodatne informativne radionice, savjetodavne usluge i sl.</w:t>
      </w:r>
    </w:p>
    <w:p w14:paraId="74B8016B" w14:textId="46B71D2C" w:rsidR="008D6B07" w:rsidRPr="00332AB5" w:rsidRDefault="00DF3A02">
      <w:pPr>
        <w:numPr>
          <w:ilvl w:val="0"/>
          <w:numId w:val="19"/>
        </w:numPr>
        <w:spacing w:before="120" w:after="120"/>
        <w:jc w:val="both"/>
        <w:rPr>
          <w:sz w:val="24"/>
          <w:szCs w:val="24"/>
        </w:rPr>
      </w:pPr>
      <w:r w:rsidRPr="00332AB5">
        <w:rPr>
          <w:sz w:val="24"/>
          <w:szCs w:val="24"/>
        </w:rPr>
        <w:t>p</w:t>
      </w:r>
      <w:r w:rsidR="008D6B07" w:rsidRPr="00332AB5">
        <w:rPr>
          <w:sz w:val="24"/>
          <w:szCs w:val="24"/>
        </w:rPr>
        <w:t>oticati aktivnu komunikaciju s poslovnim bankama oko osiguranja adekvatnih financijskih paketa za potporu korisnicima u provedbi projekata koji se sufinanciraju iz OPPiR-a</w:t>
      </w:r>
    </w:p>
    <w:p w14:paraId="521B66D2" w14:textId="0C225A7B" w:rsidR="008D6B07" w:rsidRPr="00332AB5" w:rsidRDefault="00DF3A02">
      <w:pPr>
        <w:numPr>
          <w:ilvl w:val="0"/>
          <w:numId w:val="19"/>
        </w:numPr>
        <w:spacing w:before="120" w:after="120"/>
        <w:jc w:val="both"/>
        <w:rPr>
          <w:sz w:val="24"/>
          <w:szCs w:val="24"/>
        </w:rPr>
      </w:pPr>
      <w:r w:rsidRPr="00332AB5">
        <w:rPr>
          <w:sz w:val="24"/>
          <w:szCs w:val="24"/>
        </w:rPr>
        <w:t>p</w:t>
      </w:r>
      <w:r w:rsidR="008D6B07" w:rsidRPr="00332AB5">
        <w:rPr>
          <w:sz w:val="24"/>
          <w:szCs w:val="24"/>
        </w:rPr>
        <w:t>oticati komunikaciju sa znanstveno-istraživačkim institucijama radi osmišljavanja projekata istraživanja, razvoja i inovacija</w:t>
      </w:r>
    </w:p>
    <w:p w14:paraId="0044775C" w14:textId="3D310789" w:rsidR="008D6B07" w:rsidRPr="00332AB5" w:rsidRDefault="00DF3A02">
      <w:pPr>
        <w:numPr>
          <w:ilvl w:val="0"/>
          <w:numId w:val="19"/>
        </w:numPr>
        <w:spacing w:before="120" w:after="120"/>
        <w:jc w:val="both"/>
        <w:rPr>
          <w:sz w:val="24"/>
          <w:szCs w:val="24"/>
        </w:rPr>
      </w:pPr>
      <w:r w:rsidRPr="00332AB5">
        <w:rPr>
          <w:sz w:val="24"/>
          <w:szCs w:val="24"/>
        </w:rPr>
        <w:lastRenderedPageBreak/>
        <w:t>o</w:t>
      </w:r>
      <w:r w:rsidR="008D6B07" w:rsidRPr="00332AB5">
        <w:rPr>
          <w:sz w:val="24"/>
          <w:szCs w:val="24"/>
        </w:rPr>
        <w:t>rganizirati radionice s predstavljanjem primjera dobre prakse inovacijskih projekata drugih zemalja članica EU (usporedivih s RH)</w:t>
      </w:r>
    </w:p>
    <w:p w14:paraId="5DA3BB91" w14:textId="794DAF91" w:rsidR="008D6B07" w:rsidRPr="00332AB5" w:rsidRDefault="00DF3A02">
      <w:pPr>
        <w:numPr>
          <w:ilvl w:val="0"/>
          <w:numId w:val="19"/>
        </w:numPr>
        <w:spacing w:before="120" w:after="120"/>
        <w:jc w:val="both"/>
        <w:rPr>
          <w:sz w:val="24"/>
          <w:szCs w:val="24"/>
        </w:rPr>
      </w:pPr>
      <w:r w:rsidRPr="00332AB5">
        <w:rPr>
          <w:sz w:val="24"/>
          <w:szCs w:val="24"/>
        </w:rPr>
        <w:t>u</w:t>
      </w:r>
      <w:r w:rsidR="008D6B07" w:rsidRPr="00332AB5">
        <w:rPr>
          <w:sz w:val="24"/>
          <w:szCs w:val="24"/>
        </w:rPr>
        <w:t>naprijediti praćenje doprinosa OPPiR-a tematskim ciljevima ESI fondova ne samo kroz financijske pokazatelje nego i kroz ciljane vrijednosti kvalitativnih pokazatelja (npr. pokazatelje konteksta i rezultata) za svaki od promatranih tematskih ciljeva te ih povezati s brojem projekata koji doprinose svakom promatranom tematskom cilju</w:t>
      </w:r>
    </w:p>
    <w:p w14:paraId="6D5F9DE3" w14:textId="54F956E7" w:rsidR="008D6B07" w:rsidRPr="00332AB5" w:rsidRDefault="00DF3A02">
      <w:pPr>
        <w:numPr>
          <w:ilvl w:val="0"/>
          <w:numId w:val="19"/>
        </w:numPr>
        <w:spacing w:before="120" w:after="120"/>
        <w:jc w:val="both"/>
        <w:rPr>
          <w:sz w:val="24"/>
          <w:szCs w:val="24"/>
        </w:rPr>
      </w:pPr>
      <w:r w:rsidRPr="00332AB5">
        <w:rPr>
          <w:sz w:val="24"/>
          <w:szCs w:val="24"/>
        </w:rPr>
        <w:t>o</w:t>
      </w:r>
      <w:r w:rsidR="008D6B07" w:rsidRPr="00332AB5">
        <w:rPr>
          <w:sz w:val="24"/>
          <w:szCs w:val="24"/>
        </w:rPr>
        <w:t>sigurati dodatnu edukaciju FLAG-ova o strateškom planiranju, umrežavanju i stvaranju partnerstava te pripremi i provedbi projekata, s osvrtom na šire teme koje se tiču „plavog rasta“ odnosno društveno-gospodarskog razvoja lokalnih obalnih zajednica – na taj način iskustvo provedbe LRSR mogu doprinijeti i nacionalnoj razvojnoj politici u ribarstvu i razvoju obalnih zajednica</w:t>
      </w:r>
    </w:p>
    <w:p w14:paraId="0839117E" w14:textId="6B961B7A" w:rsidR="008D6B07" w:rsidRPr="00332AB5" w:rsidRDefault="00DF3A02">
      <w:pPr>
        <w:numPr>
          <w:ilvl w:val="0"/>
          <w:numId w:val="19"/>
        </w:numPr>
        <w:spacing w:before="120" w:after="120"/>
        <w:jc w:val="both"/>
        <w:rPr>
          <w:sz w:val="24"/>
          <w:szCs w:val="24"/>
        </w:rPr>
      </w:pPr>
      <w:r w:rsidRPr="00332AB5">
        <w:rPr>
          <w:sz w:val="24"/>
          <w:szCs w:val="24"/>
        </w:rPr>
        <w:t>d</w:t>
      </w:r>
      <w:r w:rsidR="008D6B07" w:rsidRPr="00332AB5">
        <w:rPr>
          <w:sz w:val="24"/>
          <w:szCs w:val="24"/>
        </w:rPr>
        <w:t>odatno poticati i pružati kontinuiranu podršku (operativnu i savjetodavnu) FLAG-ovima u informiranju o važnosti LRSR i prilikama koje se kroz nju nude dionicima lokalne zajednice</w:t>
      </w:r>
    </w:p>
    <w:p w14:paraId="1060C45A" w14:textId="6AB1F327" w:rsidR="008D6B07" w:rsidRPr="00332AB5" w:rsidRDefault="00DF3A02">
      <w:pPr>
        <w:numPr>
          <w:ilvl w:val="0"/>
          <w:numId w:val="19"/>
        </w:numPr>
        <w:spacing w:before="120" w:after="120"/>
        <w:jc w:val="both"/>
        <w:rPr>
          <w:sz w:val="24"/>
          <w:szCs w:val="24"/>
        </w:rPr>
      </w:pPr>
      <w:r w:rsidRPr="00332AB5">
        <w:rPr>
          <w:sz w:val="24"/>
          <w:szCs w:val="24"/>
        </w:rPr>
        <w:t>p</w:t>
      </w:r>
      <w:r w:rsidR="008D6B07" w:rsidRPr="00332AB5">
        <w:rPr>
          <w:sz w:val="24"/>
          <w:szCs w:val="24"/>
        </w:rPr>
        <w:t>omoći FLAG-ovima da još snažnije promoviraju OPPiR u lokalnim zajednicama</w:t>
      </w:r>
    </w:p>
    <w:p w14:paraId="6B595F4C" w14:textId="03603141" w:rsidR="008D6B07" w:rsidRPr="00332AB5" w:rsidRDefault="00DF3A02">
      <w:pPr>
        <w:numPr>
          <w:ilvl w:val="0"/>
          <w:numId w:val="19"/>
        </w:numPr>
        <w:spacing w:before="120" w:after="120"/>
        <w:jc w:val="both"/>
        <w:rPr>
          <w:sz w:val="24"/>
          <w:szCs w:val="24"/>
        </w:rPr>
      </w:pPr>
      <w:r w:rsidRPr="00332AB5">
        <w:rPr>
          <w:sz w:val="24"/>
          <w:szCs w:val="24"/>
        </w:rPr>
        <w:t>r</w:t>
      </w:r>
      <w:r w:rsidR="008D6B07" w:rsidRPr="00332AB5">
        <w:rPr>
          <w:sz w:val="24"/>
          <w:szCs w:val="24"/>
        </w:rPr>
        <w:t>azmisliti o uvođenju nezavisne ex-ante evaluacije LRSR, radi unaprjeđenja njihove kvalitete te da se olakša njihovo usvajanje od strane UT-a</w:t>
      </w:r>
    </w:p>
    <w:p w14:paraId="5EA9E610" w14:textId="427FD3FB" w:rsidR="008D6B07" w:rsidRPr="00332AB5" w:rsidRDefault="00DF3A02">
      <w:pPr>
        <w:numPr>
          <w:ilvl w:val="0"/>
          <w:numId w:val="19"/>
        </w:numPr>
        <w:spacing w:before="120" w:after="120"/>
        <w:jc w:val="both"/>
        <w:rPr>
          <w:sz w:val="24"/>
          <w:szCs w:val="24"/>
        </w:rPr>
      </w:pPr>
      <w:r w:rsidRPr="00332AB5">
        <w:rPr>
          <w:sz w:val="24"/>
          <w:szCs w:val="24"/>
        </w:rPr>
        <w:t>d</w:t>
      </w:r>
      <w:r w:rsidR="008D6B07" w:rsidRPr="00332AB5">
        <w:rPr>
          <w:sz w:val="24"/>
          <w:szCs w:val="24"/>
        </w:rPr>
        <w:t>odatno poticati aktivnosti suradnje i razmjene znanja i iskustva među FLAG-ovima te s drugim zemljama članicama (usporedivih s RH)</w:t>
      </w:r>
    </w:p>
    <w:p w14:paraId="36EBCC9A" w14:textId="17797818" w:rsidR="008D6B07" w:rsidRPr="00332AB5" w:rsidRDefault="00DF3A02">
      <w:pPr>
        <w:numPr>
          <w:ilvl w:val="0"/>
          <w:numId w:val="19"/>
        </w:numPr>
        <w:spacing w:before="120" w:after="120"/>
        <w:jc w:val="both"/>
        <w:rPr>
          <w:sz w:val="24"/>
          <w:szCs w:val="24"/>
        </w:rPr>
      </w:pPr>
      <w:r w:rsidRPr="00332AB5">
        <w:rPr>
          <w:sz w:val="24"/>
          <w:szCs w:val="24"/>
        </w:rPr>
        <w:t>j</w:t>
      </w:r>
      <w:r w:rsidR="008D6B07" w:rsidRPr="00332AB5">
        <w:rPr>
          <w:sz w:val="24"/>
          <w:szCs w:val="24"/>
        </w:rPr>
        <w:t>ačati svijest o LRSR ne samo kroz FLAG-ove nego i kroz županijske i lokalne razvojne agencije, komore, turističke zajednice i ostale relevantne lokalne institucije, čime će se doprinijeti i njihovom umrežavanju i osmišljavanju kvalitetnijih projekata</w:t>
      </w:r>
    </w:p>
    <w:p w14:paraId="0F151327" w14:textId="3BE167E4" w:rsidR="008D6B07" w:rsidRPr="00332AB5" w:rsidRDefault="00DF3A02">
      <w:pPr>
        <w:numPr>
          <w:ilvl w:val="0"/>
          <w:numId w:val="19"/>
        </w:numPr>
        <w:spacing w:before="120" w:after="120"/>
        <w:jc w:val="both"/>
        <w:rPr>
          <w:sz w:val="24"/>
          <w:szCs w:val="24"/>
        </w:rPr>
      </w:pPr>
      <w:r w:rsidRPr="00332AB5">
        <w:rPr>
          <w:sz w:val="24"/>
          <w:szCs w:val="24"/>
        </w:rPr>
        <w:t>k</w:t>
      </w:r>
      <w:r w:rsidR="008D6B07" w:rsidRPr="00332AB5">
        <w:rPr>
          <w:sz w:val="24"/>
          <w:szCs w:val="24"/>
        </w:rPr>
        <w:t>roz informativne radionice dodatno promicati horizontalna načela, upoznavati korisnike s dobrom praksom uključivanja ovih načela u projekte, davati primjere dobre prakse drugih zemalja članica (usporedivih s RH)</w:t>
      </w:r>
    </w:p>
    <w:p w14:paraId="368C8587" w14:textId="3D288FE9" w:rsidR="008D6B07" w:rsidRPr="00332AB5" w:rsidRDefault="00DF3A02">
      <w:pPr>
        <w:numPr>
          <w:ilvl w:val="0"/>
          <w:numId w:val="19"/>
        </w:numPr>
        <w:spacing w:before="120" w:after="120"/>
        <w:jc w:val="both"/>
        <w:rPr>
          <w:sz w:val="24"/>
          <w:szCs w:val="24"/>
        </w:rPr>
      </w:pPr>
      <w:r w:rsidRPr="00332AB5">
        <w:rPr>
          <w:sz w:val="24"/>
          <w:szCs w:val="24"/>
        </w:rPr>
        <w:t>r</w:t>
      </w:r>
      <w:r w:rsidR="008D6B07" w:rsidRPr="00332AB5">
        <w:rPr>
          <w:sz w:val="24"/>
          <w:szCs w:val="24"/>
        </w:rPr>
        <w:t>azmisliti o uvođenju obveze uključivanja horizontalnih načela u postupke nabave za korisnike potpora iz OPPiR-a (npr. zelena javna nabava)</w:t>
      </w:r>
    </w:p>
    <w:p w14:paraId="5B01D71A" w14:textId="77777777" w:rsidR="005D7050" w:rsidRPr="00332AB5" w:rsidRDefault="00DF3A02">
      <w:pPr>
        <w:numPr>
          <w:ilvl w:val="0"/>
          <w:numId w:val="19"/>
        </w:numPr>
        <w:spacing w:before="120" w:after="120"/>
        <w:jc w:val="both"/>
        <w:rPr>
          <w:sz w:val="24"/>
          <w:szCs w:val="24"/>
        </w:rPr>
      </w:pPr>
      <w:r w:rsidRPr="00332AB5">
        <w:rPr>
          <w:sz w:val="24"/>
          <w:szCs w:val="24"/>
        </w:rPr>
        <w:t>i</w:t>
      </w:r>
      <w:r w:rsidR="008D6B07" w:rsidRPr="00332AB5">
        <w:rPr>
          <w:sz w:val="24"/>
          <w:szCs w:val="24"/>
        </w:rPr>
        <w:t>ntenzivnije koristiti tehničku pomoć za pripremu za budući</w:t>
      </w:r>
    </w:p>
    <w:p w14:paraId="47EB5506" w14:textId="0CEF7FAD" w:rsidR="008D6B07" w:rsidRPr="00332AB5" w:rsidRDefault="008D6B07">
      <w:pPr>
        <w:numPr>
          <w:ilvl w:val="0"/>
          <w:numId w:val="19"/>
        </w:numPr>
        <w:spacing w:before="120" w:after="120"/>
        <w:jc w:val="both"/>
        <w:rPr>
          <w:sz w:val="24"/>
          <w:szCs w:val="24"/>
        </w:rPr>
      </w:pPr>
      <w:r w:rsidRPr="00332AB5">
        <w:rPr>
          <w:sz w:val="24"/>
          <w:szCs w:val="24"/>
        </w:rPr>
        <w:t xml:space="preserve"> programski period kroz izradu studijskih podloga i analiza koje će omogućiti još ambiciozniji pristup korištenju EU sredstava te još kvalitetnije definirati nacionalnu razvojnu politiku u ovom sektoru.</w:t>
      </w:r>
    </w:p>
    <w:p w14:paraId="2A299DE0" w14:textId="77777777" w:rsidR="008D6B07" w:rsidRPr="00332AB5" w:rsidRDefault="008D6B07" w:rsidP="008D6B07">
      <w:pPr>
        <w:spacing w:before="120" w:after="120"/>
        <w:jc w:val="both"/>
        <w:rPr>
          <w:sz w:val="24"/>
          <w:szCs w:val="24"/>
        </w:rPr>
      </w:pPr>
      <w:r w:rsidRPr="00332AB5">
        <w:rPr>
          <w:sz w:val="24"/>
          <w:szCs w:val="24"/>
        </w:rPr>
        <w:t xml:space="preserve">Slijedom danih preporuka, nastavljeno je praćenje i provedba preporuka iz provedenog vrednovanja. Naime, u skladu sa Konačnim izvještajem o provedenoj evaluaciji, izrađen je Akcijski plan za provedbu i praćenje preporuka, uključujući i predviđene rokove za njihovu provedbu. </w:t>
      </w:r>
    </w:p>
    <w:p w14:paraId="273C4923" w14:textId="1E97BDCD" w:rsidR="002A2D38" w:rsidRPr="00332AB5" w:rsidRDefault="008D6B07" w:rsidP="008D6B07">
      <w:pPr>
        <w:spacing w:before="120" w:after="120"/>
        <w:jc w:val="both"/>
        <w:rPr>
          <w:sz w:val="24"/>
          <w:szCs w:val="24"/>
        </w:rPr>
      </w:pPr>
      <w:r w:rsidRPr="00332AB5">
        <w:rPr>
          <w:sz w:val="24"/>
          <w:szCs w:val="24"/>
        </w:rPr>
        <w:lastRenderedPageBreak/>
        <w:t xml:space="preserve">Nadalje, u </w:t>
      </w:r>
      <w:r w:rsidR="002A2D38" w:rsidRPr="00332AB5">
        <w:rPr>
          <w:sz w:val="24"/>
          <w:szCs w:val="24"/>
        </w:rPr>
        <w:t xml:space="preserve">prethodnom </w:t>
      </w:r>
      <w:r w:rsidRPr="00332AB5">
        <w:rPr>
          <w:sz w:val="24"/>
          <w:szCs w:val="24"/>
        </w:rPr>
        <w:t>izvještajnom razdoblju provodilo</w:t>
      </w:r>
      <w:r w:rsidR="00DF3A02" w:rsidRPr="00332AB5">
        <w:rPr>
          <w:sz w:val="24"/>
          <w:szCs w:val="24"/>
        </w:rPr>
        <w:t xml:space="preserve"> se</w:t>
      </w:r>
      <w:r w:rsidRPr="00332AB5">
        <w:rPr>
          <w:sz w:val="24"/>
          <w:szCs w:val="24"/>
        </w:rPr>
        <w:t xml:space="preserve"> i vrednovanje OPPiR</w:t>
      </w:r>
      <w:r w:rsidR="002A2D38" w:rsidRPr="00332AB5">
        <w:rPr>
          <w:sz w:val="24"/>
          <w:szCs w:val="24"/>
        </w:rPr>
        <w:t>-a</w:t>
      </w:r>
      <w:r w:rsidRPr="00332AB5">
        <w:rPr>
          <w:sz w:val="24"/>
          <w:szCs w:val="24"/>
        </w:rPr>
        <w:t xml:space="preserve"> na razini Prioriteta Unije 4. Svrha vrednovanja je analiza postignuća i davanje preporuka za poboljšanje djelotvornosti i učinkovitosti OPPiR</w:t>
      </w:r>
      <w:r w:rsidR="002A2D38" w:rsidRPr="00332AB5">
        <w:rPr>
          <w:sz w:val="24"/>
          <w:szCs w:val="24"/>
        </w:rPr>
        <w:t>-a</w:t>
      </w:r>
      <w:r w:rsidRPr="00332AB5">
        <w:rPr>
          <w:sz w:val="24"/>
          <w:szCs w:val="24"/>
        </w:rPr>
        <w:t>, Prioriteta 4. „Povećanje zaposlenosti i teritorijalne kohezije“ putem sljedećeg posebnog cilja: promicanja gospodarskog rasta, društvene uključenosti, stvaranja radnih mjesta i pružanja podrške upošljivosti i mobilnosti radne snage u obalnim i kontinentalnim zajednicama koje ovise o ribolovu i akvakulturi, uključujući diversifikaciju aktivnosti u ribarstvu te prema ostalim sektorima pomorskog gospodarstva, na temelju analiza i procjena djelotvornosti i učinkovitosti provedbe mjera III.1. „Pripremna potpora za izradu lokalnih razvojnih strategija u ribarstvu“ te mjera III.2./III.3. „Provedba lokalnih razvojnih strategija u ribarstvu “.</w:t>
      </w:r>
    </w:p>
    <w:p w14:paraId="084AB404" w14:textId="77777777" w:rsidR="002A2D38" w:rsidRPr="00332AB5" w:rsidRDefault="002A2D38" w:rsidP="002A2D38">
      <w:pPr>
        <w:spacing w:before="120" w:after="120"/>
        <w:jc w:val="both"/>
        <w:rPr>
          <w:sz w:val="24"/>
          <w:szCs w:val="24"/>
        </w:rPr>
      </w:pPr>
      <w:r w:rsidRPr="00332AB5">
        <w:rPr>
          <w:sz w:val="24"/>
          <w:szCs w:val="24"/>
        </w:rPr>
        <w:t>Vrednovanjem su donesene sljedeće preporuke:</w:t>
      </w:r>
    </w:p>
    <w:p w14:paraId="34E8B679" w14:textId="63273F00" w:rsidR="002A2D38" w:rsidRPr="00332AB5" w:rsidRDefault="002A2D38">
      <w:pPr>
        <w:numPr>
          <w:ilvl w:val="0"/>
          <w:numId w:val="16"/>
        </w:numPr>
        <w:spacing w:before="120" w:after="120"/>
        <w:jc w:val="both"/>
        <w:rPr>
          <w:sz w:val="24"/>
          <w:szCs w:val="24"/>
        </w:rPr>
      </w:pPr>
      <w:r w:rsidRPr="00332AB5">
        <w:rPr>
          <w:sz w:val="24"/>
          <w:szCs w:val="24"/>
        </w:rPr>
        <w:t>Razmotriti uvođenje pojednostavljene metode financiranja (simplified cost options) za pripremne potpore te tekuće troškove i troškove vođenja, što bi značajno smanjilo administrativno opterećenje i za Upravljačko tijelo i LAGUR-e te im omogućilo da manje vremena troše na prikupljanje dokumentacije i provjeru utroška financijskih sredstava, a više na provedbu LRSR i postizanje ciljeva. Sukladno tipu aktivnosti odnosno troška, moguć je odabir između nekoliko vrsta pojednostavljenih metoda financiranja, poput paušalnih iznosa, jediničnih troškova i fiksne stope</w:t>
      </w:r>
    </w:p>
    <w:p w14:paraId="5EAD2290" w14:textId="068BF278" w:rsidR="002A2D38" w:rsidRPr="00332AB5" w:rsidRDefault="002A2D38">
      <w:pPr>
        <w:numPr>
          <w:ilvl w:val="0"/>
          <w:numId w:val="16"/>
        </w:numPr>
        <w:spacing w:before="120" w:after="120"/>
        <w:jc w:val="both"/>
        <w:rPr>
          <w:sz w:val="24"/>
          <w:szCs w:val="24"/>
        </w:rPr>
      </w:pPr>
      <w:r w:rsidRPr="00332AB5">
        <w:rPr>
          <w:sz w:val="24"/>
          <w:szCs w:val="24"/>
        </w:rPr>
        <w:t>Razmotriti uključivanje „krovnih projekata“ („umbrella projects“) kako bi se olakšao pristup financiranju malim korisnicima</w:t>
      </w:r>
    </w:p>
    <w:p w14:paraId="3313C9A7" w14:textId="41E19F97" w:rsidR="002A2D38" w:rsidRPr="00332AB5" w:rsidRDefault="002A2D38">
      <w:pPr>
        <w:numPr>
          <w:ilvl w:val="0"/>
          <w:numId w:val="16"/>
        </w:numPr>
        <w:spacing w:before="120" w:after="120"/>
        <w:jc w:val="both"/>
        <w:rPr>
          <w:sz w:val="24"/>
          <w:szCs w:val="24"/>
        </w:rPr>
      </w:pPr>
      <w:r w:rsidRPr="00332AB5">
        <w:rPr>
          <w:sz w:val="24"/>
          <w:szCs w:val="24"/>
        </w:rPr>
        <w:t>Dodatno informirati LAGUR-e o važnosti određivanja pokazatelja ishoda/outputa koji su mjerljivi, ostvarivi te mjere stvaran i širi učinak provedbe LRSR-ova, kao i staviti naglasak na uključivanje pokazatelja koji se odnose na zaštitu okoliša. Važno je u LRSR uključiti preciznu definiciju pokazatelja, objašnjenje kako će se mjeriti i unaprijed odrediti objektivne izvore informacija, uzimajući u obzir dostupnost odgovarajućih podataka</w:t>
      </w:r>
    </w:p>
    <w:p w14:paraId="192BCF42" w14:textId="07B42DF7" w:rsidR="002A2D38" w:rsidRPr="00332AB5" w:rsidRDefault="002A2D38">
      <w:pPr>
        <w:numPr>
          <w:ilvl w:val="0"/>
          <w:numId w:val="16"/>
        </w:numPr>
        <w:spacing w:before="120" w:after="120"/>
        <w:jc w:val="both"/>
        <w:rPr>
          <w:sz w:val="24"/>
          <w:szCs w:val="24"/>
        </w:rPr>
      </w:pPr>
      <w:r w:rsidRPr="00332AB5">
        <w:rPr>
          <w:sz w:val="24"/>
          <w:szCs w:val="24"/>
        </w:rPr>
        <w:t>Analizirati ostvarenje pokazatelja rezultata za razdoblje 2014. – 2020. i realno procijeniti mogućnost njihova ostvarenja do 2023. godine te iskoristiti naučene lekcije za definiranje pokazatelja za buduće razdoblje, odnosno identificirati mjere i aktivnosti najpogodnije za njihovo ostvarenje</w:t>
      </w:r>
    </w:p>
    <w:p w14:paraId="40BAC44F" w14:textId="421A182D" w:rsidR="002A2D38" w:rsidRPr="00332AB5" w:rsidRDefault="002A2D38">
      <w:pPr>
        <w:numPr>
          <w:ilvl w:val="0"/>
          <w:numId w:val="16"/>
        </w:numPr>
        <w:spacing w:before="120" w:after="120"/>
        <w:jc w:val="both"/>
        <w:rPr>
          <w:sz w:val="24"/>
          <w:szCs w:val="24"/>
        </w:rPr>
      </w:pPr>
      <w:r w:rsidRPr="00332AB5">
        <w:rPr>
          <w:sz w:val="24"/>
          <w:szCs w:val="24"/>
        </w:rPr>
        <w:t>Dodatno promicati i osvijestiti važnost uključivanja horizontalnih načela u LRSR, s posebnim naglaskom na promicanje ravnopravnosti žena i muškaraca i zabranu diskriminacije te pristupačnost za osobe s invaliditetom, što su načela kojima je teže ostvariti pozitiv</w:t>
      </w:r>
      <w:r w:rsidR="00443C2E" w:rsidRPr="00332AB5">
        <w:rPr>
          <w:sz w:val="24"/>
          <w:szCs w:val="24"/>
        </w:rPr>
        <w:t>a</w:t>
      </w:r>
      <w:r w:rsidRPr="00332AB5">
        <w:rPr>
          <w:sz w:val="24"/>
          <w:szCs w:val="24"/>
        </w:rPr>
        <w:t>n doprinos kroz uobičajeni tip mjera koje se provode unutar LRSR-ova</w:t>
      </w:r>
    </w:p>
    <w:p w14:paraId="5809E06B" w14:textId="7FF08A97" w:rsidR="002A2D38" w:rsidRPr="00332AB5" w:rsidRDefault="002A2D38">
      <w:pPr>
        <w:numPr>
          <w:ilvl w:val="0"/>
          <w:numId w:val="16"/>
        </w:numPr>
        <w:spacing w:before="120" w:after="120"/>
        <w:jc w:val="both"/>
        <w:rPr>
          <w:sz w:val="24"/>
          <w:szCs w:val="24"/>
        </w:rPr>
      </w:pPr>
      <w:r w:rsidRPr="00332AB5">
        <w:rPr>
          <w:sz w:val="24"/>
          <w:szCs w:val="24"/>
        </w:rPr>
        <w:t>Pojednostaviti procedure izmjene LRSR, odnosno iz procedure izmjene LRSR-a izdvojiti dijelove koji nisu obavezni sadržaj (kao što je indikativni plan) i ostalo detaljnije obraditi u natječajnoj ili drugoj popratnoj dokumentaciji, sve kako bi se povećala fleksibilnost, omogućilo prilagođavanje potrebama na terenu i minimizirale potrebe za izmjenama LRSR</w:t>
      </w:r>
    </w:p>
    <w:p w14:paraId="0DF33AEC" w14:textId="4A01B57F" w:rsidR="002A2D38" w:rsidRPr="00332AB5" w:rsidRDefault="002A2D38">
      <w:pPr>
        <w:numPr>
          <w:ilvl w:val="0"/>
          <w:numId w:val="16"/>
        </w:numPr>
        <w:spacing w:before="120" w:after="120"/>
        <w:jc w:val="both"/>
        <w:rPr>
          <w:sz w:val="24"/>
          <w:szCs w:val="24"/>
        </w:rPr>
      </w:pPr>
      <w:r w:rsidRPr="00332AB5">
        <w:rPr>
          <w:sz w:val="24"/>
          <w:szCs w:val="24"/>
        </w:rPr>
        <w:lastRenderedPageBreak/>
        <w:t>Pojednostavljenje administrativnih procedura u procesu ocjenjivanja i ugovaranja projekata (primjerice: precizno odrediti koja je potrebna dokumentacija, koristiti sve javno dostupne podatke iz službenih izvora koji su dostupni UT-u/LAGUR-ima, unificirati dokumentaciju koju je potrebno dostaviti, izbjegavati situacije u kojima se projekti odbacuju umjesto da se traže potrebna pojašnjenja i dr.)</w:t>
      </w:r>
    </w:p>
    <w:p w14:paraId="47281F3D" w14:textId="3E9C9FAE" w:rsidR="002A2D38" w:rsidRPr="00332AB5" w:rsidRDefault="002A2D38">
      <w:pPr>
        <w:numPr>
          <w:ilvl w:val="0"/>
          <w:numId w:val="16"/>
        </w:numPr>
        <w:spacing w:before="120" w:after="120"/>
        <w:jc w:val="both"/>
        <w:rPr>
          <w:sz w:val="24"/>
          <w:szCs w:val="24"/>
        </w:rPr>
      </w:pPr>
      <w:r w:rsidRPr="00332AB5">
        <w:rPr>
          <w:sz w:val="24"/>
          <w:szCs w:val="24"/>
        </w:rPr>
        <w:t>Intenzivirati aktivnosti animacije te koristiti razmijenjene primjere dobre prakse različitih LAGUR-a u provedbi ovih aktivnosti</w:t>
      </w:r>
    </w:p>
    <w:p w14:paraId="69434724" w14:textId="19A6A82F" w:rsidR="002A2D38" w:rsidRPr="00332AB5" w:rsidRDefault="002A2D38">
      <w:pPr>
        <w:numPr>
          <w:ilvl w:val="0"/>
          <w:numId w:val="16"/>
        </w:numPr>
        <w:spacing w:before="120" w:after="120"/>
        <w:jc w:val="both"/>
        <w:rPr>
          <w:sz w:val="24"/>
          <w:szCs w:val="24"/>
        </w:rPr>
      </w:pPr>
      <w:r w:rsidRPr="00332AB5">
        <w:rPr>
          <w:sz w:val="24"/>
          <w:szCs w:val="24"/>
        </w:rPr>
        <w:t>Pravovremeno i adekvatno pokrenuti proces uključivanja ključnih dionika u procesu planiranja mjera za nove strategije kako bi se u najboljoj mjeri zadovoljile njihove potrebe i na najbolji način iskoristila sredstva na raspolaganju</w:t>
      </w:r>
    </w:p>
    <w:p w14:paraId="550D2411" w14:textId="298EE1FA" w:rsidR="002A2D38" w:rsidRPr="00332AB5" w:rsidRDefault="002A2D38">
      <w:pPr>
        <w:numPr>
          <w:ilvl w:val="0"/>
          <w:numId w:val="16"/>
        </w:numPr>
        <w:spacing w:before="120" w:after="120"/>
        <w:jc w:val="both"/>
        <w:rPr>
          <w:sz w:val="24"/>
          <w:szCs w:val="24"/>
        </w:rPr>
      </w:pPr>
      <w:r w:rsidRPr="00332AB5">
        <w:rPr>
          <w:sz w:val="24"/>
          <w:szCs w:val="24"/>
        </w:rPr>
        <w:t>Potaknuti svaki pojedini LAGUR na analizu učinka provedenih aktivnosti uključivanja dionika u procesu izrade LRSR za razdoblje 2014. – 2020., kao i iskoristiti nalaze ove evaluacije, kako bi se aktivnosti konzultacija i uključivanja ključnih dionika u proces izrade LRSR za razdoblje 2021. – 2027. provodile koristeći alate i metode koji su se pokazali najučinkovitijima za pojedini LAGUR</w:t>
      </w:r>
    </w:p>
    <w:p w14:paraId="742D80E8" w14:textId="697FF18F" w:rsidR="002A2D38" w:rsidRPr="00332AB5" w:rsidRDefault="002A2D38">
      <w:pPr>
        <w:numPr>
          <w:ilvl w:val="0"/>
          <w:numId w:val="16"/>
        </w:numPr>
        <w:spacing w:before="120" w:after="120"/>
        <w:jc w:val="both"/>
        <w:rPr>
          <w:sz w:val="24"/>
          <w:szCs w:val="24"/>
        </w:rPr>
      </w:pPr>
      <w:r w:rsidRPr="00332AB5">
        <w:rPr>
          <w:sz w:val="24"/>
          <w:szCs w:val="24"/>
        </w:rPr>
        <w:t>Na početku programskog razdoblja uspostaviti ciljne vrijednosti za ključne pokazatelje animacijskih aktivnosti LAGUR-a te o njima povremeno izvještavati Upravljačko tijelo</w:t>
      </w:r>
    </w:p>
    <w:p w14:paraId="10B7313B" w14:textId="088B66E8" w:rsidR="002A2D38" w:rsidRPr="00332AB5" w:rsidRDefault="002A2D38">
      <w:pPr>
        <w:numPr>
          <w:ilvl w:val="0"/>
          <w:numId w:val="16"/>
        </w:numPr>
        <w:spacing w:before="120" w:after="120"/>
        <w:jc w:val="both"/>
        <w:rPr>
          <w:sz w:val="24"/>
          <w:szCs w:val="24"/>
        </w:rPr>
      </w:pPr>
      <w:r w:rsidRPr="00332AB5">
        <w:rPr>
          <w:sz w:val="24"/>
          <w:szCs w:val="24"/>
        </w:rPr>
        <w:t>U skladu s preporukama Završnog izvješća Vrednovanja učinkovitosti i djelotvornosti Operativnog programa za pomorstvo i ribarstvo Republike Hrvatske za programsko razdoblje 2014.</w:t>
      </w:r>
      <w:r w:rsidR="00312286" w:rsidRPr="00332AB5">
        <w:rPr>
          <w:sz w:val="24"/>
          <w:szCs w:val="24"/>
        </w:rPr>
        <w:t xml:space="preserve"> </w:t>
      </w:r>
      <w:r w:rsidRPr="00332AB5">
        <w:rPr>
          <w:sz w:val="24"/>
          <w:szCs w:val="24"/>
        </w:rPr>
        <w:t>-</w:t>
      </w:r>
      <w:r w:rsidR="00312286" w:rsidRPr="00332AB5">
        <w:rPr>
          <w:sz w:val="24"/>
          <w:szCs w:val="24"/>
        </w:rPr>
        <w:t xml:space="preserve"> </w:t>
      </w:r>
      <w:r w:rsidRPr="00332AB5">
        <w:rPr>
          <w:sz w:val="24"/>
          <w:szCs w:val="24"/>
        </w:rPr>
        <w:t>2020. iz 2019. godine, kao i u ovom dokumentu prikazanim primjerima dobre prakse drugih zemalja, evaluatori smatraju kako bi veća razina udruživanja i suradnje, kako između LAGUR-a tako i s drugim subjektima relevantnim za razvoj ribarstva i akvakulture, donijela značajne koristi i povećala učinke od provedbe LRSR-ova. Predlaže se poticati i druge oblike udruživanja i suradnje subjekata u ribarstvu i akvakulturi, primjerice kroz klastere ili druga interesna udruživanja većih i manjih gospodarskih subjekata</w:t>
      </w:r>
    </w:p>
    <w:p w14:paraId="5EE85C1B" w14:textId="2A66EE91" w:rsidR="002A2D38" w:rsidRPr="00332AB5" w:rsidRDefault="002A2D38">
      <w:pPr>
        <w:numPr>
          <w:ilvl w:val="0"/>
          <w:numId w:val="16"/>
        </w:numPr>
        <w:spacing w:before="120" w:after="120"/>
        <w:jc w:val="both"/>
        <w:rPr>
          <w:sz w:val="24"/>
          <w:szCs w:val="24"/>
        </w:rPr>
      </w:pPr>
      <w:r w:rsidRPr="00332AB5">
        <w:rPr>
          <w:sz w:val="24"/>
          <w:szCs w:val="24"/>
        </w:rPr>
        <w:t>Što preciznije identificirati potrebe na područjima pojedinog LAGUR-a te jasnije definirati tipove intervencija u skladu s mogućnostima definiranim Operativnim programom i EU regulativom</w:t>
      </w:r>
    </w:p>
    <w:p w14:paraId="13225014" w14:textId="49DB0C03" w:rsidR="002A2D38" w:rsidRPr="00332AB5" w:rsidRDefault="002A2D38">
      <w:pPr>
        <w:numPr>
          <w:ilvl w:val="0"/>
          <w:numId w:val="16"/>
        </w:numPr>
        <w:spacing w:before="120" w:after="120"/>
        <w:jc w:val="both"/>
        <w:rPr>
          <w:sz w:val="24"/>
          <w:szCs w:val="24"/>
        </w:rPr>
      </w:pPr>
      <w:r w:rsidRPr="00332AB5">
        <w:rPr>
          <w:sz w:val="24"/>
          <w:szCs w:val="24"/>
        </w:rPr>
        <w:t>Organizirati radionice s predstavljanjem primjera dobre prakse (inovacijskih) projekata drugih zemalja članica EU, ali s pažljivim odabirom onih koji su provedivi na ciljanim područjima</w:t>
      </w:r>
    </w:p>
    <w:p w14:paraId="2666C1B2" w14:textId="7368B909" w:rsidR="002A2D38" w:rsidRPr="00332AB5" w:rsidRDefault="002A2D38">
      <w:pPr>
        <w:numPr>
          <w:ilvl w:val="0"/>
          <w:numId w:val="16"/>
        </w:numPr>
        <w:spacing w:before="120" w:after="120"/>
        <w:jc w:val="both"/>
        <w:rPr>
          <w:sz w:val="24"/>
          <w:szCs w:val="24"/>
        </w:rPr>
      </w:pPr>
      <w:r w:rsidRPr="00332AB5">
        <w:rPr>
          <w:sz w:val="24"/>
          <w:szCs w:val="24"/>
        </w:rPr>
        <w:t>Mjere za buduće razdoblje potrebno je formulirati uzimajući u obzir usmjerenje EU prema zelenoj tranziciji i digitalnoj transformaciji te, ponajviše, plavom rastu</w:t>
      </w:r>
    </w:p>
    <w:p w14:paraId="4F218681" w14:textId="07563939" w:rsidR="002A2D38" w:rsidRPr="00332AB5" w:rsidRDefault="002A2D38">
      <w:pPr>
        <w:numPr>
          <w:ilvl w:val="0"/>
          <w:numId w:val="16"/>
        </w:numPr>
        <w:spacing w:before="120" w:after="120"/>
        <w:jc w:val="both"/>
        <w:rPr>
          <w:sz w:val="24"/>
          <w:szCs w:val="24"/>
        </w:rPr>
      </w:pPr>
      <w:r w:rsidRPr="00332AB5">
        <w:rPr>
          <w:sz w:val="24"/>
          <w:szCs w:val="24"/>
        </w:rPr>
        <w:lastRenderedPageBreak/>
        <w:t>Objaviti (i redovito ažurirati) indikativni raspored poziva za projekte sva</w:t>
      </w:r>
      <w:r w:rsidR="00FA2202" w:rsidRPr="00332AB5">
        <w:rPr>
          <w:sz w:val="24"/>
          <w:szCs w:val="24"/>
        </w:rPr>
        <w:t>kog LAGUR-a na njihovoj mrežnoj</w:t>
      </w:r>
      <w:r w:rsidRPr="00332AB5">
        <w:rPr>
          <w:sz w:val="24"/>
          <w:szCs w:val="24"/>
        </w:rPr>
        <w:t xml:space="preserve"> stranici, za razdoblje od minimalno jedne godine, kako bi se kandidati mogli unaprijed pripremiti</w:t>
      </w:r>
    </w:p>
    <w:p w14:paraId="5431EF95" w14:textId="046DD450" w:rsidR="002A2D38" w:rsidRPr="00332AB5" w:rsidRDefault="002A2D38">
      <w:pPr>
        <w:numPr>
          <w:ilvl w:val="0"/>
          <w:numId w:val="16"/>
        </w:numPr>
        <w:spacing w:before="120" w:after="120"/>
        <w:jc w:val="both"/>
        <w:rPr>
          <w:sz w:val="24"/>
          <w:szCs w:val="24"/>
        </w:rPr>
      </w:pPr>
      <w:r w:rsidRPr="00332AB5">
        <w:rPr>
          <w:sz w:val="24"/>
          <w:szCs w:val="24"/>
        </w:rPr>
        <w:t>Predlaže se razmotriti pojednostavljenje obrazaca za prijavu projekata na način da se određene odjeljke/polja prijavnog obrasca učini obveznima samo za projekte veće vrijednosti, dok se za vrlo male projekte (primjerice ispod 10.000,00 €) ispunjava pojednostavljena verzija prijavnog obrasca, što bi značajno olakšalo prijavu malim korisnicima</w:t>
      </w:r>
    </w:p>
    <w:p w14:paraId="1AC1167A" w14:textId="7818A3B4" w:rsidR="002A2D38" w:rsidRPr="00332AB5" w:rsidRDefault="002A2D38">
      <w:pPr>
        <w:numPr>
          <w:ilvl w:val="0"/>
          <w:numId w:val="16"/>
        </w:numPr>
        <w:spacing w:before="120" w:after="120"/>
        <w:jc w:val="both"/>
        <w:rPr>
          <w:sz w:val="24"/>
          <w:szCs w:val="24"/>
        </w:rPr>
      </w:pPr>
      <w:r w:rsidRPr="00332AB5">
        <w:rPr>
          <w:sz w:val="24"/>
          <w:szCs w:val="24"/>
        </w:rPr>
        <w:t xml:space="preserve">Dugoročno razmotriti mogućnost, za natječaje za koje se procijeni da je to prikladno, objaviti </w:t>
      </w:r>
      <w:r w:rsidR="00E87371" w:rsidRPr="00332AB5">
        <w:rPr>
          <w:sz w:val="24"/>
          <w:szCs w:val="24"/>
        </w:rPr>
        <w:t xml:space="preserve">ih </w:t>
      </w:r>
      <w:r w:rsidRPr="00332AB5">
        <w:rPr>
          <w:sz w:val="24"/>
          <w:szCs w:val="24"/>
        </w:rPr>
        <w:t>kao trajne pozive s rokom do iskorištenja sredstava, odnosno do određenog krajnjeg roka. Navedeni pristup mogao bi doprinijeti stabilnijem priljevu projektnih prijedloga, boljem planiranju projekata i ravnomjernijem administrativnom opterećenju, a da ne dođe do smanjenja kvalitete projekata</w:t>
      </w:r>
    </w:p>
    <w:p w14:paraId="7C87F6A5" w14:textId="58D9453A" w:rsidR="002A2D38" w:rsidRPr="00332AB5" w:rsidRDefault="002A2D38">
      <w:pPr>
        <w:numPr>
          <w:ilvl w:val="0"/>
          <w:numId w:val="16"/>
        </w:numPr>
        <w:spacing w:before="120" w:after="120"/>
        <w:jc w:val="both"/>
        <w:rPr>
          <w:sz w:val="24"/>
          <w:szCs w:val="24"/>
        </w:rPr>
      </w:pPr>
      <w:r w:rsidRPr="00332AB5">
        <w:rPr>
          <w:sz w:val="24"/>
          <w:szCs w:val="24"/>
        </w:rPr>
        <w:t>Intenzivnije promovirati LRSR-ove ne samo kroz LAGUR-e nego i kroz razvojne agencije, turističke zajednice, gospodarske i obrtničke komore te ostale relevantne lokalne i regionalne institucije</w:t>
      </w:r>
    </w:p>
    <w:p w14:paraId="070E1E37" w14:textId="344C77A0" w:rsidR="002A2D38" w:rsidRPr="00332AB5" w:rsidRDefault="002A2D38">
      <w:pPr>
        <w:numPr>
          <w:ilvl w:val="0"/>
          <w:numId w:val="16"/>
        </w:numPr>
        <w:spacing w:before="120" w:after="120"/>
        <w:jc w:val="both"/>
        <w:rPr>
          <w:sz w:val="24"/>
          <w:szCs w:val="24"/>
        </w:rPr>
      </w:pPr>
      <w:r w:rsidRPr="00332AB5">
        <w:rPr>
          <w:sz w:val="24"/>
          <w:szCs w:val="24"/>
        </w:rPr>
        <w:t xml:space="preserve">Vezano uz praćenje provedbe i izvršenja strategija, predlaže se uspostaviti jedinstven i ujednačen sustav za praćenje ostvarenja Akcijskog plana (i njegove eventualne izmjene), broj prijavljenih projekata, vezane podatke i analitiku prijavljenih projekata te doprinos projekata ciljevima i pokazateljima, praćenje ostvarenja Financijskog plana i ispravnosti utroška proračunskih sredstava, a koji bi bio usklađen i s obveznim sadržajem godišnjeg izvješća o radu (provedbi LRSR) </w:t>
      </w:r>
      <w:r w:rsidR="00A96FF7" w:rsidRPr="00332AB5">
        <w:rPr>
          <w:sz w:val="24"/>
          <w:szCs w:val="24"/>
        </w:rPr>
        <w:t>UT-</w:t>
      </w:r>
      <w:r w:rsidR="000C6D31" w:rsidRPr="00332AB5">
        <w:rPr>
          <w:sz w:val="24"/>
          <w:szCs w:val="24"/>
        </w:rPr>
        <w:t>a</w:t>
      </w:r>
    </w:p>
    <w:p w14:paraId="43A9EAA3" w14:textId="53E492DF" w:rsidR="002A2D38" w:rsidRPr="00332AB5" w:rsidRDefault="002A2D38">
      <w:pPr>
        <w:numPr>
          <w:ilvl w:val="0"/>
          <w:numId w:val="16"/>
        </w:numPr>
        <w:spacing w:before="120" w:after="120"/>
        <w:jc w:val="both"/>
        <w:rPr>
          <w:sz w:val="24"/>
          <w:szCs w:val="24"/>
        </w:rPr>
      </w:pPr>
      <w:r w:rsidRPr="00332AB5">
        <w:rPr>
          <w:sz w:val="24"/>
          <w:szCs w:val="24"/>
        </w:rPr>
        <w:t>Predlaže se razmisliti o omogućavanju modela predfinanciranja projekata, što je od strane ključnih dionika više puta naglašeno kao jedno od ključnih pitanja za osiguravanje većeg broja prijavitelja. Nadalje, predlaže se poticati aktivnu komunikaciju s poslovnim bankama oko osiguranja adekvatnih financijskih paketa za potporu korisnicima u provedbi projekata koji se sufinanciraju iz OPPiR</w:t>
      </w:r>
      <w:r w:rsidR="00A75FDC" w:rsidRPr="00332AB5">
        <w:rPr>
          <w:sz w:val="24"/>
          <w:szCs w:val="24"/>
        </w:rPr>
        <w:t>-a</w:t>
      </w:r>
    </w:p>
    <w:p w14:paraId="689B5411" w14:textId="3042A2D5" w:rsidR="002A2D38" w:rsidRPr="00332AB5" w:rsidRDefault="002A2D38">
      <w:pPr>
        <w:numPr>
          <w:ilvl w:val="0"/>
          <w:numId w:val="16"/>
        </w:numPr>
        <w:spacing w:before="120" w:after="120"/>
        <w:jc w:val="both"/>
        <w:rPr>
          <w:sz w:val="24"/>
          <w:szCs w:val="24"/>
        </w:rPr>
      </w:pPr>
      <w:r w:rsidRPr="00332AB5">
        <w:rPr>
          <w:sz w:val="24"/>
          <w:szCs w:val="24"/>
        </w:rPr>
        <w:t>Predlaže se odustajanje od koncepta obvezujućih ponuda za dokazivanje realnosti iznosa troška i omogućavanje prijaviteljima da u sklopu projektne prijave prilože neobvezujuće ponude, jer iz vrednovanja nije vidljiva dodana vrijednost navedenog koncepta niti rizici koji bi isti opravdali, dok bi navedeni prijedlog imao pozitivnog utjecaja na potencijalne projektne prijedloge</w:t>
      </w:r>
    </w:p>
    <w:p w14:paraId="29F4FCC0" w14:textId="4F0B4E6B" w:rsidR="002A2D38" w:rsidRPr="00332AB5" w:rsidRDefault="002A2D38">
      <w:pPr>
        <w:numPr>
          <w:ilvl w:val="0"/>
          <w:numId w:val="16"/>
        </w:numPr>
        <w:spacing w:before="120" w:after="120"/>
        <w:jc w:val="both"/>
        <w:rPr>
          <w:sz w:val="24"/>
          <w:szCs w:val="24"/>
        </w:rPr>
      </w:pPr>
      <w:r w:rsidRPr="00332AB5">
        <w:rPr>
          <w:sz w:val="24"/>
          <w:szCs w:val="24"/>
        </w:rPr>
        <w:t xml:space="preserve">Kontinuirano jačati kapacitete LAGUR-a za pripremu i provedbu strategija, kao i intenzivirati edukativne i informativne aktivnosti u </w:t>
      </w:r>
      <w:r w:rsidR="00254B1E" w:rsidRPr="00332AB5">
        <w:rPr>
          <w:sz w:val="24"/>
          <w:szCs w:val="24"/>
        </w:rPr>
        <w:t>razdoblju</w:t>
      </w:r>
      <w:r w:rsidRPr="00332AB5">
        <w:rPr>
          <w:sz w:val="24"/>
          <w:szCs w:val="24"/>
        </w:rPr>
        <w:t xml:space="preserve"> pripreme budućih LRSR-ova</w:t>
      </w:r>
    </w:p>
    <w:p w14:paraId="36910CCB" w14:textId="01F035CD" w:rsidR="002A2D38" w:rsidRPr="00332AB5" w:rsidRDefault="002A2D38">
      <w:pPr>
        <w:numPr>
          <w:ilvl w:val="0"/>
          <w:numId w:val="16"/>
        </w:numPr>
        <w:spacing w:before="120" w:after="120"/>
        <w:jc w:val="both"/>
        <w:rPr>
          <w:sz w:val="24"/>
          <w:szCs w:val="24"/>
        </w:rPr>
      </w:pPr>
      <w:r w:rsidRPr="00332AB5">
        <w:rPr>
          <w:sz w:val="24"/>
          <w:szCs w:val="24"/>
        </w:rPr>
        <w:t>Osigurati dodatnu edukaciju LAGUR-a o širim temama koje se tiču plavog rasta, EU taksonomije i drugih aktualnih tema.</w:t>
      </w:r>
    </w:p>
    <w:p w14:paraId="657F7947" w14:textId="36102FE7" w:rsidR="002A2D38" w:rsidRPr="00332AB5" w:rsidRDefault="00AB1CAC" w:rsidP="002A2D38">
      <w:pPr>
        <w:spacing w:before="120" w:after="120"/>
        <w:jc w:val="both"/>
        <w:rPr>
          <w:sz w:val="24"/>
          <w:szCs w:val="24"/>
        </w:rPr>
      </w:pPr>
      <w:bookmarkStart w:id="110" w:name="_Hlk138146656"/>
      <w:r w:rsidRPr="00332AB5">
        <w:rPr>
          <w:sz w:val="24"/>
          <w:szCs w:val="24"/>
        </w:rPr>
        <w:lastRenderedPageBreak/>
        <w:t>Na temelju prethodno navedenih preporuka vrednovanja izrađen je Akcijski plan za unaprjeđenje procesa pripreme i provedbe LRSR u programskom razdoblju 2021. - 2027. Isti je upućen Službama/Odjelima nadležnima za provedbu pojedinih preporuka vrednovanja te se, slijedom navedenoga, nastavlja praćenje i provedba preporuka iz provedenog vrednovanja, a sukladno Akcijskom planu</w:t>
      </w:r>
      <w:r w:rsidR="002A2D38" w:rsidRPr="00332AB5">
        <w:rPr>
          <w:sz w:val="24"/>
          <w:szCs w:val="24"/>
        </w:rPr>
        <w:t>.</w:t>
      </w:r>
    </w:p>
    <w:bookmarkEnd w:id="110"/>
    <w:p w14:paraId="28948D10" w14:textId="331E4C91" w:rsidR="008D6B07" w:rsidRPr="00332AB5" w:rsidRDefault="008D6B07" w:rsidP="008D6B07">
      <w:pPr>
        <w:spacing w:before="120" w:after="120"/>
        <w:jc w:val="both"/>
        <w:rPr>
          <w:sz w:val="24"/>
          <w:szCs w:val="24"/>
        </w:rPr>
      </w:pPr>
      <w:r w:rsidRPr="00332AB5">
        <w:rPr>
          <w:sz w:val="24"/>
          <w:szCs w:val="24"/>
        </w:rPr>
        <w:t xml:space="preserve">Uz navedeno, utvrđena je potreba za podizanjem razine upravljanja u svim procesima s posebnim naglaskom na podizanju broja službenika i kompetencija službenika sustava upravljanja i kontrole, uzimajući u obzir iskustvo stečeno u smislu povećane razine radne </w:t>
      </w:r>
      <w:r w:rsidR="0063191F" w:rsidRPr="00332AB5">
        <w:rPr>
          <w:sz w:val="24"/>
          <w:szCs w:val="24"/>
        </w:rPr>
        <w:t>opterećenosti</w:t>
      </w:r>
      <w:r w:rsidRPr="00332AB5">
        <w:rPr>
          <w:sz w:val="24"/>
          <w:szCs w:val="24"/>
        </w:rPr>
        <w:t xml:space="preserve"> uslijed dodatnih mjera potpore uvedenih kao pomoć u ublažavanju posljedica </w:t>
      </w:r>
      <w:r w:rsidR="002A2D38" w:rsidRPr="00332AB5">
        <w:rPr>
          <w:sz w:val="24"/>
          <w:szCs w:val="24"/>
        </w:rPr>
        <w:t xml:space="preserve">kako </w:t>
      </w:r>
      <w:r w:rsidRPr="00332AB5">
        <w:rPr>
          <w:sz w:val="24"/>
          <w:szCs w:val="24"/>
        </w:rPr>
        <w:t>COVID</w:t>
      </w:r>
      <w:r w:rsidR="00D716BA" w:rsidRPr="00332AB5">
        <w:rPr>
          <w:sz w:val="24"/>
          <w:szCs w:val="24"/>
        </w:rPr>
        <w:t>-a</w:t>
      </w:r>
      <w:r w:rsidRPr="00332AB5">
        <w:rPr>
          <w:sz w:val="24"/>
          <w:szCs w:val="24"/>
        </w:rPr>
        <w:t>-19</w:t>
      </w:r>
      <w:r w:rsidR="002A2D38" w:rsidRPr="00332AB5">
        <w:rPr>
          <w:sz w:val="24"/>
          <w:szCs w:val="24"/>
        </w:rPr>
        <w:t>, tako i ratnih zbivanja u Ukrajini</w:t>
      </w:r>
      <w:r w:rsidRPr="00332AB5">
        <w:rPr>
          <w:sz w:val="24"/>
          <w:szCs w:val="24"/>
        </w:rPr>
        <w:t xml:space="preserve">, kao i u usporednom procesu provedbe OPPiR-a i </w:t>
      </w:r>
      <w:r w:rsidR="004933FD" w:rsidRPr="00332AB5">
        <w:rPr>
          <w:sz w:val="24"/>
          <w:szCs w:val="24"/>
        </w:rPr>
        <w:t>provedbe</w:t>
      </w:r>
      <w:r w:rsidRPr="00332AB5">
        <w:rPr>
          <w:sz w:val="24"/>
          <w:szCs w:val="24"/>
        </w:rPr>
        <w:t xml:space="preserve"> novog programa za 2021</w:t>
      </w:r>
      <w:r w:rsidR="000F59CF" w:rsidRPr="00332AB5">
        <w:rPr>
          <w:sz w:val="24"/>
          <w:szCs w:val="24"/>
        </w:rPr>
        <w:t>. –</w:t>
      </w:r>
      <w:r w:rsidR="00A96FF7" w:rsidRPr="00332AB5">
        <w:rPr>
          <w:sz w:val="24"/>
          <w:szCs w:val="24"/>
        </w:rPr>
        <w:t xml:space="preserve"> </w:t>
      </w:r>
      <w:r w:rsidRPr="00332AB5">
        <w:rPr>
          <w:sz w:val="24"/>
          <w:szCs w:val="24"/>
        </w:rPr>
        <w:t>2027.</w:t>
      </w:r>
    </w:p>
    <w:p w14:paraId="7981FB05" w14:textId="77777777" w:rsidR="008D6B07" w:rsidRPr="00332AB5" w:rsidRDefault="008D6B07" w:rsidP="00B12ACB">
      <w:pPr>
        <w:jc w:val="both"/>
        <w:rPr>
          <w:sz w:val="24"/>
          <w:szCs w:val="24"/>
        </w:rPr>
      </w:pPr>
    </w:p>
    <w:p w14:paraId="133BE560" w14:textId="77777777" w:rsidR="001C3462" w:rsidRPr="00332AB5" w:rsidRDefault="001C3462" w:rsidP="00E24CF9">
      <w:pPr>
        <w:spacing w:before="120" w:after="120"/>
        <w:jc w:val="both"/>
        <w:rPr>
          <w:sz w:val="24"/>
          <w:szCs w:val="24"/>
        </w:rPr>
      </w:pPr>
      <w:bookmarkStart w:id="111" w:name="_Hlk57638237"/>
      <w:r w:rsidRPr="00332AB5">
        <w:rPr>
          <w:sz w:val="24"/>
          <w:szCs w:val="24"/>
        </w:rPr>
        <w:t>PROGRAMI TERITORIJALNE SURADNJE ZA FINANCIJSKO RAZDOBLJE 2014. – 2020.</w:t>
      </w:r>
    </w:p>
    <w:p w14:paraId="7BDB3DC2" w14:textId="77777777" w:rsidR="0064691F" w:rsidRPr="00332AB5" w:rsidRDefault="0064691F" w:rsidP="0064691F">
      <w:pPr>
        <w:spacing w:before="120" w:after="120"/>
        <w:jc w:val="both"/>
        <w:rPr>
          <w:sz w:val="24"/>
          <w:szCs w:val="24"/>
        </w:rPr>
      </w:pPr>
      <w:r w:rsidRPr="00332AB5">
        <w:rPr>
          <w:sz w:val="24"/>
          <w:szCs w:val="24"/>
        </w:rPr>
        <w:t>Prepoznato je nekoliko izazova s kojima se sustav upravljanja i kontrole susretao i susreće:</w:t>
      </w:r>
    </w:p>
    <w:p w14:paraId="24DD29EC" w14:textId="5E0F0DBB" w:rsidR="0064691F" w:rsidRPr="00332AB5" w:rsidRDefault="0064691F">
      <w:pPr>
        <w:numPr>
          <w:ilvl w:val="0"/>
          <w:numId w:val="13"/>
        </w:numPr>
        <w:spacing w:before="120" w:after="120"/>
        <w:jc w:val="both"/>
        <w:rPr>
          <w:sz w:val="24"/>
          <w:szCs w:val="24"/>
        </w:rPr>
      </w:pPr>
      <w:r w:rsidRPr="00332AB5">
        <w:rPr>
          <w:sz w:val="24"/>
          <w:szCs w:val="24"/>
        </w:rPr>
        <w:t>potreba za daljnjim jačanjem kapaciteta tijela u sustavu upravljanja i kontrola (povećanje broja službenika, daljnje zapošljavanje i edukacija)</w:t>
      </w:r>
    </w:p>
    <w:p w14:paraId="539E12AF" w14:textId="69DD28AD" w:rsidR="0064691F" w:rsidRPr="00332AB5" w:rsidRDefault="0064691F">
      <w:pPr>
        <w:numPr>
          <w:ilvl w:val="0"/>
          <w:numId w:val="13"/>
        </w:numPr>
        <w:spacing w:before="120" w:after="120"/>
        <w:jc w:val="both"/>
        <w:rPr>
          <w:sz w:val="24"/>
          <w:szCs w:val="24"/>
        </w:rPr>
      </w:pPr>
      <w:r w:rsidRPr="00332AB5">
        <w:rPr>
          <w:sz w:val="24"/>
          <w:szCs w:val="24"/>
        </w:rPr>
        <w:t>potreba za dodatnim pojednostavljenjem procedura upravljanja i kontrole</w:t>
      </w:r>
    </w:p>
    <w:p w14:paraId="723F9624" w14:textId="4379DF5A" w:rsidR="0064691F" w:rsidRPr="00332AB5" w:rsidRDefault="0064691F">
      <w:pPr>
        <w:numPr>
          <w:ilvl w:val="0"/>
          <w:numId w:val="13"/>
        </w:numPr>
        <w:spacing w:before="120" w:after="120"/>
        <w:jc w:val="both"/>
        <w:rPr>
          <w:sz w:val="24"/>
          <w:szCs w:val="24"/>
        </w:rPr>
      </w:pPr>
      <w:r w:rsidRPr="00332AB5">
        <w:rPr>
          <w:sz w:val="24"/>
          <w:szCs w:val="24"/>
        </w:rPr>
        <w:t>potreba za ubrzavanjem provedbe kontrole od strane tijela u sustavu upravljanja</w:t>
      </w:r>
    </w:p>
    <w:p w14:paraId="0C6FE9BA" w14:textId="646E714D" w:rsidR="0064691F" w:rsidRPr="00332AB5" w:rsidRDefault="0064691F">
      <w:pPr>
        <w:numPr>
          <w:ilvl w:val="0"/>
          <w:numId w:val="13"/>
        </w:numPr>
        <w:spacing w:before="120" w:after="120"/>
        <w:jc w:val="both"/>
        <w:rPr>
          <w:sz w:val="24"/>
          <w:szCs w:val="24"/>
        </w:rPr>
      </w:pPr>
      <w:r w:rsidRPr="00332AB5">
        <w:rPr>
          <w:sz w:val="24"/>
          <w:szCs w:val="24"/>
        </w:rPr>
        <w:t xml:space="preserve">izazovi održavanja kontinuiteta provedbe projekata zbog </w:t>
      </w:r>
      <w:r w:rsidR="00DE6269" w:rsidRPr="00332AB5">
        <w:rPr>
          <w:sz w:val="24"/>
          <w:szCs w:val="24"/>
        </w:rPr>
        <w:t>inflatornog pritiska na cijene</w:t>
      </w:r>
      <w:r w:rsidRPr="00332AB5">
        <w:rPr>
          <w:sz w:val="24"/>
          <w:szCs w:val="24"/>
        </w:rPr>
        <w:t>.</w:t>
      </w:r>
    </w:p>
    <w:p w14:paraId="3C6647C8" w14:textId="77777777" w:rsidR="0064691F" w:rsidRPr="00332AB5" w:rsidRDefault="0064691F" w:rsidP="00080C75">
      <w:pPr>
        <w:spacing w:before="120" w:after="120"/>
        <w:jc w:val="both"/>
        <w:rPr>
          <w:sz w:val="24"/>
          <w:szCs w:val="24"/>
        </w:rPr>
      </w:pPr>
      <w:r w:rsidRPr="00332AB5">
        <w:rPr>
          <w:sz w:val="24"/>
          <w:szCs w:val="24"/>
        </w:rPr>
        <w:t>S korisničke razine najveći izazov je osigurati vlastito sufinanciranje projekata te predfinancirati projektne aktivnosti do trenutka prve isplate sredstava. Također, potrebno je jačati administrativne, financijske i operativne kapacitete korisnika.</w:t>
      </w:r>
    </w:p>
    <w:p w14:paraId="3ADC9AE0" w14:textId="0A47735C" w:rsidR="00506BA2" w:rsidRPr="00332AB5" w:rsidRDefault="00B66762" w:rsidP="00080C75">
      <w:pPr>
        <w:spacing w:before="120" w:after="120"/>
        <w:jc w:val="both"/>
        <w:rPr>
          <w:sz w:val="24"/>
          <w:szCs w:val="24"/>
        </w:rPr>
      </w:pPr>
      <w:r w:rsidRPr="00332AB5">
        <w:rPr>
          <w:sz w:val="24"/>
          <w:szCs w:val="24"/>
        </w:rPr>
        <w:t>Konačno izvješće o učinkovitosti Programa (Interreg IPA Hrvatska</w:t>
      </w:r>
      <w:r w:rsidR="001345F3" w:rsidRPr="00332AB5">
        <w:rPr>
          <w:sz w:val="24"/>
          <w:szCs w:val="24"/>
        </w:rPr>
        <w:t xml:space="preserve"> </w:t>
      </w:r>
      <w:r w:rsidRPr="00332AB5">
        <w:rPr>
          <w:sz w:val="24"/>
          <w:szCs w:val="24"/>
        </w:rPr>
        <w:t>-</w:t>
      </w:r>
      <w:r w:rsidR="001345F3" w:rsidRPr="00332AB5">
        <w:rPr>
          <w:sz w:val="24"/>
          <w:szCs w:val="24"/>
        </w:rPr>
        <w:t xml:space="preserve"> </w:t>
      </w:r>
      <w:r w:rsidRPr="00332AB5">
        <w:rPr>
          <w:sz w:val="24"/>
          <w:szCs w:val="24"/>
        </w:rPr>
        <w:t>Bosna i Hercegovina</w:t>
      </w:r>
      <w:r w:rsidR="001345F3" w:rsidRPr="00332AB5">
        <w:rPr>
          <w:sz w:val="24"/>
          <w:szCs w:val="24"/>
        </w:rPr>
        <w:t xml:space="preserve"> </w:t>
      </w:r>
      <w:r w:rsidRPr="00332AB5">
        <w:rPr>
          <w:sz w:val="24"/>
          <w:szCs w:val="24"/>
        </w:rPr>
        <w:t>- Crna Gora</w:t>
      </w:r>
      <w:r w:rsidR="001345F3" w:rsidRPr="00332AB5">
        <w:rPr>
          <w:sz w:val="24"/>
          <w:szCs w:val="24"/>
        </w:rPr>
        <w:t xml:space="preserve"> 2014. – 2020.</w:t>
      </w:r>
      <w:r w:rsidRPr="00332AB5">
        <w:rPr>
          <w:sz w:val="24"/>
          <w:szCs w:val="24"/>
        </w:rPr>
        <w:t xml:space="preserve"> te Hrvatska</w:t>
      </w:r>
      <w:r w:rsidR="001345F3" w:rsidRPr="00332AB5">
        <w:rPr>
          <w:sz w:val="24"/>
          <w:szCs w:val="24"/>
        </w:rPr>
        <w:t xml:space="preserve"> </w:t>
      </w:r>
      <w:r w:rsidRPr="00332AB5">
        <w:rPr>
          <w:sz w:val="24"/>
          <w:szCs w:val="24"/>
        </w:rPr>
        <w:t>-</w:t>
      </w:r>
      <w:r w:rsidR="001345F3" w:rsidRPr="00332AB5">
        <w:rPr>
          <w:sz w:val="24"/>
          <w:szCs w:val="24"/>
        </w:rPr>
        <w:t xml:space="preserve"> </w:t>
      </w:r>
      <w:r w:rsidRPr="00332AB5">
        <w:rPr>
          <w:sz w:val="24"/>
          <w:szCs w:val="24"/>
        </w:rPr>
        <w:t>Srbija 2014.</w:t>
      </w:r>
      <w:r w:rsidR="00BA4305" w:rsidRPr="00332AB5">
        <w:rPr>
          <w:sz w:val="24"/>
          <w:szCs w:val="24"/>
        </w:rPr>
        <w:t xml:space="preserve"> </w:t>
      </w:r>
      <w:r w:rsidRPr="00332AB5">
        <w:rPr>
          <w:sz w:val="24"/>
          <w:szCs w:val="24"/>
        </w:rPr>
        <w:t>-</w:t>
      </w:r>
      <w:r w:rsidR="00BA4305" w:rsidRPr="00332AB5">
        <w:rPr>
          <w:sz w:val="24"/>
          <w:szCs w:val="24"/>
        </w:rPr>
        <w:t xml:space="preserve"> </w:t>
      </w:r>
      <w:r w:rsidRPr="00332AB5">
        <w:rPr>
          <w:sz w:val="24"/>
          <w:szCs w:val="24"/>
        </w:rPr>
        <w:t xml:space="preserve">2020.) pokazalo je da sustav </w:t>
      </w:r>
      <w:r w:rsidR="006D0875" w:rsidRPr="00332AB5">
        <w:rPr>
          <w:sz w:val="24"/>
          <w:szCs w:val="24"/>
        </w:rPr>
        <w:t>dobro funkcionira</w:t>
      </w:r>
      <w:r w:rsidRPr="00332AB5">
        <w:rPr>
          <w:sz w:val="24"/>
          <w:szCs w:val="24"/>
        </w:rPr>
        <w:t>, kvaliteta upravljanja programima je na visokoj razini te je većina ciljnih vrijednosti programskih pokazatelja učinka već ostvarena ili će sigurno biti ostvarena do kraja 2023. Izvješće je također pokazalo visoku razinu zadovoljstva korisnika bespovratnih sredstava (održane brojne radionice o pripremi te o provedbi projekata, kvalitetno pripremljene upute kako za pripremu tako i za provedbu projekata, stalna komunikacija s korisnicima na dnevnoj osnovi).</w:t>
      </w:r>
      <w:bookmarkEnd w:id="111"/>
      <w:r w:rsidR="0064691F" w:rsidRPr="00332AB5">
        <w:t xml:space="preserve"> </w:t>
      </w:r>
      <w:r w:rsidR="0064691F" w:rsidRPr="00332AB5">
        <w:rPr>
          <w:sz w:val="24"/>
          <w:szCs w:val="24"/>
        </w:rPr>
        <w:t>Međutim, postoji potreba za ubrzavanjem kontrolnih procesa što je moguće osigurati kroz jačanje i povećanje administrativnih kapaciteta.</w:t>
      </w:r>
    </w:p>
    <w:p w14:paraId="3C2E4756" w14:textId="2BF863C4" w:rsidR="0064691F" w:rsidRPr="00332AB5" w:rsidRDefault="00506BA2" w:rsidP="00080C75">
      <w:pPr>
        <w:spacing w:before="120" w:after="120"/>
        <w:jc w:val="both"/>
        <w:rPr>
          <w:sz w:val="24"/>
          <w:szCs w:val="24"/>
        </w:rPr>
      </w:pPr>
      <w:r w:rsidRPr="00332AB5">
        <w:rPr>
          <w:sz w:val="24"/>
          <w:szCs w:val="24"/>
        </w:rPr>
        <w:t xml:space="preserve">S obzirom da je interes prijavitelja za sudjelovanjem u ETS </w:t>
      </w:r>
      <w:r w:rsidR="009535AB" w:rsidRPr="00332AB5">
        <w:rPr>
          <w:sz w:val="24"/>
          <w:szCs w:val="24"/>
        </w:rPr>
        <w:t>P</w:t>
      </w:r>
      <w:r w:rsidRPr="00332AB5">
        <w:rPr>
          <w:sz w:val="24"/>
          <w:szCs w:val="24"/>
        </w:rPr>
        <w:t>rogramima suradnje višestruko veći od dostupnih sredstava</w:t>
      </w:r>
      <w:r w:rsidR="00BA4305" w:rsidRPr="00332AB5">
        <w:rPr>
          <w:sz w:val="24"/>
          <w:szCs w:val="24"/>
        </w:rPr>
        <w:t>,</w:t>
      </w:r>
      <w:r w:rsidRPr="00332AB5">
        <w:rPr>
          <w:sz w:val="24"/>
          <w:szCs w:val="24"/>
        </w:rPr>
        <w:t xml:space="preserve"> </w:t>
      </w:r>
      <w:r w:rsidR="00BF3033" w:rsidRPr="00332AB5">
        <w:rPr>
          <w:sz w:val="24"/>
          <w:szCs w:val="24"/>
        </w:rPr>
        <w:t>osigurana je</w:t>
      </w:r>
      <w:r w:rsidRPr="00332AB5">
        <w:rPr>
          <w:sz w:val="24"/>
          <w:szCs w:val="24"/>
        </w:rPr>
        <w:t xml:space="preserve"> već</w:t>
      </w:r>
      <w:r w:rsidR="00BF3033" w:rsidRPr="00332AB5">
        <w:rPr>
          <w:sz w:val="24"/>
          <w:szCs w:val="24"/>
        </w:rPr>
        <w:t>a</w:t>
      </w:r>
      <w:r w:rsidRPr="00332AB5">
        <w:rPr>
          <w:sz w:val="24"/>
          <w:szCs w:val="24"/>
        </w:rPr>
        <w:t xml:space="preserve"> alokacij</w:t>
      </w:r>
      <w:r w:rsidR="00BF3033" w:rsidRPr="00332AB5">
        <w:rPr>
          <w:sz w:val="24"/>
          <w:szCs w:val="24"/>
        </w:rPr>
        <w:t>a</w:t>
      </w:r>
      <w:r w:rsidRPr="00332AB5">
        <w:rPr>
          <w:sz w:val="24"/>
          <w:szCs w:val="24"/>
        </w:rPr>
        <w:t xml:space="preserve"> za </w:t>
      </w:r>
      <w:r w:rsidR="00991299" w:rsidRPr="00332AB5">
        <w:rPr>
          <w:sz w:val="24"/>
          <w:szCs w:val="24"/>
        </w:rPr>
        <w:t>nov</w:t>
      </w:r>
      <w:r w:rsidRPr="00332AB5">
        <w:rPr>
          <w:sz w:val="24"/>
          <w:szCs w:val="24"/>
        </w:rPr>
        <w:t>e programe u razdoblju 2021.</w:t>
      </w:r>
      <w:r w:rsidR="00BA4305" w:rsidRPr="00332AB5">
        <w:rPr>
          <w:sz w:val="24"/>
          <w:szCs w:val="24"/>
        </w:rPr>
        <w:t xml:space="preserve"> </w:t>
      </w:r>
      <w:r w:rsidRPr="00332AB5">
        <w:rPr>
          <w:sz w:val="24"/>
          <w:szCs w:val="24"/>
        </w:rPr>
        <w:t>- 2027.</w:t>
      </w:r>
    </w:p>
    <w:p w14:paraId="7078028D" w14:textId="698476BB" w:rsidR="00E416E6" w:rsidRPr="00332AB5" w:rsidRDefault="00BF3033" w:rsidP="004467BF">
      <w:pPr>
        <w:spacing w:before="120" w:after="120"/>
        <w:jc w:val="both"/>
        <w:rPr>
          <w:rStyle w:val="Heading1Char"/>
          <w:b w:val="0"/>
          <w:caps w:val="0"/>
          <w:sz w:val="24"/>
          <w:szCs w:val="24"/>
        </w:rPr>
      </w:pPr>
      <w:r w:rsidRPr="00332AB5">
        <w:rPr>
          <w:sz w:val="24"/>
          <w:szCs w:val="24"/>
        </w:rPr>
        <w:lastRenderedPageBreak/>
        <w:t>Potrebno je pojednostaviti procese kontrole te ubrzati isplate prema korisnicima sredstava.</w:t>
      </w:r>
      <w:bookmarkStart w:id="112" w:name="_Toc351026082"/>
      <w:bookmarkStart w:id="113" w:name="_Toc351361276"/>
      <w:bookmarkStart w:id="114" w:name="_Toc351361521"/>
      <w:bookmarkStart w:id="115" w:name="_Toc351361562"/>
      <w:bookmarkStart w:id="116" w:name="_Toc351361609"/>
      <w:bookmarkStart w:id="117" w:name="_Toc351444799"/>
      <w:bookmarkStart w:id="118" w:name="_Toc351465565"/>
      <w:bookmarkStart w:id="119" w:name="_Toc355359816"/>
      <w:bookmarkStart w:id="120" w:name="_Toc357071090"/>
      <w:bookmarkStart w:id="121" w:name="_Toc372635481"/>
      <w:bookmarkEnd w:id="41"/>
      <w:r w:rsidR="00E416E6" w:rsidRPr="00332AB5">
        <w:rPr>
          <w:rStyle w:val="Heading1Char"/>
          <w:rFonts w:eastAsia="SimSun"/>
          <w:b w:val="0"/>
          <w:caps w:val="0"/>
        </w:rPr>
        <w:br w:type="page"/>
      </w:r>
    </w:p>
    <w:p w14:paraId="4706C77E" w14:textId="77777777" w:rsidR="00710808" w:rsidRPr="00332AB5" w:rsidRDefault="00710808" w:rsidP="0082452F">
      <w:pPr>
        <w:pStyle w:val="Heading1"/>
        <w:rPr>
          <w:rFonts w:eastAsia="SimSun"/>
        </w:rPr>
      </w:pPr>
      <w:bookmarkStart w:id="122" w:name="_Toc152595239"/>
      <w:bookmarkStart w:id="123" w:name="_Hlk115787623"/>
      <w:r w:rsidRPr="00332AB5">
        <w:rPr>
          <w:rStyle w:val="Heading1Char"/>
          <w:rFonts w:eastAsia="SimSun"/>
          <w:b/>
          <w:caps/>
        </w:rPr>
        <w:lastRenderedPageBreak/>
        <w:t>NEPRAVILNOSTI</w:t>
      </w:r>
      <w:bookmarkEnd w:id="112"/>
      <w:bookmarkEnd w:id="113"/>
      <w:bookmarkEnd w:id="114"/>
      <w:bookmarkEnd w:id="115"/>
      <w:bookmarkEnd w:id="116"/>
      <w:bookmarkEnd w:id="117"/>
      <w:bookmarkEnd w:id="118"/>
      <w:bookmarkEnd w:id="119"/>
      <w:bookmarkEnd w:id="120"/>
      <w:bookmarkEnd w:id="121"/>
      <w:bookmarkEnd w:id="122"/>
    </w:p>
    <w:p w14:paraId="4BE667CB" w14:textId="77777777" w:rsidR="005A44D5" w:rsidRPr="00332AB5" w:rsidRDefault="005A44D5" w:rsidP="005A44D5">
      <w:pPr>
        <w:spacing w:before="120" w:after="120"/>
        <w:jc w:val="both"/>
        <w:rPr>
          <w:color w:val="000000" w:themeColor="text1"/>
          <w:sz w:val="24"/>
          <w:szCs w:val="24"/>
        </w:rPr>
      </w:pPr>
      <w:bookmarkStart w:id="124" w:name="_Hlk100308063"/>
      <w:bookmarkStart w:id="125" w:name="_Hlk133408143"/>
      <w:bookmarkEnd w:id="123"/>
      <w:r w:rsidRPr="00332AB5">
        <w:rPr>
          <w:color w:val="000000" w:themeColor="text1"/>
          <w:sz w:val="24"/>
          <w:szCs w:val="24"/>
        </w:rPr>
        <w:t>U razdoblju od početka financijskog razdoblja 2007. - 2013. do kraja drugog tromjesečja 2023. Europskom uredu za borbu protiv prijevara (OLAF) prijavljena</w:t>
      </w:r>
      <w:r w:rsidRPr="00332AB5">
        <w:rPr>
          <w:rStyle w:val="FootnoteReference"/>
          <w:color w:val="000000" w:themeColor="text1"/>
          <w:sz w:val="24"/>
          <w:szCs w:val="24"/>
        </w:rPr>
        <w:footnoteReference w:id="16"/>
      </w:r>
      <w:r w:rsidRPr="00332AB5">
        <w:rPr>
          <w:color w:val="000000" w:themeColor="text1"/>
          <w:sz w:val="24"/>
          <w:szCs w:val="24"/>
        </w:rPr>
        <w:t xml:space="preserve"> su 593 slučaja nepravilnosti u provedbi (operativnih) programa financijskog razdoblja 2007. - 2013. i (operativnih) programa financijskog razdoblja 2014. - 2020</w:t>
      </w:r>
      <w:r w:rsidRPr="00332AB5">
        <w:rPr>
          <w:rStyle w:val="FootnoteReference"/>
          <w:color w:val="000000" w:themeColor="text1"/>
          <w:sz w:val="24"/>
          <w:szCs w:val="24"/>
        </w:rPr>
        <w:footnoteReference w:id="17"/>
      </w:r>
      <w:r w:rsidRPr="00332AB5">
        <w:rPr>
          <w:color w:val="000000" w:themeColor="text1"/>
          <w:sz w:val="24"/>
          <w:szCs w:val="24"/>
        </w:rPr>
        <w:t>. Među navedenim slučajevima nepravilnosti, zatvoreno</w:t>
      </w:r>
      <w:r w:rsidRPr="00332AB5">
        <w:rPr>
          <w:rStyle w:val="FootnoteReference"/>
          <w:color w:val="000000" w:themeColor="text1"/>
          <w:sz w:val="24"/>
          <w:szCs w:val="24"/>
        </w:rPr>
        <w:footnoteReference w:id="18"/>
      </w:r>
      <w:r w:rsidRPr="00332AB5">
        <w:rPr>
          <w:color w:val="000000" w:themeColor="text1"/>
          <w:sz w:val="24"/>
          <w:szCs w:val="24"/>
        </w:rPr>
        <w:t xml:space="preserve"> je njih 203 (34,23 % prijavljenih slučajeva nepravilnosti). Razlika u broju zatvorenih slučajeva nepravilnosti u odnosu na prethodno izvještajno razdoblje proizlazi iz činjenice da je OLAF ponovo otvorio prethodno zatvorene slučajeve radi izmjena i dopuna izvještaja o nepravilnostima podacima koji su nedostajali, a što je velikim dijelom uzrokovano nedostacima u OLAF-ovom elektroničkom sustavu za izvještavanje o nepravilnostima (</w:t>
      </w:r>
      <w:r w:rsidRPr="00332AB5">
        <w:rPr>
          <w:i/>
          <w:color w:val="000000" w:themeColor="text1"/>
          <w:sz w:val="24"/>
          <w:szCs w:val="24"/>
        </w:rPr>
        <w:t>Irregularity Management System, IMS</w:t>
      </w:r>
      <w:r w:rsidRPr="00332AB5">
        <w:rPr>
          <w:color w:val="000000" w:themeColor="text1"/>
          <w:sz w:val="24"/>
          <w:szCs w:val="24"/>
        </w:rPr>
        <w:t xml:space="preserve">) koji su u procesu rješavanja. </w:t>
      </w:r>
    </w:p>
    <w:p w14:paraId="6128BAA0" w14:textId="77777777" w:rsidR="005A44D5" w:rsidRPr="00332AB5" w:rsidRDefault="005A44D5" w:rsidP="005A44D5">
      <w:pPr>
        <w:spacing w:before="120" w:after="120"/>
        <w:jc w:val="both"/>
        <w:rPr>
          <w:color w:val="000000" w:themeColor="text1"/>
          <w:sz w:val="24"/>
          <w:szCs w:val="24"/>
        </w:rPr>
      </w:pPr>
      <w:r w:rsidRPr="00332AB5">
        <w:rPr>
          <w:color w:val="000000" w:themeColor="text1"/>
          <w:sz w:val="24"/>
          <w:szCs w:val="24"/>
        </w:rPr>
        <w:t xml:space="preserve">Iznos koji se odnosi na nepravilnosti prijavljene OLAF-u u razdoblju od II. tromjesečja 2008. do kraja drugog tromjesečja 2023. čini otprilike 88,00 milijuna eura, od čega je EK-u ovjereno 56,22 milijuna eura (63,92 % ukupnog iznosa nepravilnosti). </w:t>
      </w:r>
    </w:p>
    <w:p w14:paraId="728C6AD5" w14:textId="77777777" w:rsidR="005A44D5" w:rsidRPr="00332AB5" w:rsidRDefault="005A44D5" w:rsidP="005A44D5">
      <w:pPr>
        <w:spacing w:before="120" w:after="120"/>
        <w:jc w:val="both"/>
        <w:rPr>
          <w:color w:val="000000" w:themeColor="text1"/>
          <w:sz w:val="24"/>
          <w:szCs w:val="24"/>
        </w:rPr>
      </w:pPr>
      <w:r w:rsidRPr="00332AB5">
        <w:rPr>
          <w:color w:val="000000" w:themeColor="text1"/>
          <w:sz w:val="24"/>
          <w:szCs w:val="24"/>
        </w:rPr>
        <w:t xml:space="preserve">Ako se promatra </w:t>
      </w:r>
      <w:r w:rsidRPr="00332AB5">
        <w:rPr>
          <w:b/>
          <w:color w:val="000000" w:themeColor="text1"/>
          <w:sz w:val="24"/>
          <w:szCs w:val="24"/>
        </w:rPr>
        <w:t>broj nepravilnosti</w:t>
      </w:r>
      <w:r w:rsidRPr="00332AB5">
        <w:rPr>
          <w:color w:val="000000" w:themeColor="text1"/>
          <w:sz w:val="24"/>
          <w:szCs w:val="24"/>
        </w:rPr>
        <w:t xml:space="preserve">, u </w:t>
      </w:r>
      <w:r w:rsidRPr="00332AB5">
        <w:rPr>
          <w:b/>
          <w:color w:val="000000" w:themeColor="text1"/>
          <w:sz w:val="24"/>
          <w:szCs w:val="24"/>
        </w:rPr>
        <w:t>financijskom razdoblju 2007. - 2013.,</w:t>
      </w:r>
      <w:r w:rsidRPr="00332AB5">
        <w:rPr>
          <w:color w:val="000000" w:themeColor="text1"/>
          <w:sz w:val="24"/>
          <w:szCs w:val="24"/>
        </w:rPr>
        <w:t xml:space="preserve"> najveći dio nepravilnosti odnosio se na komponentu II programa IPA – Prekogranična suradnja (31,68 %), nakon čega slijede IPARD (19,25 %) i EFRR (18,01 %). Ako se, s druge strane, promatra </w:t>
      </w:r>
      <w:r w:rsidRPr="00332AB5">
        <w:rPr>
          <w:b/>
          <w:color w:val="000000" w:themeColor="text1"/>
          <w:sz w:val="24"/>
          <w:szCs w:val="24"/>
        </w:rPr>
        <w:t>iznos nepravilnosti</w:t>
      </w:r>
      <w:r w:rsidRPr="00332AB5">
        <w:rPr>
          <w:color w:val="000000" w:themeColor="text1"/>
          <w:sz w:val="24"/>
          <w:szCs w:val="24"/>
        </w:rPr>
        <w:t xml:space="preserve"> u istom razdoblju, najveći udio u ukupnom iznosu nepravilnosti imaju EFRR (</w:t>
      </w:r>
      <w:r w:rsidRPr="00332AB5">
        <w:rPr>
          <w:sz w:val="24"/>
          <w:szCs w:val="24"/>
        </w:rPr>
        <w:t>58,</w:t>
      </w:r>
      <w:r w:rsidRPr="00332AB5">
        <w:rPr>
          <w:color w:val="000000" w:themeColor="text1"/>
          <w:sz w:val="24"/>
          <w:szCs w:val="24"/>
        </w:rPr>
        <w:t>22 %), KF (14,96 %) i IPARD (11,83 %).</w:t>
      </w:r>
    </w:p>
    <w:p w14:paraId="0FEB5E00" w14:textId="77777777" w:rsidR="005A44D5" w:rsidRPr="00332AB5" w:rsidRDefault="005A44D5" w:rsidP="005A44D5">
      <w:pPr>
        <w:spacing w:before="120" w:after="120"/>
        <w:jc w:val="both"/>
        <w:rPr>
          <w:color w:val="000000" w:themeColor="text1"/>
          <w:sz w:val="24"/>
          <w:szCs w:val="24"/>
        </w:rPr>
      </w:pPr>
      <w:r w:rsidRPr="00332AB5">
        <w:rPr>
          <w:b/>
          <w:color w:val="000000" w:themeColor="text1"/>
          <w:sz w:val="24"/>
          <w:szCs w:val="24"/>
        </w:rPr>
        <w:t>U financijskom razdoblju 2014. - 2020.</w:t>
      </w:r>
      <w:r w:rsidRPr="00332AB5">
        <w:rPr>
          <w:color w:val="000000" w:themeColor="text1"/>
          <w:sz w:val="24"/>
          <w:szCs w:val="24"/>
        </w:rPr>
        <w:t xml:space="preserve">, najveći </w:t>
      </w:r>
      <w:r w:rsidRPr="00332AB5">
        <w:rPr>
          <w:b/>
          <w:color w:val="000000" w:themeColor="text1"/>
          <w:sz w:val="24"/>
          <w:szCs w:val="24"/>
        </w:rPr>
        <w:t>broj nepravilnosti</w:t>
      </w:r>
      <w:r w:rsidRPr="00332AB5">
        <w:rPr>
          <w:color w:val="000000" w:themeColor="text1"/>
          <w:sz w:val="24"/>
          <w:szCs w:val="24"/>
        </w:rPr>
        <w:t xml:space="preserve"> utvrđen je u okviru EPFRR-a (59,95 %), nakon čega slijede EFRR (15,51 %) i ESF (12,04 %). Ako se promatra </w:t>
      </w:r>
      <w:r w:rsidRPr="00332AB5">
        <w:rPr>
          <w:b/>
          <w:color w:val="000000" w:themeColor="text1"/>
          <w:sz w:val="24"/>
          <w:szCs w:val="24"/>
        </w:rPr>
        <w:t>iznos nepravilnosti</w:t>
      </w:r>
      <w:r w:rsidRPr="00332AB5">
        <w:rPr>
          <w:color w:val="000000" w:themeColor="text1"/>
          <w:sz w:val="24"/>
          <w:szCs w:val="24"/>
        </w:rPr>
        <w:t xml:space="preserve"> u istom razdoblju, najveći udio u ukupnom iznosu nepravilnosti imaju KF (36,38 %), EFRR (21,91 %) i ESF (19,39 %).</w:t>
      </w:r>
    </w:p>
    <w:bookmarkEnd w:id="124"/>
    <w:p w14:paraId="5381D9C6" w14:textId="2C4A303A" w:rsidR="005A44D5" w:rsidRPr="00332AB5" w:rsidRDefault="005A44D5" w:rsidP="005A44D5">
      <w:pPr>
        <w:spacing w:before="120" w:after="120"/>
        <w:jc w:val="both"/>
        <w:rPr>
          <w:color w:val="000000" w:themeColor="text1"/>
          <w:sz w:val="24"/>
          <w:szCs w:val="24"/>
        </w:rPr>
      </w:pPr>
      <w:r w:rsidRPr="00332AB5">
        <w:rPr>
          <w:color w:val="000000" w:themeColor="text1"/>
          <w:sz w:val="24"/>
          <w:szCs w:val="24"/>
        </w:rPr>
        <w:t>Detaljan pregled navedenih nepravilnosti prema programskim razdobljima i prema fondovima EU-a prikazan je u Tablici 1</w:t>
      </w:r>
      <w:r w:rsidR="00D950E3" w:rsidRPr="00332AB5">
        <w:rPr>
          <w:color w:val="000000" w:themeColor="text1"/>
          <w:sz w:val="24"/>
          <w:szCs w:val="24"/>
        </w:rPr>
        <w:t>9</w:t>
      </w:r>
      <w:r w:rsidRPr="00332AB5">
        <w:rPr>
          <w:color w:val="000000" w:themeColor="text1"/>
          <w:sz w:val="24"/>
          <w:szCs w:val="24"/>
        </w:rPr>
        <w:t>.</w:t>
      </w:r>
    </w:p>
    <w:bookmarkEnd w:id="125"/>
    <w:p w14:paraId="78BB1E4B" w14:textId="77777777" w:rsidR="00547367" w:rsidRPr="00332AB5" w:rsidRDefault="00547367">
      <w:pPr>
        <w:rPr>
          <w:b/>
          <w:bCs/>
        </w:rPr>
      </w:pPr>
      <w:r w:rsidRPr="00332AB5">
        <w:br w:type="page"/>
      </w:r>
    </w:p>
    <w:p w14:paraId="649135BE" w14:textId="2BAD73D4" w:rsidR="005A44D5" w:rsidRPr="00332AB5" w:rsidRDefault="005209C4" w:rsidP="005A44D5">
      <w:pPr>
        <w:pStyle w:val="Caption"/>
        <w:spacing w:after="0"/>
        <w:jc w:val="both"/>
      </w:pPr>
      <w:bookmarkStart w:id="126" w:name="_Toc152595293"/>
      <w:r w:rsidRPr="00332AB5">
        <w:rPr>
          <w:color w:val="auto"/>
          <w:sz w:val="20"/>
          <w:szCs w:val="20"/>
        </w:rPr>
        <w:lastRenderedPageBreak/>
        <w:t xml:space="preserve">Tablica </w:t>
      </w:r>
      <w:r w:rsidRPr="00332AB5">
        <w:rPr>
          <w:color w:val="auto"/>
          <w:sz w:val="20"/>
          <w:szCs w:val="20"/>
        </w:rPr>
        <w:fldChar w:fldCharType="begin"/>
      </w:r>
      <w:r w:rsidRPr="00332AB5">
        <w:rPr>
          <w:color w:val="auto"/>
          <w:sz w:val="20"/>
          <w:szCs w:val="20"/>
        </w:rPr>
        <w:instrText xml:space="preserve"> SEQ Tablica \* ARABIC </w:instrText>
      </w:r>
      <w:r w:rsidRPr="00332AB5">
        <w:rPr>
          <w:color w:val="auto"/>
          <w:sz w:val="20"/>
          <w:szCs w:val="20"/>
        </w:rPr>
        <w:fldChar w:fldCharType="separate"/>
      </w:r>
      <w:r w:rsidR="005E6E46">
        <w:rPr>
          <w:noProof/>
          <w:color w:val="auto"/>
          <w:sz w:val="20"/>
          <w:szCs w:val="20"/>
        </w:rPr>
        <w:t>19</w:t>
      </w:r>
      <w:r w:rsidRPr="00332AB5">
        <w:rPr>
          <w:color w:val="auto"/>
          <w:sz w:val="20"/>
          <w:szCs w:val="20"/>
        </w:rPr>
        <w:fldChar w:fldCharType="end"/>
      </w:r>
      <w:r w:rsidRPr="00332AB5">
        <w:rPr>
          <w:color w:val="auto"/>
          <w:sz w:val="20"/>
          <w:szCs w:val="20"/>
        </w:rPr>
        <w:t>: Nepravilnosti prijavljene OLAF</w:t>
      </w:r>
      <w:r w:rsidR="009E1F32" w:rsidRPr="00332AB5">
        <w:rPr>
          <w:color w:val="auto"/>
          <w:sz w:val="20"/>
          <w:szCs w:val="20"/>
        </w:rPr>
        <w:t>-u</w:t>
      </w:r>
      <w:r w:rsidRPr="00332AB5">
        <w:rPr>
          <w:color w:val="auto"/>
          <w:sz w:val="20"/>
          <w:szCs w:val="20"/>
        </w:rPr>
        <w:t xml:space="preserve"> u razdoblju od početka programskog razdoblja 2007.</w:t>
      </w:r>
      <w:r w:rsidR="00C3686C" w:rsidRPr="00332AB5">
        <w:rPr>
          <w:color w:val="auto"/>
          <w:sz w:val="20"/>
          <w:szCs w:val="20"/>
        </w:rPr>
        <w:t xml:space="preserve"> </w:t>
      </w:r>
      <w:r w:rsidRPr="00332AB5">
        <w:rPr>
          <w:color w:val="auto"/>
          <w:sz w:val="20"/>
          <w:szCs w:val="20"/>
        </w:rPr>
        <w:t>-</w:t>
      </w:r>
      <w:r w:rsidR="00C3686C" w:rsidRPr="00332AB5">
        <w:rPr>
          <w:color w:val="auto"/>
          <w:sz w:val="20"/>
          <w:szCs w:val="20"/>
        </w:rPr>
        <w:t xml:space="preserve"> </w:t>
      </w:r>
      <w:r w:rsidRPr="00332AB5">
        <w:rPr>
          <w:color w:val="auto"/>
          <w:sz w:val="20"/>
          <w:szCs w:val="20"/>
        </w:rPr>
        <w:t xml:space="preserve">2013. do kraja </w:t>
      </w:r>
      <w:r w:rsidR="00547367" w:rsidRPr="00332AB5">
        <w:rPr>
          <w:color w:val="auto"/>
          <w:sz w:val="20"/>
          <w:szCs w:val="20"/>
        </w:rPr>
        <w:t xml:space="preserve">drugog tromjesečja </w:t>
      </w:r>
      <w:r w:rsidRPr="00332AB5">
        <w:rPr>
          <w:color w:val="auto"/>
          <w:sz w:val="20"/>
          <w:szCs w:val="20"/>
        </w:rPr>
        <w:t>202</w:t>
      </w:r>
      <w:r w:rsidR="00547367" w:rsidRPr="00332AB5">
        <w:rPr>
          <w:color w:val="auto"/>
          <w:sz w:val="20"/>
          <w:szCs w:val="20"/>
        </w:rPr>
        <w:t>3</w:t>
      </w:r>
      <w:r w:rsidRPr="00332AB5">
        <w:rPr>
          <w:color w:val="auto"/>
          <w:sz w:val="20"/>
          <w:szCs w:val="20"/>
        </w:rPr>
        <w:t>., prema fondovima EU-a</w:t>
      </w:r>
      <w:bookmarkStart w:id="127" w:name="_Toc62547520"/>
      <w:bookmarkEnd w:id="126"/>
    </w:p>
    <w:p w14:paraId="31C7ADA4" w14:textId="77777777" w:rsidR="005A44D5" w:rsidRPr="00332AB5" w:rsidRDefault="005A44D5" w:rsidP="005A44D5"/>
    <w:p w14:paraId="545D4179" w14:textId="77777777" w:rsidR="005A44D5" w:rsidRPr="00332AB5" w:rsidRDefault="005A44D5" w:rsidP="005A44D5">
      <w:pPr>
        <w:jc w:val="both"/>
        <w:rPr>
          <w:sz w:val="24"/>
          <w:szCs w:val="24"/>
        </w:rPr>
      </w:pPr>
      <w:r w:rsidRPr="00332AB5">
        <w:rPr>
          <w:noProof/>
        </w:rPr>
        <w:drawing>
          <wp:inline distT="0" distB="0" distL="0" distR="0" wp14:anchorId="2CA7878C" wp14:editId="3207CB52">
            <wp:extent cx="5622471" cy="3028208"/>
            <wp:effectExtent l="0" t="0" r="0" b="127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45587" cy="3040658"/>
                    </a:xfrm>
                    <a:prstGeom prst="rect">
                      <a:avLst/>
                    </a:prstGeom>
                    <a:noFill/>
                    <a:ln>
                      <a:noFill/>
                    </a:ln>
                  </pic:spPr>
                </pic:pic>
              </a:graphicData>
            </a:graphic>
          </wp:inline>
        </w:drawing>
      </w:r>
      <w:r w:rsidRPr="00332AB5" w:rsidDel="00922378">
        <w:t xml:space="preserve"> </w:t>
      </w:r>
    </w:p>
    <w:p w14:paraId="18A59115" w14:textId="77777777" w:rsidR="005A44D5" w:rsidRPr="00332AB5" w:rsidRDefault="005A44D5" w:rsidP="005A44D5">
      <w:pPr>
        <w:spacing w:before="120"/>
        <w:jc w:val="both"/>
        <w:rPr>
          <w:i/>
        </w:rPr>
      </w:pPr>
      <w:r w:rsidRPr="00332AB5">
        <w:rPr>
          <w:i/>
        </w:rPr>
        <w:t>Izvor: Elektronički sustav za izvještavanje o nepravilnostima (Irregularity Management System, IMS), zaključno sa 08.09.2023.</w:t>
      </w:r>
    </w:p>
    <w:p w14:paraId="22BB891B" w14:textId="77777777" w:rsidR="005A44D5" w:rsidRPr="00332AB5" w:rsidRDefault="005A44D5" w:rsidP="005A44D5">
      <w:pPr>
        <w:jc w:val="both"/>
        <w:rPr>
          <w:sz w:val="24"/>
          <w:szCs w:val="24"/>
        </w:rPr>
      </w:pPr>
    </w:p>
    <w:p w14:paraId="0F878650" w14:textId="77777777" w:rsidR="005A44D5" w:rsidRPr="00332AB5" w:rsidRDefault="005A44D5" w:rsidP="005A44D5">
      <w:pPr>
        <w:spacing w:after="120"/>
        <w:jc w:val="both"/>
        <w:rPr>
          <w:b/>
          <w:sz w:val="24"/>
          <w:szCs w:val="24"/>
        </w:rPr>
      </w:pPr>
      <w:r w:rsidRPr="00332AB5">
        <w:rPr>
          <w:sz w:val="24"/>
          <w:szCs w:val="24"/>
        </w:rPr>
        <w:t xml:space="preserve">U pogledu </w:t>
      </w:r>
      <w:r w:rsidRPr="00332AB5">
        <w:rPr>
          <w:b/>
          <w:sz w:val="24"/>
          <w:szCs w:val="24"/>
        </w:rPr>
        <w:t>novih slučajeva nepravilnosti koji su utvrđeni i prijavljeni u izvještajnom razdoblju</w:t>
      </w:r>
      <w:r w:rsidRPr="00332AB5">
        <w:rPr>
          <w:sz w:val="24"/>
          <w:szCs w:val="24"/>
        </w:rPr>
        <w:t>, (1. siječnja - 30. lipnja 2023.), nije bilo novo-utvrđenih slučajeva nepravilnosti u korištenju programa pretpristupne pomoći i fondova EU-a iz financijskog razdoblja 2007. - 2013.</w:t>
      </w:r>
    </w:p>
    <w:p w14:paraId="5D3852B3" w14:textId="77777777" w:rsidR="005A44D5" w:rsidRPr="00332AB5" w:rsidRDefault="005A44D5" w:rsidP="005A44D5">
      <w:pPr>
        <w:jc w:val="both"/>
        <w:rPr>
          <w:sz w:val="24"/>
          <w:szCs w:val="24"/>
        </w:rPr>
      </w:pPr>
      <w:r w:rsidRPr="00332AB5">
        <w:rPr>
          <w:sz w:val="24"/>
          <w:szCs w:val="24"/>
        </w:rPr>
        <w:t xml:space="preserve">Vezano uz korištenje fondova EU-a iz </w:t>
      </w:r>
      <w:r w:rsidRPr="00332AB5">
        <w:rPr>
          <w:b/>
          <w:sz w:val="24"/>
          <w:szCs w:val="24"/>
        </w:rPr>
        <w:t>financijskog razdoblja 2014. - 2020.</w:t>
      </w:r>
      <w:r w:rsidRPr="00332AB5">
        <w:rPr>
          <w:sz w:val="24"/>
          <w:szCs w:val="24"/>
        </w:rPr>
        <w:t xml:space="preserve">, u izvještajnom razdoblju utvrđen je i prijavljen </w:t>
      </w:r>
      <w:r w:rsidRPr="00332AB5">
        <w:rPr>
          <w:b/>
          <w:sz w:val="24"/>
          <w:szCs w:val="24"/>
        </w:rPr>
        <w:t>61 novi slučaj nepravilnosti</w:t>
      </w:r>
      <w:r w:rsidRPr="00332AB5">
        <w:rPr>
          <w:color w:val="000000"/>
          <w:sz w:val="24"/>
          <w:szCs w:val="24"/>
        </w:rPr>
        <w:t>, što čini povećanje od 24,49 % u odnosu na prethodno izvještajno razdoblje</w:t>
      </w:r>
      <w:r w:rsidRPr="00332AB5">
        <w:rPr>
          <w:sz w:val="24"/>
          <w:szCs w:val="24"/>
        </w:rPr>
        <w:t>.</w:t>
      </w:r>
    </w:p>
    <w:p w14:paraId="54C97A3D" w14:textId="77777777" w:rsidR="005A44D5" w:rsidRPr="00332AB5" w:rsidRDefault="005A44D5" w:rsidP="005A44D5">
      <w:pPr>
        <w:spacing w:before="120" w:after="120"/>
        <w:jc w:val="both"/>
        <w:rPr>
          <w:color w:val="000000"/>
          <w:sz w:val="24"/>
          <w:szCs w:val="24"/>
        </w:rPr>
      </w:pPr>
      <w:r w:rsidRPr="00332AB5">
        <w:rPr>
          <w:color w:val="000000"/>
          <w:sz w:val="24"/>
          <w:szCs w:val="24"/>
        </w:rPr>
        <w:t>Financijski iznos novih slučajeva nepravilnosti je otprilike 8,00 milijuna eura, a od tog iznosa EK-u je ovjereno 6,12 milijuna eura (76,77 %).</w:t>
      </w:r>
    </w:p>
    <w:p w14:paraId="50634E80" w14:textId="58B51E52" w:rsidR="005A44D5" w:rsidRPr="00332AB5" w:rsidRDefault="005A44D5" w:rsidP="005A44D5">
      <w:pPr>
        <w:spacing w:before="120" w:after="120"/>
        <w:jc w:val="both"/>
        <w:rPr>
          <w:color w:val="000000"/>
          <w:sz w:val="24"/>
          <w:szCs w:val="24"/>
        </w:rPr>
      </w:pPr>
      <w:r w:rsidRPr="00332AB5">
        <w:rPr>
          <w:color w:val="000000"/>
          <w:sz w:val="24"/>
          <w:szCs w:val="24"/>
        </w:rPr>
        <w:t xml:space="preserve">Među navedenim (novim) slučajevima, </w:t>
      </w:r>
      <w:r w:rsidR="00020F30" w:rsidRPr="00332AB5">
        <w:rPr>
          <w:color w:val="000000"/>
          <w:sz w:val="24"/>
          <w:szCs w:val="24"/>
        </w:rPr>
        <w:t>osam</w:t>
      </w:r>
      <w:r w:rsidRPr="00332AB5">
        <w:rPr>
          <w:color w:val="000000"/>
          <w:sz w:val="24"/>
          <w:szCs w:val="24"/>
        </w:rPr>
        <w:t xml:space="preserve"> ih je istodobno zatvoreno, slijedom čega je izvršen povrat prema EK u iznosu od 213,17</w:t>
      </w:r>
      <w:r w:rsidRPr="00332AB5" w:rsidDel="00E43732">
        <w:rPr>
          <w:color w:val="000000"/>
          <w:sz w:val="24"/>
          <w:szCs w:val="24"/>
        </w:rPr>
        <w:t xml:space="preserve"> </w:t>
      </w:r>
      <w:r w:rsidRPr="00332AB5">
        <w:rPr>
          <w:color w:val="000000"/>
          <w:sz w:val="24"/>
          <w:szCs w:val="24"/>
        </w:rPr>
        <w:t>tisuća eura.</w:t>
      </w:r>
    </w:p>
    <w:p w14:paraId="0CC76443" w14:textId="6277AAE0" w:rsidR="005A44D5" w:rsidRPr="00332AB5" w:rsidRDefault="005A44D5" w:rsidP="005A44D5">
      <w:pPr>
        <w:spacing w:before="120" w:after="120"/>
        <w:jc w:val="both"/>
        <w:rPr>
          <w:sz w:val="24"/>
          <w:szCs w:val="24"/>
        </w:rPr>
      </w:pPr>
      <w:r w:rsidRPr="00332AB5">
        <w:rPr>
          <w:sz w:val="24"/>
          <w:szCs w:val="24"/>
        </w:rPr>
        <w:t xml:space="preserve">Broj i iznos nepravilnosti prijavljenih OLAF-u u izvještajnom razdoblju prema fondovima EU-a prikazan je u Tablici </w:t>
      </w:r>
      <w:r w:rsidR="00D950E3" w:rsidRPr="00332AB5">
        <w:rPr>
          <w:sz w:val="24"/>
          <w:szCs w:val="24"/>
        </w:rPr>
        <w:t>20</w:t>
      </w:r>
      <w:r w:rsidRPr="00332AB5">
        <w:rPr>
          <w:sz w:val="24"/>
          <w:szCs w:val="24"/>
        </w:rPr>
        <w:t>.</w:t>
      </w:r>
    </w:p>
    <w:p w14:paraId="440F5D60" w14:textId="585E170F" w:rsidR="005209C4" w:rsidRPr="00332AB5" w:rsidRDefault="005209C4" w:rsidP="005A44D5">
      <w:pPr>
        <w:pStyle w:val="Caption"/>
        <w:spacing w:after="0"/>
        <w:jc w:val="both"/>
        <w:rPr>
          <w:sz w:val="24"/>
          <w:szCs w:val="24"/>
        </w:rPr>
      </w:pPr>
    </w:p>
    <w:p w14:paraId="1C7DF2AF" w14:textId="77777777" w:rsidR="005209C4" w:rsidRPr="00332AB5" w:rsidRDefault="005209C4" w:rsidP="005209C4">
      <w:pPr>
        <w:spacing w:before="120" w:after="120"/>
        <w:jc w:val="both"/>
        <w:rPr>
          <w:sz w:val="24"/>
          <w:szCs w:val="24"/>
        </w:rPr>
      </w:pPr>
    </w:p>
    <w:p w14:paraId="26D3F001" w14:textId="77777777" w:rsidR="005209C4" w:rsidRPr="00332AB5" w:rsidRDefault="005209C4" w:rsidP="005209C4">
      <w:pPr>
        <w:spacing w:before="120" w:after="120"/>
        <w:jc w:val="both"/>
        <w:rPr>
          <w:sz w:val="24"/>
          <w:szCs w:val="24"/>
        </w:rPr>
      </w:pPr>
    </w:p>
    <w:p w14:paraId="2BAB1455" w14:textId="77777777" w:rsidR="005209C4" w:rsidRPr="00332AB5" w:rsidRDefault="005209C4" w:rsidP="005209C4">
      <w:pPr>
        <w:spacing w:before="120" w:after="120"/>
        <w:jc w:val="both"/>
        <w:rPr>
          <w:sz w:val="24"/>
          <w:szCs w:val="24"/>
        </w:rPr>
      </w:pPr>
    </w:p>
    <w:p w14:paraId="5D37BCAC" w14:textId="77777777" w:rsidR="005209C4" w:rsidRPr="00332AB5" w:rsidRDefault="005209C4" w:rsidP="005209C4">
      <w:pPr>
        <w:spacing w:before="120" w:after="120"/>
        <w:jc w:val="both"/>
        <w:rPr>
          <w:sz w:val="24"/>
          <w:szCs w:val="24"/>
        </w:rPr>
      </w:pPr>
    </w:p>
    <w:p w14:paraId="3E4DEA60" w14:textId="77777777" w:rsidR="005209C4" w:rsidRPr="00332AB5" w:rsidRDefault="005209C4" w:rsidP="005209C4">
      <w:pPr>
        <w:spacing w:before="120" w:after="120"/>
        <w:jc w:val="both"/>
        <w:rPr>
          <w:sz w:val="24"/>
          <w:szCs w:val="24"/>
        </w:rPr>
      </w:pPr>
    </w:p>
    <w:p w14:paraId="3C4C5643" w14:textId="77777777" w:rsidR="00537F4F" w:rsidRPr="00332AB5" w:rsidRDefault="00537F4F" w:rsidP="005209C4">
      <w:pPr>
        <w:spacing w:before="120" w:after="120"/>
        <w:jc w:val="both"/>
        <w:rPr>
          <w:sz w:val="24"/>
          <w:szCs w:val="24"/>
        </w:rPr>
      </w:pPr>
    </w:p>
    <w:p w14:paraId="3698A5A6" w14:textId="77777777" w:rsidR="00537F4F" w:rsidRPr="00332AB5" w:rsidRDefault="00537F4F" w:rsidP="005209C4">
      <w:pPr>
        <w:spacing w:before="120" w:after="120"/>
        <w:jc w:val="both"/>
        <w:rPr>
          <w:sz w:val="24"/>
          <w:szCs w:val="24"/>
        </w:rPr>
      </w:pPr>
    </w:p>
    <w:p w14:paraId="4E254130" w14:textId="77777777" w:rsidR="005209C4" w:rsidRPr="00332AB5" w:rsidRDefault="005209C4" w:rsidP="005209C4">
      <w:pPr>
        <w:spacing w:before="120" w:after="120"/>
        <w:jc w:val="both"/>
        <w:rPr>
          <w:sz w:val="24"/>
          <w:szCs w:val="24"/>
        </w:rPr>
      </w:pPr>
    </w:p>
    <w:p w14:paraId="40701E22" w14:textId="66E783E1" w:rsidR="005A44D5" w:rsidRPr="00332AB5" w:rsidRDefault="005209C4" w:rsidP="005A44D5">
      <w:pPr>
        <w:pStyle w:val="Caption"/>
        <w:spacing w:after="0"/>
      </w:pPr>
      <w:bookmarkStart w:id="128" w:name="_Toc152595294"/>
      <w:r w:rsidRPr="00332AB5">
        <w:rPr>
          <w:color w:val="auto"/>
          <w:sz w:val="20"/>
          <w:szCs w:val="20"/>
        </w:rPr>
        <w:t xml:space="preserve">Tablica </w:t>
      </w:r>
      <w:r w:rsidRPr="00332AB5">
        <w:rPr>
          <w:color w:val="auto"/>
          <w:sz w:val="20"/>
          <w:szCs w:val="20"/>
        </w:rPr>
        <w:fldChar w:fldCharType="begin"/>
      </w:r>
      <w:r w:rsidRPr="00332AB5">
        <w:rPr>
          <w:color w:val="auto"/>
          <w:sz w:val="20"/>
          <w:szCs w:val="20"/>
        </w:rPr>
        <w:instrText xml:space="preserve"> SEQ Tablica \* ARABIC </w:instrText>
      </w:r>
      <w:r w:rsidRPr="00332AB5">
        <w:rPr>
          <w:color w:val="auto"/>
          <w:sz w:val="20"/>
          <w:szCs w:val="20"/>
        </w:rPr>
        <w:fldChar w:fldCharType="separate"/>
      </w:r>
      <w:r w:rsidR="005E6E46">
        <w:rPr>
          <w:noProof/>
          <w:color w:val="auto"/>
          <w:sz w:val="20"/>
          <w:szCs w:val="20"/>
        </w:rPr>
        <w:t>20</w:t>
      </w:r>
      <w:r w:rsidRPr="00332AB5">
        <w:rPr>
          <w:color w:val="auto"/>
          <w:sz w:val="20"/>
          <w:szCs w:val="20"/>
        </w:rPr>
        <w:fldChar w:fldCharType="end"/>
      </w:r>
      <w:r w:rsidRPr="00332AB5">
        <w:rPr>
          <w:color w:val="auto"/>
          <w:sz w:val="20"/>
          <w:szCs w:val="20"/>
        </w:rPr>
        <w:t>: Broj i iznos nepravilnosti prijavljenih OLAF-u u izvještajnom razdoblju, prema fondovima</w:t>
      </w:r>
      <w:bookmarkEnd w:id="127"/>
      <w:bookmarkEnd w:id="128"/>
    </w:p>
    <w:p w14:paraId="2840E59B" w14:textId="77777777" w:rsidR="005A44D5" w:rsidRPr="00332AB5" w:rsidRDefault="005A44D5" w:rsidP="005A44D5"/>
    <w:p w14:paraId="5CB52A52" w14:textId="77777777" w:rsidR="005A44D5" w:rsidRPr="00332AB5" w:rsidRDefault="005A44D5" w:rsidP="005A44D5">
      <w:r w:rsidRPr="00332AB5">
        <w:rPr>
          <w:noProof/>
        </w:rPr>
        <w:drawing>
          <wp:inline distT="0" distB="0" distL="0" distR="0" wp14:anchorId="6D571CC0" wp14:editId="41F6DE9F">
            <wp:extent cx="5760720" cy="2356167"/>
            <wp:effectExtent l="0" t="0" r="0" b="635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2356167"/>
                    </a:xfrm>
                    <a:prstGeom prst="rect">
                      <a:avLst/>
                    </a:prstGeom>
                    <a:noFill/>
                    <a:ln>
                      <a:noFill/>
                    </a:ln>
                  </pic:spPr>
                </pic:pic>
              </a:graphicData>
            </a:graphic>
          </wp:inline>
        </w:drawing>
      </w:r>
    </w:p>
    <w:p w14:paraId="2D2582C7" w14:textId="77777777" w:rsidR="005A44D5" w:rsidRPr="00332AB5" w:rsidRDefault="005A44D5" w:rsidP="005A44D5">
      <w:pPr>
        <w:spacing w:before="120" w:after="120"/>
        <w:jc w:val="both"/>
        <w:rPr>
          <w:i/>
        </w:rPr>
      </w:pPr>
      <w:r w:rsidRPr="00332AB5" w:rsidDel="00870AFF">
        <w:t xml:space="preserve"> </w:t>
      </w:r>
      <w:r w:rsidRPr="00332AB5">
        <w:rPr>
          <w:i/>
        </w:rPr>
        <w:t>Izvor: Elektronički sustav za izvještavanje o nepravilnostima (Irregularity Management System, IMS), zaključno sa 08.09.2023.</w:t>
      </w:r>
    </w:p>
    <w:p w14:paraId="1F357730" w14:textId="77777777" w:rsidR="006F73B9" w:rsidRPr="00332AB5" w:rsidRDefault="006F73B9" w:rsidP="006F73B9">
      <w:pPr>
        <w:spacing w:before="120" w:after="120"/>
        <w:jc w:val="both"/>
        <w:rPr>
          <w:bCs/>
          <w:color w:val="000000"/>
          <w:sz w:val="24"/>
          <w:szCs w:val="24"/>
        </w:rPr>
      </w:pPr>
      <w:r w:rsidRPr="00332AB5">
        <w:rPr>
          <w:bCs/>
          <w:color w:val="000000"/>
          <w:sz w:val="24"/>
          <w:szCs w:val="24"/>
        </w:rPr>
        <w:t xml:space="preserve">Vezano uz vrste </w:t>
      </w:r>
      <w:r w:rsidRPr="00332AB5">
        <w:rPr>
          <w:b/>
          <w:bCs/>
          <w:color w:val="000000"/>
          <w:sz w:val="24"/>
          <w:szCs w:val="24"/>
        </w:rPr>
        <w:t>nepravilnosti koje su utvrđene i prijavljene OLAF-u u izvještajnom razdoblju</w:t>
      </w:r>
      <w:r w:rsidRPr="00332AB5">
        <w:rPr>
          <w:bCs/>
          <w:color w:val="000000"/>
          <w:sz w:val="24"/>
          <w:szCs w:val="24"/>
        </w:rPr>
        <w:t xml:space="preserve">, u korištenju </w:t>
      </w:r>
      <w:r w:rsidRPr="00332AB5">
        <w:rPr>
          <w:b/>
          <w:bCs/>
          <w:color w:val="000000"/>
          <w:sz w:val="24"/>
          <w:szCs w:val="24"/>
        </w:rPr>
        <w:t>EFRR-a</w:t>
      </w:r>
      <w:r w:rsidRPr="00332AB5">
        <w:rPr>
          <w:bCs/>
          <w:color w:val="000000"/>
          <w:sz w:val="24"/>
          <w:szCs w:val="24"/>
        </w:rPr>
        <w:t>, utvrđene su sljedeće nepravilnosti:</w:t>
      </w:r>
    </w:p>
    <w:p w14:paraId="612A392A" w14:textId="77777777" w:rsidR="006F73B9" w:rsidRPr="00332AB5" w:rsidRDefault="006F73B9">
      <w:pPr>
        <w:numPr>
          <w:ilvl w:val="0"/>
          <w:numId w:val="22"/>
        </w:numPr>
        <w:ind w:left="426"/>
        <w:contextualSpacing/>
        <w:jc w:val="both"/>
        <w:rPr>
          <w:i/>
          <w:sz w:val="24"/>
          <w:szCs w:val="24"/>
        </w:rPr>
      </w:pPr>
      <w:r w:rsidRPr="00332AB5">
        <w:rPr>
          <w:i/>
          <w:sz w:val="24"/>
          <w:szCs w:val="24"/>
        </w:rPr>
        <w:t xml:space="preserve">U okviru izvršenja Ugovora o javnoj nabavi radova rekonstrukcije (dogradnje) zgrade doma zdravlja, </w:t>
      </w:r>
      <w:r w:rsidRPr="00332AB5">
        <w:rPr>
          <w:b/>
          <w:i/>
          <w:sz w:val="24"/>
          <w:szCs w:val="24"/>
        </w:rPr>
        <w:t>Korisniku su odobreni neprihvatljivi troškovi</w:t>
      </w:r>
      <w:r w:rsidRPr="00332AB5">
        <w:rPr>
          <w:i/>
          <w:sz w:val="24"/>
          <w:szCs w:val="24"/>
        </w:rPr>
        <w:t>. Naime, sklopljene su izmjene Ugovoru o nabavi zbog izvođenja dodatnih radova koji obuhvaćaju sustav vatrodojave, agregatsko napajanje objekta, sustav ozvučenja objekta i vanjsku rasvjetu parkirališta.</w:t>
      </w:r>
    </w:p>
    <w:p w14:paraId="2BDFDA19" w14:textId="77777777" w:rsidR="006F73B9" w:rsidRPr="00332AB5" w:rsidRDefault="006F73B9" w:rsidP="006F73B9">
      <w:pPr>
        <w:spacing w:before="120" w:after="120"/>
        <w:ind w:left="426"/>
        <w:jc w:val="both"/>
        <w:rPr>
          <w:i/>
          <w:sz w:val="24"/>
          <w:szCs w:val="24"/>
        </w:rPr>
      </w:pPr>
      <w:r w:rsidRPr="00332AB5">
        <w:rPr>
          <w:i/>
          <w:sz w:val="24"/>
          <w:szCs w:val="24"/>
        </w:rPr>
        <w:t>Nadležni PT 2 je utvrdio da dodatni radovi agregatskog napajanja objekta, sustav ozvučenja objekta i vanjska rasvjeta parkirališta nisu nužni za dovršetak projekta, odnosno ne obuhvaćaju radove koji utječu na potpunu gotovost i funkcionalnost građevine, nisu u skladu s principima ugovora „ključ u ruke“, te slijedom navedenog nisu prihvatljivi za sufinanciranje.</w:t>
      </w:r>
    </w:p>
    <w:p w14:paraId="45BEC2C1" w14:textId="77777777" w:rsidR="006F73B9" w:rsidRPr="00332AB5" w:rsidRDefault="006F73B9">
      <w:pPr>
        <w:numPr>
          <w:ilvl w:val="0"/>
          <w:numId w:val="22"/>
        </w:numPr>
        <w:ind w:left="426"/>
        <w:contextualSpacing/>
        <w:jc w:val="both"/>
        <w:rPr>
          <w:i/>
          <w:sz w:val="24"/>
          <w:szCs w:val="24"/>
        </w:rPr>
      </w:pPr>
      <w:r w:rsidRPr="00332AB5">
        <w:rPr>
          <w:b/>
          <w:i/>
          <w:sz w:val="24"/>
          <w:szCs w:val="24"/>
        </w:rPr>
        <w:t>Prilagođavanje uvjeta sposobnosti određenom gospodarskom subjektu</w:t>
      </w:r>
      <w:r w:rsidRPr="00332AB5">
        <w:rPr>
          <w:i/>
          <w:sz w:val="24"/>
          <w:szCs w:val="24"/>
        </w:rPr>
        <w:t xml:space="preserve"> - U okviru projekta tehničke pomoći, Korisnik je u svojstvu naručitelja proveo postupak jednostavne nabave usluge izrade funkcionalne i tehničke specifikacije za potrebe informacijskog sustava. Vezano uz navedenu nabavu, utvrđena je nepravilnost s elementima sumnje na prijevaru koja se odnosi na fiktivno provođenje postupka nabave s ciljem pogodovanja određenom gospodarskom subjektu. Sumnja proizlazi iz sljedećih činjenica:</w:t>
      </w:r>
    </w:p>
    <w:p w14:paraId="42423F81" w14:textId="77777777" w:rsidR="006F73B9" w:rsidRPr="00332AB5" w:rsidRDefault="006F73B9">
      <w:pPr>
        <w:numPr>
          <w:ilvl w:val="0"/>
          <w:numId w:val="25"/>
        </w:numPr>
        <w:spacing w:before="120"/>
        <w:ind w:left="851"/>
        <w:jc w:val="both"/>
        <w:rPr>
          <w:i/>
          <w:sz w:val="24"/>
          <w:szCs w:val="24"/>
        </w:rPr>
      </w:pPr>
      <w:r w:rsidRPr="00332AB5">
        <w:rPr>
          <w:i/>
          <w:sz w:val="24"/>
          <w:szCs w:val="24"/>
        </w:rPr>
        <w:t xml:space="preserve">Postupak jednostavne nabave proveden je dva puta jer je prvi puta bio poništen s obzirom da zaprimljene ponude nisu bile valjane. Naime, ponuda jednog ponuditelja je odbijena jer je zaprimljena izvan propisanog roka te je bila cijenom viša od procijenjene vrijednosti nabave, a ponuda drugog </w:t>
      </w:r>
      <w:r w:rsidRPr="00332AB5">
        <w:rPr>
          <w:i/>
          <w:sz w:val="24"/>
          <w:szCs w:val="24"/>
        </w:rPr>
        <w:lastRenderedPageBreak/>
        <w:t>ponuditelja je odbijena jer ponuđeni stručnjak nije zadovoljavao minimalni uvjet stručnog obrazovanja;</w:t>
      </w:r>
    </w:p>
    <w:p w14:paraId="028B0618" w14:textId="77777777" w:rsidR="006F73B9" w:rsidRPr="00332AB5" w:rsidRDefault="006F73B9">
      <w:pPr>
        <w:numPr>
          <w:ilvl w:val="0"/>
          <w:numId w:val="25"/>
        </w:numPr>
        <w:spacing w:before="120"/>
        <w:ind w:left="851"/>
        <w:jc w:val="both"/>
        <w:rPr>
          <w:sz w:val="24"/>
          <w:szCs w:val="24"/>
        </w:rPr>
      </w:pPr>
      <w:r w:rsidRPr="00332AB5">
        <w:rPr>
          <w:i/>
          <w:sz w:val="24"/>
          <w:szCs w:val="24"/>
        </w:rPr>
        <w:t xml:space="preserve">Poziv na dostavu ponuda u novom postupku jednostavne nabave za isti predmet nabave upućen je istim trima gospodarskim subjektima kojima je upućen u prethodno poništenom postupku unatoč činjenici da u inicijalno provedenom postupku jedan od pozvanih subjekata nije ni dostavio svoju ponudu, a ponuda drugog subjekta je bila odbijena zbog neudovoljavanja postavljenim uvjetima. </w:t>
      </w:r>
    </w:p>
    <w:p w14:paraId="2A756C1C" w14:textId="77777777" w:rsidR="006F73B9" w:rsidRPr="00332AB5" w:rsidRDefault="006F73B9" w:rsidP="006F73B9">
      <w:pPr>
        <w:spacing w:before="120"/>
        <w:ind w:left="851"/>
        <w:jc w:val="both"/>
        <w:rPr>
          <w:i/>
          <w:sz w:val="24"/>
          <w:szCs w:val="24"/>
        </w:rPr>
      </w:pPr>
    </w:p>
    <w:p w14:paraId="75C13A26" w14:textId="77777777" w:rsidR="006F73B9" w:rsidRPr="00332AB5" w:rsidRDefault="006F73B9" w:rsidP="006F73B9">
      <w:pPr>
        <w:spacing w:before="120"/>
        <w:ind w:left="851"/>
        <w:jc w:val="both"/>
        <w:rPr>
          <w:sz w:val="24"/>
          <w:szCs w:val="24"/>
        </w:rPr>
      </w:pPr>
      <w:r w:rsidRPr="00332AB5">
        <w:rPr>
          <w:i/>
          <w:sz w:val="24"/>
          <w:szCs w:val="24"/>
        </w:rPr>
        <w:t>Ovdje je važno naglasiti da se radi o predmetu nabave kojeg bi na tržištu mogao ponuditi veći broj gospodarskih subjekata pa opisano postupanje predstavlja ograničavanje tržišta. U konačnici, u ponovljenom postupku nabave ponudu je podnio samo jedan gospodarski subjekt;</w:t>
      </w:r>
    </w:p>
    <w:p w14:paraId="10E0BBB1" w14:textId="725C7CD6" w:rsidR="006F73B9" w:rsidRPr="00332AB5" w:rsidRDefault="006F73B9">
      <w:pPr>
        <w:numPr>
          <w:ilvl w:val="0"/>
          <w:numId w:val="25"/>
        </w:numPr>
        <w:spacing w:before="120"/>
        <w:ind w:left="851"/>
        <w:jc w:val="both"/>
        <w:rPr>
          <w:sz w:val="24"/>
          <w:szCs w:val="24"/>
        </w:rPr>
      </w:pPr>
      <w:r w:rsidRPr="00332AB5">
        <w:rPr>
          <w:i/>
          <w:sz w:val="24"/>
          <w:szCs w:val="24"/>
        </w:rPr>
        <w:t xml:space="preserve">Uvjet tehničke i stručne sposobnosti za stručnjaka u drugom postupku nabave izmijenjen je na način da je uvjet ublažen u odnosu na inicijalno provedeni i poništeni postupak nabave (traženje minimalne razine stupnja obrazovanja od </w:t>
      </w:r>
      <w:r w:rsidR="00020F30" w:rsidRPr="00332AB5">
        <w:rPr>
          <w:i/>
          <w:sz w:val="24"/>
          <w:szCs w:val="24"/>
        </w:rPr>
        <w:t>dvije</w:t>
      </w:r>
      <w:r w:rsidRPr="00332AB5">
        <w:rPr>
          <w:i/>
          <w:sz w:val="24"/>
          <w:szCs w:val="24"/>
        </w:rPr>
        <w:t xml:space="preserve"> godine u odnosu na inicijalno tražene </w:t>
      </w:r>
      <w:r w:rsidR="00020F30" w:rsidRPr="00332AB5">
        <w:rPr>
          <w:i/>
          <w:sz w:val="24"/>
          <w:szCs w:val="24"/>
        </w:rPr>
        <w:t>četiri</w:t>
      </w:r>
      <w:r w:rsidRPr="00332AB5">
        <w:rPr>
          <w:i/>
          <w:sz w:val="24"/>
          <w:szCs w:val="24"/>
        </w:rPr>
        <w:t xml:space="preserve"> godine). Tako propisani uvjet odgovarao je kvalifikacijama stručnjaka koji nije zadovoljavao uvjet tehničke i stručne sposobnosti koji je bio propisan u prvom postupku nabave.</w:t>
      </w:r>
    </w:p>
    <w:p w14:paraId="188D40C2" w14:textId="77777777" w:rsidR="006F73B9" w:rsidRPr="00332AB5" w:rsidRDefault="006F73B9">
      <w:pPr>
        <w:numPr>
          <w:ilvl w:val="0"/>
          <w:numId w:val="23"/>
        </w:numPr>
        <w:spacing w:before="120"/>
        <w:ind w:left="425" w:hanging="357"/>
        <w:jc w:val="both"/>
        <w:rPr>
          <w:i/>
          <w:sz w:val="24"/>
          <w:szCs w:val="24"/>
        </w:rPr>
      </w:pPr>
      <w:r w:rsidRPr="00332AB5">
        <w:rPr>
          <w:i/>
          <w:sz w:val="24"/>
          <w:szCs w:val="24"/>
        </w:rPr>
        <w:t xml:space="preserve">U okviru postupka javne nabave namještaja i unutarnje opreme te mrežne opreme za uređenje kompleksa studentskog doma, </w:t>
      </w:r>
      <w:r w:rsidRPr="00332AB5">
        <w:rPr>
          <w:b/>
          <w:i/>
          <w:sz w:val="24"/>
          <w:szCs w:val="24"/>
        </w:rPr>
        <w:t xml:space="preserve">Korisnik </w:t>
      </w:r>
      <w:r w:rsidRPr="00332AB5">
        <w:rPr>
          <w:i/>
          <w:sz w:val="24"/>
          <w:szCs w:val="24"/>
        </w:rPr>
        <w:t xml:space="preserve">bespovratnih sredstava je u svojstvu naručitelja u okviru Dokumentacije o nabavi </w:t>
      </w:r>
      <w:r w:rsidRPr="00332AB5">
        <w:rPr>
          <w:b/>
          <w:i/>
          <w:sz w:val="24"/>
          <w:szCs w:val="24"/>
        </w:rPr>
        <w:t>propisao</w:t>
      </w:r>
      <w:r w:rsidRPr="00332AB5">
        <w:rPr>
          <w:i/>
          <w:sz w:val="24"/>
          <w:szCs w:val="24"/>
        </w:rPr>
        <w:t xml:space="preserve"> </w:t>
      </w:r>
      <w:r w:rsidRPr="00332AB5">
        <w:rPr>
          <w:b/>
          <w:i/>
          <w:sz w:val="24"/>
          <w:szCs w:val="24"/>
        </w:rPr>
        <w:t>uvjete za koje se smatra da nisu razmjerni predmetu nabave, restriktivni su i imaju odvraćajući učinak na potencijalne ponuditelje</w:t>
      </w:r>
      <w:r w:rsidRPr="00332AB5">
        <w:rPr>
          <w:i/>
          <w:sz w:val="24"/>
          <w:szCs w:val="24"/>
        </w:rPr>
        <w:t>. Naime:</w:t>
      </w:r>
    </w:p>
    <w:p w14:paraId="7DFA0294" w14:textId="578E1DA6" w:rsidR="006F73B9" w:rsidRPr="00332AB5" w:rsidRDefault="006F73B9">
      <w:pPr>
        <w:numPr>
          <w:ilvl w:val="0"/>
          <w:numId w:val="24"/>
        </w:numPr>
        <w:spacing w:before="120"/>
        <w:ind w:left="714" w:hanging="357"/>
        <w:jc w:val="both"/>
        <w:rPr>
          <w:i/>
          <w:sz w:val="24"/>
          <w:szCs w:val="24"/>
        </w:rPr>
      </w:pPr>
      <w:r w:rsidRPr="00332AB5">
        <w:rPr>
          <w:i/>
          <w:sz w:val="24"/>
          <w:szCs w:val="24"/>
        </w:rPr>
        <w:t xml:space="preserve">uvjet tehničke i stručne sposobnosti kojim se traže </w:t>
      </w:r>
      <w:r w:rsidR="00020F30" w:rsidRPr="00332AB5">
        <w:rPr>
          <w:i/>
          <w:sz w:val="24"/>
          <w:szCs w:val="24"/>
        </w:rPr>
        <w:t>četiri</w:t>
      </w:r>
      <w:r w:rsidRPr="00332AB5">
        <w:rPr>
          <w:i/>
          <w:sz w:val="24"/>
          <w:szCs w:val="24"/>
        </w:rPr>
        <w:t xml:space="preserve"> stručnjaka za nabavu namještaja i unutarnje opreme i </w:t>
      </w:r>
      <w:r w:rsidR="00020F30" w:rsidRPr="00332AB5">
        <w:rPr>
          <w:i/>
          <w:sz w:val="24"/>
          <w:szCs w:val="24"/>
        </w:rPr>
        <w:t>šest</w:t>
      </w:r>
      <w:r w:rsidRPr="00332AB5">
        <w:rPr>
          <w:i/>
          <w:sz w:val="24"/>
          <w:szCs w:val="24"/>
        </w:rPr>
        <w:t xml:space="preserve"> stručnjaka za nabavu mrežne opreme smatra se prekomjernim s obzirom na broj traženih stručnjaka;</w:t>
      </w:r>
    </w:p>
    <w:p w14:paraId="7B41D921" w14:textId="77777777" w:rsidR="006F73B9" w:rsidRPr="00332AB5" w:rsidRDefault="006F73B9">
      <w:pPr>
        <w:numPr>
          <w:ilvl w:val="0"/>
          <w:numId w:val="24"/>
        </w:numPr>
        <w:spacing w:before="120"/>
        <w:ind w:left="714" w:hanging="357"/>
        <w:jc w:val="both"/>
        <w:rPr>
          <w:i/>
          <w:sz w:val="24"/>
          <w:szCs w:val="24"/>
        </w:rPr>
      </w:pPr>
      <w:r w:rsidRPr="00332AB5">
        <w:rPr>
          <w:i/>
          <w:sz w:val="24"/>
          <w:szCs w:val="24"/>
        </w:rPr>
        <w:t xml:space="preserve">uvjet kojim se traže stručnjaci iz područja arhitekture, građevinarstva, dizajna i drvnih tehnologija za nabavu projektirane opreme, tipske opreme, audio-vizualnih i elektroničkih uređaja, tekstilnih proizvoda i opreme za fitness, ne može se smatrati minimalnim uvjetom u smislu odredbi članka 256. st. 3. i 4. Zakona o javnoj nabavi iz 2016. </w:t>
      </w:r>
    </w:p>
    <w:p w14:paraId="2833C073" w14:textId="77777777" w:rsidR="006F73B9" w:rsidRPr="00332AB5" w:rsidRDefault="006F73B9">
      <w:pPr>
        <w:numPr>
          <w:ilvl w:val="0"/>
          <w:numId w:val="24"/>
        </w:numPr>
        <w:spacing w:before="120"/>
        <w:ind w:left="714" w:hanging="357"/>
        <w:jc w:val="both"/>
        <w:rPr>
          <w:i/>
          <w:sz w:val="24"/>
          <w:szCs w:val="24"/>
        </w:rPr>
      </w:pPr>
      <w:r w:rsidRPr="00332AB5">
        <w:rPr>
          <w:i/>
          <w:sz w:val="24"/>
          <w:szCs w:val="24"/>
        </w:rPr>
        <w:t xml:space="preserve">Korisnik je propisane uvjete obrazložio potrebom za usklađivanjem projektirane opreme s izvedenim stanjem. Međutim, usklađivanje projektirane opreme s izvedenim stanjem u skladu s Projektom unutrašnjeg uređenja sa specifikacijom standardne i projektirane opreme, kojeg je Korisnik priložio prilikom predaje projektne prijave, mogla je izvršiti i osoba s nižim stupnjem obrazovanja od stručnjaka iz područja građevinarstva s minimalno završenom razinom obrazovanja 6 prema Hrvatskom kvalifikacijskom okviru. Nadalje, stručnjaci iz područja arhitekture i dizajna izrađuju Projekte unutrašnjeg uređenja pa nije jasno zbog čega su dodatno potrebni stručnjaci iz tih </w:t>
      </w:r>
      <w:r w:rsidRPr="00332AB5">
        <w:rPr>
          <w:i/>
          <w:sz w:val="24"/>
          <w:szCs w:val="24"/>
        </w:rPr>
        <w:lastRenderedPageBreak/>
        <w:t>područja. Konačno, projektiranu i tipsku opremu izrađuju drvodjelci pa nije jasno zašto je potreban stručnjak iz područja drvnih tehnologija;</w:t>
      </w:r>
    </w:p>
    <w:p w14:paraId="646AC02F" w14:textId="22EF028F" w:rsidR="006F73B9" w:rsidRPr="00332AB5" w:rsidRDefault="006F73B9">
      <w:pPr>
        <w:numPr>
          <w:ilvl w:val="0"/>
          <w:numId w:val="24"/>
        </w:numPr>
        <w:spacing w:before="120"/>
        <w:ind w:left="714" w:hanging="357"/>
        <w:jc w:val="both"/>
        <w:rPr>
          <w:i/>
          <w:sz w:val="24"/>
          <w:szCs w:val="24"/>
        </w:rPr>
      </w:pPr>
      <w:r w:rsidRPr="00332AB5">
        <w:rPr>
          <w:i/>
          <w:sz w:val="24"/>
          <w:szCs w:val="24"/>
        </w:rPr>
        <w:t xml:space="preserve">uvjet kojim se traže: jedan stručnjak koji je nositelj certifikata GXPN-GIAC Exploit Researcher and Advanced Penetration Tester ili jednakovrijednog certifikata, jedan stručnjak koji je nositelj certifikata GCIH-GIAC Certified Incident Handler ili jednakovrijednog certifikata te </w:t>
      </w:r>
      <w:r w:rsidR="00020F30" w:rsidRPr="00332AB5">
        <w:rPr>
          <w:i/>
          <w:sz w:val="24"/>
          <w:szCs w:val="24"/>
        </w:rPr>
        <w:t>četiri</w:t>
      </w:r>
      <w:r w:rsidRPr="00332AB5">
        <w:rPr>
          <w:i/>
          <w:sz w:val="24"/>
          <w:szCs w:val="24"/>
        </w:rPr>
        <w:t xml:space="preserve"> stručnjaka koji imaju certifikat minimalno stručne razine (expert level) u raznim područjima (bežičnih mreža, mrežne sigurnosti, usmjeravanja i preklapanja u računalnim mrežama te alata za nadzor mreže), ne može se smatrati minimalnim uvjetom te isti nije razmjeran predmetu nabave niti s obzirom na broj traženih stručnjaka, ni s obzirom na tražene kvalifikacije.</w:t>
      </w:r>
    </w:p>
    <w:p w14:paraId="6E5BC50E" w14:textId="77777777" w:rsidR="006F73B9" w:rsidRPr="00332AB5" w:rsidRDefault="006F73B9">
      <w:pPr>
        <w:numPr>
          <w:ilvl w:val="0"/>
          <w:numId w:val="23"/>
        </w:numPr>
        <w:spacing w:before="120"/>
        <w:ind w:left="425"/>
        <w:jc w:val="both"/>
        <w:rPr>
          <w:i/>
          <w:sz w:val="24"/>
          <w:szCs w:val="24"/>
        </w:rPr>
      </w:pPr>
      <w:r w:rsidRPr="00332AB5">
        <w:rPr>
          <w:i/>
          <w:sz w:val="24"/>
          <w:szCs w:val="24"/>
        </w:rPr>
        <w:t xml:space="preserve">U okviru projekta koji je uključivao nabavu opreme za uzbunjivanje, došlo je do </w:t>
      </w:r>
      <w:r w:rsidRPr="00332AB5">
        <w:rPr>
          <w:b/>
          <w:i/>
          <w:sz w:val="24"/>
          <w:szCs w:val="24"/>
        </w:rPr>
        <w:t>dvostruke prijave i odobrenja istog troška u dvije kategorije</w:t>
      </w:r>
      <w:r w:rsidRPr="00332AB5">
        <w:rPr>
          <w:i/>
          <w:sz w:val="24"/>
          <w:szCs w:val="24"/>
        </w:rPr>
        <w:t xml:space="preserve"> (u kategoriji „Vanjski stručnjaci i usluge“ i u kategoriji „Oprema“).</w:t>
      </w:r>
    </w:p>
    <w:p w14:paraId="51A39F33" w14:textId="77777777" w:rsidR="006F73B9" w:rsidRPr="00332AB5" w:rsidRDefault="006F73B9" w:rsidP="006F73B9">
      <w:pPr>
        <w:spacing w:before="120"/>
        <w:ind w:left="425"/>
        <w:jc w:val="both"/>
        <w:rPr>
          <w:i/>
          <w:sz w:val="24"/>
          <w:szCs w:val="24"/>
        </w:rPr>
      </w:pPr>
    </w:p>
    <w:p w14:paraId="0D1F3DC6" w14:textId="77777777" w:rsidR="006F73B9" w:rsidRPr="00332AB5" w:rsidRDefault="006F73B9" w:rsidP="006F73B9">
      <w:pPr>
        <w:spacing w:before="120"/>
        <w:ind w:left="425"/>
        <w:jc w:val="both"/>
        <w:rPr>
          <w:i/>
          <w:sz w:val="24"/>
          <w:szCs w:val="24"/>
        </w:rPr>
      </w:pPr>
    </w:p>
    <w:p w14:paraId="02918B08" w14:textId="77777777" w:rsidR="006F73B9" w:rsidRPr="00332AB5" w:rsidRDefault="006F73B9">
      <w:pPr>
        <w:numPr>
          <w:ilvl w:val="0"/>
          <w:numId w:val="23"/>
        </w:numPr>
        <w:spacing w:before="120"/>
        <w:ind w:left="425"/>
        <w:jc w:val="both"/>
        <w:rPr>
          <w:i/>
          <w:sz w:val="24"/>
          <w:szCs w:val="24"/>
        </w:rPr>
      </w:pPr>
      <w:r w:rsidRPr="00332AB5">
        <w:rPr>
          <w:i/>
          <w:sz w:val="24"/>
          <w:szCs w:val="24"/>
        </w:rPr>
        <w:t xml:space="preserve">U sklopu projekta koji provodi Opća bolnica </w:t>
      </w:r>
      <w:r w:rsidRPr="00332AB5">
        <w:rPr>
          <w:b/>
          <w:i/>
          <w:sz w:val="24"/>
          <w:szCs w:val="24"/>
        </w:rPr>
        <w:t>odobreni su neprihvatljivi troškovi.</w:t>
      </w:r>
      <w:r w:rsidRPr="00332AB5">
        <w:rPr>
          <w:i/>
          <w:sz w:val="24"/>
          <w:szCs w:val="24"/>
        </w:rPr>
        <w:t xml:space="preserve"> Naime, revizijom projekta utvrđeno je da Voditelj navedenog projekta nije imao potrebno iskustvo u vođenju projekata u skladu s uvjetima propisanima u Pozivu na dostavu projektnih prijedloga, slijedom čega troškovi plaća za radno mjesto Voditelja projekta, kao i pripadajući iznosi neizravnih troškova koji su odobreni Zahtjevom za nadoknadu sredstava nisu prihvatljivi za financiranje Europske unije.</w:t>
      </w:r>
    </w:p>
    <w:p w14:paraId="248F6AEE" w14:textId="77777777" w:rsidR="006F73B9" w:rsidRPr="00332AB5" w:rsidRDefault="006F73B9">
      <w:pPr>
        <w:numPr>
          <w:ilvl w:val="0"/>
          <w:numId w:val="23"/>
        </w:numPr>
        <w:spacing w:before="120"/>
        <w:ind w:left="425"/>
        <w:jc w:val="both"/>
        <w:rPr>
          <w:i/>
          <w:sz w:val="24"/>
          <w:szCs w:val="24"/>
        </w:rPr>
      </w:pPr>
      <w:r w:rsidRPr="00332AB5">
        <w:rPr>
          <w:i/>
          <w:sz w:val="24"/>
          <w:szCs w:val="24"/>
        </w:rPr>
        <w:t xml:space="preserve">U okviru projekta koji uključuje usluge uspostave i vođenja baze podataka, u sklopu Zahtjeva za nadoknadom sredstava </w:t>
      </w:r>
      <w:r w:rsidRPr="00332AB5">
        <w:rPr>
          <w:b/>
          <w:i/>
          <w:sz w:val="24"/>
          <w:szCs w:val="24"/>
        </w:rPr>
        <w:t>odobreni su neprihvatljivi troškovi</w:t>
      </w:r>
      <w:r w:rsidRPr="00332AB5">
        <w:rPr>
          <w:i/>
          <w:sz w:val="24"/>
          <w:szCs w:val="24"/>
        </w:rPr>
        <w:t>. Naime, trošak isporuke IT sustava i trošak isporuke Priručnika za korištenje IT sustava i izobrazbe korisnika IT sustava su neprihvatljivi za financiranje s obzirom da je baza podataka uspostavljena sukladno dogovorenim specifikacijama, ali su već u tijeku provedbe utvrđene dodatne potrebe i uvjeti koji su utjecali na praktičnu upotrebu te baze, slijedom čega se uspostavljena baza ne koristi.</w:t>
      </w:r>
    </w:p>
    <w:p w14:paraId="2D05E8B5" w14:textId="77777777" w:rsidR="006F73B9" w:rsidRPr="00332AB5" w:rsidRDefault="006F73B9">
      <w:pPr>
        <w:numPr>
          <w:ilvl w:val="0"/>
          <w:numId w:val="23"/>
        </w:numPr>
        <w:spacing w:before="120"/>
        <w:ind w:left="425"/>
        <w:jc w:val="both"/>
        <w:rPr>
          <w:i/>
          <w:sz w:val="24"/>
          <w:szCs w:val="24"/>
        </w:rPr>
      </w:pPr>
      <w:r w:rsidRPr="00332AB5">
        <w:rPr>
          <w:i/>
          <w:sz w:val="24"/>
          <w:szCs w:val="24"/>
        </w:rPr>
        <w:t xml:space="preserve">Utvrđeni su </w:t>
      </w:r>
      <w:r w:rsidRPr="00332AB5">
        <w:rPr>
          <w:b/>
          <w:i/>
          <w:sz w:val="24"/>
          <w:szCs w:val="24"/>
        </w:rPr>
        <w:t>neprihvatljivi troškovi školarina koji su odobreni u okviru Zahtjeva za nadoknadom sredstava</w:t>
      </w:r>
      <w:r w:rsidRPr="00332AB5">
        <w:rPr>
          <w:i/>
          <w:sz w:val="24"/>
          <w:szCs w:val="24"/>
        </w:rPr>
        <w:t>. Troškovi školarina financirani iz tehničke pomoći nisu prihvatljivi za financiranje jer su s pojedinim djelatnicima tijela sustava upravljanja i kontrole korištenja fondova EU-a raskinuti ugovori o školovanju (sporazumni raskid ugovora o školovanju), odnosno sklopljeni su sporazumi o trajnom premještaju djelatnika u drugo tijelo, slijedom čega je prava i obveze proizašle iz ugovora o školovanju preuzelo drugo tijelo.</w:t>
      </w:r>
    </w:p>
    <w:p w14:paraId="56BD33BB" w14:textId="77777777" w:rsidR="006F73B9" w:rsidRPr="00332AB5" w:rsidRDefault="006F73B9">
      <w:pPr>
        <w:numPr>
          <w:ilvl w:val="0"/>
          <w:numId w:val="23"/>
        </w:numPr>
        <w:spacing w:before="120"/>
        <w:ind w:left="425"/>
        <w:jc w:val="both"/>
        <w:rPr>
          <w:i/>
          <w:sz w:val="24"/>
          <w:szCs w:val="24"/>
        </w:rPr>
      </w:pPr>
      <w:r w:rsidRPr="00332AB5">
        <w:rPr>
          <w:i/>
          <w:sz w:val="24"/>
          <w:szCs w:val="24"/>
        </w:rPr>
        <w:t xml:space="preserve">U okviru projekta koji je uključivao nabavu novog softvera i informatičke infrastrukture s ciljem unaprjeđenja proizvodnih procesa, utvrđene su </w:t>
      </w:r>
      <w:r w:rsidRPr="00332AB5">
        <w:rPr>
          <w:b/>
          <w:i/>
          <w:sz w:val="24"/>
          <w:szCs w:val="24"/>
        </w:rPr>
        <w:t>povrede pravila javne nabave</w:t>
      </w:r>
      <w:r w:rsidRPr="00332AB5">
        <w:rPr>
          <w:i/>
          <w:sz w:val="24"/>
          <w:szCs w:val="24"/>
        </w:rPr>
        <w:t xml:space="preserve"> kako slijedi:</w:t>
      </w:r>
    </w:p>
    <w:p w14:paraId="33766DD1" w14:textId="77777777" w:rsidR="006F73B9" w:rsidRPr="00332AB5" w:rsidRDefault="006F73B9">
      <w:pPr>
        <w:numPr>
          <w:ilvl w:val="0"/>
          <w:numId w:val="26"/>
        </w:numPr>
        <w:spacing w:before="120"/>
        <w:jc w:val="both"/>
        <w:rPr>
          <w:i/>
          <w:sz w:val="24"/>
          <w:szCs w:val="24"/>
        </w:rPr>
      </w:pPr>
      <w:r w:rsidRPr="00332AB5">
        <w:rPr>
          <w:b/>
          <w:i/>
          <w:sz w:val="24"/>
          <w:szCs w:val="24"/>
        </w:rPr>
        <w:t xml:space="preserve">originalna dokumentacija koja se nalazi kod Korisnika nije istovjetna onoj koja je dostavljena PT-u 2 uz Zahtjev za nadoknadu sredstava i na temelju </w:t>
      </w:r>
      <w:r w:rsidRPr="00332AB5">
        <w:rPr>
          <w:b/>
          <w:i/>
          <w:sz w:val="24"/>
          <w:szCs w:val="24"/>
        </w:rPr>
        <w:lastRenderedPageBreak/>
        <w:t>koje su potraživani izdaci</w:t>
      </w:r>
      <w:r w:rsidRPr="00332AB5">
        <w:rPr>
          <w:i/>
          <w:sz w:val="24"/>
          <w:szCs w:val="24"/>
        </w:rPr>
        <w:t>. Naime, utvrđeni su različiti datumi računa i datumi isporuke na računima dostavljenima uz Zahtjev za nadoknadu sredstava i na računu koji je zatečen kod Korisnika tijekom provedbe provjere na licu mjesta. Također, naknadno dostavljeni Jamstveni list ima datum otpreme koji je jednak onom na računu, ali je model opreme drugačiji.</w:t>
      </w:r>
    </w:p>
    <w:p w14:paraId="615FBF71" w14:textId="09B9B277" w:rsidR="006F73B9" w:rsidRPr="00332AB5" w:rsidRDefault="006F73B9" w:rsidP="006F73B9">
      <w:pPr>
        <w:spacing w:before="120"/>
        <w:ind w:left="720"/>
        <w:jc w:val="both"/>
        <w:rPr>
          <w:i/>
          <w:sz w:val="24"/>
          <w:szCs w:val="24"/>
        </w:rPr>
      </w:pPr>
      <w:r w:rsidRPr="00332AB5">
        <w:rPr>
          <w:i/>
          <w:sz w:val="24"/>
          <w:szCs w:val="24"/>
        </w:rPr>
        <w:t xml:space="preserve">Korisnik je dužan čuvati projektnu dokumentaciju </w:t>
      </w:r>
      <w:r w:rsidR="00020F30" w:rsidRPr="00332AB5">
        <w:rPr>
          <w:i/>
          <w:sz w:val="24"/>
          <w:szCs w:val="24"/>
        </w:rPr>
        <w:t>pet</w:t>
      </w:r>
      <w:r w:rsidRPr="00332AB5">
        <w:rPr>
          <w:i/>
          <w:sz w:val="24"/>
          <w:szCs w:val="24"/>
        </w:rPr>
        <w:t xml:space="preserve"> godina nakon završetka projekta te osigurati da se Zahtjev za nadoknadu sredstava i drugi financijski podaci mogu točno i lako uskladiti s njegovim računovodstvenim evidencijama. Opisano stanje upućuje na povredu navedene odredbe.</w:t>
      </w:r>
    </w:p>
    <w:p w14:paraId="31404E0F" w14:textId="77777777" w:rsidR="006F73B9" w:rsidRPr="00332AB5" w:rsidRDefault="006F73B9">
      <w:pPr>
        <w:numPr>
          <w:ilvl w:val="0"/>
          <w:numId w:val="26"/>
        </w:numPr>
        <w:spacing w:before="120"/>
        <w:jc w:val="both"/>
        <w:rPr>
          <w:i/>
          <w:sz w:val="24"/>
          <w:szCs w:val="24"/>
        </w:rPr>
      </w:pPr>
      <w:r w:rsidRPr="00332AB5">
        <w:rPr>
          <w:i/>
          <w:sz w:val="24"/>
          <w:szCs w:val="24"/>
        </w:rPr>
        <w:t>Korisnik je na traženje dostavio PT-u 2 jamstveni list za nabavljenu informatičku opremu (monitori). Međutim, PT 2 je prema serijskim brojevima opreme na Internetskim stranicama proizvođača utvrdio da podaci o trajanju jamstva ne postoje, odnosno uređaji pod serijskim brojevima navedenima u jamstvenom listu ne mogu biti identificirani. Stoga se zaključuje da je Korisnik, odnosno odabrani ponuditelj Jamstveni list izradio naknadno te je na njega proizvoljno upisao serijske brojeve koji ne postoje. Slijedom navedenog, PT 2 nije mogao utvrditi radi li se o rabljenoj opremi kako je navedeno u anonimnoj prijavi. Stoga PT 2 nije potvrdio prihvatljivost troškova nabave predmetne opreme.</w:t>
      </w:r>
    </w:p>
    <w:p w14:paraId="0AFF6088" w14:textId="1E413241" w:rsidR="006F73B9" w:rsidRPr="00332AB5" w:rsidRDefault="006F73B9" w:rsidP="006F73B9">
      <w:pPr>
        <w:spacing w:before="120"/>
        <w:ind w:left="720"/>
        <w:jc w:val="both"/>
        <w:rPr>
          <w:i/>
          <w:sz w:val="24"/>
          <w:szCs w:val="24"/>
        </w:rPr>
      </w:pPr>
      <w:r w:rsidRPr="00332AB5">
        <w:rPr>
          <w:i/>
          <w:sz w:val="24"/>
          <w:szCs w:val="24"/>
        </w:rPr>
        <w:t xml:space="preserve">U slučaju jedne vrste opreme utvrđeno je da je jamstvo proizvođača za opremu isteklo </w:t>
      </w:r>
      <w:r w:rsidR="00020F30" w:rsidRPr="00332AB5">
        <w:rPr>
          <w:i/>
          <w:sz w:val="24"/>
          <w:szCs w:val="24"/>
        </w:rPr>
        <w:t>dvije</w:t>
      </w:r>
      <w:r w:rsidRPr="00332AB5">
        <w:rPr>
          <w:i/>
          <w:sz w:val="24"/>
          <w:szCs w:val="24"/>
        </w:rPr>
        <w:t xml:space="preserve"> godine prije godine na koju glasi jamstveni list.</w:t>
      </w:r>
    </w:p>
    <w:p w14:paraId="0226F509" w14:textId="77777777" w:rsidR="006F73B9" w:rsidRPr="00332AB5" w:rsidRDefault="006F73B9" w:rsidP="006F73B9">
      <w:pPr>
        <w:spacing w:before="120"/>
        <w:ind w:left="720"/>
        <w:jc w:val="both"/>
        <w:rPr>
          <w:i/>
          <w:sz w:val="24"/>
          <w:szCs w:val="24"/>
        </w:rPr>
      </w:pPr>
    </w:p>
    <w:p w14:paraId="2B931384" w14:textId="0621C411" w:rsidR="006F73B9" w:rsidRPr="00332AB5" w:rsidRDefault="006F73B9">
      <w:pPr>
        <w:numPr>
          <w:ilvl w:val="0"/>
          <w:numId w:val="26"/>
        </w:numPr>
        <w:spacing w:before="120"/>
        <w:jc w:val="both"/>
        <w:rPr>
          <w:i/>
          <w:sz w:val="24"/>
          <w:szCs w:val="24"/>
        </w:rPr>
      </w:pPr>
      <w:r w:rsidRPr="00332AB5">
        <w:rPr>
          <w:i/>
          <w:sz w:val="24"/>
          <w:szCs w:val="24"/>
        </w:rPr>
        <w:t>Usporedbom ponuda neizabranih ponuditelja s odabranom ponudom, PT 2 je zaključio da je odabrani ponuditelj ponudio starija računala po cijeni skoro 100</w:t>
      </w:r>
      <w:r w:rsidR="009A77A8" w:rsidRPr="00332AB5">
        <w:rPr>
          <w:i/>
          <w:sz w:val="24"/>
          <w:szCs w:val="24"/>
        </w:rPr>
        <w:t xml:space="preserve"> </w:t>
      </w:r>
      <w:r w:rsidRPr="00332AB5">
        <w:rPr>
          <w:i/>
          <w:sz w:val="24"/>
          <w:szCs w:val="24"/>
        </w:rPr>
        <w:t xml:space="preserve">% višoj od drugog najskupljeg ponuditelja koji je ponudio opremu novije generacije što upućuje na činjenicu da </w:t>
      </w:r>
      <w:r w:rsidRPr="00332AB5">
        <w:rPr>
          <w:b/>
          <w:i/>
          <w:sz w:val="24"/>
          <w:szCs w:val="24"/>
        </w:rPr>
        <w:t>cijena opreme nije realna</w:t>
      </w:r>
      <w:r w:rsidRPr="00332AB5">
        <w:rPr>
          <w:i/>
          <w:sz w:val="24"/>
          <w:szCs w:val="24"/>
        </w:rPr>
        <w:t xml:space="preserve">. Pritom je odabir ponude izvršen na temelju necjenovnih kriterija odabira (vrijeme odaziva u jamstvenom roku i osiguranje zamjenskog uređaja u 30 min. umjesto u uobičajenih 24h ostalih ponuditelja, jamstveni rok od 120 mjeseci u odnosu na 36 mjeseci ostalih ponuditelja s time da jamstvo već u trenutku podnošenja ponuda nije bilo važeće). Također, odabrani ponuditelj je jedini imao na skladištu i mogao isporučiti računala koja udovoljavaju baš traženim specifikacijama u roku od </w:t>
      </w:r>
      <w:r w:rsidR="00020F30" w:rsidRPr="00332AB5">
        <w:rPr>
          <w:i/>
          <w:sz w:val="24"/>
          <w:szCs w:val="24"/>
        </w:rPr>
        <w:t>dva</w:t>
      </w:r>
      <w:r w:rsidRPr="00332AB5">
        <w:rPr>
          <w:i/>
          <w:sz w:val="24"/>
          <w:szCs w:val="24"/>
        </w:rPr>
        <w:t xml:space="preserve"> dana u okolnostima pandemije COVID-19 koja je izazvala znatne poremećaje na svjetskom tržištu u smislu produljenja rokova isporuke većine robe, a osobito informatičke opreme.</w:t>
      </w:r>
    </w:p>
    <w:p w14:paraId="4460801A" w14:textId="66AA4F64" w:rsidR="006F73B9" w:rsidRPr="00332AB5" w:rsidRDefault="006F73B9">
      <w:pPr>
        <w:numPr>
          <w:ilvl w:val="0"/>
          <w:numId w:val="26"/>
        </w:numPr>
        <w:spacing w:before="120"/>
        <w:jc w:val="both"/>
        <w:rPr>
          <w:i/>
          <w:sz w:val="24"/>
          <w:szCs w:val="24"/>
        </w:rPr>
      </w:pPr>
      <w:r w:rsidRPr="00332AB5">
        <w:rPr>
          <w:b/>
          <w:i/>
          <w:sz w:val="24"/>
          <w:szCs w:val="24"/>
        </w:rPr>
        <w:t>Korisnik je u okviru dokumentacije o nabavi propisao uvjet financijske sposobnosti koji nije razmjeran veličini, prirodi i složenosti nabave i ugovora</w:t>
      </w:r>
      <w:r w:rsidRPr="00332AB5">
        <w:rPr>
          <w:i/>
          <w:sz w:val="24"/>
          <w:szCs w:val="24"/>
        </w:rPr>
        <w:t xml:space="preserve">. Naime, Korisnik je u pozivu na dostavu ponuda radi nabave novog softvera i edukacije zaposlenika za rad sa softverom kao kriterij financijske sposobnosti propisao odredbu u skladu s kojom svaki ponuditelj u postupku ponude mora dokazati prosječni godišnji promet za razdoblje od </w:t>
      </w:r>
      <w:r w:rsidR="00020F30" w:rsidRPr="00332AB5">
        <w:rPr>
          <w:i/>
          <w:sz w:val="24"/>
          <w:szCs w:val="24"/>
        </w:rPr>
        <w:t>dvije</w:t>
      </w:r>
      <w:r w:rsidRPr="00332AB5">
        <w:rPr>
          <w:i/>
          <w:sz w:val="24"/>
          <w:szCs w:val="24"/>
        </w:rPr>
        <w:t xml:space="preserve"> posljednje dostupne financijske godine. S druge strane, u Izjavi o prosječnom prometu ponuditelja </w:t>
      </w:r>
      <w:r w:rsidRPr="00332AB5">
        <w:rPr>
          <w:i/>
          <w:sz w:val="24"/>
          <w:szCs w:val="24"/>
        </w:rPr>
        <w:lastRenderedPageBreak/>
        <w:t xml:space="preserve">navedeno je da ponuditelji trebaju dati izjavu o prosječnom prometu za razdoblje od </w:t>
      </w:r>
      <w:r w:rsidR="00020F30" w:rsidRPr="00332AB5">
        <w:rPr>
          <w:i/>
          <w:sz w:val="24"/>
          <w:szCs w:val="24"/>
        </w:rPr>
        <w:t>tri</w:t>
      </w:r>
      <w:r w:rsidRPr="00332AB5">
        <w:rPr>
          <w:i/>
          <w:sz w:val="24"/>
          <w:szCs w:val="24"/>
        </w:rPr>
        <w:t xml:space="preserve"> posljednje dostupne financijske godine. PT 2 na temelju pregleda dokumentacije nije utvrdio opravdane okolnosti zbog kojih bi naručitelj zahtijevao visoku razinu financijske sposobnosti (4 mil. HRK prometa u odnosu na vrijednost nabave u iznosu od 70 tis. HRK). Pored navedenog, predmet nabave je podijeljen u </w:t>
      </w:r>
      <w:r w:rsidR="00020F30" w:rsidRPr="00332AB5">
        <w:rPr>
          <w:i/>
          <w:sz w:val="24"/>
          <w:szCs w:val="24"/>
        </w:rPr>
        <w:t>dvije</w:t>
      </w:r>
      <w:r w:rsidRPr="00332AB5">
        <w:rPr>
          <w:i/>
          <w:sz w:val="24"/>
          <w:szCs w:val="24"/>
        </w:rPr>
        <w:t xml:space="preserve"> grupe (nabava softvera i edukacije), ali Korisnik nije odredio minimalnu razinu financijske sposobnosti razmjerno procijenjenoj vrijednosti svake grupe. </w:t>
      </w:r>
    </w:p>
    <w:p w14:paraId="451F4B6C" w14:textId="77777777" w:rsidR="006F73B9" w:rsidRPr="00332AB5" w:rsidRDefault="006F73B9">
      <w:pPr>
        <w:numPr>
          <w:ilvl w:val="0"/>
          <w:numId w:val="26"/>
        </w:numPr>
        <w:spacing w:before="120"/>
        <w:jc w:val="both"/>
        <w:rPr>
          <w:i/>
          <w:sz w:val="24"/>
          <w:szCs w:val="24"/>
        </w:rPr>
      </w:pPr>
      <w:r w:rsidRPr="00332AB5">
        <w:rPr>
          <w:i/>
          <w:sz w:val="24"/>
          <w:szCs w:val="24"/>
        </w:rPr>
        <w:t xml:space="preserve">Korisnik je u tekstu tehničkih specifikacija za nabavu servera </w:t>
      </w:r>
      <w:r w:rsidRPr="00332AB5">
        <w:rPr>
          <w:b/>
          <w:i/>
          <w:sz w:val="24"/>
          <w:szCs w:val="24"/>
        </w:rPr>
        <w:t>propustio uz uporabu robne marke navesti izraz „ili jednakovrijedno“</w:t>
      </w:r>
      <w:r w:rsidRPr="00332AB5">
        <w:rPr>
          <w:i/>
          <w:sz w:val="24"/>
          <w:szCs w:val="24"/>
        </w:rPr>
        <w:t xml:space="preserve"> čime je propisao </w:t>
      </w:r>
      <w:r w:rsidRPr="00332AB5">
        <w:rPr>
          <w:b/>
          <w:i/>
          <w:sz w:val="24"/>
          <w:szCs w:val="24"/>
        </w:rPr>
        <w:t>diskriminirajuće tehničke specifikacije</w:t>
      </w:r>
      <w:r w:rsidRPr="00332AB5">
        <w:rPr>
          <w:i/>
          <w:sz w:val="24"/>
          <w:szCs w:val="24"/>
        </w:rPr>
        <w:t>.</w:t>
      </w:r>
    </w:p>
    <w:p w14:paraId="5C9D503D" w14:textId="77777777" w:rsidR="006F73B9" w:rsidRPr="00332AB5" w:rsidRDefault="006F73B9" w:rsidP="006F73B9">
      <w:pPr>
        <w:spacing w:before="120"/>
        <w:jc w:val="both"/>
        <w:rPr>
          <w:bCs/>
          <w:color w:val="000000"/>
          <w:sz w:val="24"/>
          <w:szCs w:val="24"/>
        </w:rPr>
      </w:pPr>
      <w:r w:rsidRPr="00332AB5">
        <w:rPr>
          <w:bCs/>
          <w:color w:val="000000"/>
          <w:sz w:val="24"/>
          <w:szCs w:val="24"/>
        </w:rPr>
        <w:t xml:space="preserve">Opisani slučajevi nepravilnosti otkriveni su </w:t>
      </w:r>
      <w:r w:rsidRPr="00332AB5">
        <w:rPr>
          <w:b/>
          <w:bCs/>
          <w:color w:val="000000"/>
          <w:sz w:val="24"/>
          <w:szCs w:val="24"/>
        </w:rPr>
        <w:t>tijekom administrativne provjere završnog zahtjeva za nadoknadom sredstava</w:t>
      </w:r>
      <w:r w:rsidRPr="00332AB5">
        <w:rPr>
          <w:bCs/>
          <w:color w:val="000000"/>
          <w:sz w:val="24"/>
          <w:szCs w:val="24"/>
        </w:rPr>
        <w:t xml:space="preserve">, na temelju </w:t>
      </w:r>
      <w:r w:rsidRPr="00332AB5">
        <w:rPr>
          <w:b/>
          <w:bCs/>
          <w:color w:val="000000"/>
          <w:sz w:val="24"/>
          <w:szCs w:val="24"/>
        </w:rPr>
        <w:t>prijava potencijalnih nepravilnosti</w:t>
      </w:r>
      <w:r w:rsidRPr="00332AB5">
        <w:rPr>
          <w:bCs/>
          <w:color w:val="000000"/>
          <w:sz w:val="24"/>
          <w:szCs w:val="24"/>
        </w:rPr>
        <w:t xml:space="preserve"> te na temelju </w:t>
      </w:r>
      <w:r w:rsidRPr="00332AB5">
        <w:rPr>
          <w:b/>
          <w:bCs/>
          <w:color w:val="000000"/>
          <w:sz w:val="24"/>
          <w:szCs w:val="24"/>
        </w:rPr>
        <w:t>nalaza Tijela za reviziju u okviru revizije operacija</w:t>
      </w:r>
      <w:r w:rsidRPr="00332AB5">
        <w:rPr>
          <w:bCs/>
          <w:color w:val="000000"/>
          <w:sz w:val="24"/>
          <w:szCs w:val="24"/>
        </w:rPr>
        <w:t>.</w:t>
      </w:r>
    </w:p>
    <w:p w14:paraId="1A1C247B" w14:textId="77777777" w:rsidR="006F73B9" w:rsidRPr="00332AB5" w:rsidRDefault="006F73B9" w:rsidP="006F73B9">
      <w:pPr>
        <w:jc w:val="both"/>
        <w:rPr>
          <w:sz w:val="24"/>
          <w:szCs w:val="24"/>
        </w:rPr>
      </w:pPr>
    </w:p>
    <w:p w14:paraId="44B040E0" w14:textId="77777777" w:rsidR="006F73B9" w:rsidRPr="00332AB5" w:rsidRDefault="006F73B9" w:rsidP="006F73B9">
      <w:pPr>
        <w:spacing w:before="120"/>
        <w:jc w:val="both"/>
        <w:rPr>
          <w:bCs/>
          <w:sz w:val="24"/>
          <w:szCs w:val="24"/>
        </w:rPr>
      </w:pPr>
      <w:r w:rsidRPr="00332AB5">
        <w:rPr>
          <w:bCs/>
          <w:sz w:val="24"/>
          <w:szCs w:val="24"/>
        </w:rPr>
        <w:t>U pogledu korištenja</w:t>
      </w:r>
      <w:r w:rsidRPr="00332AB5">
        <w:rPr>
          <w:b/>
          <w:bCs/>
          <w:sz w:val="24"/>
          <w:szCs w:val="24"/>
        </w:rPr>
        <w:t xml:space="preserve"> Europskog socijalnog fonda </w:t>
      </w:r>
      <w:r w:rsidRPr="00332AB5">
        <w:rPr>
          <w:bCs/>
          <w:sz w:val="24"/>
          <w:szCs w:val="24"/>
        </w:rPr>
        <w:t>utvrđene su sljedeće nepravilnosti:</w:t>
      </w:r>
    </w:p>
    <w:p w14:paraId="38B5A213" w14:textId="77777777" w:rsidR="006F73B9" w:rsidRPr="00332AB5" w:rsidRDefault="006F73B9">
      <w:pPr>
        <w:numPr>
          <w:ilvl w:val="0"/>
          <w:numId w:val="32"/>
        </w:numPr>
        <w:spacing w:before="120"/>
        <w:ind w:left="426"/>
        <w:jc w:val="both"/>
        <w:rPr>
          <w:bCs/>
          <w:i/>
          <w:sz w:val="24"/>
          <w:szCs w:val="24"/>
        </w:rPr>
      </w:pPr>
      <w:r w:rsidRPr="00332AB5">
        <w:rPr>
          <w:b/>
          <w:bCs/>
          <w:i/>
          <w:sz w:val="24"/>
          <w:szCs w:val="24"/>
        </w:rPr>
        <w:t>neprihvatljivi troškovi slijedom primanja stipendija iz više javnih izvora</w:t>
      </w:r>
      <w:r w:rsidRPr="00332AB5">
        <w:rPr>
          <w:bCs/>
          <w:i/>
          <w:sz w:val="24"/>
          <w:szCs w:val="24"/>
        </w:rPr>
        <w:t xml:space="preserve"> - u skladu s odredbama propisa kojim se uređuju uvjeti i način ostvarivanja prava redovitih studenata na državnu stipendiju u STEM područjima znanosti, tijekom korištenja prava na državnu stipendiju student ne može primati ni jednu drugu stipendiju koja se financira iz javnih izvora. Za određeni broj studenata utvrđeno je da su za određenu akademsku godinu ostvarili pravo na stipendiju iz drugih javnih izvora te su po saznanju da ostvaruju pravo na STEM stipendiju, istu raskinuli ili stavili u status mirovanja. Međutim, do dodjele STEM stipendije isplaćeno je nekoliko rata stipendija iz drugih javnih izvora, ali te primljene rate nisu vraćene u državni proračun;</w:t>
      </w:r>
    </w:p>
    <w:p w14:paraId="2B177E6F" w14:textId="77777777" w:rsidR="006F73B9" w:rsidRPr="00332AB5" w:rsidRDefault="006F73B9" w:rsidP="006F73B9">
      <w:pPr>
        <w:spacing w:before="120"/>
        <w:jc w:val="both"/>
        <w:rPr>
          <w:bCs/>
          <w:i/>
          <w:sz w:val="24"/>
          <w:szCs w:val="24"/>
        </w:rPr>
      </w:pPr>
    </w:p>
    <w:p w14:paraId="3F5A1F66" w14:textId="77777777" w:rsidR="006F73B9" w:rsidRPr="00332AB5" w:rsidRDefault="006F73B9" w:rsidP="006F73B9">
      <w:pPr>
        <w:spacing w:before="120"/>
        <w:jc w:val="both"/>
        <w:rPr>
          <w:bCs/>
          <w:i/>
          <w:sz w:val="24"/>
          <w:szCs w:val="24"/>
        </w:rPr>
      </w:pPr>
    </w:p>
    <w:p w14:paraId="7F7352EF" w14:textId="77777777" w:rsidR="006F73B9" w:rsidRPr="00332AB5" w:rsidRDefault="006F73B9" w:rsidP="006F73B9">
      <w:pPr>
        <w:spacing w:before="120"/>
        <w:jc w:val="both"/>
        <w:rPr>
          <w:bCs/>
          <w:i/>
          <w:sz w:val="24"/>
          <w:szCs w:val="24"/>
        </w:rPr>
      </w:pPr>
    </w:p>
    <w:p w14:paraId="06419496" w14:textId="77777777" w:rsidR="006F73B9" w:rsidRPr="00332AB5" w:rsidRDefault="006F73B9">
      <w:pPr>
        <w:numPr>
          <w:ilvl w:val="0"/>
          <w:numId w:val="32"/>
        </w:numPr>
        <w:spacing w:before="120"/>
        <w:ind w:left="425" w:hanging="357"/>
        <w:jc w:val="both"/>
        <w:rPr>
          <w:bCs/>
          <w:i/>
          <w:sz w:val="24"/>
          <w:szCs w:val="24"/>
        </w:rPr>
      </w:pPr>
      <w:r w:rsidRPr="00332AB5">
        <w:rPr>
          <w:b/>
          <w:bCs/>
          <w:i/>
          <w:sz w:val="24"/>
          <w:szCs w:val="24"/>
        </w:rPr>
        <w:t>neprihvatljivi troškovi slijedom nepostojanja revizorskog traga</w:t>
      </w:r>
      <w:r w:rsidRPr="00332AB5">
        <w:rPr>
          <w:bCs/>
          <w:i/>
          <w:sz w:val="24"/>
          <w:szCs w:val="24"/>
        </w:rPr>
        <w:t>:</w:t>
      </w:r>
    </w:p>
    <w:p w14:paraId="1CEDF86A" w14:textId="7A2F6E45" w:rsidR="006F73B9" w:rsidRPr="00332AB5" w:rsidRDefault="006F73B9">
      <w:pPr>
        <w:numPr>
          <w:ilvl w:val="0"/>
          <w:numId w:val="31"/>
        </w:numPr>
        <w:spacing w:before="120"/>
        <w:ind w:left="1134" w:hanging="357"/>
        <w:jc w:val="both"/>
        <w:rPr>
          <w:bCs/>
          <w:i/>
          <w:sz w:val="24"/>
          <w:szCs w:val="24"/>
        </w:rPr>
      </w:pPr>
      <w:r w:rsidRPr="00332AB5">
        <w:rPr>
          <w:bCs/>
          <w:i/>
          <w:sz w:val="24"/>
          <w:szCs w:val="24"/>
        </w:rPr>
        <w:t>nakon objave rang liste, studenti su imali pet dana da prihvate uvjete stipendiranja, te se taj čin smatrao sklapanjem Ugovora o stipendiji. Utvrđeno je da ne postoji revizorski trag o kontaktiranju i obaviještenosti oko 10</w:t>
      </w:r>
      <w:r w:rsidR="009A77A8" w:rsidRPr="00332AB5">
        <w:rPr>
          <w:bCs/>
          <w:i/>
          <w:sz w:val="24"/>
          <w:szCs w:val="24"/>
        </w:rPr>
        <w:t xml:space="preserve"> </w:t>
      </w:r>
      <w:r w:rsidRPr="00332AB5">
        <w:rPr>
          <w:bCs/>
          <w:i/>
          <w:sz w:val="24"/>
          <w:szCs w:val="24"/>
        </w:rPr>
        <w:t>% studenta. Slijedom navedenog, smatra se da svi studenti nisu dobili informaciju o STEM stipendiji pravodobno;</w:t>
      </w:r>
    </w:p>
    <w:p w14:paraId="705FBDA4" w14:textId="77777777" w:rsidR="006F73B9" w:rsidRPr="00332AB5" w:rsidRDefault="006F73B9">
      <w:pPr>
        <w:numPr>
          <w:ilvl w:val="0"/>
          <w:numId w:val="31"/>
        </w:numPr>
        <w:spacing w:before="120"/>
        <w:ind w:left="1134"/>
        <w:jc w:val="both"/>
        <w:rPr>
          <w:bCs/>
          <w:i/>
          <w:sz w:val="24"/>
          <w:szCs w:val="24"/>
        </w:rPr>
      </w:pPr>
      <w:r w:rsidRPr="00332AB5">
        <w:rPr>
          <w:bCs/>
          <w:i/>
          <w:sz w:val="24"/>
          <w:szCs w:val="24"/>
        </w:rPr>
        <w:t xml:space="preserve">utvrđeno je da se projekt dodjele STEM stipendija odvijao automatizirano, odnosno bez natječaja. Na temelju podataka koje su visoka učilišta </w:t>
      </w:r>
      <w:r w:rsidRPr="00332AB5">
        <w:rPr>
          <w:bCs/>
          <w:i/>
          <w:sz w:val="24"/>
          <w:szCs w:val="24"/>
        </w:rPr>
        <w:lastRenderedPageBreak/>
        <w:t>upisala u Informacijski sustav visokih učilišta (ISVU)</w:t>
      </w:r>
      <w:r w:rsidRPr="00332AB5">
        <w:rPr>
          <w:i/>
          <w:sz w:val="24"/>
          <w:szCs w:val="24"/>
          <w:vertAlign w:val="superscript"/>
        </w:rPr>
        <w:t xml:space="preserve"> </w:t>
      </w:r>
      <w:r w:rsidRPr="00332AB5">
        <w:rPr>
          <w:i/>
          <w:sz w:val="24"/>
          <w:szCs w:val="24"/>
          <w:vertAlign w:val="superscript"/>
        </w:rPr>
        <w:footnoteReference w:id="19"/>
      </w:r>
      <w:r w:rsidRPr="00332AB5">
        <w:rPr>
          <w:bCs/>
          <w:i/>
          <w:sz w:val="24"/>
          <w:szCs w:val="24"/>
        </w:rPr>
        <w:t xml:space="preserve"> i Informacijski sustav studentskih prava (ISSP) kreirana je rang lista.</w:t>
      </w:r>
    </w:p>
    <w:p w14:paraId="23FB3331" w14:textId="77777777" w:rsidR="006F73B9" w:rsidRPr="00332AB5" w:rsidRDefault="006F73B9" w:rsidP="006F73B9">
      <w:pPr>
        <w:spacing w:before="120"/>
        <w:ind w:left="1134"/>
        <w:jc w:val="both"/>
        <w:rPr>
          <w:bCs/>
          <w:i/>
          <w:sz w:val="24"/>
          <w:szCs w:val="24"/>
        </w:rPr>
      </w:pPr>
      <w:r w:rsidRPr="00332AB5">
        <w:rPr>
          <w:bCs/>
          <w:i/>
          <w:sz w:val="24"/>
          <w:szCs w:val="24"/>
        </w:rPr>
        <w:t>Baza podataka ISSP sadrži aktualno stanje podataka studenta, a kopija baze ISSP u trenutku dodjele STEM stipendija ne postoji, te revizorima nije bilo moguće potvrditi rang listu dobitnika;</w:t>
      </w:r>
    </w:p>
    <w:p w14:paraId="76E7A6F4" w14:textId="77777777" w:rsidR="006F73B9" w:rsidRPr="00332AB5" w:rsidRDefault="006F73B9">
      <w:pPr>
        <w:numPr>
          <w:ilvl w:val="0"/>
          <w:numId w:val="34"/>
        </w:numPr>
        <w:spacing w:before="120"/>
        <w:ind w:left="714" w:hanging="357"/>
        <w:jc w:val="both"/>
        <w:rPr>
          <w:bCs/>
          <w:i/>
          <w:sz w:val="24"/>
          <w:szCs w:val="24"/>
        </w:rPr>
      </w:pPr>
      <w:r w:rsidRPr="00332AB5">
        <w:rPr>
          <w:b/>
          <w:bCs/>
          <w:i/>
          <w:sz w:val="24"/>
          <w:szCs w:val="24"/>
        </w:rPr>
        <w:t>neprihvatljivi troškovi slijedom nepouzdanosti podataka u Informacijskom sustavu studentskih prava (ISSP)</w:t>
      </w:r>
      <w:r w:rsidRPr="00332AB5">
        <w:rPr>
          <w:bCs/>
          <w:i/>
          <w:sz w:val="24"/>
          <w:szCs w:val="24"/>
        </w:rPr>
        <w:t xml:space="preserve"> - visoka učilište vode podatke o studentima u Informacijskom sustavu visokih učilišta (ISVU) iz kojega se podaci prenose u sustav ISSP. Visoka učilišta koja podatke ne vode u ISVU sustavu podatke unose izravno u sustav ISSP. Međutim, utvrđeno je da za dio studenata ne postoji unos svih traženih podataka relevantnih za dodjelu stipendija (npr. prosjek studenata) zbog čega je bilo onemogućeno izračunati broj bodova za pojedinog studenta koji konkurira za stipendiju.</w:t>
      </w:r>
    </w:p>
    <w:p w14:paraId="2FFCDBC6" w14:textId="77777777" w:rsidR="006F73B9" w:rsidRPr="00332AB5" w:rsidRDefault="006F73B9">
      <w:pPr>
        <w:numPr>
          <w:ilvl w:val="0"/>
          <w:numId w:val="27"/>
        </w:numPr>
        <w:spacing w:before="120"/>
        <w:ind w:left="709" w:hanging="357"/>
        <w:jc w:val="both"/>
        <w:rPr>
          <w:bCs/>
          <w:i/>
          <w:sz w:val="24"/>
          <w:szCs w:val="24"/>
        </w:rPr>
      </w:pPr>
      <w:r w:rsidRPr="00332AB5">
        <w:rPr>
          <w:bCs/>
          <w:i/>
          <w:sz w:val="24"/>
          <w:szCs w:val="24"/>
        </w:rPr>
        <w:t xml:space="preserve">Korisnik </w:t>
      </w:r>
      <w:r w:rsidRPr="00332AB5">
        <w:rPr>
          <w:b/>
          <w:bCs/>
          <w:i/>
          <w:sz w:val="24"/>
          <w:szCs w:val="24"/>
        </w:rPr>
        <w:t>nije ispunio ugovorne obveze</w:t>
      </w:r>
      <w:r w:rsidRPr="00332AB5">
        <w:rPr>
          <w:bCs/>
          <w:i/>
          <w:sz w:val="24"/>
          <w:szCs w:val="24"/>
        </w:rPr>
        <w:t xml:space="preserve"> koje su propisane Posebnim uvjeta Ugovora o dodjeli bespovratnih sredstava. Naime, da bi dokazao ispunjenje jednog od pokazatelja napretka projekta, Korisnik je trebao PT-u 2 dostaviti dokaznu dokumentaciju o pripadnosti sudionika projekta ciljnoj skupini „zdravstveni djelatnici i zaposlenici zdravstvenih ustanova“ (Ugovor o radu). S obzirom da Korisnik to nije učinio, nije bilo moguće utvrditi vrijednosti pokazatelja o napretku te je Ugovor o dodjeli bespovratnih sredstava raskinut.</w:t>
      </w:r>
    </w:p>
    <w:p w14:paraId="1287FB99" w14:textId="77777777" w:rsidR="006F73B9" w:rsidRPr="00332AB5" w:rsidRDefault="006F73B9">
      <w:pPr>
        <w:numPr>
          <w:ilvl w:val="0"/>
          <w:numId w:val="27"/>
        </w:numPr>
        <w:spacing w:before="120"/>
        <w:ind w:left="709" w:hanging="357"/>
        <w:jc w:val="both"/>
        <w:rPr>
          <w:bCs/>
          <w:i/>
          <w:sz w:val="24"/>
          <w:szCs w:val="24"/>
        </w:rPr>
      </w:pPr>
      <w:r w:rsidRPr="00332AB5">
        <w:rPr>
          <w:bCs/>
          <w:i/>
          <w:sz w:val="24"/>
          <w:szCs w:val="24"/>
        </w:rPr>
        <w:t>U okviru korištenja tehničke pomoći radi osiguranja učinkovite pripreme, upravljanja, provedbe, praćenja, vrednovanja i kontrole Operativnog programa utvrđeni su neprihvatljivi troškovi kako slijedi:</w:t>
      </w:r>
    </w:p>
    <w:p w14:paraId="05CBC6B2" w14:textId="77777777" w:rsidR="006F73B9" w:rsidRPr="00332AB5" w:rsidRDefault="006F73B9">
      <w:pPr>
        <w:numPr>
          <w:ilvl w:val="0"/>
          <w:numId w:val="28"/>
        </w:numPr>
        <w:spacing w:before="120"/>
        <w:ind w:left="1134" w:hanging="357"/>
        <w:jc w:val="both"/>
        <w:rPr>
          <w:bCs/>
          <w:i/>
          <w:sz w:val="24"/>
          <w:szCs w:val="24"/>
        </w:rPr>
      </w:pPr>
      <w:r w:rsidRPr="00332AB5">
        <w:rPr>
          <w:b/>
          <w:bCs/>
          <w:i/>
          <w:sz w:val="24"/>
          <w:szCs w:val="24"/>
        </w:rPr>
        <w:t>neprihvatljivi trošak bolovanja</w:t>
      </w:r>
      <w:r w:rsidRPr="00332AB5">
        <w:rPr>
          <w:bCs/>
          <w:i/>
          <w:sz w:val="24"/>
          <w:szCs w:val="24"/>
        </w:rPr>
        <w:t xml:space="preserve"> - na mjesečnoj obračunskoj isplati plaće obračunata je naknada bolovanja (potraživani su troškovi bolovanja) za njegu djeteta nisu prihvatljivi s obzirom na Prilog Pozivu na iskaz interesa za dodjelu bespovratnih sredstava iz Prioritetne osi – Tehnička pomoć;</w:t>
      </w:r>
    </w:p>
    <w:p w14:paraId="75925149" w14:textId="388FCE8C" w:rsidR="006F73B9" w:rsidRPr="00332AB5" w:rsidRDefault="006F73B9">
      <w:pPr>
        <w:numPr>
          <w:ilvl w:val="0"/>
          <w:numId w:val="28"/>
        </w:numPr>
        <w:spacing w:before="120"/>
        <w:ind w:left="1134" w:hanging="357"/>
        <w:jc w:val="both"/>
        <w:rPr>
          <w:bCs/>
          <w:i/>
          <w:sz w:val="24"/>
          <w:szCs w:val="24"/>
        </w:rPr>
      </w:pPr>
      <w:r w:rsidRPr="00332AB5">
        <w:rPr>
          <w:b/>
          <w:bCs/>
          <w:i/>
          <w:sz w:val="24"/>
          <w:szCs w:val="24"/>
        </w:rPr>
        <w:t>neprihvatljivi trošak putnih troškova</w:t>
      </w:r>
      <w:r w:rsidRPr="00332AB5">
        <w:rPr>
          <w:bCs/>
          <w:i/>
          <w:sz w:val="24"/>
          <w:szCs w:val="24"/>
        </w:rPr>
        <w:t xml:space="preserve"> - stvarni putni trošak provedbe provjere na licu mjesta iznosio je </w:t>
      </w:r>
      <w:r w:rsidR="00020F30" w:rsidRPr="00332AB5">
        <w:rPr>
          <w:bCs/>
          <w:i/>
          <w:sz w:val="24"/>
          <w:szCs w:val="24"/>
        </w:rPr>
        <w:t>dvije</w:t>
      </w:r>
      <w:r w:rsidRPr="00332AB5">
        <w:rPr>
          <w:bCs/>
          <w:i/>
          <w:sz w:val="24"/>
          <w:szCs w:val="24"/>
        </w:rPr>
        <w:t xml:space="preserve"> dnevnice, ali je potraživan iznos akontacije u visini </w:t>
      </w:r>
      <w:r w:rsidR="00020F30" w:rsidRPr="00332AB5">
        <w:rPr>
          <w:bCs/>
          <w:i/>
          <w:sz w:val="24"/>
          <w:szCs w:val="24"/>
        </w:rPr>
        <w:t>tri</w:t>
      </w:r>
      <w:r w:rsidRPr="00332AB5">
        <w:rPr>
          <w:bCs/>
          <w:i/>
          <w:sz w:val="24"/>
          <w:szCs w:val="24"/>
        </w:rPr>
        <w:t xml:space="preserve"> dnevnice. Razlika između potraživanog iznosa akontacije i stvarno nastalog putnog troška predstavlja neprihvatljivi trošak;</w:t>
      </w:r>
    </w:p>
    <w:p w14:paraId="09454752" w14:textId="6E25EADD" w:rsidR="006F73B9" w:rsidRPr="00332AB5" w:rsidRDefault="006F73B9">
      <w:pPr>
        <w:numPr>
          <w:ilvl w:val="0"/>
          <w:numId w:val="28"/>
        </w:numPr>
        <w:spacing w:before="120"/>
        <w:ind w:left="1134" w:hanging="357"/>
        <w:jc w:val="both"/>
        <w:rPr>
          <w:bCs/>
          <w:i/>
          <w:sz w:val="24"/>
          <w:szCs w:val="24"/>
        </w:rPr>
      </w:pPr>
      <w:r w:rsidRPr="00332AB5">
        <w:rPr>
          <w:b/>
          <w:bCs/>
          <w:i/>
          <w:sz w:val="24"/>
          <w:szCs w:val="24"/>
        </w:rPr>
        <w:t>neprihvatljivi trošak rada ureda</w:t>
      </w:r>
      <w:r w:rsidRPr="00332AB5">
        <w:rPr>
          <w:bCs/>
          <w:i/>
          <w:sz w:val="24"/>
          <w:szCs w:val="24"/>
        </w:rPr>
        <w:t xml:space="preserve"> – umjesto nastalog i plaćenog troška usluge fizičke zaštite i video nadzora zgrade za jedan mjesec te troška </w:t>
      </w:r>
      <w:r w:rsidRPr="00332AB5">
        <w:rPr>
          <w:bCs/>
          <w:i/>
          <w:sz w:val="24"/>
          <w:szCs w:val="24"/>
        </w:rPr>
        <w:lastRenderedPageBreak/>
        <w:t>kupnje mikrovalne pećnice, greškom su potraživani viši iznosi (6,6</w:t>
      </w:r>
      <w:r w:rsidR="009A77A8" w:rsidRPr="00332AB5">
        <w:rPr>
          <w:bCs/>
          <w:i/>
          <w:sz w:val="24"/>
          <w:szCs w:val="24"/>
        </w:rPr>
        <w:t xml:space="preserve"> </w:t>
      </w:r>
      <w:r w:rsidRPr="00332AB5">
        <w:rPr>
          <w:bCs/>
          <w:i/>
          <w:sz w:val="24"/>
          <w:szCs w:val="24"/>
        </w:rPr>
        <w:t>% odnosno 6,7</w:t>
      </w:r>
      <w:r w:rsidR="009A77A8" w:rsidRPr="00332AB5">
        <w:rPr>
          <w:bCs/>
          <w:i/>
          <w:sz w:val="24"/>
          <w:szCs w:val="24"/>
        </w:rPr>
        <w:t xml:space="preserve"> </w:t>
      </w:r>
      <w:r w:rsidRPr="00332AB5">
        <w:rPr>
          <w:bCs/>
          <w:i/>
          <w:sz w:val="24"/>
          <w:szCs w:val="24"/>
        </w:rPr>
        <w:t>% viši iznos). Razlika između potraživanog iznosa i stvarno nastalog i plaćenog troška predstavlja neprihvatljivi trošak;</w:t>
      </w:r>
    </w:p>
    <w:p w14:paraId="41CDDA8C" w14:textId="77777777" w:rsidR="006F73B9" w:rsidRPr="00332AB5" w:rsidRDefault="006F73B9">
      <w:pPr>
        <w:numPr>
          <w:ilvl w:val="0"/>
          <w:numId w:val="28"/>
        </w:numPr>
        <w:spacing w:before="120"/>
        <w:ind w:left="1134" w:hanging="357"/>
        <w:jc w:val="both"/>
        <w:rPr>
          <w:bCs/>
          <w:i/>
          <w:sz w:val="24"/>
          <w:szCs w:val="24"/>
        </w:rPr>
      </w:pPr>
      <w:r w:rsidRPr="00332AB5">
        <w:rPr>
          <w:b/>
          <w:bCs/>
          <w:i/>
          <w:sz w:val="24"/>
          <w:szCs w:val="24"/>
        </w:rPr>
        <w:t>neprihvatljivi trošak cateringa za božićni domjenak</w:t>
      </w:r>
      <w:r w:rsidRPr="00332AB5">
        <w:rPr>
          <w:bCs/>
          <w:i/>
          <w:sz w:val="24"/>
          <w:szCs w:val="24"/>
        </w:rPr>
        <w:t xml:space="preserve"> - trošak cateringa za božićni domjenak nije neposredno vezan uz upravljanje i provedbu Operativnog programa iz čije prioritetne osi „Tehnička pomoć“ je potraživan. Također, taj trošak nije bilo moguće jednoznačno povezati s tim Operativnim programom. Slijedom navedenog, nisu ispunjeni uvjeti koje bi trošak trebao zadovoljavati da bi bio prihvatljiv za financiranje iz Prioritetne osi „Tehnička pomoć“, kako je određeno u okviru Poziva na iskaz interesa za dodjelu bespovratnih sredstava iz te Prioritetne osi.</w:t>
      </w:r>
    </w:p>
    <w:p w14:paraId="11460AD3" w14:textId="77777777" w:rsidR="006F73B9" w:rsidRPr="00332AB5" w:rsidRDefault="006F73B9">
      <w:pPr>
        <w:numPr>
          <w:ilvl w:val="0"/>
          <w:numId w:val="29"/>
        </w:numPr>
        <w:spacing w:before="120"/>
        <w:ind w:left="714" w:hanging="357"/>
        <w:jc w:val="both"/>
        <w:rPr>
          <w:bCs/>
          <w:i/>
          <w:sz w:val="24"/>
          <w:szCs w:val="24"/>
        </w:rPr>
      </w:pPr>
      <w:r w:rsidRPr="00332AB5">
        <w:rPr>
          <w:bCs/>
          <w:i/>
          <w:sz w:val="24"/>
          <w:szCs w:val="24"/>
        </w:rPr>
        <w:t xml:space="preserve">U dva projekta u okviru pružanja podrške daljnjem procesu deinstitucionalizacije i transformacije domova socijalne skrbi za osobe s invaliditetom utvrđeni su </w:t>
      </w:r>
      <w:r w:rsidRPr="00332AB5">
        <w:rPr>
          <w:b/>
          <w:bCs/>
          <w:i/>
          <w:sz w:val="24"/>
          <w:szCs w:val="24"/>
        </w:rPr>
        <w:t>neprihvatljivi troškovi nabave vozila</w:t>
      </w:r>
      <w:r w:rsidRPr="00332AB5">
        <w:rPr>
          <w:bCs/>
          <w:i/>
          <w:sz w:val="24"/>
          <w:szCs w:val="24"/>
        </w:rPr>
        <w:t>. Naime, u skladu s odredbama Posebnih uvjeta ugovora o dodjeli bespovratnih sredstava, kupnja vozila i/ili namještaja kroz Operativni program „Učinkoviti ljudski potencijali“ neprihvatljiva je ako se ista nabavljaju u sklopu poziva na dostavu projektnih prijedloga financiranih unutar Operativnog programa „Konkurentnost i kohezija“. Ista odredba navedena je pod neprihvatljivim izdacima u okviru Uputa za prijavitelje za Poziv na dostavu projektnih prijedloga. Međutim, Korisnici su nabavili vozilo/vozila kroz Operativni program „Konkurentnost i kohezija“ u okviru jednog projekta, te drugo/druga vozila kroz Operativni program „Učinkoviti ljudski potencijali“ u okviru drugog projekta. Iako su Korisnici tvrdili da se ne radi o istim vozilima (na primjer, jedno vozilo je putničko, a drugo gospodarsko), troškovi nabave vozila u okviru Operativnog programa „Učinkoviti ljudski potencijali“ proglašeni su neprihvatljivima. Također, i povezani troškovi osiguranja, tehničkog pregleda i servisa vozila su neprihvatljivi za financiranje iz sredstava Operativnog programa „Učinkoviti ljudski potencijali“.</w:t>
      </w:r>
    </w:p>
    <w:p w14:paraId="4719EB96" w14:textId="77777777" w:rsidR="006F73B9" w:rsidRPr="00332AB5" w:rsidRDefault="006F73B9">
      <w:pPr>
        <w:numPr>
          <w:ilvl w:val="0"/>
          <w:numId w:val="29"/>
        </w:numPr>
        <w:spacing w:before="120"/>
        <w:ind w:left="714" w:hanging="357"/>
        <w:jc w:val="both"/>
        <w:rPr>
          <w:bCs/>
          <w:i/>
          <w:sz w:val="24"/>
          <w:szCs w:val="24"/>
        </w:rPr>
      </w:pPr>
      <w:r w:rsidRPr="00332AB5">
        <w:rPr>
          <w:bCs/>
          <w:i/>
          <w:sz w:val="24"/>
          <w:szCs w:val="24"/>
        </w:rPr>
        <w:t>U okviru potpora provedbi programa zapošljavanja žena, utvrđeni su neprihvatljivi troškovi kako slijedi:</w:t>
      </w:r>
    </w:p>
    <w:p w14:paraId="486FB667" w14:textId="77777777" w:rsidR="006F73B9" w:rsidRPr="00332AB5" w:rsidRDefault="006F73B9">
      <w:pPr>
        <w:numPr>
          <w:ilvl w:val="0"/>
          <w:numId w:val="30"/>
        </w:numPr>
        <w:spacing w:before="120"/>
        <w:ind w:left="1134" w:hanging="357"/>
        <w:jc w:val="both"/>
        <w:rPr>
          <w:bCs/>
          <w:i/>
          <w:sz w:val="24"/>
          <w:szCs w:val="24"/>
        </w:rPr>
      </w:pPr>
      <w:r w:rsidRPr="00332AB5">
        <w:rPr>
          <w:b/>
          <w:bCs/>
          <w:i/>
          <w:sz w:val="24"/>
          <w:szCs w:val="24"/>
        </w:rPr>
        <w:t xml:space="preserve">Neprihvatljivi potraživani trošak plaće i povezani neizravni troškovi </w:t>
      </w:r>
      <w:r w:rsidRPr="00332AB5">
        <w:rPr>
          <w:bCs/>
          <w:i/>
          <w:sz w:val="24"/>
          <w:szCs w:val="24"/>
        </w:rPr>
        <w:t>– u ukupan trošak plaće uključen i neprihvatljivi trošak samoizolacije zbog zaraze virusom COVID-19 za voditeljicu projekta i projektnu asistenticu (izravni troškovi osoblja);</w:t>
      </w:r>
    </w:p>
    <w:p w14:paraId="00B57041" w14:textId="77777777" w:rsidR="006F73B9" w:rsidRPr="00332AB5" w:rsidRDefault="006F73B9">
      <w:pPr>
        <w:numPr>
          <w:ilvl w:val="0"/>
          <w:numId w:val="30"/>
        </w:numPr>
        <w:spacing w:before="120"/>
        <w:ind w:left="1134" w:hanging="357"/>
        <w:jc w:val="both"/>
        <w:rPr>
          <w:i/>
        </w:rPr>
      </w:pPr>
      <w:r w:rsidRPr="00332AB5">
        <w:rPr>
          <w:b/>
          <w:bCs/>
          <w:i/>
          <w:sz w:val="24"/>
          <w:szCs w:val="24"/>
        </w:rPr>
        <w:t xml:space="preserve">Neprihvatljivi troškovi jednostavne nabave usluge osposobljavanja za gerontodomaćice. </w:t>
      </w:r>
      <w:r w:rsidRPr="00332AB5">
        <w:rPr>
          <w:bCs/>
          <w:i/>
          <w:sz w:val="24"/>
          <w:szCs w:val="24"/>
        </w:rPr>
        <w:t xml:space="preserve">Naime, Tijelu za reviziju nije dostavljena dokumentacija vezana uz navedenu nabavu te su slijedom nedostatka revizijskog traga troškovi navedene nabave proglašeni neprihvatljivima. </w:t>
      </w:r>
    </w:p>
    <w:p w14:paraId="4BA01121" w14:textId="77777777" w:rsidR="006F73B9" w:rsidRPr="00332AB5" w:rsidRDefault="006F73B9" w:rsidP="006F73B9">
      <w:pPr>
        <w:jc w:val="both"/>
        <w:rPr>
          <w:bCs/>
          <w:sz w:val="24"/>
          <w:szCs w:val="24"/>
        </w:rPr>
      </w:pPr>
    </w:p>
    <w:p w14:paraId="56BDFC93" w14:textId="77777777" w:rsidR="006F73B9" w:rsidRPr="00332AB5" w:rsidRDefault="006F73B9" w:rsidP="006F73B9">
      <w:pPr>
        <w:jc w:val="both"/>
        <w:rPr>
          <w:bCs/>
          <w:sz w:val="24"/>
          <w:szCs w:val="24"/>
        </w:rPr>
      </w:pPr>
      <w:r w:rsidRPr="00332AB5">
        <w:rPr>
          <w:bCs/>
          <w:sz w:val="24"/>
          <w:szCs w:val="24"/>
        </w:rPr>
        <w:t xml:space="preserve">Navedene nepravilnosti otkrivene su </w:t>
      </w:r>
      <w:r w:rsidRPr="00332AB5">
        <w:rPr>
          <w:b/>
          <w:bCs/>
          <w:sz w:val="24"/>
          <w:szCs w:val="24"/>
        </w:rPr>
        <w:t xml:space="preserve">tijekom revizije operacija koju je provelo Tijelo za reviziju </w:t>
      </w:r>
      <w:r w:rsidRPr="00332AB5">
        <w:rPr>
          <w:bCs/>
          <w:sz w:val="24"/>
          <w:szCs w:val="24"/>
        </w:rPr>
        <w:t>te kontrolama koje je proveo PT 2.</w:t>
      </w:r>
    </w:p>
    <w:p w14:paraId="518F73AF" w14:textId="77777777" w:rsidR="006F73B9" w:rsidRPr="00332AB5" w:rsidRDefault="006F73B9" w:rsidP="006F73B9">
      <w:pPr>
        <w:spacing w:before="120"/>
        <w:jc w:val="both"/>
        <w:rPr>
          <w:sz w:val="24"/>
          <w:szCs w:val="24"/>
        </w:rPr>
      </w:pPr>
    </w:p>
    <w:p w14:paraId="0755EA14" w14:textId="77777777" w:rsidR="006F73B9" w:rsidRPr="00332AB5" w:rsidRDefault="006F73B9" w:rsidP="006F73B9">
      <w:pPr>
        <w:spacing w:before="120"/>
        <w:jc w:val="both"/>
        <w:rPr>
          <w:sz w:val="24"/>
          <w:szCs w:val="24"/>
        </w:rPr>
      </w:pPr>
    </w:p>
    <w:p w14:paraId="0601AB28" w14:textId="77777777" w:rsidR="006F73B9" w:rsidRPr="00332AB5" w:rsidRDefault="006F73B9" w:rsidP="006F73B9">
      <w:pPr>
        <w:spacing w:after="120"/>
        <w:jc w:val="both"/>
        <w:rPr>
          <w:bCs/>
          <w:sz w:val="24"/>
          <w:szCs w:val="24"/>
        </w:rPr>
      </w:pPr>
    </w:p>
    <w:p w14:paraId="090FBF41" w14:textId="77777777" w:rsidR="006F73B9" w:rsidRPr="00332AB5" w:rsidRDefault="006F73B9" w:rsidP="006F73B9">
      <w:pPr>
        <w:spacing w:after="120"/>
        <w:jc w:val="both"/>
        <w:rPr>
          <w:bCs/>
          <w:sz w:val="24"/>
          <w:szCs w:val="24"/>
        </w:rPr>
      </w:pPr>
    </w:p>
    <w:p w14:paraId="3C28CA0D" w14:textId="77777777" w:rsidR="006F73B9" w:rsidRPr="00332AB5" w:rsidRDefault="006F73B9" w:rsidP="006F73B9">
      <w:pPr>
        <w:spacing w:after="120"/>
        <w:jc w:val="both"/>
        <w:rPr>
          <w:bCs/>
          <w:sz w:val="24"/>
          <w:szCs w:val="24"/>
        </w:rPr>
      </w:pPr>
    </w:p>
    <w:p w14:paraId="03DC195C" w14:textId="77777777" w:rsidR="006F73B9" w:rsidRPr="00332AB5" w:rsidRDefault="006F73B9" w:rsidP="006F73B9">
      <w:pPr>
        <w:spacing w:after="120"/>
        <w:jc w:val="both"/>
        <w:rPr>
          <w:bCs/>
          <w:sz w:val="24"/>
          <w:szCs w:val="24"/>
        </w:rPr>
      </w:pPr>
      <w:r w:rsidRPr="00332AB5">
        <w:rPr>
          <w:bCs/>
          <w:sz w:val="24"/>
          <w:szCs w:val="24"/>
        </w:rPr>
        <w:t>U korištenju</w:t>
      </w:r>
      <w:r w:rsidRPr="00332AB5">
        <w:rPr>
          <w:b/>
          <w:bCs/>
          <w:sz w:val="24"/>
          <w:szCs w:val="24"/>
        </w:rPr>
        <w:t xml:space="preserve"> Europskog poljoprivrednog fonda za ruralni razvoj, </w:t>
      </w:r>
      <w:r w:rsidRPr="00332AB5">
        <w:rPr>
          <w:bCs/>
          <w:sz w:val="24"/>
          <w:szCs w:val="24"/>
        </w:rPr>
        <w:t>utvrđene su sljedeće nepravilnosti:</w:t>
      </w:r>
    </w:p>
    <w:p w14:paraId="2DC5A096" w14:textId="77777777" w:rsidR="006F73B9" w:rsidRPr="00332AB5" w:rsidRDefault="006F73B9">
      <w:pPr>
        <w:numPr>
          <w:ilvl w:val="0"/>
          <w:numId w:val="18"/>
        </w:numPr>
        <w:spacing w:after="120"/>
        <w:ind w:left="425" w:hanging="357"/>
        <w:jc w:val="both"/>
        <w:rPr>
          <w:bCs/>
          <w:i/>
          <w:sz w:val="24"/>
          <w:szCs w:val="24"/>
        </w:rPr>
      </w:pPr>
      <w:r w:rsidRPr="00332AB5">
        <w:rPr>
          <w:b/>
          <w:bCs/>
          <w:i/>
          <w:sz w:val="24"/>
          <w:szCs w:val="24"/>
        </w:rPr>
        <w:t>Korisnik je odustao od provođenja mjere</w:t>
      </w:r>
      <w:r w:rsidRPr="00332AB5">
        <w:rPr>
          <w:bCs/>
          <w:i/>
          <w:sz w:val="24"/>
          <w:szCs w:val="24"/>
        </w:rPr>
        <w:t xml:space="preserve"> nakon što mu je odobren i isplaćen dio sredstava;</w:t>
      </w:r>
    </w:p>
    <w:p w14:paraId="11AE5CE2" w14:textId="77777777" w:rsidR="006F73B9" w:rsidRPr="00332AB5" w:rsidRDefault="006F73B9">
      <w:pPr>
        <w:numPr>
          <w:ilvl w:val="0"/>
          <w:numId w:val="18"/>
        </w:numPr>
        <w:spacing w:after="120"/>
        <w:ind w:left="425" w:hanging="357"/>
        <w:jc w:val="both"/>
        <w:rPr>
          <w:bCs/>
          <w:i/>
          <w:sz w:val="24"/>
          <w:szCs w:val="24"/>
        </w:rPr>
      </w:pPr>
      <w:r w:rsidRPr="00332AB5">
        <w:rPr>
          <w:b/>
          <w:bCs/>
          <w:i/>
          <w:sz w:val="24"/>
          <w:szCs w:val="24"/>
        </w:rPr>
        <w:t xml:space="preserve">Korisnik je prekršio rokove </w:t>
      </w:r>
      <w:r w:rsidRPr="00332AB5">
        <w:rPr>
          <w:bCs/>
          <w:i/>
          <w:sz w:val="24"/>
          <w:szCs w:val="24"/>
        </w:rPr>
        <w:t xml:space="preserve">- u skladu s odredbama Natječaja i Pravilnika kojim se uređuje provedba mjere/podmjere/tipa operacije za koju je Korisnik aplicirao, Korisnik je u obvezi dostaviti </w:t>
      </w:r>
      <w:r w:rsidRPr="00332AB5">
        <w:rPr>
          <w:bCs/>
          <w:i/>
          <w:sz w:val="24"/>
          <w:szCs w:val="24"/>
          <w:u w:val="single"/>
        </w:rPr>
        <w:t>zahtjev za isplatu posljednje rate</w:t>
      </w:r>
      <w:r w:rsidRPr="00332AB5">
        <w:rPr>
          <w:bCs/>
          <w:i/>
          <w:sz w:val="24"/>
          <w:szCs w:val="24"/>
        </w:rPr>
        <w:t xml:space="preserve"> u roku od 24 mjeseca od datuma donošenja Odluke o dodjeli sredstava. Provjerom kod jednog Korisnika je li Zahtjev za isplatu poslan pravodobno, utvrđeno je prekoračenje roka u trajanju duljem od jedne godine, pri čemu Korisnik Agenciji za plaćanja nije podnio zahtjev za produljenjem roka, niti je na odgovarajući način obrazložio razloge prekoračenja roka. Slijedom navedenog, Agencija za plaćanja izdala je Odluku o povratu svih isplaćenih sredstava;</w:t>
      </w:r>
    </w:p>
    <w:p w14:paraId="692DFB07" w14:textId="77777777" w:rsidR="006F73B9" w:rsidRPr="00332AB5" w:rsidRDefault="006F73B9">
      <w:pPr>
        <w:numPr>
          <w:ilvl w:val="0"/>
          <w:numId w:val="18"/>
        </w:numPr>
        <w:spacing w:before="120"/>
        <w:ind w:left="426"/>
        <w:contextualSpacing/>
        <w:jc w:val="both"/>
        <w:rPr>
          <w:bCs/>
          <w:i/>
          <w:sz w:val="24"/>
          <w:szCs w:val="24"/>
        </w:rPr>
      </w:pPr>
      <w:r w:rsidRPr="00332AB5">
        <w:rPr>
          <w:b/>
          <w:bCs/>
          <w:i/>
          <w:sz w:val="24"/>
          <w:szCs w:val="24"/>
        </w:rPr>
        <w:t>Korisnik nije u zadanom roku zadovoljio uvjet prihvatljivosti koji je utvrđen uvjetima Natječaja i Ugovorom o financiranju</w:t>
      </w:r>
      <w:r w:rsidRPr="00332AB5">
        <w:rPr>
          <w:bCs/>
          <w:i/>
          <w:sz w:val="24"/>
          <w:szCs w:val="24"/>
        </w:rPr>
        <w:t>:</w:t>
      </w:r>
    </w:p>
    <w:p w14:paraId="24042CD6" w14:textId="77777777" w:rsidR="006F73B9" w:rsidRPr="00332AB5" w:rsidRDefault="006F73B9">
      <w:pPr>
        <w:numPr>
          <w:ilvl w:val="0"/>
          <w:numId w:val="33"/>
        </w:numPr>
        <w:spacing w:before="120"/>
        <w:jc w:val="both"/>
        <w:rPr>
          <w:bCs/>
          <w:i/>
          <w:sz w:val="24"/>
          <w:szCs w:val="24"/>
        </w:rPr>
      </w:pPr>
      <w:r w:rsidRPr="00332AB5">
        <w:rPr>
          <w:bCs/>
          <w:i/>
          <w:sz w:val="24"/>
          <w:szCs w:val="24"/>
        </w:rPr>
        <w:t>Korisnik je zatvorio obiteljsko poljoprivredno gospodarstvo (OPG), iako je, u skladu s odredbama Pravilnika kojim se uređuje provedba mjere/podmjere/tipa operacije, bio dužan ostati unutar poljoprivrednog gospodarstva i zadržati poljoprivredno gospodarstvo najmanje pet godina nakon konačne isplate potpore iz mjere/podmjere/tipa operacije za koju je aplicirao;</w:t>
      </w:r>
    </w:p>
    <w:p w14:paraId="4F38D9CB" w14:textId="77777777" w:rsidR="006F73B9" w:rsidRPr="00332AB5" w:rsidRDefault="006F73B9">
      <w:pPr>
        <w:numPr>
          <w:ilvl w:val="0"/>
          <w:numId w:val="33"/>
        </w:numPr>
        <w:spacing w:before="120"/>
        <w:jc w:val="both"/>
        <w:rPr>
          <w:bCs/>
          <w:i/>
          <w:sz w:val="24"/>
          <w:szCs w:val="24"/>
        </w:rPr>
      </w:pPr>
      <w:r w:rsidRPr="00332AB5">
        <w:rPr>
          <w:bCs/>
          <w:i/>
          <w:sz w:val="24"/>
          <w:szCs w:val="24"/>
        </w:rPr>
        <w:t>Korisnik u Zahtjevu za isplatu 3. (konačne) rate nije učitao Potvrdu porezne uprave iz koje je vidljivo da ima regulirane financijske obveze prema državnom proračunu ne stariju od 30 dana na dan podnošenja Zahtjeva za isplatu. S obzirom da isto nije učinio niti nakon što mu je Agencija za plaćanja poslala zahtjev da naknadno dostavi tu potvrdu, zaključeno je da je Korisnik odustao od potpore te mu je izdana Odluka o povratu dotad isplaćenih sredstava;</w:t>
      </w:r>
    </w:p>
    <w:p w14:paraId="53082899" w14:textId="77777777" w:rsidR="006F73B9" w:rsidRPr="00332AB5" w:rsidRDefault="006F73B9">
      <w:pPr>
        <w:numPr>
          <w:ilvl w:val="0"/>
          <w:numId w:val="33"/>
        </w:numPr>
        <w:spacing w:before="120"/>
        <w:jc w:val="both"/>
        <w:rPr>
          <w:bCs/>
          <w:i/>
          <w:sz w:val="24"/>
          <w:szCs w:val="24"/>
        </w:rPr>
      </w:pPr>
      <w:r w:rsidRPr="00332AB5">
        <w:rPr>
          <w:bCs/>
          <w:i/>
          <w:sz w:val="24"/>
          <w:szCs w:val="24"/>
        </w:rPr>
        <w:t>Korisnik nije uspostavio uvjet da proizvođačka organizacija pregovara u ime svojih članova proizvođača za obujam proizvodnje u kojem se navode svi elementi iz članka 148. stavka 2. Uredbe (EU) br. 1308/2013</w:t>
      </w:r>
      <w:r w:rsidRPr="00332AB5">
        <w:rPr>
          <w:sz w:val="24"/>
          <w:szCs w:val="24"/>
          <w:vertAlign w:val="superscript"/>
        </w:rPr>
        <w:footnoteReference w:id="20"/>
      </w:r>
      <w:r w:rsidRPr="00332AB5">
        <w:rPr>
          <w:bCs/>
          <w:i/>
          <w:sz w:val="24"/>
          <w:szCs w:val="24"/>
        </w:rPr>
        <w:t>, čime se daje okvir za pojedinačne ugovore između članova proizvođačke organizacije i prerađivača, te sukladno tome nema utrženu proizvodnju na temelju koje bi se izračunala potpora. Također, Korisnik nije dostavio dokaze o provođenju aktivnosti planiranih u prvoj godini Poslovnog plana;</w:t>
      </w:r>
    </w:p>
    <w:p w14:paraId="7B0A45FA" w14:textId="77777777" w:rsidR="006F73B9" w:rsidRPr="00332AB5" w:rsidRDefault="006F73B9">
      <w:pPr>
        <w:numPr>
          <w:ilvl w:val="0"/>
          <w:numId w:val="33"/>
        </w:numPr>
        <w:spacing w:before="120"/>
        <w:jc w:val="both"/>
        <w:rPr>
          <w:bCs/>
          <w:i/>
          <w:sz w:val="24"/>
          <w:szCs w:val="24"/>
        </w:rPr>
      </w:pPr>
      <w:r w:rsidRPr="00332AB5">
        <w:rPr>
          <w:bCs/>
          <w:i/>
          <w:sz w:val="24"/>
          <w:szCs w:val="24"/>
        </w:rPr>
        <w:lastRenderedPageBreak/>
        <w:t>U skladu s odredbama Natječaja za mjeru/podmjeru/tip operacije za koju je Korisnik aplicirao, kao uvjet prihvatljivosti Korisnika propisano je da nositelj diversificirane djelatnosti mora biti zaposlen na puno radno vrijeme na poljoprivrednom gospodarstvu koje je ostvarilo potporu, te mora imati plaćene doprinose za mirovinsko i zdravstveno osiguranje po osnovi poljoprivredne djelatnosti ili dopunske diversificirane djelatnosti koja je predmet projekta. Uvidom u Upisnik poljoprivrednika i potvrdu Hrvatskog zavoda za mirovinsko osiguranje (HZMO) utvrđeno je da je nositelj diversificirane djelatnosti zaposlen u tijelu lokalne samouprave;</w:t>
      </w:r>
    </w:p>
    <w:p w14:paraId="542B8433" w14:textId="77777777" w:rsidR="006F73B9" w:rsidRPr="00332AB5" w:rsidRDefault="006F73B9">
      <w:pPr>
        <w:numPr>
          <w:ilvl w:val="0"/>
          <w:numId w:val="37"/>
        </w:numPr>
        <w:spacing w:before="120"/>
        <w:ind w:left="426"/>
        <w:jc w:val="both"/>
        <w:rPr>
          <w:bCs/>
          <w:i/>
          <w:sz w:val="24"/>
          <w:szCs w:val="24"/>
        </w:rPr>
      </w:pPr>
      <w:r w:rsidRPr="00332AB5">
        <w:rPr>
          <w:b/>
          <w:bCs/>
          <w:i/>
          <w:sz w:val="24"/>
          <w:szCs w:val="24"/>
        </w:rPr>
        <w:t xml:space="preserve">Neprijavljeni sukob interesa </w:t>
      </w:r>
      <w:r w:rsidRPr="00332AB5">
        <w:rPr>
          <w:bCs/>
          <w:i/>
          <w:sz w:val="24"/>
          <w:szCs w:val="24"/>
        </w:rPr>
        <w:t>– u sklopu Zahtjeva za potporu za mjeru/podmjeru/tip operacije za koju je Korisnik aplicirao, Korisnik pod kaznenom i materijalnom odgovornošću izjavljuje da nije u sukobu interesa s odabranim ponuditeljima.</w:t>
      </w:r>
      <w:r w:rsidRPr="00332AB5">
        <w:rPr>
          <w:sz w:val="24"/>
          <w:szCs w:val="24"/>
        </w:rPr>
        <w:t xml:space="preserve"> </w:t>
      </w:r>
    </w:p>
    <w:p w14:paraId="247B8673" w14:textId="77777777" w:rsidR="006F73B9" w:rsidRPr="00332AB5" w:rsidRDefault="006F73B9" w:rsidP="006F73B9">
      <w:pPr>
        <w:spacing w:before="120"/>
        <w:ind w:left="426"/>
        <w:jc w:val="both"/>
        <w:rPr>
          <w:bCs/>
          <w:i/>
          <w:sz w:val="24"/>
          <w:szCs w:val="24"/>
        </w:rPr>
      </w:pPr>
      <w:r w:rsidRPr="00332AB5">
        <w:rPr>
          <w:bCs/>
          <w:i/>
          <w:sz w:val="24"/>
          <w:szCs w:val="24"/>
        </w:rPr>
        <w:t>Zahtjevom za potporu Korisnik je prijavio ulaganje u izgradnju i opremanje pogona za preradu mesa. Tijekom postupka prikupljanja ponuda za navedeno ulaganje, Korisnik je prikupio samo jednu ponudu te je dostavio Izjavu o nepostojanju sukoba interesa.</w:t>
      </w:r>
    </w:p>
    <w:p w14:paraId="31E1AF2A" w14:textId="7B55F1F7" w:rsidR="006F73B9" w:rsidRPr="00332AB5" w:rsidRDefault="006F73B9" w:rsidP="006F73B9">
      <w:pPr>
        <w:spacing w:before="120"/>
        <w:ind w:left="426"/>
        <w:jc w:val="both"/>
        <w:rPr>
          <w:bCs/>
          <w:i/>
          <w:sz w:val="24"/>
          <w:szCs w:val="24"/>
        </w:rPr>
      </w:pPr>
      <w:r w:rsidRPr="00332AB5">
        <w:rPr>
          <w:bCs/>
          <w:i/>
          <w:sz w:val="24"/>
          <w:szCs w:val="24"/>
        </w:rPr>
        <w:t>Tijekom odobravanja projekta, tehničke analize, ekonomske analize i konačno administrativne obrade podnesenih Zahtjeva za isplatu, Agencija za plaćanja vjerovala</w:t>
      </w:r>
      <w:r w:rsidR="00910893" w:rsidRPr="00332AB5">
        <w:rPr>
          <w:bCs/>
          <w:i/>
          <w:sz w:val="24"/>
          <w:szCs w:val="24"/>
        </w:rPr>
        <w:t xml:space="preserve"> je</w:t>
      </w:r>
      <w:r w:rsidRPr="00332AB5">
        <w:rPr>
          <w:bCs/>
          <w:i/>
          <w:sz w:val="24"/>
          <w:szCs w:val="24"/>
        </w:rPr>
        <w:t xml:space="preserve"> u istinitost Korisnikovih izjava i tvrdnji. Međutim, revidiranjem predmeta, uočena je moguća nepravilnosti koja se odnosi na mogući sukob interesa s odabranim ponuditeljima.</w:t>
      </w:r>
    </w:p>
    <w:p w14:paraId="3A099960" w14:textId="77777777" w:rsidR="006F73B9" w:rsidRPr="00332AB5" w:rsidRDefault="006F73B9" w:rsidP="006F73B9">
      <w:pPr>
        <w:spacing w:before="120"/>
        <w:ind w:left="426"/>
        <w:jc w:val="both"/>
        <w:rPr>
          <w:bCs/>
          <w:i/>
          <w:sz w:val="24"/>
          <w:szCs w:val="24"/>
        </w:rPr>
      </w:pPr>
      <w:r w:rsidRPr="00332AB5">
        <w:rPr>
          <w:bCs/>
          <w:i/>
          <w:sz w:val="24"/>
          <w:szCs w:val="24"/>
        </w:rPr>
        <w:t xml:space="preserve">Naime, </w:t>
      </w:r>
      <w:r w:rsidRPr="00332AB5">
        <w:rPr>
          <w:bCs/>
          <w:i/>
          <w:sz w:val="24"/>
          <w:szCs w:val="24"/>
          <w:u w:val="single"/>
        </w:rPr>
        <w:t>tijekom kontrole na terenu uočeno je da se Korisnik (vlasnik obrta) i jedan od osnivača/članova društva Ponuditelja, koji je ujedno i prokurist u tom društvu, isto prezivaju te da su obrt Korisnika kao i društvo Ponuditelja registrirani u istoj županiji</w:t>
      </w:r>
      <w:r w:rsidRPr="00332AB5">
        <w:rPr>
          <w:bCs/>
          <w:i/>
          <w:sz w:val="24"/>
          <w:szCs w:val="24"/>
        </w:rPr>
        <w:t xml:space="preserve">. </w:t>
      </w:r>
    </w:p>
    <w:p w14:paraId="1D4DDDC8" w14:textId="77777777" w:rsidR="006F73B9" w:rsidRPr="00332AB5" w:rsidRDefault="006F73B9" w:rsidP="006F73B9">
      <w:pPr>
        <w:spacing w:before="120"/>
        <w:ind w:left="426"/>
        <w:jc w:val="both"/>
        <w:rPr>
          <w:bCs/>
          <w:i/>
          <w:sz w:val="24"/>
          <w:szCs w:val="24"/>
        </w:rPr>
      </w:pPr>
      <w:r w:rsidRPr="00332AB5">
        <w:rPr>
          <w:bCs/>
          <w:i/>
          <w:sz w:val="24"/>
          <w:szCs w:val="24"/>
        </w:rPr>
        <w:t>Od Korisnika je traženo da se izjasni o uočenom te da obrazloži povezanost s jednim od osnivača/članova, a ujedno i prokuristom društva Ponuditelja. Slijedom Korisnikove usmene izjave da se radi o rodbinskoj povezanosti (srodstvo nećaka i strica), od njega je zatraženo da, sa svrhom naknadne administrativne kontrole Zahtjeva za isplatu, dostavi potpisanu i ovjerenu Izjavu, u kojoj pod kaznenom i materijalnom odgovornošću izjavljuje jesu li i, ako jesu, na koji su način poslovno i/ili rodbinski povezani Korisnik i prokurist te jedan od osnivača/članova društva Ponuditelja.</w:t>
      </w:r>
    </w:p>
    <w:p w14:paraId="4F41F655" w14:textId="51E26A44" w:rsidR="006F73B9" w:rsidRPr="00332AB5" w:rsidRDefault="006F73B9" w:rsidP="006F73B9">
      <w:pPr>
        <w:spacing w:before="120"/>
        <w:ind w:left="426"/>
        <w:jc w:val="both"/>
        <w:rPr>
          <w:bCs/>
          <w:i/>
          <w:sz w:val="24"/>
          <w:szCs w:val="24"/>
        </w:rPr>
      </w:pPr>
      <w:r w:rsidRPr="00332AB5">
        <w:rPr>
          <w:bCs/>
          <w:i/>
          <w:sz w:val="24"/>
          <w:szCs w:val="24"/>
        </w:rPr>
        <w:t>Korisnik je u odgovoru Agenciji za plaćanja svojim potpisom i pečatom potvrdio rodbinsku povezanost te izjavio da mu je prokurist te jedan od osnivača/članova društva Ponuditelja stric odnosno brat njegova oca, čime je Korisnik potvrdio činjenicu da između njega i društva Ponuditelja postoji sukob interesa. Pored navedenog, Korisnik je u predmetnoj Izjavi naveo da poslovno nije imao izravnih kontakata sa svojim stricem. Međutim, u kontroli na terenu koju je provela Agencija za plaćanja, utvrđeno je da je društvo Ponuditelja Korisniku isplatilo pozajmice u dva navrata kako bi Korisnik mogao realizirati ulaganje.</w:t>
      </w:r>
    </w:p>
    <w:p w14:paraId="3093E8F5" w14:textId="77777777" w:rsidR="006F73B9" w:rsidRPr="00332AB5" w:rsidRDefault="006F73B9" w:rsidP="006F73B9">
      <w:pPr>
        <w:spacing w:before="120"/>
        <w:ind w:left="426"/>
        <w:jc w:val="both"/>
        <w:rPr>
          <w:bCs/>
          <w:i/>
          <w:sz w:val="24"/>
          <w:szCs w:val="24"/>
        </w:rPr>
      </w:pPr>
      <w:r w:rsidRPr="00332AB5">
        <w:rPr>
          <w:bCs/>
          <w:i/>
          <w:sz w:val="24"/>
          <w:szCs w:val="24"/>
        </w:rPr>
        <w:lastRenderedPageBreak/>
        <w:t>Agencija za plaćanja utvrdila je neospornu činjenicu da između Korisnika i odabranog Ponuditelja još od prijave na Natječaj i podnošenja Zahtjeva za potporu postoji sukob interesa. Time je Korisnik prekršio uvjete prihvatljivosti propisane Natječajem, (dao je netočne podatke pri dostavi Zahtjeva za potporu) slijedom čega je isključen iz sudjelovanja u postupku dodjele te mu je izdana Odluka o povratu sredstava.</w:t>
      </w:r>
    </w:p>
    <w:p w14:paraId="355CBCD2" w14:textId="77777777" w:rsidR="006F73B9" w:rsidRPr="00332AB5" w:rsidRDefault="006F73B9">
      <w:pPr>
        <w:numPr>
          <w:ilvl w:val="0"/>
          <w:numId w:val="37"/>
        </w:numPr>
        <w:spacing w:before="120"/>
        <w:ind w:left="426"/>
        <w:jc w:val="both"/>
        <w:rPr>
          <w:bCs/>
          <w:i/>
          <w:sz w:val="24"/>
          <w:szCs w:val="24"/>
        </w:rPr>
      </w:pPr>
      <w:r w:rsidRPr="00332AB5">
        <w:rPr>
          <w:b/>
          <w:bCs/>
          <w:i/>
          <w:sz w:val="24"/>
          <w:szCs w:val="24"/>
        </w:rPr>
        <w:t>Umjetno stvaranje uvjeta</w:t>
      </w:r>
      <w:r w:rsidRPr="00332AB5">
        <w:rPr>
          <w:bCs/>
          <w:i/>
          <w:sz w:val="24"/>
          <w:szCs w:val="24"/>
        </w:rPr>
        <w:t xml:space="preserve"> davanjem lažnih podataka radi ostvarivanja višeg iznosa potpore ili većeg broja bodova na listi prihvatljivih primatelja potpore (4):</w:t>
      </w:r>
    </w:p>
    <w:p w14:paraId="41C49882" w14:textId="77777777" w:rsidR="006F73B9" w:rsidRPr="00332AB5" w:rsidRDefault="006F73B9">
      <w:pPr>
        <w:numPr>
          <w:ilvl w:val="0"/>
          <w:numId w:val="38"/>
        </w:numPr>
        <w:spacing w:before="120"/>
        <w:jc w:val="both"/>
        <w:rPr>
          <w:i/>
          <w:sz w:val="24"/>
          <w:szCs w:val="24"/>
        </w:rPr>
      </w:pPr>
      <w:r w:rsidRPr="00332AB5">
        <w:rPr>
          <w:bCs/>
          <w:i/>
          <w:sz w:val="24"/>
          <w:szCs w:val="24"/>
        </w:rPr>
        <w:t>U okviru Natječaja za provedbu tipa operacije</w:t>
      </w:r>
      <w:r w:rsidRPr="00332AB5">
        <w:rPr>
          <w:sz w:val="24"/>
          <w:szCs w:val="24"/>
        </w:rPr>
        <w:t xml:space="preserve"> </w:t>
      </w:r>
      <w:r w:rsidRPr="00332AB5">
        <w:rPr>
          <w:bCs/>
          <w:i/>
          <w:sz w:val="24"/>
          <w:szCs w:val="24"/>
        </w:rPr>
        <w:t>4.1.1. „Restrukturiranje, modernizacija i povećanje konkurentnosti poljoprivrednih gospodarstava“, kao uvjet prihvatljivosti Korisnika i kriterij odabira propisana je ekonomska veličina poljoprivrednog gospodarstva.</w:t>
      </w:r>
    </w:p>
    <w:p w14:paraId="2E1B935C" w14:textId="77777777" w:rsidR="006F73B9" w:rsidRPr="00332AB5" w:rsidRDefault="006F73B9" w:rsidP="006F73B9">
      <w:pPr>
        <w:spacing w:before="120"/>
        <w:ind w:left="851"/>
        <w:jc w:val="both"/>
        <w:rPr>
          <w:bCs/>
          <w:i/>
          <w:sz w:val="24"/>
          <w:szCs w:val="24"/>
        </w:rPr>
      </w:pPr>
      <w:r w:rsidRPr="00332AB5">
        <w:rPr>
          <w:bCs/>
          <w:i/>
          <w:sz w:val="24"/>
          <w:szCs w:val="24"/>
        </w:rPr>
        <w:t xml:space="preserve">Da bi dokazao ekonomsku veličinu, Korisnik je u Zahtjevu za potporu dostavio potvrdu o ekonomskoj veličini poljoprivrednog gospodarstva (EVPG) koju je izdalo Ministarstva poljoprivrede. Međutim, tijekom administrativne obrade Zahtjeva za potporu, Agencija za plaćanja je razvila </w:t>
      </w:r>
      <w:r w:rsidRPr="00332AB5">
        <w:rPr>
          <w:bCs/>
          <w:i/>
          <w:sz w:val="24"/>
          <w:szCs w:val="24"/>
          <w:u w:val="single"/>
        </w:rPr>
        <w:t>sumnju u vjerodostojnost dostavljene potvrde</w:t>
      </w:r>
      <w:r w:rsidRPr="00332AB5">
        <w:rPr>
          <w:bCs/>
          <w:i/>
          <w:sz w:val="24"/>
          <w:szCs w:val="24"/>
        </w:rPr>
        <w:t>.</w:t>
      </w:r>
    </w:p>
    <w:p w14:paraId="72F10BFB" w14:textId="77777777" w:rsidR="006F73B9" w:rsidRPr="00332AB5" w:rsidRDefault="006F73B9" w:rsidP="006F73B9">
      <w:pPr>
        <w:spacing w:before="120"/>
        <w:ind w:left="851"/>
        <w:jc w:val="both"/>
        <w:rPr>
          <w:bCs/>
          <w:i/>
          <w:sz w:val="24"/>
          <w:szCs w:val="24"/>
        </w:rPr>
      </w:pPr>
    </w:p>
    <w:p w14:paraId="24659B0A" w14:textId="77777777" w:rsidR="006F73B9" w:rsidRPr="00332AB5" w:rsidRDefault="006F73B9" w:rsidP="006F73B9">
      <w:pPr>
        <w:spacing w:before="120"/>
        <w:ind w:left="851"/>
        <w:jc w:val="both"/>
        <w:rPr>
          <w:bCs/>
          <w:i/>
          <w:sz w:val="24"/>
          <w:szCs w:val="24"/>
        </w:rPr>
      </w:pPr>
    </w:p>
    <w:p w14:paraId="68F9960A" w14:textId="77777777" w:rsidR="006F73B9" w:rsidRPr="00332AB5" w:rsidRDefault="006F73B9" w:rsidP="006F73B9">
      <w:pPr>
        <w:spacing w:before="120"/>
        <w:ind w:left="851"/>
        <w:jc w:val="both"/>
        <w:rPr>
          <w:bCs/>
          <w:i/>
          <w:sz w:val="24"/>
          <w:szCs w:val="24"/>
        </w:rPr>
      </w:pPr>
    </w:p>
    <w:p w14:paraId="49FDDB71" w14:textId="77777777" w:rsidR="006F73B9" w:rsidRPr="00332AB5" w:rsidRDefault="006F73B9" w:rsidP="006F73B9">
      <w:pPr>
        <w:spacing w:before="120"/>
        <w:ind w:left="851"/>
        <w:jc w:val="both"/>
        <w:rPr>
          <w:bCs/>
          <w:i/>
          <w:sz w:val="24"/>
          <w:szCs w:val="24"/>
        </w:rPr>
      </w:pPr>
    </w:p>
    <w:p w14:paraId="2AD867C7" w14:textId="77777777" w:rsidR="006F73B9" w:rsidRPr="00332AB5" w:rsidRDefault="006F73B9" w:rsidP="006F73B9">
      <w:pPr>
        <w:spacing w:before="120"/>
        <w:ind w:left="851"/>
        <w:jc w:val="both"/>
        <w:rPr>
          <w:bCs/>
          <w:i/>
          <w:sz w:val="24"/>
          <w:szCs w:val="24"/>
        </w:rPr>
      </w:pPr>
      <w:r w:rsidRPr="00332AB5">
        <w:rPr>
          <w:bCs/>
          <w:i/>
          <w:sz w:val="24"/>
          <w:szCs w:val="24"/>
        </w:rPr>
        <w:t>Naime, u skladu s općim pravilima Metodologije izračuna EVPG-a, nikakve izmjene u tijeku natječaja nisu dozvoljene, odnosno svi podaci o proizvodnim resursima evidentirani u sustavu ARKOD</w:t>
      </w:r>
      <w:r w:rsidRPr="00332AB5">
        <w:rPr>
          <w:i/>
          <w:sz w:val="24"/>
          <w:szCs w:val="24"/>
          <w:vertAlign w:val="superscript"/>
        </w:rPr>
        <w:footnoteReference w:id="21"/>
      </w:r>
      <w:r w:rsidRPr="00332AB5">
        <w:rPr>
          <w:bCs/>
          <w:i/>
          <w:sz w:val="24"/>
          <w:szCs w:val="24"/>
        </w:rPr>
        <w:t>/Jedinstvenom registru domaćih životinja (JRDŽ) nakon objave natječaja potencijalno predstavljaju umjetno stvorene uvjete, te se ne uzimaju u obzir za izračun EVPG-a.</w:t>
      </w:r>
    </w:p>
    <w:p w14:paraId="4B11FC15" w14:textId="77777777" w:rsidR="006F73B9" w:rsidRPr="00332AB5" w:rsidRDefault="006F73B9" w:rsidP="006F73B9">
      <w:pPr>
        <w:spacing w:before="120"/>
        <w:ind w:left="851"/>
        <w:jc w:val="both"/>
        <w:rPr>
          <w:bCs/>
          <w:i/>
          <w:sz w:val="24"/>
          <w:szCs w:val="24"/>
        </w:rPr>
      </w:pPr>
      <w:r w:rsidRPr="00332AB5">
        <w:rPr>
          <w:bCs/>
          <w:i/>
          <w:sz w:val="24"/>
          <w:szCs w:val="24"/>
        </w:rPr>
        <w:t>Također, odredbama Pravilnika kojima se uređuje provedba Mjere/Podmjere propisano je da promjene uvjeta za ostvarivanje bodova prema kriterijima odabira nastale na strani Korisnika nakon objave nacrta natječaja na internetskom portalu e-Savjetovanja nisu prihvatljive.</w:t>
      </w:r>
    </w:p>
    <w:p w14:paraId="0C0093B7" w14:textId="77777777" w:rsidR="006F73B9" w:rsidRPr="00332AB5" w:rsidRDefault="006F73B9" w:rsidP="006F73B9">
      <w:pPr>
        <w:spacing w:before="120"/>
        <w:ind w:left="851"/>
        <w:jc w:val="both"/>
        <w:rPr>
          <w:sz w:val="24"/>
          <w:szCs w:val="24"/>
        </w:rPr>
      </w:pPr>
      <w:r w:rsidRPr="00332AB5">
        <w:rPr>
          <w:i/>
          <w:sz w:val="24"/>
          <w:szCs w:val="24"/>
        </w:rPr>
        <w:t xml:space="preserve">Administrativnom kontrolom Agencije za plaćanja utvrđeno je da </w:t>
      </w:r>
      <w:r w:rsidRPr="00332AB5">
        <w:rPr>
          <w:i/>
          <w:sz w:val="24"/>
          <w:szCs w:val="24"/>
          <w:u w:val="single"/>
        </w:rPr>
        <w:t xml:space="preserve">Korisnik u dostavljenom Izračunu EVPG-a kojeg je izdalo Ministarstvo poljoprivrede ima različite podatke o proizvodnji životinja u odnosu na podatke iz Jedinstvenog zahtjeva za potporu za </w:t>
      </w:r>
      <w:r w:rsidRPr="00332AB5">
        <w:rPr>
          <w:bCs/>
          <w:i/>
          <w:sz w:val="24"/>
          <w:szCs w:val="24"/>
          <w:u w:val="single"/>
        </w:rPr>
        <w:t>prethodnu godinu</w:t>
      </w:r>
      <w:r w:rsidRPr="00332AB5">
        <w:rPr>
          <w:bCs/>
          <w:i/>
          <w:sz w:val="24"/>
          <w:szCs w:val="24"/>
        </w:rPr>
        <w:t>.</w:t>
      </w:r>
    </w:p>
    <w:p w14:paraId="0D2F7E0B" w14:textId="77777777" w:rsidR="006F73B9" w:rsidRPr="00332AB5" w:rsidRDefault="006F73B9" w:rsidP="006F73B9">
      <w:pPr>
        <w:spacing w:before="120"/>
        <w:ind w:left="851"/>
        <w:jc w:val="both"/>
        <w:rPr>
          <w:i/>
          <w:sz w:val="24"/>
          <w:szCs w:val="24"/>
        </w:rPr>
      </w:pPr>
      <w:r w:rsidRPr="00332AB5">
        <w:rPr>
          <w:i/>
          <w:sz w:val="24"/>
          <w:szCs w:val="24"/>
        </w:rPr>
        <w:t>Agencija za plaćanja je slijedom navedenog izvršavala provjere uvidom u dostupne baze podataka (npr. Jedinstveni registar domaćih životinja), tražila je informacije od drugih institucija nadležnih za vođenje drugih relevantnih evidencija kojima sama nema pristup (npr. Hrvatski pčelarski savez) i tražila obrazloženja i nove, ispravljene izračune EVPG-a od Ministarstva poljoprivrede te je na temelju rezultata navedenih provjera utvrdila sljedeće činjenice:</w:t>
      </w:r>
    </w:p>
    <w:p w14:paraId="72032610" w14:textId="77777777" w:rsidR="006F73B9" w:rsidRPr="00332AB5" w:rsidRDefault="006F73B9">
      <w:pPr>
        <w:numPr>
          <w:ilvl w:val="0"/>
          <w:numId w:val="36"/>
        </w:numPr>
        <w:spacing w:before="120"/>
        <w:ind w:left="1276"/>
        <w:jc w:val="both"/>
        <w:rPr>
          <w:i/>
          <w:sz w:val="24"/>
          <w:szCs w:val="24"/>
        </w:rPr>
      </w:pPr>
      <w:r w:rsidRPr="00332AB5">
        <w:rPr>
          <w:i/>
          <w:sz w:val="24"/>
          <w:szCs w:val="24"/>
        </w:rPr>
        <w:t xml:space="preserve">Agencija za plaćanja je zaprimila tri izračuna EVPG-a Korisnika izračunana na određeni dan koji su sadržavali različite podatke o poljoprivrednim resursima (životinjama) na temelju kojih je napravljen izračun: </w:t>
      </w:r>
      <w:r w:rsidRPr="00332AB5">
        <w:rPr>
          <w:i/>
          <w:sz w:val="24"/>
          <w:szCs w:val="24"/>
          <w:u w:val="single"/>
        </w:rPr>
        <w:t>prvi</w:t>
      </w:r>
      <w:r w:rsidRPr="00332AB5">
        <w:rPr>
          <w:i/>
          <w:sz w:val="24"/>
          <w:szCs w:val="24"/>
        </w:rPr>
        <w:t xml:space="preserve"> izračun EVPG-a Korisnik je dostavio uz Zahtjev za potporu, a taj izračun uključivao je podatke o određenom broju stoke; </w:t>
      </w:r>
      <w:r w:rsidRPr="00332AB5">
        <w:rPr>
          <w:i/>
          <w:sz w:val="24"/>
          <w:szCs w:val="24"/>
          <w:u w:val="single"/>
        </w:rPr>
        <w:t>drugi</w:t>
      </w:r>
      <w:r w:rsidRPr="00332AB5">
        <w:rPr>
          <w:i/>
          <w:sz w:val="24"/>
          <w:szCs w:val="24"/>
        </w:rPr>
        <w:t xml:space="preserve"> izračun, kojeg je Agencija za plaćanja naknadno tražila od Ministarstva poljoprivrede, sadržavao je podatke o određenom broju košnica</w:t>
      </w:r>
      <w:r w:rsidRPr="00332AB5">
        <w:rPr>
          <w:sz w:val="24"/>
          <w:szCs w:val="24"/>
        </w:rPr>
        <w:t xml:space="preserve"> </w:t>
      </w:r>
      <w:r w:rsidRPr="00332AB5">
        <w:rPr>
          <w:i/>
          <w:sz w:val="24"/>
          <w:szCs w:val="24"/>
        </w:rPr>
        <w:t xml:space="preserve">pčelinjih zajednica, ali ne i o stoci; a u </w:t>
      </w:r>
      <w:r w:rsidRPr="00332AB5">
        <w:rPr>
          <w:i/>
          <w:sz w:val="24"/>
          <w:szCs w:val="24"/>
          <w:u w:val="single"/>
        </w:rPr>
        <w:t>trećem</w:t>
      </w:r>
      <w:r w:rsidRPr="00332AB5">
        <w:rPr>
          <w:i/>
          <w:sz w:val="24"/>
          <w:szCs w:val="24"/>
        </w:rPr>
        <w:t xml:space="preserve"> izračunu kojeg je Agencija za plaćanja tražila od Ministarstva poljoprivrede nije bilo podataka niti o stoci, ni o košnicama pčelinjih zajednica;</w:t>
      </w:r>
    </w:p>
    <w:p w14:paraId="7DD82B3F" w14:textId="77777777" w:rsidR="006F73B9" w:rsidRPr="00332AB5" w:rsidRDefault="006F73B9">
      <w:pPr>
        <w:numPr>
          <w:ilvl w:val="0"/>
          <w:numId w:val="36"/>
        </w:numPr>
        <w:spacing w:before="120"/>
        <w:ind w:left="1134"/>
        <w:jc w:val="both"/>
        <w:rPr>
          <w:i/>
          <w:sz w:val="24"/>
          <w:szCs w:val="24"/>
        </w:rPr>
      </w:pPr>
      <w:r w:rsidRPr="00332AB5">
        <w:rPr>
          <w:i/>
          <w:sz w:val="24"/>
          <w:szCs w:val="24"/>
        </w:rPr>
        <w:t>u sva tri izračuna EVPG-a Korisnik je potpisom Izjave o proizvodnim resursima poljoprivrednog gospodarstva potvrdio da je za izračun dao realne i stvarne podatke o resursima korištenim u proizvodnji biljnih usjeva i stočarskoj proizvodnji;</w:t>
      </w:r>
    </w:p>
    <w:p w14:paraId="68FFFE67" w14:textId="77777777" w:rsidR="006F73B9" w:rsidRPr="00332AB5" w:rsidRDefault="006F73B9">
      <w:pPr>
        <w:numPr>
          <w:ilvl w:val="0"/>
          <w:numId w:val="36"/>
        </w:numPr>
        <w:spacing w:before="120"/>
        <w:ind w:left="1134"/>
        <w:jc w:val="both"/>
        <w:rPr>
          <w:i/>
          <w:sz w:val="24"/>
          <w:szCs w:val="24"/>
        </w:rPr>
      </w:pPr>
      <w:r w:rsidRPr="00332AB5">
        <w:rPr>
          <w:i/>
          <w:sz w:val="24"/>
          <w:szCs w:val="24"/>
        </w:rPr>
        <w:t>Korisnik je nakon objave Natječaja na e-Savjetovanje po prvi puta registrirao farmu te je potom prijavio određeni broj stoke na svoju farmu koji je uračunan u izračun njegovog EVPG-a dostavljenog uz Zahtjev za potporu.</w:t>
      </w:r>
    </w:p>
    <w:p w14:paraId="3FCFB2A0" w14:textId="77777777" w:rsidR="006F73B9" w:rsidRPr="00332AB5" w:rsidRDefault="006F73B9" w:rsidP="006F73B9">
      <w:pPr>
        <w:spacing w:before="120"/>
        <w:ind w:left="774"/>
        <w:jc w:val="both"/>
        <w:rPr>
          <w:i/>
          <w:sz w:val="24"/>
          <w:szCs w:val="24"/>
        </w:rPr>
      </w:pPr>
      <w:r w:rsidRPr="00332AB5">
        <w:rPr>
          <w:i/>
          <w:sz w:val="24"/>
          <w:szCs w:val="24"/>
        </w:rPr>
        <w:t>Slijedom navedenog, Agencija za plaćanja je utvrdila sumnju na prijevaru umjetnim stvaranjem uvjeta i dostavljanjem lažnih podataka s ciljem zadovoljenja uvjeta prihvatljivosti propisanog Natječajem i ostvarivanja potpore.</w:t>
      </w:r>
    </w:p>
    <w:p w14:paraId="1E046B9C" w14:textId="77777777" w:rsidR="006F73B9" w:rsidRPr="00332AB5" w:rsidRDefault="006F73B9" w:rsidP="006F73B9">
      <w:pPr>
        <w:spacing w:before="120"/>
        <w:ind w:left="774"/>
        <w:jc w:val="both"/>
        <w:rPr>
          <w:i/>
          <w:sz w:val="24"/>
          <w:szCs w:val="24"/>
        </w:rPr>
      </w:pPr>
    </w:p>
    <w:p w14:paraId="2AA0FE17" w14:textId="77777777" w:rsidR="006F73B9" w:rsidRPr="00332AB5" w:rsidRDefault="006F73B9" w:rsidP="006F73B9">
      <w:pPr>
        <w:spacing w:before="120"/>
        <w:ind w:left="774"/>
        <w:jc w:val="both"/>
        <w:rPr>
          <w:i/>
          <w:sz w:val="24"/>
          <w:szCs w:val="24"/>
        </w:rPr>
      </w:pPr>
    </w:p>
    <w:p w14:paraId="7D407797" w14:textId="77777777" w:rsidR="006F73B9" w:rsidRPr="00332AB5" w:rsidRDefault="006F73B9" w:rsidP="006F73B9">
      <w:pPr>
        <w:spacing w:before="120"/>
        <w:ind w:left="774"/>
        <w:jc w:val="both"/>
        <w:rPr>
          <w:i/>
          <w:sz w:val="24"/>
          <w:szCs w:val="24"/>
        </w:rPr>
      </w:pPr>
    </w:p>
    <w:p w14:paraId="2D38E7C0" w14:textId="77777777" w:rsidR="006F73B9" w:rsidRPr="00332AB5" w:rsidRDefault="006F73B9" w:rsidP="006F73B9">
      <w:pPr>
        <w:spacing w:before="120"/>
        <w:ind w:left="774"/>
        <w:jc w:val="both"/>
        <w:rPr>
          <w:i/>
          <w:sz w:val="24"/>
          <w:szCs w:val="24"/>
        </w:rPr>
      </w:pPr>
    </w:p>
    <w:p w14:paraId="7B1F6905" w14:textId="77777777" w:rsidR="006F73B9" w:rsidRPr="00332AB5" w:rsidRDefault="006F73B9">
      <w:pPr>
        <w:numPr>
          <w:ilvl w:val="0"/>
          <w:numId w:val="35"/>
        </w:numPr>
        <w:spacing w:before="120"/>
        <w:jc w:val="both"/>
        <w:rPr>
          <w:i/>
          <w:sz w:val="24"/>
          <w:szCs w:val="24"/>
        </w:rPr>
      </w:pPr>
      <w:r w:rsidRPr="00332AB5">
        <w:rPr>
          <w:i/>
          <w:sz w:val="24"/>
          <w:szCs w:val="24"/>
        </w:rPr>
        <w:t>Korisnik je podnio Zahtjev za potporu na natječaje za dvije različite mjere: 1) Mjeru 6 – Razvoj poljoprivrednih gospodarstava i poslovanja - Podmjeru 6.1. „Potpora za pokretanje poslovanja mladim poljoprivrednicima“ - tip operacije 6.1.1 „Potpora mladim poljoprivrednicima“ i 2) Mjeru 4 - Podmjeru 4.1. Potpora za ulaganja u poljoprivredna gospodarstva – tip operacije 4.1.1. „Restrukturiranje, modernizacija i povećanje konkurentnosti poljoprivrednih gospodarstva“ – podizanje novih i/ili restrukturiranje postojećih višegodišnjih nasada.</w:t>
      </w:r>
    </w:p>
    <w:p w14:paraId="7F0CCE76" w14:textId="77777777" w:rsidR="006F73B9" w:rsidRPr="00332AB5" w:rsidRDefault="006F73B9" w:rsidP="006F73B9">
      <w:pPr>
        <w:spacing w:before="120"/>
        <w:ind w:left="709"/>
        <w:jc w:val="both"/>
        <w:rPr>
          <w:i/>
          <w:sz w:val="24"/>
          <w:szCs w:val="24"/>
        </w:rPr>
      </w:pPr>
      <w:r w:rsidRPr="00332AB5">
        <w:rPr>
          <w:bCs/>
          <w:i/>
          <w:sz w:val="24"/>
          <w:szCs w:val="24"/>
        </w:rPr>
        <w:t>U okviru natječaja za obje mjere propisano je da Korisnik prilikom podnošenja zahtjeva za potporu mora dokazati određenu ekonomsku veličinu poljoprivrednog gospodarstva (EVPG). Također, propisano je to da se prilikom izračuna EVPG-a koji se dostavlja uz zahtjev za potporu neće uzeti u obzir izmjene u ARKOD-u/JRDŽ-u koje su nastale nakon dana objave nacrta Natječaja na internetskom portalu e-Savjetovanja.</w:t>
      </w:r>
    </w:p>
    <w:p w14:paraId="29598991" w14:textId="241019B8" w:rsidR="006F73B9" w:rsidRPr="00332AB5" w:rsidRDefault="006F73B9" w:rsidP="006F73B9">
      <w:pPr>
        <w:spacing w:before="120"/>
        <w:ind w:left="720"/>
        <w:jc w:val="both"/>
        <w:rPr>
          <w:i/>
          <w:sz w:val="24"/>
          <w:szCs w:val="24"/>
        </w:rPr>
      </w:pPr>
      <w:r w:rsidRPr="00332AB5">
        <w:rPr>
          <w:i/>
          <w:sz w:val="24"/>
          <w:szCs w:val="24"/>
        </w:rPr>
        <w:t xml:space="preserve">Agencija za plaćanja </w:t>
      </w:r>
      <w:r w:rsidRPr="00332AB5">
        <w:rPr>
          <w:i/>
          <w:sz w:val="24"/>
          <w:szCs w:val="24"/>
          <w:u w:val="single"/>
        </w:rPr>
        <w:t>usporedila je izračune EVPG-a koji su dostavljeni uz Zahtjeve za potporu za obje Mjere te je utvrdila neusklađenost između njih</w:t>
      </w:r>
      <w:r w:rsidRPr="00332AB5">
        <w:rPr>
          <w:i/>
          <w:sz w:val="24"/>
          <w:szCs w:val="24"/>
        </w:rPr>
        <w:t>. Naime, u izračunu EVPG-a uz Zahtjev za potporu za tip operacije 4.1.1. (</w:t>
      </w:r>
      <w:r w:rsidR="00EB675D" w:rsidRPr="00332AB5">
        <w:rPr>
          <w:i/>
          <w:sz w:val="24"/>
          <w:szCs w:val="24"/>
        </w:rPr>
        <w:t>u daljnjem</w:t>
      </w:r>
      <w:r w:rsidRPr="00332AB5">
        <w:rPr>
          <w:i/>
          <w:sz w:val="24"/>
          <w:szCs w:val="24"/>
        </w:rPr>
        <w:t xml:space="preserve"> tekstu: EVPG 4.1.1.) nije bilo uključeno 100 kljunova peradi koji su bili uključeni u izračun EVPG-a za tip operacije 6.1.1. (</w:t>
      </w:r>
      <w:r w:rsidR="00EB675D" w:rsidRPr="00332AB5">
        <w:rPr>
          <w:i/>
          <w:sz w:val="24"/>
          <w:szCs w:val="24"/>
        </w:rPr>
        <w:t>u daljnjem</w:t>
      </w:r>
      <w:r w:rsidRPr="00332AB5">
        <w:rPr>
          <w:i/>
          <w:sz w:val="24"/>
          <w:szCs w:val="24"/>
        </w:rPr>
        <w:t xml:space="preserve"> tekstu: EVPG 6.1.1.). </w:t>
      </w:r>
    </w:p>
    <w:p w14:paraId="6AFF4D86" w14:textId="77777777" w:rsidR="006F73B9" w:rsidRPr="00332AB5" w:rsidRDefault="006F73B9" w:rsidP="006F73B9">
      <w:pPr>
        <w:spacing w:before="120"/>
        <w:ind w:left="720"/>
        <w:jc w:val="both"/>
        <w:rPr>
          <w:i/>
          <w:sz w:val="24"/>
          <w:szCs w:val="24"/>
        </w:rPr>
      </w:pPr>
      <w:r w:rsidRPr="00332AB5">
        <w:rPr>
          <w:i/>
          <w:sz w:val="24"/>
          <w:szCs w:val="24"/>
        </w:rPr>
        <w:t>S obzirom da su izračuni EVPG-a s različitim podacima o proizvodnim resursima izdani jedan, odnosno tri mjeseca nakon objave nacrta Natječaja 6.1.1. na portalu e-Savjetovanja, pojavila se sumnja da je do povećanja ekonomske veličine (od one s kojom Korisnik ne bi bio prihvatljiv na Natječaju 6.1.1. na veličinu s kojom Korisnik ispunjava uvjet prihvatljivosti propisan Natječajem 6.1.1.) došlo nakon objave nacrta Natječaja 6.1.1. na portalu e-Savjetovanje.</w:t>
      </w:r>
    </w:p>
    <w:p w14:paraId="5F4E0351" w14:textId="77777777" w:rsidR="006F73B9" w:rsidRPr="00332AB5" w:rsidRDefault="006F73B9" w:rsidP="006F73B9">
      <w:pPr>
        <w:spacing w:before="120"/>
        <w:ind w:left="720"/>
        <w:jc w:val="both"/>
        <w:rPr>
          <w:i/>
          <w:sz w:val="24"/>
          <w:szCs w:val="24"/>
        </w:rPr>
      </w:pPr>
      <w:r w:rsidRPr="00332AB5">
        <w:rPr>
          <w:i/>
          <w:sz w:val="24"/>
          <w:szCs w:val="24"/>
        </w:rPr>
        <w:t>Provjerom toga na temelju kojih podataka/dokumenata je utvrđen izračun za stočarsku proizvodnju – perad, utvrđeno je da je Izračun EVPG 6.1.1. (vrijednost za kategoriju peradi) izračunana na temelju isprave o kupovini peradi, otkupnog bloka kojim Korisnik dokazuje kupovinu 100 kljunova peradi.</w:t>
      </w:r>
    </w:p>
    <w:p w14:paraId="4EE21B28" w14:textId="77777777" w:rsidR="006F73B9" w:rsidRPr="00332AB5" w:rsidRDefault="006F73B9" w:rsidP="006F73B9">
      <w:pPr>
        <w:spacing w:before="120"/>
        <w:ind w:left="720"/>
        <w:jc w:val="both"/>
        <w:rPr>
          <w:i/>
          <w:sz w:val="24"/>
          <w:szCs w:val="24"/>
        </w:rPr>
      </w:pPr>
      <w:r w:rsidRPr="00332AB5">
        <w:rPr>
          <w:i/>
          <w:sz w:val="24"/>
          <w:szCs w:val="24"/>
        </w:rPr>
        <w:t xml:space="preserve">Međutim, otkupni blok za kupovinu peradi izdan je prije datuma izdavanja potvrde o EVPG-a za bilo koju od Mjera pa nije bilo jasno zašto je perad u jedan izračun bila uključena, a u drugi nije. </w:t>
      </w:r>
    </w:p>
    <w:p w14:paraId="5338BA7A" w14:textId="77777777" w:rsidR="006F73B9" w:rsidRPr="00332AB5" w:rsidRDefault="006F73B9" w:rsidP="006F73B9">
      <w:pPr>
        <w:spacing w:before="120"/>
        <w:ind w:left="720"/>
        <w:jc w:val="both"/>
        <w:rPr>
          <w:i/>
          <w:sz w:val="24"/>
          <w:szCs w:val="24"/>
        </w:rPr>
      </w:pPr>
      <w:r w:rsidRPr="00332AB5">
        <w:rPr>
          <w:i/>
          <w:sz w:val="24"/>
          <w:szCs w:val="24"/>
        </w:rPr>
        <w:t>Službena evidencija peradi ne postoji, već se kod izračuna za kategoriju peradi koriste dodatni dokazi koje dostavlja sam Korisnik, a Korisnik za Izračun EVPG 4.1.1. službenici Ministarstva poljoprivrede nije prijavio postojanje kokoši na gospodarstvu.</w:t>
      </w:r>
    </w:p>
    <w:p w14:paraId="4256B835" w14:textId="77777777" w:rsidR="006F73B9" w:rsidRPr="00332AB5" w:rsidRDefault="006F73B9" w:rsidP="006F73B9">
      <w:pPr>
        <w:spacing w:before="120"/>
        <w:ind w:left="720"/>
        <w:jc w:val="both"/>
        <w:rPr>
          <w:i/>
          <w:sz w:val="24"/>
          <w:szCs w:val="24"/>
        </w:rPr>
      </w:pPr>
      <w:r w:rsidRPr="00332AB5">
        <w:rPr>
          <w:i/>
          <w:sz w:val="24"/>
          <w:szCs w:val="24"/>
        </w:rPr>
        <w:t xml:space="preserve">Uvidom u otkupni blok utvrđena je </w:t>
      </w:r>
      <w:r w:rsidRPr="00332AB5">
        <w:rPr>
          <w:i/>
          <w:sz w:val="24"/>
          <w:szCs w:val="24"/>
          <w:u w:val="single"/>
        </w:rPr>
        <w:t>neusklađenost u nazivu izdavatelja otkupnog bloka</w:t>
      </w:r>
      <w:r w:rsidRPr="00332AB5">
        <w:rPr>
          <w:i/>
          <w:sz w:val="24"/>
          <w:szCs w:val="24"/>
        </w:rPr>
        <w:t xml:space="preserve"> kako je naveden na otkupnom bloku i nazivu izdavatelja kako je naveden u Upisnik poljoprivrednika.</w:t>
      </w:r>
    </w:p>
    <w:p w14:paraId="13E59396" w14:textId="77777777" w:rsidR="006F73B9" w:rsidRPr="00332AB5" w:rsidRDefault="006F73B9" w:rsidP="006F73B9">
      <w:pPr>
        <w:spacing w:before="120"/>
        <w:ind w:left="720"/>
        <w:jc w:val="both"/>
        <w:rPr>
          <w:i/>
          <w:sz w:val="24"/>
          <w:szCs w:val="24"/>
        </w:rPr>
      </w:pPr>
      <w:r w:rsidRPr="00332AB5">
        <w:rPr>
          <w:i/>
          <w:sz w:val="24"/>
          <w:szCs w:val="24"/>
        </w:rPr>
        <w:t>Kako bi provjerila razloge neusklađenosti, Agencija za plaćanja je kontaktirala izdavatelja otkupnog bloka te je utvrdila da broj otkupnog bloka koji je dostavio Korisnik ne odgovara broju otkupnog bloka pri izdavatelju te da potpis na otkupnom bloku kojeg je dostavio Korisnik nije izdavateljev.</w:t>
      </w:r>
    </w:p>
    <w:p w14:paraId="695B9C29" w14:textId="77777777" w:rsidR="006F73B9" w:rsidRPr="00332AB5" w:rsidRDefault="006F73B9" w:rsidP="006F73B9">
      <w:pPr>
        <w:spacing w:before="120"/>
        <w:ind w:left="720"/>
        <w:jc w:val="both"/>
        <w:rPr>
          <w:i/>
          <w:sz w:val="24"/>
          <w:szCs w:val="24"/>
        </w:rPr>
      </w:pPr>
      <w:r w:rsidRPr="00332AB5">
        <w:rPr>
          <w:i/>
          <w:sz w:val="24"/>
          <w:szCs w:val="24"/>
        </w:rPr>
        <w:t>Slijedom navedenog, Agencija za plaćanja je kod Korisnika utvrdila sumnju na prijevaru umjetnim stvaranjem uvjeta i dostavljanjem lažnih podataka, odnosno nevjerodostojne dokumentacije, s ciljem ispunjavanja uvjeta prihvatljivosti propisanog Natječajem te ostvarivanja potpore na koju Korisnik u suprotnom ne bi mogao ostvariti pravo.</w:t>
      </w:r>
    </w:p>
    <w:p w14:paraId="7A82B359" w14:textId="77777777" w:rsidR="006F73B9" w:rsidRPr="00332AB5" w:rsidRDefault="006F73B9">
      <w:pPr>
        <w:numPr>
          <w:ilvl w:val="0"/>
          <w:numId w:val="35"/>
        </w:numPr>
        <w:spacing w:before="120"/>
        <w:jc w:val="both"/>
        <w:rPr>
          <w:i/>
          <w:sz w:val="24"/>
          <w:szCs w:val="24"/>
        </w:rPr>
      </w:pPr>
      <w:r w:rsidRPr="00332AB5">
        <w:rPr>
          <w:i/>
          <w:sz w:val="24"/>
          <w:szCs w:val="24"/>
        </w:rPr>
        <w:t>Korisnik je podnio Zahtjev za isplatu potpore na Natječaju za provedbu mjere 17 „Upravljanje rizicima“, podmjere 17.1. „Osiguranje usjeva, životinja i biljaka“ te je u predmetnom zahtjevu za isplatu potpore dostavio policu osiguranja radi njezinog sufinanciranja u okviru navedene podmjere.</w:t>
      </w:r>
    </w:p>
    <w:p w14:paraId="0327511A" w14:textId="77777777" w:rsidR="006F73B9" w:rsidRPr="00332AB5" w:rsidRDefault="006F73B9" w:rsidP="006F73B9">
      <w:pPr>
        <w:spacing w:before="120"/>
        <w:ind w:left="720"/>
        <w:jc w:val="both"/>
        <w:rPr>
          <w:i/>
          <w:sz w:val="24"/>
          <w:szCs w:val="24"/>
        </w:rPr>
      </w:pPr>
      <w:r w:rsidRPr="00332AB5">
        <w:rPr>
          <w:i/>
          <w:sz w:val="24"/>
          <w:szCs w:val="24"/>
        </w:rPr>
        <w:t>Da bi polica osiguranja bila prihvatljiva, Korisnik mora biti u posjedu kapaciteta koji omogućavaju poljoprivrednu proizvodnju koja je osigurana te ta proizvodnja mora biti evidentirana u odgovarajućim sustavima za identifikaciju i registraciju životinja u skladu s propisima o veterinarstvu (JRDŽ) i drugim relevantnim registrima ili evidencijama koje vodi Ministarstvo.</w:t>
      </w:r>
    </w:p>
    <w:p w14:paraId="165EF7FD" w14:textId="77777777" w:rsidR="006F73B9" w:rsidRPr="00332AB5" w:rsidRDefault="006F73B9" w:rsidP="006F73B9">
      <w:pPr>
        <w:spacing w:before="120"/>
        <w:ind w:left="720"/>
        <w:jc w:val="both"/>
        <w:rPr>
          <w:i/>
          <w:sz w:val="24"/>
          <w:szCs w:val="24"/>
        </w:rPr>
      </w:pPr>
      <w:r w:rsidRPr="00332AB5">
        <w:rPr>
          <w:i/>
          <w:sz w:val="24"/>
          <w:szCs w:val="24"/>
        </w:rPr>
        <w:t xml:space="preserve">Međutim, tijekom administrativne provjere Zahtjeva za isplatu, Agencija za plaćanja je utvrdila da </w:t>
      </w:r>
      <w:r w:rsidRPr="00332AB5">
        <w:rPr>
          <w:i/>
          <w:sz w:val="24"/>
          <w:szCs w:val="24"/>
          <w:u w:val="single"/>
        </w:rPr>
        <w:t>poljoprivredna proizvodnja navedena na polici osiguranja ne odgovara podacima iz sustava za identifikaciju i registraciju životinja</w:t>
      </w:r>
      <w:r w:rsidRPr="00332AB5">
        <w:rPr>
          <w:i/>
          <w:sz w:val="24"/>
          <w:szCs w:val="24"/>
        </w:rPr>
        <w:t>.</w:t>
      </w:r>
    </w:p>
    <w:p w14:paraId="545C5876" w14:textId="77777777" w:rsidR="006F73B9" w:rsidRPr="00332AB5" w:rsidRDefault="006F73B9" w:rsidP="006F73B9">
      <w:pPr>
        <w:spacing w:before="120"/>
        <w:ind w:left="720"/>
        <w:jc w:val="both"/>
        <w:rPr>
          <w:i/>
          <w:sz w:val="24"/>
          <w:szCs w:val="24"/>
        </w:rPr>
      </w:pPr>
      <w:r w:rsidRPr="00332AB5">
        <w:rPr>
          <w:i/>
          <w:sz w:val="24"/>
          <w:szCs w:val="24"/>
        </w:rPr>
        <w:t xml:space="preserve">Agencija za plaćanja je stoga izvršila uvid u JRDŽ, obavila je pregled farmi te je tražila očitovanje od Korisnika u pogledu nesukladnosti. Slijedom prikupljenih informacija Agencija za plaćanja je utvrdila da je Korisnik osigurao poljoprivrednu proizvodnju koju u trenutku sklapanja police nije imao u posjedu te u konačnici obujam proizvodnje koji je osiguran na predmetnoj polici nije imao, i to ne samo u prosjeku u godišnjoj proizvodnji, nego niti ukupno u promatranom razdoblju osiguranja taj broj grla stoke ne prolazi kroz posjed Korisnika. Drugim riječima, nije ispunjen uvjet da bi polica osiguranja bila sufinancirana u okviru mjere / podmjere za koju je Korisnik aplicirao. </w:t>
      </w:r>
    </w:p>
    <w:p w14:paraId="75BA9682" w14:textId="122A836E" w:rsidR="006F73B9" w:rsidRPr="00332AB5" w:rsidRDefault="006F73B9" w:rsidP="006F73B9">
      <w:pPr>
        <w:spacing w:before="120"/>
        <w:ind w:left="720"/>
        <w:jc w:val="both"/>
        <w:rPr>
          <w:i/>
          <w:sz w:val="24"/>
          <w:szCs w:val="24"/>
        </w:rPr>
      </w:pPr>
      <w:r w:rsidRPr="00332AB5">
        <w:rPr>
          <w:i/>
          <w:sz w:val="24"/>
          <w:szCs w:val="24"/>
        </w:rPr>
        <w:t xml:space="preserve">Nadalje, uvidom u migracije goveda u JRDŽ-u, Agencija za plaćanja je utvrdila da je stoka tijekom razdoblja važenja police osiguranja često bila prebacivana između Korisnika i </w:t>
      </w:r>
      <w:r w:rsidR="00020F30" w:rsidRPr="00332AB5">
        <w:rPr>
          <w:i/>
          <w:sz w:val="24"/>
          <w:szCs w:val="24"/>
        </w:rPr>
        <w:t>šest</w:t>
      </w:r>
      <w:r w:rsidRPr="00332AB5">
        <w:rPr>
          <w:i/>
          <w:sz w:val="24"/>
          <w:szCs w:val="24"/>
        </w:rPr>
        <w:t xml:space="preserve"> drugih poduzeća te da se većina grla stoke kod Korisnika zadržavala manje od sedam dana. Iz navedenog proizlazi da su kapaciteti raspoređivani između Korisnika i različitih poduzeća s ciljem da se umjetno stvori privid kapaciteta proizvodnje koji je osiguran te da se stvore uvjeti koji će Korisniku ostvariti maksimalan iznos potpore i to za poljoprivrednu proizvodnju koju u konačnici Korisnik ne posjeduje.</w:t>
      </w:r>
    </w:p>
    <w:p w14:paraId="122CEBCC" w14:textId="7984DAE1" w:rsidR="006F73B9" w:rsidRPr="00332AB5" w:rsidRDefault="006F73B9" w:rsidP="006F73B9">
      <w:pPr>
        <w:spacing w:before="120"/>
        <w:ind w:left="720"/>
        <w:jc w:val="both"/>
        <w:rPr>
          <w:i/>
          <w:sz w:val="24"/>
          <w:szCs w:val="24"/>
        </w:rPr>
      </w:pPr>
      <w:r w:rsidRPr="00332AB5">
        <w:rPr>
          <w:i/>
          <w:sz w:val="24"/>
          <w:szCs w:val="24"/>
        </w:rPr>
        <w:t xml:space="preserve">Konačno, Agencija za plaćanja je utvrdila da je Korisnik upisan u JRDŽ kao posjednik </w:t>
      </w:r>
      <w:r w:rsidR="00020F30" w:rsidRPr="00332AB5">
        <w:rPr>
          <w:i/>
          <w:sz w:val="24"/>
          <w:szCs w:val="24"/>
        </w:rPr>
        <w:t xml:space="preserve">pet </w:t>
      </w:r>
      <w:r w:rsidRPr="00332AB5">
        <w:rPr>
          <w:i/>
          <w:sz w:val="24"/>
          <w:szCs w:val="24"/>
        </w:rPr>
        <w:t>dana prije sklapanja police osiguranja, u Upisnik poljoprivrednika upisan je tek tri mjeseca kasnije, a Zahtjev za isplatu potpore podnio je 11 dana nakon upisa u Upisnik poljoprivrednika. (Predmetni upisi bili su nužni da bi Korisnik ispunio formalne uvjete prihvatljivosti propisane Natječajem.)</w:t>
      </w:r>
    </w:p>
    <w:p w14:paraId="605E9A3E" w14:textId="77777777" w:rsidR="006F73B9" w:rsidRPr="00332AB5" w:rsidRDefault="006F73B9" w:rsidP="006F73B9">
      <w:pPr>
        <w:spacing w:before="120"/>
        <w:ind w:left="709"/>
        <w:jc w:val="both"/>
        <w:rPr>
          <w:i/>
          <w:sz w:val="24"/>
          <w:szCs w:val="24"/>
        </w:rPr>
      </w:pPr>
      <w:r w:rsidRPr="00332AB5">
        <w:rPr>
          <w:i/>
          <w:sz w:val="24"/>
          <w:szCs w:val="24"/>
        </w:rPr>
        <w:t>Uzimajući u obzir da je Korisnik sve aktivnosti potrebne za ostvarenje formalnih uvjeta Natječaja poduzeo u relativno kratkom roku prije sklapanja police osiguranja, da su kapaciteti raspoređivani između različitih subjekata s ciljem da se umjetno stvori privid kapaciteta proizvodnje koji je osiguran, te da Korisnik nije ostvario poljoprivrednu proizvodnju koju je osigurao, Agencija za plaćanja je zaključila da su navedene radnje poduzete s ciljem umjetnog stvaranja uvjeta da bi se stekla ne pripadajuća korist za Korisnika koja je suprotna ciljevima Mjere/Podmjere za koju je Korisnik aplicirao.</w:t>
      </w:r>
    </w:p>
    <w:p w14:paraId="28503203" w14:textId="77777777" w:rsidR="006F73B9" w:rsidRPr="00332AB5" w:rsidRDefault="006F73B9">
      <w:pPr>
        <w:numPr>
          <w:ilvl w:val="0"/>
          <w:numId w:val="35"/>
        </w:numPr>
        <w:spacing w:before="120"/>
        <w:jc w:val="both"/>
        <w:rPr>
          <w:i/>
          <w:sz w:val="24"/>
          <w:szCs w:val="24"/>
        </w:rPr>
      </w:pPr>
      <w:r w:rsidRPr="00332AB5">
        <w:rPr>
          <w:i/>
          <w:sz w:val="24"/>
          <w:szCs w:val="24"/>
        </w:rPr>
        <w:t xml:space="preserve">Gotovo jednaka nepravilnost utvrđena je kod poduzeća koja su akteri i u prethodnom slučaju nepravilnosti. Naime, također je utvrđeno </w:t>
      </w:r>
      <w:r w:rsidRPr="00332AB5">
        <w:rPr>
          <w:i/>
          <w:sz w:val="24"/>
          <w:szCs w:val="24"/>
          <w:u w:val="single"/>
        </w:rPr>
        <w:t>da poljoprivredna proizvodnja navedena na polici osiguranja koju je Korisnik (jedno od poduzeća) dostavio uz Zahtjev za isplatu ne odgovara podacima iz sustava za identifikaciju i registraciju životinja</w:t>
      </w:r>
      <w:r w:rsidRPr="00332AB5">
        <w:rPr>
          <w:i/>
          <w:sz w:val="24"/>
          <w:szCs w:val="24"/>
        </w:rPr>
        <w:t xml:space="preserve">, a </w:t>
      </w:r>
      <w:r w:rsidRPr="00332AB5">
        <w:rPr>
          <w:i/>
          <w:sz w:val="24"/>
          <w:szCs w:val="24"/>
          <w:u w:val="single"/>
        </w:rPr>
        <w:t>Korisnik nije odgovorio na zahtjev Agencije za plaćanja za obrazloženje nesukladnosti utvrđene u Zahtjevu za isplatu potpore</w:t>
      </w:r>
      <w:r w:rsidRPr="00332AB5">
        <w:rPr>
          <w:i/>
          <w:sz w:val="24"/>
          <w:szCs w:val="24"/>
        </w:rPr>
        <w:t>.</w:t>
      </w:r>
    </w:p>
    <w:p w14:paraId="279B6FBD" w14:textId="77777777" w:rsidR="006F73B9" w:rsidRPr="00332AB5" w:rsidRDefault="006F73B9" w:rsidP="006F73B9">
      <w:pPr>
        <w:spacing w:before="120"/>
        <w:ind w:left="720"/>
        <w:jc w:val="both"/>
        <w:rPr>
          <w:i/>
          <w:sz w:val="24"/>
          <w:szCs w:val="24"/>
        </w:rPr>
      </w:pPr>
    </w:p>
    <w:p w14:paraId="111A668D" w14:textId="77777777" w:rsidR="006F73B9" w:rsidRPr="00332AB5" w:rsidRDefault="006F73B9" w:rsidP="006F73B9">
      <w:pPr>
        <w:spacing w:before="120"/>
        <w:ind w:left="720"/>
        <w:jc w:val="both"/>
        <w:rPr>
          <w:i/>
          <w:sz w:val="24"/>
          <w:szCs w:val="24"/>
        </w:rPr>
      </w:pPr>
      <w:r w:rsidRPr="00332AB5">
        <w:rPr>
          <w:i/>
          <w:sz w:val="24"/>
          <w:szCs w:val="24"/>
        </w:rPr>
        <w:t>Pored navedenog, utvrđeno je da su članovi jedne obitelji iskoristili mogućnost da s postojećih gospodarstava u svom vlasništvu prebace kapacitete na Korisnika te na taj način izbjegnu uvjet da jedan Korisnik može ostvariti maksimalno 75.000 EUR godišnje u sklopu Mjere 17„Upravljanje rizicima“, podmjere 17.1. „Osiguranje usjeva, životinja i biljaka“, odnosno da ostvare potporu koja im ne pripada.</w:t>
      </w:r>
    </w:p>
    <w:p w14:paraId="3CDCEE3D" w14:textId="77777777" w:rsidR="006F73B9" w:rsidRPr="00332AB5" w:rsidRDefault="006F73B9" w:rsidP="006F73B9">
      <w:pPr>
        <w:spacing w:before="120"/>
        <w:ind w:left="709"/>
        <w:jc w:val="both"/>
        <w:rPr>
          <w:i/>
          <w:sz w:val="24"/>
          <w:szCs w:val="24"/>
        </w:rPr>
      </w:pPr>
      <w:r w:rsidRPr="00332AB5">
        <w:rPr>
          <w:i/>
          <w:sz w:val="24"/>
          <w:szCs w:val="24"/>
        </w:rPr>
        <w:t>Naime, osnivači trgovačkog društava do 28.10.2021. bili su osoba A i osoba B.</w:t>
      </w:r>
    </w:p>
    <w:p w14:paraId="02AC6AC9" w14:textId="77777777" w:rsidR="006F73B9" w:rsidRPr="00332AB5" w:rsidRDefault="006F73B9" w:rsidP="006F73B9">
      <w:pPr>
        <w:spacing w:before="120"/>
        <w:ind w:left="720"/>
        <w:jc w:val="both"/>
        <w:rPr>
          <w:i/>
          <w:sz w:val="24"/>
          <w:szCs w:val="24"/>
        </w:rPr>
      </w:pPr>
      <w:r w:rsidRPr="00332AB5">
        <w:rPr>
          <w:i/>
          <w:sz w:val="24"/>
          <w:szCs w:val="24"/>
        </w:rPr>
        <w:t xml:space="preserve">Osoba A upisala je </w:t>
      </w:r>
      <w:r w:rsidRPr="00332AB5">
        <w:rPr>
          <w:i/>
          <w:sz w:val="24"/>
          <w:szCs w:val="24"/>
          <w:u w:val="single"/>
        </w:rPr>
        <w:t>Korisnika</w:t>
      </w:r>
      <w:r w:rsidRPr="00332AB5">
        <w:rPr>
          <w:i/>
          <w:sz w:val="24"/>
          <w:szCs w:val="24"/>
        </w:rPr>
        <w:t xml:space="preserve"> (trgovačko društvo) u Upisnik poljoprivrednika</w:t>
      </w:r>
      <w:r w:rsidRPr="00332AB5">
        <w:rPr>
          <w:i/>
          <w:sz w:val="24"/>
          <w:szCs w:val="24"/>
          <w:vertAlign w:val="superscript"/>
        </w:rPr>
        <w:footnoteReference w:id="22"/>
      </w:r>
      <w:r w:rsidRPr="00332AB5">
        <w:rPr>
          <w:i/>
          <w:sz w:val="24"/>
          <w:szCs w:val="24"/>
        </w:rPr>
        <w:t xml:space="preserve"> u rujnu (zadovoljenje formalnog uvjeta da Korisnik bude prihvatljiv za Mjeru 17), a Zahtjev za isplatu potpore podnijela je putem pošte u prosincu kada se više nije vodila kao osnivač i nije bila osoba za zastupanje. Međutim, u Upisniku poljoprivrednika i dalje se vodila kao odgovorna osoba vezano uz jedinstveni matični identifikacijski broj poljoprivrednog gospodarstva (MIBPG) Korisnika. </w:t>
      </w:r>
    </w:p>
    <w:p w14:paraId="2B896595" w14:textId="77777777" w:rsidR="006F73B9" w:rsidRPr="00332AB5" w:rsidRDefault="006F73B9" w:rsidP="006F73B9">
      <w:pPr>
        <w:spacing w:before="120"/>
        <w:ind w:left="720"/>
        <w:jc w:val="both"/>
        <w:rPr>
          <w:i/>
          <w:sz w:val="24"/>
          <w:szCs w:val="24"/>
        </w:rPr>
      </w:pPr>
      <w:r w:rsidRPr="00332AB5">
        <w:rPr>
          <w:i/>
          <w:sz w:val="24"/>
          <w:szCs w:val="24"/>
        </w:rPr>
        <w:t xml:space="preserve">Osoba A je osnivač i član </w:t>
      </w:r>
      <w:r w:rsidRPr="00332AB5">
        <w:rPr>
          <w:i/>
          <w:sz w:val="24"/>
          <w:szCs w:val="24"/>
          <w:u w:val="single"/>
        </w:rPr>
        <w:t>društva A</w:t>
      </w:r>
      <w:r w:rsidRPr="00332AB5">
        <w:rPr>
          <w:i/>
          <w:sz w:val="24"/>
          <w:szCs w:val="24"/>
        </w:rPr>
        <w:t>, a dva povezana poduzeća s Korisnikom (</w:t>
      </w:r>
      <w:r w:rsidRPr="00332AB5">
        <w:rPr>
          <w:i/>
          <w:sz w:val="24"/>
          <w:szCs w:val="24"/>
          <w:u w:val="single"/>
        </w:rPr>
        <w:t>OPG osobe B</w:t>
      </w:r>
      <w:r w:rsidRPr="00332AB5">
        <w:rPr>
          <w:i/>
          <w:sz w:val="24"/>
          <w:szCs w:val="24"/>
        </w:rPr>
        <w:t xml:space="preserve"> i </w:t>
      </w:r>
      <w:r w:rsidRPr="00332AB5">
        <w:rPr>
          <w:i/>
          <w:sz w:val="24"/>
          <w:szCs w:val="24"/>
          <w:u w:val="single"/>
        </w:rPr>
        <w:t>društvo A</w:t>
      </w:r>
      <w:r w:rsidRPr="00332AB5">
        <w:rPr>
          <w:i/>
          <w:sz w:val="24"/>
          <w:szCs w:val="24"/>
        </w:rPr>
        <w:t xml:space="preserve">) imaju znatno veće kapacitete proizvodnje od 1.000 grla, dok su policom osiguranja osigurali samo onaj broj grla koji im je omogućavao maksimalan iznos potpore propisan Natječajem za Mjeru 17, dok ostala proizvodanja nije bila pokrivena policama koje su prihvatljive u Mjeri 17. Stvaranjem formalnih uvjeta za prijavu na mjeru 17. te prebacivanjem kapaciteta između povezanih poduzeća </w:t>
      </w:r>
      <w:r w:rsidRPr="00332AB5">
        <w:rPr>
          <w:i/>
          <w:sz w:val="24"/>
          <w:szCs w:val="24"/>
          <w:u w:val="single"/>
        </w:rPr>
        <w:t>na umjetan način se omogućilo podnošenje još jednog zahtjeva za isplatu potpore gdje se tražio maksimalan iznos potpore i to evidentno za onu poljoprivrednu proizvodnju koja fiktivno pripada Korisniku, ali u stvarnosti je proizvodnja dvaju povezanih poduzeća s Korisnikom. Na taj način su za vlasnike povezanih subjekata stvoreni uvjeti da dobiju dodatnu potporu na koju u stvarnosti nemaju pravo</w:t>
      </w:r>
      <w:r w:rsidRPr="00332AB5">
        <w:rPr>
          <w:i/>
          <w:sz w:val="24"/>
          <w:szCs w:val="24"/>
        </w:rPr>
        <w:t>.</w:t>
      </w:r>
    </w:p>
    <w:p w14:paraId="510AC053" w14:textId="77777777" w:rsidR="006F73B9" w:rsidRPr="00332AB5" w:rsidRDefault="006F73B9">
      <w:pPr>
        <w:numPr>
          <w:ilvl w:val="0"/>
          <w:numId w:val="39"/>
        </w:numPr>
        <w:spacing w:before="120"/>
        <w:ind w:left="426" w:hanging="357"/>
        <w:jc w:val="both"/>
        <w:rPr>
          <w:b/>
          <w:bCs/>
          <w:sz w:val="24"/>
          <w:szCs w:val="24"/>
        </w:rPr>
      </w:pPr>
      <w:r w:rsidRPr="00332AB5">
        <w:rPr>
          <w:i/>
          <w:sz w:val="24"/>
          <w:szCs w:val="24"/>
        </w:rPr>
        <w:t xml:space="preserve">Utvrđeno je </w:t>
      </w:r>
      <w:r w:rsidRPr="00332AB5">
        <w:rPr>
          <w:b/>
          <w:i/>
          <w:sz w:val="24"/>
          <w:szCs w:val="24"/>
        </w:rPr>
        <w:t>odstupanje između površine koju je Korisnik prijavio da koristi i na temelju koje ostvaruje potporu te površine koju Korisnik koristi u stvarnosti.</w:t>
      </w:r>
    </w:p>
    <w:p w14:paraId="24810DAA" w14:textId="77777777" w:rsidR="006F73B9" w:rsidRPr="00332AB5" w:rsidRDefault="006F73B9" w:rsidP="006F73B9">
      <w:pPr>
        <w:spacing w:before="120"/>
        <w:jc w:val="both"/>
      </w:pPr>
      <w:r w:rsidRPr="00332AB5">
        <w:rPr>
          <w:bCs/>
          <w:sz w:val="24"/>
          <w:szCs w:val="24"/>
        </w:rPr>
        <w:t xml:space="preserve">Navedene nepravilnosti otkrivene su na temelju </w:t>
      </w:r>
      <w:r w:rsidRPr="00332AB5">
        <w:rPr>
          <w:b/>
          <w:bCs/>
          <w:sz w:val="24"/>
          <w:szCs w:val="24"/>
        </w:rPr>
        <w:t xml:space="preserve">provjera koje je obavila </w:t>
      </w:r>
      <w:r w:rsidRPr="00332AB5">
        <w:rPr>
          <w:b/>
          <w:sz w:val="24"/>
          <w:szCs w:val="24"/>
        </w:rPr>
        <w:t>Agencija za plaćanja</w:t>
      </w:r>
      <w:r w:rsidRPr="00332AB5">
        <w:rPr>
          <w:bCs/>
          <w:sz w:val="24"/>
          <w:szCs w:val="24"/>
        </w:rPr>
        <w:t xml:space="preserve"> (administrativna kontrola, kontrola na terenu i </w:t>
      </w:r>
      <w:r w:rsidRPr="00332AB5">
        <w:rPr>
          <w:bCs/>
          <w:i/>
          <w:sz w:val="24"/>
          <w:szCs w:val="24"/>
        </w:rPr>
        <w:t>ex-post</w:t>
      </w:r>
      <w:r w:rsidRPr="00332AB5">
        <w:rPr>
          <w:bCs/>
          <w:sz w:val="24"/>
          <w:szCs w:val="24"/>
        </w:rPr>
        <w:t xml:space="preserve"> kontrola) te </w:t>
      </w:r>
      <w:r w:rsidRPr="00332AB5">
        <w:rPr>
          <w:b/>
          <w:bCs/>
          <w:sz w:val="24"/>
          <w:szCs w:val="24"/>
        </w:rPr>
        <w:t>na temelju Zahtjeva za odustajanje</w:t>
      </w:r>
      <w:r w:rsidRPr="00332AB5">
        <w:rPr>
          <w:bCs/>
          <w:sz w:val="24"/>
          <w:szCs w:val="24"/>
        </w:rPr>
        <w:t>.</w:t>
      </w:r>
    </w:p>
    <w:p w14:paraId="2C08E6DC" w14:textId="6C4E50AD" w:rsidR="00367554" w:rsidRPr="00332AB5" w:rsidRDefault="00367554" w:rsidP="00F27FBB">
      <w:pPr>
        <w:jc w:val="both"/>
        <w:rPr>
          <w:sz w:val="24"/>
          <w:szCs w:val="24"/>
        </w:rPr>
        <w:sectPr w:rsidR="00367554" w:rsidRPr="00332AB5" w:rsidSect="002C768F">
          <w:headerReference w:type="first" r:id="rId26"/>
          <w:footerReference w:type="first" r:id="rId27"/>
          <w:pgSz w:w="11907" w:h="16839" w:code="9"/>
          <w:pgMar w:top="1417" w:right="1417" w:bottom="1417" w:left="1417" w:header="709" w:footer="709" w:gutter="0"/>
          <w:cols w:space="708"/>
          <w:titlePg/>
          <w:docGrid w:linePitch="360"/>
        </w:sectPr>
      </w:pPr>
    </w:p>
    <w:p w14:paraId="1CC2D894" w14:textId="27BAF1C1" w:rsidR="002B13A7" w:rsidRPr="00332AB5" w:rsidRDefault="002B13A7" w:rsidP="00C50776">
      <w:pPr>
        <w:pStyle w:val="Heading1"/>
        <w:jc w:val="both"/>
      </w:pPr>
      <w:bookmarkStart w:id="129" w:name="_Toc152595240"/>
      <w:bookmarkStart w:id="130" w:name="_Hlk114641102"/>
      <w:bookmarkStart w:id="131" w:name="_Hlk83639581"/>
      <w:bookmarkStart w:id="132" w:name="_Toc351026084"/>
      <w:bookmarkStart w:id="133" w:name="_Toc351361523"/>
      <w:bookmarkStart w:id="134" w:name="_Toc351361564"/>
      <w:bookmarkStart w:id="135" w:name="_Toc351361611"/>
      <w:bookmarkStart w:id="136" w:name="_Toc351444801"/>
      <w:bookmarkStart w:id="137" w:name="_Toc351465567"/>
      <w:bookmarkStart w:id="138" w:name="_Toc355359822"/>
      <w:bookmarkStart w:id="139" w:name="_Toc357071096"/>
      <w:bookmarkStart w:id="140" w:name="_Toc372635487"/>
      <w:r w:rsidRPr="00332AB5">
        <w:t>INSTRUMENTI NEXT GENERATION EU</w:t>
      </w:r>
      <w:bookmarkEnd w:id="129"/>
      <w:r w:rsidRPr="00332AB5">
        <w:t xml:space="preserve"> </w:t>
      </w:r>
    </w:p>
    <w:p w14:paraId="0FD31DD3" w14:textId="092CF066" w:rsidR="002B13A7" w:rsidRPr="00332AB5" w:rsidRDefault="002B13A7">
      <w:pPr>
        <w:pStyle w:val="Heading2"/>
        <w:numPr>
          <w:ilvl w:val="1"/>
          <w:numId w:val="15"/>
        </w:numPr>
      </w:pPr>
      <w:bookmarkStart w:id="141" w:name="_Toc152595241"/>
      <w:bookmarkEnd w:id="130"/>
      <w:r w:rsidRPr="00332AB5">
        <w:t>POMOĆ ZA OPORAVAK ZA KOHEZIJU I EUROPSKA PODRUČJA („REACT-EU”)</w:t>
      </w:r>
      <w:bookmarkEnd w:id="141"/>
    </w:p>
    <w:p w14:paraId="585E927E" w14:textId="77777777" w:rsidR="002B13A7" w:rsidRPr="00332AB5" w:rsidRDefault="002B13A7" w:rsidP="002B13A7"/>
    <w:bookmarkEnd w:id="131"/>
    <w:p w14:paraId="1077794E" w14:textId="18D2293E" w:rsidR="006304B8" w:rsidRPr="00332AB5" w:rsidRDefault="006304B8" w:rsidP="006304B8">
      <w:pPr>
        <w:jc w:val="both"/>
        <w:rPr>
          <w:sz w:val="24"/>
          <w:szCs w:val="24"/>
        </w:rPr>
      </w:pPr>
      <w:r w:rsidRPr="00332AB5">
        <w:rPr>
          <w:sz w:val="24"/>
          <w:szCs w:val="24"/>
        </w:rPr>
        <w:t xml:space="preserve">Temeljem Uredbe </w:t>
      </w:r>
      <w:r w:rsidR="00AD51E1" w:rsidRPr="00332AB5">
        <w:rPr>
          <w:sz w:val="24"/>
          <w:szCs w:val="24"/>
        </w:rPr>
        <w:t xml:space="preserve">(EU) </w:t>
      </w:r>
      <w:r w:rsidRPr="00332AB5">
        <w:rPr>
          <w:sz w:val="24"/>
          <w:szCs w:val="24"/>
        </w:rPr>
        <w:t xml:space="preserve">2020/2221 </w:t>
      </w:r>
      <w:r w:rsidR="00AD51E1" w:rsidRPr="00332AB5">
        <w:rPr>
          <w:sz w:val="24"/>
          <w:szCs w:val="24"/>
        </w:rPr>
        <w:t xml:space="preserve">Europskog parlamenta i Vijeća od 23. prosinca 2020. </w:t>
      </w:r>
      <w:r w:rsidRPr="00332AB5">
        <w:rPr>
          <w:sz w:val="24"/>
          <w:szCs w:val="24"/>
        </w:rPr>
        <w:t xml:space="preserve">o izmjeni Uredbe (EU) br. 1303/2013 </w:t>
      </w:r>
      <w:r w:rsidR="00AA69E5" w:rsidRPr="00332AB5">
        <w:rPr>
          <w:sz w:val="24"/>
          <w:szCs w:val="24"/>
        </w:rPr>
        <w:t>u pogledu dodatnih sredstava i provedbenih mehanizama radi pružanja pomoći u sanaciji krize u kontekstu pandemije bolesti COVID-19 i njezinih socijalnih posljedica te u pripremi zelenog, digitalnog i otpornog oporavka gospodarstva (REACT-EU) (SL L 437, 28.1.2020.)</w:t>
      </w:r>
      <w:r w:rsidR="00A74C21" w:rsidRPr="00332AB5">
        <w:rPr>
          <w:sz w:val="24"/>
          <w:szCs w:val="24"/>
        </w:rPr>
        <w:t>,</w:t>
      </w:r>
      <w:r w:rsidR="00AA69E5" w:rsidRPr="00332AB5">
        <w:rPr>
          <w:sz w:val="24"/>
          <w:szCs w:val="24"/>
        </w:rPr>
        <w:t xml:space="preserve"> </w:t>
      </w:r>
      <w:r w:rsidRPr="00332AB5">
        <w:rPr>
          <w:sz w:val="24"/>
          <w:szCs w:val="24"/>
        </w:rPr>
        <w:t xml:space="preserve">državama članicama na raspolaganje su stavljena dodatna sredstva radi pružanja pomoći u sanaciji krize u kontekstu pandemije bolesti COVID-19 i njezinih socijalnih posljedica te u pripremi zelenog, digitalnog i otpornog oporavka gospodarstva (REACT-EU). Sredstva REACT-EU stavljena su na raspolaganje za proračunsku obvezu za 2021. i 2022. i to na način da je državama članicama za 2021. na raspolaganje stavljeno 37.500.000.000 </w:t>
      </w:r>
      <w:r w:rsidR="00B934E3" w:rsidRPr="00332AB5">
        <w:rPr>
          <w:sz w:val="24"/>
          <w:szCs w:val="24"/>
        </w:rPr>
        <w:t>eura</w:t>
      </w:r>
      <w:r w:rsidRPr="00332AB5">
        <w:rPr>
          <w:sz w:val="24"/>
          <w:szCs w:val="24"/>
        </w:rPr>
        <w:t xml:space="preserve">, a za 2022. 10.000.000.000 </w:t>
      </w:r>
      <w:r w:rsidR="00B934E3" w:rsidRPr="00332AB5">
        <w:rPr>
          <w:sz w:val="24"/>
          <w:szCs w:val="24"/>
        </w:rPr>
        <w:t>eura</w:t>
      </w:r>
      <w:r w:rsidRPr="00332AB5">
        <w:rPr>
          <w:sz w:val="24"/>
          <w:szCs w:val="24"/>
        </w:rPr>
        <w:t xml:space="preserve">. Provedbenom </w:t>
      </w:r>
      <w:r w:rsidR="00931F38" w:rsidRPr="00332AB5">
        <w:rPr>
          <w:sz w:val="24"/>
          <w:szCs w:val="24"/>
        </w:rPr>
        <w:t>o</w:t>
      </w:r>
      <w:r w:rsidRPr="00332AB5">
        <w:rPr>
          <w:sz w:val="24"/>
          <w:szCs w:val="24"/>
        </w:rPr>
        <w:t xml:space="preserve">dlukom Komisije (EU) 2021/182 </w:t>
      </w:r>
      <w:r w:rsidR="0081413A" w:rsidRPr="00332AB5">
        <w:rPr>
          <w:sz w:val="24"/>
          <w:szCs w:val="24"/>
        </w:rPr>
        <w:t>od</w:t>
      </w:r>
      <w:r w:rsidRPr="00332AB5">
        <w:rPr>
          <w:sz w:val="24"/>
          <w:szCs w:val="24"/>
        </w:rPr>
        <w:t xml:space="preserve"> 12. veljače 2021. o utvrđivanju raspodjele sredstava REACT-EU po državi članici za 2021.</w:t>
      </w:r>
      <w:r w:rsidR="00D07385" w:rsidRPr="00332AB5">
        <w:rPr>
          <w:sz w:val="24"/>
          <w:szCs w:val="24"/>
        </w:rPr>
        <w:t xml:space="preserve"> (SL 53,</w:t>
      </w:r>
      <w:r w:rsidR="00872528" w:rsidRPr="00332AB5">
        <w:rPr>
          <w:sz w:val="24"/>
          <w:szCs w:val="24"/>
        </w:rPr>
        <w:t xml:space="preserve"> </w:t>
      </w:r>
      <w:r w:rsidR="00D07385" w:rsidRPr="00332AB5">
        <w:rPr>
          <w:sz w:val="24"/>
          <w:szCs w:val="24"/>
        </w:rPr>
        <w:t>16</w:t>
      </w:r>
      <w:r w:rsidR="00872528" w:rsidRPr="00332AB5">
        <w:rPr>
          <w:sz w:val="24"/>
          <w:szCs w:val="24"/>
        </w:rPr>
        <w:t>.</w:t>
      </w:r>
      <w:r w:rsidR="00987817" w:rsidRPr="00332AB5">
        <w:rPr>
          <w:sz w:val="24"/>
          <w:szCs w:val="24"/>
        </w:rPr>
        <w:t>2.</w:t>
      </w:r>
      <w:r w:rsidR="00D07385" w:rsidRPr="00332AB5">
        <w:rPr>
          <w:sz w:val="24"/>
          <w:szCs w:val="24"/>
        </w:rPr>
        <w:t>2021).</w:t>
      </w:r>
      <w:r w:rsidRPr="00332AB5">
        <w:rPr>
          <w:sz w:val="24"/>
          <w:szCs w:val="24"/>
        </w:rPr>
        <w:t xml:space="preserve"> Republici Hrvatskoj je dodijeljeno 571.498.663 </w:t>
      </w:r>
      <w:r w:rsidR="007F6D05" w:rsidRPr="00332AB5">
        <w:rPr>
          <w:sz w:val="24"/>
          <w:szCs w:val="24"/>
        </w:rPr>
        <w:t>eura</w:t>
      </w:r>
      <w:r w:rsidRPr="00332AB5">
        <w:rPr>
          <w:sz w:val="24"/>
          <w:szCs w:val="24"/>
        </w:rPr>
        <w:t>.</w:t>
      </w:r>
      <w:r w:rsidR="00494308" w:rsidRPr="00332AB5">
        <w:t xml:space="preserve"> </w:t>
      </w:r>
      <w:r w:rsidR="00494308" w:rsidRPr="00332AB5">
        <w:rPr>
          <w:sz w:val="24"/>
          <w:szCs w:val="24"/>
        </w:rPr>
        <w:t>REACT-EU alokacija za 2021. raspoređena je između dva operativna programa (Operativni program „Konkurentnost i kohezija“ te program „Učinkoviti ljudski potencijali“)</w:t>
      </w:r>
      <w:r w:rsidR="000567BA" w:rsidRPr="00332AB5">
        <w:rPr>
          <w:sz w:val="24"/>
          <w:szCs w:val="24"/>
        </w:rPr>
        <w:t>,</w:t>
      </w:r>
      <w:r w:rsidR="00494308" w:rsidRPr="00332AB5">
        <w:rPr>
          <w:sz w:val="24"/>
          <w:szCs w:val="24"/>
        </w:rPr>
        <w:t xml:space="preserve"> dok se REACT-EU alokacija za 2022. u cijelosti </w:t>
      </w:r>
      <w:r w:rsidR="004F4F34" w:rsidRPr="00332AB5">
        <w:rPr>
          <w:sz w:val="24"/>
          <w:szCs w:val="24"/>
        </w:rPr>
        <w:t>odnosi</w:t>
      </w:r>
      <w:r w:rsidR="00494308" w:rsidRPr="00332AB5">
        <w:rPr>
          <w:sz w:val="24"/>
          <w:szCs w:val="24"/>
        </w:rPr>
        <w:t xml:space="preserve"> na Operativni program „</w:t>
      </w:r>
      <w:r w:rsidR="0070552C" w:rsidRPr="00332AB5">
        <w:rPr>
          <w:sz w:val="24"/>
          <w:szCs w:val="24"/>
        </w:rPr>
        <w:t>Konkurentnost</w:t>
      </w:r>
      <w:r w:rsidR="00494308" w:rsidRPr="00332AB5">
        <w:rPr>
          <w:sz w:val="24"/>
          <w:szCs w:val="24"/>
        </w:rPr>
        <w:t xml:space="preserve"> i kohezija“.</w:t>
      </w:r>
    </w:p>
    <w:p w14:paraId="68B2F9B0" w14:textId="3521CC60" w:rsidR="002B13A7" w:rsidRPr="00332AB5" w:rsidRDefault="002B13A7" w:rsidP="006304B8">
      <w:pPr>
        <w:jc w:val="both"/>
        <w:rPr>
          <w:sz w:val="24"/>
          <w:szCs w:val="24"/>
        </w:rPr>
      </w:pPr>
    </w:p>
    <w:p w14:paraId="6CAA46E1" w14:textId="22478A1E" w:rsidR="002B13A7" w:rsidRPr="00332AB5" w:rsidRDefault="002B13A7" w:rsidP="00494308">
      <w:pPr>
        <w:keepNext/>
        <w:numPr>
          <w:ilvl w:val="2"/>
          <w:numId w:val="3"/>
        </w:numPr>
        <w:spacing w:before="240" w:after="240"/>
        <w:outlineLvl w:val="2"/>
        <w:rPr>
          <w:sz w:val="24"/>
          <w:szCs w:val="26"/>
        </w:rPr>
      </w:pPr>
      <w:bookmarkStart w:id="142" w:name="_Toc152595242"/>
      <w:r w:rsidRPr="00332AB5">
        <w:rPr>
          <w:sz w:val="24"/>
          <w:szCs w:val="26"/>
        </w:rPr>
        <w:t>OPERATIVNI PROGRAM „KONKURENTNOST I KOHEZIJA“</w:t>
      </w:r>
      <w:bookmarkEnd w:id="142"/>
    </w:p>
    <w:p w14:paraId="5E81463B" w14:textId="75A3851B" w:rsidR="007A45F2" w:rsidRPr="00332AB5" w:rsidRDefault="007A45F2" w:rsidP="007A45F2">
      <w:pPr>
        <w:spacing w:before="120" w:after="120"/>
        <w:jc w:val="both"/>
        <w:rPr>
          <w:sz w:val="24"/>
          <w:szCs w:val="24"/>
        </w:rPr>
      </w:pPr>
      <w:r w:rsidRPr="00332AB5">
        <w:rPr>
          <w:sz w:val="24"/>
          <w:szCs w:val="24"/>
        </w:rPr>
        <w:t xml:space="preserve">Kako je ranije spomenuto, REACT-EU alokacija za 2021. za RH u iznosu od 571,5 milijuna eura, raspoređena je na OPULJP za financiranje mjera za očuvanje radnih mjesta dok je 31,5 milijuna eura dodijeljeno OPKK za podržavanje malog i srednjeg poduzetništva s investicijama koje sadrže elemente zelene i digitalne transformacije. U tu svrhu UT je izmijenio operativni program kojeg je EK usvojila 3. lipnja 2021. Spomenutom izmjenom OP-a dodana je nova prioritetna os 11 Jačanje oporavka od krize u kontekstu pandemije COVID-19 i priprema za zeleni, digitalni i otporni oporavak gospodarstva. Ovoj prioritetnoj osi </w:t>
      </w:r>
      <w:r w:rsidR="00D07385" w:rsidRPr="00332AB5">
        <w:rPr>
          <w:sz w:val="24"/>
          <w:szCs w:val="24"/>
        </w:rPr>
        <w:t>je</w:t>
      </w:r>
      <w:r w:rsidRPr="00332AB5">
        <w:rPr>
          <w:sz w:val="24"/>
          <w:szCs w:val="24"/>
        </w:rPr>
        <w:t xml:space="preserve"> dodana REACT-EU alokacija za 2022. u iznosu od 101.058.677 </w:t>
      </w:r>
      <w:r w:rsidR="00B934E3" w:rsidRPr="00332AB5">
        <w:rPr>
          <w:sz w:val="24"/>
          <w:szCs w:val="24"/>
        </w:rPr>
        <w:t>eura</w:t>
      </w:r>
      <w:r w:rsidRPr="00332AB5">
        <w:rPr>
          <w:sz w:val="24"/>
          <w:szCs w:val="24"/>
        </w:rPr>
        <w:t xml:space="preserve"> kroz izmjenu operativnog programa (v.13) koja je usvojena od strane EK 22. prosinca 2022.</w:t>
      </w:r>
    </w:p>
    <w:p w14:paraId="0A9D2FE4" w14:textId="40A5AC86" w:rsidR="007A45F2" w:rsidRPr="00332AB5" w:rsidRDefault="007A45F2" w:rsidP="007A45F2">
      <w:pPr>
        <w:spacing w:before="120" w:after="120"/>
        <w:jc w:val="both"/>
        <w:rPr>
          <w:sz w:val="24"/>
          <w:szCs w:val="24"/>
        </w:rPr>
      </w:pPr>
      <w:r w:rsidRPr="00332AB5">
        <w:rPr>
          <w:sz w:val="24"/>
          <w:szCs w:val="24"/>
        </w:rPr>
        <w:t xml:space="preserve">S ciljem iskorištavanja svih dostupnih REACT-EU sredstava u okviru OPKK u travnju 2021. objavljen je </w:t>
      </w:r>
      <w:r w:rsidR="00312286" w:rsidRPr="00332AB5">
        <w:rPr>
          <w:sz w:val="24"/>
          <w:szCs w:val="24"/>
        </w:rPr>
        <w:t>p</w:t>
      </w:r>
      <w:r w:rsidRPr="00332AB5">
        <w:rPr>
          <w:sz w:val="24"/>
          <w:szCs w:val="24"/>
        </w:rPr>
        <w:t>oziv na dodjelu bespovratnih sredstava „Jačanje konkurentnosti poduzeća ulaganjima u digitalnu i zelenu tranziciju“. U okviru navedenog poziva ugovorena su 264 ugovora</w:t>
      </w:r>
      <w:r w:rsidR="00464217" w:rsidRPr="00332AB5">
        <w:t xml:space="preserve"> </w:t>
      </w:r>
      <w:r w:rsidR="00464217" w:rsidRPr="00332AB5">
        <w:rPr>
          <w:sz w:val="24"/>
          <w:szCs w:val="24"/>
        </w:rPr>
        <w:t xml:space="preserve">ukupne vrijednosti 127,52 </w:t>
      </w:r>
      <w:r w:rsidR="00F77175" w:rsidRPr="00332AB5">
        <w:rPr>
          <w:sz w:val="24"/>
          <w:szCs w:val="24"/>
        </w:rPr>
        <w:t xml:space="preserve">milijuna </w:t>
      </w:r>
      <w:r w:rsidR="00464217" w:rsidRPr="00332AB5">
        <w:rPr>
          <w:sz w:val="24"/>
          <w:szCs w:val="24"/>
        </w:rPr>
        <w:t xml:space="preserve">eura (sredstva EU). </w:t>
      </w:r>
      <w:r w:rsidRPr="00332AB5">
        <w:rPr>
          <w:sz w:val="24"/>
          <w:szCs w:val="24"/>
        </w:rPr>
        <w:t xml:space="preserve">Provedbom ugovorenih projekata osigurat će se doprinos digitalnoj i zelenoj tranziciji hrvatskog gospodarstva, a prava uspješnost apsorpcije sredstava biti će vidljiva na kraju 2023. </w:t>
      </w:r>
      <w:r w:rsidR="00987817" w:rsidRPr="00332AB5">
        <w:rPr>
          <w:sz w:val="24"/>
          <w:szCs w:val="24"/>
        </w:rPr>
        <w:t xml:space="preserve">godine </w:t>
      </w:r>
      <w:r w:rsidRPr="00332AB5">
        <w:rPr>
          <w:sz w:val="24"/>
          <w:szCs w:val="24"/>
        </w:rPr>
        <w:t>okončanjem provedbe svih projekata.</w:t>
      </w:r>
    </w:p>
    <w:p w14:paraId="53FCE6B8" w14:textId="39632BA8" w:rsidR="0075127C" w:rsidRPr="00332AB5" w:rsidRDefault="004756DC" w:rsidP="007A45F2">
      <w:pPr>
        <w:spacing w:before="120" w:after="120"/>
        <w:jc w:val="both"/>
        <w:rPr>
          <w:sz w:val="24"/>
          <w:szCs w:val="24"/>
        </w:rPr>
      </w:pPr>
      <w:r w:rsidRPr="00332AB5">
        <w:rPr>
          <w:sz w:val="24"/>
          <w:szCs w:val="24"/>
        </w:rPr>
        <w:t>Do 30. lipnja 2023. ukupna plaćanja prema korisnicima izvršena su u iznosu od 73,61 milijuna eura (sredstva EU). Tijekom izvještajnog razdoblja izvršena su plaćanja prema korisnicima u iznosu 22,32 milijuna eura (sredstva EU), odnosno 16,84 % dodijeljenih sredstava</w:t>
      </w:r>
      <w:r w:rsidR="007A45F2" w:rsidRPr="00332AB5">
        <w:rPr>
          <w:sz w:val="24"/>
          <w:szCs w:val="24"/>
        </w:rPr>
        <w:t>.</w:t>
      </w:r>
      <w:r w:rsidR="00464217" w:rsidRPr="00332AB5">
        <w:rPr>
          <w:sz w:val="24"/>
          <w:szCs w:val="24"/>
        </w:rPr>
        <w:t xml:space="preserve"> Ukupno je doznačeno </w:t>
      </w:r>
      <w:r w:rsidR="005440D5" w:rsidRPr="00332AB5">
        <w:rPr>
          <w:sz w:val="24"/>
          <w:szCs w:val="24"/>
        </w:rPr>
        <w:t>8,64</w:t>
      </w:r>
      <w:r w:rsidR="00464217" w:rsidRPr="00332AB5">
        <w:rPr>
          <w:sz w:val="24"/>
          <w:szCs w:val="24"/>
        </w:rPr>
        <w:t xml:space="preserve"> </w:t>
      </w:r>
      <w:r w:rsidR="000B4F54" w:rsidRPr="00332AB5">
        <w:rPr>
          <w:sz w:val="24"/>
          <w:szCs w:val="24"/>
        </w:rPr>
        <w:t>milijuna</w:t>
      </w:r>
      <w:r w:rsidR="00464217" w:rsidRPr="00332AB5">
        <w:rPr>
          <w:sz w:val="24"/>
          <w:szCs w:val="24"/>
        </w:rPr>
        <w:t xml:space="preserve"> eura, a u izvještajnom razdoblju doznače</w:t>
      </w:r>
      <w:r w:rsidR="00EC5551" w:rsidRPr="00332AB5">
        <w:rPr>
          <w:sz w:val="24"/>
          <w:szCs w:val="24"/>
        </w:rPr>
        <w:t>no je 2,65 milijuna eura</w:t>
      </w:r>
      <w:r w:rsidR="00464217" w:rsidRPr="00332AB5">
        <w:rPr>
          <w:sz w:val="24"/>
          <w:szCs w:val="24"/>
        </w:rPr>
        <w:t>.</w:t>
      </w:r>
    </w:p>
    <w:p w14:paraId="75929133" w14:textId="6C4CA9EF" w:rsidR="007A45F2" w:rsidRPr="00332AB5" w:rsidRDefault="007A45F2">
      <w:pPr>
        <w:rPr>
          <w:b/>
          <w:bCs/>
        </w:rPr>
      </w:pPr>
    </w:p>
    <w:p w14:paraId="71894A83" w14:textId="77777777" w:rsidR="00B03686" w:rsidRPr="00332AB5" w:rsidRDefault="00B03686">
      <w:pPr>
        <w:rPr>
          <w:b/>
          <w:bCs/>
        </w:rPr>
      </w:pPr>
      <w:r w:rsidRPr="00332AB5">
        <w:rPr>
          <w:b/>
          <w:bCs/>
        </w:rPr>
        <w:br w:type="page"/>
      </w:r>
    </w:p>
    <w:p w14:paraId="73034D68" w14:textId="6725A347" w:rsidR="0075127C" w:rsidRPr="00332AB5" w:rsidRDefault="0075127C" w:rsidP="00402AAF">
      <w:pPr>
        <w:spacing w:before="120" w:after="120"/>
        <w:rPr>
          <w:b/>
          <w:bCs/>
        </w:rPr>
      </w:pPr>
      <w:bookmarkStart w:id="143" w:name="_Toc152595295"/>
      <w:r w:rsidRPr="00332AB5">
        <w:rPr>
          <w:b/>
          <w:bCs/>
        </w:rPr>
        <w:t xml:space="preserve">Tablica </w:t>
      </w:r>
      <w:r w:rsidR="008C2CC3" w:rsidRPr="00332AB5">
        <w:rPr>
          <w:b/>
          <w:bCs/>
        </w:rPr>
        <w:fldChar w:fldCharType="begin"/>
      </w:r>
      <w:r w:rsidRPr="00332AB5">
        <w:rPr>
          <w:b/>
          <w:bCs/>
        </w:rPr>
        <w:instrText xml:space="preserve"> SEQ Tablica \* ARABIC </w:instrText>
      </w:r>
      <w:r w:rsidR="008C2CC3" w:rsidRPr="00332AB5">
        <w:rPr>
          <w:b/>
          <w:bCs/>
        </w:rPr>
        <w:fldChar w:fldCharType="separate"/>
      </w:r>
      <w:r w:rsidR="005E6E46">
        <w:rPr>
          <w:b/>
          <w:bCs/>
          <w:noProof/>
        </w:rPr>
        <w:t>21</w:t>
      </w:r>
      <w:r w:rsidR="008C2CC3" w:rsidRPr="00332AB5">
        <w:rPr>
          <w:b/>
          <w:bCs/>
        </w:rPr>
        <w:fldChar w:fldCharType="end"/>
      </w:r>
      <w:r w:rsidRPr="00332AB5">
        <w:rPr>
          <w:b/>
          <w:bCs/>
        </w:rPr>
        <w:t xml:space="preserve">: Financijski pokazatelji statusa provedbe REACT-EU u sklopu Operativnog programa „Konkurentnost i kohezija“ u izvještajnom razdoblju </w:t>
      </w:r>
      <w:r w:rsidR="00BA31D9" w:rsidRPr="00332AB5">
        <w:rPr>
          <w:b/>
          <w:bCs/>
        </w:rPr>
        <w:t xml:space="preserve">od </w:t>
      </w:r>
      <w:r w:rsidR="0011067E" w:rsidRPr="00332AB5">
        <w:rPr>
          <w:b/>
          <w:bCs/>
        </w:rPr>
        <w:t>1. siječnja</w:t>
      </w:r>
      <w:r w:rsidR="00487DC5" w:rsidRPr="00332AB5">
        <w:rPr>
          <w:b/>
          <w:bCs/>
        </w:rPr>
        <w:t xml:space="preserve"> do </w:t>
      </w:r>
      <w:r w:rsidR="0011067E" w:rsidRPr="00332AB5">
        <w:rPr>
          <w:b/>
          <w:bCs/>
        </w:rPr>
        <w:t>30. lipnja 2023.</w:t>
      </w:r>
      <w:r w:rsidR="00487DC5" w:rsidRPr="00332AB5">
        <w:rPr>
          <w:b/>
          <w:bCs/>
        </w:rPr>
        <w:t xml:space="preserve"> </w:t>
      </w:r>
      <w:r w:rsidRPr="00332AB5">
        <w:rPr>
          <w:b/>
          <w:bCs/>
        </w:rPr>
        <w:t>(sredstva EU, u milijunima eura i postocima od dodijeljenih sredstava)</w:t>
      </w:r>
      <w:bookmarkEnd w:id="143"/>
    </w:p>
    <w:tbl>
      <w:tblPr>
        <w:tblStyle w:val="TableGrid"/>
        <w:tblW w:w="9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987"/>
        <w:gridCol w:w="879"/>
        <w:gridCol w:w="680"/>
        <w:gridCol w:w="1044"/>
        <w:gridCol w:w="635"/>
        <w:gridCol w:w="1089"/>
        <w:gridCol w:w="635"/>
      </w:tblGrid>
      <w:tr w:rsidR="0075127C" w:rsidRPr="00332AB5" w14:paraId="19D4E819" w14:textId="77777777" w:rsidTr="00FB3195">
        <w:trPr>
          <w:trHeight w:val="737"/>
        </w:trPr>
        <w:tc>
          <w:tcPr>
            <w:tcW w:w="1179" w:type="dxa"/>
            <w:vAlign w:val="center"/>
          </w:tcPr>
          <w:p w14:paraId="60BD8192" w14:textId="77777777" w:rsidR="0075127C" w:rsidRPr="00332AB5" w:rsidRDefault="0075127C" w:rsidP="00275475">
            <w:pPr>
              <w:spacing w:after="60"/>
              <w:rPr>
                <w:sz w:val="16"/>
                <w:szCs w:val="24"/>
              </w:rPr>
            </w:pPr>
            <w:r w:rsidRPr="00332AB5">
              <w:rPr>
                <w:rFonts w:asciiTheme="minorHAnsi" w:hAnsiTheme="minorHAnsi" w:cstheme="minorHAnsi"/>
                <w:sz w:val="16"/>
              </w:rPr>
              <w:t>Prioritetna os (PO)</w:t>
            </w:r>
            <w:r w:rsidRPr="00332AB5">
              <w:rPr>
                <w:rStyle w:val="FootnoteReference"/>
                <w:rFonts w:asciiTheme="minorHAnsi" w:hAnsiTheme="minorHAnsi" w:cstheme="minorHAnsi"/>
                <w:sz w:val="16"/>
              </w:rPr>
              <w:footnoteReference w:id="23"/>
            </w:r>
          </w:p>
        </w:tc>
        <w:tc>
          <w:tcPr>
            <w:tcW w:w="998" w:type="dxa"/>
            <w:tcBorders>
              <w:bottom w:val="single" w:sz="4" w:space="0" w:color="808080" w:themeColor="background1" w:themeShade="80"/>
            </w:tcBorders>
            <w:vAlign w:val="center"/>
          </w:tcPr>
          <w:p w14:paraId="6120A25E" w14:textId="77777777" w:rsidR="0075127C" w:rsidRPr="00332AB5" w:rsidRDefault="0075127C" w:rsidP="00275475">
            <w:pPr>
              <w:spacing w:after="60"/>
              <w:jc w:val="right"/>
              <w:rPr>
                <w:sz w:val="16"/>
                <w:szCs w:val="24"/>
              </w:rPr>
            </w:pPr>
            <w:r w:rsidRPr="00332AB5">
              <w:rPr>
                <w:rFonts w:asciiTheme="minorHAnsi" w:hAnsiTheme="minorHAnsi" w:cstheme="minorHAnsi"/>
                <w:sz w:val="16"/>
              </w:rPr>
              <w:t>Dodijeljena sredstva</w:t>
            </w:r>
          </w:p>
        </w:tc>
        <w:tc>
          <w:tcPr>
            <w:tcW w:w="1089" w:type="dxa"/>
            <w:tcBorders>
              <w:bottom w:val="single" w:sz="4" w:space="0" w:color="808080" w:themeColor="background1" w:themeShade="80"/>
            </w:tcBorders>
            <w:vAlign w:val="center"/>
          </w:tcPr>
          <w:p w14:paraId="3C01D24E" w14:textId="77777777" w:rsidR="0075127C" w:rsidRPr="00332AB5" w:rsidRDefault="0075127C" w:rsidP="00275475">
            <w:pPr>
              <w:spacing w:after="60"/>
              <w:jc w:val="right"/>
              <w:rPr>
                <w:sz w:val="16"/>
                <w:szCs w:val="24"/>
              </w:rPr>
            </w:pPr>
            <w:r w:rsidRPr="00332AB5">
              <w:rPr>
                <w:rFonts w:asciiTheme="minorHAnsi" w:hAnsiTheme="minorHAnsi" w:cstheme="minorHAnsi"/>
                <w:sz w:val="16"/>
              </w:rPr>
              <w:t>Ugovorena sredstva</w:t>
            </w:r>
          </w:p>
        </w:tc>
        <w:tc>
          <w:tcPr>
            <w:tcW w:w="987" w:type="dxa"/>
            <w:tcBorders>
              <w:bottom w:val="single" w:sz="4" w:space="0" w:color="808080" w:themeColor="background1" w:themeShade="80"/>
            </w:tcBorders>
            <w:vAlign w:val="center"/>
          </w:tcPr>
          <w:p w14:paraId="2CEDD23A" w14:textId="77777777" w:rsidR="0075127C" w:rsidRPr="00332AB5" w:rsidRDefault="0075127C" w:rsidP="00275475">
            <w:pPr>
              <w:spacing w:after="60"/>
              <w:jc w:val="right"/>
              <w:rPr>
                <w:sz w:val="16"/>
                <w:szCs w:val="24"/>
              </w:rPr>
            </w:pPr>
            <w:r w:rsidRPr="00332AB5">
              <w:rPr>
                <w:rFonts w:asciiTheme="minorHAnsi" w:hAnsiTheme="minorHAnsi" w:cstheme="minorHAnsi"/>
                <w:sz w:val="16"/>
              </w:rPr>
              <w:t xml:space="preserve"> %</w:t>
            </w:r>
          </w:p>
        </w:tc>
        <w:tc>
          <w:tcPr>
            <w:tcW w:w="879" w:type="dxa"/>
            <w:tcBorders>
              <w:bottom w:val="single" w:sz="4" w:space="0" w:color="808080" w:themeColor="background1" w:themeShade="80"/>
            </w:tcBorders>
            <w:vAlign w:val="center"/>
          </w:tcPr>
          <w:p w14:paraId="3AA6D762" w14:textId="77777777" w:rsidR="0075127C" w:rsidRPr="00332AB5" w:rsidRDefault="0075127C" w:rsidP="00275475">
            <w:pPr>
              <w:spacing w:after="60"/>
              <w:jc w:val="right"/>
              <w:rPr>
                <w:sz w:val="16"/>
                <w:szCs w:val="24"/>
              </w:rPr>
            </w:pPr>
            <w:r w:rsidRPr="00332AB5">
              <w:rPr>
                <w:rFonts w:asciiTheme="minorHAnsi" w:hAnsiTheme="minorHAnsi" w:cstheme="minorHAnsi"/>
                <w:sz w:val="16"/>
              </w:rPr>
              <w:t>Plaćena sredstva</w:t>
            </w:r>
          </w:p>
        </w:tc>
        <w:tc>
          <w:tcPr>
            <w:tcW w:w="680" w:type="dxa"/>
            <w:tcBorders>
              <w:bottom w:val="single" w:sz="4" w:space="0" w:color="808080" w:themeColor="background1" w:themeShade="80"/>
            </w:tcBorders>
            <w:vAlign w:val="center"/>
          </w:tcPr>
          <w:p w14:paraId="2DA19C0D" w14:textId="77777777" w:rsidR="0075127C" w:rsidRPr="00332AB5" w:rsidRDefault="0075127C" w:rsidP="00275475">
            <w:pPr>
              <w:spacing w:after="60"/>
              <w:jc w:val="right"/>
              <w:rPr>
                <w:sz w:val="16"/>
                <w:szCs w:val="24"/>
              </w:rPr>
            </w:pPr>
            <w:r w:rsidRPr="00332AB5">
              <w:rPr>
                <w:rFonts w:asciiTheme="minorHAnsi" w:hAnsiTheme="minorHAnsi" w:cstheme="minorHAnsi"/>
                <w:sz w:val="16"/>
              </w:rPr>
              <w:t xml:space="preserve"> %</w:t>
            </w:r>
          </w:p>
        </w:tc>
        <w:tc>
          <w:tcPr>
            <w:tcW w:w="1044" w:type="dxa"/>
            <w:tcBorders>
              <w:bottom w:val="single" w:sz="4" w:space="0" w:color="808080" w:themeColor="background1" w:themeShade="80"/>
            </w:tcBorders>
            <w:vAlign w:val="center"/>
          </w:tcPr>
          <w:p w14:paraId="2BEC6335" w14:textId="77777777" w:rsidR="0075127C" w:rsidRPr="00332AB5" w:rsidRDefault="0075127C" w:rsidP="00275475">
            <w:pPr>
              <w:spacing w:after="60"/>
              <w:jc w:val="right"/>
              <w:rPr>
                <w:sz w:val="16"/>
                <w:szCs w:val="24"/>
              </w:rPr>
            </w:pPr>
            <w:r w:rsidRPr="00332AB5">
              <w:rPr>
                <w:rFonts w:asciiTheme="minorHAnsi" w:hAnsiTheme="minorHAnsi" w:cstheme="minorHAnsi"/>
                <w:sz w:val="16"/>
              </w:rPr>
              <w:t>Ovjerena sredstva</w:t>
            </w:r>
          </w:p>
        </w:tc>
        <w:tc>
          <w:tcPr>
            <w:tcW w:w="635" w:type="dxa"/>
            <w:tcBorders>
              <w:bottom w:val="single" w:sz="4" w:space="0" w:color="808080" w:themeColor="background1" w:themeShade="80"/>
            </w:tcBorders>
            <w:vAlign w:val="center"/>
          </w:tcPr>
          <w:p w14:paraId="26A6C2D8" w14:textId="77777777" w:rsidR="0075127C" w:rsidRPr="00332AB5" w:rsidRDefault="0075127C" w:rsidP="00275475">
            <w:pPr>
              <w:spacing w:after="60"/>
              <w:jc w:val="right"/>
              <w:rPr>
                <w:sz w:val="16"/>
                <w:szCs w:val="24"/>
              </w:rPr>
            </w:pPr>
            <w:r w:rsidRPr="00332AB5">
              <w:rPr>
                <w:rFonts w:asciiTheme="minorHAnsi" w:hAnsiTheme="minorHAnsi" w:cstheme="minorHAnsi"/>
                <w:sz w:val="16"/>
              </w:rPr>
              <w:t xml:space="preserve"> %</w:t>
            </w:r>
          </w:p>
        </w:tc>
        <w:tc>
          <w:tcPr>
            <w:tcW w:w="1089" w:type="dxa"/>
            <w:tcBorders>
              <w:bottom w:val="single" w:sz="4" w:space="0" w:color="808080" w:themeColor="background1" w:themeShade="80"/>
            </w:tcBorders>
            <w:vAlign w:val="center"/>
          </w:tcPr>
          <w:p w14:paraId="668DA318" w14:textId="77777777" w:rsidR="0075127C" w:rsidRPr="00332AB5" w:rsidRDefault="0075127C" w:rsidP="00275475">
            <w:pPr>
              <w:spacing w:after="60"/>
              <w:jc w:val="right"/>
              <w:rPr>
                <w:sz w:val="16"/>
                <w:szCs w:val="24"/>
              </w:rPr>
            </w:pPr>
            <w:r w:rsidRPr="00332AB5">
              <w:rPr>
                <w:rFonts w:asciiTheme="minorHAnsi" w:hAnsiTheme="minorHAnsi" w:cstheme="minorHAnsi"/>
                <w:sz w:val="16"/>
              </w:rPr>
              <w:t>Doznačena sredstva</w:t>
            </w:r>
          </w:p>
        </w:tc>
        <w:tc>
          <w:tcPr>
            <w:tcW w:w="635" w:type="dxa"/>
            <w:tcBorders>
              <w:bottom w:val="single" w:sz="4" w:space="0" w:color="808080" w:themeColor="background1" w:themeShade="80"/>
            </w:tcBorders>
            <w:vAlign w:val="center"/>
          </w:tcPr>
          <w:p w14:paraId="62B6CC9F" w14:textId="77777777" w:rsidR="0075127C" w:rsidRPr="00332AB5" w:rsidRDefault="0075127C" w:rsidP="00275475">
            <w:pPr>
              <w:spacing w:after="60"/>
              <w:jc w:val="right"/>
              <w:rPr>
                <w:sz w:val="16"/>
                <w:szCs w:val="24"/>
              </w:rPr>
            </w:pPr>
            <w:r w:rsidRPr="00332AB5">
              <w:rPr>
                <w:rFonts w:asciiTheme="minorHAnsi" w:hAnsiTheme="minorHAnsi" w:cstheme="minorHAnsi"/>
                <w:sz w:val="16"/>
              </w:rPr>
              <w:t xml:space="preserve"> %</w:t>
            </w:r>
          </w:p>
        </w:tc>
      </w:tr>
      <w:tr w:rsidR="0075127C" w:rsidRPr="00332AB5" w14:paraId="2044E38E" w14:textId="77777777" w:rsidTr="00FB3195">
        <w:trPr>
          <w:trHeight w:val="113"/>
        </w:trPr>
        <w:tc>
          <w:tcPr>
            <w:tcW w:w="1179" w:type="dxa"/>
            <w:vAlign w:val="center"/>
          </w:tcPr>
          <w:p w14:paraId="17D8D5FC" w14:textId="77777777" w:rsidR="0075127C" w:rsidRPr="00332AB5" w:rsidRDefault="0075127C" w:rsidP="00275475">
            <w:pPr>
              <w:rPr>
                <w:rFonts w:asciiTheme="minorHAnsi" w:hAnsiTheme="minorHAnsi" w:cstheme="minorHAnsi"/>
                <w:sz w:val="8"/>
                <w:szCs w:val="24"/>
              </w:rPr>
            </w:pPr>
          </w:p>
        </w:tc>
        <w:tc>
          <w:tcPr>
            <w:tcW w:w="998" w:type="dxa"/>
            <w:tcBorders>
              <w:top w:val="single" w:sz="4" w:space="0" w:color="808080" w:themeColor="background1" w:themeShade="80"/>
            </w:tcBorders>
            <w:vAlign w:val="center"/>
          </w:tcPr>
          <w:p w14:paraId="7495E249" w14:textId="77777777" w:rsidR="0075127C" w:rsidRPr="00332AB5" w:rsidRDefault="0075127C" w:rsidP="00275475">
            <w:pPr>
              <w:jc w:val="right"/>
              <w:rPr>
                <w:rFonts w:asciiTheme="minorHAnsi" w:hAnsiTheme="minorHAnsi" w:cstheme="minorHAnsi"/>
                <w:sz w:val="8"/>
                <w:szCs w:val="24"/>
              </w:rPr>
            </w:pPr>
          </w:p>
        </w:tc>
        <w:tc>
          <w:tcPr>
            <w:tcW w:w="1089" w:type="dxa"/>
            <w:tcBorders>
              <w:top w:val="single" w:sz="4" w:space="0" w:color="808080" w:themeColor="background1" w:themeShade="80"/>
            </w:tcBorders>
            <w:vAlign w:val="center"/>
          </w:tcPr>
          <w:p w14:paraId="3516FE23" w14:textId="77777777" w:rsidR="0075127C" w:rsidRPr="00332AB5" w:rsidRDefault="0075127C" w:rsidP="00275475">
            <w:pPr>
              <w:jc w:val="right"/>
              <w:rPr>
                <w:rFonts w:asciiTheme="minorHAnsi" w:hAnsiTheme="minorHAnsi" w:cstheme="minorHAnsi"/>
                <w:sz w:val="8"/>
                <w:szCs w:val="24"/>
              </w:rPr>
            </w:pPr>
          </w:p>
        </w:tc>
        <w:tc>
          <w:tcPr>
            <w:tcW w:w="987" w:type="dxa"/>
            <w:tcBorders>
              <w:top w:val="single" w:sz="4" w:space="0" w:color="808080" w:themeColor="background1" w:themeShade="80"/>
            </w:tcBorders>
            <w:vAlign w:val="center"/>
          </w:tcPr>
          <w:p w14:paraId="4E2042AE" w14:textId="77777777" w:rsidR="0075127C" w:rsidRPr="00332AB5" w:rsidRDefault="0075127C" w:rsidP="00275475">
            <w:pPr>
              <w:jc w:val="right"/>
              <w:rPr>
                <w:rFonts w:asciiTheme="minorHAnsi" w:hAnsiTheme="minorHAnsi" w:cstheme="minorHAnsi"/>
                <w:sz w:val="8"/>
                <w:szCs w:val="24"/>
              </w:rPr>
            </w:pPr>
          </w:p>
        </w:tc>
        <w:tc>
          <w:tcPr>
            <w:tcW w:w="879" w:type="dxa"/>
            <w:tcBorders>
              <w:top w:val="single" w:sz="4" w:space="0" w:color="808080" w:themeColor="background1" w:themeShade="80"/>
            </w:tcBorders>
            <w:vAlign w:val="center"/>
          </w:tcPr>
          <w:p w14:paraId="46AAEF5E" w14:textId="77777777" w:rsidR="0075127C" w:rsidRPr="00332AB5" w:rsidRDefault="0075127C" w:rsidP="00275475">
            <w:pPr>
              <w:jc w:val="right"/>
              <w:rPr>
                <w:rFonts w:asciiTheme="minorHAnsi" w:hAnsiTheme="minorHAnsi" w:cstheme="minorHAnsi"/>
                <w:sz w:val="8"/>
                <w:szCs w:val="24"/>
              </w:rPr>
            </w:pPr>
          </w:p>
        </w:tc>
        <w:tc>
          <w:tcPr>
            <w:tcW w:w="680" w:type="dxa"/>
            <w:tcBorders>
              <w:top w:val="single" w:sz="4" w:space="0" w:color="808080" w:themeColor="background1" w:themeShade="80"/>
            </w:tcBorders>
            <w:vAlign w:val="center"/>
          </w:tcPr>
          <w:p w14:paraId="26ADC10B" w14:textId="77777777" w:rsidR="0075127C" w:rsidRPr="00332AB5" w:rsidRDefault="0075127C" w:rsidP="00275475">
            <w:pPr>
              <w:jc w:val="right"/>
              <w:rPr>
                <w:rFonts w:asciiTheme="minorHAnsi" w:hAnsiTheme="minorHAnsi" w:cstheme="minorHAnsi"/>
                <w:sz w:val="8"/>
                <w:szCs w:val="24"/>
              </w:rPr>
            </w:pPr>
          </w:p>
        </w:tc>
        <w:tc>
          <w:tcPr>
            <w:tcW w:w="1044" w:type="dxa"/>
            <w:tcBorders>
              <w:top w:val="single" w:sz="4" w:space="0" w:color="808080" w:themeColor="background1" w:themeShade="80"/>
            </w:tcBorders>
            <w:vAlign w:val="center"/>
          </w:tcPr>
          <w:p w14:paraId="72D378F1" w14:textId="77777777" w:rsidR="0075127C" w:rsidRPr="00332AB5" w:rsidRDefault="0075127C" w:rsidP="00275475">
            <w:pPr>
              <w:jc w:val="right"/>
              <w:rPr>
                <w:rFonts w:asciiTheme="minorHAnsi" w:hAnsiTheme="minorHAnsi" w:cstheme="minorHAnsi"/>
                <w:sz w:val="8"/>
                <w:szCs w:val="24"/>
              </w:rPr>
            </w:pPr>
          </w:p>
        </w:tc>
        <w:tc>
          <w:tcPr>
            <w:tcW w:w="635" w:type="dxa"/>
            <w:tcBorders>
              <w:top w:val="single" w:sz="4" w:space="0" w:color="808080" w:themeColor="background1" w:themeShade="80"/>
            </w:tcBorders>
            <w:vAlign w:val="center"/>
          </w:tcPr>
          <w:p w14:paraId="35D3AD5D" w14:textId="77777777" w:rsidR="0075127C" w:rsidRPr="00332AB5" w:rsidRDefault="0075127C" w:rsidP="00275475">
            <w:pPr>
              <w:jc w:val="right"/>
              <w:rPr>
                <w:rFonts w:asciiTheme="minorHAnsi" w:hAnsiTheme="minorHAnsi" w:cstheme="minorHAnsi"/>
                <w:sz w:val="8"/>
                <w:szCs w:val="24"/>
              </w:rPr>
            </w:pPr>
          </w:p>
        </w:tc>
        <w:tc>
          <w:tcPr>
            <w:tcW w:w="1089" w:type="dxa"/>
            <w:tcBorders>
              <w:top w:val="single" w:sz="4" w:space="0" w:color="808080" w:themeColor="background1" w:themeShade="80"/>
            </w:tcBorders>
            <w:vAlign w:val="center"/>
          </w:tcPr>
          <w:p w14:paraId="14AE8D59" w14:textId="77777777" w:rsidR="0075127C" w:rsidRPr="00332AB5" w:rsidRDefault="0075127C" w:rsidP="00275475">
            <w:pPr>
              <w:jc w:val="right"/>
              <w:rPr>
                <w:rFonts w:asciiTheme="minorHAnsi" w:hAnsiTheme="minorHAnsi" w:cstheme="minorHAnsi"/>
                <w:sz w:val="8"/>
                <w:szCs w:val="24"/>
              </w:rPr>
            </w:pPr>
          </w:p>
        </w:tc>
        <w:tc>
          <w:tcPr>
            <w:tcW w:w="635" w:type="dxa"/>
            <w:tcBorders>
              <w:top w:val="single" w:sz="4" w:space="0" w:color="808080" w:themeColor="background1" w:themeShade="80"/>
            </w:tcBorders>
            <w:vAlign w:val="center"/>
          </w:tcPr>
          <w:p w14:paraId="07714A87" w14:textId="77777777" w:rsidR="0075127C" w:rsidRPr="00332AB5" w:rsidRDefault="0075127C" w:rsidP="00275475">
            <w:pPr>
              <w:jc w:val="right"/>
              <w:rPr>
                <w:rFonts w:asciiTheme="minorHAnsi" w:hAnsiTheme="minorHAnsi" w:cstheme="minorHAnsi"/>
                <w:sz w:val="8"/>
                <w:szCs w:val="24"/>
              </w:rPr>
            </w:pPr>
          </w:p>
        </w:tc>
      </w:tr>
      <w:tr w:rsidR="004756DC" w:rsidRPr="00332AB5" w14:paraId="162EB42A" w14:textId="77777777" w:rsidTr="004756DC">
        <w:trPr>
          <w:trHeight w:val="397"/>
        </w:trPr>
        <w:tc>
          <w:tcPr>
            <w:tcW w:w="1179" w:type="dxa"/>
            <w:vAlign w:val="center"/>
          </w:tcPr>
          <w:p w14:paraId="0DDA6F25" w14:textId="77777777" w:rsidR="004756DC" w:rsidRPr="00332AB5" w:rsidRDefault="004756DC" w:rsidP="004756DC">
            <w:pPr>
              <w:rPr>
                <w:rFonts w:asciiTheme="minorHAnsi" w:hAnsiTheme="minorHAnsi" w:cstheme="minorHAnsi"/>
                <w:sz w:val="18"/>
                <w:szCs w:val="18"/>
              </w:rPr>
            </w:pPr>
            <w:r w:rsidRPr="00332AB5">
              <w:rPr>
                <w:rFonts w:asciiTheme="minorHAnsi" w:hAnsiTheme="minorHAnsi" w:cstheme="minorHAnsi"/>
                <w:sz w:val="18"/>
                <w:szCs w:val="18"/>
              </w:rPr>
              <w:t>PO 11</w:t>
            </w:r>
          </w:p>
        </w:tc>
        <w:tc>
          <w:tcPr>
            <w:tcW w:w="998" w:type="dxa"/>
            <w:vAlign w:val="center"/>
          </w:tcPr>
          <w:p w14:paraId="0FE68688" w14:textId="12587B17" w:rsidR="004756DC" w:rsidRPr="00332AB5" w:rsidRDefault="004756DC" w:rsidP="004756DC">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132,56</w:t>
            </w:r>
          </w:p>
        </w:tc>
        <w:tc>
          <w:tcPr>
            <w:tcW w:w="1089" w:type="dxa"/>
            <w:vAlign w:val="center"/>
          </w:tcPr>
          <w:p w14:paraId="19C3C9B4" w14:textId="462775E4" w:rsidR="004756DC" w:rsidRPr="00332AB5" w:rsidRDefault="004756DC" w:rsidP="004756DC">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-2,31</w:t>
            </w:r>
          </w:p>
        </w:tc>
        <w:tc>
          <w:tcPr>
            <w:tcW w:w="987" w:type="dxa"/>
            <w:vAlign w:val="center"/>
          </w:tcPr>
          <w:p w14:paraId="071DBE02" w14:textId="1E6D16C4" w:rsidR="004756DC" w:rsidRPr="00332AB5" w:rsidRDefault="004756DC" w:rsidP="004756DC">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-1,74</w:t>
            </w:r>
          </w:p>
        </w:tc>
        <w:tc>
          <w:tcPr>
            <w:tcW w:w="879" w:type="dxa"/>
            <w:vAlign w:val="center"/>
          </w:tcPr>
          <w:p w14:paraId="1B0F0E5F" w14:textId="6491F230" w:rsidR="004756DC" w:rsidRPr="00332AB5" w:rsidRDefault="004756DC" w:rsidP="004756DC">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22,32</w:t>
            </w:r>
          </w:p>
        </w:tc>
        <w:tc>
          <w:tcPr>
            <w:tcW w:w="680" w:type="dxa"/>
            <w:vAlign w:val="center"/>
          </w:tcPr>
          <w:p w14:paraId="2BA71C78" w14:textId="62B4E448" w:rsidR="004756DC" w:rsidRPr="00332AB5" w:rsidRDefault="004756DC" w:rsidP="004756DC">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16,84</w:t>
            </w:r>
          </w:p>
        </w:tc>
        <w:tc>
          <w:tcPr>
            <w:tcW w:w="1044" w:type="dxa"/>
            <w:vAlign w:val="center"/>
          </w:tcPr>
          <w:p w14:paraId="44FBE5C9" w14:textId="229E29B4" w:rsidR="004756DC" w:rsidRPr="00332AB5" w:rsidRDefault="004756DC" w:rsidP="004756DC">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vAlign w:val="center"/>
          </w:tcPr>
          <w:p w14:paraId="0EAB20B8" w14:textId="0A19D6E7" w:rsidR="004756DC" w:rsidRPr="00332AB5" w:rsidRDefault="004756DC" w:rsidP="004756DC">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vAlign w:val="center"/>
          </w:tcPr>
          <w:p w14:paraId="5612FE5F" w14:textId="301C6B9A" w:rsidR="004756DC" w:rsidRPr="00332AB5" w:rsidRDefault="00D827A6" w:rsidP="004756DC">
            <w:pPr>
              <w:jc w:val="right"/>
              <w:rPr>
                <w:rFonts w:asciiTheme="minorHAnsi" w:hAnsiTheme="minorHAnsi" w:cstheme="minorHAnsi"/>
                <w:sz w:val="18"/>
                <w:szCs w:val="18"/>
              </w:rPr>
            </w:pPr>
            <w:r w:rsidRPr="00332AB5">
              <w:rPr>
                <w:rFonts w:asciiTheme="minorHAnsi" w:hAnsiTheme="minorHAnsi" w:cstheme="minorHAnsi"/>
                <w:sz w:val="18"/>
                <w:szCs w:val="18"/>
              </w:rPr>
              <w:t>2,65</w:t>
            </w:r>
          </w:p>
        </w:tc>
        <w:tc>
          <w:tcPr>
            <w:tcW w:w="635" w:type="dxa"/>
            <w:vAlign w:val="center"/>
          </w:tcPr>
          <w:p w14:paraId="31B55FF3" w14:textId="25875D33" w:rsidR="004756DC" w:rsidRPr="00332AB5" w:rsidRDefault="00D827A6" w:rsidP="004756DC">
            <w:pPr>
              <w:jc w:val="right"/>
              <w:rPr>
                <w:rFonts w:asciiTheme="minorHAnsi" w:hAnsiTheme="minorHAnsi" w:cstheme="minorHAnsi"/>
                <w:sz w:val="18"/>
                <w:szCs w:val="18"/>
              </w:rPr>
            </w:pPr>
            <w:r w:rsidRPr="00332AB5">
              <w:rPr>
                <w:rFonts w:asciiTheme="minorHAnsi" w:hAnsiTheme="minorHAnsi" w:cstheme="minorHAnsi"/>
                <w:sz w:val="18"/>
                <w:szCs w:val="18"/>
              </w:rPr>
              <w:t>2,00</w:t>
            </w:r>
          </w:p>
        </w:tc>
      </w:tr>
      <w:tr w:rsidR="004756DC" w:rsidRPr="00332AB5" w14:paraId="2B860458" w14:textId="77777777" w:rsidTr="004756DC">
        <w:trPr>
          <w:trHeight w:val="510"/>
        </w:trPr>
        <w:tc>
          <w:tcPr>
            <w:tcW w:w="1179" w:type="dxa"/>
            <w:vAlign w:val="center"/>
          </w:tcPr>
          <w:p w14:paraId="18C25C4B" w14:textId="295CC711" w:rsidR="004756DC" w:rsidRPr="00332AB5" w:rsidRDefault="004756DC" w:rsidP="004756DC">
            <w:pPr>
              <w:rPr>
                <w:rFonts w:asciiTheme="minorHAnsi" w:hAnsiTheme="minorHAnsi" w:cstheme="minorHAnsi"/>
                <w:sz w:val="18"/>
                <w:szCs w:val="24"/>
              </w:rPr>
            </w:pPr>
            <w:r w:rsidRPr="00332AB5">
              <w:rPr>
                <w:rFonts w:asciiTheme="minorHAnsi" w:hAnsiTheme="minorHAnsi" w:cstheme="minorHAnsi"/>
                <w:sz w:val="18"/>
              </w:rPr>
              <w:t>UKUPNO</w:t>
            </w:r>
          </w:p>
        </w:tc>
        <w:tc>
          <w:tcPr>
            <w:tcW w:w="998" w:type="dxa"/>
            <w:tcBorders>
              <w:top w:val="single" w:sz="4" w:space="0" w:color="808080" w:themeColor="background1" w:themeShade="80"/>
              <w:bottom w:val="single" w:sz="4" w:space="0" w:color="808080" w:themeColor="background1" w:themeShade="80"/>
            </w:tcBorders>
            <w:vAlign w:val="center"/>
          </w:tcPr>
          <w:p w14:paraId="735B6317" w14:textId="20C95E9E" w:rsidR="004756DC" w:rsidRPr="00332AB5" w:rsidRDefault="004756DC" w:rsidP="004756DC">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132,56</w:t>
            </w:r>
          </w:p>
        </w:tc>
        <w:tc>
          <w:tcPr>
            <w:tcW w:w="1089" w:type="dxa"/>
            <w:tcBorders>
              <w:top w:val="single" w:sz="4" w:space="0" w:color="808080" w:themeColor="background1" w:themeShade="80"/>
              <w:bottom w:val="single" w:sz="4" w:space="0" w:color="808080" w:themeColor="background1" w:themeShade="80"/>
            </w:tcBorders>
            <w:vAlign w:val="center"/>
          </w:tcPr>
          <w:p w14:paraId="13F54BE4" w14:textId="2FA18472" w:rsidR="004756DC" w:rsidRPr="00332AB5" w:rsidRDefault="004756DC" w:rsidP="004756DC">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-2,31</w:t>
            </w:r>
          </w:p>
        </w:tc>
        <w:tc>
          <w:tcPr>
            <w:tcW w:w="987" w:type="dxa"/>
            <w:tcBorders>
              <w:top w:val="single" w:sz="4" w:space="0" w:color="808080" w:themeColor="background1" w:themeShade="80"/>
              <w:bottom w:val="single" w:sz="4" w:space="0" w:color="808080" w:themeColor="background1" w:themeShade="80"/>
            </w:tcBorders>
            <w:vAlign w:val="center"/>
          </w:tcPr>
          <w:p w14:paraId="446D17E9" w14:textId="5A0F267B" w:rsidR="004756DC" w:rsidRPr="00332AB5" w:rsidRDefault="004756DC" w:rsidP="004756DC">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-1,74</w:t>
            </w:r>
          </w:p>
        </w:tc>
        <w:tc>
          <w:tcPr>
            <w:tcW w:w="879" w:type="dxa"/>
            <w:tcBorders>
              <w:top w:val="single" w:sz="4" w:space="0" w:color="808080" w:themeColor="background1" w:themeShade="80"/>
              <w:bottom w:val="single" w:sz="4" w:space="0" w:color="808080" w:themeColor="background1" w:themeShade="80"/>
            </w:tcBorders>
            <w:vAlign w:val="center"/>
          </w:tcPr>
          <w:p w14:paraId="283B1452" w14:textId="43D6F23F" w:rsidR="004756DC" w:rsidRPr="00332AB5" w:rsidRDefault="004756DC" w:rsidP="004756DC">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22,32</w:t>
            </w:r>
          </w:p>
        </w:tc>
        <w:tc>
          <w:tcPr>
            <w:tcW w:w="680" w:type="dxa"/>
            <w:tcBorders>
              <w:top w:val="single" w:sz="4" w:space="0" w:color="808080" w:themeColor="background1" w:themeShade="80"/>
              <w:bottom w:val="single" w:sz="4" w:space="0" w:color="808080" w:themeColor="background1" w:themeShade="80"/>
            </w:tcBorders>
            <w:vAlign w:val="center"/>
          </w:tcPr>
          <w:p w14:paraId="7D875CFC" w14:textId="50A67F43" w:rsidR="004756DC" w:rsidRPr="00332AB5" w:rsidRDefault="004756DC" w:rsidP="004756DC">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16,84</w:t>
            </w:r>
          </w:p>
        </w:tc>
        <w:tc>
          <w:tcPr>
            <w:tcW w:w="1044" w:type="dxa"/>
            <w:tcBorders>
              <w:top w:val="single" w:sz="4" w:space="0" w:color="808080" w:themeColor="background1" w:themeShade="80"/>
              <w:bottom w:val="single" w:sz="4" w:space="0" w:color="808080" w:themeColor="background1" w:themeShade="80"/>
            </w:tcBorders>
            <w:vAlign w:val="center"/>
          </w:tcPr>
          <w:p w14:paraId="4D072F86" w14:textId="42C8B444" w:rsidR="004756DC" w:rsidRPr="00332AB5" w:rsidRDefault="004756DC" w:rsidP="004756DC">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tcBorders>
              <w:top w:val="single" w:sz="4" w:space="0" w:color="808080" w:themeColor="background1" w:themeShade="80"/>
              <w:bottom w:val="single" w:sz="4" w:space="0" w:color="808080" w:themeColor="background1" w:themeShade="80"/>
            </w:tcBorders>
            <w:vAlign w:val="center"/>
          </w:tcPr>
          <w:p w14:paraId="27B70AD0" w14:textId="7E027F9B" w:rsidR="004756DC" w:rsidRPr="00332AB5" w:rsidRDefault="004756DC" w:rsidP="004756DC">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tcBorders>
              <w:top w:val="single" w:sz="4" w:space="0" w:color="808080" w:themeColor="background1" w:themeShade="80"/>
              <w:bottom w:val="single" w:sz="4" w:space="0" w:color="808080" w:themeColor="background1" w:themeShade="80"/>
            </w:tcBorders>
            <w:vAlign w:val="center"/>
          </w:tcPr>
          <w:p w14:paraId="34268CF4" w14:textId="329F2418" w:rsidR="004756DC" w:rsidRPr="00332AB5" w:rsidRDefault="00EC5551" w:rsidP="004756DC">
            <w:pPr>
              <w:jc w:val="right"/>
              <w:rPr>
                <w:rFonts w:asciiTheme="minorHAnsi" w:hAnsiTheme="minorHAnsi" w:cstheme="minorHAnsi"/>
                <w:sz w:val="18"/>
                <w:szCs w:val="18"/>
              </w:rPr>
            </w:pPr>
            <w:r w:rsidRPr="00332AB5">
              <w:rPr>
                <w:rFonts w:asciiTheme="minorHAnsi" w:hAnsiTheme="minorHAnsi" w:cstheme="minorHAnsi"/>
                <w:sz w:val="18"/>
                <w:szCs w:val="18"/>
              </w:rPr>
              <w:t>2,65</w:t>
            </w:r>
          </w:p>
        </w:tc>
        <w:tc>
          <w:tcPr>
            <w:tcW w:w="635" w:type="dxa"/>
            <w:tcBorders>
              <w:top w:val="single" w:sz="4" w:space="0" w:color="808080" w:themeColor="background1" w:themeShade="80"/>
              <w:bottom w:val="single" w:sz="4" w:space="0" w:color="808080" w:themeColor="background1" w:themeShade="80"/>
            </w:tcBorders>
            <w:vAlign w:val="center"/>
          </w:tcPr>
          <w:p w14:paraId="45FA39BE" w14:textId="79E529BD" w:rsidR="004756DC" w:rsidRPr="00332AB5" w:rsidRDefault="00EC5551" w:rsidP="004756DC">
            <w:pPr>
              <w:jc w:val="right"/>
              <w:rPr>
                <w:rFonts w:asciiTheme="minorHAnsi" w:hAnsiTheme="minorHAnsi" w:cstheme="minorHAnsi"/>
                <w:sz w:val="18"/>
                <w:szCs w:val="18"/>
              </w:rPr>
            </w:pPr>
            <w:r w:rsidRPr="00332AB5">
              <w:rPr>
                <w:rFonts w:asciiTheme="minorHAnsi" w:hAnsiTheme="minorHAnsi" w:cstheme="minorHAnsi"/>
                <w:sz w:val="18"/>
                <w:szCs w:val="18"/>
              </w:rPr>
              <w:t>2</w:t>
            </w:r>
            <w:r w:rsidR="004756DC" w:rsidRPr="00332AB5">
              <w:rPr>
                <w:rFonts w:asciiTheme="minorHAnsi" w:hAnsiTheme="minorHAnsi" w:cstheme="minorHAnsi"/>
                <w:sz w:val="18"/>
                <w:szCs w:val="18"/>
              </w:rPr>
              <w:t>,00</w:t>
            </w:r>
          </w:p>
        </w:tc>
      </w:tr>
    </w:tbl>
    <w:p w14:paraId="03B1D22F" w14:textId="77777777" w:rsidR="00281600" w:rsidRPr="00332AB5" w:rsidRDefault="00281600" w:rsidP="00281600">
      <w:pPr>
        <w:rPr>
          <w:b/>
          <w:bCs/>
        </w:rPr>
      </w:pPr>
    </w:p>
    <w:p w14:paraId="57D90D1F" w14:textId="3CC66CB8" w:rsidR="00281600" w:rsidRPr="00332AB5" w:rsidRDefault="00281600" w:rsidP="00402AAF">
      <w:pPr>
        <w:spacing w:before="120" w:after="120"/>
        <w:rPr>
          <w:b/>
          <w:bCs/>
        </w:rPr>
      </w:pPr>
      <w:bookmarkStart w:id="144" w:name="_Toc152595296"/>
      <w:r w:rsidRPr="00332AB5">
        <w:rPr>
          <w:b/>
          <w:bCs/>
        </w:rPr>
        <w:t xml:space="preserve">Tablica </w:t>
      </w:r>
      <w:r w:rsidRPr="00332AB5">
        <w:rPr>
          <w:b/>
          <w:bCs/>
        </w:rPr>
        <w:fldChar w:fldCharType="begin"/>
      </w:r>
      <w:r w:rsidRPr="00332AB5">
        <w:rPr>
          <w:b/>
          <w:bCs/>
        </w:rPr>
        <w:instrText xml:space="preserve"> SEQ Tablica \* ARABIC </w:instrText>
      </w:r>
      <w:r w:rsidRPr="00332AB5">
        <w:rPr>
          <w:b/>
          <w:bCs/>
        </w:rPr>
        <w:fldChar w:fldCharType="separate"/>
      </w:r>
      <w:r w:rsidR="005E6E46">
        <w:rPr>
          <w:b/>
          <w:bCs/>
          <w:noProof/>
        </w:rPr>
        <w:t>22</w:t>
      </w:r>
      <w:r w:rsidRPr="00332AB5">
        <w:rPr>
          <w:b/>
          <w:bCs/>
        </w:rPr>
        <w:fldChar w:fldCharType="end"/>
      </w:r>
      <w:r w:rsidRPr="00332AB5">
        <w:rPr>
          <w:b/>
          <w:bCs/>
        </w:rPr>
        <w:t xml:space="preserve">: Financijski pokazatelji statusa provedbe REACT-EU u sklopu Operativnog programa „Konkurentnost i kohezija“ </w:t>
      </w:r>
      <w:r w:rsidR="00EF7BBB" w:rsidRPr="00332AB5">
        <w:rPr>
          <w:b/>
          <w:bCs/>
        </w:rPr>
        <w:t xml:space="preserve">od početka provedbe do kraja izvještajnog razdoblja </w:t>
      </w:r>
      <w:r w:rsidR="0011067E" w:rsidRPr="00332AB5">
        <w:rPr>
          <w:b/>
          <w:bCs/>
        </w:rPr>
        <w:t>30. lipnja 2023.</w:t>
      </w:r>
      <w:r w:rsidR="00EF7BBB" w:rsidRPr="00332AB5">
        <w:rPr>
          <w:b/>
          <w:bCs/>
        </w:rPr>
        <w:t xml:space="preserve"> (sredstva EU, u milijunima eura i postocima od dodijeljenih sredstava)</w:t>
      </w:r>
      <w:bookmarkEnd w:id="144"/>
    </w:p>
    <w:tbl>
      <w:tblPr>
        <w:tblStyle w:val="TableGrid"/>
        <w:tblW w:w="9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987"/>
        <w:gridCol w:w="879"/>
        <w:gridCol w:w="635"/>
        <w:gridCol w:w="1089"/>
        <w:gridCol w:w="635"/>
        <w:gridCol w:w="1089"/>
        <w:gridCol w:w="635"/>
      </w:tblGrid>
      <w:tr w:rsidR="00281600" w:rsidRPr="00332AB5" w14:paraId="4F78DB60" w14:textId="77777777" w:rsidTr="0071329B">
        <w:trPr>
          <w:trHeight w:val="737"/>
        </w:trPr>
        <w:tc>
          <w:tcPr>
            <w:tcW w:w="1179" w:type="dxa"/>
            <w:vAlign w:val="center"/>
          </w:tcPr>
          <w:p w14:paraId="3CD93302" w14:textId="10D86536" w:rsidR="00281600" w:rsidRPr="00332AB5" w:rsidRDefault="00281600" w:rsidP="0071329B">
            <w:pPr>
              <w:spacing w:after="60"/>
              <w:rPr>
                <w:sz w:val="16"/>
                <w:szCs w:val="24"/>
              </w:rPr>
            </w:pPr>
            <w:r w:rsidRPr="00332AB5">
              <w:rPr>
                <w:rFonts w:asciiTheme="minorHAnsi" w:hAnsiTheme="minorHAnsi" w:cstheme="minorHAnsi"/>
                <w:sz w:val="16"/>
              </w:rPr>
              <w:t>Prioritetna os (PO)</w:t>
            </w:r>
          </w:p>
        </w:tc>
        <w:tc>
          <w:tcPr>
            <w:tcW w:w="998" w:type="dxa"/>
            <w:tcBorders>
              <w:bottom w:val="single" w:sz="4" w:space="0" w:color="808080" w:themeColor="background1" w:themeShade="80"/>
            </w:tcBorders>
            <w:vAlign w:val="center"/>
          </w:tcPr>
          <w:p w14:paraId="738697E9" w14:textId="77777777" w:rsidR="00281600" w:rsidRPr="00332AB5" w:rsidRDefault="00281600" w:rsidP="0071329B">
            <w:pPr>
              <w:spacing w:after="60"/>
              <w:jc w:val="right"/>
              <w:rPr>
                <w:sz w:val="16"/>
                <w:szCs w:val="24"/>
              </w:rPr>
            </w:pPr>
            <w:r w:rsidRPr="00332AB5">
              <w:rPr>
                <w:rFonts w:asciiTheme="minorHAnsi" w:hAnsiTheme="minorHAnsi" w:cstheme="minorHAnsi"/>
                <w:sz w:val="16"/>
              </w:rPr>
              <w:t>Dodijeljena sredstva</w:t>
            </w:r>
          </w:p>
        </w:tc>
        <w:tc>
          <w:tcPr>
            <w:tcW w:w="1089" w:type="dxa"/>
            <w:tcBorders>
              <w:bottom w:val="single" w:sz="4" w:space="0" w:color="808080" w:themeColor="background1" w:themeShade="80"/>
            </w:tcBorders>
            <w:vAlign w:val="center"/>
          </w:tcPr>
          <w:p w14:paraId="0D7EAABA" w14:textId="77777777" w:rsidR="00281600" w:rsidRPr="00332AB5" w:rsidRDefault="00281600" w:rsidP="0071329B">
            <w:pPr>
              <w:spacing w:after="60"/>
              <w:jc w:val="right"/>
              <w:rPr>
                <w:sz w:val="16"/>
                <w:szCs w:val="24"/>
              </w:rPr>
            </w:pPr>
            <w:r w:rsidRPr="00332AB5">
              <w:rPr>
                <w:rFonts w:asciiTheme="minorHAnsi" w:hAnsiTheme="minorHAnsi" w:cstheme="minorHAnsi"/>
                <w:sz w:val="16"/>
              </w:rPr>
              <w:t>Ugovorena sredstva</w:t>
            </w:r>
          </w:p>
        </w:tc>
        <w:tc>
          <w:tcPr>
            <w:tcW w:w="987" w:type="dxa"/>
            <w:tcBorders>
              <w:bottom w:val="single" w:sz="4" w:space="0" w:color="808080" w:themeColor="background1" w:themeShade="80"/>
            </w:tcBorders>
            <w:vAlign w:val="center"/>
          </w:tcPr>
          <w:p w14:paraId="4F685665" w14:textId="77777777" w:rsidR="00281600" w:rsidRPr="00332AB5" w:rsidRDefault="00281600" w:rsidP="0071329B">
            <w:pPr>
              <w:spacing w:after="60"/>
              <w:jc w:val="right"/>
              <w:rPr>
                <w:sz w:val="16"/>
                <w:szCs w:val="24"/>
              </w:rPr>
            </w:pPr>
            <w:r w:rsidRPr="00332AB5">
              <w:rPr>
                <w:rFonts w:asciiTheme="minorHAnsi" w:hAnsiTheme="minorHAnsi" w:cstheme="minorHAnsi"/>
                <w:sz w:val="16"/>
              </w:rPr>
              <w:t xml:space="preserve"> %</w:t>
            </w:r>
          </w:p>
        </w:tc>
        <w:tc>
          <w:tcPr>
            <w:tcW w:w="879" w:type="dxa"/>
            <w:tcBorders>
              <w:bottom w:val="single" w:sz="4" w:space="0" w:color="808080" w:themeColor="background1" w:themeShade="80"/>
            </w:tcBorders>
            <w:vAlign w:val="center"/>
          </w:tcPr>
          <w:p w14:paraId="70C73CB3" w14:textId="77777777" w:rsidR="00281600" w:rsidRPr="00332AB5" w:rsidRDefault="00281600" w:rsidP="0071329B">
            <w:pPr>
              <w:spacing w:after="60"/>
              <w:jc w:val="right"/>
              <w:rPr>
                <w:sz w:val="16"/>
                <w:szCs w:val="24"/>
              </w:rPr>
            </w:pPr>
            <w:r w:rsidRPr="00332AB5">
              <w:rPr>
                <w:rFonts w:asciiTheme="minorHAnsi" w:hAnsiTheme="minorHAnsi" w:cstheme="minorHAnsi"/>
                <w:sz w:val="16"/>
              </w:rPr>
              <w:t>Plaćena sredstva</w:t>
            </w:r>
          </w:p>
        </w:tc>
        <w:tc>
          <w:tcPr>
            <w:tcW w:w="635" w:type="dxa"/>
            <w:tcBorders>
              <w:bottom w:val="single" w:sz="4" w:space="0" w:color="808080" w:themeColor="background1" w:themeShade="80"/>
            </w:tcBorders>
            <w:vAlign w:val="center"/>
          </w:tcPr>
          <w:p w14:paraId="2670A154" w14:textId="77777777" w:rsidR="00281600" w:rsidRPr="00332AB5" w:rsidRDefault="00281600" w:rsidP="0071329B">
            <w:pPr>
              <w:spacing w:after="60"/>
              <w:jc w:val="right"/>
              <w:rPr>
                <w:sz w:val="16"/>
                <w:szCs w:val="24"/>
              </w:rPr>
            </w:pPr>
            <w:r w:rsidRPr="00332AB5">
              <w:rPr>
                <w:rFonts w:asciiTheme="minorHAnsi" w:hAnsiTheme="minorHAnsi" w:cstheme="minorHAnsi"/>
                <w:sz w:val="16"/>
              </w:rPr>
              <w:t xml:space="preserve"> %</w:t>
            </w:r>
          </w:p>
        </w:tc>
        <w:tc>
          <w:tcPr>
            <w:tcW w:w="1089" w:type="dxa"/>
            <w:tcBorders>
              <w:bottom w:val="single" w:sz="4" w:space="0" w:color="808080" w:themeColor="background1" w:themeShade="80"/>
            </w:tcBorders>
            <w:vAlign w:val="center"/>
          </w:tcPr>
          <w:p w14:paraId="49E9E88F" w14:textId="77777777" w:rsidR="00281600" w:rsidRPr="00332AB5" w:rsidRDefault="00281600" w:rsidP="0071329B">
            <w:pPr>
              <w:spacing w:after="60"/>
              <w:jc w:val="right"/>
              <w:rPr>
                <w:sz w:val="16"/>
                <w:szCs w:val="24"/>
              </w:rPr>
            </w:pPr>
            <w:r w:rsidRPr="00332AB5">
              <w:rPr>
                <w:rFonts w:asciiTheme="minorHAnsi" w:hAnsiTheme="minorHAnsi" w:cstheme="minorHAnsi"/>
                <w:sz w:val="16"/>
              </w:rPr>
              <w:t>Ovjerena sredstva</w:t>
            </w:r>
          </w:p>
        </w:tc>
        <w:tc>
          <w:tcPr>
            <w:tcW w:w="635" w:type="dxa"/>
            <w:tcBorders>
              <w:bottom w:val="single" w:sz="4" w:space="0" w:color="808080" w:themeColor="background1" w:themeShade="80"/>
            </w:tcBorders>
            <w:vAlign w:val="center"/>
          </w:tcPr>
          <w:p w14:paraId="2D8B9602" w14:textId="77777777" w:rsidR="00281600" w:rsidRPr="00332AB5" w:rsidRDefault="00281600" w:rsidP="0071329B">
            <w:pPr>
              <w:spacing w:after="60"/>
              <w:jc w:val="right"/>
              <w:rPr>
                <w:sz w:val="16"/>
                <w:szCs w:val="24"/>
              </w:rPr>
            </w:pPr>
            <w:r w:rsidRPr="00332AB5">
              <w:rPr>
                <w:rFonts w:asciiTheme="minorHAnsi" w:hAnsiTheme="minorHAnsi" w:cstheme="minorHAnsi"/>
                <w:sz w:val="16"/>
              </w:rPr>
              <w:t xml:space="preserve"> %</w:t>
            </w:r>
          </w:p>
        </w:tc>
        <w:tc>
          <w:tcPr>
            <w:tcW w:w="1089" w:type="dxa"/>
            <w:tcBorders>
              <w:bottom w:val="single" w:sz="4" w:space="0" w:color="808080" w:themeColor="background1" w:themeShade="80"/>
            </w:tcBorders>
            <w:vAlign w:val="center"/>
          </w:tcPr>
          <w:p w14:paraId="5F069F52" w14:textId="77777777" w:rsidR="00281600" w:rsidRPr="00332AB5" w:rsidRDefault="00281600" w:rsidP="0071329B">
            <w:pPr>
              <w:spacing w:after="60"/>
              <w:jc w:val="right"/>
              <w:rPr>
                <w:sz w:val="16"/>
                <w:szCs w:val="24"/>
              </w:rPr>
            </w:pPr>
            <w:r w:rsidRPr="00332AB5">
              <w:rPr>
                <w:rFonts w:asciiTheme="minorHAnsi" w:hAnsiTheme="minorHAnsi" w:cstheme="minorHAnsi"/>
                <w:sz w:val="16"/>
              </w:rPr>
              <w:t>Doznačena sredstva</w:t>
            </w:r>
          </w:p>
        </w:tc>
        <w:tc>
          <w:tcPr>
            <w:tcW w:w="635" w:type="dxa"/>
            <w:tcBorders>
              <w:bottom w:val="single" w:sz="4" w:space="0" w:color="808080" w:themeColor="background1" w:themeShade="80"/>
            </w:tcBorders>
            <w:vAlign w:val="center"/>
          </w:tcPr>
          <w:p w14:paraId="1C1AE967" w14:textId="77777777" w:rsidR="00281600" w:rsidRPr="00332AB5" w:rsidRDefault="00281600" w:rsidP="0071329B">
            <w:pPr>
              <w:spacing w:after="60"/>
              <w:jc w:val="right"/>
              <w:rPr>
                <w:sz w:val="16"/>
                <w:szCs w:val="24"/>
              </w:rPr>
            </w:pPr>
            <w:r w:rsidRPr="00332AB5">
              <w:rPr>
                <w:rFonts w:asciiTheme="minorHAnsi" w:hAnsiTheme="minorHAnsi" w:cstheme="minorHAnsi"/>
                <w:sz w:val="16"/>
              </w:rPr>
              <w:t xml:space="preserve"> %</w:t>
            </w:r>
          </w:p>
        </w:tc>
      </w:tr>
      <w:tr w:rsidR="00281600" w:rsidRPr="00332AB5" w14:paraId="60CF66D4" w14:textId="77777777" w:rsidTr="0071329B">
        <w:trPr>
          <w:trHeight w:val="113"/>
        </w:trPr>
        <w:tc>
          <w:tcPr>
            <w:tcW w:w="1179" w:type="dxa"/>
            <w:vAlign w:val="center"/>
          </w:tcPr>
          <w:p w14:paraId="6A84CC3C" w14:textId="77777777" w:rsidR="00281600" w:rsidRPr="00332AB5" w:rsidRDefault="00281600" w:rsidP="0071329B">
            <w:pPr>
              <w:rPr>
                <w:rFonts w:asciiTheme="minorHAnsi" w:hAnsiTheme="minorHAnsi" w:cstheme="minorHAnsi"/>
                <w:sz w:val="8"/>
                <w:szCs w:val="24"/>
              </w:rPr>
            </w:pPr>
          </w:p>
        </w:tc>
        <w:tc>
          <w:tcPr>
            <w:tcW w:w="998" w:type="dxa"/>
            <w:tcBorders>
              <w:top w:val="single" w:sz="4" w:space="0" w:color="808080" w:themeColor="background1" w:themeShade="80"/>
            </w:tcBorders>
            <w:vAlign w:val="center"/>
          </w:tcPr>
          <w:p w14:paraId="039C1C40" w14:textId="77777777" w:rsidR="00281600" w:rsidRPr="00332AB5" w:rsidRDefault="00281600" w:rsidP="0071329B">
            <w:pPr>
              <w:jc w:val="right"/>
              <w:rPr>
                <w:rFonts w:asciiTheme="minorHAnsi" w:hAnsiTheme="minorHAnsi" w:cstheme="minorHAnsi"/>
                <w:sz w:val="8"/>
                <w:szCs w:val="24"/>
              </w:rPr>
            </w:pPr>
          </w:p>
        </w:tc>
        <w:tc>
          <w:tcPr>
            <w:tcW w:w="1089" w:type="dxa"/>
            <w:tcBorders>
              <w:top w:val="single" w:sz="4" w:space="0" w:color="808080" w:themeColor="background1" w:themeShade="80"/>
            </w:tcBorders>
            <w:vAlign w:val="center"/>
          </w:tcPr>
          <w:p w14:paraId="16F47FCB" w14:textId="77777777" w:rsidR="00281600" w:rsidRPr="00332AB5" w:rsidRDefault="00281600" w:rsidP="0071329B">
            <w:pPr>
              <w:jc w:val="right"/>
              <w:rPr>
                <w:rFonts w:asciiTheme="minorHAnsi" w:hAnsiTheme="minorHAnsi" w:cstheme="minorHAnsi"/>
                <w:sz w:val="8"/>
                <w:szCs w:val="24"/>
              </w:rPr>
            </w:pPr>
          </w:p>
        </w:tc>
        <w:tc>
          <w:tcPr>
            <w:tcW w:w="987" w:type="dxa"/>
            <w:tcBorders>
              <w:top w:val="single" w:sz="4" w:space="0" w:color="808080" w:themeColor="background1" w:themeShade="80"/>
            </w:tcBorders>
            <w:vAlign w:val="center"/>
          </w:tcPr>
          <w:p w14:paraId="3CD75F98" w14:textId="77777777" w:rsidR="00281600" w:rsidRPr="00332AB5" w:rsidRDefault="00281600" w:rsidP="0071329B">
            <w:pPr>
              <w:jc w:val="right"/>
              <w:rPr>
                <w:rFonts w:asciiTheme="minorHAnsi" w:hAnsiTheme="minorHAnsi" w:cstheme="minorHAnsi"/>
                <w:sz w:val="8"/>
                <w:szCs w:val="24"/>
              </w:rPr>
            </w:pPr>
          </w:p>
        </w:tc>
        <w:tc>
          <w:tcPr>
            <w:tcW w:w="879" w:type="dxa"/>
            <w:tcBorders>
              <w:top w:val="single" w:sz="4" w:space="0" w:color="808080" w:themeColor="background1" w:themeShade="80"/>
            </w:tcBorders>
            <w:vAlign w:val="center"/>
          </w:tcPr>
          <w:p w14:paraId="2D7B23AF" w14:textId="77777777" w:rsidR="00281600" w:rsidRPr="00332AB5" w:rsidRDefault="00281600" w:rsidP="0071329B">
            <w:pPr>
              <w:jc w:val="right"/>
              <w:rPr>
                <w:rFonts w:asciiTheme="minorHAnsi" w:hAnsiTheme="minorHAnsi" w:cstheme="minorHAnsi"/>
                <w:sz w:val="8"/>
                <w:szCs w:val="24"/>
              </w:rPr>
            </w:pPr>
          </w:p>
        </w:tc>
        <w:tc>
          <w:tcPr>
            <w:tcW w:w="635" w:type="dxa"/>
            <w:tcBorders>
              <w:top w:val="single" w:sz="4" w:space="0" w:color="808080" w:themeColor="background1" w:themeShade="80"/>
            </w:tcBorders>
            <w:vAlign w:val="center"/>
          </w:tcPr>
          <w:p w14:paraId="6814C5C4" w14:textId="77777777" w:rsidR="00281600" w:rsidRPr="00332AB5" w:rsidRDefault="00281600" w:rsidP="0071329B">
            <w:pPr>
              <w:jc w:val="right"/>
              <w:rPr>
                <w:rFonts w:asciiTheme="minorHAnsi" w:hAnsiTheme="minorHAnsi" w:cstheme="minorHAnsi"/>
                <w:sz w:val="8"/>
                <w:szCs w:val="24"/>
              </w:rPr>
            </w:pPr>
          </w:p>
        </w:tc>
        <w:tc>
          <w:tcPr>
            <w:tcW w:w="1089" w:type="dxa"/>
            <w:tcBorders>
              <w:top w:val="single" w:sz="4" w:space="0" w:color="808080" w:themeColor="background1" w:themeShade="80"/>
            </w:tcBorders>
            <w:vAlign w:val="center"/>
          </w:tcPr>
          <w:p w14:paraId="7FF3DE32" w14:textId="77777777" w:rsidR="00281600" w:rsidRPr="00332AB5" w:rsidRDefault="00281600" w:rsidP="0071329B">
            <w:pPr>
              <w:jc w:val="right"/>
              <w:rPr>
                <w:rFonts w:asciiTheme="minorHAnsi" w:hAnsiTheme="minorHAnsi" w:cstheme="minorHAnsi"/>
                <w:sz w:val="8"/>
                <w:szCs w:val="24"/>
              </w:rPr>
            </w:pPr>
          </w:p>
        </w:tc>
        <w:tc>
          <w:tcPr>
            <w:tcW w:w="635" w:type="dxa"/>
            <w:tcBorders>
              <w:top w:val="single" w:sz="4" w:space="0" w:color="808080" w:themeColor="background1" w:themeShade="80"/>
            </w:tcBorders>
            <w:vAlign w:val="center"/>
          </w:tcPr>
          <w:p w14:paraId="49A016E1" w14:textId="77777777" w:rsidR="00281600" w:rsidRPr="00332AB5" w:rsidRDefault="00281600" w:rsidP="0071329B">
            <w:pPr>
              <w:jc w:val="right"/>
              <w:rPr>
                <w:rFonts w:asciiTheme="minorHAnsi" w:hAnsiTheme="minorHAnsi" w:cstheme="minorHAnsi"/>
                <w:sz w:val="8"/>
                <w:szCs w:val="24"/>
              </w:rPr>
            </w:pPr>
          </w:p>
        </w:tc>
        <w:tc>
          <w:tcPr>
            <w:tcW w:w="1089" w:type="dxa"/>
            <w:tcBorders>
              <w:top w:val="single" w:sz="4" w:space="0" w:color="808080" w:themeColor="background1" w:themeShade="80"/>
            </w:tcBorders>
            <w:vAlign w:val="center"/>
          </w:tcPr>
          <w:p w14:paraId="1D9A932D" w14:textId="77777777" w:rsidR="00281600" w:rsidRPr="00332AB5" w:rsidRDefault="00281600" w:rsidP="0071329B">
            <w:pPr>
              <w:jc w:val="right"/>
              <w:rPr>
                <w:rFonts w:asciiTheme="minorHAnsi" w:hAnsiTheme="minorHAnsi" w:cstheme="minorHAnsi"/>
                <w:sz w:val="8"/>
                <w:szCs w:val="24"/>
              </w:rPr>
            </w:pPr>
          </w:p>
        </w:tc>
        <w:tc>
          <w:tcPr>
            <w:tcW w:w="635" w:type="dxa"/>
            <w:tcBorders>
              <w:top w:val="single" w:sz="4" w:space="0" w:color="808080" w:themeColor="background1" w:themeShade="80"/>
            </w:tcBorders>
            <w:vAlign w:val="center"/>
          </w:tcPr>
          <w:p w14:paraId="4E0CEC3B" w14:textId="77777777" w:rsidR="00281600" w:rsidRPr="00332AB5" w:rsidRDefault="00281600" w:rsidP="0071329B">
            <w:pPr>
              <w:jc w:val="right"/>
              <w:rPr>
                <w:rFonts w:asciiTheme="minorHAnsi" w:hAnsiTheme="minorHAnsi" w:cstheme="minorHAnsi"/>
                <w:sz w:val="8"/>
                <w:szCs w:val="24"/>
              </w:rPr>
            </w:pPr>
          </w:p>
        </w:tc>
      </w:tr>
      <w:tr w:rsidR="004756DC" w:rsidRPr="00332AB5" w14:paraId="06410914" w14:textId="77777777" w:rsidTr="004756DC">
        <w:trPr>
          <w:trHeight w:val="397"/>
        </w:trPr>
        <w:tc>
          <w:tcPr>
            <w:tcW w:w="1179" w:type="dxa"/>
            <w:vAlign w:val="center"/>
          </w:tcPr>
          <w:p w14:paraId="0FA8B33A" w14:textId="77777777" w:rsidR="004756DC" w:rsidRPr="00332AB5" w:rsidRDefault="004756DC" w:rsidP="004756DC">
            <w:pPr>
              <w:rPr>
                <w:rFonts w:asciiTheme="minorHAnsi" w:hAnsiTheme="minorHAnsi" w:cstheme="minorHAnsi"/>
                <w:sz w:val="18"/>
                <w:szCs w:val="18"/>
              </w:rPr>
            </w:pPr>
            <w:r w:rsidRPr="00332AB5">
              <w:rPr>
                <w:rFonts w:asciiTheme="minorHAnsi" w:hAnsiTheme="minorHAnsi" w:cstheme="minorHAnsi"/>
                <w:sz w:val="18"/>
                <w:szCs w:val="18"/>
              </w:rPr>
              <w:t>PO 11</w:t>
            </w:r>
          </w:p>
        </w:tc>
        <w:tc>
          <w:tcPr>
            <w:tcW w:w="998" w:type="dxa"/>
            <w:vAlign w:val="center"/>
          </w:tcPr>
          <w:p w14:paraId="55F0743D" w14:textId="230B2128" w:rsidR="004756DC" w:rsidRPr="00332AB5" w:rsidRDefault="004756DC" w:rsidP="004756DC">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132,56</w:t>
            </w:r>
          </w:p>
        </w:tc>
        <w:tc>
          <w:tcPr>
            <w:tcW w:w="1089" w:type="dxa"/>
            <w:vAlign w:val="center"/>
          </w:tcPr>
          <w:p w14:paraId="04A81C89" w14:textId="520BF3F6" w:rsidR="004756DC" w:rsidRPr="00332AB5" w:rsidRDefault="004756DC" w:rsidP="004756DC">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125,21</w:t>
            </w:r>
          </w:p>
        </w:tc>
        <w:tc>
          <w:tcPr>
            <w:tcW w:w="987" w:type="dxa"/>
            <w:vAlign w:val="center"/>
          </w:tcPr>
          <w:p w14:paraId="405B551D" w14:textId="40A2A8DC" w:rsidR="004756DC" w:rsidRPr="00332AB5" w:rsidRDefault="004756DC" w:rsidP="004756DC">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94,45</w:t>
            </w:r>
          </w:p>
        </w:tc>
        <w:tc>
          <w:tcPr>
            <w:tcW w:w="879" w:type="dxa"/>
            <w:vAlign w:val="center"/>
          </w:tcPr>
          <w:p w14:paraId="0ADD0CDC" w14:textId="6BB9BBD5" w:rsidR="004756DC" w:rsidRPr="00332AB5" w:rsidRDefault="004756DC" w:rsidP="004756DC">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73,61</w:t>
            </w:r>
          </w:p>
        </w:tc>
        <w:tc>
          <w:tcPr>
            <w:tcW w:w="635" w:type="dxa"/>
            <w:vAlign w:val="center"/>
          </w:tcPr>
          <w:p w14:paraId="5D4306CC" w14:textId="66FADAA4" w:rsidR="004756DC" w:rsidRPr="00332AB5" w:rsidRDefault="004756DC" w:rsidP="004756DC">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55,53</w:t>
            </w:r>
          </w:p>
        </w:tc>
        <w:tc>
          <w:tcPr>
            <w:tcW w:w="1089" w:type="dxa"/>
            <w:vAlign w:val="center"/>
          </w:tcPr>
          <w:p w14:paraId="6F68A6C2" w14:textId="77777777" w:rsidR="004756DC" w:rsidRPr="00332AB5" w:rsidRDefault="004756DC" w:rsidP="004756DC">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 </w:t>
            </w:r>
          </w:p>
        </w:tc>
        <w:tc>
          <w:tcPr>
            <w:tcW w:w="635" w:type="dxa"/>
            <w:vAlign w:val="center"/>
          </w:tcPr>
          <w:p w14:paraId="1CD25AD6" w14:textId="77777777" w:rsidR="004756DC" w:rsidRPr="00332AB5" w:rsidRDefault="004756DC" w:rsidP="004756DC">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vAlign w:val="center"/>
          </w:tcPr>
          <w:p w14:paraId="4CF38F0B" w14:textId="687C024B" w:rsidR="004756DC" w:rsidRPr="00332AB5" w:rsidRDefault="00D44013" w:rsidP="004756DC">
            <w:pPr>
              <w:jc w:val="right"/>
              <w:rPr>
                <w:rFonts w:asciiTheme="minorHAnsi" w:hAnsiTheme="minorHAnsi" w:cstheme="minorHAnsi"/>
                <w:sz w:val="18"/>
                <w:szCs w:val="18"/>
              </w:rPr>
            </w:pPr>
            <w:r w:rsidRPr="00332AB5">
              <w:rPr>
                <w:rFonts w:asciiTheme="minorHAnsi" w:hAnsiTheme="minorHAnsi" w:cstheme="minorHAnsi"/>
                <w:sz w:val="18"/>
                <w:szCs w:val="18"/>
              </w:rPr>
              <w:t>8,64</w:t>
            </w:r>
          </w:p>
        </w:tc>
        <w:tc>
          <w:tcPr>
            <w:tcW w:w="635" w:type="dxa"/>
            <w:vAlign w:val="center"/>
          </w:tcPr>
          <w:p w14:paraId="36C387E4" w14:textId="42C23166" w:rsidR="004756DC" w:rsidRPr="00332AB5" w:rsidRDefault="00D44013" w:rsidP="004756DC">
            <w:pPr>
              <w:jc w:val="right"/>
              <w:rPr>
                <w:rFonts w:asciiTheme="minorHAnsi" w:hAnsiTheme="minorHAnsi" w:cstheme="minorHAnsi"/>
                <w:sz w:val="18"/>
                <w:szCs w:val="18"/>
              </w:rPr>
            </w:pPr>
            <w:r w:rsidRPr="00332AB5">
              <w:rPr>
                <w:rFonts w:asciiTheme="minorHAnsi" w:hAnsiTheme="minorHAnsi" w:cstheme="minorHAnsi"/>
                <w:sz w:val="18"/>
                <w:szCs w:val="18"/>
              </w:rPr>
              <w:t>6,5</w:t>
            </w:r>
            <w:r w:rsidR="00D827A6" w:rsidRPr="00332AB5">
              <w:rPr>
                <w:rFonts w:asciiTheme="minorHAnsi" w:hAnsiTheme="minorHAnsi" w:cstheme="minorHAnsi"/>
                <w:sz w:val="18"/>
                <w:szCs w:val="18"/>
              </w:rPr>
              <w:t>2</w:t>
            </w:r>
          </w:p>
        </w:tc>
      </w:tr>
      <w:tr w:rsidR="004756DC" w:rsidRPr="00332AB5" w14:paraId="5599A9F5" w14:textId="77777777" w:rsidTr="004756DC">
        <w:trPr>
          <w:trHeight w:val="510"/>
        </w:trPr>
        <w:tc>
          <w:tcPr>
            <w:tcW w:w="1179" w:type="dxa"/>
            <w:vAlign w:val="center"/>
          </w:tcPr>
          <w:p w14:paraId="0805F02D" w14:textId="77777777" w:rsidR="004756DC" w:rsidRPr="00332AB5" w:rsidRDefault="004756DC" w:rsidP="004756DC">
            <w:pPr>
              <w:rPr>
                <w:rFonts w:asciiTheme="minorHAnsi" w:hAnsiTheme="minorHAnsi" w:cstheme="minorHAnsi"/>
                <w:sz w:val="18"/>
                <w:szCs w:val="24"/>
              </w:rPr>
            </w:pPr>
            <w:r w:rsidRPr="00332AB5">
              <w:rPr>
                <w:rFonts w:asciiTheme="minorHAnsi" w:hAnsiTheme="minorHAnsi" w:cstheme="minorHAnsi"/>
                <w:sz w:val="18"/>
              </w:rPr>
              <w:t>UKUPNO</w:t>
            </w:r>
          </w:p>
        </w:tc>
        <w:tc>
          <w:tcPr>
            <w:tcW w:w="998" w:type="dxa"/>
            <w:tcBorders>
              <w:top w:val="single" w:sz="4" w:space="0" w:color="808080" w:themeColor="background1" w:themeShade="80"/>
              <w:bottom w:val="single" w:sz="4" w:space="0" w:color="808080" w:themeColor="background1" w:themeShade="80"/>
            </w:tcBorders>
            <w:vAlign w:val="center"/>
          </w:tcPr>
          <w:p w14:paraId="66DBB2C1" w14:textId="1D02C5EF" w:rsidR="004756DC" w:rsidRPr="00332AB5" w:rsidRDefault="004756DC" w:rsidP="004756DC">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132,56</w:t>
            </w:r>
          </w:p>
        </w:tc>
        <w:tc>
          <w:tcPr>
            <w:tcW w:w="1089" w:type="dxa"/>
            <w:tcBorders>
              <w:top w:val="single" w:sz="4" w:space="0" w:color="808080" w:themeColor="background1" w:themeShade="80"/>
              <w:bottom w:val="single" w:sz="4" w:space="0" w:color="808080" w:themeColor="background1" w:themeShade="80"/>
            </w:tcBorders>
            <w:vAlign w:val="center"/>
          </w:tcPr>
          <w:p w14:paraId="15659019" w14:textId="22ADE727" w:rsidR="004756DC" w:rsidRPr="00332AB5" w:rsidRDefault="004756DC" w:rsidP="004756DC">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125,21</w:t>
            </w:r>
          </w:p>
        </w:tc>
        <w:tc>
          <w:tcPr>
            <w:tcW w:w="987" w:type="dxa"/>
            <w:tcBorders>
              <w:top w:val="single" w:sz="4" w:space="0" w:color="808080" w:themeColor="background1" w:themeShade="80"/>
              <w:bottom w:val="single" w:sz="4" w:space="0" w:color="808080" w:themeColor="background1" w:themeShade="80"/>
            </w:tcBorders>
            <w:vAlign w:val="center"/>
          </w:tcPr>
          <w:p w14:paraId="7455DDD4" w14:textId="3B34CD40" w:rsidR="004756DC" w:rsidRPr="00332AB5" w:rsidRDefault="004756DC" w:rsidP="004756DC">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94,45</w:t>
            </w:r>
          </w:p>
        </w:tc>
        <w:tc>
          <w:tcPr>
            <w:tcW w:w="879" w:type="dxa"/>
            <w:tcBorders>
              <w:top w:val="single" w:sz="4" w:space="0" w:color="808080" w:themeColor="background1" w:themeShade="80"/>
              <w:bottom w:val="single" w:sz="4" w:space="0" w:color="808080" w:themeColor="background1" w:themeShade="80"/>
            </w:tcBorders>
            <w:vAlign w:val="center"/>
          </w:tcPr>
          <w:p w14:paraId="1D2C0A8D" w14:textId="0EFD905E" w:rsidR="004756DC" w:rsidRPr="00332AB5" w:rsidRDefault="004756DC" w:rsidP="004756DC">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73,61</w:t>
            </w:r>
          </w:p>
        </w:tc>
        <w:tc>
          <w:tcPr>
            <w:tcW w:w="635" w:type="dxa"/>
            <w:tcBorders>
              <w:top w:val="single" w:sz="4" w:space="0" w:color="808080" w:themeColor="background1" w:themeShade="80"/>
              <w:bottom w:val="single" w:sz="4" w:space="0" w:color="808080" w:themeColor="background1" w:themeShade="80"/>
            </w:tcBorders>
            <w:vAlign w:val="center"/>
          </w:tcPr>
          <w:p w14:paraId="3D9D7281" w14:textId="70FAF7A1" w:rsidR="004756DC" w:rsidRPr="00332AB5" w:rsidRDefault="004756DC" w:rsidP="004756DC">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55,53</w:t>
            </w:r>
          </w:p>
        </w:tc>
        <w:tc>
          <w:tcPr>
            <w:tcW w:w="1089" w:type="dxa"/>
            <w:tcBorders>
              <w:top w:val="single" w:sz="4" w:space="0" w:color="808080" w:themeColor="background1" w:themeShade="80"/>
              <w:bottom w:val="single" w:sz="4" w:space="0" w:color="808080" w:themeColor="background1" w:themeShade="80"/>
            </w:tcBorders>
            <w:vAlign w:val="center"/>
          </w:tcPr>
          <w:p w14:paraId="5C3E89F1" w14:textId="77777777" w:rsidR="004756DC" w:rsidRPr="00332AB5" w:rsidRDefault="004756DC" w:rsidP="004756DC">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tcBorders>
              <w:top w:val="single" w:sz="4" w:space="0" w:color="808080" w:themeColor="background1" w:themeShade="80"/>
              <w:bottom w:val="single" w:sz="4" w:space="0" w:color="808080" w:themeColor="background1" w:themeShade="80"/>
            </w:tcBorders>
            <w:vAlign w:val="center"/>
          </w:tcPr>
          <w:p w14:paraId="663EBC8A" w14:textId="77777777" w:rsidR="004756DC" w:rsidRPr="00332AB5" w:rsidRDefault="004756DC" w:rsidP="004756DC">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tcBorders>
              <w:top w:val="single" w:sz="4" w:space="0" w:color="808080" w:themeColor="background1" w:themeShade="80"/>
              <w:bottom w:val="single" w:sz="4" w:space="0" w:color="808080" w:themeColor="background1" w:themeShade="80"/>
            </w:tcBorders>
            <w:vAlign w:val="center"/>
          </w:tcPr>
          <w:p w14:paraId="0FD3D9BF" w14:textId="4C740E71" w:rsidR="004756DC" w:rsidRPr="00332AB5" w:rsidRDefault="00D44013" w:rsidP="004756DC">
            <w:pPr>
              <w:jc w:val="right"/>
              <w:rPr>
                <w:rFonts w:asciiTheme="minorHAnsi" w:hAnsiTheme="minorHAnsi" w:cstheme="minorHAnsi"/>
                <w:sz w:val="18"/>
                <w:szCs w:val="18"/>
              </w:rPr>
            </w:pPr>
            <w:r w:rsidRPr="00332AB5">
              <w:rPr>
                <w:rFonts w:asciiTheme="minorHAnsi" w:hAnsiTheme="minorHAnsi" w:cstheme="minorHAnsi"/>
                <w:sz w:val="18"/>
                <w:szCs w:val="18"/>
              </w:rPr>
              <w:t>8,64</w:t>
            </w:r>
          </w:p>
        </w:tc>
        <w:tc>
          <w:tcPr>
            <w:tcW w:w="635" w:type="dxa"/>
            <w:tcBorders>
              <w:top w:val="single" w:sz="4" w:space="0" w:color="808080" w:themeColor="background1" w:themeShade="80"/>
              <w:bottom w:val="single" w:sz="4" w:space="0" w:color="808080" w:themeColor="background1" w:themeShade="80"/>
            </w:tcBorders>
            <w:vAlign w:val="center"/>
          </w:tcPr>
          <w:p w14:paraId="4D551F2C" w14:textId="76EE2ED2" w:rsidR="004756DC" w:rsidRPr="00332AB5" w:rsidRDefault="00D44013" w:rsidP="004756DC">
            <w:pPr>
              <w:jc w:val="right"/>
              <w:rPr>
                <w:rFonts w:asciiTheme="minorHAnsi" w:hAnsiTheme="minorHAnsi" w:cstheme="minorHAnsi"/>
                <w:sz w:val="18"/>
                <w:szCs w:val="18"/>
              </w:rPr>
            </w:pPr>
            <w:r w:rsidRPr="00332AB5">
              <w:rPr>
                <w:rFonts w:asciiTheme="minorHAnsi" w:hAnsiTheme="minorHAnsi" w:cstheme="minorHAnsi"/>
                <w:sz w:val="18"/>
                <w:szCs w:val="18"/>
              </w:rPr>
              <w:t>6,5</w:t>
            </w:r>
            <w:r w:rsidR="00D827A6" w:rsidRPr="00332AB5">
              <w:rPr>
                <w:rFonts w:asciiTheme="minorHAnsi" w:hAnsiTheme="minorHAnsi" w:cstheme="minorHAnsi"/>
                <w:sz w:val="18"/>
                <w:szCs w:val="18"/>
              </w:rPr>
              <w:t>2</w:t>
            </w:r>
          </w:p>
        </w:tc>
      </w:tr>
    </w:tbl>
    <w:p w14:paraId="031A0715" w14:textId="77777777" w:rsidR="00281600" w:rsidRPr="00332AB5" w:rsidRDefault="00281600" w:rsidP="00281600"/>
    <w:p w14:paraId="713DC3FE" w14:textId="4174D15D" w:rsidR="002B13A7" w:rsidRPr="00332AB5" w:rsidRDefault="002B13A7" w:rsidP="00A56FD4">
      <w:pPr>
        <w:keepNext/>
        <w:numPr>
          <w:ilvl w:val="2"/>
          <w:numId w:val="3"/>
        </w:numPr>
        <w:spacing w:before="240" w:after="240"/>
        <w:outlineLvl w:val="2"/>
        <w:rPr>
          <w:sz w:val="24"/>
          <w:szCs w:val="26"/>
        </w:rPr>
      </w:pPr>
      <w:bookmarkStart w:id="145" w:name="_Toc152595243"/>
      <w:r w:rsidRPr="00332AB5">
        <w:rPr>
          <w:sz w:val="24"/>
          <w:szCs w:val="26"/>
        </w:rPr>
        <w:t>OPERATIVNI PROGRAM „UČINKOVITI LJUDSKI POTENCIJALI“</w:t>
      </w:r>
      <w:bookmarkEnd w:id="145"/>
    </w:p>
    <w:p w14:paraId="040D3682" w14:textId="77777777" w:rsidR="00C66A23" w:rsidRPr="00332AB5" w:rsidRDefault="00C66A23" w:rsidP="00C66A23">
      <w:pPr>
        <w:spacing w:before="120" w:after="120"/>
        <w:jc w:val="both"/>
        <w:rPr>
          <w:sz w:val="24"/>
          <w:szCs w:val="24"/>
        </w:rPr>
      </w:pPr>
      <w:bookmarkStart w:id="146" w:name="_Hlk97213024"/>
      <w:bookmarkStart w:id="147" w:name="_Hlk98940140"/>
      <w:r w:rsidRPr="00332AB5">
        <w:rPr>
          <w:sz w:val="24"/>
          <w:szCs w:val="24"/>
        </w:rPr>
        <w:t>Izmjenom OPULJP-a u 2021. godini dodana je Prioritetna os 6 „Sanacija krize u kontekstu pandemije bolesti COVID-19 i priprema zelenog, digitalnog i otpornog gospodarskog oporavka“ s alociranih 530 milijuna eura REACT-EU sredstava za očuvanje radnih mjesta u razdoblju pandemijske krize.</w:t>
      </w:r>
    </w:p>
    <w:p w14:paraId="37E27E3A" w14:textId="06981FBD" w:rsidR="00B11AEC" w:rsidRPr="00332AB5" w:rsidRDefault="00187F3F" w:rsidP="00C66A23">
      <w:pPr>
        <w:spacing w:before="120" w:after="120"/>
        <w:jc w:val="both"/>
        <w:rPr>
          <w:sz w:val="24"/>
          <w:szCs w:val="24"/>
        </w:rPr>
      </w:pPr>
      <w:r w:rsidRPr="00332AB5">
        <w:rPr>
          <w:sz w:val="24"/>
          <w:szCs w:val="24"/>
        </w:rPr>
        <w:t xml:space="preserve">U izvještajnom razdoblju u okviru </w:t>
      </w:r>
      <w:r w:rsidR="0019006C" w:rsidRPr="00332AB5">
        <w:rPr>
          <w:sz w:val="24"/>
          <w:szCs w:val="24"/>
        </w:rPr>
        <w:t>P</w:t>
      </w:r>
      <w:r w:rsidRPr="00332AB5">
        <w:rPr>
          <w:sz w:val="24"/>
          <w:szCs w:val="24"/>
        </w:rPr>
        <w:t>rioritetne osi 6 Poticanje sanacije krize u kontekstu pandemije COVID-19 Hrvatskom zavodu za zapošljavanje upućen je poziv za izravnu dodjelu bespovratnih sredstava</w:t>
      </w:r>
      <w:r w:rsidR="004F4F34" w:rsidRPr="00332AB5">
        <w:rPr>
          <w:sz w:val="24"/>
          <w:szCs w:val="24"/>
        </w:rPr>
        <w:t xml:space="preserve"> za poziv</w:t>
      </w:r>
      <w:r w:rsidRPr="00332AB5">
        <w:rPr>
          <w:sz w:val="24"/>
          <w:szCs w:val="24"/>
        </w:rPr>
        <w:t xml:space="preserve"> Ublažavanje socio-ekonomskih posljedica pandemije koronavirusa očuvanjem radnih mjesta ukupne vrijednosti 560 milijuna eura.</w:t>
      </w:r>
      <w:r w:rsidR="00B11AEC" w:rsidRPr="00332AB5">
        <w:rPr>
          <w:sz w:val="24"/>
          <w:szCs w:val="24"/>
        </w:rPr>
        <w:t xml:space="preserve"> Sredstva za provedbu aktivnosti operacije isplaćena su tijekom 2020., 2021. i početkom 2022. godine kroz mjeru „Očuvanje radnih mjesta“.</w:t>
      </w:r>
    </w:p>
    <w:p w14:paraId="76CCFCD8" w14:textId="79D9E992" w:rsidR="00C66A23" w:rsidRPr="00332AB5" w:rsidRDefault="00C66A23" w:rsidP="00C66A23">
      <w:pPr>
        <w:spacing w:before="120" w:after="120"/>
        <w:jc w:val="both"/>
        <w:rPr>
          <w:sz w:val="24"/>
          <w:szCs w:val="24"/>
        </w:rPr>
      </w:pPr>
      <w:r w:rsidRPr="00332AB5">
        <w:rPr>
          <w:sz w:val="24"/>
          <w:szCs w:val="24"/>
        </w:rPr>
        <w:t>Tijekom izvještajnog razdoblja odvijale su se aktivnosti koje su pretpostavka za ovjeravanje sredstava prema Europskoj komisiji. Konačni rok za završetak programa i ovjeravanje svih ESF i REACT-EU sredstava je kraj 2023. godine.</w:t>
      </w:r>
    </w:p>
    <w:p w14:paraId="51B5C0F7" w14:textId="04C10D0A" w:rsidR="00C66A23" w:rsidRPr="00332AB5" w:rsidRDefault="00D46BC6" w:rsidP="00C66A23">
      <w:pPr>
        <w:spacing w:before="120" w:after="120"/>
        <w:jc w:val="both"/>
        <w:rPr>
          <w:sz w:val="24"/>
          <w:szCs w:val="24"/>
        </w:rPr>
      </w:pPr>
      <w:r w:rsidRPr="00332AB5">
        <w:rPr>
          <w:sz w:val="24"/>
          <w:szCs w:val="24"/>
        </w:rPr>
        <w:t xml:space="preserve">Ukupna plaćanja prema korisnicima izvršena su u iznosu od 560,00 milijuna eura (sredstva EU). U izvještajnom razdoblju korisnicima je plaćeno 560,00 milijuna eura (sredstva EU). </w:t>
      </w:r>
      <w:r w:rsidR="00C66A23" w:rsidRPr="00332AB5">
        <w:rPr>
          <w:sz w:val="24"/>
          <w:szCs w:val="24"/>
        </w:rPr>
        <w:t>Ukupno je do 30. lipnja 2023. doznačeno 90,10 milijuna eura, a u izvještajnom razdoblju</w:t>
      </w:r>
      <w:r w:rsidR="005440D5" w:rsidRPr="00332AB5">
        <w:rPr>
          <w:sz w:val="24"/>
          <w:szCs w:val="24"/>
        </w:rPr>
        <w:t xml:space="preserve"> nije bilo</w:t>
      </w:r>
      <w:r w:rsidR="00C66A23" w:rsidRPr="00332AB5">
        <w:rPr>
          <w:sz w:val="24"/>
          <w:szCs w:val="24"/>
        </w:rPr>
        <w:t xml:space="preserve"> </w:t>
      </w:r>
      <w:r w:rsidR="005440D5" w:rsidRPr="00332AB5">
        <w:rPr>
          <w:sz w:val="24"/>
          <w:szCs w:val="24"/>
        </w:rPr>
        <w:t>doznačenih sredstava.</w:t>
      </w:r>
    </w:p>
    <w:p w14:paraId="4EA02641" w14:textId="77777777" w:rsidR="00D46BC6" w:rsidRPr="00332AB5" w:rsidRDefault="00D46BC6">
      <w:pPr>
        <w:rPr>
          <w:b/>
          <w:bCs/>
        </w:rPr>
      </w:pPr>
      <w:r w:rsidRPr="00332AB5">
        <w:rPr>
          <w:b/>
          <w:bCs/>
        </w:rPr>
        <w:br w:type="page"/>
      </w:r>
    </w:p>
    <w:p w14:paraId="79839E26" w14:textId="68AC72DA" w:rsidR="002257A4" w:rsidRPr="00332AB5" w:rsidRDefault="002257A4" w:rsidP="00C66A23">
      <w:pPr>
        <w:spacing w:before="120" w:after="120"/>
        <w:rPr>
          <w:b/>
          <w:bCs/>
        </w:rPr>
      </w:pPr>
      <w:bookmarkStart w:id="148" w:name="_Toc152595297"/>
      <w:r w:rsidRPr="00332AB5">
        <w:rPr>
          <w:b/>
          <w:bCs/>
        </w:rPr>
        <w:t xml:space="preserve">Tablica </w:t>
      </w:r>
      <w:r w:rsidRPr="00332AB5">
        <w:rPr>
          <w:b/>
          <w:bCs/>
        </w:rPr>
        <w:fldChar w:fldCharType="begin"/>
      </w:r>
      <w:r w:rsidRPr="00332AB5">
        <w:rPr>
          <w:b/>
          <w:bCs/>
        </w:rPr>
        <w:instrText xml:space="preserve"> SEQ Tablica \* ARABIC </w:instrText>
      </w:r>
      <w:r w:rsidRPr="00332AB5">
        <w:rPr>
          <w:b/>
          <w:bCs/>
        </w:rPr>
        <w:fldChar w:fldCharType="separate"/>
      </w:r>
      <w:r w:rsidR="005E6E46">
        <w:rPr>
          <w:b/>
          <w:bCs/>
          <w:noProof/>
        </w:rPr>
        <w:t>23</w:t>
      </w:r>
      <w:r w:rsidRPr="00332AB5">
        <w:rPr>
          <w:b/>
          <w:bCs/>
        </w:rPr>
        <w:fldChar w:fldCharType="end"/>
      </w:r>
      <w:r w:rsidRPr="00332AB5">
        <w:rPr>
          <w:b/>
          <w:bCs/>
        </w:rPr>
        <w:t xml:space="preserve">: Financijski pokazatelji statusa provedbe REACT-EU u sklopu Operativnog programa „Učinkoviti ljudski potencijali“ u izvještajnom razdoblju od </w:t>
      </w:r>
      <w:r w:rsidR="0011067E" w:rsidRPr="00332AB5">
        <w:rPr>
          <w:b/>
          <w:bCs/>
        </w:rPr>
        <w:t>1. siječnja</w:t>
      </w:r>
      <w:r w:rsidR="00F55314" w:rsidRPr="00332AB5">
        <w:rPr>
          <w:b/>
          <w:bCs/>
        </w:rPr>
        <w:t xml:space="preserve"> do </w:t>
      </w:r>
      <w:r w:rsidR="0011067E" w:rsidRPr="00332AB5">
        <w:rPr>
          <w:b/>
          <w:bCs/>
        </w:rPr>
        <w:t>30. lipnja 2023.</w:t>
      </w:r>
      <w:r w:rsidR="00F55314" w:rsidRPr="00332AB5">
        <w:rPr>
          <w:b/>
          <w:bCs/>
        </w:rPr>
        <w:t xml:space="preserve"> </w:t>
      </w:r>
      <w:r w:rsidRPr="00332AB5">
        <w:rPr>
          <w:b/>
          <w:bCs/>
        </w:rPr>
        <w:t>(sredstva EU, u milijunima eura i postocima od dodijeljenih sredstava)</w:t>
      </w:r>
      <w:bookmarkEnd w:id="14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845"/>
        <w:gridCol w:w="879"/>
        <w:gridCol w:w="822"/>
        <w:gridCol w:w="902"/>
        <w:gridCol w:w="635"/>
        <w:gridCol w:w="1089"/>
        <w:gridCol w:w="635"/>
      </w:tblGrid>
      <w:tr w:rsidR="002257A4" w:rsidRPr="00332AB5" w14:paraId="79A4B980" w14:textId="77777777" w:rsidTr="00C66A23">
        <w:trPr>
          <w:trHeight w:val="737"/>
        </w:trPr>
        <w:tc>
          <w:tcPr>
            <w:tcW w:w="1179" w:type="dxa"/>
            <w:vAlign w:val="center"/>
          </w:tcPr>
          <w:p w14:paraId="495716BC" w14:textId="60051D2D" w:rsidR="002257A4" w:rsidRPr="00332AB5" w:rsidRDefault="002257A4" w:rsidP="006C5023">
            <w:pPr>
              <w:spacing w:after="60"/>
              <w:rPr>
                <w:sz w:val="16"/>
                <w:szCs w:val="24"/>
              </w:rPr>
            </w:pPr>
            <w:bookmarkStart w:id="149" w:name="_Hlk98940264"/>
            <w:r w:rsidRPr="00332AB5">
              <w:rPr>
                <w:rFonts w:asciiTheme="minorHAnsi" w:hAnsiTheme="minorHAnsi" w:cstheme="minorHAnsi"/>
                <w:sz w:val="16"/>
              </w:rPr>
              <w:t>Prioritetna os (PO)</w:t>
            </w:r>
          </w:p>
        </w:tc>
        <w:tc>
          <w:tcPr>
            <w:tcW w:w="998" w:type="dxa"/>
            <w:tcBorders>
              <w:bottom w:val="single" w:sz="4" w:space="0" w:color="808080" w:themeColor="background1" w:themeShade="80"/>
            </w:tcBorders>
            <w:vAlign w:val="center"/>
          </w:tcPr>
          <w:p w14:paraId="2D0FF8C0" w14:textId="77777777" w:rsidR="002257A4" w:rsidRPr="00332AB5" w:rsidRDefault="002257A4" w:rsidP="006C5023">
            <w:pPr>
              <w:spacing w:after="60"/>
              <w:jc w:val="right"/>
              <w:rPr>
                <w:sz w:val="16"/>
                <w:szCs w:val="24"/>
              </w:rPr>
            </w:pPr>
            <w:r w:rsidRPr="00332AB5">
              <w:rPr>
                <w:rFonts w:asciiTheme="minorHAnsi" w:hAnsiTheme="minorHAnsi" w:cstheme="minorHAnsi"/>
                <w:sz w:val="16"/>
              </w:rPr>
              <w:t>Dodijeljena sredstva</w:t>
            </w:r>
          </w:p>
        </w:tc>
        <w:tc>
          <w:tcPr>
            <w:tcW w:w="1089" w:type="dxa"/>
            <w:tcBorders>
              <w:bottom w:val="single" w:sz="4" w:space="0" w:color="808080" w:themeColor="background1" w:themeShade="80"/>
            </w:tcBorders>
            <w:vAlign w:val="center"/>
          </w:tcPr>
          <w:p w14:paraId="58C6980B" w14:textId="77777777" w:rsidR="002257A4" w:rsidRPr="00332AB5" w:rsidRDefault="002257A4" w:rsidP="006C5023">
            <w:pPr>
              <w:spacing w:after="60"/>
              <w:jc w:val="right"/>
              <w:rPr>
                <w:sz w:val="16"/>
                <w:szCs w:val="24"/>
              </w:rPr>
            </w:pPr>
            <w:r w:rsidRPr="00332AB5">
              <w:rPr>
                <w:rFonts w:asciiTheme="minorHAnsi" w:hAnsiTheme="minorHAnsi" w:cstheme="minorHAnsi"/>
                <w:sz w:val="16"/>
              </w:rPr>
              <w:t>Ugovorena sredstva</w:t>
            </w:r>
          </w:p>
        </w:tc>
        <w:tc>
          <w:tcPr>
            <w:tcW w:w="845" w:type="dxa"/>
            <w:tcBorders>
              <w:bottom w:val="single" w:sz="4" w:space="0" w:color="808080" w:themeColor="background1" w:themeShade="80"/>
            </w:tcBorders>
            <w:vAlign w:val="center"/>
          </w:tcPr>
          <w:p w14:paraId="55C3C3F9" w14:textId="77777777" w:rsidR="002257A4" w:rsidRPr="00332AB5" w:rsidRDefault="002257A4" w:rsidP="006C5023">
            <w:pPr>
              <w:spacing w:after="60"/>
              <w:jc w:val="right"/>
              <w:rPr>
                <w:sz w:val="16"/>
                <w:szCs w:val="24"/>
              </w:rPr>
            </w:pPr>
            <w:r w:rsidRPr="00332AB5">
              <w:rPr>
                <w:rFonts w:asciiTheme="minorHAnsi" w:hAnsiTheme="minorHAnsi" w:cstheme="minorHAnsi"/>
                <w:sz w:val="16"/>
              </w:rPr>
              <w:t xml:space="preserve"> %</w:t>
            </w:r>
          </w:p>
        </w:tc>
        <w:tc>
          <w:tcPr>
            <w:tcW w:w="879" w:type="dxa"/>
            <w:tcBorders>
              <w:bottom w:val="single" w:sz="4" w:space="0" w:color="808080" w:themeColor="background1" w:themeShade="80"/>
            </w:tcBorders>
            <w:vAlign w:val="center"/>
          </w:tcPr>
          <w:p w14:paraId="52420976" w14:textId="77777777" w:rsidR="002257A4" w:rsidRPr="00332AB5" w:rsidRDefault="002257A4" w:rsidP="006C5023">
            <w:pPr>
              <w:spacing w:after="60"/>
              <w:jc w:val="right"/>
              <w:rPr>
                <w:sz w:val="16"/>
                <w:szCs w:val="24"/>
              </w:rPr>
            </w:pPr>
            <w:r w:rsidRPr="00332AB5">
              <w:rPr>
                <w:rFonts w:asciiTheme="minorHAnsi" w:hAnsiTheme="minorHAnsi" w:cstheme="minorHAnsi"/>
                <w:sz w:val="16"/>
              </w:rPr>
              <w:t>Plaćena sredstva</w:t>
            </w:r>
          </w:p>
        </w:tc>
        <w:tc>
          <w:tcPr>
            <w:tcW w:w="822" w:type="dxa"/>
            <w:tcBorders>
              <w:bottom w:val="single" w:sz="4" w:space="0" w:color="808080" w:themeColor="background1" w:themeShade="80"/>
            </w:tcBorders>
            <w:vAlign w:val="center"/>
          </w:tcPr>
          <w:p w14:paraId="4A71E42F" w14:textId="77777777" w:rsidR="002257A4" w:rsidRPr="00332AB5" w:rsidRDefault="002257A4" w:rsidP="006C5023">
            <w:pPr>
              <w:spacing w:after="60"/>
              <w:jc w:val="right"/>
              <w:rPr>
                <w:sz w:val="16"/>
                <w:szCs w:val="24"/>
              </w:rPr>
            </w:pPr>
            <w:r w:rsidRPr="00332AB5">
              <w:rPr>
                <w:rFonts w:asciiTheme="minorHAnsi" w:hAnsiTheme="minorHAnsi" w:cstheme="minorHAnsi"/>
                <w:sz w:val="16"/>
              </w:rPr>
              <w:t xml:space="preserve"> %</w:t>
            </w:r>
          </w:p>
        </w:tc>
        <w:tc>
          <w:tcPr>
            <w:tcW w:w="902" w:type="dxa"/>
            <w:tcBorders>
              <w:bottom w:val="single" w:sz="4" w:space="0" w:color="808080" w:themeColor="background1" w:themeShade="80"/>
            </w:tcBorders>
            <w:vAlign w:val="center"/>
          </w:tcPr>
          <w:p w14:paraId="0E4BC3A2" w14:textId="77777777" w:rsidR="002257A4" w:rsidRPr="00332AB5" w:rsidRDefault="002257A4" w:rsidP="006C5023">
            <w:pPr>
              <w:spacing w:after="60"/>
              <w:jc w:val="right"/>
              <w:rPr>
                <w:sz w:val="16"/>
                <w:szCs w:val="24"/>
              </w:rPr>
            </w:pPr>
            <w:r w:rsidRPr="00332AB5">
              <w:rPr>
                <w:rFonts w:asciiTheme="minorHAnsi" w:hAnsiTheme="minorHAnsi" w:cstheme="minorHAnsi"/>
                <w:sz w:val="16"/>
              </w:rPr>
              <w:t>Ovjerena sredstva</w:t>
            </w:r>
          </w:p>
        </w:tc>
        <w:tc>
          <w:tcPr>
            <w:tcW w:w="635" w:type="dxa"/>
            <w:tcBorders>
              <w:bottom w:val="single" w:sz="4" w:space="0" w:color="808080" w:themeColor="background1" w:themeShade="80"/>
            </w:tcBorders>
            <w:vAlign w:val="center"/>
          </w:tcPr>
          <w:p w14:paraId="0B9CC831" w14:textId="77777777" w:rsidR="002257A4" w:rsidRPr="00332AB5" w:rsidRDefault="002257A4" w:rsidP="006C5023">
            <w:pPr>
              <w:spacing w:after="60"/>
              <w:jc w:val="right"/>
              <w:rPr>
                <w:sz w:val="16"/>
                <w:szCs w:val="24"/>
              </w:rPr>
            </w:pPr>
            <w:r w:rsidRPr="00332AB5">
              <w:rPr>
                <w:rFonts w:asciiTheme="minorHAnsi" w:hAnsiTheme="minorHAnsi" w:cstheme="minorHAnsi"/>
                <w:sz w:val="16"/>
              </w:rPr>
              <w:t xml:space="preserve"> %</w:t>
            </w:r>
          </w:p>
        </w:tc>
        <w:tc>
          <w:tcPr>
            <w:tcW w:w="1089" w:type="dxa"/>
            <w:tcBorders>
              <w:bottom w:val="single" w:sz="4" w:space="0" w:color="808080" w:themeColor="background1" w:themeShade="80"/>
            </w:tcBorders>
            <w:vAlign w:val="center"/>
          </w:tcPr>
          <w:p w14:paraId="18B8A4F8" w14:textId="77777777" w:rsidR="002257A4" w:rsidRPr="00332AB5" w:rsidRDefault="002257A4" w:rsidP="006C5023">
            <w:pPr>
              <w:spacing w:after="60"/>
              <w:jc w:val="right"/>
              <w:rPr>
                <w:sz w:val="16"/>
                <w:szCs w:val="24"/>
              </w:rPr>
            </w:pPr>
            <w:r w:rsidRPr="00332AB5">
              <w:rPr>
                <w:rFonts w:asciiTheme="minorHAnsi" w:hAnsiTheme="minorHAnsi" w:cstheme="minorHAnsi"/>
                <w:sz w:val="16"/>
              </w:rPr>
              <w:t>Doznačena sredstva</w:t>
            </w:r>
          </w:p>
        </w:tc>
        <w:tc>
          <w:tcPr>
            <w:tcW w:w="635" w:type="dxa"/>
            <w:tcBorders>
              <w:bottom w:val="single" w:sz="4" w:space="0" w:color="808080" w:themeColor="background1" w:themeShade="80"/>
            </w:tcBorders>
            <w:vAlign w:val="center"/>
          </w:tcPr>
          <w:p w14:paraId="7E9D752A" w14:textId="77777777" w:rsidR="002257A4" w:rsidRPr="00332AB5" w:rsidRDefault="002257A4" w:rsidP="006C5023">
            <w:pPr>
              <w:spacing w:after="60"/>
              <w:jc w:val="right"/>
              <w:rPr>
                <w:sz w:val="16"/>
                <w:szCs w:val="24"/>
              </w:rPr>
            </w:pPr>
            <w:r w:rsidRPr="00332AB5">
              <w:rPr>
                <w:rFonts w:asciiTheme="minorHAnsi" w:hAnsiTheme="minorHAnsi" w:cstheme="minorHAnsi"/>
                <w:sz w:val="16"/>
              </w:rPr>
              <w:t xml:space="preserve"> %</w:t>
            </w:r>
          </w:p>
        </w:tc>
      </w:tr>
      <w:tr w:rsidR="002257A4" w:rsidRPr="00332AB5" w14:paraId="62A87AFE" w14:textId="77777777" w:rsidTr="00C66A23">
        <w:trPr>
          <w:trHeight w:val="113"/>
        </w:trPr>
        <w:tc>
          <w:tcPr>
            <w:tcW w:w="1179" w:type="dxa"/>
            <w:vAlign w:val="center"/>
          </w:tcPr>
          <w:p w14:paraId="3F6D5D69" w14:textId="77777777" w:rsidR="002257A4" w:rsidRPr="00332AB5" w:rsidRDefault="002257A4" w:rsidP="006C5023">
            <w:pPr>
              <w:rPr>
                <w:rFonts w:asciiTheme="minorHAnsi" w:hAnsiTheme="minorHAnsi" w:cstheme="minorHAnsi"/>
                <w:sz w:val="8"/>
                <w:szCs w:val="24"/>
              </w:rPr>
            </w:pPr>
          </w:p>
        </w:tc>
        <w:tc>
          <w:tcPr>
            <w:tcW w:w="998" w:type="dxa"/>
            <w:tcBorders>
              <w:top w:val="single" w:sz="4" w:space="0" w:color="808080" w:themeColor="background1" w:themeShade="80"/>
            </w:tcBorders>
            <w:vAlign w:val="center"/>
          </w:tcPr>
          <w:p w14:paraId="61A54D00" w14:textId="77777777" w:rsidR="002257A4" w:rsidRPr="00332AB5" w:rsidRDefault="002257A4" w:rsidP="006C5023">
            <w:pPr>
              <w:jc w:val="right"/>
              <w:rPr>
                <w:rFonts w:asciiTheme="minorHAnsi" w:hAnsiTheme="minorHAnsi" w:cstheme="minorHAnsi"/>
                <w:sz w:val="8"/>
                <w:szCs w:val="24"/>
              </w:rPr>
            </w:pPr>
          </w:p>
        </w:tc>
        <w:tc>
          <w:tcPr>
            <w:tcW w:w="1089" w:type="dxa"/>
            <w:tcBorders>
              <w:top w:val="single" w:sz="4" w:space="0" w:color="808080" w:themeColor="background1" w:themeShade="80"/>
            </w:tcBorders>
            <w:vAlign w:val="center"/>
          </w:tcPr>
          <w:p w14:paraId="1D87DA42" w14:textId="77777777" w:rsidR="002257A4" w:rsidRPr="00332AB5" w:rsidRDefault="002257A4" w:rsidP="006C5023">
            <w:pPr>
              <w:jc w:val="right"/>
              <w:rPr>
                <w:rFonts w:asciiTheme="minorHAnsi" w:hAnsiTheme="minorHAnsi" w:cstheme="minorHAnsi"/>
                <w:sz w:val="8"/>
                <w:szCs w:val="24"/>
              </w:rPr>
            </w:pPr>
          </w:p>
        </w:tc>
        <w:tc>
          <w:tcPr>
            <w:tcW w:w="845" w:type="dxa"/>
            <w:tcBorders>
              <w:top w:val="single" w:sz="4" w:space="0" w:color="808080" w:themeColor="background1" w:themeShade="80"/>
            </w:tcBorders>
            <w:vAlign w:val="center"/>
          </w:tcPr>
          <w:p w14:paraId="7FCCE6F8" w14:textId="77777777" w:rsidR="002257A4" w:rsidRPr="00332AB5" w:rsidRDefault="002257A4" w:rsidP="006C5023">
            <w:pPr>
              <w:jc w:val="right"/>
              <w:rPr>
                <w:rFonts w:asciiTheme="minorHAnsi" w:hAnsiTheme="minorHAnsi" w:cstheme="minorHAnsi"/>
                <w:sz w:val="8"/>
                <w:szCs w:val="24"/>
              </w:rPr>
            </w:pPr>
          </w:p>
        </w:tc>
        <w:tc>
          <w:tcPr>
            <w:tcW w:w="879" w:type="dxa"/>
            <w:tcBorders>
              <w:top w:val="single" w:sz="4" w:space="0" w:color="808080" w:themeColor="background1" w:themeShade="80"/>
            </w:tcBorders>
            <w:vAlign w:val="center"/>
          </w:tcPr>
          <w:p w14:paraId="72C5C5DB" w14:textId="77777777" w:rsidR="002257A4" w:rsidRPr="00332AB5" w:rsidRDefault="002257A4" w:rsidP="006C5023">
            <w:pPr>
              <w:jc w:val="right"/>
              <w:rPr>
                <w:rFonts w:asciiTheme="minorHAnsi" w:hAnsiTheme="minorHAnsi" w:cstheme="minorHAnsi"/>
                <w:sz w:val="8"/>
                <w:szCs w:val="24"/>
              </w:rPr>
            </w:pPr>
          </w:p>
        </w:tc>
        <w:tc>
          <w:tcPr>
            <w:tcW w:w="822" w:type="dxa"/>
            <w:tcBorders>
              <w:top w:val="single" w:sz="4" w:space="0" w:color="808080" w:themeColor="background1" w:themeShade="80"/>
            </w:tcBorders>
            <w:vAlign w:val="center"/>
          </w:tcPr>
          <w:p w14:paraId="284455E0" w14:textId="77777777" w:rsidR="002257A4" w:rsidRPr="00332AB5" w:rsidRDefault="002257A4" w:rsidP="006C5023">
            <w:pPr>
              <w:jc w:val="right"/>
              <w:rPr>
                <w:rFonts w:asciiTheme="minorHAnsi" w:hAnsiTheme="minorHAnsi" w:cstheme="minorHAnsi"/>
                <w:sz w:val="8"/>
                <w:szCs w:val="24"/>
              </w:rPr>
            </w:pPr>
          </w:p>
        </w:tc>
        <w:tc>
          <w:tcPr>
            <w:tcW w:w="902" w:type="dxa"/>
            <w:tcBorders>
              <w:top w:val="single" w:sz="4" w:space="0" w:color="808080" w:themeColor="background1" w:themeShade="80"/>
            </w:tcBorders>
            <w:vAlign w:val="center"/>
          </w:tcPr>
          <w:p w14:paraId="609F3AD4" w14:textId="77777777" w:rsidR="002257A4" w:rsidRPr="00332AB5" w:rsidRDefault="002257A4" w:rsidP="006C5023">
            <w:pPr>
              <w:jc w:val="right"/>
              <w:rPr>
                <w:rFonts w:asciiTheme="minorHAnsi" w:hAnsiTheme="minorHAnsi" w:cstheme="minorHAnsi"/>
                <w:sz w:val="8"/>
                <w:szCs w:val="24"/>
              </w:rPr>
            </w:pPr>
          </w:p>
        </w:tc>
        <w:tc>
          <w:tcPr>
            <w:tcW w:w="635" w:type="dxa"/>
            <w:tcBorders>
              <w:top w:val="single" w:sz="4" w:space="0" w:color="808080" w:themeColor="background1" w:themeShade="80"/>
            </w:tcBorders>
            <w:vAlign w:val="center"/>
          </w:tcPr>
          <w:p w14:paraId="57A0C9A8" w14:textId="77777777" w:rsidR="002257A4" w:rsidRPr="00332AB5" w:rsidRDefault="002257A4" w:rsidP="006C5023">
            <w:pPr>
              <w:jc w:val="right"/>
              <w:rPr>
                <w:rFonts w:asciiTheme="minorHAnsi" w:hAnsiTheme="minorHAnsi" w:cstheme="minorHAnsi"/>
                <w:sz w:val="8"/>
                <w:szCs w:val="24"/>
              </w:rPr>
            </w:pPr>
          </w:p>
        </w:tc>
        <w:tc>
          <w:tcPr>
            <w:tcW w:w="1089" w:type="dxa"/>
            <w:tcBorders>
              <w:top w:val="single" w:sz="4" w:space="0" w:color="808080" w:themeColor="background1" w:themeShade="80"/>
            </w:tcBorders>
            <w:vAlign w:val="center"/>
          </w:tcPr>
          <w:p w14:paraId="4E65086C" w14:textId="77777777" w:rsidR="002257A4" w:rsidRPr="00332AB5" w:rsidRDefault="002257A4" w:rsidP="006C5023">
            <w:pPr>
              <w:jc w:val="right"/>
              <w:rPr>
                <w:rFonts w:asciiTheme="minorHAnsi" w:hAnsiTheme="minorHAnsi" w:cstheme="minorHAnsi"/>
                <w:sz w:val="8"/>
                <w:szCs w:val="24"/>
              </w:rPr>
            </w:pPr>
          </w:p>
        </w:tc>
        <w:tc>
          <w:tcPr>
            <w:tcW w:w="635" w:type="dxa"/>
            <w:tcBorders>
              <w:top w:val="single" w:sz="4" w:space="0" w:color="808080" w:themeColor="background1" w:themeShade="80"/>
            </w:tcBorders>
            <w:vAlign w:val="center"/>
          </w:tcPr>
          <w:p w14:paraId="150101A3" w14:textId="77777777" w:rsidR="002257A4" w:rsidRPr="00332AB5" w:rsidRDefault="002257A4" w:rsidP="006C5023">
            <w:pPr>
              <w:jc w:val="right"/>
              <w:rPr>
                <w:rFonts w:asciiTheme="minorHAnsi" w:hAnsiTheme="minorHAnsi" w:cstheme="minorHAnsi"/>
                <w:sz w:val="8"/>
                <w:szCs w:val="24"/>
              </w:rPr>
            </w:pPr>
          </w:p>
        </w:tc>
      </w:tr>
      <w:tr w:rsidR="002257A4" w:rsidRPr="00332AB5" w14:paraId="7AA4343B" w14:textId="77777777" w:rsidTr="00C66A23">
        <w:trPr>
          <w:trHeight w:val="397"/>
        </w:trPr>
        <w:tc>
          <w:tcPr>
            <w:tcW w:w="1179" w:type="dxa"/>
            <w:vAlign w:val="center"/>
          </w:tcPr>
          <w:p w14:paraId="748345A0" w14:textId="2AB01668" w:rsidR="002257A4" w:rsidRPr="00332AB5" w:rsidRDefault="002257A4" w:rsidP="006C5023">
            <w:pPr>
              <w:rPr>
                <w:rFonts w:asciiTheme="minorHAnsi" w:hAnsiTheme="minorHAnsi" w:cstheme="minorHAnsi"/>
                <w:sz w:val="18"/>
                <w:szCs w:val="18"/>
              </w:rPr>
            </w:pPr>
            <w:r w:rsidRPr="00332AB5">
              <w:rPr>
                <w:rFonts w:asciiTheme="minorHAnsi" w:hAnsiTheme="minorHAnsi" w:cstheme="minorHAnsi"/>
                <w:sz w:val="18"/>
                <w:szCs w:val="18"/>
              </w:rPr>
              <w:t xml:space="preserve">PO </w:t>
            </w:r>
            <w:r w:rsidR="6AD7384A" w:rsidRPr="00332AB5">
              <w:rPr>
                <w:rFonts w:asciiTheme="minorHAnsi" w:hAnsiTheme="minorHAnsi" w:cstheme="minorBidi"/>
                <w:sz w:val="18"/>
                <w:szCs w:val="18"/>
              </w:rPr>
              <w:t>6</w:t>
            </w:r>
          </w:p>
        </w:tc>
        <w:tc>
          <w:tcPr>
            <w:tcW w:w="998" w:type="dxa"/>
            <w:vAlign w:val="center"/>
          </w:tcPr>
          <w:p w14:paraId="6B1305C8" w14:textId="1105A851" w:rsidR="002257A4" w:rsidRPr="00332AB5" w:rsidRDefault="58D077E8" w:rsidP="006C5023">
            <w:pPr>
              <w:jc w:val="right"/>
              <w:rPr>
                <w:rFonts w:ascii="Calibri" w:hAnsi="Calibri"/>
                <w:color w:val="000000"/>
                <w:sz w:val="18"/>
                <w:szCs w:val="18"/>
              </w:rPr>
            </w:pPr>
            <w:r w:rsidRPr="00332AB5">
              <w:rPr>
                <w:rFonts w:ascii="Calibri" w:hAnsi="Calibri"/>
                <w:color w:val="000000" w:themeColor="text1"/>
                <w:sz w:val="18"/>
                <w:szCs w:val="18"/>
              </w:rPr>
              <w:t>530,00</w:t>
            </w:r>
          </w:p>
        </w:tc>
        <w:tc>
          <w:tcPr>
            <w:tcW w:w="1089" w:type="dxa"/>
            <w:vAlign w:val="center"/>
          </w:tcPr>
          <w:p w14:paraId="53D1B0D5" w14:textId="0D67973F" w:rsidR="002257A4" w:rsidRPr="00332AB5" w:rsidRDefault="00C66A23" w:rsidP="006C5023">
            <w:pPr>
              <w:jc w:val="right"/>
              <w:rPr>
                <w:rFonts w:ascii="Calibri" w:hAnsi="Calibri"/>
                <w:color w:val="000000"/>
                <w:sz w:val="18"/>
                <w:szCs w:val="18"/>
              </w:rPr>
            </w:pPr>
            <w:r w:rsidRPr="00332AB5">
              <w:rPr>
                <w:rFonts w:ascii="Calibri" w:hAnsi="Calibri"/>
                <w:color w:val="000000" w:themeColor="text1"/>
                <w:sz w:val="18"/>
                <w:szCs w:val="18"/>
              </w:rPr>
              <w:t>560,00</w:t>
            </w:r>
          </w:p>
        </w:tc>
        <w:tc>
          <w:tcPr>
            <w:tcW w:w="845" w:type="dxa"/>
            <w:vAlign w:val="center"/>
          </w:tcPr>
          <w:p w14:paraId="2E79B9DD" w14:textId="094A76BB" w:rsidR="002257A4" w:rsidRPr="00332AB5" w:rsidRDefault="00C66A23" w:rsidP="006C5023">
            <w:pPr>
              <w:jc w:val="right"/>
              <w:rPr>
                <w:rFonts w:ascii="Calibri" w:hAnsi="Calibri"/>
                <w:color w:val="000000"/>
              </w:rPr>
            </w:pPr>
            <w:r w:rsidRPr="00332AB5">
              <w:rPr>
                <w:rFonts w:ascii="Calibri" w:hAnsi="Calibri"/>
                <w:color w:val="000000" w:themeColor="text1"/>
              </w:rPr>
              <w:t>105,66</w:t>
            </w:r>
          </w:p>
        </w:tc>
        <w:tc>
          <w:tcPr>
            <w:tcW w:w="879" w:type="dxa"/>
            <w:vAlign w:val="center"/>
          </w:tcPr>
          <w:p w14:paraId="0EDC2F00" w14:textId="2B8D75F5" w:rsidR="002257A4" w:rsidRPr="00332AB5" w:rsidRDefault="00C66A23" w:rsidP="006C5023">
            <w:pPr>
              <w:jc w:val="right"/>
              <w:rPr>
                <w:rFonts w:ascii="Calibri" w:hAnsi="Calibri"/>
              </w:rPr>
            </w:pPr>
            <w:r w:rsidRPr="00332AB5">
              <w:rPr>
                <w:rFonts w:ascii="Calibri" w:hAnsi="Calibri"/>
              </w:rPr>
              <w:t>560,00</w:t>
            </w:r>
          </w:p>
        </w:tc>
        <w:tc>
          <w:tcPr>
            <w:tcW w:w="822" w:type="dxa"/>
            <w:vAlign w:val="center"/>
          </w:tcPr>
          <w:p w14:paraId="3003D311" w14:textId="3DCBE13D" w:rsidR="002257A4" w:rsidRPr="00332AB5" w:rsidRDefault="00C66A23" w:rsidP="006C5023">
            <w:pPr>
              <w:jc w:val="right"/>
              <w:rPr>
                <w:rFonts w:ascii="Calibri" w:hAnsi="Calibri"/>
                <w:color w:val="000000"/>
              </w:rPr>
            </w:pPr>
            <w:r w:rsidRPr="00332AB5">
              <w:rPr>
                <w:rFonts w:ascii="Calibri" w:hAnsi="Calibri"/>
                <w:color w:val="000000" w:themeColor="text1"/>
              </w:rPr>
              <w:t>105,66</w:t>
            </w:r>
          </w:p>
        </w:tc>
        <w:tc>
          <w:tcPr>
            <w:tcW w:w="902" w:type="dxa"/>
            <w:vAlign w:val="center"/>
          </w:tcPr>
          <w:p w14:paraId="1DC4F245" w14:textId="31663397" w:rsidR="002257A4" w:rsidRPr="00332AB5" w:rsidRDefault="58D077E8" w:rsidP="006C5023">
            <w:pPr>
              <w:jc w:val="right"/>
              <w:rPr>
                <w:rFonts w:ascii="Calibri" w:hAnsi="Calibri"/>
                <w:color w:val="000000"/>
              </w:rPr>
            </w:pPr>
            <w:r w:rsidRPr="00332AB5">
              <w:rPr>
                <w:rFonts w:ascii="Calibri" w:hAnsi="Calibri"/>
                <w:color w:val="000000" w:themeColor="text1"/>
              </w:rPr>
              <w:t>-</w:t>
            </w:r>
          </w:p>
        </w:tc>
        <w:tc>
          <w:tcPr>
            <w:tcW w:w="635" w:type="dxa"/>
            <w:vAlign w:val="center"/>
          </w:tcPr>
          <w:p w14:paraId="278EF24C" w14:textId="74D85FDD" w:rsidR="002257A4" w:rsidRPr="00332AB5" w:rsidRDefault="58D077E8" w:rsidP="006C5023">
            <w:pPr>
              <w:jc w:val="right"/>
              <w:rPr>
                <w:rFonts w:ascii="Calibri" w:hAnsi="Calibri"/>
                <w:color w:val="000000"/>
              </w:rPr>
            </w:pPr>
            <w:r w:rsidRPr="00332AB5">
              <w:rPr>
                <w:rFonts w:ascii="Calibri" w:hAnsi="Calibri"/>
                <w:color w:val="000000" w:themeColor="text1"/>
              </w:rPr>
              <w:t>-</w:t>
            </w:r>
          </w:p>
        </w:tc>
        <w:tc>
          <w:tcPr>
            <w:tcW w:w="1089" w:type="dxa"/>
            <w:vAlign w:val="center"/>
          </w:tcPr>
          <w:p w14:paraId="31F20E0D" w14:textId="18D8CD9E" w:rsidR="002257A4" w:rsidRPr="00332AB5" w:rsidRDefault="00D44013" w:rsidP="006C5023">
            <w:pPr>
              <w:jc w:val="right"/>
              <w:rPr>
                <w:rFonts w:asciiTheme="minorHAnsi" w:hAnsiTheme="minorHAnsi" w:cstheme="minorHAnsi"/>
                <w:sz w:val="18"/>
                <w:szCs w:val="18"/>
              </w:rPr>
            </w:pPr>
            <w:r w:rsidRPr="00332AB5">
              <w:rPr>
                <w:rFonts w:asciiTheme="minorHAnsi" w:hAnsiTheme="minorHAnsi" w:cstheme="minorHAnsi"/>
                <w:sz w:val="18"/>
                <w:szCs w:val="18"/>
              </w:rPr>
              <w:t>-</w:t>
            </w:r>
          </w:p>
        </w:tc>
        <w:tc>
          <w:tcPr>
            <w:tcW w:w="635" w:type="dxa"/>
            <w:vAlign w:val="center"/>
          </w:tcPr>
          <w:p w14:paraId="2E11C44B" w14:textId="61AA5E62" w:rsidR="002257A4" w:rsidRPr="00332AB5" w:rsidRDefault="00D44013" w:rsidP="006C5023">
            <w:pPr>
              <w:jc w:val="right"/>
              <w:rPr>
                <w:rFonts w:asciiTheme="minorHAnsi" w:hAnsiTheme="minorHAnsi" w:cstheme="minorHAnsi"/>
                <w:sz w:val="18"/>
                <w:szCs w:val="18"/>
              </w:rPr>
            </w:pPr>
            <w:r w:rsidRPr="00332AB5">
              <w:rPr>
                <w:rFonts w:asciiTheme="minorHAnsi" w:hAnsiTheme="minorHAnsi" w:cstheme="minorHAnsi"/>
                <w:sz w:val="18"/>
                <w:szCs w:val="18"/>
              </w:rPr>
              <w:t>-</w:t>
            </w:r>
          </w:p>
        </w:tc>
      </w:tr>
      <w:tr w:rsidR="002257A4" w:rsidRPr="00332AB5" w14:paraId="25E9719C" w14:textId="77777777" w:rsidTr="00C66A23">
        <w:trPr>
          <w:trHeight w:val="510"/>
        </w:trPr>
        <w:tc>
          <w:tcPr>
            <w:tcW w:w="1179" w:type="dxa"/>
            <w:vAlign w:val="center"/>
          </w:tcPr>
          <w:p w14:paraId="0874A41D" w14:textId="77777777" w:rsidR="002257A4" w:rsidRPr="00332AB5" w:rsidRDefault="002257A4" w:rsidP="006C5023">
            <w:pPr>
              <w:rPr>
                <w:rFonts w:asciiTheme="minorHAnsi" w:hAnsiTheme="minorHAnsi" w:cstheme="minorHAnsi"/>
                <w:sz w:val="18"/>
                <w:szCs w:val="24"/>
              </w:rPr>
            </w:pPr>
            <w:r w:rsidRPr="00332AB5">
              <w:rPr>
                <w:rFonts w:asciiTheme="minorHAnsi" w:hAnsiTheme="minorHAnsi" w:cstheme="minorHAnsi"/>
                <w:sz w:val="18"/>
              </w:rPr>
              <w:t>UKUPNO</w:t>
            </w:r>
          </w:p>
        </w:tc>
        <w:tc>
          <w:tcPr>
            <w:tcW w:w="998" w:type="dxa"/>
            <w:tcBorders>
              <w:top w:val="single" w:sz="4" w:space="0" w:color="808080" w:themeColor="background1" w:themeShade="80"/>
              <w:bottom w:val="single" w:sz="4" w:space="0" w:color="808080" w:themeColor="background1" w:themeShade="80"/>
            </w:tcBorders>
            <w:vAlign w:val="center"/>
          </w:tcPr>
          <w:p w14:paraId="7DC89691" w14:textId="6573ECD9" w:rsidR="002257A4" w:rsidRPr="00332AB5" w:rsidRDefault="58D077E8" w:rsidP="006C5023">
            <w:pPr>
              <w:jc w:val="right"/>
              <w:rPr>
                <w:rFonts w:asciiTheme="minorHAnsi" w:hAnsiTheme="minorHAnsi" w:cstheme="minorBidi"/>
                <w:sz w:val="18"/>
                <w:szCs w:val="18"/>
              </w:rPr>
            </w:pPr>
            <w:r w:rsidRPr="00332AB5">
              <w:rPr>
                <w:rFonts w:asciiTheme="minorHAnsi" w:hAnsiTheme="minorHAnsi" w:cstheme="minorBidi"/>
                <w:sz w:val="18"/>
                <w:szCs w:val="18"/>
              </w:rPr>
              <w:t>530,00</w:t>
            </w:r>
          </w:p>
        </w:tc>
        <w:tc>
          <w:tcPr>
            <w:tcW w:w="1089" w:type="dxa"/>
            <w:tcBorders>
              <w:top w:val="single" w:sz="4" w:space="0" w:color="808080" w:themeColor="background1" w:themeShade="80"/>
              <w:bottom w:val="single" w:sz="4" w:space="0" w:color="808080" w:themeColor="background1" w:themeShade="80"/>
            </w:tcBorders>
            <w:vAlign w:val="center"/>
          </w:tcPr>
          <w:p w14:paraId="1345350F" w14:textId="6AA42825" w:rsidR="002257A4" w:rsidRPr="00332AB5" w:rsidRDefault="00C66A23" w:rsidP="006C5023">
            <w:pPr>
              <w:jc w:val="right"/>
              <w:rPr>
                <w:rFonts w:asciiTheme="minorHAnsi" w:hAnsiTheme="minorHAnsi" w:cstheme="minorBidi"/>
                <w:color w:val="000000"/>
                <w:sz w:val="18"/>
                <w:szCs w:val="18"/>
              </w:rPr>
            </w:pPr>
            <w:r w:rsidRPr="00332AB5">
              <w:rPr>
                <w:rFonts w:asciiTheme="minorHAnsi" w:hAnsiTheme="minorHAnsi" w:cstheme="minorBidi"/>
                <w:color w:val="000000" w:themeColor="text1"/>
                <w:sz w:val="18"/>
                <w:szCs w:val="18"/>
              </w:rPr>
              <w:t>560,00</w:t>
            </w:r>
          </w:p>
        </w:tc>
        <w:tc>
          <w:tcPr>
            <w:tcW w:w="845" w:type="dxa"/>
            <w:tcBorders>
              <w:top w:val="single" w:sz="4" w:space="0" w:color="808080" w:themeColor="background1" w:themeShade="80"/>
              <w:bottom w:val="single" w:sz="4" w:space="0" w:color="808080" w:themeColor="background1" w:themeShade="80"/>
            </w:tcBorders>
            <w:vAlign w:val="center"/>
          </w:tcPr>
          <w:p w14:paraId="61114801" w14:textId="350FF002" w:rsidR="002257A4" w:rsidRPr="00332AB5" w:rsidRDefault="00C66A23" w:rsidP="006C5023">
            <w:pPr>
              <w:jc w:val="right"/>
              <w:rPr>
                <w:rFonts w:asciiTheme="minorHAnsi" w:hAnsiTheme="minorHAnsi" w:cstheme="minorBidi"/>
                <w:color w:val="000000"/>
                <w:sz w:val="18"/>
                <w:szCs w:val="18"/>
              </w:rPr>
            </w:pPr>
            <w:r w:rsidRPr="00332AB5">
              <w:rPr>
                <w:rFonts w:asciiTheme="minorHAnsi" w:hAnsiTheme="minorHAnsi" w:cstheme="minorBidi"/>
                <w:color w:val="000000" w:themeColor="text1"/>
                <w:sz w:val="18"/>
                <w:szCs w:val="18"/>
              </w:rPr>
              <w:t>105,66</w:t>
            </w:r>
          </w:p>
        </w:tc>
        <w:tc>
          <w:tcPr>
            <w:tcW w:w="879" w:type="dxa"/>
            <w:tcBorders>
              <w:top w:val="single" w:sz="4" w:space="0" w:color="808080" w:themeColor="background1" w:themeShade="80"/>
              <w:bottom w:val="single" w:sz="4" w:space="0" w:color="808080" w:themeColor="background1" w:themeShade="80"/>
            </w:tcBorders>
            <w:vAlign w:val="center"/>
          </w:tcPr>
          <w:p w14:paraId="6F043A1C" w14:textId="2CA4EDAA" w:rsidR="002257A4" w:rsidRPr="00332AB5" w:rsidRDefault="00C66A23" w:rsidP="006C5023">
            <w:pPr>
              <w:jc w:val="right"/>
              <w:rPr>
                <w:rFonts w:asciiTheme="minorHAnsi" w:hAnsiTheme="minorHAnsi" w:cstheme="minorBidi"/>
                <w:color w:val="000000"/>
                <w:sz w:val="18"/>
                <w:szCs w:val="18"/>
              </w:rPr>
            </w:pPr>
            <w:r w:rsidRPr="00332AB5">
              <w:rPr>
                <w:rFonts w:asciiTheme="minorHAnsi" w:hAnsiTheme="minorHAnsi" w:cstheme="minorBidi"/>
                <w:color w:val="000000" w:themeColor="text1"/>
                <w:sz w:val="18"/>
                <w:szCs w:val="18"/>
              </w:rPr>
              <w:t>560,00</w:t>
            </w:r>
          </w:p>
        </w:tc>
        <w:tc>
          <w:tcPr>
            <w:tcW w:w="822" w:type="dxa"/>
            <w:tcBorders>
              <w:top w:val="single" w:sz="4" w:space="0" w:color="808080" w:themeColor="background1" w:themeShade="80"/>
              <w:bottom w:val="single" w:sz="4" w:space="0" w:color="808080" w:themeColor="background1" w:themeShade="80"/>
            </w:tcBorders>
            <w:vAlign w:val="center"/>
          </w:tcPr>
          <w:p w14:paraId="103625A8" w14:textId="57A954AA" w:rsidR="002257A4" w:rsidRPr="00332AB5" w:rsidRDefault="00C66A23" w:rsidP="006C5023">
            <w:pPr>
              <w:jc w:val="right"/>
              <w:rPr>
                <w:rFonts w:asciiTheme="minorHAnsi" w:hAnsiTheme="minorHAnsi" w:cstheme="minorBidi"/>
                <w:color w:val="000000"/>
                <w:sz w:val="18"/>
                <w:szCs w:val="18"/>
              </w:rPr>
            </w:pPr>
            <w:r w:rsidRPr="00332AB5">
              <w:rPr>
                <w:rFonts w:asciiTheme="minorHAnsi" w:hAnsiTheme="minorHAnsi" w:cstheme="minorBidi"/>
                <w:color w:val="000000" w:themeColor="text1"/>
                <w:sz w:val="18"/>
                <w:szCs w:val="18"/>
              </w:rPr>
              <w:t>105,66</w:t>
            </w:r>
          </w:p>
        </w:tc>
        <w:tc>
          <w:tcPr>
            <w:tcW w:w="902" w:type="dxa"/>
            <w:tcBorders>
              <w:top w:val="single" w:sz="4" w:space="0" w:color="808080" w:themeColor="background1" w:themeShade="80"/>
              <w:bottom w:val="single" w:sz="4" w:space="0" w:color="808080" w:themeColor="background1" w:themeShade="80"/>
            </w:tcBorders>
            <w:vAlign w:val="center"/>
          </w:tcPr>
          <w:p w14:paraId="084F5DA6" w14:textId="4667073F" w:rsidR="002257A4" w:rsidRPr="00332AB5" w:rsidRDefault="58D077E8" w:rsidP="006C5023">
            <w:pPr>
              <w:jc w:val="right"/>
              <w:rPr>
                <w:rFonts w:asciiTheme="minorHAnsi" w:hAnsiTheme="minorHAnsi" w:cstheme="minorBidi"/>
                <w:color w:val="000000"/>
                <w:sz w:val="18"/>
                <w:szCs w:val="18"/>
              </w:rPr>
            </w:pPr>
            <w:r w:rsidRPr="00332AB5">
              <w:rPr>
                <w:rFonts w:asciiTheme="minorHAnsi" w:hAnsiTheme="minorHAnsi" w:cstheme="minorBidi"/>
                <w:color w:val="000000" w:themeColor="text1"/>
                <w:sz w:val="18"/>
                <w:szCs w:val="18"/>
              </w:rPr>
              <w:t>-</w:t>
            </w:r>
          </w:p>
        </w:tc>
        <w:tc>
          <w:tcPr>
            <w:tcW w:w="635" w:type="dxa"/>
            <w:tcBorders>
              <w:top w:val="single" w:sz="4" w:space="0" w:color="808080" w:themeColor="background1" w:themeShade="80"/>
              <w:bottom w:val="single" w:sz="4" w:space="0" w:color="808080" w:themeColor="background1" w:themeShade="80"/>
            </w:tcBorders>
            <w:vAlign w:val="center"/>
          </w:tcPr>
          <w:p w14:paraId="67C864F2" w14:textId="7249921A" w:rsidR="002257A4" w:rsidRPr="00332AB5" w:rsidRDefault="58D077E8" w:rsidP="006C5023">
            <w:pPr>
              <w:jc w:val="right"/>
              <w:rPr>
                <w:rFonts w:asciiTheme="minorHAnsi" w:hAnsiTheme="minorHAnsi" w:cstheme="minorBidi"/>
                <w:sz w:val="18"/>
                <w:szCs w:val="18"/>
              </w:rPr>
            </w:pPr>
            <w:r w:rsidRPr="00332AB5">
              <w:rPr>
                <w:rFonts w:asciiTheme="minorHAnsi" w:hAnsiTheme="minorHAnsi" w:cstheme="minorBidi"/>
                <w:sz w:val="18"/>
                <w:szCs w:val="18"/>
              </w:rPr>
              <w:t>-</w:t>
            </w:r>
          </w:p>
        </w:tc>
        <w:tc>
          <w:tcPr>
            <w:tcW w:w="1089" w:type="dxa"/>
            <w:tcBorders>
              <w:top w:val="single" w:sz="4" w:space="0" w:color="808080" w:themeColor="background1" w:themeShade="80"/>
              <w:bottom w:val="single" w:sz="4" w:space="0" w:color="808080" w:themeColor="background1" w:themeShade="80"/>
            </w:tcBorders>
            <w:vAlign w:val="center"/>
          </w:tcPr>
          <w:p w14:paraId="0DD5883C" w14:textId="382A4296" w:rsidR="002257A4" w:rsidRPr="00332AB5" w:rsidRDefault="00D44013" w:rsidP="006C5023">
            <w:pPr>
              <w:jc w:val="right"/>
              <w:rPr>
                <w:rFonts w:asciiTheme="minorHAnsi" w:hAnsiTheme="minorHAnsi" w:cstheme="minorHAnsi"/>
                <w:sz w:val="18"/>
                <w:szCs w:val="18"/>
              </w:rPr>
            </w:pPr>
            <w:r w:rsidRPr="00332AB5">
              <w:rPr>
                <w:rFonts w:asciiTheme="minorHAnsi" w:hAnsiTheme="minorHAnsi" w:cstheme="minorHAnsi"/>
                <w:sz w:val="18"/>
                <w:szCs w:val="18"/>
              </w:rPr>
              <w:t>-</w:t>
            </w:r>
          </w:p>
        </w:tc>
        <w:tc>
          <w:tcPr>
            <w:tcW w:w="635" w:type="dxa"/>
            <w:tcBorders>
              <w:top w:val="single" w:sz="4" w:space="0" w:color="808080" w:themeColor="background1" w:themeShade="80"/>
              <w:bottom w:val="single" w:sz="4" w:space="0" w:color="808080" w:themeColor="background1" w:themeShade="80"/>
            </w:tcBorders>
            <w:vAlign w:val="center"/>
          </w:tcPr>
          <w:p w14:paraId="53D823FD" w14:textId="40F5718A" w:rsidR="002257A4" w:rsidRPr="00332AB5" w:rsidRDefault="00D44013" w:rsidP="006C5023">
            <w:pPr>
              <w:jc w:val="right"/>
              <w:rPr>
                <w:rFonts w:asciiTheme="minorHAnsi" w:hAnsiTheme="minorHAnsi" w:cstheme="minorHAnsi"/>
                <w:sz w:val="18"/>
                <w:szCs w:val="18"/>
              </w:rPr>
            </w:pPr>
            <w:r w:rsidRPr="00332AB5">
              <w:rPr>
                <w:rFonts w:asciiTheme="minorHAnsi" w:hAnsiTheme="minorHAnsi" w:cstheme="minorHAnsi"/>
                <w:sz w:val="18"/>
                <w:szCs w:val="18"/>
              </w:rPr>
              <w:t>-</w:t>
            </w:r>
          </w:p>
        </w:tc>
      </w:tr>
      <w:bookmarkEnd w:id="146"/>
      <w:bookmarkEnd w:id="147"/>
      <w:bookmarkEnd w:id="149"/>
    </w:tbl>
    <w:p w14:paraId="1AD3379C" w14:textId="77777777" w:rsidR="00EF7BBB" w:rsidRPr="00332AB5" w:rsidRDefault="00EF7BBB" w:rsidP="00EF7BBB">
      <w:pPr>
        <w:rPr>
          <w:b/>
          <w:bCs/>
        </w:rPr>
      </w:pPr>
    </w:p>
    <w:p w14:paraId="63C861EA" w14:textId="77777777" w:rsidR="00D950E3" w:rsidRPr="00332AB5" w:rsidRDefault="00D950E3" w:rsidP="00C66A23">
      <w:pPr>
        <w:rPr>
          <w:b/>
          <w:bCs/>
        </w:rPr>
      </w:pPr>
    </w:p>
    <w:p w14:paraId="340911D9" w14:textId="04887D61" w:rsidR="00EF7BBB" w:rsidRPr="00332AB5" w:rsidRDefault="00EF7BBB" w:rsidP="00C66A23">
      <w:pPr>
        <w:rPr>
          <w:b/>
          <w:bCs/>
        </w:rPr>
      </w:pPr>
      <w:bookmarkStart w:id="150" w:name="_Toc152595298"/>
      <w:r w:rsidRPr="00332AB5">
        <w:rPr>
          <w:b/>
          <w:bCs/>
        </w:rPr>
        <w:t xml:space="preserve">Tablica </w:t>
      </w:r>
      <w:r w:rsidRPr="00332AB5">
        <w:rPr>
          <w:b/>
          <w:bCs/>
        </w:rPr>
        <w:fldChar w:fldCharType="begin"/>
      </w:r>
      <w:r w:rsidRPr="00332AB5">
        <w:rPr>
          <w:b/>
          <w:bCs/>
        </w:rPr>
        <w:instrText xml:space="preserve"> SEQ Tablica \* ARABIC </w:instrText>
      </w:r>
      <w:r w:rsidRPr="00332AB5">
        <w:rPr>
          <w:b/>
          <w:bCs/>
        </w:rPr>
        <w:fldChar w:fldCharType="separate"/>
      </w:r>
      <w:r w:rsidR="005E6E46">
        <w:rPr>
          <w:b/>
          <w:bCs/>
          <w:noProof/>
        </w:rPr>
        <w:t>24</w:t>
      </w:r>
      <w:r w:rsidRPr="00332AB5">
        <w:rPr>
          <w:b/>
          <w:bCs/>
        </w:rPr>
        <w:fldChar w:fldCharType="end"/>
      </w:r>
      <w:r w:rsidRPr="00332AB5">
        <w:rPr>
          <w:b/>
          <w:bCs/>
        </w:rPr>
        <w:t xml:space="preserve">: Financijski pokazatelji statusa provedbe REACT-EU u sklopu Operativnog programa „Učinkoviti ljudski potencijali“ od početka provedbe do kraja izvještajnog razdoblja </w:t>
      </w:r>
      <w:r w:rsidR="0011067E" w:rsidRPr="00332AB5">
        <w:rPr>
          <w:b/>
          <w:bCs/>
        </w:rPr>
        <w:t>30. lipnja 2023.</w:t>
      </w:r>
      <w:r w:rsidRPr="00332AB5">
        <w:rPr>
          <w:b/>
          <w:bCs/>
        </w:rPr>
        <w:t xml:space="preserve"> (sredstva EU, u milijunima eura i postocima od dodijeljenih sredstava)</w:t>
      </w:r>
      <w:bookmarkEnd w:id="15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845"/>
        <w:gridCol w:w="879"/>
        <w:gridCol w:w="822"/>
        <w:gridCol w:w="902"/>
        <w:gridCol w:w="635"/>
        <w:gridCol w:w="1089"/>
        <w:gridCol w:w="635"/>
      </w:tblGrid>
      <w:tr w:rsidR="00EF7BBB" w:rsidRPr="00332AB5" w14:paraId="5B8BE557" w14:textId="77777777" w:rsidTr="00C66A23">
        <w:trPr>
          <w:trHeight w:val="737"/>
        </w:trPr>
        <w:tc>
          <w:tcPr>
            <w:tcW w:w="1179" w:type="dxa"/>
            <w:vAlign w:val="center"/>
          </w:tcPr>
          <w:p w14:paraId="5AFE71D2" w14:textId="77777777" w:rsidR="00EF7BBB" w:rsidRPr="00332AB5" w:rsidRDefault="00EF7BBB" w:rsidP="0071329B">
            <w:pPr>
              <w:spacing w:after="60"/>
              <w:rPr>
                <w:sz w:val="16"/>
                <w:szCs w:val="24"/>
              </w:rPr>
            </w:pPr>
            <w:r w:rsidRPr="00332AB5">
              <w:rPr>
                <w:rFonts w:asciiTheme="minorHAnsi" w:hAnsiTheme="minorHAnsi" w:cstheme="minorHAnsi"/>
                <w:sz w:val="16"/>
              </w:rPr>
              <w:t>Prioritetna os (PO)</w:t>
            </w:r>
          </w:p>
        </w:tc>
        <w:tc>
          <w:tcPr>
            <w:tcW w:w="998" w:type="dxa"/>
            <w:tcBorders>
              <w:bottom w:val="single" w:sz="4" w:space="0" w:color="808080" w:themeColor="background1" w:themeShade="80"/>
            </w:tcBorders>
            <w:vAlign w:val="center"/>
          </w:tcPr>
          <w:p w14:paraId="6E6163C5" w14:textId="77777777" w:rsidR="00EF7BBB" w:rsidRPr="00332AB5" w:rsidRDefault="00EF7BBB" w:rsidP="0071329B">
            <w:pPr>
              <w:spacing w:after="60"/>
              <w:jc w:val="right"/>
              <w:rPr>
                <w:sz w:val="16"/>
                <w:szCs w:val="24"/>
              </w:rPr>
            </w:pPr>
            <w:r w:rsidRPr="00332AB5">
              <w:rPr>
                <w:rFonts w:asciiTheme="minorHAnsi" w:hAnsiTheme="minorHAnsi" w:cstheme="minorHAnsi"/>
                <w:sz w:val="16"/>
              </w:rPr>
              <w:t>Dodijeljena sredstva</w:t>
            </w:r>
          </w:p>
        </w:tc>
        <w:tc>
          <w:tcPr>
            <w:tcW w:w="1089" w:type="dxa"/>
            <w:tcBorders>
              <w:bottom w:val="single" w:sz="4" w:space="0" w:color="808080" w:themeColor="background1" w:themeShade="80"/>
            </w:tcBorders>
            <w:vAlign w:val="center"/>
          </w:tcPr>
          <w:p w14:paraId="293D7EA5" w14:textId="77777777" w:rsidR="00EF7BBB" w:rsidRPr="00332AB5" w:rsidRDefault="00EF7BBB" w:rsidP="0071329B">
            <w:pPr>
              <w:spacing w:after="60"/>
              <w:jc w:val="right"/>
              <w:rPr>
                <w:sz w:val="16"/>
                <w:szCs w:val="24"/>
              </w:rPr>
            </w:pPr>
            <w:r w:rsidRPr="00332AB5">
              <w:rPr>
                <w:rFonts w:asciiTheme="minorHAnsi" w:hAnsiTheme="minorHAnsi" w:cstheme="minorHAnsi"/>
                <w:sz w:val="16"/>
              </w:rPr>
              <w:t>Ugovorena sredstva</w:t>
            </w:r>
          </w:p>
        </w:tc>
        <w:tc>
          <w:tcPr>
            <w:tcW w:w="845" w:type="dxa"/>
            <w:tcBorders>
              <w:bottom w:val="single" w:sz="4" w:space="0" w:color="808080" w:themeColor="background1" w:themeShade="80"/>
            </w:tcBorders>
            <w:vAlign w:val="center"/>
          </w:tcPr>
          <w:p w14:paraId="37304002" w14:textId="77777777" w:rsidR="00EF7BBB" w:rsidRPr="00332AB5" w:rsidRDefault="00EF7BBB" w:rsidP="0071329B">
            <w:pPr>
              <w:spacing w:after="60"/>
              <w:jc w:val="right"/>
              <w:rPr>
                <w:sz w:val="16"/>
                <w:szCs w:val="24"/>
              </w:rPr>
            </w:pPr>
            <w:r w:rsidRPr="00332AB5">
              <w:rPr>
                <w:rFonts w:asciiTheme="minorHAnsi" w:hAnsiTheme="minorHAnsi" w:cstheme="minorHAnsi"/>
                <w:sz w:val="16"/>
              </w:rPr>
              <w:t xml:space="preserve"> %</w:t>
            </w:r>
          </w:p>
        </w:tc>
        <w:tc>
          <w:tcPr>
            <w:tcW w:w="879" w:type="dxa"/>
            <w:tcBorders>
              <w:bottom w:val="single" w:sz="4" w:space="0" w:color="808080" w:themeColor="background1" w:themeShade="80"/>
            </w:tcBorders>
            <w:vAlign w:val="center"/>
          </w:tcPr>
          <w:p w14:paraId="51144BD1" w14:textId="77777777" w:rsidR="00EF7BBB" w:rsidRPr="00332AB5" w:rsidRDefault="00EF7BBB" w:rsidP="0071329B">
            <w:pPr>
              <w:spacing w:after="60"/>
              <w:jc w:val="right"/>
              <w:rPr>
                <w:sz w:val="16"/>
                <w:szCs w:val="24"/>
              </w:rPr>
            </w:pPr>
            <w:r w:rsidRPr="00332AB5">
              <w:rPr>
                <w:rFonts w:asciiTheme="minorHAnsi" w:hAnsiTheme="minorHAnsi" w:cstheme="minorHAnsi"/>
                <w:sz w:val="16"/>
              </w:rPr>
              <w:t>Plaćena sredstva</w:t>
            </w:r>
          </w:p>
        </w:tc>
        <w:tc>
          <w:tcPr>
            <w:tcW w:w="822" w:type="dxa"/>
            <w:tcBorders>
              <w:bottom w:val="single" w:sz="4" w:space="0" w:color="808080" w:themeColor="background1" w:themeShade="80"/>
            </w:tcBorders>
            <w:vAlign w:val="center"/>
          </w:tcPr>
          <w:p w14:paraId="12AD6885" w14:textId="77777777" w:rsidR="00EF7BBB" w:rsidRPr="00332AB5" w:rsidRDefault="00EF7BBB" w:rsidP="0071329B">
            <w:pPr>
              <w:spacing w:after="60"/>
              <w:jc w:val="right"/>
              <w:rPr>
                <w:sz w:val="16"/>
                <w:szCs w:val="24"/>
              </w:rPr>
            </w:pPr>
            <w:r w:rsidRPr="00332AB5">
              <w:rPr>
                <w:rFonts w:asciiTheme="minorHAnsi" w:hAnsiTheme="minorHAnsi" w:cstheme="minorHAnsi"/>
                <w:sz w:val="16"/>
              </w:rPr>
              <w:t xml:space="preserve"> %</w:t>
            </w:r>
          </w:p>
        </w:tc>
        <w:tc>
          <w:tcPr>
            <w:tcW w:w="902" w:type="dxa"/>
            <w:tcBorders>
              <w:bottom w:val="single" w:sz="4" w:space="0" w:color="808080" w:themeColor="background1" w:themeShade="80"/>
            </w:tcBorders>
            <w:vAlign w:val="center"/>
          </w:tcPr>
          <w:p w14:paraId="218F76C2" w14:textId="77777777" w:rsidR="00EF7BBB" w:rsidRPr="00332AB5" w:rsidRDefault="00EF7BBB" w:rsidP="0071329B">
            <w:pPr>
              <w:spacing w:after="60"/>
              <w:jc w:val="right"/>
              <w:rPr>
                <w:sz w:val="16"/>
                <w:szCs w:val="24"/>
              </w:rPr>
            </w:pPr>
            <w:r w:rsidRPr="00332AB5">
              <w:rPr>
                <w:rFonts w:asciiTheme="minorHAnsi" w:hAnsiTheme="minorHAnsi" w:cstheme="minorHAnsi"/>
                <w:sz w:val="16"/>
              </w:rPr>
              <w:t>Ovjerena sredstva</w:t>
            </w:r>
          </w:p>
        </w:tc>
        <w:tc>
          <w:tcPr>
            <w:tcW w:w="635" w:type="dxa"/>
            <w:tcBorders>
              <w:bottom w:val="single" w:sz="4" w:space="0" w:color="808080" w:themeColor="background1" w:themeShade="80"/>
            </w:tcBorders>
            <w:vAlign w:val="center"/>
          </w:tcPr>
          <w:p w14:paraId="17CBAC0C" w14:textId="77777777" w:rsidR="00EF7BBB" w:rsidRPr="00332AB5" w:rsidRDefault="00EF7BBB" w:rsidP="0071329B">
            <w:pPr>
              <w:spacing w:after="60"/>
              <w:jc w:val="right"/>
              <w:rPr>
                <w:sz w:val="16"/>
                <w:szCs w:val="24"/>
              </w:rPr>
            </w:pPr>
            <w:r w:rsidRPr="00332AB5">
              <w:rPr>
                <w:rFonts w:asciiTheme="minorHAnsi" w:hAnsiTheme="minorHAnsi" w:cstheme="minorHAnsi"/>
                <w:sz w:val="16"/>
              </w:rPr>
              <w:t xml:space="preserve"> %</w:t>
            </w:r>
          </w:p>
        </w:tc>
        <w:tc>
          <w:tcPr>
            <w:tcW w:w="1089" w:type="dxa"/>
            <w:tcBorders>
              <w:bottom w:val="single" w:sz="4" w:space="0" w:color="808080" w:themeColor="background1" w:themeShade="80"/>
            </w:tcBorders>
            <w:vAlign w:val="center"/>
          </w:tcPr>
          <w:p w14:paraId="7B940B58" w14:textId="77777777" w:rsidR="00EF7BBB" w:rsidRPr="00332AB5" w:rsidRDefault="00EF7BBB" w:rsidP="0071329B">
            <w:pPr>
              <w:spacing w:after="60"/>
              <w:jc w:val="right"/>
              <w:rPr>
                <w:sz w:val="16"/>
                <w:szCs w:val="24"/>
              </w:rPr>
            </w:pPr>
            <w:r w:rsidRPr="00332AB5">
              <w:rPr>
                <w:rFonts w:asciiTheme="minorHAnsi" w:hAnsiTheme="minorHAnsi" w:cstheme="minorHAnsi"/>
                <w:sz w:val="16"/>
              </w:rPr>
              <w:t>Doznačena sredstva</w:t>
            </w:r>
          </w:p>
        </w:tc>
        <w:tc>
          <w:tcPr>
            <w:tcW w:w="635" w:type="dxa"/>
            <w:tcBorders>
              <w:bottom w:val="single" w:sz="4" w:space="0" w:color="808080" w:themeColor="background1" w:themeShade="80"/>
            </w:tcBorders>
            <w:vAlign w:val="center"/>
          </w:tcPr>
          <w:p w14:paraId="798417A4" w14:textId="77777777" w:rsidR="00EF7BBB" w:rsidRPr="00332AB5" w:rsidRDefault="00EF7BBB" w:rsidP="0071329B">
            <w:pPr>
              <w:spacing w:after="60"/>
              <w:jc w:val="right"/>
              <w:rPr>
                <w:sz w:val="16"/>
                <w:szCs w:val="24"/>
              </w:rPr>
            </w:pPr>
            <w:r w:rsidRPr="00332AB5">
              <w:rPr>
                <w:rFonts w:asciiTheme="minorHAnsi" w:hAnsiTheme="minorHAnsi" w:cstheme="minorHAnsi"/>
                <w:sz w:val="16"/>
              </w:rPr>
              <w:t xml:space="preserve"> %</w:t>
            </w:r>
          </w:p>
        </w:tc>
      </w:tr>
      <w:tr w:rsidR="00EF7BBB" w:rsidRPr="00332AB5" w14:paraId="012C51CE" w14:textId="77777777" w:rsidTr="00C66A23">
        <w:trPr>
          <w:trHeight w:val="113"/>
        </w:trPr>
        <w:tc>
          <w:tcPr>
            <w:tcW w:w="1179" w:type="dxa"/>
            <w:vAlign w:val="center"/>
          </w:tcPr>
          <w:p w14:paraId="20EA10B3" w14:textId="77777777" w:rsidR="00EF7BBB" w:rsidRPr="00332AB5" w:rsidRDefault="00EF7BBB" w:rsidP="0071329B">
            <w:pPr>
              <w:rPr>
                <w:rFonts w:asciiTheme="minorHAnsi" w:hAnsiTheme="minorHAnsi" w:cstheme="minorHAnsi"/>
                <w:sz w:val="8"/>
                <w:szCs w:val="24"/>
              </w:rPr>
            </w:pPr>
          </w:p>
        </w:tc>
        <w:tc>
          <w:tcPr>
            <w:tcW w:w="998" w:type="dxa"/>
            <w:tcBorders>
              <w:top w:val="single" w:sz="4" w:space="0" w:color="808080" w:themeColor="background1" w:themeShade="80"/>
            </w:tcBorders>
            <w:vAlign w:val="center"/>
          </w:tcPr>
          <w:p w14:paraId="4E8F718D" w14:textId="77777777" w:rsidR="00EF7BBB" w:rsidRPr="00332AB5" w:rsidRDefault="00EF7BBB" w:rsidP="0071329B">
            <w:pPr>
              <w:jc w:val="right"/>
              <w:rPr>
                <w:rFonts w:asciiTheme="minorHAnsi" w:hAnsiTheme="minorHAnsi" w:cstheme="minorHAnsi"/>
                <w:sz w:val="8"/>
                <w:szCs w:val="24"/>
              </w:rPr>
            </w:pPr>
          </w:p>
        </w:tc>
        <w:tc>
          <w:tcPr>
            <w:tcW w:w="1089" w:type="dxa"/>
            <w:tcBorders>
              <w:top w:val="single" w:sz="4" w:space="0" w:color="808080" w:themeColor="background1" w:themeShade="80"/>
            </w:tcBorders>
            <w:vAlign w:val="center"/>
          </w:tcPr>
          <w:p w14:paraId="700415D9" w14:textId="77777777" w:rsidR="00EF7BBB" w:rsidRPr="00332AB5" w:rsidRDefault="00EF7BBB" w:rsidP="0071329B">
            <w:pPr>
              <w:jc w:val="right"/>
              <w:rPr>
                <w:rFonts w:asciiTheme="minorHAnsi" w:hAnsiTheme="minorHAnsi" w:cstheme="minorHAnsi"/>
                <w:sz w:val="8"/>
                <w:szCs w:val="24"/>
              </w:rPr>
            </w:pPr>
          </w:p>
        </w:tc>
        <w:tc>
          <w:tcPr>
            <w:tcW w:w="845" w:type="dxa"/>
            <w:tcBorders>
              <w:top w:val="single" w:sz="4" w:space="0" w:color="808080" w:themeColor="background1" w:themeShade="80"/>
            </w:tcBorders>
            <w:vAlign w:val="center"/>
          </w:tcPr>
          <w:p w14:paraId="67C707B0" w14:textId="77777777" w:rsidR="00EF7BBB" w:rsidRPr="00332AB5" w:rsidRDefault="00EF7BBB" w:rsidP="0071329B">
            <w:pPr>
              <w:jc w:val="right"/>
              <w:rPr>
                <w:rFonts w:asciiTheme="minorHAnsi" w:hAnsiTheme="minorHAnsi" w:cstheme="minorHAnsi"/>
                <w:sz w:val="8"/>
                <w:szCs w:val="24"/>
              </w:rPr>
            </w:pPr>
          </w:p>
        </w:tc>
        <w:tc>
          <w:tcPr>
            <w:tcW w:w="879" w:type="dxa"/>
            <w:tcBorders>
              <w:top w:val="single" w:sz="4" w:space="0" w:color="808080" w:themeColor="background1" w:themeShade="80"/>
            </w:tcBorders>
            <w:vAlign w:val="center"/>
          </w:tcPr>
          <w:p w14:paraId="597ECD78" w14:textId="77777777" w:rsidR="00EF7BBB" w:rsidRPr="00332AB5" w:rsidRDefault="00EF7BBB" w:rsidP="0071329B">
            <w:pPr>
              <w:jc w:val="right"/>
              <w:rPr>
                <w:rFonts w:asciiTheme="minorHAnsi" w:hAnsiTheme="minorHAnsi" w:cstheme="minorHAnsi"/>
                <w:sz w:val="8"/>
                <w:szCs w:val="24"/>
              </w:rPr>
            </w:pPr>
          </w:p>
        </w:tc>
        <w:tc>
          <w:tcPr>
            <w:tcW w:w="822" w:type="dxa"/>
            <w:tcBorders>
              <w:top w:val="single" w:sz="4" w:space="0" w:color="808080" w:themeColor="background1" w:themeShade="80"/>
            </w:tcBorders>
            <w:vAlign w:val="center"/>
          </w:tcPr>
          <w:p w14:paraId="709D48F6" w14:textId="77777777" w:rsidR="00EF7BBB" w:rsidRPr="00332AB5" w:rsidRDefault="00EF7BBB" w:rsidP="0071329B">
            <w:pPr>
              <w:jc w:val="right"/>
              <w:rPr>
                <w:rFonts w:asciiTheme="minorHAnsi" w:hAnsiTheme="minorHAnsi" w:cstheme="minorHAnsi"/>
                <w:sz w:val="8"/>
                <w:szCs w:val="24"/>
              </w:rPr>
            </w:pPr>
          </w:p>
        </w:tc>
        <w:tc>
          <w:tcPr>
            <w:tcW w:w="902" w:type="dxa"/>
            <w:tcBorders>
              <w:top w:val="single" w:sz="4" w:space="0" w:color="808080" w:themeColor="background1" w:themeShade="80"/>
            </w:tcBorders>
            <w:vAlign w:val="center"/>
          </w:tcPr>
          <w:p w14:paraId="5D04F36F" w14:textId="77777777" w:rsidR="00EF7BBB" w:rsidRPr="00332AB5" w:rsidRDefault="00EF7BBB" w:rsidP="0071329B">
            <w:pPr>
              <w:jc w:val="right"/>
              <w:rPr>
                <w:rFonts w:asciiTheme="minorHAnsi" w:hAnsiTheme="minorHAnsi" w:cstheme="minorHAnsi"/>
                <w:sz w:val="8"/>
                <w:szCs w:val="24"/>
              </w:rPr>
            </w:pPr>
          </w:p>
        </w:tc>
        <w:tc>
          <w:tcPr>
            <w:tcW w:w="635" w:type="dxa"/>
            <w:tcBorders>
              <w:top w:val="single" w:sz="4" w:space="0" w:color="808080" w:themeColor="background1" w:themeShade="80"/>
            </w:tcBorders>
            <w:vAlign w:val="center"/>
          </w:tcPr>
          <w:p w14:paraId="21FBE316" w14:textId="77777777" w:rsidR="00EF7BBB" w:rsidRPr="00332AB5" w:rsidRDefault="00EF7BBB" w:rsidP="0071329B">
            <w:pPr>
              <w:jc w:val="right"/>
              <w:rPr>
                <w:rFonts w:asciiTheme="minorHAnsi" w:hAnsiTheme="minorHAnsi" w:cstheme="minorHAnsi"/>
                <w:sz w:val="8"/>
                <w:szCs w:val="24"/>
              </w:rPr>
            </w:pPr>
          </w:p>
        </w:tc>
        <w:tc>
          <w:tcPr>
            <w:tcW w:w="1089" w:type="dxa"/>
            <w:tcBorders>
              <w:top w:val="single" w:sz="4" w:space="0" w:color="808080" w:themeColor="background1" w:themeShade="80"/>
            </w:tcBorders>
            <w:vAlign w:val="center"/>
          </w:tcPr>
          <w:p w14:paraId="57437CD6" w14:textId="77777777" w:rsidR="00EF7BBB" w:rsidRPr="00332AB5" w:rsidRDefault="00EF7BBB" w:rsidP="0071329B">
            <w:pPr>
              <w:jc w:val="right"/>
              <w:rPr>
                <w:rFonts w:asciiTheme="minorHAnsi" w:hAnsiTheme="minorHAnsi" w:cstheme="minorHAnsi"/>
                <w:sz w:val="8"/>
                <w:szCs w:val="24"/>
              </w:rPr>
            </w:pPr>
          </w:p>
        </w:tc>
        <w:tc>
          <w:tcPr>
            <w:tcW w:w="635" w:type="dxa"/>
            <w:tcBorders>
              <w:top w:val="single" w:sz="4" w:space="0" w:color="808080" w:themeColor="background1" w:themeShade="80"/>
            </w:tcBorders>
            <w:vAlign w:val="center"/>
          </w:tcPr>
          <w:p w14:paraId="53190046" w14:textId="77777777" w:rsidR="00EF7BBB" w:rsidRPr="00332AB5" w:rsidRDefault="00EF7BBB" w:rsidP="0071329B">
            <w:pPr>
              <w:jc w:val="right"/>
              <w:rPr>
                <w:rFonts w:asciiTheme="minorHAnsi" w:hAnsiTheme="minorHAnsi" w:cstheme="minorHAnsi"/>
                <w:sz w:val="8"/>
                <w:szCs w:val="24"/>
              </w:rPr>
            </w:pPr>
          </w:p>
        </w:tc>
      </w:tr>
      <w:tr w:rsidR="00C66A23" w:rsidRPr="00332AB5" w14:paraId="4CCF2901" w14:textId="77777777" w:rsidTr="00C66A23">
        <w:trPr>
          <w:trHeight w:val="397"/>
        </w:trPr>
        <w:tc>
          <w:tcPr>
            <w:tcW w:w="1179" w:type="dxa"/>
            <w:vAlign w:val="center"/>
          </w:tcPr>
          <w:p w14:paraId="1C4AED2E" w14:textId="77777777" w:rsidR="00C66A23" w:rsidRPr="00332AB5" w:rsidRDefault="00C66A23" w:rsidP="00C66A23">
            <w:pPr>
              <w:rPr>
                <w:rFonts w:asciiTheme="minorHAnsi" w:hAnsiTheme="minorHAnsi" w:cstheme="minorHAnsi"/>
                <w:sz w:val="18"/>
                <w:szCs w:val="18"/>
              </w:rPr>
            </w:pPr>
            <w:r w:rsidRPr="00332AB5">
              <w:rPr>
                <w:rFonts w:asciiTheme="minorHAnsi" w:hAnsiTheme="minorHAnsi" w:cstheme="minorHAnsi"/>
                <w:sz w:val="18"/>
                <w:szCs w:val="18"/>
              </w:rPr>
              <w:t xml:space="preserve">PO </w:t>
            </w:r>
            <w:r w:rsidRPr="00332AB5">
              <w:rPr>
                <w:rFonts w:asciiTheme="minorHAnsi" w:hAnsiTheme="minorHAnsi" w:cstheme="minorBidi"/>
                <w:sz w:val="18"/>
                <w:szCs w:val="18"/>
              </w:rPr>
              <w:t>6</w:t>
            </w:r>
          </w:p>
        </w:tc>
        <w:tc>
          <w:tcPr>
            <w:tcW w:w="998" w:type="dxa"/>
            <w:vAlign w:val="center"/>
          </w:tcPr>
          <w:p w14:paraId="0179D109" w14:textId="77777777" w:rsidR="00C66A23" w:rsidRPr="00332AB5" w:rsidRDefault="00C66A23" w:rsidP="00C66A23">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530,00</w:t>
            </w:r>
          </w:p>
        </w:tc>
        <w:tc>
          <w:tcPr>
            <w:tcW w:w="1089" w:type="dxa"/>
            <w:vAlign w:val="center"/>
          </w:tcPr>
          <w:p w14:paraId="395504A6" w14:textId="3CA601F8" w:rsidR="00C66A23" w:rsidRPr="00332AB5" w:rsidRDefault="00C66A23" w:rsidP="00C66A23">
            <w:pPr>
              <w:jc w:val="right"/>
              <w:rPr>
                <w:rFonts w:asciiTheme="minorHAnsi" w:hAnsiTheme="minorHAnsi" w:cstheme="minorHAnsi"/>
                <w:color w:val="000000"/>
                <w:sz w:val="18"/>
                <w:szCs w:val="18"/>
              </w:rPr>
            </w:pPr>
            <w:r w:rsidRPr="00332AB5">
              <w:rPr>
                <w:rFonts w:ascii="Calibri" w:hAnsi="Calibri"/>
                <w:color w:val="000000" w:themeColor="text1"/>
                <w:sz w:val="18"/>
                <w:szCs w:val="18"/>
              </w:rPr>
              <w:t>560,00</w:t>
            </w:r>
          </w:p>
        </w:tc>
        <w:tc>
          <w:tcPr>
            <w:tcW w:w="845" w:type="dxa"/>
            <w:vAlign w:val="center"/>
          </w:tcPr>
          <w:p w14:paraId="0DA0233F" w14:textId="5662B12A" w:rsidR="00C66A23" w:rsidRPr="00332AB5" w:rsidRDefault="00C66A23" w:rsidP="00C66A23">
            <w:pPr>
              <w:jc w:val="right"/>
              <w:rPr>
                <w:rFonts w:asciiTheme="minorHAnsi" w:hAnsiTheme="minorHAnsi" w:cstheme="minorHAnsi"/>
                <w:color w:val="000000"/>
                <w:sz w:val="18"/>
                <w:szCs w:val="18"/>
              </w:rPr>
            </w:pPr>
            <w:r w:rsidRPr="00332AB5">
              <w:rPr>
                <w:rFonts w:ascii="Calibri" w:hAnsi="Calibri"/>
                <w:color w:val="000000" w:themeColor="text1"/>
              </w:rPr>
              <w:t>105,66</w:t>
            </w:r>
          </w:p>
        </w:tc>
        <w:tc>
          <w:tcPr>
            <w:tcW w:w="879" w:type="dxa"/>
            <w:vAlign w:val="center"/>
          </w:tcPr>
          <w:p w14:paraId="5374E16E" w14:textId="0B16D371" w:rsidR="00C66A23" w:rsidRPr="00332AB5" w:rsidRDefault="00C66A23" w:rsidP="00C66A23">
            <w:pPr>
              <w:jc w:val="right"/>
              <w:rPr>
                <w:rFonts w:asciiTheme="minorHAnsi" w:hAnsiTheme="minorHAnsi" w:cstheme="minorHAnsi"/>
                <w:color w:val="000000"/>
                <w:sz w:val="18"/>
                <w:szCs w:val="18"/>
              </w:rPr>
            </w:pPr>
            <w:r w:rsidRPr="00332AB5">
              <w:rPr>
                <w:rFonts w:ascii="Calibri" w:hAnsi="Calibri"/>
              </w:rPr>
              <w:t>560,00</w:t>
            </w:r>
          </w:p>
        </w:tc>
        <w:tc>
          <w:tcPr>
            <w:tcW w:w="822" w:type="dxa"/>
            <w:vAlign w:val="center"/>
          </w:tcPr>
          <w:p w14:paraId="45F925FB" w14:textId="588C3BBA" w:rsidR="00C66A23" w:rsidRPr="00332AB5" w:rsidRDefault="00C66A23" w:rsidP="00C66A23">
            <w:pPr>
              <w:jc w:val="right"/>
              <w:rPr>
                <w:rFonts w:asciiTheme="minorHAnsi" w:hAnsiTheme="minorHAnsi" w:cstheme="minorHAnsi"/>
                <w:color w:val="000000"/>
                <w:sz w:val="18"/>
                <w:szCs w:val="18"/>
              </w:rPr>
            </w:pPr>
            <w:r w:rsidRPr="00332AB5">
              <w:rPr>
                <w:rFonts w:ascii="Calibri" w:hAnsi="Calibri"/>
                <w:color w:val="000000" w:themeColor="text1"/>
              </w:rPr>
              <w:t>105,66</w:t>
            </w:r>
          </w:p>
        </w:tc>
        <w:tc>
          <w:tcPr>
            <w:tcW w:w="902" w:type="dxa"/>
            <w:vAlign w:val="center"/>
          </w:tcPr>
          <w:p w14:paraId="0232F30B" w14:textId="77777777" w:rsidR="00C66A23" w:rsidRPr="00332AB5" w:rsidRDefault="00C66A23" w:rsidP="00C66A23">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vAlign w:val="center"/>
          </w:tcPr>
          <w:p w14:paraId="77A28CD6" w14:textId="77777777" w:rsidR="00C66A23" w:rsidRPr="00332AB5" w:rsidRDefault="00C66A23" w:rsidP="00C66A23">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vAlign w:val="center"/>
          </w:tcPr>
          <w:p w14:paraId="3201F584" w14:textId="408E61AE" w:rsidR="00C66A23" w:rsidRPr="00332AB5" w:rsidRDefault="00C66A23" w:rsidP="00C66A23">
            <w:pPr>
              <w:jc w:val="right"/>
              <w:rPr>
                <w:rFonts w:asciiTheme="minorHAnsi" w:hAnsiTheme="minorHAnsi" w:cstheme="minorHAnsi"/>
                <w:sz w:val="18"/>
                <w:szCs w:val="18"/>
              </w:rPr>
            </w:pPr>
            <w:r w:rsidRPr="00332AB5">
              <w:rPr>
                <w:rFonts w:asciiTheme="minorHAnsi" w:hAnsiTheme="minorHAnsi" w:cstheme="minorHAnsi"/>
                <w:sz w:val="18"/>
                <w:szCs w:val="18"/>
              </w:rPr>
              <w:t>90,10</w:t>
            </w:r>
          </w:p>
        </w:tc>
        <w:tc>
          <w:tcPr>
            <w:tcW w:w="635" w:type="dxa"/>
            <w:vAlign w:val="center"/>
          </w:tcPr>
          <w:p w14:paraId="1034989B" w14:textId="6C3B0138" w:rsidR="00C66A23" w:rsidRPr="00332AB5" w:rsidRDefault="00C66A23" w:rsidP="00C66A23">
            <w:pPr>
              <w:jc w:val="right"/>
              <w:rPr>
                <w:rFonts w:asciiTheme="minorHAnsi" w:hAnsiTheme="minorHAnsi" w:cstheme="minorHAnsi"/>
                <w:sz w:val="18"/>
                <w:szCs w:val="18"/>
              </w:rPr>
            </w:pPr>
            <w:r w:rsidRPr="00332AB5">
              <w:rPr>
                <w:rFonts w:asciiTheme="minorHAnsi" w:hAnsiTheme="minorHAnsi" w:cstheme="minorHAnsi"/>
                <w:sz w:val="18"/>
                <w:szCs w:val="18"/>
              </w:rPr>
              <w:t>17,00</w:t>
            </w:r>
          </w:p>
        </w:tc>
      </w:tr>
      <w:tr w:rsidR="00C66A23" w:rsidRPr="00332AB5" w14:paraId="7F225D51" w14:textId="77777777" w:rsidTr="00C66A23">
        <w:trPr>
          <w:trHeight w:val="510"/>
        </w:trPr>
        <w:tc>
          <w:tcPr>
            <w:tcW w:w="1179" w:type="dxa"/>
            <w:vAlign w:val="center"/>
          </w:tcPr>
          <w:p w14:paraId="4264FC21" w14:textId="77777777" w:rsidR="00C66A23" w:rsidRPr="00332AB5" w:rsidRDefault="00C66A23" w:rsidP="00C66A23">
            <w:pPr>
              <w:rPr>
                <w:rFonts w:asciiTheme="minorHAnsi" w:hAnsiTheme="minorHAnsi" w:cstheme="minorHAnsi"/>
                <w:sz w:val="18"/>
                <w:szCs w:val="24"/>
              </w:rPr>
            </w:pPr>
            <w:r w:rsidRPr="00332AB5">
              <w:rPr>
                <w:rFonts w:asciiTheme="minorHAnsi" w:hAnsiTheme="minorHAnsi" w:cstheme="minorHAnsi"/>
                <w:sz w:val="18"/>
              </w:rPr>
              <w:t>UKUPNO</w:t>
            </w:r>
          </w:p>
        </w:tc>
        <w:tc>
          <w:tcPr>
            <w:tcW w:w="998" w:type="dxa"/>
            <w:tcBorders>
              <w:top w:val="single" w:sz="4" w:space="0" w:color="808080" w:themeColor="background1" w:themeShade="80"/>
              <w:bottom w:val="single" w:sz="4" w:space="0" w:color="808080" w:themeColor="background1" w:themeShade="80"/>
            </w:tcBorders>
            <w:vAlign w:val="center"/>
          </w:tcPr>
          <w:p w14:paraId="372965FD" w14:textId="77777777" w:rsidR="00C66A23" w:rsidRPr="00332AB5" w:rsidRDefault="00C66A23" w:rsidP="00C66A23">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530,00</w:t>
            </w:r>
          </w:p>
        </w:tc>
        <w:tc>
          <w:tcPr>
            <w:tcW w:w="1089" w:type="dxa"/>
            <w:tcBorders>
              <w:top w:val="single" w:sz="4" w:space="0" w:color="808080" w:themeColor="background1" w:themeShade="80"/>
              <w:bottom w:val="single" w:sz="4" w:space="0" w:color="808080" w:themeColor="background1" w:themeShade="80"/>
            </w:tcBorders>
            <w:vAlign w:val="center"/>
          </w:tcPr>
          <w:p w14:paraId="4A3A793F" w14:textId="1B3465B6" w:rsidR="00C66A23" w:rsidRPr="00332AB5" w:rsidRDefault="00C66A23" w:rsidP="00C66A23">
            <w:pPr>
              <w:jc w:val="right"/>
              <w:rPr>
                <w:rFonts w:asciiTheme="minorHAnsi" w:hAnsiTheme="minorHAnsi" w:cstheme="minorHAnsi"/>
                <w:color w:val="000000"/>
                <w:sz w:val="18"/>
                <w:szCs w:val="18"/>
              </w:rPr>
            </w:pPr>
            <w:r w:rsidRPr="00332AB5">
              <w:rPr>
                <w:rFonts w:asciiTheme="minorHAnsi" w:hAnsiTheme="minorHAnsi" w:cstheme="minorBidi"/>
                <w:color w:val="000000" w:themeColor="text1"/>
                <w:sz w:val="18"/>
                <w:szCs w:val="18"/>
              </w:rPr>
              <w:t>560,00</w:t>
            </w:r>
          </w:p>
        </w:tc>
        <w:tc>
          <w:tcPr>
            <w:tcW w:w="845" w:type="dxa"/>
            <w:tcBorders>
              <w:top w:val="single" w:sz="4" w:space="0" w:color="808080" w:themeColor="background1" w:themeShade="80"/>
              <w:bottom w:val="single" w:sz="4" w:space="0" w:color="808080" w:themeColor="background1" w:themeShade="80"/>
            </w:tcBorders>
            <w:vAlign w:val="center"/>
          </w:tcPr>
          <w:p w14:paraId="404A33AA" w14:textId="4D7B9914" w:rsidR="00C66A23" w:rsidRPr="00332AB5" w:rsidRDefault="00C66A23" w:rsidP="00C66A23">
            <w:pPr>
              <w:jc w:val="right"/>
              <w:rPr>
                <w:rFonts w:asciiTheme="minorHAnsi" w:hAnsiTheme="minorHAnsi" w:cstheme="minorHAnsi"/>
                <w:color w:val="000000"/>
                <w:sz w:val="18"/>
                <w:szCs w:val="18"/>
              </w:rPr>
            </w:pPr>
            <w:r w:rsidRPr="00332AB5">
              <w:rPr>
                <w:rFonts w:asciiTheme="minorHAnsi" w:hAnsiTheme="minorHAnsi" w:cstheme="minorBidi"/>
                <w:color w:val="000000" w:themeColor="text1"/>
                <w:sz w:val="18"/>
                <w:szCs w:val="18"/>
              </w:rPr>
              <w:t>105,66</w:t>
            </w:r>
          </w:p>
        </w:tc>
        <w:tc>
          <w:tcPr>
            <w:tcW w:w="879" w:type="dxa"/>
            <w:tcBorders>
              <w:top w:val="single" w:sz="4" w:space="0" w:color="808080" w:themeColor="background1" w:themeShade="80"/>
              <w:bottom w:val="single" w:sz="4" w:space="0" w:color="808080" w:themeColor="background1" w:themeShade="80"/>
            </w:tcBorders>
            <w:vAlign w:val="center"/>
          </w:tcPr>
          <w:p w14:paraId="79ACC90F" w14:textId="09D1B369" w:rsidR="00C66A23" w:rsidRPr="00332AB5" w:rsidRDefault="00C66A23" w:rsidP="00C66A23">
            <w:pPr>
              <w:jc w:val="right"/>
              <w:rPr>
                <w:rFonts w:asciiTheme="minorHAnsi" w:hAnsiTheme="minorHAnsi" w:cstheme="minorHAnsi"/>
                <w:color w:val="000000"/>
                <w:sz w:val="18"/>
                <w:szCs w:val="18"/>
              </w:rPr>
            </w:pPr>
            <w:r w:rsidRPr="00332AB5">
              <w:rPr>
                <w:rFonts w:asciiTheme="minorHAnsi" w:hAnsiTheme="minorHAnsi" w:cstheme="minorBidi"/>
                <w:color w:val="000000" w:themeColor="text1"/>
                <w:sz w:val="18"/>
                <w:szCs w:val="18"/>
              </w:rPr>
              <w:t>560,00</w:t>
            </w:r>
          </w:p>
        </w:tc>
        <w:tc>
          <w:tcPr>
            <w:tcW w:w="822" w:type="dxa"/>
            <w:tcBorders>
              <w:top w:val="single" w:sz="4" w:space="0" w:color="808080" w:themeColor="background1" w:themeShade="80"/>
              <w:bottom w:val="single" w:sz="4" w:space="0" w:color="808080" w:themeColor="background1" w:themeShade="80"/>
            </w:tcBorders>
            <w:vAlign w:val="center"/>
          </w:tcPr>
          <w:p w14:paraId="74AA4F83" w14:textId="42BF2C6A" w:rsidR="00C66A23" w:rsidRPr="00332AB5" w:rsidRDefault="00C66A23" w:rsidP="00C66A23">
            <w:pPr>
              <w:jc w:val="right"/>
              <w:rPr>
                <w:rFonts w:asciiTheme="minorHAnsi" w:hAnsiTheme="minorHAnsi" w:cstheme="minorHAnsi"/>
                <w:color w:val="000000"/>
                <w:sz w:val="18"/>
                <w:szCs w:val="18"/>
              </w:rPr>
            </w:pPr>
            <w:r w:rsidRPr="00332AB5">
              <w:rPr>
                <w:rFonts w:asciiTheme="minorHAnsi" w:hAnsiTheme="minorHAnsi" w:cstheme="minorBidi"/>
                <w:color w:val="000000" w:themeColor="text1"/>
                <w:sz w:val="18"/>
                <w:szCs w:val="18"/>
              </w:rPr>
              <w:t>105,66</w:t>
            </w:r>
          </w:p>
        </w:tc>
        <w:tc>
          <w:tcPr>
            <w:tcW w:w="902" w:type="dxa"/>
            <w:tcBorders>
              <w:top w:val="single" w:sz="4" w:space="0" w:color="808080" w:themeColor="background1" w:themeShade="80"/>
              <w:bottom w:val="single" w:sz="4" w:space="0" w:color="808080" w:themeColor="background1" w:themeShade="80"/>
            </w:tcBorders>
            <w:vAlign w:val="center"/>
          </w:tcPr>
          <w:p w14:paraId="44B95996" w14:textId="77777777" w:rsidR="00C66A23" w:rsidRPr="00332AB5" w:rsidRDefault="00C66A23" w:rsidP="00C66A23">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tcBorders>
              <w:top w:val="single" w:sz="4" w:space="0" w:color="808080" w:themeColor="background1" w:themeShade="80"/>
              <w:bottom w:val="single" w:sz="4" w:space="0" w:color="808080" w:themeColor="background1" w:themeShade="80"/>
            </w:tcBorders>
            <w:vAlign w:val="center"/>
          </w:tcPr>
          <w:p w14:paraId="15AEB938" w14:textId="77777777" w:rsidR="00C66A23" w:rsidRPr="00332AB5" w:rsidRDefault="00C66A23" w:rsidP="00C66A23">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tcBorders>
              <w:top w:val="single" w:sz="4" w:space="0" w:color="808080" w:themeColor="background1" w:themeShade="80"/>
              <w:bottom w:val="single" w:sz="4" w:space="0" w:color="808080" w:themeColor="background1" w:themeShade="80"/>
            </w:tcBorders>
            <w:vAlign w:val="center"/>
          </w:tcPr>
          <w:p w14:paraId="6B045822" w14:textId="3C777BB8" w:rsidR="00C66A23" w:rsidRPr="00332AB5" w:rsidRDefault="00C66A23" w:rsidP="00C66A23">
            <w:pPr>
              <w:jc w:val="right"/>
              <w:rPr>
                <w:rFonts w:asciiTheme="minorHAnsi" w:hAnsiTheme="minorHAnsi" w:cstheme="minorHAnsi"/>
                <w:sz w:val="18"/>
                <w:szCs w:val="18"/>
              </w:rPr>
            </w:pPr>
            <w:r w:rsidRPr="00332AB5">
              <w:rPr>
                <w:rFonts w:asciiTheme="minorHAnsi" w:hAnsiTheme="minorHAnsi" w:cstheme="minorHAnsi"/>
                <w:sz w:val="18"/>
                <w:szCs w:val="18"/>
              </w:rPr>
              <w:t>90,10</w:t>
            </w:r>
          </w:p>
        </w:tc>
        <w:tc>
          <w:tcPr>
            <w:tcW w:w="635" w:type="dxa"/>
            <w:tcBorders>
              <w:top w:val="single" w:sz="4" w:space="0" w:color="808080" w:themeColor="background1" w:themeShade="80"/>
              <w:bottom w:val="single" w:sz="4" w:space="0" w:color="808080" w:themeColor="background1" w:themeShade="80"/>
            </w:tcBorders>
            <w:vAlign w:val="center"/>
          </w:tcPr>
          <w:p w14:paraId="20B5F26F" w14:textId="1CDBBF65" w:rsidR="00C66A23" w:rsidRPr="00332AB5" w:rsidRDefault="00C66A23" w:rsidP="00C66A23">
            <w:pPr>
              <w:jc w:val="right"/>
              <w:rPr>
                <w:rFonts w:asciiTheme="minorHAnsi" w:hAnsiTheme="minorHAnsi" w:cstheme="minorHAnsi"/>
                <w:sz w:val="18"/>
                <w:szCs w:val="18"/>
              </w:rPr>
            </w:pPr>
            <w:r w:rsidRPr="00332AB5">
              <w:rPr>
                <w:rFonts w:asciiTheme="minorHAnsi" w:hAnsiTheme="minorHAnsi" w:cstheme="minorHAnsi"/>
                <w:sz w:val="18"/>
                <w:szCs w:val="18"/>
              </w:rPr>
              <w:t>17,00</w:t>
            </w:r>
          </w:p>
        </w:tc>
      </w:tr>
    </w:tbl>
    <w:p w14:paraId="6462FA30" w14:textId="77777777" w:rsidR="00EF7BBB" w:rsidRPr="00332AB5" w:rsidRDefault="00EF7BBB" w:rsidP="00EF7BBB"/>
    <w:p w14:paraId="1B01DCBA" w14:textId="77777777" w:rsidR="00EF7BBB" w:rsidRPr="00332AB5" w:rsidRDefault="00EF7BBB" w:rsidP="0006163F"/>
    <w:p w14:paraId="771D3256" w14:textId="7C173489" w:rsidR="00951B5A" w:rsidRPr="00332AB5" w:rsidRDefault="00951B5A" w:rsidP="000F7DC9">
      <w:pPr>
        <w:keepNext/>
        <w:numPr>
          <w:ilvl w:val="2"/>
          <w:numId w:val="3"/>
        </w:numPr>
        <w:spacing w:before="240" w:after="240"/>
        <w:outlineLvl w:val="2"/>
        <w:rPr>
          <w:sz w:val="24"/>
          <w:szCs w:val="26"/>
        </w:rPr>
      </w:pPr>
      <w:bookmarkStart w:id="151" w:name="_Toc152595244"/>
      <w:r w:rsidRPr="00332AB5">
        <w:rPr>
          <w:sz w:val="24"/>
          <w:szCs w:val="26"/>
        </w:rPr>
        <w:t>OPERATIVNI PROGRAM ZA HRANU I/ILI OSNOVNU MATERIJALNU POMOĆ U OKVIRU FONDA EUROPSKE POMOĆI ZA NAJPOTREBITIJE</w:t>
      </w:r>
      <w:bookmarkEnd w:id="151"/>
    </w:p>
    <w:p w14:paraId="32F78F6F" w14:textId="7F5683AC" w:rsidR="00951B5A" w:rsidRPr="00332AB5" w:rsidRDefault="00A80CC2" w:rsidP="00A80CC2">
      <w:pPr>
        <w:spacing w:before="120" w:after="120"/>
        <w:jc w:val="both"/>
        <w:rPr>
          <w:sz w:val="24"/>
          <w:szCs w:val="24"/>
        </w:rPr>
      </w:pPr>
      <w:r w:rsidRPr="00332AB5">
        <w:rPr>
          <w:sz w:val="24"/>
          <w:szCs w:val="24"/>
        </w:rPr>
        <w:t xml:space="preserve">Odboru za praćenje Operativnog programa Učinkoviti ljudski potencijali, a nastavno na najavu na održanoj 15. sjednici Odbora za praćenje, 7. lipnja 2021. dostavljen je </w:t>
      </w:r>
      <w:r w:rsidR="008D650C" w:rsidRPr="00332AB5">
        <w:rPr>
          <w:sz w:val="24"/>
          <w:szCs w:val="24"/>
        </w:rPr>
        <w:t>P</w:t>
      </w:r>
      <w:r w:rsidRPr="00332AB5">
        <w:rPr>
          <w:sz w:val="24"/>
          <w:szCs w:val="24"/>
        </w:rPr>
        <w:t>rijedlog izmjena Operativnog programa za hranu i/ili osnovnu materijalnu pomoć za razdoblje 2014. – 2020. (verzija 4.0) vezano uz REACT-EU, u okviru kojeg je R</w:t>
      </w:r>
      <w:r w:rsidR="00F76020" w:rsidRPr="00332AB5">
        <w:rPr>
          <w:sz w:val="24"/>
          <w:szCs w:val="24"/>
        </w:rPr>
        <w:t>H</w:t>
      </w:r>
      <w:r w:rsidRPr="00332AB5">
        <w:rPr>
          <w:sz w:val="24"/>
          <w:szCs w:val="24"/>
        </w:rPr>
        <w:t xml:space="preserve"> omogućeno korištenje i dodatnih 10 milijuna eura kroz Fond europske pomoći za najpotrebitije za nastavak dosadašnjih aktivnosti. Nakon usvajanja pisan</w:t>
      </w:r>
      <w:r w:rsidR="008D650C" w:rsidRPr="00332AB5">
        <w:rPr>
          <w:sz w:val="24"/>
          <w:szCs w:val="24"/>
        </w:rPr>
        <w:t>im postupkom 21. lipnja 2021., P</w:t>
      </w:r>
      <w:r w:rsidRPr="00332AB5">
        <w:rPr>
          <w:sz w:val="24"/>
          <w:szCs w:val="24"/>
        </w:rPr>
        <w:t>rijedlog izmjene Operativnog programa podnesen je EK na odobrenje putem elektroničkog sustava za razmjenu podataka SFC2014 dana 28. lipnja 2021. te je isti usvojen odlukom EK od 20. srpnja 2021.</w:t>
      </w:r>
    </w:p>
    <w:p w14:paraId="58E71217" w14:textId="136756A7" w:rsidR="005E2EEA" w:rsidRPr="00332AB5" w:rsidRDefault="005E2EEA" w:rsidP="00A80CC2">
      <w:pPr>
        <w:spacing w:before="120" w:after="120"/>
        <w:jc w:val="both"/>
        <w:rPr>
          <w:sz w:val="24"/>
          <w:szCs w:val="24"/>
        </w:rPr>
      </w:pPr>
      <w:r w:rsidRPr="00332AB5">
        <w:rPr>
          <w:sz w:val="24"/>
          <w:szCs w:val="24"/>
        </w:rPr>
        <w:t xml:space="preserve">Za razliku od OPULJP, REACT-EU sredstva koja su dodijeljena kroz OPFEAD, nisu izdvojena u posebnu prioritetnu os, već su raspoređena na postojeće MD1, MD2 i TP i koriste se za nastavak ulaganja kroz </w:t>
      </w:r>
      <w:r w:rsidR="008D650C" w:rsidRPr="00332AB5">
        <w:rPr>
          <w:sz w:val="24"/>
          <w:szCs w:val="24"/>
        </w:rPr>
        <w:t>p</w:t>
      </w:r>
      <w:r w:rsidRPr="00332AB5">
        <w:rPr>
          <w:sz w:val="24"/>
          <w:szCs w:val="24"/>
        </w:rPr>
        <w:t>ozive</w:t>
      </w:r>
      <w:r w:rsidRPr="00332AB5">
        <w:t xml:space="preserve"> </w:t>
      </w:r>
      <w:r w:rsidRPr="00332AB5">
        <w:rPr>
          <w:sz w:val="24"/>
          <w:szCs w:val="24"/>
        </w:rPr>
        <w:t>Osiguravanje školske prehrane za djecu u riziku od siromaštva i Ublažavanje siromaštva pružanjem pomoći najpotrebitijim osobama podjelom hrane i/ili osnovne materijalne pomoći.</w:t>
      </w:r>
      <w:r w:rsidR="00883EFF" w:rsidRPr="00332AB5">
        <w:rPr>
          <w:sz w:val="24"/>
          <w:szCs w:val="24"/>
        </w:rPr>
        <w:t xml:space="preserve"> Sredstva osigurana kroz REACT-EU usmjerena su na financiranje projekata ugovorenih u okviru poziva Ublažavanje siromaštva pružanjem pomoći najpotrebitijim osobama podjelom hrane i/ili osnovne materijalne pomoći - faza IV objavljenog u prosincu 2021. godine. Ukupna objavljena vrijednost poziva iznosila je 12,53 milijuna EUR te je ugovoreno ukupno 78 projekata od kojih je 60 završilo tijekom izvještajnog razdoblja.</w:t>
      </w:r>
    </w:p>
    <w:p w14:paraId="658E3C28" w14:textId="55767B7D" w:rsidR="003105CB" w:rsidRPr="00332AB5" w:rsidRDefault="003105CB">
      <w:pPr>
        <w:rPr>
          <w:b/>
          <w:bCs/>
          <w:iCs/>
          <w:sz w:val="24"/>
          <w:szCs w:val="28"/>
        </w:rPr>
      </w:pPr>
    </w:p>
    <w:p w14:paraId="0120B348" w14:textId="77777777" w:rsidR="00D37208" w:rsidRPr="00332AB5" w:rsidRDefault="00D37208">
      <w:pPr>
        <w:rPr>
          <w:b/>
          <w:bCs/>
          <w:iCs/>
          <w:sz w:val="24"/>
          <w:szCs w:val="28"/>
        </w:rPr>
      </w:pPr>
      <w:r w:rsidRPr="00332AB5">
        <w:br w:type="page"/>
      </w:r>
    </w:p>
    <w:p w14:paraId="16DBD7B0" w14:textId="3D6C5C60" w:rsidR="002257A4" w:rsidRPr="00332AB5" w:rsidRDefault="00E70D11">
      <w:pPr>
        <w:pStyle w:val="Heading2"/>
        <w:numPr>
          <w:ilvl w:val="1"/>
          <w:numId w:val="15"/>
        </w:numPr>
      </w:pPr>
      <w:bookmarkStart w:id="152" w:name="_Toc152595245"/>
      <w:r w:rsidRPr="00332AB5">
        <w:t>PROGRAM RURALNOG RAZVOJA - EURI</w:t>
      </w:r>
      <w:bookmarkEnd w:id="152"/>
    </w:p>
    <w:p w14:paraId="498A8DB9" w14:textId="77777777" w:rsidR="006F5B58" w:rsidRPr="00332AB5" w:rsidRDefault="006F5B58" w:rsidP="006F5B58">
      <w:pPr>
        <w:spacing w:before="120" w:after="120"/>
        <w:jc w:val="both"/>
        <w:rPr>
          <w:sz w:val="24"/>
          <w:szCs w:val="24"/>
        </w:rPr>
      </w:pPr>
      <w:r w:rsidRPr="00332AB5">
        <w:rPr>
          <w:sz w:val="24"/>
          <w:szCs w:val="24"/>
        </w:rPr>
        <w:t>Kroz PRR je u okviru instrumenata NEXT GENERATION EU u dvije godine prijelaznog razdoblja, 2021. i 2022. stavljeno na raspolaganje 201,67 milijuna eura EURI sredstava.</w:t>
      </w:r>
    </w:p>
    <w:p w14:paraId="636BC6B9" w14:textId="77777777" w:rsidR="006F5B58" w:rsidRPr="00332AB5" w:rsidRDefault="006F5B58" w:rsidP="006F5B58">
      <w:pPr>
        <w:spacing w:before="120" w:after="120"/>
        <w:jc w:val="both"/>
        <w:rPr>
          <w:sz w:val="24"/>
          <w:szCs w:val="24"/>
        </w:rPr>
      </w:pPr>
      <w:r w:rsidRPr="00332AB5">
        <w:rPr>
          <w:sz w:val="24"/>
          <w:szCs w:val="24"/>
        </w:rPr>
        <w:t>Do 30. lipnja 2023. je ugovoreno ukupno 105,91 milijuna eura (sredstva EU). U izvještajnom razdoblju je ugovoreno 45,98 milijuna eura (sredstva EU).</w:t>
      </w:r>
    </w:p>
    <w:p w14:paraId="19872850" w14:textId="1749C144" w:rsidR="00C25832" w:rsidRPr="00332AB5" w:rsidRDefault="006F5B58" w:rsidP="006F5B58">
      <w:pPr>
        <w:spacing w:before="120" w:after="120"/>
        <w:jc w:val="both"/>
        <w:rPr>
          <w:sz w:val="24"/>
          <w:szCs w:val="24"/>
        </w:rPr>
      </w:pPr>
      <w:r w:rsidRPr="00332AB5">
        <w:rPr>
          <w:sz w:val="24"/>
          <w:szCs w:val="24"/>
        </w:rPr>
        <w:t>Ukupna plaćanja prema korisnicima izvršena su u iznosu od 80,55 milijuna eura (sredstva EU). U izvještajnom razdoblju korisnicima je plaćeno 36,72 milijuna eura (sredstva EU). Ukupno je do 30. lipnja 2023. ovjereno 47,73 milijuna eura (sredstva EU)</w:t>
      </w:r>
      <w:r w:rsidR="00C25832" w:rsidRPr="00332AB5">
        <w:rPr>
          <w:sz w:val="24"/>
          <w:szCs w:val="24"/>
        </w:rPr>
        <w:t xml:space="preserve">, a u izvještajnom razdoblju ovjereno je </w:t>
      </w:r>
      <w:r w:rsidRPr="00332AB5">
        <w:rPr>
          <w:sz w:val="24"/>
          <w:szCs w:val="24"/>
        </w:rPr>
        <w:t>8,55 milijuna eura (sredstva EU)</w:t>
      </w:r>
      <w:r w:rsidR="004915BC" w:rsidRPr="00332AB5">
        <w:rPr>
          <w:sz w:val="24"/>
          <w:szCs w:val="24"/>
        </w:rPr>
        <w:t>.</w:t>
      </w:r>
      <w:r w:rsidR="00C25832" w:rsidRPr="00332AB5">
        <w:rPr>
          <w:sz w:val="24"/>
          <w:szCs w:val="24"/>
        </w:rPr>
        <w:t xml:space="preserve"> Ukupno je doznačeno 47,73 milijuna eura, a u izvještajnom razdoblju doznačeno je 8,55 milijuna eura.</w:t>
      </w:r>
    </w:p>
    <w:p w14:paraId="67D23638" w14:textId="77777777" w:rsidR="0062530D" w:rsidRPr="00332AB5" w:rsidRDefault="0062530D" w:rsidP="002257A4"/>
    <w:p w14:paraId="2F4AE7AA" w14:textId="2946499D" w:rsidR="002257A4" w:rsidRPr="00332AB5" w:rsidRDefault="002257A4" w:rsidP="002257A4">
      <w:pPr>
        <w:jc w:val="both"/>
        <w:rPr>
          <w:b/>
          <w:bCs/>
        </w:rPr>
      </w:pPr>
      <w:bookmarkStart w:id="153" w:name="_Toc152595299"/>
      <w:r w:rsidRPr="00332AB5">
        <w:rPr>
          <w:b/>
          <w:bCs/>
        </w:rPr>
        <w:t xml:space="preserve">Tablica </w:t>
      </w:r>
      <w:r w:rsidRPr="00332AB5">
        <w:rPr>
          <w:b/>
          <w:bCs/>
        </w:rPr>
        <w:fldChar w:fldCharType="begin"/>
      </w:r>
      <w:r w:rsidRPr="00332AB5">
        <w:rPr>
          <w:b/>
          <w:bCs/>
        </w:rPr>
        <w:instrText xml:space="preserve"> SEQ Tablica \* ARABIC </w:instrText>
      </w:r>
      <w:r w:rsidRPr="00332AB5">
        <w:rPr>
          <w:b/>
          <w:bCs/>
        </w:rPr>
        <w:fldChar w:fldCharType="separate"/>
      </w:r>
      <w:r w:rsidR="005E6E46">
        <w:rPr>
          <w:b/>
          <w:bCs/>
          <w:noProof/>
        </w:rPr>
        <w:t>25</w:t>
      </w:r>
      <w:r w:rsidRPr="00332AB5">
        <w:rPr>
          <w:b/>
          <w:bCs/>
        </w:rPr>
        <w:fldChar w:fldCharType="end"/>
      </w:r>
      <w:r w:rsidRPr="00332AB5">
        <w:rPr>
          <w:b/>
          <w:bCs/>
        </w:rPr>
        <w:t xml:space="preserve">: Financijski pokazatelji statusa provedbe </w:t>
      </w:r>
      <w:r w:rsidR="003D15F1" w:rsidRPr="00332AB5">
        <w:rPr>
          <w:b/>
          <w:bCs/>
        </w:rPr>
        <w:t xml:space="preserve">instrumenata NEXT GENERATION EU </w:t>
      </w:r>
      <w:r w:rsidRPr="00332AB5">
        <w:rPr>
          <w:b/>
          <w:bCs/>
        </w:rPr>
        <w:t xml:space="preserve">u sklopu </w:t>
      </w:r>
      <w:r w:rsidR="00581436" w:rsidRPr="00332AB5">
        <w:rPr>
          <w:b/>
          <w:bCs/>
        </w:rPr>
        <w:t>Programa ruralnog razvoja</w:t>
      </w:r>
      <w:r w:rsidRPr="00332AB5">
        <w:rPr>
          <w:b/>
          <w:bCs/>
        </w:rPr>
        <w:t xml:space="preserve"> u izvještajnom razdoblju od </w:t>
      </w:r>
      <w:r w:rsidR="0011067E" w:rsidRPr="00332AB5">
        <w:rPr>
          <w:b/>
          <w:bCs/>
        </w:rPr>
        <w:t>1. siječnja</w:t>
      </w:r>
      <w:r w:rsidR="00F55314" w:rsidRPr="00332AB5">
        <w:rPr>
          <w:b/>
          <w:bCs/>
        </w:rPr>
        <w:t xml:space="preserve"> do </w:t>
      </w:r>
      <w:r w:rsidR="0011067E" w:rsidRPr="00332AB5">
        <w:rPr>
          <w:b/>
          <w:bCs/>
        </w:rPr>
        <w:t>30. lipnja 2023.</w:t>
      </w:r>
      <w:r w:rsidR="00F55314" w:rsidRPr="00332AB5">
        <w:rPr>
          <w:b/>
          <w:bCs/>
        </w:rPr>
        <w:t xml:space="preserve"> </w:t>
      </w:r>
      <w:r w:rsidRPr="00332AB5">
        <w:rPr>
          <w:b/>
          <w:bCs/>
        </w:rPr>
        <w:t>(sredstva EU, u milijunima eura i postocima od dodijeljenih sredstava)</w:t>
      </w:r>
      <w:bookmarkEnd w:id="153"/>
    </w:p>
    <w:p w14:paraId="65D47188" w14:textId="33F67259" w:rsidR="006D6C05" w:rsidRPr="00332AB5" w:rsidRDefault="006D6C05">
      <w:pPr>
        <w:rPr>
          <w:b/>
          <w:caps/>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635"/>
        <w:gridCol w:w="1089"/>
        <w:gridCol w:w="635"/>
        <w:gridCol w:w="1089"/>
        <w:gridCol w:w="635"/>
        <w:gridCol w:w="1089"/>
        <w:gridCol w:w="635"/>
      </w:tblGrid>
      <w:tr w:rsidR="003D15F1" w:rsidRPr="00332AB5" w14:paraId="48AB2F43" w14:textId="77777777" w:rsidTr="00987732">
        <w:trPr>
          <w:trHeight w:val="737"/>
        </w:trPr>
        <w:tc>
          <w:tcPr>
            <w:tcW w:w="1179" w:type="dxa"/>
            <w:vAlign w:val="center"/>
          </w:tcPr>
          <w:p w14:paraId="5BD17511" w14:textId="77777777" w:rsidR="003D15F1" w:rsidRPr="00332AB5" w:rsidRDefault="003D15F1" w:rsidP="00987732">
            <w:pPr>
              <w:spacing w:after="60"/>
              <w:rPr>
                <w:sz w:val="16"/>
                <w:szCs w:val="24"/>
              </w:rPr>
            </w:pPr>
            <w:r w:rsidRPr="00332AB5">
              <w:rPr>
                <w:rFonts w:asciiTheme="minorHAnsi" w:hAnsiTheme="minorHAnsi" w:cstheme="minorHAnsi"/>
                <w:sz w:val="16"/>
              </w:rPr>
              <w:t>Mjera (M)</w:t>
            </w:r>
          </w:p>
        </w:tc>
        <w:tc>
          <w:tcPr>
            <w:tcW w:w="998" w:type="dxa"/>
            <w:tcBorders>
              <w:bottom w:val="single" w:sz="4" w:space="0" w:color="808080" w:themeColor="background1" w:themeShade="80"/>
            </w:tcBorders>
            <w:vAlign w:val="center"/>
          </w:tcPr>
          <w:p w14:paraId="0D850776" w14:textId="77777777" w:rsidR="003D15F1" w:rsidRPr="00332AB5" w:rsidRDefault="003D15F1" w:rsidP="00987732">
            <w:pPr>
              <w:spacing w:after="60"/>
              <w:jc w:val="right"/>
              <w:rPr>
                <w:sz w:val="16"/>
                <w:szCs w:val="24"/>
              </w:rPr>
            </w:pPr>
            <w:r w:rsidRPr="00332AB5">
              <w:rPr>
                <w:rFonts w:asciiTheme="minorHAnsi" w:hAnsiTheme="minorHAnsi" w:cstheme="minorHAnsi"/>
                <w:sz w:val="16"/>
              </w:rPr>
              <w:t>Dodijeljena sredstva</w:t>
            </w:r>
          </w:p>
        </w:tc>
        <w:tc>
          <w:tcPr>
            <w:tcW w:w="1089" w:type="dxa"/>
            <w:tcBorders>
              <w:bottom w:val="single" w:sz="4" w:space="0" w:color="808080" w:themeColor="background1" w:themeShade="80"/>
            </w:tcBorders>
            <w:vAlign w:val="center"/>
          </w:tcPr>
          <w:p w14:paraId="437BFE21" w14:textId="77777777" w:rsidR="003D15F1" w:rsidRPr="00332AB5" w:rsidRDefault="003D15F1" w:rsidP="00987732">
            <w:pPr>
              <w:spacing w:after="60"/>
              <w:jc w:val="right"/>
              <w:rPr>
                <w:sz w:val="16"/>
                <w:szCs w:val="24"/>
              </w:rPr>
            </w:pPr>
            <w:r w:rsidRPr="00332AB5">
              <w:rPr>
                <w:rFonts w:asciiTheme="minorHAnsi" w:hAnsiTheme="minorHAnsi" w:cstheme="minorHAnsi"/>
                <w:sz w:val="16"/>
              </w:rPr>
              <w:t>Ugovorena sredstva</w:t>
            </w:r>
          </w:p>
        </w:tc>
        <w:tc>
          <w:tcPr>
            <w:tcW w:w="635" w:type="dxa"/>
            <w:tcBorders>
              <w:bottom w:val="single" w:sz="4" w:space="0" w:color="808080" w:themeColor="background1" w:themeShade="80"/>
            </w:tcBorders>
            <w:vAlign w:val="center"/>
          </w:tcPr>
          <w:p w14:paraId="06D0FDAD" w14:textId="77777777" w:rsidR="003D15F1" w:rsidRPr="00332AB5" w:rsidRDefault="003D15F1" w:rsidP="00987732">
            <w:pPr>
              <w:spacing w:after="60"/>
              <w:jc w:val="right"/>
              <w:rPr>
                <w:sz w:val="16"/>
                <w:szCs w:val="24"/>
              </w:rPr>
            </w:pPr>
            <w:r w:rsidRPr="00332AB5">
              <w:rPr>
                <w:rFonts w:asciiTheme="minorHAnsi" w:hAnsiTheme="minorHAnsi" w:cstheme="minorHAnsi"/>
                <w:sz w:val="16"/>
              </w:rPr>
              <w:t xml:space="preserve"> %</w:t>
            </w:r>
          </w:p>
        </w:tc>
        <w:tc>
          <w:tcPr>
            <w:tcW w:w="1089" w:type="dxa"/>
            <w:tcBorders>
              <w:bottom w:val="single" w:sz="4" w:space="0" w:color="808080" w:themeColor="background1" w:themeShade="80"/>
            </w:tcBorders>
            <w:vAlign w:val="center"/>
          </w:tcPr>
          <w:p w14:paraId="1AA0867B" w14:textId="77777777" w:rsidR="003D15F1" w:rsidRPr="00332AB5" w:rsidRDefault="003D15F1" w:rsidP="00987732">
            <w:pPr>
              <w:spacing w:after="60"/>
              <w:jc w:val="right"/>
              <w:rPr>
                <w:sz w:val="16"/>
                <w:szCs w:val="24"/>
              </w:rPr>
            </w:pPr>
            <w:r w:rsidRPr="00332AB5">
              <w:rPr>
                <w:rFonts w:asciiTheme="minorHAnsi" w:hAnsiTheme="minorHAnsi" w:cstheme="minorHAnsi"/>
                <w:sz w:val="16"/>
              </w:rPr>
              <w:t>Plaćena sredstva</w:t>
            </w:r>
          </w:p>
        </w:tc>
        <w:tc>
          <w:tcPr>
            <w:tcW w:w="635" w:type="dxa"/>
            <w:tcBorders>
              <w:bottom w:val="single" w:sz="4" w:space="0" w:color="808080" w:themeColor="background1" w:themeShade="80"/>
            </w:tcBorders>
            <w:vAlign w:val="center"/>
          </w:tcPr>
          <w:p w14:paraId="1B53CBBE" w14:textId="77777777" w:rsidR="003D15F1" w:rsidRPr="00332AB5" w:rsidRDefault="003D15F1" w:rsidP="00987732">
            <w:pPr>
              <w:spacing w:after="60"/>
              <w:jc w:val="right"/>
              <w:rPr>
                <w:sz w:val="16"/>
                <w:szCs w:val="24"/>
              </w:rPr>
            </w:pPr>
            <w:r w:rsidRPr="00332AB5">
              <w:rPr>
                <w:rFonts w:asciiTheme="minorHAnsi" w:hAnsiTheme="minorHAnsi" w:cstheme="minorHAnsi"/>
                <w:sz w:val="16"/>
              </w:rPr>
              <w:t xml:space="preserve"> %</w:t>
            </w:r>
          </w:p>
        </w:tc>
        <w:tc>
          <w:tcPr>
            <w:tcW w:w="1089" w:type="dxa"/>
            <w:tcBorders>
              <w:bottom w:val="single" w:sz="4" w:space="0" w:color="808080" w:themeColor="background1" w:themeShade="80"/>
            </w:tcBorders>
            <w:vAlign w:val="center"/>
          </w:tcPr>
          <w:p w14:paraId="78BBEE32" w14:textId="77777777" w:rsidR="003D15F1" w:rsidRPr="00332AB5" w:rsidRDefault="003D15F1" w:rsidP="00987732">
            <w:pPr>
              <w:spacing w:after="60"/>
              <w:jc w:val="right"/>
              <w:rPr>
                <w:sz w:val="16"/>
                <w:szCs w:val="24"/>
              </w:rPr>
            </w:pPr>
            <w:r w:rsidRPr="00332AB5">
              <w:rPr>
                <w:rFonts w:asciiTheme="minorHAnsi" w:hAnsiTheme="minorHAnsi" w:cstheme="minorHAnsi"/>
                <w:sz w:val="16"/>
              </w:rPr>
              <w:t>Ovjerena sredstva</w:t>
            </w:r>
          </w:p>
        </w:tc>
        <w:tc>
          <w:tcPr>
            <w:tcW w:w="635" w:type="dxa"/>
            <w:tcBorders>
              <w:bottom w:val="single" w:sz="4" w:space="0" w:color="808080" w:themeColor="background1" w:themeShade="80"/>
            </w:tcBorders>
            <w:vAlign w:val="center"/>
          </w:tcPr>
          <w:p w14:paraId="5CADDA84" w14:textId="77777777" w:rsidR="003D15F1" w:rsidRPr="00332AB5" w:rsidRDefault="003D15F1" w:rsidP="00987732">
            <w:pPr>
              <w:spacing w:after="60"/>
              <w:jc w:val="right"/>
              <w:rPr>
                <w:sz w:val="16"/>
                <w:szCs w:val="24"/>
              </w:rPr>
            </w:pPr>
            <w:r w:rsidRPr="00332AB5">
              <w:rPr>
                <w:rFonts w:asciiTheme="minorHAnsi" w:hAnsiTheme="minorHAnsi" w:cstheme="minorHAnsi"/>
                <w:sz w:val="16"/>
              </w:rPr>
              <w:t xml:space="preserve"> %</w:t>
            </w:r>
          </w:p>
        </w:tc>
        <w:tc>
          <w:tcPr>
            <w:tcW w:w="1089" w:type="dxa"/>
            <w:tcBorders>
              <w:bottom w:val="single" w:sz="4" w:space="0" w:color="808080" w:themeColor="background1" w:themeShade="80"/>
            </w:tcBorders>
            <w:vAlign w:val="center"/>
          </w:tcPr>
          <w:p w14:paraId="14A4D897" w14:textId="77777777" w:rsidR="003D15F1" w:rsidRPr="00332AB5" w:rsidRDefault="003D15F1" w:rsidP="00987732">
            <w:pPr>
              <w:spacing w:after="60"/>
              <w:jc w:val="right"/>
              <w:rPr>
                <w:sz w:val="16"/>
                <w:szCs w:val="24"/>
              </w:rPr>
            </w:pPr>
            <w:r w:rsidRPr="00332AB5">
              <w:rPr>
                <w:rFonts w:asciiTheme="minorHAnsi" w:hAnsiTheme="minorHAnsi" w:cstheme="minorHAnsi"/>
                <w:sz w:val="16"/>
              </w:rPr>
              <w:t>Doznačena sredstva</w:t>
            </w:r>
          </w:p>
        </w:tc>
        <w:tc>
          <w:tcPr>
            <w:tcW w:w="635" w:type="dxa"/>
            <w:tcBorders>
              <w:bottom w:val="single" w:sz="4" w:space="0" w:color="808080" w:themeColor="background1" w:themeShade="80"/>
            </w:tcBorders>
            <w:vAlign w:val="center"/>
          </w:tcPr>
          <w:p w14:paraId="1315DC25" w14:textId="77777777" w:rsidR="003D15F1" w:rsidRPr="00332AB5" w:rsidRDefault="003D15F1" w:rsidP="00987732">
            <w:pPr>
              <w:spacing w:after="60"/>
              <w:jc w:val="right"/>
              <w:rPr>
                <w:sz w:val="16"/>
                <w:szCs w:val="24"/>
              </w:rPr>
            </w:pPr>
            <w:r w:rsidRPr="00332AB5">
              <w:rPr>
                <w:rFonts w:asciiTheme="minorHAnsi" w:hAnsiTheme="minorHAnsi" w:cstheme="minorHAnsi"/>
                <w:sz w:val="16"/>
              </w:rPr>
              <w:t xml:space="preserve"> %</w:t>
            </w:r>
          </w:p>
        </w:tc>
      </w:tr>
      <w:tr w:rsidR="003D15F1" w:rsidRPr="00332AB5" w14:paraId="0551B4B9" w14:textId="77777777" w:rsidTr="00987732">
        <w:trPr>
          <w:trHeight w:val="113"/>
        </w:trPr>
        <w:tc>
          <w:tcPr>
            <w:tcW w:w="1179" w:type="dxa"/>
            <w:vAlign w:val="center"/>
          </w:tcPr>
          <w:p w14:paraId="6A41038A" w14:textId="77777777" w:rsidR="003D15F1" w:rsidRPr="00332AB5" w:rsidRDefault="003D15F1" w:rsidP="00987732">
            <w:pPr>
              <w:rPr>
                <w:rFonts w:asciiTheme="minorHAnsi" w:hAnsiTheme="minorHAnsi" w:cstheme="minorHAnsi"/>
                <w:sz w:val="8"/>
                <w:szCs w:val="24"/>
              </w:rPr>
            </w:pPr>
          </w:p>
        </w:tc>
        <w:tc>
          <w:tcPr>
            <w:tcW w:w="998" w:type="dxa"/>
            <w:tcBorders>
              <w:top w:val="single" w:sz="4" w:space="0" w:color="808080" w:themeColor="background1" w:themeShade="80"/>
            </w:tcBorders>
            <w:vAlign w:val="center"/>
          </w:tcPr>
          <w:p w14:paraId="5B31BC0B" w14:textId="77777777" w:rsidR="003D15F1" w:rsidRPr="00332AB5" w:rsidRDefault="003D15F1" w:rsidP="00987732">
            <w:pPr>
              <w:jc w:val="right"/>
              <w:rPr>
                <w:rFonts w:asciiTheme="minorHAnsi" w:hAnsiTheme="minorHAnsi" w:cstheme="minorHAnsi"/>
                <w:sz w:val="8"/>
                <w:szCs w:val="24"/>
              </w:rPr>
            </w:pPr>
          </w:p>
        </w:tc>
        <w:tc>
          <w:tcPr>
            <w:tcW w:w="1089" w:type="dxa"/>
            <w:tcBorders>
              <w:top w:val="single" w:sz="4" w:space="0" w:color="808080" w:themeColor="background1" w:themeShade="80"/>
            </w:tcBorders>
            <w:vAlign w:val="center"/>
          </w:tcPr>
          <w:p w14:paraId="1E07D5F4" w14:textId="77777777" w:rsidR="003D15F1" w:rsidRPr="00332AB5" w:rsidRDefault="003D15F1" w:rsidP="00987732">
            <w:pPr>
              <w:jc w:val="right"/>
              <w:rPr>
                <w:rFonts w:asciiTheme="minorHAnsi" w:hAnsiTheme="minorHAnsi" w:cstheme="minorHAnsi"/>
                <w:sz w:val="8"/>
                <w:szCs w:val="24"/>
              </w:rPr>
            </w:pPr>
          </w:p>
        </w:tc>
        <w:tc>
          <w:tcPr>
            <w:tcW w:w="635" w:type="dxa"/>
            <w:tcBorders>
              <w:top w:val="single" w:sz="4" w:space="0" w:color="808080" w:themeColor="background1" w:themeShade="80"/>
            </w:tcBorders>
            <w:vAlign w:val="center"/>
          </w:tcPr>
          <w:p w14:paraId="2DA7B0F5" w14:textId="77777777" w:rsidR="003D15F1" w:rsidRPr="00332AB5" w:rsidRDefault="003D15F1" w:rsidP="00987732">
            <w:pPr>
              <w:jc w:val="right"/>
              <w:rPr>
                <w:rFonts w:asciiTheme="minorHAnsi" w:hAnsiTheme="minorHAnsi" w:cstheme="minorHAnsi"/>
                <w:sz w:val="8"/>
                <w:szCs w:val="24"/>
              </w:rPr>
            </w:pPr>
          </w:p>
        </w:tc>
        <w:tc>
          <w:tcPr>
            <w:tcW w:w="1089" w:type="dxa"/>
            <w:tcBorders>
              <w:top w:val="single" w:sz="4" w:space="0" w:color="808080" w:themeColor="background1" w:themeShade="80"/>
            </w:tcBorders>
            <w:vAlign w:val="center"/>
          </w:tcPr>
          <w:p w14:paraId="153C6D24" w14:textId="77777777" w:rsidR="003D15F1" w:rsidRPr="00332AB5" w:rsidRDefault="003D15F1" w:rsidP="00987732">
            <w:pPr>
              <w:jc w:val="right"/>
              <w:rPr>
                <w:rFonts w:asciiTheme="minorHAnsi" w:hAnsiTheme="minorHAnsi" w:cstheme="minorHAnsi"/>
                <w:sz w:val="8"/>
                <w:szCs w:val="24"/>
              </w:rPr>
            </w:pPr>
          </w:p>
        </w:tc>
        <w:tc>
          <w:tcPr>
            <w:tcW w:w="635" w:type="dxa"/>
            <w:tcBorders>
              <w:top w:val="single" w:sz="4" w:space="0" w:color="808080" w:themeColor="background1" w:themeShade="80"/>
            </w:tcBorders>
            <w:vAlign w:val="center"/>
          </w:tcPr>
          <w:p w14:paraId="4A33B227" w14:textId="77777777" w:rsidR="003D15F1" w:rsidRPr="00332AB5" w:rsidRDefault="003D15F1" w:rsidP="00987732">
            <w:pPr>
              <w:jc w:val="right"/>
              <w:rPr>
                <w:rFonts w:asciiTheme="minorHAnsi" w:hAnsiTheme="minorHAnsi" w:cstheme="minorHAnsi"/>
                <w:sz w:val="8"/>
                <w:szCs w:val="24"/>
              </w:rPr>
            </w:pPr>
          </w:p>
        </w:tc>
        <w:tc>
          <w:tcPr>
            <w:tcW w:w="1089" w:type="dxa"/>
            <w:tcBorders>
              <w:top w:val="single" w:sz="4" w:space="0" w:color="808080" w:themeColor="background1" w:themeShade="80"/>
            </w:tcBorders>
            <w:vAlign w:val="center"/>
          </w:tcPr>
          <w:p w14:paraId="3C466539" w14:textId="77777777" w:rsidR="003D15F1" w:rsidRPr="00332AB5" w:rsidRDefault="003D15F1" w:rsidP="00987732">
            <w:pPr>
              <w:jc w:val="right"/>
              <w:rPr>
                <w:rFonts w:asciiTheme="minorHAnsi" w:hAnsiTheme="minorHAnsi" w:cstheme="minorHAnsi"/>
                <w:sz w:val="8"/>
                <w:szCs w:val="24"/>
              </w:rPr>
            </w:pPr>
          </w:p>
        </w:tc>
        <w:tc>
          <w:tcPr>
            <w:tcW w:w="635" w:type="dxa"/>
            <w:tcBorders>
              <w:top w:val="single" w:sz="4" w:space="0" w:color="808080" w:themeColor="background1" w:themeShade="80"/>
            </w:tcBorders>
            <w:vAlign w:val="center"/>
          </w:tcPr>
          <w:p w14:paraId="73A61A7D" w14:textId="77777777" w:rsidR="003D15F1" w:rsidRPr="00332AB5" w:rsidRDefault="003D15F1" w:rsidP="00987732">
            <w:pPr>
              <w:jc w:val="right"/>
              <w:rPr>
                <w:rFonts w:asciiTheme="minorHAnsi" w:hAnsiTheme="minorHAnsi" w:cstheme="minorHAnsi"/>
                <w:sz w:val="8"/>
                <w:szCs w:val="24"/>
              </w:rPr>
            </w:pPr>
          </w:p>
        </w:tc>
        <w:tc>
          <w:tcPr>
            <w:tcW w:w="1089" w:type="dxa"/>
            <w:tcBorders>
              <w:top w:val="single" w:sz="4" w:space="0" w:color="808080" w:themeColor="background1" w:themeShade="80"/>
            </w:tcBorders>
            <w:vAlign w:val="center"/>
          </w:tcPr>
          <w:p w14:paraId="465324FF" w14:textId="77777777" w:rsidR="003D15F1" w:rsidRPr="00332AB5" w:rsidRDefault="003D15F1" w:rsidP="00987732">
            <w:pPr>
              <w:jc w:val="right"/>
              <w:rPr>
                <w:rFonts w:asciiTheme="minorHAnsi" w:hAnsiTheme="minorHAnsi" w:cstheme="minorHAnsi"/>
                <w:sz w:val="8"/>
                <w:szCs w:val="24"/>
              </w:rPr>
            </w:pPr>
          </w:p>
        </w:tc>
        <w:tc>
          <w:tcPr>
            <w:tcW w:w="635" w:type="dxa"/>
            <w:tcBorders>
              <w:top w:val="single" w:sz="4" w:space="0" w:color="808080" w:themeColor="background1" w:themeShade="80"/>
            </w:tcBorders>
            <w:vAlign w:val="center"/>
          </w:tcPr>
          <w:p w14:paraId="7EBF2093" w14:textId="77777777" w:rsidR="003D15F1" w:rsidRPr="00332AB5" w:rsidRDefault="003D15F1" w:rsidP="00987732">
            <w:pPr>
              <w:jc w:val="right"/>
              <w:rPr>
                <w:rFonts w:asciiTheme="minorHAnsi" w:hAnsiTheme="minorHAnsi" w:cstheme="minorHAnsi"/>
                <w:sz w:val="8"/>
                <w:szCs w:val="24"/>
              </w:rPr>
            </w:pPr>
          </w:p>
        </w:tc>
      </w:tr>
      <w:tr w:rsidR="00E13C7A" w:rsidRPr="00332AB5" w14:paraId="16517162" w14:textId="77777777" w:rsidTr="004B0161">
        <w:trPr>
          <w:trHeight w:val="397"/>
        </w:trPr>
        <w:tc>
          <w:tcPr>
            <w:tcW w:w="1179" w:type="dxa"/>
            <w:vAlign w:val="center"/>
          </w:tcPr>
          <w:p w14:paraId="3992D728" w14:textId="77777777" w:rsidR="00E13C7A" w:rsidRPr="00332AB5" w:rsidRDefault="00E13C7A" w:rsidP="00E13C7A">
            <w:pPr>
              <w:rPr>
                <w:rFonts w:asciiTheme="minorHAnsi" w:hAnsiTheme="minorHAnsi" w:cstheme="minorHAnsi"/>
                <w:sz w:val="18"/>
                <w:szCs w:val="18"/>
              </w:rPr>
            </w:pPr>
            <w:r w:rsidRPr="00332AB5">
              <w:rPr>
                <w:rFonts w:asciiTheme="minorHAnsi" w:hAnsiTheme="minorHAnsi" w:cstheme="minorHAnsi"/>
                <w:sz w:val="18"/>
                <w:szCs w:val="18"/>
              </w:rPr>
              <w:t>M 1</w:t>
            </w:r>
          </w:p>
        </w:tc>
        <w:tc>
          <w:tcPr>
            <w:tcW w:w="998" w:type="dxa"/>
            <w:vAlign w:val="center"/>
          </w:tcPr>
          <w:p w14:paraId="5154DF37" w14:textId="0DA59219" w:rsidR="00E13C7A" w:rsidRPr="00332AB5" w:rsidRDefault="00E13C7A" w:rsidP="00E13C7A">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vAlign w:val="center"/>
          </w:tcPr>
          <w:p w14:paraId="400417F9" w14:textId="6C9E2513" w:rsidR="00E13C7A" w:rsidRPr="00332AB5" w:rsidRDefault="00E13C7A" w:rsidP="00E13C7A">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vAlign w:val="center"/>
          </w:tcPr>
          <w:p w14:paraId="781880DF" w14:textId="6CE1126F" w:rsidR="00E13C7A" w:rsidRPr="00332AB5" w:rsidRDefault="00E13C7A" w:rsidP="00E13C7A">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vAlign w:val="center"/>
          </w:tcPr>
          <w:p w14:paraId="5F14EDE9" w14:textId="6F1A7269" w:rsidR="00E13C7A" w:rsidRPr="00332AB5" w:rsidRDefault="00E13C7A" w:rsidP="00E13C7A">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vAlign w:val="center"/>
          </w:tcPr>
          <w:p w14:paraId="40F7EA12" w14:textId="08A2132F" w:rsidR="00E13C7A" w:rsidRPr="00332AB5" w:rsidRDefault="00E13C7A" w:rsidP="00E13C7A">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vAlign w:val="center"/>
          </w:tcPr>
          <w:p w14:paraId="01DB99FF" w14:textId="7B1A8BC8" w:rsidR="00E13C7A" w:rsidRPr="00332AB5" w:rsidRDefault="00E13C7A" w:rsidP="00E13C7A">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vAlign w:val="center"/>
          </w:tcPr>
          <w:p w14:paraId="60AF7CDD" w14:textId="4D6C82FC" w:rsidR="00E13C7A" w:rsidRPr="00332AB5" w:rsidRDefault="00E13C7A" w:rsidP="00E13C7A">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vAlign w:val="center"/>
          </w:tcPr>
          <w:p w14:paraId="47561117" w14:textId="309EF97F" w:rsidR="00E13C7A" w:rsidRPr="00332AB5" w:rsidRDefault="00E13C7A" w:rsidP="00E13C7A">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vAlign w:val="center"/>
          </w:tcPr>
          <w:p w14:paraId="4BDA71ED" w14:textId="5DD63E2C" w:rsidR="00E13C7A" w:rsidRPr="00332AB5" w:rsidRDefault="00E13C7A" w:rsidP="00E13C7A">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r>
      <w:tr w:rsidR="00E13C7A" w:rsidRPr="00332AB5" w14:paraId="5F34AD0F" w14:textId="77777777" w:rsidTr="004B0161">
        <w:trPr>
          <w:trHeight w:val="397"/>
        </w:trPr>
        <w:tc>
          <w:tcPr>
            <w:tcW w:w="1179" w:type="dxa"/>
            <w:vAlign w:val="center"/>
          </w:tcPr>
          <w:p w14:paraId="4D777FBD" w14:textId="77777777" w:rsidR="00E13C7A" w:rsidRPr="00332AB5" w:rsidRDefault="00E13C7A" w:rsidP="00E13C7A">
            <w:pPr>
              <w:rPr>
                <w:rFonts w:asciiTheme="minorHAnsi" w:hAnsiTheme="minorHAnsi" w:cstheme="minorHAnsi"/>
                <w:sz w:val="18"/>
                <w:szCs w:val="18"/>
              </w:rPr>
            </w:pPr>
            <w:r w:rsidRPr="00332AB5">
              <w:rPr>
                <w:rFonts w:asciiTheme="minorHAnsi" w:hAnsiTheme="minorHAnsi" w:cstheme="minorHAnsi"/>
                <w:sz w:val="18"/>
                <w:szCs w:val="18"/>
              </w:rPr>
              <w:t>M 2</w:t>
            </w:r>
          </w:p>
        </w:tc>
        <w:tc>
          <w:tcPr>
            <w:tcW w:w="998" w:type="dxa"/>
            <w:vAlign w:val="center"/>
          </w:tcPr>
          <w:p w14:paraId="7C6C45E8" w14:textId="23E27405" w:rsidR="00E13C7A" w:rsidRPr="00332AB5" w:rsidRDefault="00E13C7A" w:rsidP="00E13C7A">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vAlign w:val="center"/>
          </w:tcPr>
          <w:p w14:paraId="60C2C3B9" w14:textId="654ED33F" w:rsidR="00E13C7A" w:rsidRPr="00332AB5" w:rsidRDefault="00E13C7A" w:rsidP="00E13C7A">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vAlign w:val="center"/>
          </w:tcPr>
          <w:p w14:paraId="2ADB8685" w14:textId="6C1610A9" w:rsidR="00E13C7A" w:rsidRPr="00332AB5" w:rsidRDefault="00E13C7A" w:rsidP="00E13C7A">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vAlign w:val="center"/>
          </w:tcPr>
          <w:p w14:paraId="42C46EE3" w14:textId="3DD829AC" w:rsidR="00E13C7A" w:rsidRPr="00332AB5" w:rsidRDefault="00E13C7A" w:rsidP="00E13C7A">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vAlign w:val="center"/>
          </w:tcPr>
          <w:p w14:paraId="04DEDAC0" w14:textId="71EC9B28" w:rsidR="00E13C7A" w:rsidRPr="00332AB5" w:rsidRDefault="00E13C7A" w:rsidP="00E13C7A">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vAlign w:val="center"/>
          </w:tcPr>
          <w:p w14:paraId="747ABAE2" w14:textId="051E0355" w:rsidR="00E13C7A" w:rsidRPr="00332AB5" w:rsidRDefault="00E13C7A" w:rsidP="00E13C7A">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vAlign w:val="center"/>
          </w:tcPr>
          <w:p w14:paraId="236066B7" w14:textId="22CB2ABA" w:rsidR="00E13C7A" w:rsidRPr="00332AB5" w:rsidRDefault="00E13C7A" w:rsidP="00E13C7A">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vAlign w:val="center"/>
          </w:tcPr>
          <w:p w14:paraId="445142A3" w14:textId="35593DD5" w:rsidR="00E13C7A" w:rsidRPr="00332AB5" w:rsidRDefault="00E13C7A" w:rsidP="00E13C7A">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vAlign w:val="center"/>
          </w:tcPr>
          <w:p w14:paraId="7C763DFA" w14:textId="3BA5DF62" w:rsidR="00E13C7A" w:rsidRPr="00332AB5" w:rsidRDefault="00E13C7A" w:rsidP="00E13C7A">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r>
      <w:tr w:rsidR="00E13C7A" w:rsidRPr="00332AB5" w14:paraId="51BA83E5" w14:textId="77777777" w:rsidTr="004B0161">
        <w:trPr>
          <w:trHeight w:val="397"/>
        </w:trPr>
        <w:tc>
          <w:tcPr>
            <w:tcW w:w="1179" w:type="dxa"/>
            <w:vAlign w:val="center"/>
          </w:tcPr>
          <w:p w14:paraId="02E0016E" w14:textId="77777777" w:rsidR="00E13C7A" w:rsidRPr="00332AB5" w:rsidRDefault="00E13C7A" w:rsidP="00E13C7A">
            <w:pPr>
              <w:rPr>
                <w:rFonts w:asciiTheme="minorHAnsi" w:hAnsiTheme="minorHAnsi" w:cstheme="minorHAnsi"/>
                <w:sz w:val="18"/>
                <w:szCs w:val="18"/>
              </w:rPr>
            </w:pPr>
            <w:r w:rsidRPr="00332AB5">
              <w:rPr>
                <w:rFonts w:asciiTheme="minorHAnsi" w:hAnsiTheme="minorHAnsi" w:cstheme="minorHAnsi"/>
                <w:sz w:val="18"/>
                <w:szCs w:val="18"/>
              </w:rPr>
              <w:t>M 3</w:t>
            </w:r>
          </w:p>
        </w:tc>
        <w:tc>
          <w:tcPr>
            <w:tcW w:w="998" w:type="dxa"/>
            <w:vAlign w:val="center"/>
          </w:tcPr>
          <w:p w14:paraId="66A3786E" w14:textId="41899A5D" w:rsidR="00E13C7A" w:rsidRPr="00332AB5" w:rsidRDefault="00E13C7A" w:rsidP="00E13C7A">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vAlign w:val="center"/>
          </w:tcPr>
          <w:p w14:paraId="284FF8E5" w14:textId="24D63704" w:rsidR="00E13C7A" w:rsidRPr="00332AB5" w:rsidRDefault="00E13C7A" w:rsidP="00E13C7A">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vAlign w:val="center"/>
          </w:tcPr>
          <w:p w14:paraId="1F0C2702" w14:textId="05FC3169" w:rsidR="00E13C7A" w:rsidRPr="00332AB5" w:rsidRDefault="00E13C7A" w:rsidP="00E13C7A">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vAlign w:val="center"/>
          </w:tcPr>
          <w:p w14:paraId="30414BF2" w14:textId="1ECC3551" w:rsidR="00E13C7A" w:rsidRPr="00332AB5" w:rsidRDefault="00E13C7A" w:rsidP="00E13C7A">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vAlign w:val="center"/>
          </w:tcPr>
          <w:p w14:paraId="540B630C" w14:textId="20A63CA0" w:rsidR="00E13C7A" w:rsidRPr="00332AB5" w:rsidRDefault="00E13C7A" w:rsidP="00E13C7A">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vAlign w:val="center"/>
          </w:tcPr>
          <w:p w14:paraId="53E39EEC" w14:textId="0C2F0104" w:rsidR="00E13C7A" w:rsidRPr="00332AB5" w:rsidRDefault="00E13C7A" w:rsidP="00E13C7A">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vAlign w:val="center"/>
          </w:tcPr>
          <w:p w14:paraId="5E549C39" w14:textId="6A53F3C1" w:rsidR="00E13C7A" w:rsidRPr="00332AB5" w:rsidRDefault="00E13C7A" w:rsidP="00E13C7A">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vAlign w:val="center"/>
          </w:tcPr>
          <w:p w14:paraId="6EFA2466" w14:textId="01A02D23" w:rsidR="00E13C7A" w:rsidRPr="00332AB5" w:rsidRDefault="00E13C7A" w:rsidP="00E13C7A">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vAlign w:val="center"/>
          </w:tcPr>
          <w:p w14:paraId="0D535A43" w14:textId="78F04139" w:rsidR="00E13C7A" w:rsidRPr="00332AB5" w:rsidRDefault="00E13C7A" w:rsidP="00E13C7A">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r>
      <w:tr w:rsidR="00BE1786" w:rsidRPr="00332AB5" w14:paraId="545F7662" w14:textId="77777777" w:rsidTr="00BE1786">
        <w:trPr>
          <w:trHeight w:val="397"/>
        </w:trPr>
        <w:tc>
          <w:tcPr>
            <w:tcW w:w="1179" w:type="dxa"/>
            <w:vAlign w:val="center"/>
          </w:tcPr>
          <w:p w14:paraId="7B62D3EF" w14:textId="77777777" w:rsidR="00BE1786" w:rsidRPr="00332AB5" w:rsidRDefault="00BE1786" w:rsidP="00BE1786">
            <w:pPr>
              <w:rPr>
                <w:rFonts w:asciiTheme="minorHAnsi" w:hAnsiTheme="minorHAnsi" w:cstheme="minorHAnsi"/>
                <w:sz w:val="18"/>
                <w:szCs w:val="18"/>
              </w:rPr>
            </w:pPr>
            <w:r w:rsidRPr="00332AB5">
              <w:rPr>
                <w:rFonts w:asciiTheme="minorHAnsi" w:hAnsiTheme="minorHAnsi" w:cstheme="minorHAnsi"/>
                <w:sz w:val="18"/>
                <w:szCs w:val="18"/>
              </w:rPr>
              <w:t>M 4</w:t>
            </w:r>
          </w:p>
        </w:tc>
        <w:tc>
          <w:tcPr>
            <w:tcW w:w="998" w:type="dxa"/>
            <w:tcBorders>
              <w:top w:val="nil"/>
              <w:left w:val="nil"/>
              <w:bottom w:val="nil"/>
              <w:right w:val="nil"/>
            </w:tcBorders>
            <w:shd w:val="clear" w:color="auto" w:fill="auto"/>
            <w:vAlign w:val="center"/>
          </w:tcPr>
          <w:p w14:paraId="19697FAC" w14:textId="7456A038"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95,54</w:t>
            </w:r>
          </w:p>
        </w:tc>
        <w:tc>
          <w:tcPr>
            <w:tcW w:w="1089" w:type="dxa"/>
            <w:tcBorders>
              <w:top w:val="nil"/>
              <w:left w:val="nil"/>
              <w:bottom w:val="nil"/>
              <w:right w:val="nil"/>
            </w:tcBorders>
            <w:shd w:val="clear" w:color="auto" w:fill="auto"/>
            <w:vAlign w:val="center"/>
          </w:tcPr>
          <w:p w14:paraId="7F53A918" w14:textId="59C274FA"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8,66</w:t>
            </w:r>
          </w:p>
        </w:tc>
        <w:tc>
          <w:tcPr>
            <w:tcW w:w="635" w:type="dxa"/>
            <w:tcBorders>
              <w:top w:val="nil"/>
              <w:left w:val="nil"/>
              <w:bottom w:val="nil"/>
              <w:right w:val="nil"/>
            </w:tcBorders>
            <w:shd w:val="clear" w:color="auto" w:fill="auto"/>
            <w:vAlign w:val="center"/>
          </w:tcPr>
          <w:p w14:paraId="478B0617" w14:textId="140E78EF"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9,06</w:t>
            </w:r>
          </w:p>
        </w:tc>
        <w:tc>
          <w:tcPr>
            <w:tcW w:w="1089" w:type="dxa"/>
            <w:tcBorders>
              <w:top w:val="nil"/>
              <w:left w:val="nil"/>
              <w:bottom w:val="nil"/>
              <w:right w:val="nil"/>
            </w:tcBorders>
            <w:shd w:val="clear" w:color="auto" w:fill="auto"/>
            <w:vAlign w:val="center"/>
          </w:tcPr>
          <w:p w14:paraId="3B756A4F" w14:textId="0A4221B3"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1,83</w:t>
            </w:r>
          </w:p>
        </w:tc>
        <w:tc>
          <w:tcPr>
            <w:tcW w:w="635" w:type="dxa"/>
            <w:tcBorders>
              <w:top w:val="nil"/>
              <w:left w:val="nil"/>
              <w:bottom w:val="nil"/>
              <w:right w:val="nil"/>
            </w:tcBorders>
            <w:shd w:val="clear" w:color="auto" w:fill="auto"/>
            <w:vAlign w:val="center"/>
          </w:tcPr>
          <w:p w14:paraId="227C3D41" w14:textId="26137E56"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1,92</w:t>
            </w:r>
          </w:p>
        </w:tc>
        <w:tc>
          <w:tcPr>
            <w:tcW w:w="1089" w:type="dxa"/>
            <w:tcBorders>
              <w:top w:val="nil"/>
              <w:left w:val="nil"/>
              <w:bottom w:val="nil"/>
              <w:right w:val="nil"/>
            </w:tcBorders>
            <w:shd w:val="clear" w:color="auto" w:fill="auto"/>
            <w:vAlign w:val="center"/>
          </w:tcPr>
          <w:p w14:paraId="1346B750" w14:textId="54E26675"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0,10</w:t>
            </w:r>
          </w:p>
        </w:tc>
        <w:tc>
          <w:tcPr>
            <w:tcW w:w="635" w:type="dxa"/>
            <w:tcBorders>
              <w:top w:val="nil"/>
              <w:left w:val="nil"/>
              <w:bottom w:val="nil"/>
              <w:right w:val="nil"/>
            </w:tcBorders>
            <w:shd w:val="clear" w:color="auto" w:fill="auto"/>
            <w:vAlign w:val="center"/>
          </w:tcPr>
          <w:p w14:paraId="1AF34398" w14:textId="0C817FB5"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0,11</w:t>
            </w:r>
          </w:p>
        </w:tc>
        <w:tc>
          <w:tcPr>
            <w:tcW w:w="1089" w:type="dxa"/>
            <w:vAlign w:val="center"/>
          </w:tcPr>
          <w:p w14:paraId="0174D54C" w14:textId="43017569"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vAlign w:val="center"/>
          </w:tcPr>
          <w:p w14:paraId="7A276520" w14:textId="2BC5C3E7"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r>
      <w:tr w:rsidR="00BE1786" w:rsidRPr="00332AB5" w14:paraId="2A17EBFC" w14:textId="77777777" w:rsidTr="00BE1786">
        <w:trPr>
          <w:trHeight w:val="397"/>
        </w:trPr>
        <w:tc>
          <w:tcPr>
            <w:tcW w:w="1179" w:type="dxa"/>
            <w:vAlign w:val="center"/>
          </w:tcPr>
          <w:p w14:paraId="6D4D796C" w14:textId="76EF4086" w:rsidR="00BE1786" w:rsidRPr="00332AB5" w:rsidRDefault="00BE1786" w:rsidP="00BE1786">
            <w:pPr>
              <w:rPr>
                <w:rFonts w:asciiTheme="minorHAnsi" w:hAnsiTheme="minorHAnsi" w:cstheme="minorHAnsi"/>
                <w:sz w:val="18"/>
                <w:szCs w:val="18"/>
              </w:rPr>
            </w:pPr>
            <w:r w:rsidRPr="00332AB5">
              <w:rPr>
                <w:rFonts w:asciiTheme="minorHAnsi" w:hAnsiTheme="minorHAnsi" w:cstheme="minorHAnsi"/>
                <w:sz w:val="18"/>
                <w:szCs w:val="18"/>
              </w:rPr>
              <w:t>M 5</w:t>
            </w:r>
          </w:p>
        </w:tc>
        <w:tc>
          <w:tcPr>
            <w:tcW w:w="998" w:type="dxa"/>
            <w:tcBorders>
              <w:top w:val="nil"/>
              <w:left w:val="nil"/>
              <w:bottom w:val="nil"/>
              <w:right w:val="nil"/>
            </w:tcBorders>
            <w:shd w:val="clear" w:color="auto" w:fill="auto"/>
            <w:vAlign w:val="center"/>
          </w:tcPr>
          <w:p w14:paraId="50380CAF" w14:textId="5F0CF721" w:rsidR="00BE1786" w:rsidRPr="00332AB5" w:rsidRDefault="00BE1786" w:rsidP="00BE1786">
            <w:pPr>
              <w:jc w:val="right"/>
              <w:rPr>
                <w:rFonts w:asciiTheme="minorHAnsi" w:hAnsiTheme="minorHAnsi" w:cstheme="minorHAnsi"/>
                <w:color w:val="000000"/>
                <w:sz w:val="18"/>
                <w:szCs w:val="18"/>
              </w:rPr>
            </w:pPr>
          </w:p>
        </w:tc>
        <w:tc>
          <w:tcPr>
            <w:tcW w:w="1089" w:type="dxa"/>
            <w:tcBorders>
              <w:top w:val="nil"/>
              <w:left w:val="nil"/>
              <w:bottom w:val="nil"/>
              <w:right w:val="nil"/>
            </w:tcBorders>
            <w:shd w:val="clear" w:color="auto" w:fill="auto"/>
            <w:vAlign w:val="center"/>
          </w:tcPr>
          <w:p w14:paraId="114B7782" w14:textId="0F71858F" w:rsidR="00BE1786" w:rsidRPr="00332AB5" w:rsidRDefault="00BE1786" w:rsidP="00BE1786">
            <w:pPr>
              <w:jc w:val="right"/>
              <w:rPr>
                <w:rFonts w:asciiTheme="minorHAnsi" w:hAnsiTheme="minorHAnsi" w:cstheme="minorHAnsi"/>
                <w:color w:val="000000"/>
                <w:sz w:val="18"/>
                <w:szCs w:val="18"/>
              </w:rPr>
            </w:pPr>
          </w:p>
        </w:tc>
        <w:tc>
          <w:tcPr>
            <w:tcW w:w="635" w:type="dxa"/>
            <w:tcBorders>
              <w:top w:val="nil"/>
              <w:left w:val="nil"/>
              <w:bottom w:val="nil"/>
              <w:right w:val="nil"/>
            </w:tcBorders>
            <w:shd w:val="clear" w:color="auto" w:fill="auto"/>
            <w:vAlign w:val="center"/>
          </w:tcPr>
          <w:p w14:paraId="17347937" w14:textId="111D66E4" w:rsidR="00BE1786" w:rsidRPr="00332AB5" w:rsidRDefault="00BE1786" w:rsidP="00BE1786">
            <w:pPr>
              <w:jc w:val="right"/>
              <w:rPr>
                <w:rFonts w:asciiTheme="minorHAnsi" w:hAnsiTheme="minorHAnsi" w:cstheme="minorHAnsi"/>
                <w:color w:val="000000"/>
                <w:sz w:val="18"/>
                <w:szCs w:val="18"/>
              </w:rPr>
            </w:pPr>
          </w:p>
        </w:tc>
        <w:tc>
          <w:tcPr>
            <w:tcW w:w="1089" w:type="dxa"/>
            <w:tcBorders>
              <w:top w:val="nil"/>
              <w:left w:val="nil"/>
              <w:bottom w:val="nil"/>
              <w:right w:val="nil"/>
            </w:tcBorders>
            <w:shd w:val="clear" w:color="auto" w:fill="auto"/>
            <w:vAlign w:val="center"/>
          </w:tcPr>
          <w:p w14:paraId="531AF54B" w14:textId="3000E530" w:rsidR="00BE1786" w:rsidRPr="00332AB5" w:rsidRDefault="00BE1786" w:rsidP="00BE1786">
            <w:pPr>
              <w:jc w:val="right"/>
              <w:rPr>
                <w:rFonts w:asciiTheme="minorHAnsi" w:hAnsiTheme="minorHAnsi" w:cstheme="minorHAnsi"/>
                <w:color w:val="000000"/>
                <w:sz w:val="18"/>
                <w:szCs w:val="18"/>
              </w:rPr>
            </w:pPr>
          </w:p>
        </w:tc>
        <w:tc>
          <w:tcPr>
            <w:tcW w:w="635" w:type="dxa"/>
            <w:tcBorders>
              <w:top w:val="nil"/>
              <w:left w:val="nil"/>
              <w:bottom w:val="nil"/>
              <w:right w:val="nil"/>
            </w:tcBorders>
            <w:shd w:val="clear" w:color="auto" w:fill="auto"/>
            <w:vAlign w:val="center"/>
          </w:tcPr>
          <w:p w14:paraId="4C410E92" w14:textId="2D652A4C" w:rsidR="00BE1786" w:rsidRPr="00332AB5" w:rsidRDefault="00BE1786" w:rsidP="00BE1786">
            <w:pPr>
              <w:jc w:val="right"/>
              <w:rPr>
                <w:rFonts w:asciiTheme="minorHAnsi" w:hAnsiTheme="minorHAnsi" w:cstheme="minorHAnsi"/>
                <w:color w:val="000000"/>
                <w:sz w:val="18"/>
                <w:szCs w:val="18"/>
              </w:rPr>
            </w:pPr>
          </w:p>
        </w:tc>
        <w:tc>
          <w:tcPr>
            <w:tcW w:w="1089" w:type="dxa"/>
            <w:tcBorders>
              <w:top w:val="nil"/>
              <w:left w:val="nil"/>
              <w:bottom w:val="nil"/>
              <w:right w:val="nil"/>
            </w:tcBorders>
            <w:shd w:val="clear" w:color="auto" w:fill="auto"/>
            <w:vAlign w:val="center"/>
          </w:tcPr>
          <w:p w14:paraId="76D8C616" w14:textId="1D146081" w:rsidR="00BE1786" w:rsidRPr="00332AB5" w:rsidRDefault="00BE1786" w:rsidP="00BE1786">
            <w:pPr>
              <w:jc w:val="right"/>
              <w:rPr>
                <w:rFonts w:asciiTheme="minorHAnsi" w:hAnsiTheme="minorHAnsi" w:cstheme="minorHAnsi"/>
                <w:color w:val="000000"/>
                <w:sz w:val="18"/>
                <w:szCs w:val="18"/>
              </w:rPr>
            </w:pPr>
          </w:p>
        </w:tc>
        <w:tc>
          <w:tcPr>
            <w:tcW w:w="635" w:type="dxa"/>
            <w:tcBorders>
              <w:top w:val="nil"/>
              <w:left w:val="nil"/>
              <w:bottom w:val="nil"/>
              <w:right w:val="nil"/>
            </w:tcBorders>
            <w:shd w:val="clear" w:color="auto" w:fill="auto"/>
            <w:vAlign w:val="center"/>
          </w:tcPr>
          <w:p w14:paraId="75342C08" w14:textId="31C705DD" w:rsidR="00BE1786" w:rsidRPr="00332AB5" w:rsidRDefault="00BE1786" w:rsidP="00BE1786">
            <w:pPr>
              <w:jc w:val="right"/>
              <w:rPr>
                <w:rFonts w:asciiTheme="minorHAnsi" w:hAnsiTheme="minorHAnsi" w:cstheme="minorHAnsi"/>
                <w:color w:val="000000"/>
                <w:sz w:val="18"/>
                <w:szCs w:val="18"/>
              </w:rPr>
            </w:pPr>
          </w:p>
        </w:tc>
        <w:tc>
          <w:tcPr>
            <w:tcW w:w="1089" w:type="dxa"/>
            <w:vAlign w:val="center"/>
          </w:tcPr>
          <w:p w14:paraId="6D8A1A6D" w14:textId="784DB0FF"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vAlign w:val="center"/>
          </w:tcPr>
          <w:p w14:paraId="6624BA9C" w14:textId="578C0CFD"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r>
      <w:tr w:rsidR="00BE1786" w:rsidRPr="00332AB5" w14:paraId="35463A56" w14:textId="77777777" w:rsidTr="00BE1786">
        <w:trPr>
          <w:trHeight w:val="397"/>
        </w:trPr>
        <w:tc>
          <w:tcPr>
            <w:tcW w:w="1179" w:type="dxa"/>
            <w:vAlign w:val="center"/>
          </w:tcPr>
          <w:p w14:paraId="72C4D8F1" w14:textId="77777777" w:rsidR="00BE1786" w:rsidRPr="00332AB5" w:rsidRDefault="00BE1786" w:rsidP="00BE1786">
            <w:pPr>
              <w:rPr>
                <w:rFonts w:asciiTheme="minorHAnsi" w:hAnsiTheme="minorHAnsi" w:cstheme="minorHAnsi"/>
                <w:sz w:val="18"/>
                <w:szCs w:val="18"/>
              </w:rPr>
            </w:pPr>
            <w:r w:rsidRPr="00332AB5">
              <w:rPr>
                <w:rFonts w:asciiTheme="minorHAnsi" w:hAnsiTheme="minorHAnsi" w:cstheme="minorHAnsi"/>
                <w:sz w:val="18"/>
                <w:szCs w:val="18"/>
              </w:rPr>
              <w:t>M 6</w:t>
            </w:r>
          </w:p>
        </w:tc>
        <w:tc>
          <w:tcPr>
            <w:tcW w:w="998" w:type="dxa"/>
            <w:tcBorders>
              <w:top w:val="nil"/>
              <w:left w:val="nil"/>
              <w:bottom w:val="nil"/>
              <w:right w:val="nil"/>
            </w:tcBorders>
            <w:shd w:val="clear" w:color="auto" w:fill="auto"/>
            <w:vAlign w:val="center"/>
          </w:tcPr>
          <w:p w14:paraId="04C390D0" w14:textId="3A4D6A66"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35,34</w:t>
            </w:r>
          </w:p>
        </w:tc>
        <w:tc>
          <w:tcPr>
            <w:tcW w:w="1089" w:type="dxa"/>
            <w:tcBorders>
              <w:top w:val="nil"/>
              <w:left w:val="nil"/>
              <w:bottom w:val="nil"/>
              <w:right w:val="nil"/>
            </w:tcBorders>
            <w:shd w:val="clear" w:color="auto" w:fill="auto"/>
            <w:vAlign w:val="center"/>
          </w:tcPr>
          <w:p w14:paraId="5D972765" w14:textId="08D12D1B"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7,05</w:t>
            </w:r>
          </w:p>
        </w:tc>
        <w:tc>
          <w:tcPr>
            <w:tcW w:w="635" w:type="dxa"/>
            <w:tcBorders>
              <w:top w:val="nil"/>
              <w:left w:val="nil"/>
              <w:bottom w:val="nil"/>
              <w:right w:val="nil"/>
            </w:tcBorders>
            <w:shd w:val="clear" w:color="auto" w:fill="auto"/>
            <w:vAlign w:val="center"/>
          </w:tcPr>
          <w:p w14:paraId="0ACF3180" w14:textId="5BBC2D30"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19,95</w:t>
            </w:r>
          </w:p>
        </w:tc>
        <w:tc>
          <w:tcPr>
            <w:tcW w:w="1089" w:type="dxa"/>
            <w:tcBorders>
              <w:top w:val="nil"/>
              <w:left w:val="nil"/>
              <w:bottom w:val="nil"/>
              <w:right w:val="nil"/>
            </w:tcBorders>
            <w:shd w:val="clear" w:color="auto" w:fill="auto"/>
            <w:vAlign w:val="center"/>
          </w:tcPr>
          <w:p w14:paraId="49AAACE1" w14:textId="5D1E761C"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6,47</w:t>
            </w:r>
          </w:p>
        </w:tc>
        <w:tc>
          <w:tcPr>
            <w:tcW w:w="635" w:type="dxa"/>
            <w:tcBorders>
              <w:top w:val="nil"/>
              <w:left w:val="nil"/>
              <w:bottom w:val="nil"/>
              <w:right w:val="nil"/>
            </w:tcBorders>
            <w:shd w:val="clear" w:color="auto" w:fill="auto"/>
            <w:vAlign w:val="center"/>
          </w:tcPr>
          <w:p w14:paraId="33B7021D" w14:textId="74A5EAAF"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18,32</w:t>
            </w:r>
          </w:p>
        </w:tc>
        <w:tc>
          <w:tcPr>
            <w:tcW w:w="1089" w:type="dxa"/>
            <w:tcBorders>
              <w:top w:val="nil"/>
              <w:left w:val="nil"/>
              <w:bottom w:val="nil"/>
              <w:right w:val="nil"/>
            </w:tcBorders>
            <w:shd w:val="clear" w:color="auto" w:fill="auto"/>
            <w:vAlign w:val="center"/>
          </w:tcPr>
          <w:p w14:paraId="0ED8EC3A" w14:textId="1C29259A"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8,45</w:t>
            </w:r>
          </w:p>
        </w:tc>
        <w:tc>
          <w:tcPr>
            <w:tcW w:w="635" w:type="dxa"/>
            <w:tcBorders>
              <w:top w:val="nil"/>
              <w:left w:val="nil"/>
              <w:bottom w:val="nil"/>
              <w:right w:val="nil"/>
            </w:tcBorders>
            <w:shd w:val="clear" w:color="auto" w:fill="auto"/>
            <w:vAlign w:val="center"/>
          </w:tcPr>
          <w:p w14:paraId="32EB30CE" w14:textId="71943951"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23,92</w:t>
            </w:r>
          </w:p>
        </w:tc>
        <w:tc>
          <w:tcPr>
            <w:tcW w:w="1089" w:type="dxa"/>
            <w:vAlign w:val="center"/>
          </w:tcPr>
          <w:p w14:paraId="03BC3079" w14:textId="4B9A13C4"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vAlign w:val="center"/>
          </w:tcPr>
          <w:p w14:paraId="659C3911" w14:textId="70F52BE1"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r>
      <w:tr w:rsidR="00BE1786" w:rsidRPr="00332AB5" w14:paraId="5F1EA17B" w14:textId="77777777" w:rsidTr="00BE1786">
        <w:trPr>
          <w:trHeight w:val="397"/>
        </w:trPr>
        <w:tc>
          <w:tcPr>
            <w:tcW w:w="1179" w:type="dxa"/>
            <w:vAlign w:val="center"/>
          </w:tcPr>
          <w:p w14:paraId="6238C411" w14:textId="77777777" w:rsidR="00BE1786" w:rsidRPr="00332AB5" w:rsidRDefault="00BE1786" w:rsidP="00BE1786">
            <w:pPr>
              <w:rPr>
                <w:rFonts w:asciiTheme="minorHAnsi" w:hAnsiTheme="minorHAnsi" w:cstheme="minorHAnsi"/>
                <w:sz w:val="18"/>
                <w:szCs w:val="18"/>
              </w:rPr>
            </w:pPr>
            <w:r w:rsidRPr="00332AB5">
              <w:rPr>
                <w:rFonts w:asciiTheme="minorHAnsi" w:hAnsiTheme="minorHAnsi" w:cstheme="minorHAnsi"/>
                <w:sz w:val="18"/>
                <w:szCs w:val="18"/>
              </w:rPr>
              <w:t>M 7</w:t>
            </w:r>
          </w:p>
        </w:tc>
        <w:tc>
          <w:tcPr>
            <w:tcW w:w="998" w:type="dxa"/>
            <w:tcBorders>
              <w:top w:val="nil"/>
              <w:left w:val="nil"/>
              <w:bottom w:val="nil"/>
              <w:right w:val="nil"/>
            </w:tcBorders>
            <w:shd w:val="clear" w:color="auto" w:fill="auto"/>
            <w:vAlign w:val="center"/>
          </w:tcPr>
          <w:p w14:paraId="36C69D50" w14:textId="5E67D75A" w:rsidR="00BE1786" w:rsidRPr="00332AB5" w:rsidRDefault="00BE1786" w:rsidP="00BE1786">
            <w:pPr>
              <w:jc w:val="right"/>
              <w:rPr>
                <w:rFonts w:asciiTheme="minorHAnsi" w:hAnsiTheme="minorHAnsi" w:cstheme="minorHAnsi"/>
                <w:color w:val="000000"/>
                <w:sz w:val="18"/>
                <w:szCs w:val="18"/>
              </w:rPr>
            </w:pPr>
          </w:p>
        </w:tc>
        <w:tc>
          <w:tcPr>
            <w:tcW w:w="1089" w:type="dxa"/>
            <w:tcBorders>
              <w:top w:val="nil"/>
              <w:left w:val="nil"/>
              <w:bottom w:val="nil"/>
              <w:right w:val="nil"/>
            </w:tcBorders>
            <w:shd w:val="clear" w:color="auto" w:fill="auto"/>
            <w:vAlign w:val="center"/>
          </w:tcPr>
          <w:p w14:paraId="7C8DD76E" w14:textId="50BD8C82" w:rsidR="00BE1786" w:rsidRPr="00332AB5" w:rsidRDefault="00BE1786" w:rsidP="00BE1786">
            <w:pPr>
              <w:jc w:val="right"/>
              <w:rPr>
                <w:rFonts w:asciiTheme="minorHAnsi" w:hAnsiTheme="minorHAnsi" w:cstheme="minorHAnsi"/>
                <w:color w:val="000000"/>
                <w:sz w:val="18"/>
                <w:szCs w:val="18"/>
              </w:rPr>
            </w:pPr>
          </w:p>
        </w:tc>
        <w:tc>
          <w:tcPr>
            <w:tcW w:w="635" w:type="dxa"/>
            <w:tcBorders>
              <w:top w:val="nil"/>
              <w:left w:val="nil"/>
              <w:bottom w:val="nil"/>
              <w:right w:val="nil"/>
            </w:tcBorders>
            <w:shd w:val="clear" w:color="auto" w:fill="auto"/>
            <w:vAlign w:val="center"/>
          </w:tcPr>
          <w:p w14:paraId="688EA134" w14:textId="12C437E3" w:rsidR="00BE1786" w:rsidRPr="00332AB5" w:rsidRDefault="00BE1786" w:rsidP="00BE1786">
            <w:pPr>
              <w:jc w:val="right"/>
              <w:rPr>
                <w:rFonts w:asciiTheme="minorHAnsi" w:hAnsiTheme="minorHAnsi" w:cstheme="minorHAnsi"/>
                <w:color w:val="000000"/>
                <w:sz w:val="18"/>
                <w:szCs w:val="18"/>
              </w:rPr>
            </w:pPr>
          </w:p>
        </w:tc>
        <w:tc>
          <w:tcPr>
            <w:tcW w:w="1089" w:type="dxa"/>
            <w:tcBorders>
              <w:top w:val="nil"/>
              <w:left w:val="nil"/>
              <w:bottom w:val="nil"/>
              <w:right w:val="nil"/>
            </w:tcBorders>
            <w:shd w:val="clear" w:color="auto" w:fill="auto"/>
            <w:vAlign w:val="center"/>
          </w:tcPr>
          <w:p w14:paraId="42CB26AD" w14:textId="0CA0BF15" w:rsidR="00BE1786" w:rsidRPr="00332AB5" w:rsidRDefault="00BE1786" w:rsidP="00BE1786">
            <w:pPr>
              <w:jc w:val="right"/>
              <w:rPr>
                <w:rFonts w:asciiTheme="minorHAnsi" w:hAnsiTheme="minorHAnsi" w:cstheme="minorHAnsi"/>
                <w:color w:val="000000"/>
                <w:sz w:val="18"/>
                <w:szCs w:val="18"/>
              </w:rPr>
            </w:pPr>
          </w:p>
        </w:tc>
        <w:tc>
          <w:tcPr>
            <w:tcW w:w="635" w:type="dxa"/>
            <w:tcBorders>
              <w:top w:val="nil"/>
              <w:left w:val="nil"/>
              <w:bottom w:val="nil"/>
              <w:right w:val="nil"/>
            </w:tcBorders>
            <w:shd w:val="clear" w:color="auto" w:fill="auto"/>
            <w:vAlign w:val="center"/>
          </w:tcPr>
          <w:p w14:paraId="06978C13" w14:textId="0DCF4446" w:rsidR="00BE1786" w:rsidRPr="00332AB5" w:rsidRDefault="00BE1786" w:rsidP="00BE1786">
            <w:pPr>
              <w:jc w:val="right"/>
              <w:rPr>
                <w:rFonts w:asciiTheme="minorHAnsi" w:hAnsiTheme="minorHAnsi" w:cstheme="minorHAnsi"/>
                <w:color w:val="000000"/>
                <w:sz w:val="18"/>
                <w:szCs w:val="18"/>
              </w:rPr>
            </w:pPr>
          </w:p>
        </w:tc>
        <w:tc>
          <w:tcPr>
            <w:tcW w:w="1089" w:type="dxa"/>
            <w:tcBorders>
              <w:top w:val="nil"/>
              <w:left w:val="nil"/>
              <w:bottom w:val="nil"/>
              <w:right w:val="nil"/>
            </w:tcBorders>
            <w:shd w:val="clear" w:color="auto" w:fill="auto"/>
            <w:vAlign w:val="center"/>
          </w:tcPr>
          <w:p w14:paraId="7EE5647A" w14:textId="637AFB62" w:rsidR="00BE1786" w:rsidRPr="00332AB5" w:rsidRDefault="00BE1786" w:rsidP="00BE1786">
            <w:pPr>
              <w:jc w:val="right"/>
              <w:rPr>
                <w:rFonts w:asciiTheme="minorHAnsi" w:hAnsiTheme="minorHAnsi" w:cstheme="minorHAnsi"/>
                <w:color w:val="000000"/>
                <w:sz w:val="18"/>
                <w:szCs w:val="18"/>
              </w:rPr>
            </w:pPr>
          </w:p>
        </w:tc>
        <w:tc>
          <w:tcPr>
            <w:tcW w:w="635" w:type="dxa"/>
            <w:tcBorders>
              <w:top w:val="nil"/>
              <w:left w:val="nil"/>
              <w:bottom w:val="nil"/>
              <w:right w:val="nil"/>
            </w:tcBorders>
            <w:shd w:val="clear" w:color="auto" w:fill="auto"/>
            <w:vAlign w:val="center"/>
          </w:tcPr>
          <w:p w14:paraId="414CA9A3" w14:textId="000AC329" w:rsidR="00BE1786" w:rsidRPr="00332AB5" w:rsidRDefault="00BE1786" w:rsidP="00BE1786">
            <w:pPr>
              <w:jc w:val="right"/>
              <w:rPr>
                <w:rFonts w:asciiTheme="minorHAnsi" w:hAnsiTheme="minorHAnsi" w:cstheme="minorHAnsi"/>
                <w:color w:val="000000"/>
                <w:sz w:val="18"/>
                <w:szCs w:val="18"/>
              </w:rPr>
            </w:pPr>
          </w:p>
        </w:tc>
        <w:tc>
          <w:tcPr>
            <w:tcW w:w="1089" w:type="dxa"/>
            <w:vAlign w:val="center"/>
          </w:tcPr>
          <w:p w14:paraId="35149BDF" w14:textId="3E51C8BA"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vAlign w:val="center"/>
          </w:tcPr>
          <w:p w14:paraId="72AC82B0" w14:textId="628E6574"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r>
      <w:tr w:rsidR="00BE1786" w:rsidRPr="00332AB5" w14:paraId="570ED0DB" w14:textId="77777777" w:rsidTr="00BE1786">
        <w:trPr>
          <w:trHeight w:val="397"/>
        </w:trPr>
        <w:tc>
          <w:tcPr>
            <w:tcW w:w="1179" w:type="dxa"/>
            <w:vAlign w:val="center"/>
          </w:tcPr>
          <w:p w14:paraId="3525DC27" w14:textId="77777777" w:rsidR="00BE1786" w:rsidRPr="00332AB5" w:rsidRDefault="00BE1786" w:rsidP="00BE1786">
            <w:pPr>
              <w:rPr>
                <w:rFonts w:asciiTheme="minorHAnsi" w:hAnsiTheme="minorHAnsi" w:cstheme="minorHAnsi"/>
                <w:sz w:val="18"/>
                <w:szCs w:val="18"/>
              </w:rPr>
            </w:pPr>
            <w:r w:rsidRPr="00332AB5">
              <w:rPr>
                <w:rFonts w:asciiTheme="minorHAnsi" w:hAnsiTheme="minorHAnsi" w:cstheme="minorHAnsi"/>
                <w:sz w:val="18"/>
                <w:szCs w:val="18"/>
              </w:rPr>
              <w:t>M 8</w:t>
            </w:r>
          </w:p>
        </w:tc>
        <w:tc>
          <w:tcPr>
            <w:tcW w:w="998" w:type="dxa"/>
            <w:tcBorders>
              <w:top w:val="nil"/>
              <w:left w:val="nil"/>
              <w:bottom w:val="nil"/>
              <w:right w:val="nil"/>
            </w:tcBorders>
            <w:shd w:val="clear" w:color="auto" w:fill="auto"/>
            <w:vAlign w:val="center"/>
          </w:tcPr>
          <w:p w14:paraId="087B904D" w14:textId="46F78DD1"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4,00</w:t>
            </w:r>
          </w:p>
        </w:tc>
        <w:tc>
          <w:tcPr>
            <w:tcW w:w="1089" w:type="dxa"/>
            <w:tcBorders>
              <w:top w:val="nil"/>
              <w:left w:val="nil"/>
              <w:bottom w:val="nil"/>
              <w:right w:val="nil"/>
            </w:tcBorders>
            <w:shd w:val="clear" w:color="auto" w:fill="auto"/>
            <w:vAlign w:val="center"/>
          </w:tcPr>
          <w:p w14:paraId="075B7C12" w14:textId="330EF0F7"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1,86</w:t>
            </w:r>
          </w:p>
        </w:tc>
        <w:tc>
          <w:tcPr>
            <w:tcW w:w="635" w:type="dxa"/>
            <w:tcBorders>
              <w:top w:val="nil"/>
              <w:left w:val="nil"/>
              <w:bottom w:val="nil"/>
              <w:right w:val="nil"/>
            </w:tcBorders>
            <w:shd w:val="clear" w:color="auto" w:fill="auto"/>
            <w:vAlign w:val="center"/>
          </w:tcPr>
          <w:p w14:paraId="5BB36474" w14:textId="5F3EF870"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46,44</w:t>
            </w:r>
          </w:p>
        </w:tc>
        <w:tc>
          <w:tcPr>
            <w:tcW w:w="1089" w:type="dxa"/>
            <w:tcBorders>
              <w:top w:val="nil"/>
              <w:left w:val="nil"/>
              <w:bottom w:val="nil"/>
              <w:right w:val="nil"/>
            </w:tcBorders>
            <w:shd w:val="clear" w:color="auto" w:fill="auto"/>
            <w:vAlign w:val="center"/>
          </w:tcPr>
          <w:p w14:paraId="0C218C89" w14:textId="0DCDD02F" w:rsidR="00BE1786" w:rsidRPr="00332AB5" w:rsidRDefault="00BE1786" w:rsidP="00BE1786">
            <w:pPr>
              <w:jc w:val="right"/>
              <w:rPr>
                <w:rFonts w:asciiTheme="minorHAnsi" w:hAnsiTheme="minorHAnsi" w:cstheme="minorHAnsi"/>
                <w:color w:val="000000"/>
                <w:sz w:val="18"/>
                <w:szCs w:val="18"/>
              </w:rPr>
            </w:pPr>
          </w:p>
        </w:tc>
        <w:tc>
          <w:tcPr>
            <w:tcW w:w="635" w:type="dxa"/>
            <w:tcBorders>
              <w:top w:val="nil"/>
              <w:left w:val="nil"/>
              <w:bottom w:val="nil"/>
              <w:right w:val="nil"/>
            </w:tcBorders>
            <w:shd w:val="clear" w:color="auto" w:fill="auto"/>
            <w:vAlign w:val="center"/>
          </w:tcPr>
          <w:p w14:paraId="7E1927CD" w14:textId="2BB85957" w:rsidR="00BE1786" w:rsidRPr="00332AB5" w:rsidRDefault="00BE1786" w:rsidP="00BE1786">
            <w:pPr>
              <w:jc w:val="right"/>
              <w:rPr>
                <w:rFonts w:asciiTheme="minorHAnsi" w:hAnsiTheme="minorHAnsi" w:cstheme="minorHAnsi"/>
                <w:color w:val="000000"/>
                <w:sz w:val="18"/>
                <w:szCs w:val="18"/>
              </w:rPr>
            </w:pPr>
          </w:p>
        </w:tc>
        <w:tc>
          <w:tcPr>
            <w:tcW w:w="1089" w:type="dxa"/>
            <w:tcBorders>
              <w:top w:val="nil"/>
              <w:left w:val="nil"/>
              <w:bottom w:val="nil"/>
              <w:right w:val="nil"/>
            </w:tcBorders>
            <w:shd w:val="clear" w:color="auto" w:fill="auto"/>
            <w:vAlign w:val="center"/>
          </w:tcPr>
          <w:p w14:paraId="2618E0FB" w14:textId="5A483645" w:rsidR="00BE1786" w:rsidRPr="00332AB5" w:rsidRDefault="00BE1786" w:rsidP="00BE1786">
            <w:pPr>
              <w:jc w:val="right"/>
              <w:rPr>
                <w:rFonts w:asciiTheme="minorHAnsi" w:hAnsiTheme="minorHAnsi" w:cstheme="minorHAnsi"/>
                <w:color w:val="000000"/>
                <w:sz w:val="18"/>
                <w:szCs w:val="18"/>
              </w:rPr>
            </w:pPr>
          </w:p>
        </w:tc>
        <w:tc>
          <w:tcPr>
            <w:tcW w:w="635" w:type="dxa"/>
            <w:tcBorders>
              <w:top w:val="nil"/>
              <w:left w:val="nil"/>
              <w:bottom w:val="nil"/>
              <w:right w:val="nil"/>
            </w:tcBorders>
            <w:shd w:val="clear" w:color="auto" w:fill="auto"/>
            <w:vAlign w:val="center"/>
          </w:tcPr>
          <w:p w14:paraId="237BBA41" w14:textId="1F56E2D7" w:rsidR="00BE1786" w:rsidRPr="00332AB5" w:rsidRDefault="00BE1786" w:rsidP="00BE1786">
            <w:pPr>
              <w:jc w:val="right"/>
              <w:rPr>
                <w:rFonts w:asciiTheme="minorHAnsi" w:hAnsiTheme="minorHAnsi" w:cstheme="minorHAnsi"/>
                <w:color w:val="000000"/>
                <w:sz w:val="18"/>
                <w:szCs w:val="18"/>
              </w:rPr>
            </w:pPr>
          </w:p>
        </w:tc>
        <w:tc>
          <w:tcPr>
            <w:tcW w:w="1089" w:type="dxa"/>
            <w:vAlign w:val="center"/>
          </w:tcPr>
          <w:p w14:paraId="5CA50483" w14:textId="38CD63D7"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vAlign w:val="center"/>
          </w:tcPr>
          <w:p w14:paraId="41AAF892" w14:textId="3A7C0BDE"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r>
      <w:tr w:rsidR="00BE1786" w:rsidRPr="00332AB5" w14:paraId="6CE568E6" w14:textId="77777777" w:rsidTr="00BE1786">
        <w:trPr>
          <w:trHeight w:val="397"/>
        </w:trPr>
        <w:tc>
          <w:tcPr>
            <w:tcW w:w="1179" w:type="dxa"/>
            <w:vAlign w:val="center"/>
          </w:tcPr>
          <w:p w14:paraId="6E6F36E6" w14:textId="77777777" w:rsidR="00BE1786" w:rsidRPr="00332AB5" w:rsidRDefault="00BE1786" w:rsidP="00BE1786">
            <w:pPr>
              <w:rPr>
                <w:rFonts w:asciiTheme="minorHAnsi" w:hAnsiTheme="minorHAnsi" w:cstheme="minorHAnsi"/>
                <w:sz w:val="18"/>
                <w:szCs w:val="18"/>
              </w:rPr>
            </w:pPr>
            <w:r w:rsidRPr="00332AB5">
              <w:rPr>
                <w:rFonts w:asciiTheme="minorHAnsi" w:hAnsiTheme="minorHAnsi" w:cstheme="minorHAnsi"/>
                <w:sz w:val="18"/>
                <w:szCs w:val="18"/>
              </w:rPr>
              <w:t>M 9</w:t>
            </w:r>
          </w:p>
        </w:tc>
        <w:tc>
          <w:tcPr>
            <w:tcW w:w="998" w:type="dxa"/>
            <w:tcBorders>
              <w:top w:val="nil"/>
              <w:left w:val="nil"/>
              <w:bottom w:val="nil"/>
              <w:right w:val="nil"/>
            </w:tcBorders>
            <w:shd w:val="clear" w:color="auto" w:fill="auto"/>
            <w:vAlign w:val="center"/>
          </w:tcPr>
          <w:p w14:paraId="3B9A117D" w14:textId="6349098D" w:rsidR="00BE1786" w:rsidRPr="00332AB5" w:rsidRDefault="00BE1786" w:rsidP="00BE1786">
            <w:pPr>
              <w:jc w:val="right"/>
              <w:rPr>
                <w:rFonts w:asciiTheme="minorHAnsi" w:hAnsiTheme="minorHAnsi" w:cstheme="minorHAnsi"/>
                <w:color w:val="000000"/>
                <w:sz w:val="18"/>
                <w:szCs w:val="18"/>
              </w:rPr>
            </w:pPr>
          </w:p>
        </w:tc>
        <w:tc>
          <w:tcPr>
            <w:tcW w:w="1089" w:type="dxa"/>
            <w:tcBorders>
              <w:top w:val="nil"/>
              <w:left w:val="nil"/>
              <w:bottom w:val="nil"/>
              <w:right w:val="nil"/>
            </w:tcBorders>
            <w:shd w:val="clear" w:color="auto" w:fill="auto"/>
            <w:vAlign w:val="center"/>
          </w:tcPr>
          <w:p w14:paraId="209DACAC" w14:textId="04004FF3" w:rsidR="00BE1786" w:rsidRPr="00332AB5" w:rsidRDefault="00BE1786" w:rsidP="00BE1786">
            <w:pPr>
              <w:jc w:val="right"/>
              <w:rPr>
                <w:rFonts w:asciiTheme="minorHAnsi" w:hAnsiTheme="minorHAnsi" w:cstheme="minorHAnsi"/>
                <w:color w:val="000000"/>
                <w:sz w:val="18"/>
                <w:szCs w:val="18"/>
              </w:rPr>
            </w:pPr>
          </w:p>
        </w:tc>
        <w:tc>
          <w:tcPr>
            <w:tcW w:w="635" w:type="dxa"/>
            <w:tcBorders>
              <w:top w:val="nil"/>
              <w:left w:val="nil"/>
              <w:bottom w:val="nil"/>
              <w:right w:val="nil"/>
            </w:tcBorders>
            <w:shd w:val="clear" w:color="auto" w:fill="auto"/>
            <w:vAlign w:val="center"/>
          </w:tcPr>
          <w:p w14:paraId="5BF6082B" w14:textId="1B07DC12" w:rsidR="00BE1786" w:rsidRPr="00332AB5" w:rsidRDefault="00BE1786" w:rsidP="00BE1786">
            <w:pPr>
              <w:jc w:val="right"/>
              <w:rPr>
                <w:rFonts w:asciiTheme="minorHAnsi" w:hAnsiTheme="minorHAnsi" w:cstheme="minorHAnsi"/>
                <w:color w:val="000000"/>
                <w:sz w:val="18"/>
                <w:szCs w:val="18"/>
              </w:rPr>
            </w:pPr>
          </w:p>
        </w:tc>
        <w:tc>
          <w:tcPr>
            <w:tcW w:w="1089" w:type="dxa"/>
            <w:tcBorders>
              <w:top w:val="nil"/>
              <w:left w:val="nil"/>
              <w:bottom w:val="nil"/>
              <w:right w:val="nil"/>
            </w:tcBorders>
            <w:shd w:val="clear" w:color="auto" w:fill="auto"/>
            <w:vAlign w:val="center"/>
          </w:tcPr>
          <w:p w14:paraId="08A4309E" w14:textId="17925A42" w:rsidR="00BE1786" w:rsidRPr="00332AB5" w:rsidRDefault="00BE1786" w:rsidP="00BE1786">
            <w:pPr>
              <w:jc w:val="right"/>
              <w:rPr>
                <w:rFonts w:asciiTheme="minorHAnsi" w:hAnsiTheme="minorHAnsi" w:cstheme="minorHAnsi"/>
                <w:color w:val="000000"/>
                <w:sz w:val="18"/>
                <w:szCs w:val="18"/>
              </w:rPr>
            </w:pPr>
          </w:p>
        </w:tc>
        <w:tc>
          <w:tcPr>
            <w:tcW w:w="635" w:type="dxa"/>
            <w:tcBorders>
              <w:top w:val="nil"/>
              <w:left w:val="nil"/>
              <w:bottom w:val="nil"/>
              <w:right w:val="nil"/>
            </w:tcBorders>
            <w:shd w:val="clear" w:color="auto" w:fill="auto"/>
            <w:vAlign w:val="center"/>
          </w:tcPr>
          <w:p w14:paraId="1DE9CC75" w14:textId="649D66E6" w:rsidR="00BE1786" w:rsidRPr="00332AB5" w:rsidRDefault="00BE1786" w:rsidP="00BE1786">
            <w:pPr>
              <w:jc w:val="right"/>
              <w:rPr>
                <w:rFonts w:asciiTheme="minorHAnsi" w:hAnsiTheme="minorHAnsi" w:cstheme="minorHAnsi"/>
                <w:color w:val="000000"/>
                <w:sz w:val="18"/>
                <w:szCs w:val="18"/>
              </w:rPr>
            </w:pPr>
          </w:p>
        </w:tc>
        <w:tc>
          <w:tcPr>
            <w:tcW w:w="1089" w:type="dxa"/>
            <w:tcBorders>
              <w:top w:val="nil"/>
              <w:left w:val="nil"/>
              <w:bottom w:val="nil"/>
              <w:right w:val="nil"/>
            </w:tcBorders>
            <w:shd w:val="clear" w:color="auto" w:fill="auto"/>
            <w:vAlign w:val="center"/>
          </w:tcPr>
          <w:p w14:paraId="2D555AAE" w14:textId="058165FE" w:rsidR="00BE1786" w:rsidRPr="00332AB5" w:rsidRDefault="00BE1786" w:rsidP="00BE1786">
            <w:pPr>
              <w:jc w:val="right"/>
              <w:rPr>
                <w:rFonts w:asciiTheme="minorHAnsi" w:hAnsiTheme="minorHAnsi" w:cstheme="minorHAnsi"/>
                <w:color w:val="000000"/>
                <w:sz w:val="18"/>
                <w:szCs w:val="18"/>
              </w:rPr>
            </w:pPr>
          </w:p>
        </w:tc>
        <w:tc>
          <w:tcPr>
            <w:tcW w:w="635" w:type="dxa"/>
            <w:tcBorders>
              <w:top w:val="nil"/>
              <w:left w:val="nil"/>
              <w:bottom w:val="nil"/>
              <w:right w:val="nil"/>
            </w:tcBorders>
            <w:shd w:val="clear" w:color="auto" w:fill="auto"/>
            <w:vAlign w:val="center"/>
          </w:tcPr>
          <w:p w14:paraId="3E848533" w14:textId="50326BFB" w:rsidR="00BE1786" w:rsidRPr="00332AB5" w:rsidRDefault="00BE1786" w:rsidP="00BE1786">
            <w:pPr>
              <w:jc w:val="right"/>
              <w:rPr>
                <w:rFonts w:asciiTheme="minorHAnsi" w:hAnsiTheme="minorHAnsi" w:cstheme="minorHAnsi"/>
                <w:color w:val="000000"/>
                <w:sz w:val="18"/>
                <w:szCs w:val="18"/>
              </w:rPr>
            </w:pPr>
          </w:p>
        </w:tc>
        <w:tc>
          <w:tcPr>
            <w:tcW w:w="1089" w:type="dxa"/>
            <w:vAlign w:val="center"/>
          </w:tcPr>
          <w:p w14:paraId="7CF6D402" w14:textId="0721203B"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vAlign w:val="center"/>
          </w:tcPr>
          <w:p w14:paraId="243052CE" w14:textId="1CDE2D62"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r>
      <w:tr w:rsidR="00BE1786" w:rsidRPr="00332AB5" w14:paraId="4B946B03" w14:textId="77777777" w:rsidTr="00BE1786">
        <w:trPr>
          <w:trHeight w:val="397"/>
        </w:trPr>
        <w:tc>
          <w:tcPr>
            <w:tcW w:w="1179" w:type="dxa"/>
            <w:vAlign w:val="center"/>
          </w:tcPr>
          <w:p w14:paraId="37F62502" w14:textId="77777777" w:rsidR="00BE1786" w:rsidRPr="00332AB5" w:rsidRDefault="00BE1786" w:rsidP="00BE1786">
            <w:pPr>
              <w:rPr>
                <w:rFonts w:asciiTheme="minorHAnsi" w:hAnsiTheme="minorHAnsi" w:cstheme="minorHAnsi"/>
                <w:sz w:val="18"/>
                <w:szCs w:val="18"/>
              </w:rPr>
            </w:pPr>
            <w:r w:rsidRPr="00332AB5">
              <w:rPr>
                <w:rFonts w:asciiTheme="minorHAnsi" w:hAnsiTheme="minorHAnsi" w:cstheme="minorHAnsi"/>
                <w:sz w:val="18"/>
                <w:szCs w:val="18"/>
              </w:rPr>
              <w:t>M 10</w:t>
            </w:r>
          </w:p>
        </w:tc>
        <w:tc>
          <w:tcPr>
            <w:tcW w:w="998" w:type="dxa"/>
            <w:tcBorders>
              <w:top w:val="nil"/>
              <w:left w:val="nil"/>
              <w:bottom w:val="nil"/>
              <w:right w:val="nil"/>
            </w:tcBorders>
            <w:shd w:val="clear" w:color="auto" w:fill="auto"/>
            <w:vAlign w:val="center"/>
          </w:tcPr>
          <w:p w14:paraId="78F69577" w14:textId="39656A8E" w:rsidR="00BE1786" w:rsidRPr="00332AB5" w:rsidRDefault="00BE1786" w:rsidP="00BE1786">
            <w:pPr>
              <w:jc w:val="right"/>
              <w:rPr>
                <w:rFonts w:asciiTheme="minorHAnsi" w:hAnsiTheme="minorHAnsi" w:cstheme="minorHAnsi"/>
                <w:color w:val="000000"/>
                <w:sz w:val="18"/>
                <w:szCs w:val="18"/>
              </w:rPr>
            </w:pPr>
          </w:p>
        </w:tc>
        <w:tc>
          <w:tcPr>
            <w:tcW w:w="1089" w:type="dxa"/>
            <w:tcBorders>
              <w:top w:val="nil"/>
              <w:left w:val="nil"/>
              <w:bottom w:val="nil"/>
              <w:right w:val="nil"/>
            </w:tcBorders>
            <w:shd w:val="clear" w:color="auto" w:fill="auto"/>
            <w:vAlign w:val="center"/>
          </w:tcPr>
          <w:p w14:paraId="26D0EAF8" w14:textId="02B5926C" w:rsidR="00BE1786" w:rsidRPr="00332AB5" w:rsidRDefault="00BE1786" w:rsidP="00BE1786">
            <w:pPr>
              <w:jc w:val="right"/>
              <w:rPr>
                <w:rFonts w:asciiTheme="minorHAnsi" w:hAnsiTheme="minorHAnsi" w:cstheme="minorHAnsi"/>
                <w:color w:val="000000"/>
                <w:sz w:val="18"/>
                <w:szCs w:val="18"/>
              </w:rPr>
            </w:pPr>
          </w:p>
        </w:tc>
        <w:tc>
          <w:tcPr>
            <w:tcW w:w="635" w:type="dxa"/>
            <w:tcBorders>
              <w:top w:val="nil"/>
              <w:left w:val="nil"/>
              <w:bottom w:val="nil"/>
              <w:right w:val="nil"/>
            </w:tcBorders>
            <w:shd w:val="clear" w:color="auto" w:fill="auto"/>
            <w:vAlign w:val="center"/>
          </w:tcPr>
          <w:p w14:paraId="37D305EF" w14:textId="0ABEDBA1" w:rsidR="00BE1786" w:rsidRPr="00332AB5" w:rsidRDefault="00BE1786" w:rsidP="00BE1786">
            <w:pPr>
              <w:jc w:val="right"/>
              <w:rPr>
                <w:rFonts w:asciiTheme="minorHAnsi" w:hAnsiTheme="minorHAnsi" w:cstheme="minorHAnsi"/>
                <w:color w:val="000000"/>
                <w:sz w:val="18"/>
                <w:szCs w:val="18"/>
              </w:rPr>
            </w:pPr>
          </w:p>
        </w:tc>
        <w:tc>
          <w:tcPr>
            <w:tcW w:w="1089" w:type="dxa"/>
            <w:tcBorders>
              <w:top w:val="nil"/>
              <w:left w:val="nil"/>
              <w:bottom w:val="nil"/>
              <w:right w:val="nil"/>
            </w:tcBorders>
            <w:shd w:val="clear" w:color="auto" w:fill="auto"/>
            <w:vAlign w:val="center"/>
          </w:tcPr>
          <w:p w14:paraId="3597737F" w14:textId="56FC7147" w:rsidR="00BE1786" w:rsidRPr="00332AB5" w:rsidRDefault="00BE1786" w:rsidP="00BE1786">
            <w:pPr>
              <w:jc w:val="right"/>
              <w:rPr>
                <w:rFonts w:asciiTheme="minorHAnsi" w:hAnsiTheme="minorHAnsi" w:cstheme="minorHAnsi"/>
                <w:color w:val="000000"/>
                <w:sz w:val="18"/>
                <w:szCs w:val="18"/>
              </w:rPr>
            </w:pPr>
          </w:p>
        </w:tc>
        <w:tc>
          <w:tcPr>
            <w:tcW w:w="635" w:type="dxa"/>
            <w:tcBorders>
              <w:top w:val="nil"/>
              <w:left w:val="nil"/>
              <w:bottom w:val="nil"/>
              <w:right w:val="nil"/>
            </w:tcBorders>
            <w:shd w:val="clear" w:color="auto" w:fill="auto"/>
            <w:vAlign w:val="center"/>
          </w:tcPr>
          <w:p w14:paraId="0E36A888" w14:textId="2D928DB2" w:rsidR="00BE1786" w:rsidRPr="00332AB5" w:rsidRDefault="00BE1786" w:rsidP="00BE1786">
            <w:pPr>
              <w:jc w:val="right"/>
              <w:rPr>
                <w:rFonts w:asciiTheme="minorHAnsi" w:hAnsiTheme="minorHAnsi" w:cstheme="minorHAnsi"/>
                <w:color w:val="000000"/>
                <w:sz w:val="18"/>
                <w:szCs w:val="18"/>
              </w:rPr>
            </w:pPr>
          </w:p>
        </w:tc>
        <w:tc>
          <w:tcPr>
            <w:tcW w:w="1089" w:type="dxa"/>
            <w:tcBorders>
              <w:top w:val="nil"/>
              <w:left w:val="nil"/>
              <w:bottom w:val="nil"/>
              <w:right w:val="nil"/>
            </w:tcBorders>
            <w:shd w:val="clear" w:color="auto" w:fill="auto"/>
            <w:vAlign w:val="center"/>
          </w:tcPr>
          <w:p w14:paraId="61EC1144" w14:textId="6A52B935" w:rsidR="00BE1786" w:rsidRPr="00332AB5" w:rsidRDefault="00BE1786" w:rsidP="00BE1786">
            <w:pPr>
              <w:jc w:val="right"/>
              <w:rPr>
                <w:rFonts w:asciiTheme="minorHAnsi" w:hAnsiTheme="minorHAnsi" w:cstheme="minorHAnsi"/>
                <w:color w:val="000000"/>
                <w:sz w:val="18"/>
                <w:szCs w:val="18"/>
              </w:rPr>
            </w:pPr>
          </w:p>
        </w:tc>
        <w:tc>
          <w:tcPr>
            <w:tcW w:w="635" w:type="dxa"/>
            <w:tcBorders>
              <w:top w:val="nil"/>
              <w:left w:val="nil"/>
              <w:bottom w:val="nil"/>
              <w:right w:val="nil"/>
            </w:tcBorders>
            <w:shd w:val="clear" w:color="auto" w:fill="auto"/>
            <w:vAlign w:val="center"/>
          </w:tcPr>
          <w:p w14:paraId="385F4FD2" w14:textId="02981467" w:rsidR="00BE1786" w:rsidRPr="00332AB5" w:rsidRDefault="00BE1786" w:rsidP="00BE1786">
            <w:pPr>
              <w:jc w:val="right"/>
              <w:rPr>
                <w:rFonts w:asciiTheme="minorHAnsi" w:hAnsiTheme="minorHAnsi" w:cstheme="minorHAnsi"/>
                <w:color w:val="000000"/>
                <w:sz w:val="18"/>
                <w:szCs w:val="18"/>
              </w:rPr>
            </w:pPr>
          </w:p>
        </w:tc>
        <w:tc>
          <w:tcPr>
            <w:tcW w:w="1089" w:type="dxa"/>
            <w:vAlign w:val="center"/>
          </w:tcPr>
          <w:p w14:paraId="3B85F744" w14:textId="551C4E18"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vAlign w:val="center"/>
          </w:tcPr>
          <w:p w14:paraId="1D6BCC96" w14:textId="39ECE3FB"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r>
      <w:tr w:rsidR="00BE1786" w:rsidRPr="00332AB5" w14:paraId="60E6C11C" w14:textId="77777777" w:rsidTr="00BE1786">
        <w:trPr>
          <w:trHeight w:val="397"/>
        </w:trPr>
        <w:tc>
          <w:tcPr>
            <w:tcW w:w="1179" w:type="dxa"/>
            <w:vAlign w:val="center"/>
          </w:tcPr>
          <w:p w14:paraId="17DA27BC" w14:textId="77777777" w:rsidR="00BE1786" w:rsidRPr="00332AB5" w:rsidRDefault="00BE1786" w:rsidP="00BE1786">
            <w:pPr>
              <w:rPr>
                <w:rFonts w:asciiTheme="minorHAnsi" w:hAnsiTheme="minorHAnsi" w:cstheme="minorHAnsi"/>
                <w:sz w:val="18"/>
                <w:szCs w:val="18"/>
              </w:rPr>
            </w:pPr>
            <w:r w:rsidRPr="00332AB5">
              <w:rPr>
                <w:rFonts w:asciiTheme="minorHAnsi" w:hAnsiTheme="minorHAnsi" w:cstheme="minorHAnsi"/>
                <w:sz w:val="18"/>
                <w:szCs w:val="18"/>
              </w:rPr>
              <w:t>M 11</w:t>
            </w:r>
          </w:p>
        </w:tc>
        <w:tc>
          <w:tcPr>
            <w:tcW w:w="998" w:type="dxa"/>
            <w:shd w:val="clear" w:color="auto" w:fill="auto"/>
            <w:vAlign w:val="center"/>
          </w:tcPr>
          <w:p w14:paraId="27332260" w14:textId="5838AEBC"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27,13</w:t>
            </w:r>
          </w:p>
        </w:tc>
        <w:tc>
          <w:tcPr>
            <w:tcW w:w="1089" w:type="dxa"/>
            <w:tcBorders>
              <w:top w:val="nil"/>
              <w:left w:val="nil"/>
              <w:bottom w:val="nil"/>
              <w:right w:val="nil"/>
            </w:tcBorders>
            <w:shd w:val="clear" w:color="auto" w:fill="auto"/>
            <w:vAlign w:val="center"/>
          </w:tcPr>
          <w:p w14:paraId="6FBA96DC" w14:textId="1F536758"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10,99</w:t>
            </w:r>
          </w:p>
        </w:tc>
        <w:tc>
          <w:tcPr>
            <w:tcW w:w="635" w:type="dxa"/>
            <w:tcBorders>
              <w:top w:val="nil"/>
              <w:left w:val="nil"/>
              <w:bottom w:val="nil"/>
              <w:right w:val="nil"/>
            </w:tcBorders>
            <w:shd w:val="clear" w:color="auto" w:fill="auto"/>
            <w:vAlign w:val="center"/>
          </w:tcPr>
          <w:p w14:paraId="643A7BE4" w14:textId="5DB07017"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40,52</w:t>
            </w:r>
          </w:p>
        </w:tc>
        <w:tc>
          <w:tcPr>
            <w:tcW w:w="1089" w:type="dxa"/>
            <w:tcBorders>
              <w:top w:val="nil"/>
              <w:left w:val="nil"/>
              <w:bottom w:val="nil"/>
              <w:right w:val="nil"/>
            </w:tcBorders>
            <w:shd w:val="clear" w:color="auto" w:fill="auto"/>
            <w:vAlign w:val="center"/>
          </w:tcPr>
          <w:p w14:paraId="32AFD157" w14:textId="54C8FA05"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10,99</w:t>
            </w:r>
          </w:p>
        </w:tc>
        <w:tc>
          <w:tcPr>
            <w:tcW w:w="635" w:type="dxa"/>
            <w:tcBorders>
              <w:top w:val="nil"/>
              <w:left w:val="nil"/>
              <w:bottom w:val="nil"/>
              <w:right w:val="nil"/>
            </w:tcBorders>
            <w:shd w:val="clear" w:color="auto" w:fill="auto"/>
            <w:vAlign w:val="center"/>
          </w:tcPr>
          <w:p w14:paraId="1DFEC595" w14:textId="3D2C7F96"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40,52</w:t>
            </w:r>
          </w:p>
        </w:tc>
        <w:tc>
          <w:tcPr>
            <w:tcW w:w="1089" w:type="dxa"/>
            <w:tcBorders>
              <w:top w:val="nil"/>
              <w:left w:val="nil"/>
              <w:bottom w:val="nil"/>
              <w:right w:val="nil"/>
            </w:tcBorders>
            <w:shd w:val="clear" w:color="auto" w:fill="auto"/>
            <w:vAlign w:val="center"/>
          </w:tcPr>
          <w:p w14:paraId="51EEA9D6" w14:textId="6F277B4D"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-0,04</w:t>
            </w:r>
          </w:p>
        </w:tc>
        <w:tc>
          <w:tcPr>
            <w:tcW w:w="635" w:type="dxa"/>
            <w:tcBorders>
              <w:top w:val="nil"/>
              <w:left w:val="nil"/>
              <w:bottom w:val="nil"/>
              <w:right w:val="nil"/>
            </w:tcBorders>
            <w:shd w:val="clear" w:color="auto" w:fill="auto"/>
            <w:vAlign w:val="center"/>
          </w:tcPr>
          <w:p w14:paraId="4BF6663C" w14:textId="58B222B2"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-0,13</w:t>
            </w:r>
          </w:p>
        </w:tc>
        <w:tc>
          <w:tcPr>
            <w:tcW w:w="1089" w:type="dxa"/>
            <w:vAlign w:val="center"/>
          </w:tcPr>
          <w:p w14:paraId="46BCF06D" w14:textId="54DC86BE"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vAlign w:val="center"/>
          </w:tcPr>
          <w:p w14:paraId="59605D43" w14:textId="2B29FBFF"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r>
      <w:tr w:rsidR="00BE1786" w:rsidRPr="00332AB5" w14:paraId="5F54CD48" w14:textId="77777777" w:rsidTr="00BE1786">
        <w:trPr>
          <w:trHeight w:val="397"/>
        </w:trPr>
        <w:tc>
          <w:tcPr>
            <w:tcW w:w="1179" w:type="dxa"/>
            <w:vAlign w:val="center"/>
          </w:tcPr>
          <w:p w14:paraId="0F8B2CFC" w14:textId="77777777" w:rsidR="00BE1786" w:rsidRPr="00332AB5" w:rsidRDefault="00BE1786" w:rsidP="00BE1786">
            <w:pPr>
              <w:rPr>
                <w:rFonts w:asciiTheme="minorHAnsi" w:hAnsiTheme="minorHAnsi" w:cstheme="minorHAnsi"/>
                <w:sz w:val="18"/>
                <w:szCs w:val="18"/>
              </w:rPr>
            </w:pPr>
            <w:r w:rsidRPr="00332AB5">
              <w:rPr>
                <w:rFonts w:asciiTheme="minorHAnsi" w:hAnsiTheme="minorHAnsi" w:cstheme="minorHAnsi"/>
                <w:sz w:val="18"/>
                <w:szCs w:val="18"/>
              </w:rPr>
              <w:t>M 13</w:t>
            </w:r>
          </w:p>
        </w:tc>
        <w:tc>
          <w:tcPr>
            <w:tcW w:w="998" w:type="dxa"/>
            <w:tcBorders>
              <w:top w:val="nil"/>
              <w:left w:val="nil"/>
              <w:bottom w:val="nil"/>
              <w:right w:val="nil"/>
            </w:tcBorders>
            <w:shd w:val="clear" w:color="auto" w:fill="auto"/>
            <w:vAlign w:val="center"/>
          </w:tcPr>
          <w:p w14:paraId="694982E8" w14:textId="44E9EBE4" w:rsidR="00BE1786" w:rsidRPr="00332AB5" w:rsidRDefault="00BE1786" w:rsidP="00BE1786">
            <w:pPr>
              <w:jc w:val="right"/>
              <w:rPr>
                <w:rFonts w:asciiTheme="minorHAnsi" w:hAnsiTheme="minorHAnsi" w:cstheme="minorHAnsi"/>
                <w:color w:val="000000"/>
                <w:sz w:val="18"/>
                <w:szCs w:val="18"/>
              </w:rPr>
            </w:pPr>
          </w:p>
        </w:tc>
        <w:tc>
          <w:tcPr>
            <w:tcW w:w="1089" w:type="dxa"/>
            <w:tcBorders>
              <w:top w:val="nil"/>
              <w:left w:val="nil"/>
              <w:bottom w:val="nil"/>
              <w:right w:val="nil"/>
            </w:tcBorders>
            <w:shd w:val="clear" w:color="auto" w:fill="auto"/>
            <w:vAlign w:val="center"/>
          </w:tcPr>
          <w:p w14:paraId="442FE36F" w14:textId="5D0B72E0" w:rsidR="00BE1786" w:rsidRPr="00332AB5" w:rsidRDefault="00BE1786" w:rsidP="00BE1786">
            <w:pPr>
              <w:jc w:val="right"/>
              <w:rPr>
                <w:rFonts w:asciiTheme="minorHAnsi" w:hAnsiTheme="minorHAnsi" w:cstheme="minorHAnsi"/>
                <w:color w:val="000000"/>
                <w:sz w:val="18"/>
                <w:szCs w:val="18"/>
              </w:rPr>
            </w:pPr>
          </w:p>
        </w:tc>
        <w:tc>
          <w:tcPr>
            <w:tcW w:w="635" w:type="dxa"/>
            <w:tcBorders>
              <w:top w:val="nil"/>
              <w:left w:val="nil"/>
              <w:bottom w:val="nil"/>
              <w:right w:val="nil"/>
            </w:tcBorders>
            <w:shd w:val="clear" w:color="auto" w:fill="auto"/>
            <w:vAlign w:val="center"/>
          </w:tcPr>
          <w:p w14:paraId="7C34FB67" w14:textId="1B42EE8B" w:rsidR="00BE1786" w:rsidRPr="00332AB5" w:rsidRDefault="00BE1786" w:rsidP="00BE1786">
            <w:pPr>
              <w:jc w:val="right"/>
              <w:rPr>
                <w:rFonts w:asciiTheme="minorHAnsi" w:hAnsiTheme="minorHAnsi" w:cstheme="minorHAnsi"/>
                <w:color w:val="000000"/>
                <w:sz w:val="18"/>
                <w:szCs w:val="18"/>
              </w:rPr>
            </w:pPr>
          </w:p>
        </w:tc>
        <w:tc>
          <w:tcPr>
            <w:tcW w:w="1089" w:type="dxa"/>
            <w:tcBorders>
              <w:top w:val="nil"/>
              <w:left w:val="nil"/>
              <w:bottom w:val="nil"/>
              <w:right w:val="nil"/>
            </w:tcBorders>
            <w:shd w:val="clear" w:color="auto" w:fill="auto"/>
            <w:vAlign w:val="center"/>
          </w:tcPr>
          <w:p w14:paraId="179D95B5" w14:textId="71C604F0" w:rsidR="00BE1786" w:rsidRPr="00332AB5" w:rsidRDefault="00BE1786" w:rsidP="00BE1786">
            <w:pPr>
              <w:jc w:val="right"/>
              <w:rPr>
                <w:rFonts w:asciiTheme="minorHAnsi" w:hAnsiTheme="minorHAnsi" w:cstheme="minorHAnsi"/>
                <w:color w:val="000000"/>
                <w:sz w:val="18"/>
                <w:szCs w:val="18"/>
              </w:rPr>
            </w:pPr>
          </w:p>
        </w:tc>
        <w:tc>
          <w:tcPr>
            <w:tcW w:w="635" w:type="dxa"/>
            <w:tcBorders>
              <w:top w:val="nil"/>
              <w:left w:val="nil"/>
              <w:bottom w:val="nil"/>
              <w:right w:val="nil"/>
            </w:tcBorders>
            <w:shd w:val="clear" w:color="auto" w:fill="auto"/>
            <w:vAlign w:val="center"/>
          </w:tcPr>
          <w:p w14:paraId="1384FAD4" w14:textId="54B85F1A" w:rsidR="00BE1786" w:rsidRPr="00332AB5" w:rsidRDefault="00BE1786" w:rsidP="00BE1786">
            <w:pPr>
              <w:jc w:val="right"/>
              <w:rPr>
                <w:rFonts w:asciiTheme="minorHAnsi" w:hAnsiTheme="minorHAnsi" w:cstheme="minorHAnsi"/>
                <w:color w:val="000000"/>
                <w:sz w:val="18"/>
                <w:szCs w:val="18"/>
              </w:rPr>
            </w:pPr>
          </w:p>
        </w:tc>
        <w:tc>
          <w:tcPr>
            <w:tcW w:w="1089" w:type="dxa"/>
            <w:tcBorders>
              <w:top w:val="nil"/>
              <w:left w:val="nil"/>
              <w:bottom w:val="nil"/>
              <w:right w:val="nil"/>
            </w:tcBorders>
            <w:shd w:val="clear" w:color="auto" w:fill="auto"/>
            <w:vAlign w:val="center"/>
          </w:tcPr>
          <w:p w14:paraId="6F9741B9" w14:textId="40254249" w:rsidR="00BE1786" w:rsidRPr="00332AB5" w:rsidRDefault="00BE1786" w:rsidP="00BE1786">
            <w:pPr>
              <w:jc w:val="right"/>
              <w:rPr>
                <w:rFonts w:asciiTheme="minorHAnsi" w:hAnsiTheme="minorHAnsi" w:cstheme="minorHAnsi"/>
                <w:color w:val="000000"/>
                <w:sz w:val="18"/>
                <w:szCs w:val="18"/>
              </w:rPr>
            </w:pPr>
          </w:p>
        </w:tc>
        <w:tc>
          <w:tcPr>
            <w:tcW w:w="635" w:type="dxa"/>
            <w:tcBorders>
              <w:top w:val="nil"/>
              <w:left w:val="nil"/>
              <w:bottom w:val="nil"/>
              <w:right w:val="nil"/>
            </w:tcBorders>
            <w:shd w:val="clear" w:color="auto" w:fill="auto"/>
            <w:vAlign w:val="center"/>
          </w:tcPr>
          <w:p w14:paraId="18C14494" w14:textId="706CBC30" w:rsidR="00BE1786" w:rsidRPr="00332AB5" w:rsidRDefault="00BE1786" w:rsidP="00BE1786">
            <w:pPr>
              <w:jc w:val="right"/>
              <w:rPr>
                <w:rFonts w:asciiTheme="minorHAnsi" w:hAnsiTheme="minorHAnsi" w:cstheme="minorHAnsi"/>
                <w:color w:val="000000"/>
                <w:sz w:val="18"/>
                <w:szCs w:val="18"/>
              </w:rPr>
            </w:pPr>
          </w:p>
        </w:tc>
        <w:tc>
          <w:tcPr>
            <w:tcW w:w="1089" w:type="dxa"/>
            <w:vAlign w:val="center"/>
          </w:tcPr>
          <w:p w14:paraId="4970AAAC" w14:textId="24D1FFF0"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vAlign w:val="center"/>
          </w:tcPr>
          <w:p w14:paraId="02505836" w14:textId="275463D8"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r>
      <w:tr w:rsidR="00BE1786" w:rsidRPr="00332AB5" w14:paraId="280FA85A" w14:textId="77777777" w:rsidTr="00BE1786">
        <w:trPr>
          <w:trHeight w:val="397"/>
        </w:trPr>
        <w:tc>
          <w:tcPr>
            <w:tcW w:w="1179" w:type="dxa"/>
            <w:vAlign w:val="center"/>
          </w:tcPr>
          <w:p w14:paraId="53542FCE" w14:textId="77777777" w:rsidR="00BE1786" w:rsidRPr="00332AB5" w:rsidRDefault="00BE1786" w:rsidP="00BE1786">
            <w:pPr>
              <w:rPr>
                <w:rFonts w:asciiTheme="minorHAnsi" w:hAnsiTheme="minorHAnsi" w:cstheme="minorHAnsi"/>
                <w:sz w:val="18"/>
                <w:szCs w:val="18"/>
              </w:rPr>
            </w:pPr>
            <w:r w:rsidRPr="00332AB5">
              <w:rPr>
                <w:rFonts w:asciiTheme="minorHAnsi" w:hAnsiTheme="minorHAnsi" w:cstheme="minorHAnsi"/>
                <w:sz w:val="18"/>
                <w:szCs w:val="18"/>
              </w:rPr>
              <w:t>M 14</w:t>
            </w:r>
          </w:p>
        </w:tc>
        <w:tc>
          <w:tcPr>
            <w:tcW w:w="998" w:type="dxa"/>
            <w:shd w:val="clear" w:color="auto" w:fill="auto"/>
            <w:vAlign w:val="center"/>
          </w:tcPr>
          <w:p w14:paraId="5FBACAD9" w14:textId="05790BEA"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31,59</w:t>
            </w:r>
          </w:p>
        </w:tc>
        <w:tc>
          <w:tcPr>
            <w:tcW w:w="1089" w:type="dxa"/>
            <w:tcBorders>
              <w:top w:val="nil"/>
              <w:left w:val="nil"/>
              <w:bottom w:val="nil"/>
              <w:right w:val="nil"/>
            </w:tcBorders>
            <w:shd w:val="clear" w:color="auto" w:fill="auto"/>
            <w:vAlign w:val="center"/>
          </w:tcPr>
          <w:p w14:paraId="1C04DEF2" w14:textId="167C7D31"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17,42</w:t>
            </w:r>
          </w:p>
        </w:tc>
        <w:tc>
          <w:tcPr>
            <w:tcW w:w="635" w:type="dxa"/>
            <w:tcBorders>
              <w:top w:val="nil"/>
              <w:left w:val="nil"/>
              <w:bottom w:val="nil"/>
              <w:right w:val="nil"/>
            </w:tcBorders>
            <w:shd w:val="clear" w:color="auto" w:fill="auto"/>
            <w:vAlign w:val="center"/>
          </w:tcPr>
          <w:p w14:paraId="01E9A3EA" w14:textId="40DB8F1A"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55,15</w:t>
            </w:r>
          </w:p>
        </w:tc>
        <w:tc>
          <w:tcPr>
            <w:tcW w:w="1089" w:type="dxa"/>
            <w:tcBorders>
              <w:top w:val="nil"/>
              <w:left w:val="nil"/>
              <w:bottom w:val="nil"/>
              <w:right w:val="nil"/>
            </w:tcBorders>
            <w:shd w:val="clear" w:color="auto" w:fill="auto"/>
            <w:vAlign w:val="center"/>
          </w:tcPr>
          <w:p w14:paraId="7B41EBBF" w14:textId="420DAB2B"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17,42</w:t>
            </w:r>
          </w:p>
        </w:tc>
        <w:tc>
          <w:tcPr>
            <w:tcW w:w="635" w:type="dxa"/>
            <w:tcBorders>
              <w:top w:val="nil"/>
              <w:left w:val="nil"/>
              <w:bottom w:val="nil"/>
              <w:right w:val="nil"/>
            </w:tcBorders>
            <w:shd w:val="clear" w:color="auto" w:fill="auto"/>
            <w:vAlign w:val="center"/>
          </w:tcPr>
          <w:p w14:paraId="2AFDF0E2" w14:textId="216C587B"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55,15</w:t>
            </w:r>
          </w:p>
        </w:tc>
        <w:tc>
          <w:tcPr>
            <w:tcW w:w="1089" w:type="dxa"/>
            <w:tcBorders>
              <w:top w:val="nil"/>
              <w:left w:val="nil"/>
              <w:bottom w:val="nil"/>
              <w:right w:val="nil"/>
            </w:tcBorders>
            <w:shd w:val="clear" w:color="auto" w:fill="auto"/>
            <w:vAlign w:val="center"/>
          </w:tcPr>
          <w:p w14:paraId="6B0EC745" w14:textId="548B2194"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0,03</w:t>
            </w:r>
          </w:p>
        </w:tc>
        <w:tc>
          <w:tcPr>
            <w:tcW w:w="635" w:type="dxa"/>
            <w:tcBorders>
              <w:top w:val="nil"/>
              <w:left w:val="nil"/>
              <w:bottom w:val="nil"/>
              <w:right w:val="nil"/>
            </w:tcBorders>
            <w:shd w:val="clear" w:color="auto" w:fill="auto"/>
            <w:vAlign w:val="center"/>
          </w:tcPr>
          <w:p w14:paraId="30FF929C" w14:textId="7893FBC3"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0,11</w:t>
            </w:r>
          </w:p>
        </w:tc>
        <w:tc>
          <w:tcPr>
            <w:tcW w:w="1089" w:type="dxa"/>
            <w:vAlign w:val="center"/>
          </w:tcPr>
          <w:p w14:paraId="57A83DEB" w14:textId="26C53BC5"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vAlign w:val="center"/>
          </w:tcPr>
          <w:p w14:paraId="6C5C32A4" w14:textId="7792CAF5"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r>
      <w:tr w:rsidR="00DF4BB9" w:rsidRPr="00332AB5" w14:paraId="0920C893" w14:textId="77777777" w:rsidTr="004B0161">
        <w:trPr>
          <w:trHeight w:val="397"/>
        </w:trPr>
        <w:tc>
          <w:tcPr>
            <w:tcW w:w="1179" w:type="dxa"/>
            <w:vAlign w:val="center"/>
          </w:tcPr>
          <w:p w14:paraId="7BBA5863" w14:textId="77777777" w:rsidR="00DF4BB9" w:rsidRPr="00332AB5" w:rsidRDefault="00DF4BB9" w:rsidP="00DF4BB9">
            <w:pPr>
              <w:rPr>
                <w:rFonts w:asciiTheme="minorHAnsi" w:hAnsiTheme="minorHAnsi" w:cstheme="minorHAnsi"/>
                <w:sz w:val="18"/>
                <w:szCs w:val="18"/>
              </w:rPr>
            </w:pPr>
            <w:r w:rsidRPr="00332AB5">
              <w:rPr>
                <w:rFonts w:asciiTheme="minorHAnsi" w:hAnsiTheme="minorHAnsi" w:cstheme="minorHAnsi"/>
                <w:sz w:val="18"/>
                <w:szCs w:val="18"/>
              </w:rPr>
              <w:t>M 16</w:t>
            </w:r>
          </w:p>
        </w:tc>
        <w:tc>
          <w:tcPr>
            <w:tcW w:w="998" w:type="dxa"/>
            <w:vAlign w:val="center"/>
          </w:tcPr>
          <w:p w14:paraId="36DDCA0C" w14:textId="717984E6"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tcBorders>
              <w:top w:val="nil"/>
              <w:left w:val="nil"/>
              <w:bottom w:val="nil"/>
              <w:right w:val="nil"/>
            </w:tcBorders>
            <w:shd w:val="clear" w:color="auto" w:fill="auto"/>
            <w:vAlign w:val="center"/>
          </w:tcPr>
          <w:p w14:paraId="759D0067" w14:textId="05DC845A"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tcBorders>
              <w:top w:val="nil"/>
              <w:left w:val="nil"/>
              <w:bottom w:val="nil"/>
              <w:right w:val="nil"/>
            </w:tcBorders>
            <w:shd w:val="clear" w:color="auto" w:fill="auto"/>
            <w:vAlign w:val="center"/>
          </w:tcPr>
          <w:p w14:paraId="23256BA7" w14:textId="389C712F"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tcBorders>
              <w:top w:val="nil"/>
              <w:left w:val="nil"/>
              <w:bottom w:val="nil"/>
              <w:right w:val="nil"/>
            </w:tcBorders>
            <w:shd w:val="clear" w:color="auto" w:fill="auto"/>
            <w:vAlign w:val="center"/>
          </w:tcPr>
          <w:p w14:paraId="6D9F9F6F" w14:textId="27B9E1B7"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tcBorders>
              <w:top w:val="nil"/>
              <w:left w:val="nil"/>
              <w:bottom w:val="nil"/>
              <w:right w:val="nil"/>
            </w:tcBorders>
            <w:shd w:val="clear" w:color="auto" w:fill="auto"/>
            <w:vAlign w:val="center"/>
          </w:tcPr>
          <w:p w14:paraId="1FB46741" w14:textId="3AA69B12"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tcBorders>
              <w:top w:val="nil"/>
              <w:left w:val="nil"/>
              <w:bottom w:val="nil"/>
              <w:right w:val="nil"/>
            </w:tcBorders>
            <w:shd w:val="clear" w:color="auto" w:fill="auto"/>
            <w:vAlign w:val="center"/>
          </w:tcPr>
          <w:p w14:paraId="66E9DAE3" w14:textId="6F29FC88"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tcBorders>
              <w:top w:val="nil"/>
              <w:left w:val="nil"/>
              <w:bottom w:val="nil"/>
              <w:right w:val="nil"/>
            </w:tcBorders>
            <w:shd w:val="clear" w:color="auto" w:fill="auto"/>
            <w:vAlign w:val="center"/>
          </w:tcPr>
          <w:p w14:paraId="347F3219" w14:textId="328E2F5F"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vAlign w:val="center"/>
          </w:tcPr>
          <w:p w14:paraId="0EB1B7AF" w14:textId="1F2B294D"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vAlign w:val="center"/>
          </w:tcPr>
          <w:p w14:paraId="52E07CCE" w14:textId="55DC2179"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r>
      <w:tr w:rsidR="00DF4BB9" w:rsidRPr="00332AB5" w14:paraId="39E58C02" w14:textId="77777777" w:rsidTr="004B0161">
        <w:trPr>
          <w:trHeight w:val="397"/>
        </w:trPr>
        <w:tc>
          <w:tcPr>
            <w:tcW w:w="1179" w:type="dxa"/>
            <w:vAlign w:val="center"/>
          </w:tcPr>
          <w:p w14:paraId="49BB6BCB" w14:textId="77777777" w:rsidR="00DF4BB9" w:rsidRPr="00332AB5" w:rsidRDefault="00DF4BB9" w:rsidP="00DF4BB9">
            <w:pPr>
              <w:rPr>
                <w:rFonts w:asciiTheme="minorHAnsi" w:hAnsiTheme="minorHAnsi" w:cstheme="minorHAnsi"/>
                <w:sz w:val="18"/>
                <w:szCs w:val="18"/>
              </w:rPr>
            </w:pPr>
            <w:r w:rsidRPr="00332AB5">
              <w:rPr>
                <w:rFonts w:asciiTheme="minorHAnsi" w:hAnsiTheme="minorHAnsi" w:cstheme="minorHAnsi"/>
                <w:sz w:val="18"/>
                <w:szCs w:val="18"/>
              </w:rPr>
              <w:t>M 17</w:t>
            </w:r>
          </w:p>
        </w:tc>
        <w:tc>
          <w:tcPr>
            <w:tcW w:w="998" w:type="dxa"/>
            <w:vAlign w:val="center"/>
          </w:tcPr>
          <w:p w14:paraId="36233405" w14:textId="5DEC6D67"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tcBorders>
              <w:top w:val="nil"/>
              <w:left w:val="nil"/>
              <w:bottom w:val="nil"/>
              <w:right w:val="nil"/>
            </w:tcBorders>
            <w:shd w:val="clear" w:color="auto" w:fill="auto"/>
            <w:vAlign w:val="center"/>
          </w:tcPr>
          <w:p w14:paraId="7F8F8585" w14:textId="34BC112B"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tcBorders>
              <w:top w:val="nil"/>
              <w:left w:val="nil"/>
              <w:bottom w:val="nil"/>
              <w:right w:val="nil"/>
            </w:tcBorders>
            <w:shd w:val="clear" w:color="auto" w:fill="auto"/>
            <w:vAlign w:val="center"/>
          </w:tcPr>
          <w:p w14:paraId="40023A20" w14:textId="3E67ADCE"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tcBorders>
              <w:top w:val="nil"/>
              <w:left w:val="nil"/>
              <w:bottom w:val="nil"/>
              <w:right w:val="nil"/>
            </w:tcBorders>
            <w:shd w:val="clear" w:color="auto" w:fill="auto"/>
            <w:vAlign w:val="center"/>
          </w:tcPr>
          <w:p w14:paraId="307CAC60" w14:textId="14E2C6BD"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tcBorders>
              <w:top w:val="nil"/>
              <w:left w:val="nil"/>
              <w:bottom w:val="nil"/>
              <w:right w:val="nil"/>
            </w:tcBorders>
            <w:shd w:val="clear" w:color="auto" w:fill="auto"/>
            <w:vAlign w:val="center"/>
          </w:tcPr>
          <w:p w14:paraId="39EDB50B" w14:textId="1C2CD37C"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tcBorders>
              <w:top w:val="nil"/>
              <w:left w:val="nil"/>
              <w:bottom w:val="nil"/>
              <w:right w:val="nil"/>
            </w:tcBorders>
            <w:shd w:val="clear" w:color="auto" w:fill="auto"/>
            <w:vAlign w:val="center"/>
          </w:tcPr>
          <w:p w14:paraId="6F473C7D" w14:textId="3F8289B4"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tcBorders>
              <w:top w:val="nil"/>
              <w:left w:val="nil"/>
              <w:bottom w:val="nil"/>
              <w:right w:val="nil"/>
            </w:tcBorders>
            <w:shd w:val="clear" w:color="auto" w:fill="auto"/>
            <w:vAlign w:val="center"/>
          </w:tcPr>
          <w:p w14:paraId="1AE86AEB" w14:textId="5576619F"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vAlign w:val="center"/>
          </w:tcPr>
          <w:p w14:paraId="615A753D" w14:textId="34011378"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vAlign w:val="center"/>
          </w:tcPr>
          <w:p w14:paraId="66508404" w14:textId="2854B5D7"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r>
      <w:tr w:rsidR="00DF4BB9" w:rsidRPr="00332AB5" w14:paraId="0216C7A8" w14:textId="77777777" w:rsidTr="004B0161">
        <w:trPr>
          <w:trHeight w:val="397"/>
        </w:trPr>
        <w:tc>
          <w:tcPr>
            <w:tcW w:w="1179" w:type="dxa"/>
            <w:vAlign w:val="center"/>
          </w:tcPr>
          <w:p w14:paraId="3638FA8D" w14:textId="77777777" w:rsidR="00DF4BB9" w:rsidRPr="00332AB5" w:rsidRDefault="00DF4BB9" w:rsidP="00DF4BB9">
            <w:pPr>
              <w:rPr>
                <w:rFonts w:asciiTheme="minorHAnsi" w:hAnsiTheme="minorHAnsi" w:cstheme="minorHAnsi"/>
                <w:sz w:val="18"/>
                <w:szCs w:val="18"/>
              </w:rPr>
            </w:pPr>
            <w:r w:rsidRPr="00332AB5">
              <w:rPr>
                <w:rFonts w:asciiTheme="minorHAnsi" w:hAnsiTheme="minorHAnsi" w:cstheme="minorHAnsi"/>
                <w:sz w:val="18"/>
                <w:szCs w:val="18"/>
              </w:rPr>
              <w:t>M 18</w:t>
            </w:r>
          </w:p>
        </w:tc>
        <w:tc>
          <w:tcPr>
            <w:tcW w:w="998" w:type="dxa"/>
            <w:vAlign w:val="center"/>
          </w:tcPr>
          <w:p w14:paraId="42F0B430" w14:textId="522E0061"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tcBorders>
              <w:top w:val="nil"/>
              <w:left w:val="nil"/>
              <w:bottom w:val="nil"/>
              <w:right w:val="nil"/>
            </w:tcBorders>
            <w:shd w:val="clear" w:color="auto" w:fill="auto"/>
            <w:vAlign w:val="center"/>
          </w:tcPr>
          <w:p w14:paraId="273D5B6C" w14:textId="4A1B0BF1"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tcBorders>
              <w:top w:val="nil"/>
              <w:left w:val="nil"/>
              <w:bottom w:val="nil"/>
              <w:right w:val="nil"/>
            </w:tcBorders>
            <w:shd w:val="clear" w:color="auto" w:fill="auto"/>
            <w:vAlign w:val="center"/>
          </w:tcPr>
          <w:p w14:paraId="77E90ABC" w14:textId="1BEA2C01"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tcBorders>
              <w:top w:val="nil"/>
              <w:left w:val="nil"/>
              <w:bottom w:val="nil"/>
              <w:right w:val="nil"/>
            </w:tcBorders>
            <w:shd w:val="clear" w:color="auto" w:fill="auto"/>
            <w:vAlign w:val="center"/>
          </w:tcPr>
          <w:p w14:paraId="424DB998" w14:textId="78552B8D"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tcBorders>
              <w:top w:val="nil"/>
              <w:left w:val="nil"/>
              <w:bottom w:val="nil"/>
              <w:right w:val="nil"/>
            </w:tcBorders>
            <w:shd w:val="clear" w:color="auto" w:fill="auto"/>
            <w:vAlign w:val="center"/>
          </w:tcPr>
          <w:p w14:paraId="3AD5DA41" w14:textId="75EA8B32"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tcBorders>
              <w:top w:val="nil"/>
              <w:left w:val="nil"/>
              <w:bottom w:val="nil"/>
              <w:right w:val="nil"/>
            </w:tcBorders>
            <w:shd w:val="clear" w:color="auto" w:fill="auto"/>
            <w:vAlign w:val="center"/>
          </w:tcPr>
          <w:p w14:paraId="3922C7E1" w14:textId="6B3B3C9B"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tcBorders>
              <w:top w:val="nil"/>
              <w:left w:val="nil"/>
              <w:bottom w:val="nil"/>
              <w:right w:val="nil"/>
            </w:tcBorders>
            <w:shd w:val="clear" w:color="auto" w:fill="auto"/>
            <w:vAlign w:val="center"/>
          </w:tcPr>
          <w:p w14:paraId="065ADB88" w14:textId="05B423CC"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vAlign w:val="center"/>
          </w:tcPr>
          <w:p w14:paraId="66A4AD3F" w14:textId="7FBC917D"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vAlign w:val="center"/>
          </w:tcPr>
          <w:p w14:paraId="5697369B" w14:textId="00267248"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r>
      <w:tr w:rsidR="00DF4BB9" w:rsidRPr="00332AB5" w14:paraId="622742FC" w14:textId="77777777" w:rsidTr="004B0161">
        <w:trPr>
          <w:trHeight w:val="397"/>
        </w:trPr>
        <w:tc>
          <w:tcPr>
            <w:tcW w:w="1179" w:type="dxa"/>
            <w:vAlign w:val="center"/>
          </w:tcPr>
          <w:p w14:paraId="3EF6285C" w14:textId="77777777" w:rsidR="00DF4BB9" w:rsidRPr="00332AB5" w:rsidRDefault="00DF4BB9" w:rsidP="00DF4BB9">
            <w:pPr>
              <w:rPr>
                <w:rFonts w:asciiTheme="minorHAnsi" w:hAnsiTheme="minorHAnsi" w:cstheme="minorHAnsi"/>
                <w:sz w:val="18"/>
                <w:szCs w:val="18"/>
              </w:rPr>
            </w:pPr>
            <w:r w:rsidRPr="00332AB5">
              <w:rPr>
                <w:rFonts w:asciiTheme="minorHAnsi" w:hAnsiTheme="minorHAnsi" w:cstheme="minorHAnsi"/>
                <w:sz w:val="18"/>
                <w:szCs w:val="18"/>
              </w:rPr>
              <w:t>M 19</w:t>
            </w:r>
          </w:p>
        </w:tc>
        <w:tc>
          <w:tcPr>
            <w:tcW w:w="998" w:type="dxa"/>
            <w:vAlign w:val="center"/>
          </w:tcPr>
          <w:p w14:paraId="04773156" w14:textId="7FB634BD"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tcBorders>
              <w:top w:val="nil"/>
              <w:left w:val="nil"/>
              <w:bottom w:val="nil"/>
              <w:right w:val="nil"/>
            </w:tcBorders>
            <w:shd w:val="clear" w:color="auto" w:fill="auto"/>
            <w:vAlign w:val="center"/>
          </w:tcPr>
          <w:p w14:paraId="6BAC6789" w14:textId="797A0E04"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tcBorders>
              <w:top w:val="nil"/>
              <w:left w:val="nil"/>
              <w:bottom w:val="nil"/>
              <w:right w:val="nil"/>
            </w:tcBorders>
            <w:shd w:val="clear" w:color="auto" w:fill="auto"/>
            <w:vAlign w:val="center"/>
          </w:tcPr>
          <w:p w14:paraId="500CF4EB" w14:textId="63CC4835"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tcBorders>
              <w:top w:val="nil"/>
              <w:left w:val="nil"/>
              <w:bottom w:val="nil"/>
              <w:right w:val="nil"/>
            </w:tcBorders>
            <w:shd w:val="clear" w:color="auto" w:fill="auto"/>
            <w:vAlign w:val="center"/>
          </w:tcPr>
          <w:p w14:paraId="1C1CC8D8" w14:textId="6D9182C6"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tcBorders>
              <w:top w:val="nil"/>
              <w:left w:val="nil"/>
              <w:bottom w:val="nil"/>
              <w:right w:val="nil"/>
            </w:tcBorders>
            <w:shd w:val="clear" w:color="auto" w:fill="auto"/>
            <w:vAlign w:val="center"/>
          </w:tcPr>
          <w:p w14:paraId="1751C869" w14:textId="40762222"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tcBorders>
              <w:top w:val="nil"/>
              <w:left w:val="nil"/>
              <w:bottom w:val="nil"/>
              <w:right w:val="nil"/>
            </w:tcBorders>
            <w:shd w:val="clear" w:color="auto" w:fill="auto"/>
            <w:vAlign w:val="center"/>
          </w:tcPr>
          <w:p w14:paraId="378211A0" w14:textId="4A35156F"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tcBorders>
              <w:top w:val="nil"/>
              <w:left w:val="nil"/>
              <w:bottom w:val="nil"/>
              <w:right w:val="nil"/>
            </w:tcBorders>
            <w:shd w:val="clear" w:color="auto" w:fill="auto"/>
            <w:vAlign w:val="center"/>
          </w:tcPr>
          <w:p w14:paraId="13EB0AC8" w14:textId="772885DB"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vAlign w:val="center"/>
          </w:tcPr>
          <w:p w14:paraId="3B096476" w14:textId="471B3453"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vAlign w:val="center"/>
          </w:tcPr>
          <w:p w14:paraId="725FD97B" w14:textId="79B32F69"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r>
      <w:tr w:rsidR="00DF4BB9" w:rsidRPr="00332AB5" w14:paraId="66A3CF81" w14:textId="77777777" w:rsidTr="00BE1786">
        <w:trPr>
          <w:trHeight w:val="397"/>
        </w:trPr>
        <w:tc>
          <w:tcPr>
            <w:tcW w:w="1179" w:type="dxa"/>
            <w:vAlign w:val="center"/>
          </w:tcPr>
          <w:p w14:paraId="1741AEC4" w14:textId="77777777" w:rsidR="00DF4BB9" w:rsidRPr="00332AB5" w:rsidRDefault="00DF4BB9" w:rsidP="00DF4BB9">
            <w:pPr>
              <w:rPr>
                <w:rFonts w:asciiTheme="minorHAnsi" w:hAnsiTheme="minorHAnsi" w:cstheme="minorHAnsi"/>
                <w:sz w:val="18"/>
                <w:szCs w:val="18"/>
              </w:rPr>
            </w:pPr>
            <w:r w:rsidRPr="00332AB5">
              <w:rPr>
                <w:rFonts w:asciiTheme="minorHAnsi" w:hAnsiTheme="minorHAnsi" w:cstheme="minorHAnsi"/>
                <w:sz w:val="18"/>
                <w:szCs w:val="18"/>
              </w:rPr>
              <w:t>M 20</w:t>
            </w:r>
          </w:p>
        </w:tc>
        <w:tc>
          <w:tcPr>
            <w:tcW w:w="998" w:type="dxa"/>
            <w:vAlign w:val="center"/>
          </w:tcPr>
          <w:p w14:paraId="4DDA5A49" w14:textId="77777777"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8,07</w:t>
            </w:r>
          </w:p>
        </w:tc>
        <w:tc>
          <w:tcPr>
            <w:tcW w:w="1089" w:type="dxa"/>
            <w:tcBorders>
              <w:top w:val="nil"/>
              <w:left w:val="nil"/>
              <w:right w:val="nil"/>
            </w:tcBorders>
            <w:shd w:val="clear" w:color="auto" w:fill="auto"/>
            <w:vAlign w:val="center"/>
          </w:tcPr>
          <w:p w14:paraId="4CC68E7E" w14:textId="781C0F85"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tcBorders>
              <w:top w:val="nil"/>
              <w:left w:val="nil"/>
              <w:right w:val="nil"/>
            </w:tcBorders>
            <w:shd w:val="clear" w:color="auto" w:fill="auto"/>
            <w:vAlign w:val="center"/>
          </w:tcPr>
          <w:p w14:paraId="785547CB" w14:textId="0E91A822"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tcBorders>
              <w:top w:val="nil"/>
              <w:left w:val="nil"/>
              <w:right w:val="nil"/>
            </w:tcBorders>
            <w:shd w:val="clear" w:color="auto" w:fill="auto"/>
            <w:vAlign w:val="center"/>
          </w:tcPr>
          <w:p w14:paraId="7AB036A5" w14:textId="68F03DBE"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tcBorders>
              <w:top w:val="nil"/>
              <w:left w:val="nil"/>
              <w:right w:val="nil"/>
            </w:tcBorders>
            <w:shd w:val="clear" w:color="auto" w:fill="auto"/>
            <w:vAlign w:val="center"/>
          </w:tcPr>
          <w:p w14:paraId="552D5A8A" w14:textId="62A360D3"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tcBorders>
              <w:top w:val="nil"/>
              <w:left w:val="nil"/>
              <w:right w:val="nil"/>
            </w:tcBorders>
            <w:shd w:val="clear" w:color="auto" w:fill="auto"/>
            <w:vAlign w:val="center"/>
          </w:tcPr>
          <w:p w14:paraId="47F7510D" w14:textId="44014E29"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tcBorders>
              <w:top w:val="nil"/>
              <w:left w:val="nil"/>
              <w:right w:val="nil"/>
            </w:tcBorders>
            <w:shd w:val="clear" w:color="auto" w:fill="auto"/>
            <w:vAlign w:val="center"/>
          </w:tcPr>
          <w:p w14:paraId="75ED2F4B" w14:textId="51C6D1CD"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vAlign w:val="center"/>
          </w:tcPr>
          <w:p w14:paraId="273C4CB4" w14:textId="19D2005B"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vAlign w:val="center"/>
          </w:tcPr>
          <w:p w14:paraId="4F5763FD" w14:textId="28646DB0"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r>
      <w:tr w:rsidR="00DF4BB9" w:rsidRPr="00332AB5" w14:paraId="18DF9E31" w14:textId="77777777" w:rsidTr="00BE1786">
        <w:trPr>
          <w:trHeight w:val="397"/>
        </w:trPr>
        <w:tc>
          <w:tcPr>
            <w:tcW w:w="1179" w:type="dxa"/>
            <w:vAlign w:val="center"/>
          </w:tcPr>
          <w:p w14:paraId="355C6599" w14:textId="77777777" w:rsidR="00DF4BB9" w:rsidRPr="00332AB5" w:rsidRDefault="00DF4BB9" w:rsidP="00DF4BB9">
            <w:pPr>
              <w:rPr>
                <w:rFonts w:asciiTheme="minorHAnsi" w:hAnsiTheme="minorHAnsi" w:cstheme="minorHAnsi"/>
                <w:sz w:val="18"/>
                <w:szCs w:val="18"/>
              </w:rPr>
            </w:pPr>
            <w:r w:rsidRPr="00332AB5">
              <w:rPr>
                <w:rFonts w:asciiTheme="minorHAnsi" w:hAnsiTheme="minorHAnsi" w:cstheme="minorHAnsi"/>
                <w:sz w:val="18"/>
                <w:szCs w:val="18"/>
              </w:rPr>
              <w:t>M 21</w:t>
            </w:r>
          </w:p>
        </w:tc>
        <w:tc>
          <w:tcPr>
            <w:tcW w:w="998" w:type="dxa"/>
            <w:vAlign w:val="center"/>
          </w:tcPr>
          <w:p w14:paraId="34B28157" w14:textId="12279414"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tcBorders>
              <w:top w:val="nil"/>
              <w:left w:val="nil"/>
              <w:right w:val="nil"/>
            </w:tcBorders>
            <w:shd w:val="clear" w:color="auto" w:fill="auto"/>
            <w:vAlign w:val="center"/>
          </w:tcPr>
          <w:p w14:paraId="3F18A984" w14:textId="6138F815"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tcBorders>
              <w:top w:val="nil"/>
              <w:left w:val="nil"/>
              <w:right w:val="nil"/>
            </w:tcBorders>
            <w:shd w:val="clear" w:color="auto" w:fill="auto"/>
            <w:vAlign w:val="center"/>
          </w:tcPr>
          <w:p w14:paraId="302C0EA9" w14:textId="3C506BA1"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tcBorders>
              <w:top w:val="nil"/>
              <w:left w:val="nil"/>
              <w:right w:val="nil"/>
            </w:tcBorders>
            <w:shd w:val="clear" w:color="auto" w:fill="auto"/>
            <w:vAlign w:val="center"/>
          </w:tcPr>
          <w:p w14:paraId="253B3DD7" w14:textId="02854BAD"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tcBorders>
              <w:top w:val="nil"/>
              <w:left w:val="nil"/>
              <w:right w:val="nil"/>
            </w:tcBorders>
            <w:shd w:val="clear" w:color="auto" w:fill="auto"/>
            <w:vAlign w:val="center"/>
          </w:tcPr>
          <w:p w14:paraId="6CC02FC7" w14:textId="0C0AC347"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tcBorders>
              <w:top w:val="nil"/>
              <w:left w:val="nil"/>
              <w:right w:val="nil"/>
            </w:tcBorders>
            <w:shd w:val="clear" w:color="auto" w:fill="auto"/>
            <w:vAlign w:val="center"/>
          </w:tcPr>
          <w:p w14:paraId="23F5DADC" w14:textId="4E9DAAF3"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tcBorders>
              <w:top w:val="nil"/>
              <w:left w:val="nil"/>
              <w:right w:val="nil"/>
            </w:tcBorders>
            <w:shd w:val="clear" w:color="auto" w:fill="auto"/>
            <w:vAlign w:val="center"/>
          </w:tcPr>
          <w:p w14:paraId="29D9DD40" w14:textId="4588F9F9"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vAlign w:val="center"/>
          </w:tcPr>
          <w:p w14:paraId="2609A3FD" w14:textId="436E253E"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vAlign w:val="center"/>
          </w:tcPr>
          <w:p w14:paraId="5AE4DC2D" w14:textId="73979728"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r>
      <w:tr w:rsidR="00BE1786" w:rsidRPr="00332AB5" w14:paraId="6E4D5E06" w14:textId="77777777" w:rsidTr="00CF2774">
        <w:trPr>
          <w:trHeight w:val="397"/>
        </w:trPr>
        <w:tc>
          <w:tcPr>
            <w:tcW w:w="1179" w:type="dxa"/>
            <w:vAlign w:val="center"/>
          </w:tcPr>
          <w:p w14:paraId="67A09AD7" w14:textId="1DAF4991" w:rsidR="00BE1786" w:rsidRPr="00332AB5" w:rsidRDefault="00BE1786" w:rsidP="00DF4BB9">
            <w:pPr>
              <w:rPr>
                <w:rFonts w:asciiTheme="minorHAnsi" w:hAnsiTheme="minorHAnsi" w:cstheme="minorHAnsi"/>
                <w:sz w:val="18"/>
                <w:szCs w:val="18"/>
              </w:rPr>
            </w:pPr>
            <w:r w:rsidRPr="00332AB5">
              <w:rPr>
                <w:rFonts w:asciiTheme="minorHAnsi" w:hAnsiTheme="minorHAnsi" w:cstheme="minorHAnsi"/>
                <w:sz w:val="18"/>
                <w:szCs w:val="18"/>
              </w:rPr>
              <w:t>M 22</w:t>
            </w:r>
          </w:p>
        </w:tc>
        <w:tc>
          <w:tcPr>
            <w:tcW w:w="998" w:type="dxa"/>
            <w:vAlign w:val="center"/>
          </w:tcPr>
          <w:p w14:paraId="176120F2" w14:textId="77777777" w:rsidR="00BE1786" w:rsidRPr="00332AB5" w:rsidRDefault="00BE1786" w:rsidP="00DF4BB9">
            <w:pPr>
              <w:jc w:val="right"/>
              <w:rPr>
                <w:rFonts w:asciiTheme="minorHAnsi" w:hAnsiTheme="minorHAnsi" w:cstheme="minorHAnsi"/>
                <w:color w:val="000000"/>
                <w:sz w:val="18"/>
                <w:szCs w:val="18"/>
              </w:rPr>
            </w:pPr>
          </w:p>
        </w:tc>
        <w:tc>
          <w:tcPr>
            <w:tcW w:w="1089" w:type="dxa"/>
            <w:tcBorders>
              <w:top w:val="nil"/>
              <w:left w:val="nil"/>
              <w:bottom w:val="single" w:sz="4" w:space="0" w:color="808080" w:themeColor="background1" w:themeShade="80"/>
              <w:right w:val="nil"/>
            </w:tcBorders>
            <w:shd w:val="clear" w:color="auto" w:fill="auto"/>
            <w:vAlign w:val="center"/>
          </w:tcPr>
          <w:p w14:paraId="04399A8A" w14:textId="77777777" w:rsidR="00BE1786" w:rsidRPr="00332AB5" w:rsidRDefault="00BE1786" w:rsidP="00DF4BB9">
            <w:pPr>
              <w:jc w:val="right"/>
              <w:rPr>
                <w:rFonts w:asciiTheme="minorHAnsi" w:hAnsiTheme="minorHAnsi" w:cstheme="minorHAnsi"/>
                <w:color w:val="000000"/>
                <w:sz w:val="18"/>
                <w:szCs w:val="18"/>
              </w:rPr>
            </w:pPr>
          </w:p>
        </w:tc>
        <w:tc>
          <w:tcPr>
            <w:tcW w:w="635" w:type="dxa"/>
            <w:tcBorders>
              <w:top w:val="nil"/>
              <w:left w:val="nil"/>
              <w:bottom w:val="single" w:sz="4" w:space="0" w:color="808080" w:themeColor="background1" w:themeShade="80"/>
              <w:right w:val="nil"/>
            </w:tcBorders>
            <w:shd w:val="clear" w:color="auto" w:fill="auto"/>
            <w:vAlign w:val="center"/>
          </w:tcPr>
          <w:p w14:paraId="30EA6392" w14:textId="77777777" w:rsidR="00BE1786" w:rsidRPr="00332AB5" w:rsidRDefault="00BE1786" w:rsidP="00DF4BB9">
            <w:pPr>
              <w:jc w:val="right"/>
              <w:rPr>
                <w:rFonts w:asciiTheme="minorHAnsi" w:hAnsiTheme="minorHAnsi" w:cstheme="minorHAnsi"/>
                <w:color w:val="000000"/>
                <w:sz w:val="18"/>
                <w:szCs w:val="18"/>
              </w:rPr>
            </w:pPr>
          </w:p>
        </w:tc>
        <w:tc>
          <w:tcPr>
            <w:tcW w:w="1089" w:type="dxa"/>
            <w:tcBorders>
              <w:top w:val="nil"/>
              <w:left w:val="nil"/>
              <w:bottom w:val="single" w:sz="4" w:space="0" w:color="808080" w:themeColor="background1" w:themeShade="80"/>
              <w:right w:val="nil"/>
            </w:tcBorders>
            <w:shd w:val="clear" w:color="auto" w:fill="auto"/>
            <w:vAlign w:val="center"/>
          </w:tcPr>
          <w:p w14:paraId="2AFA9DCD" w14:textId="77777777" w:rsidR="00BE1786" w:rsidRPr="00332AB5" w:rsidRDefault="00BE1786" w:rsidP="00DF4BB9">
            <w:pPr>
              <w:jc w:val="right"/>
              <w:rPr>
                <w:rFonts w:asciiTheme="minorHAnsi" w:hAnsiTheme="minorHAnsi" w:cstheme="minorHAnsi"/>
                <w:color w:val="000000"/>
                <w:sz w:val="18"/>
                <w:szCs w:val="18"/>
              </w:rPr>
            </w:pPr>
          </w:p>
        </w:tc>
        <w:tc>
          <w:tcPr>
            <w:tcW w:w="635" w:type="dxa"/>
            <w:tcBorders>
              <w:top w:val="nil"/>
              <w:left w:val="nil"/>
              <w:bottom w:val="single" w:sz="4" w:space="0" w:color="808080" w:themeColor="background1" w:themeShade="80"/>
              <w:right w:val="nil"/>
            </w:tcBorders>
            <w:shd w:val="clear" w:color="auto" w:fill="auto"/>
            <w:vAlign w:val="center"/>
          </w:tcPr>
          <w:p w14:paraId="6B847911" w14:textId="77777777" w:rsidR="00BE1786" w:rsidRPr="00332AB5" w:rsidRDefault="00BE1786" w:rsidP="00DF4BB9">
            <w:pPr>
              <w:jc w:val="right"/>
              <w:rPr>
                <w:rFonts w:asciiTheme="minorHAnsi" w:hAnsiTheme="minorHAnsi" w:cstheme="minorHAnsi"/>
                <w:color w:val="000000"/>
                <w:sz w:val="18"/>
                <w:szCs w:val="18"/>
              </w:rPr>
            </w:pPr>
          </w:p>
        </w:tc>
        <w:tc>
          <w:tcPr>
            <w:tcW w:w="1089" w:type="dxa"/>
            <w:tcBorders>
              <w:top w:val="nil"/>
              <w:left w:val="nil"/>
              <w:bottom w:val="single" w:sz="4" w:space="0" w:color="808080" w:themeColor="background1" w:themeShade="80"/>
              <w:right w:val="nil"/>
            </w:tcBorders>
            <w:shd w:val="clear" w:color="auto" w:fill="auto"/>
            <w:vAlign w:val="center"/>
          </w:tcPr>
          <w:p w14:paraId="542578D6" w14:textId="77777777" w:rsidR="00BE1786" w:rsidRPr="00332AB5" w:rsidRDefault="00BE1786" w:rsidP="00DF4BB9">
            <w:pPr>
              <w:jc w:val="right"/>
              <w:rPr>
                <w:rFonts w:asciiTheme="minorHAnsi" w:hAnsiTheme="minorHAnsi" w:cstheme="minorHAnsi"/>
                <w:color w:val="000000"/>
                <w:sz w:val="18"/>
                <w:szCs w:val="18"/>
              </w:rPr>
            </w:pPr>
          </w:p>
        </w:tc>
        <w:tc>
          <w:tcPr>
            <w:tcW w:w="635" w:type="dxa"/>
            <w:tcBorders>
              <w:top w:val="nil"/>
              <w:left w:val="nil"/>
              <w:bottom w:val="single" w:sz="4" w:space="0" w:color="808080" w:themeColor="background1" w:themeShade="80"/>
              <w:right w:val="nil"/>
            </w:tcBorders>
            <w:shd w:val="clear" w:color="auto" w:fill="auto"/>
            <w:vAlign w:val="center"/>
          </w:tcPr>
          <w:p w14:paraId="3C9986BB" w14:textId="77777777" w:rsidR="00BE1786" w:rsidRPr="00332AB5" w:rsidRDefault="00BE1786" w:rsidP="00DF4BB9">
            <w:pPr>
              <w:jc w:val="right"/>
              <w:rPr>
                <w:rFonts w:asciiTheme="minorHAnsi" w:hAnsiTheme="minorHAnsi" w:cstheme="minorHAnsi"/>
                <w:color w:val="000000"/>
                <w:sz w:val="18"/>
                <w:szCs w:val="18"/>
              </w:rPr>
            </w:pPr>
          </w:p>
        </w:tc>
        <w:tc>
          <w:tcPr>
            <w:tcW w:w="1089" w:type="dxa"/>
            <w:vAlign w:val="center"/>
          </w:tcPr>
          <w:p w14:paraId="68D2775E" w14:textId="77777777" w:rsidR="00BE1786" w:rsidRPr="00332AB5" w:rsidRDefault="00BE1786" w:rsidP="00DF4BB9">
            <w:pPr>
              <w:jc w:val="right"/>
              <w:rPr>
                <w:rFonts w:asciiTheme="minorHAnsi" w:hAnsiTheme="minorHAnsi" w:cstheme="minorHAnsi"/>
                <w:color w:val="000000"/>
                <w:sz w:val="18"/>
                <w:szCs w:val="18"/>
              </w:rPr>
            </w:pPr>
          </w:p>
        </w:tc>
        <w:tc>
          <w:tcPr>
            <w:tcW w:w="635" w:type="dxa"/>
            <w:vAlign w:val="center"/>
          </w:tcPr>
          <w:p w14:paraId="6D3A3D44" w14:textId="77777777" w:rsidR="00BE1786" w:rsidRPr="00332AB5" w:rsidRDefault="00BE1786" w:rsidP="00DF4BB9">
            <w:pPr>
              <w:jc w:val="right"/>
              <w:rPr>
                <w:rFonts w:asciiTheme="minorHAnsi" w:hAnsiTheme="minorHAnsi" w:cstheme="minorHAnsi"/>
                <w:color w:val="000000"/>
                <w:sz w:val="18"/>
                <w:szCs w:val="18"/>
              </w:rPr>
            </w:pPr>
          </w:p>
        </w:tc>
      </w:tr>
      <w:tr w:rsidR="00DF4BB9" w:rsidRPr="00332AB5" w14:paraId="7BE5AA30" w14:textId="77777777" w:rsidTr="00C14E65">
        <w:trPr>
          <w:trHeight w:val="510"/>
        </w:trPr>
        <w:tc>
          <w:tcPr>
            <w:tcW w:w="1179" w:type="dxa"/>
            <w:vAlign w:val="center"/>
          </w:tcPr>
          <w:p w14:paraId="55C46A3B" w14:textId="77777777" w:rsidR="00DF4BB9" w:rsidRPr="00332AB5" w:rsidRDefault="00DF4BB9" w:rsidP="00DF4BB9">
            <w:pPr>
              <w:rPr>
                <w:rFonts w:asciiTheme="minorHAnsi" w:hAnsiTheme="minorHAnsi" w:cstheme="minorHAnsi"/>
                <w:sz w:val="18"/>
                <w:szCs w:val="24"/>
              </w:rPr>
            </w:pPr>
            <w:r w:rsidRPr="00332AB5">
              <w:rPr>
                <w:rFonts w:asciiTheme="minorHAnsi" w:hAnsiTheme="minorHAnsi" w:cstheme="minorHAnsi"/>
                <w:sz w:val="18"/>
              </w:rPr>
              <w:t>UKUPNO</w:t>
            </w:r>
          </w:p>
        </w:tc>
        <w:tc>
          <w:tcPr>
            <w:tcW w:w="998" w:type="dxa"/>
            <w:tcBorders>
              <w:top w:val="single" w:sz="4" w:space="0" w:color="808080" w:themeColor="background1" w:themeShade="80"/>
              <w:bottom w:val="single" w:sz="4" w:space="0" w:color="808080" w:themeColor="background1" w:themeShade="80"/>
            </w:tcBorders>
            <w:vAlign w:val="center"/>
          </w:tcPr>
          <w:p w14:paraId="6B2C4E9E" w14:textId="77777777" w:rsidR="00DF4BB9" w:rsidRPr="00332AB5" w:rsidRDefault="00DF4BB9" w:rsidP="00C14E65">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201,67</w:t>
            </w:r>
          </w:p>
        </w:tc>
        <w:tc>
          <w:tcPr>
            <w:tcW w:w="1089" w:type="dxa"/>
            <w:tcBorders>
              <w:top w:val="single" w:sz="4" w:space="0" w:color="808080" w:themeColor="background1" w:themeShade="80"/>
              <w:left w:val="nil"/>
              <w:bottom w:val="single" w:sz="4" w:space="0" w:color="808080" w:themeColor="background1" w:themeShade="80"/>
              <w:right w:val="nil"/>
            </w:tcBorders>
            <w:shd w:val="clear" w:color="auto" w:fill="auto"/>
            <w:vAlign w:val="center"/>
          </w:tcPr>
          <w:p w14:paraId="1DD106E6" w14:textId="3393FD7A" w:rsidR="00DF4BB9" w:rsidRPr="00332AB5" w:rsidRDefault="00BE1786"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45,98</w:t>
            </w:r>
          </w:p>
        </w:tc>
        <w:tc>
          <w:tcPr>
            <w:tcW w:w="635" w:type="dxa"/>
            <w:tcBorders>
              <w:top w:val="single" w:sz="4" w:space="0" w:color="808080" w:themeColor="background1" w:themeShade="80"/>
              <w:left w:val="nil"/>
              <w:bottom w:val="single" w:sz="4" w:space="0" w:color="808080" w:themeColor="background1" w:themeShade="80"/>
            </w:tcBorders>
            <w:shd w:val="clear" w:color="auto" w:fill="auto"/>
            <w:vAlign w:val="center"/>
          </w:tcPr>
          <w:p w14:paraId="77027700" w14:textId="56DEBDB6" w:rsidR="00DF4BB9" w:rsidRPr="00332AB5" w:rsidRDefault="00BE1786"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22,80</w:t>
            </w:r>
          </w:p>
        </w:tc>
        <w:tc>
          <w:tcPr>
            <w:tcW w:w="1089" w:type="dxa"/>
            <w:tcBorders>
              <w:top w:val="single" w:sz="4" w:space="0" w:color="808080" w:themeColor="background1" w:themeShade="80"/>
              <w:left w:val="nil"/>
              <w:bottom w:val="single" w:sz="4" w:space="0" w:color="808080" w:themeColor="background1" w:themeShade="80"/>
              <w:right w:val="nil"/>
            </w:tcBorders>
            <w:shd w:val="clear" w:color="auto" w:fill="auto"/>
            <w:vAlign w:val="center"/>
          </w:tcPr>
          <w:p w14:paraId="349C25D9" w14:textId="3F7D3F95" w:rsidR="00DF4BB9" w:rsidRPr="00332AB5" w:rsidRDefault="00BE1786"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36,72</w:t>
            </w:r>
          </w:p>
        </w:tc>
        <w:tc>
          <w:tcPr>
            <w:tcW w:w="635" w:type="dxa"/>
            <w:tcBorders>
              <w:top w:val="single" w:sz="4" w:space="0" w:color="808080" w:themeColor="background1" w:themeShade="80"/>
              <w:left w:val="nil"/>
              <w:bottom w:val="single" w:sz="4" w:space="0" w:color="808080" w:themeColor="background1" w:themeShade="80"/>
              <w:right w:val="nil"/>
            </w:tcBorders>
            <w:shd w:val="clear" w:color="auto" w:fill="auto"/>
            <w:vAlign w:val="center"/>
          </w:tcPr>
          <w:p w14:paraId="6564D091" w14:textId="7CD71113" w:rsidR="00DF4BB9" w:rsidRPr="00332AB5" w:rsidRDefault="00BE1786"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18,21</w:t>
            </w:r>
          </w:p>
        </w:tc>
        <w:tc>
          <w:tcPr>
            <w:tcW w:w="1089" w:type="dxa"/>
            <w:tcBorders>
              <w:top w:val="single" w:sz="4" w:space="0" w:color="808080" w:themeColor="background1" w:themeShade="80"/>
              <w:left w:val="nil"/>
              <w:bottom w:val="single" w:sz="4" w:space="0" w:color="808080" w:themeColor="background1" w:themeShade="80"/>
              <w:right w:val="nil"/>
            </w:tcBorders>
            <w:shd w:val="clear" w:color="auto" w:fill="auto"/>
            <w:vAlign w:val="center"/>
          </w:tcPr>
          <w:p w14:paraId="67A2499A" w14:textId="00740A06" w:rsidR="00DF4BB9" w:rsidRPr="00332AB5" w:rsidRDefault="00BE1786"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8,55</w:t>
            </w:r>
          </w:p>
        </w:tc>
        <w:tc>
          <w:tcPr>
            <w:tcW w:w="635" w:type="dxa"/>
            <w:tcBorders>
              <w:top w:val="single" w:sz="4" w:space="0" w:color="808080" w:themeColor="background1" w:themeShade="80"/>
              <w:left w:val="nil"/>
              <w:bottom w:val="single" w:sz="4" w:space="0" w:color="808080" w:themeColor="background1" w:themeShade="80"/>
              <w:right w:val="nil"/>
            </w:tcBorders>
            <w:shd w:val="clear" w:color="auto" w:fill="auto"/>
            <w:vAlign w:val="center"/>
          </w:tcPr>
          <w:p w14:paraId="57EE8D9C" w14:textId="425B5B20" w:rsidR="00DF4BB9" w:rsidRPr="00332AB5" w:rsidRDefault="00C25832" w:rsidP="00DF4BB9">
            <w:pPr>
              <w:jc w:val="right"/>
              <w:rPr>
                <w:rFonts w:asciiTheme="minorHAnsi" w:hAnsiTheme="minorHAnsi" w:cstheme="minorHAnsi"/>
                <w:sz w:val="18"/>
                <w:szCs w:val="18"/>
              </w:rPr>
            </w:pPr>
            <w:r w:rsidRPr="00332AB5">
              <w:rPr>
                <w:rFonts w:asciiTheme="minorHAnsi" w:hAnsiTheme="minorHAnsi" w:cstheme="minorHAnsi"/>
                <w:sz w:val="18"/>
                <w:szCs w:val="18"/>
              </w:rPr>
              <w:t>4,24</w:t>
            </w:r>
          </w:p>
        </w:tc>
        <w:tc>
          <w:tcPr>
            <w:tcW w:w="1089" w:type="dxa"/>
            <w:tcBorders>
              <w:top w:val="single" w:sz="4" w:space="0" w:color="808080" w:themeColor="background1" w:themeShade="80"/>
              <w:bottom w:val="single" w:sz="4" w:space="0" w:color="808080" w:themeColor="background1" w:themeShade="80"/>
            </w:tcBorders>
            <w:vAlign w:val="center"/>
          </w:tcPr>
          <w:p w14:paraId="75BB6C64" w14:textId="4EA9027A" w:rsidR="00DF4BB9" w:rsidRPr="00332AB5" w:rsidRDefault="00C25832" w:rsidP="00DF4BB9">
            <w:pPr>
              <w:jc w:val="right"/>
              <w:rPr>
                <w:rFonts w:asciiTheme="minorHAnsi" w:hAnsiTheme="minorHAnsi" w:cstheme="minorHAnsi"/>
                <w:sz w:val="18"/>
                <w:szCs w:val="18"/>
              </w:rPr>
            </w:pPr>
            <w:r w:rsidRPr="00332AB5">
              <w:rPr>
                <w:rFonts w:asciiTheme="minorHAnsi" w:hAnsiTheme="minorHAnsi" w:cstheme="minorHAnsi"/>
                <w:sz w:val="18"/>
                <w:szCs w:val="18"/>
              </w:rPr>
              <w:t>8,55</w:t>
            </w:r>
          </w:p>
        </w:tc>
        <w:tc>
          <w:tcPr>
            <w:tcW w:w="635" w:type="dxa"/>
            <w:tcBorders>
              <w:top w:val="single" w:sz="4" w:space="0" w:color="808080" w:themeColor="background1" w:themeShade="80"/>
              <w:bottom w:val="single" w:sz="4" w:space="0" w:color="808080" w:themeColor="background1" w:themeShade="80"/>
            </w:tcBorders>
            <w:vAlign w:val="center"/>
          </w:tcPr>
          <w:p w14:paraId="323A268C" w14:textId="0A735E36" w:rsidR="00DF4BB9" w:rsidRPr="00332AB5" w:rsidRDefault="00C25832"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4,24</w:t>
            </w:r>
          </w:p>
        </w:tc>
      </w:tr>
    </w:tbl>
    <w:p w14:paraId="08E3C59C" w14:textId="77777777" w:rsidR="00F55314" w:rsidRPr="00332AB5" w:rsidRDefault="00F55314"/>
    <w:p w14:paraId="68163CCE" w14:textId="15559FC8" w:rsidR="00F55314" w:rsidRPr="00332AB5" w:rsidRDefault="00F55314" w:rsidP="004915BC">
      <w:pPr>
        <w:spacing w:before="120" w:after="120"/>
      </w:pPr>
      <w:bookmarkStart w:id="154" w:name="_Toc152595300"/>
      <w:r w:rsidRPr="00332AB5">
        <w:rPr>
          <w:b/>
          <w:bCs/>
        </w:rPr>
        <w:t xml:space="preserve">Tablica </w:t>
      </w:r>
      <w:r w:rsidRPr="00332AB5">
        <w:rPr>
          <w:b/>
          <w:bCs/>
        </w:rPr>
        <w:fldChar w:fldCharType="begin"/>
      </w:r>
      <w:r w:rsidRPr="00332AB5">
        <w:rPr>
          <w:b/>
          <w:bCs/>
        </w:rPr>
        <w:instrText xml:space="preserve"> SEQ Tablica \* ARABIC </w:instrText>
      </w:r>
      <w:r w:rsidRPr="00332AB5">
        <w:rPr>
          <w:b/>
          <w:bCs/>
        </w:rPr>
        <w:fldChar w:fldCharType="separate"/>
      </w:r>
      <w:r w:rsidR="005E6E46">
        <w:rPr>
          <w:b/>
          <w:bCs/>
          <w:noProof/>
        </w:rPr>
        <w:t>26</w:t>
      </w:r>
      <w:r w:rsidRPr="00332AB5">
        <w:rPr>
          <w:b/>
          <w:bCs/>
        </w:rPr>
        <w:fldChar w:fldCharType="end"/>
      </w:r>
      <w:r w:rsidRPr="00332AB5">
        <w:rPr>
          <w:b/>
          <w:bCs/>
        </w:rPr>
        <w:t xml:space="preserve">: Financijski pokazatelji statusa provedbe instrumenata NEXT GENERATION EU u sklopu Programa ruralnog razvoja od početka provedbe do kraja izvještajnog razdoblja </w:t>
      </w:r>
      <w:r w:rsidR="0011067E" w:rsidRPr="00332AB5">
        <w:rPr>
          <w:b/>
          <w:bCs/>
        </w:rPr>
        <w:t>30. lipnja 2023.</w:t>
      </w:r>
      <w:r w:rsidRPr="00332AB5">
        <w:rPr>
          <w:b/>
          <w:bCs/>
        </w:rPr>
        <w:t xml:space="preserve"> (sredstva EU, u milijunima eura i postocima od dodijeljenih sredstava)</w:t>
      </w:r>
      <w:bookmarkEnd w:id="15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845"/>
        <w:gridCol w:w="879"/>
        <w:gridCol w:w="635"/>
        <w:gridCol w:w="1089"/>
        <w:gridCol w:w="635"/>
        <w:gridCol w:w="1089"/>
        <w:gridCol w:w="635"/>
      </w:tblGrid>
      <w:tr w:rsidR="00F55314" w:rsidRPr="00332AB5" w14:paraId="0D055B55" w14:textId="77777777" w:rsidTr="003D43BE">
        <w:trPr>
          <w:trHeight w:val="737"/>
        </w:trPr>
        <w:tc>
          <w:tcPr>
            <w:tcW w:w="1179" w:type="dxa"/>
            <w:vAlign w:val="center"/>
          </w:tcPr>
          <w:p w14:paraId="3827A126" w14:textId="77777777" w:rsidR="00F55314" w:rsidRPr="00332AB5" w:rsidRDefault="00F55314" w:rsidP="00040D2F">
            <w:pPr>
              <w:spacing w:after="60"/>
              <w:rPr>
                <w:sz w:val="16"/>
                <w:szCs w:val="24"/>
              </w:rPr>
            </w:pPr>
            <w:r w:rsidRPr="00332AB5">
              <w:rPr>
                <w:rFonts w:asciiTheme="minorHAnsi" w:hAnsiTheme="minorHAnsi" w:cstheme="minorHAnsi"/>
                <w:sz w:val="16"/>
              </w:rPr>
              <w:t>Mjera (M)</w:t>
            </w:r>
          </w:p>
        </w:tc>
        <w:tc>
          <w:tcPr>
            <w:tcW w:w="998" w:type="dxa"/>
            <w:tcBorders>
              <w:bottom w:val="single" w:sz="4" w:space="0" w:color="808080" w:themeColor="background1" w:themeShade="80"/>
            </w:tcBorders>
            <w:vAlign w:val="center"/>
          </w:tcPr>
          <w:p w14:paraId="635E0160" w14:textId="77777777" w:rsidR="00F55314" w:rsidRPr="00332AB5" w:rsidRDefault="00F55314" w:rsidP="00040D2F">
            <w:pPr>
              <w:spacing w:after="60"/>
              <w:jc w:val="right"/>
              <w:rPr>
                <w:sz w:val="16"/>
                <w:szCs w:val="24"/>
              </w:rPr>
            </w:pPr>
            <w:r w:rsidRPr="00332AB5">
              <w:rPr>
                <w:rFonts w:asciiTheme="minorHAnsi" w:hAnsiTheme="minorHAnsi" w:cstheme="minorHAnsi"/>
                <w:sz w:val="16"/>
              </w:rPr>
              <w:t>Dodijeljena sredstva</w:t>
            </w:r>
          </w:p>
        </w:tc>
        <w:tc>
          <w:tcPr>
            <w:tcW w:w="1089" w:type="dxa"/>
            <w:tcBorders>
              <w:bottom w:val="single" w:sz="4" w:space="0" w:color="808080" w:themeColor="background1" w:themeShade="80"/>
            </w:tcBorders>
            <w:vAlign w:val="center"/>
          </w:tcPr>
          <w:p w14:paraId="2867A029" w14:textId="77777777" w:rsidR="00F55314" w:rsidRPr="00332AB5" w:rsidRDefault="00F55314" w:rsidP="00040D2F">
            <w:pPr>
              <w:spacing w:after="60"/>
              <w:jc w:val="right"/>
              <w:rPr>
                <w:sz w:val="16"/>
                <w:szCs w:val="24"/>
              </w:rPr>
            </w:pPr>
            <w:r w:rsidRPr="00332AB5">
              <w:rPr>
                <w:rFonts w:asciiTheme="minorHAnsi" w:hAnsiTheme="minorHAnsi" w:cstheme="minorHAnsi"/>
                <w:sz w:val="16"/>
              </w:rPr>
              <w:t>Ugovorena sredstva</w:t>
            </w:r>
          </w:p>
        </w:tc>
        <w:tc>
          <w:tcPr>
            <w:tcW w:w="845" w:type="dxa"/>
            <w:tcBorders>
              <w:bottom w:val="single" w:sz="4" w:space="0" w:color="808080" w:themeColor="background1" w:themeShade="80"/>
            </w:tcBorders>
            <w:vAlign w:val="center"/>
          </w:tcPr>
          <w:p w14:paraId="2A780808" w14:textId="77777777" w:rsidR="00F55314" w:rsidRPr="00332AB5" w:rsidRDefault="00F55314" w:rsidP="00040D2F">
            <w:pPr>
              <w:spacing w:after="60"/>
              <w:jc w:val="right"/>
              <w:rPr>
                <w:sz w:val="16"/>
                <w:szCs w:val="24"/>
              </w:rPr>
            </w:pPr>
            <w:r w:rsidRPr="00332AB5">
              <w:rPr>
                <w:rFonts w:asciiTheme="minorHAnsi" w:hAnsiTheme="minorHAnsi" w:cstheme="minorHAnsi"/>
                <w:sz w:val="16"/>
              </w:rPr>
              <w:t xml:space="preserve"> %</w:t>
            </w:r>
          </w:p>
        </w:tc>
        <w:tc>
          <w:tcPr>
            <w:tcW w:w="879" w:type="dxa"/>
            <w:tcBorders>
              <w:bottom w:val="single" w:sz="4" w:space="0" w:color="808080" w:themeColor="background1" w:themeShade="80"/>
            </w:tcBorders>
            <w:vAlign w:val="center"/>
          </w:tcPr>
          <w:p w14:paraId="59D8EB27" w14:textId="77777777" w:rsidR="00F55314" w:rsidRPr="00332AB5" w:rsidRDefault="00F55314" w:rsidP="00040D2F">
            <w:pPr>
              <w:spacing w:after="60"/>
              <w:jc w:val="right"/>
              <w:rPr>
                <w:sz w:val="16"/>
                <w:szCs w:val="24"/>
              </w:rPr>
            </w:pPr>
            <w:r w:rsidRPr="00332AB5">
              <w:rPr>
                <w:rFonts w:asciiTheme="minorHAnsi" w:hAnsiTheme="minorHAnsi" w:cstheme="minorHAnsi"/>
                <w:sz w:val="16"/>
              </w:rPr>
              <w:t>Plaćena sredstva</w:t>
            </w:r>
          </w:p>
        </w:tc>
        <w:tc>
          <w:tcPr>
            <w:tcW w:w="635" w:type="dxa"/>
            <w:tcBorders>
              <w:bottom w:val="single" w:sz="4" w:space="0" w:color="808080" w:themeColor="background1" w:themeShade="80"/>
            </w:tcBorders>
            <w:vAlign w:val="center"/>
          </w:tcPr>
          <w:p w14:paraId="71C2259C" w14:textId="77777777" w:rsidR="00F55314" w:rsidRPr="00332AB5" w:rsidRDefault="00F55314" w:rsidP="00040D2F">
            <w:pPr>
              <w:spacing w:after="60"/>
              <w:jc w:val="right"/>
              <w:rPr>
                <w:sz w:val="16"/>
                <w:szCs w:val="24"/>
              </w:rPr>
            </w:pPr>
            <w:r w:rsidRPr="00332AB5">
              <w:rPr>
                <w:rFonts w:asciiTheme="minorHAnsi" w:hAnsiTheme="minorHAnsi" w:cstheme="minorHAnsi"/>
                <w:sz w:val="16"/>
              </w:rPr>
              <w:t xml:space="preserve"> %</w:t>
            </w:r>
          </w:p>
        </w:tc>
        <w:tc>
          <w:tcPr>
            <w:tcW w:w="1089" w:type="dxa"/>
            <w:tcBorders>
              <w:bottom w:val="single" w:sz="4" w:space="0" w:color="808080" w:themeColor="background1" w:themeShade="80"/>
            </w:tcBorders>
            <w:vAlign w:val="center"/>
          </w:tcPr>
          <w:p w14:paraId="4029C7D6" w14:textId="77777777" w:rsidR="00F55314" w:rsidRPr="00332AB5" w:rsidRDefault="00F55314" w:rsidP="00040D2F">
            <w:pPr>
              <w:spacing w:after="60"/>
              <w:jc w:val="right"/>
              <w:rPr>
                <w:sz w:val="16"/>
                <w:szCs w:val="24"/>
              </w:rPr>
            </w:pPr>
            <w:r w:rsidRPr="00332AB5">
              <w:rPr>
                <w:rFonts w:asciiTheme="minorHAnsi" w:hAnsiTheme="minorHAnsi" w:cstheme="minorHAnsi"/>
                <w:sz w:val="16"/>
              </w:rPr>
              <w:t>Ovjerena sredstva</w:t>
            </w:r>
          </w:p>
        </w:tc>
        <w:tc>
          <w:tcPr>
            <w:tcW w:w="635" w:type="dxa"/>
            <w:tcBorders>
              <w:bottom w:val="single" w:sz="4" w:space="0" w:color="808080" w:themeColor="background1" w:themeShade="80"/>
            </w:tcBorders>
            <w:vAlign w:val="center"/>
          </w:tcPr>
          <w:p w14:paraId="1DE42174" w14:textId="77777777" w:rsidR="00F55314" w:rsidRPr="00332AB5" w:rsidRDefault="00F55314" w:rsidP="00040D2F">
            <w:pPr>
              <w:spacing w:after="60"/>
              <w:jc w:val="right"/>
              <w:rPr>
                <w:sz w:val="16"/>
                <w:szCs w:val="24"/>
              </w:rPr>
            </w:pPr>
            <w:r w:rsidRPr="00332AB5">
              <w:rPr>
                <w:rFonts w:asciiTheme="minorHAnsi" w:hAnsiTheme="minorHAnsi" w:cstheme="minorHAnsi"/>
                <w:sz w:val="16"/>
              </w:rPr>
              <w:t xml:space="preserve"> %</w:t>
            </w:r>
          </w:p>
        </w:tc>
        <w:tc>
          <w:tcPr>
            <w:tcW w:w="1089" w:type="dxa"/>
            <w:tcBorders>
              <w:bottom w:val="single" w:sz="4" w:space="0" w:color="808080" w:themeColor="background1" w:themeShade="80"/>
            </w:tcBorders>
            <w:vAlign w:val="center"/>
          </w:tcPr>
          <w:p w14:paraId="53E42845" w14:textId="77777777" w:rsidR="00F55314" w:rsidRPr="00332AB5" w:rsidRDefault="00F55314" w:rsidP="00040D2F">
            <w:pPr>
              <w:spacing w:after="60"/>
              <w:jc w:val="right"/>
              <w:rPr>
                <w:sz w:val="16"/>
                <w:szCs w:val="24"/>
              </w:rPr>
            </w:pPr>
            <w:r w:rsidRPr="00332AB5">
              <w:rPr>
                <w:rFonts w:asciiTheme="minorHAnsi" w:hAnsiTheme="minorHAnsi" w:cstheme="minorHAnsi"/>
                <w:sz w:val="16"/>
              </w:rPr>
              <w:t>Doznačena sredstva</w:t>
            </w:r>
          </w:p>
        </w:tc>
        <w:tc>
          <w:tcPr>
            <w:tcW w:w="635" w:type="dxa"/>
            <w:tcBorders>
              <w:bottom w:val="single" w:sz="4" w:space="0" w:color="808080" w:themeColor="background1" w:themeShade="80"/>
            </w:tcBorders>
            <w:vAlign w:val="center"/>
          </w:tcPr>
          <w:p w14:paraId="72E9C3B1" w14:textId="77777777" w:rsidR="00F55314" w:rsidRPr="00332AB5" w:rsidRDefault="00F55314" w:rsidP="00040D2F">
            <w:pPr>
              <w:spacing w:after="60"/>
              <w:jc w:val="right"/>
              <w:rPr>
                <w:sz w:val="16"/>
                <w:szCs w:val="24"/>
              </w:rPr>
            </w:pPr>
            <w:r w:rsidRPr="00332AB5">
              <w:rPr>
                <w:rFonts w:asciiTheme="minorHAnsi" w:hAnsiTheme="minorHAnsi" w:cstheme="minorHAnsi"/>
                <w:sz w:val="16"/>
              </w:rPr>
              <w:t xml:space="preserve"> %</w:t>
            </w:r>
          </w:p>
        </w:tc>
      </w:tr>
      <w:tr w:rsidR="00F55314" w:rsidRPr="00332AB5" w14:paraId="245915CF" w14:textId="77777777" w:rsidTr="003D43BE">
        <w:trPr>
          <w:trHeight w:val="113"/>
        </w:trPr>
        <w:tc>
          <w:tcPr>
            <w:tcW w:w="1179" w:type="dxa"/>
            <w:vAlign w:val="center"/>
          </w:tcPr>
          <w:p w14:paraId="218D9370" w14:textId="77777777" w:rsidR="00F55314" w:rsidRPr="00332AB5" w:rsidRDefault="00F55314" w:rsidP="00040D2F">
            <w:pPr>
              <w:rPr>
                <w:rFonts w:asciiTheme="minorHAnsi" w:hAnsiTheme="minorHAnsi" w:cstheme="minorHAnsi"/>
                <w:sz w:val="8"/>
                <w:szCs w:val="24"/>
              </w:rPr>
            </w:pPr>
          </w:p>
        </w:tc>
        <w:tc>
          <w:tcPr>
            <w:tcW w:w="998" w:type="dxa"/>
            <w:tcBorders>
              <w:top w:val="single" w:sz="4" w:space="0" w:color="808080" w:themeColor="background1" w:themeShade="80"/>
            </w:tcBorders>
            <w:vAlign w:val="center"/>
          </w:tcPr>
          <w:p w14:paraId="4F5DF512" w14:textId="77777777" w:rsidR="00F55314" w:rsidRPr="00332AB5" w:rsidRDefault="00F55314" w:rsidP="00040D2F">
            <w:pPr>
              <w:jc w:val="right"/>
              <w:rPr>
                <w:rFonts w:asciiTheme="minorHAnsi" w:hAnsiTheme="minorHAnsi" w:cstheme="minorHAnsi"/>
                <w:sz w:val="8"/>
                <w:szCs w:val="24"/>
              </w:rPr>
            </w:pPr>
          </w:p>
        </w:tc>
        <w:tc>
          <w:tcPr>
            <w:tcW w:w="1089" w:type="dxa"/>
            <w:tcBorders>
              <w:top w:val="single" w:sz="4" w:space="0" w:color="808080" w:themeColor="background1" w:themeShade="80"/>
            </w:tcBorders>
            <w:vAlign w:val="center"/>
          </w:tcPr>
          <w:p w14:paraId="628F9505" w14:textId="77777777" w:rsidR="00F55314" w:rsidRPr="00332AB5" w:rsidRDefault="00F55314" w:rsidP="00040D2F">
            <w:pPr>
              <w:jc w:val="right"/>
              <w:rPr>
                <w:rFonts w:asciiTheme="minorHAnsi" w:hAnsiTheme="minorHAnsi" w:cstheme="minorHAnsi"/>
                <w:sz w:val="8"/>
                <w:szCs w:val="24"/>
              </w:rPr>
            </w:pPr>
          </w:p>
        </w:tc>
        <w:tc>
          <w:tcPr>
            <w:tcW w:w="845" w:type="dxa"/>
            <w:tcBorders>
              <w:top w:val="single" w:sz="4" w:space="0" w:color="808080" w:themeColor="background1" w:themeShade="80"/>
            </w:tcBorders>
            <w:vAlign w:val="center"/>
          </w:tcPr>
          <w:p w14:paraId="3954C6B8" w14:textId="77777777" w:rsidR="00F55314" w:rsidRPr="00332AB5" w:rsidRDefault="00F55314" w:rsidP="00040D2F">
            <w:pPr>
              <w:jc w:val="right"/>
              <w:rPr>
                <w:rFonts w:asciiTheme="minorHAnsi" w:hAnsiTheme="minorHAnsi" w:cstheme="minorHAnsi"/>
                <w:sz w:val="8"/>
                <w:szCs w:val="24"/>
              </w:rPr>
            </w:pPr>
          </w:p>
        </w:tc>
        <w:tc>
          <w:tcPr>
            <w:tcW w:w="879" w:type="dxa"/>
            <w:tcBorders>
              <w:top w:val="single" w:sz="4" w:space="0" w:color="808080" w:themeColor="background1" w:themeShade="80"/>
            </w:tcBorders>
            <w:vAlign w:val="center"/>
          </w:tcPr>
          <w:p w14:paraId="04585BE3" w14:textId="77777777" w:rsidR="00F55314" w:rsidRPr="00332AB5" w:rsidRDefault="00F55314" w:rsidP="00040D2F">
            <w:pPr>
              <w:jc w:val="right"/>
              <w:rPr>
                <w:rFonts w:asciiTheme="minorHAnsi" w:hAnsiTheme="minorHAnsi" w:cstheme="minorHAnsi"/>
                <w:sz w:val="8"/>
                <w:szCs w:val="24"/>
              </w:rPr>
            </w:pPr>
          </w:p>
        </w:tc>
        <w:tc>
          <w:tcPr>
            <w:tcW w:w="635" w:type="dxa"/>
            <w:tcBorders>
              <w:top w:val="single" w:sz="4" w:space="0" w:color="808080" w:themeColor="background1" w:themeShade="80"/>
            </w:tcBorders>
            <w:vAlign w:val="center"/>
          </w:tcPr>
          <w:p w14:paraId="4CC9BB2D" w14:textId="77777777" w:rsidR="00F55314" w:rsidRPr="00332AB5" w:rsidRDefault="00F55314" w:rsidP="00040D2F">
            <w:pPr>
              <w:jc w:val="right"/>
              <w:rPr>
                <w:rFonts w:asciiTheme="minorHAnsi" w:hAnsiTheme="minorHAnsi" w:cstheme="minorHAnsi"/>
                <w:sz w:val="8"/>
                <w:szCs w:val="24"/>
              </w:rPr>
            </w:pPr>
          </w:p>
        </w:tc>
        <w:tc>
          <w:tcPr>
            <w:tcW w:w="1089" w:type="dxa"/>
            <w:tcBorders>
              <w:top w:val="single" w:sz="4" w:space="0" w:color="808080" w:themeColor="background1" w:themeShade="80"/>
            </w:tcBorders>
            <w:vAlign w:val="center"/>
          </w:tcPr>
          <w:p w14:paraId="721E9186" w14:textId="77777777" w:rsidR="00F55314" w:rsidRPr="00332AB5" w:rsidRDefault="00F55314" w:rsidP="00040D2F">
            <w:pPr>
              <w:jc w:val="right"/>
              <w:rPr>
                <w:rFonts w:asciiTheme="minorHAnsi" w:hAnsiTheme="minorHAnsi" w:cstheme="minorHAnsi"/>
                <w:sz w:val="8"/>
                <w:szCs w:val="24"/>
              </w:rPr>
            </w:pPr>
          </w:p>
        </w:tc>
        <w:tc>
          <w:tcPr>
            <w:tcW w:w="635" w:type="dxa"/>
            <w:tcBorders>
              <w:top w:val="single" w:sz="4" w:space="0" w:color="808080" w:themeColor="background1" w:themeShade="80"/>
            </w:tcBorders>
            <w:vAlign w:val="center"/>
          </w:tcPr>
          <w:p w14:paraId="19C1BC44" w14:textId="77777777" w:rsidR="00F55314" w:rsidRPr="00332AB5" w:rsidRDefault="00F55314" w:rsidP="00040D2F">
            <w:pPr>
              <w:jc w:val="right"/>
              <w:rPr>
                <w:rFonts w:asciiTheme="minorHAnsi" w:hAnsiTheme="minorHAnsi" w:cstheme="minorHAnsi"/>
                <w:sz w:val="8"/>
                <w:szCs w:val="24"/>
              </w:rPr>
            </w:pPr>
          </w:p>
        </w:tc>
        <w:tc>
          <w:tcPr>
            <w:tcW w:w="1089" w:type="dxa"/>
            <w:tcBorders>
              <w:top w:val="single" w:sz="4" w:space="0" w:color="808080" w:themeColor="background1" w:themeShade="80"/>
            </w:tcBorders>
            <w:vAlign w:val="center"/>
          </w:tcPr>
          <w:p w14:paraId="38603679" w14:textId="77777777" w:rsidR="00F55314" w:rsidRPr="00332AB5" w:rsidRDefault="00F55314" w:rsidP="00040D2F">
            <w:pPr>
              <w:jc w:val="right"/>
              <w:rPr>
                <w:rFonts w:asciiTheme="minorHAnsi" w:hAnsiTheme="minorHAnsi" w:cstheme="minorHAnsi"/>
                <w:sz w:val="8"/>
                <w:szCs w:val="24"/>
              </w:rPr>
            </w:pPr>
          </w:p>
        </w:tc>
        <w:tc>
          <w:tcPr>
            <w:tcW w:w="635" w:type="dxa"/>
            <w:tcBorders>
              <w:top w:val="single" w:sz="4" w:space="0" w:color="808080" w:themeColor="background1" w:themeShade="80"/>
            </w:tcBorders>
            <w:vAlign w:val="center"/>
          </w:tcPr>
          <w:p w14:paraId="5E169B85" w14:textId="77777777" w:rsidR="00F55314" w:rsidRPr="00332AB5" w:rsidRDefault="00F55314" w:rsidP="00040D2F">
            <w:pPr>
              <w:jc w:val="right"/>
              <w:rPr>
                <w:rFonts w:asciiTheme="minorHAnsi" w:hAnsiTheme="minorHAnsi" w:cstheme="minorHAnsi"/>
                <w:sz w:val="8"/>
                <w:szCs w:val="24"/>
              </w:rPr>
            </w:pPr>
          </w:p>
        </w:tc>
      </w:tr>
      <w:tr w:rsidR="00DF4BB9" w:rsidRPr="00332AB5" w14:paraId="63FBC644" w14:textId="77777777" w:rsidTr="003D43BE">
        <w:trPr>
          <w:trHeight w:val="397"/>
        </w:trPr>
        <w:tc>
          <w:tcPr>
            <w:tcW w:w="1179" w:type="dxa"/>
            <w:vAlign w:val="center"/>
          </w:tcPr>
          <w:p w14:paraId="08A66D89" w14:textId="77777777" w:rsidR="00DF4BB9" w:rsidRPr="00332AB5" w:rsidRDefault="00DF4BB9" w:rsidP="00DF4BB9">
            <w:pPr>
              <w:rPr>
                <w:rFonts w:asciiTheme="minorHAnsi" w:hAnsiTheme="minorHAnsi" w:cstheme="minorHAnsi"/>
                <w:sz w:val="18"/>
                <w:szCs w:val="18"/>
              </w:rPr>
            </w:pPr>
            <w:r w:rsidRPr="00332AB5">
              <w:rPr>
                <w:rFonts w:asciiTheme="minorHAnsi" w:hAnsiTheme="minorHAnsi" w:cstheme="minorHAnsi"/>
                <w:sz w:val="18"/>
                <w:szCs w:val="18"/>
              </w:rPr>
              <w:t>M 1</w:t>
            </w:r>
          </w:p>
        </w:tc>
        <w:tc>
          <w:tcPr>
            <w:tcW w:w="998" w:type="dxa"/>
            <w:vAlign w:val="center"/>
          </w:tcPr>
          <w:p w14:paraId="73C4D13F" w14:textId="752F78D9" w:rsidR="00DF4BB9" w:rsidRPr="00332AB5" w:rsidRDefault="00DF4BB9" w:rsidP="00234C90">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vAlign w:val="center"/>
          </w:tcPr>
          <w:p w14:paraId="609C4BBB" w14:textId="4FC2F028" w:rsidR="00DF4BB9" w:rsidRPr="00332AB5" w:rsidRDefault="00DF4BB9" w:rsidP="00234C90">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845" w:type="dxa"/>
            <w:vAlign w:val="center"/>
          </w:tcPr>
          <w:p w14:paraId="671229DC" w14:textId="5650AC8E" w:rsidR="00DF4BB9" w:rsidRPr="00332AB5" w:rsidRDefault="00DF4BB9" w:rsidP="00234C90">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879" w:type="dxa"/>
            <w:vAlign w:val="center"/>
          </w:tcPr>
          <w:p w14:paraId="3EDCD076" w14:textId="33066A61" w:rsidR="00DF4BB9" w:rsidRPr="00332AB5" w:rsidRDefault="00DF4BB9" w:rsidP="00234C90">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vAlign w:val="center"/>
          </w:tcPr>
          <w:p w14:paraId="38361C27" w14:textId="64372202" w:rsidR="00DF4BB9" w:rsidRPr="00332AB5" w:rsidRDefault="00DF4BB9" w:rsidP="00234C90">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vAlign w:val="center"/>
          </w:tcPr>
          <w:p w14:paraId="0EE2E37B" w14:textId="278EA2B5" w:rsidR="00DF4BB9" w:rsidRPr="00332AB5" w:rsidRDefault="00DF4BB9" w:rsidP="00234C90">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vAlign w:val="center"/>
          </w:tcPr>
          <w:p w14:paraId="313D9AF5" w14:textId="1EC0E7BA" w:rsidR="00DF4BB9" w:rsidRPr="00332AB5" w:rsidRDefault="00DF4BB9" w:rsidP="00234C90">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vAlign w:val="center"/>
          </w:tcPr>
          <w:p w14:paraId="236E8877" w14:textId="77777777"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vAlign w:val="center"/>
          </w:tcPr>
          <w:p w14:paraId="62760070" w14:textId="77777777"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r>
      <w:tr w:rsidR="00DF4BB9" w:rsidRPr="00332AB5" w14:paraId="73CCC103" w14:textId="77777777" w:rsidTr="003D43BE">
        <w:trPr>
          <w:trHeight w:val="397"/>
        </w:trPr>
        <w:tc>
          <w:tcPr>
            <w:tcW w:w="1179" w:type="dxa"/>
            <w:vAlign w:val="center"/>
          </w:tcPr>
          <w:p w14:paraId="4CF20907" w14:textId="77777777" w:rsidR="00DF4BB9" w:rsidRPr="00332AB5" w:rsidRDefault="00DF4BB9" w:rsidP="00DF4BB9">
            <w:pPr>
              <w:rPr>
                <w:rFonts w:asciiTheme="minorHAnsi" w:hAnsiTheme="minorHAnsi" w:cstheme="minorHAnsi"/>
                <w:sz w:val="18"/>
                <w:szCs w:val="18"/>
              </w:rPr>
            </w:pPr>
            <w:r w:rsidRPr="00332AB5">
              <w:rPr>
                <w:rFonts w:asciiTheme="minorHAnsi" w:hAnsiTheme="minorHAnsi" w:cstheme="minorHAnsi"/>
                <w:sz w:val="18"/>
                <w:szCs w:val="18"/>
              </w:rPr>
              <w:t>M 2</w:t>
            </w:r>
          </w:p>
        </w:tc>
        <w:tc>
          <w:tcPr>
            <w:tcW w:w="998" w:type="dxa"/>
            <w:vAlign w:val="center"/>
          </w:tcPr>
          <w:p w14:paraId="7C5121B6" w14:textId="680B9F1D" w:rsidR="00DF4BB9" w:rsidRPr="00332AB5" w:rsidRDefault="00DF4BB9" w:rsidP="00234C90">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vAlign w:val="center"/>
          </w:tcPr>
          <w:p w14:paraId="4F8750F5" w14:textId="697EF98A" w:rsidR="00DF4BB9" w:rsidRPr="00332AB5" w:rsidRDefault="00DF4BB9" w:rsidP="00234C90">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845" w:type="dxa"/>
            <w:vAlign w:val="center"/>
          </w:tcPr>
          <w:p w14:paraId="15399B00" w14:textId="4AC5648F" w:rsidR="00DF4BB9" w:rsidRPr="00332AB5" w:rsidRDefault="00DF4BB9" w:rsidP="00234C90">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879" w:type="dxa"/>
            <w:vAlign w:val="center"/>
          </w:tcPr>
          <w:p w14:paraId="5DFC1A3A" w14:textId="1931E379" w:rsidR="00DF4BB9" w:rsidRPr="00332AB5" w:rsidRDefault="00DF4BB9" w:rsidP="00234C90">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vAlign w:val="center"/>
          </w:tcPr>
          <w:p w14:paraId="2B870AFF" w14:textId="01C55A9B" w:rsidR="00DF4BB9" w:rsidRPr="00332AB5" w:rsidRDefault="00DF4BB9" w:rsidP="00234C90">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vAlign w:val="center"/>
          </w:tcPr>
          <w:p w14:paraId="76BDB000" w14:textId="08A0C126" w:rsidR="00DF4BB9" w:rsidRPr="00332AB5" w:rsidRDefault="00DF4BB9" w:rsidP="00234C90">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vAlign w:val="center"/>
          </w:tcPr>
          <w:p w14:paraId="6615E842" w14:textId="1E16E9C1" w:rsidR="00DF4BB9" w:rsidRPr="00332AB5" w:rsidRDefault="00DF4BB9" w:rsidP="00234C90">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vAlign w:val="center"/>
          </w:tcPr>
          <w:p w14:paraId="717C1A58" w14:textId="77777777"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vAlign w:val="center"/>
          </w:tcPr>
          <w:p w14:paraId="410B912A" w14:textId="77777777"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r>
      <w:tr w:rsidR="00DF4BB9" w:rsidRPr="00332AB5" w14:paraId="5674C22A" w14:textId="77777777" w:rsidTr="003D43BE">
        <w:trPr>
          <w:trHeight w:val="397"/>
        </w:trPr>
        <w:tc>
          <w:tcPr>
            <w:tcW w:w="1179" w:type="dxa"/>
            <w:vAlign w:val="center"/>
          </w:tcPr>
          <w:p w14:paraId="1115783E" w14:textId="77777777" w:rsidR="00DF4BB9" w:rsidRPr="00332AB5" w:rsidRDefault="00DF4BB9" w:rsidP="00DF4BB9">
            <w:pPr>
              <w:rPr>
                <w:rFonts w:asciiTheme="minorHAnsi" w:hAnsiTheme="minorHAnsi" w:cstheme="minorHAnsi"/>
                <w:sz w:val="18"/>
                <w:szCs w:val="18"/>
              </w:rPr>
            </w:pPr>
            <w:bookmarkStart w:id="155" w:name="_Hlk130562949"/>
            <w:r w:rsidRPr="00332AB5">
              <w:rPr>
                <w:rFonts w:asciiTheme="minorHAnsi" w:hAnsiTheme="minorHAnsi" w:cstheme="minorHAnsi"/>
                <w:sz w:val="18"/>
                <w:szCs w:val="18"/>
              </w:rPr>
              <w:t>M 3</w:t>
            </w:r>
          </w:p>
        </w:tc>
        <w:tc>
          <w:tcPr>
            <w:tcW w:w="998" w:type="dxa"/>
            <w:vAlign w:val="center"/>
          </w:tcPr>
          <w:p w14:paraId="7FB2A894" w14:textId="09D25007" w:rsidR="00DF4BB9" w:rsidRPr="00332AB5" w:rsidRDefault="00DF4BB9" w:rsidP="00234C90">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vAlign w:val="center"/>
          </w:tcPr>
          <w:p w14:paraId="03FA2F9A" w14:textId="26720DD5" w:rsidR="00DF4BB9" w:rsidRPr="00332AB5" w:rsidRDefault="00DF4BB9" w:rsidP="00234C90">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845" w:type="dxa"/>
            <w:vAlign w:val="center"/>
          </w:tcPr>
          <w:p w14:paraId="3000E7E9" w14:textId="33C7D285" w:rsidR="00DF4BB9" w:rsidRPr="00332AB5" w:rsidRDefault="00DF4BB9" w:rsidP="00234C90">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879" w:type="dxa"/>
            <w:vAlign w:val="center"/>
          </w:tcPr>
          <w:p w14:paraId="2DCD9BA1" w14:textId="2DC1FAEA" w:rsidR="00DF4BB9" w:rsidRPr="00332AB5" w:rsidRDefault="00DF4BB9" w:rsidP="00234C90">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vAlign w:val="center"/>
          </w:tcPr>
          <w:p w14:paraId="43D83BFD" w14:textId="411DF358" w:rsidR="00DF4BB9" w:rsidRPr="00332AB5" w:rsidRDefault="00DF4BB9" w:rsidP="00234C90">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vAlign w:val="center"/>
          </w:tcPr>
          <w:p w14:paraId="59824435" w14:textId="5BF46A8E" w:rsidR="00DF4BB9" w:rsidRPr="00332AB5" w:rsidRDefault="00DF4BB9" w:rsidP="00234C90">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vAlign w:val="center"/>
          </w:tcPr>
          <w:p w14:paraId="757F8349" w14:textId="4749A7F4" w:rsidR="00DF4BB9" w:rsidRPr="00332AB5" w:rsidRDefault="00DF4BB9" w:rsidP="00234C90">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vAlign w:val="center"/>
          </w:tcPr>
          <w:p w14:paraId="37DC8626" w14:textId="77777777"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vAlign w:val="center"/>
          </w:tcPr>
          <w:p w14:paraId="221338BF" w14:textId="77777777" w:rsidR="00DF4BB9" w:rsidRPr="00332AB5" w:rsidRDefault="00DF4BB9" w:rsidP="00DF4BB9">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r>
      <w:bookmarkEnd w:id="155"/>
      <w:tr w:rsidR="00BE1786" w:rsidRPr="00332AB5" w14:paraId="65BA8821" w14:textId="77777777" w:rsidTr="003D43BE">
        <w:trPr>
          <w:trHeight w:val="397"/>
        </w:trPr>
        <w:tc>
          <w:tcPr>
            <w:tcW w:w="1179" w:type="dxa"/>
            <w:vAlign w:val="center"/>
          </w:tcPr>
          <w:p w14:paraId="5849A9BC" w14:textId="77777777" w:rsidR="00BE1786" w:rsidRPr="00332AB5" w:rsidRDefault="00BE1786" w:rsidP="00BE1786">
            <w:pPr>
              <w:rPr>
                <w:rFonts w:asciiTheme="minorHAnsi" w:hAnsiTheme="minorHAnsi" w:cstheme="minorHAnsi"/>
                <w:sz w:val="18"/>
                <w:szCs w:val="18"/>
              </w:rPr>
            </w:pPr>
            <w:r w:rsidRPr="00332AB5">
              <w:rPr>
                <w:rFonts w:asciiTheme="minorHAnsi" w:hAnsiTheme="minorHAnsi" w:cstheme="minorHAnsi"/>
                <w:sz w:val="18"/>
                <w:szCs w:val="18"/>
              </w:rPr>
              <w:t>M 4</w:t>
            </w:r>
          </w:p>
        </w:tc>
        <w:tc>
          <w:tcPr>
            <w:tcW w:w="998" w:type="dxa"/>
            <w:tcBorders>
              <w:top w:val="nil"/>
              <w:left w:val="nil"/>
              <w:bottom w:val="nil"/>
              <w:right w:val="nil"/>
            </w:tcBorders>
            <w:shd w:val="clear" w:color="auto" w:fill="auto"/>
            <w:vAlign w:val="center"/>
          </w:tcPr>
          <w:p w14:paraId="1D018164" w14:textId="3C8F0ADC" w:rsidR="00BE1786" w:rsidRPr="00332AB5" w:rsidRDefault="00BE1786" w:rsidP="003D43BE">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95,54</w:t>
            </w:r>
          </w:p>
        </w:tc>
        <w:tc>
          <w:tcPr>
            <w:tcW w:w="1089" w:type="dxa"/>
            <w:tcBorders>
              <w:top w:val="nil"/>
              <w:left w:val="nil"/>
              <w:bottom w:val="nil"/>
              <w:right w:val="nil"/>
            </w:tcBorders>
            <w:shd w:val="clear" w:color="auto" w:fill="auto"/>
            <w:vAlign w:val="center"/>
          </w:tcPr>
          <w:p w14:paraId="5DCDA8FA" w14:textId="56A07DBA" w:rsidR="00BE1786" w:rsidRPr="00332AB5" w:rsidRDefault="00BE1786" w:rsidP="003D43BE">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11,88</w:t>
            </w:r>
          </w:p>
        </w:tc>
        <w:tc>
          <w:tcPr>
            <w:tcW w:w="845" w:type="dxa"/>
            <w:tcBorders>
              <w:top w:val="nil"/>
              <w:left w:val="nil"/>
              <w:bottom w:val="nil"/>
              <w:right w:val="nil"/>
            </w:tcBorders>
            <w:shd w:val="clear" w:color="auto" w:fill="auto"/>
            <w:vAlign w:val="center"/>
          </w:tcPr>
          <w:p w14:paraId="35D85BE2" w14:textId="6604204F" w:rsidR="00BE1786" w:rsidRPr="00332AB5" w:rsidRDefault="00BE1786" w:rsidP="003D43BE">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12,44</w:t>
            </w:r>
          </w:p>
        </w:tc>
        <w:tc>
          <w:tcPr>
            <w:tcW w:w="879" w:type="dxa"/>
            <w:tcBorders>
              <w:top w:val="nil"/>
              <w:left w:val="nil"/>
              <w:bottom w:val="nil"/>
              <w:right w:val="nil"/>
            </w:tcBorders>
            <w:shd w:val="clear" w:color="auto" w:fill="auto"/>
            <w:vAlign w:val="center"/>
          </w:tcPr>
          <w:p w14:paraId="4849B781" w14:textId="47586B70" w:rsidR="00BE1786" w:rsidRPr="00332AB5" w:rsidRDefault="00BE1786" w:rsidP="003D43BE">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1,83</w:t>
            </w:r>
          </w:p>
        </w:tc>
        <w:tc>
          <w:tcPr>
            <w:tcW w:w="635" w:type="dxa"/>
            <w:tcBorders>
              <w:top w:val="nil"/>
              <w:left w:val="nil"/>
              <w:bottom w:val="nil"/>
              <w:right w:val="nil"/>
            </w:tcBorders>
            <w:shd w:val="clear" w:color="auto" w:fill="auto"/>
            <w:vAlign w:val="center"/>
          </w:tcPr>
          <w:p w14:paraId="4F11B7DD" w14:textId="261E8161" w:rsidR="00BE1786" w:rsidRPr="00332AB5" w:rsidRDefault="00BE1786" w:rsidP="003D43BE">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0,02</w:t>
            </w:r>
          </w:p>
        </w:tc>
        <w:tc>
          <w:tcPr>
            <w:tcW w:w="1089" w:type="dxa"/>
            <w:tcBorders>
              <w:top w:val="nil"/>
              <w:left w:val="nil"/>
              <w:bottom w:val="nil"/>
              <w:right w:val="nil"/>
            </w:tcBorders>
            <w:shd w:val="clear" w:color="auto" w:fill="auto"/>
            <w:vAlign w:val="center"/>
          </w:tcPr>
          <w:p w14:paraId="75C7779E" w14:textId="7B5629F8" w:rsidR="00BE1786" w:rsidRPr="00332AB5" w:rsidRDefault="00BE1786" w:rsidP="003D43BE">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0,10</w:t>
            </w:r>
          </w:p>
        </w:tc>
        <w:tc>
          <w:tcPr>
            <w:tcW w:w="635" w:type="dxa"/>
            <w:tcBorders>
              <w:top w:val="nil"/>
              <w:left w:val="nil"/>
              <w:bottom w:val="nil"/>
              <w:right w:val="nil"/>
            </w:tcBorders>
            <w:shd w:val="clear" w:color="auto" w:fill="auto"/>
            <w:vAlign w:val="center"/>
          </w:tcPr>
          <w:p w14:paraId="0044DC8B" w14:textId="33951717" w:rsidR="00BE1786" w:rsidRPr="00332AB5" w:rsidRDefault="00BE1786" w:rsidP="003D43BE">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0,00</w:t>
            </w:r>
          </w:p>
        </w:tc>
        <w:tc>
          <w:tcPr>
            <w:tcW w:w="1089" w:type="dxa"/>
            <w:vAlign w:val="center"/>
          </w:tcPr>
          <w:p w14:paraId="6CCD6296" w14:textId="77777777"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vAlign w:val="center"/>
          </w:tcPr>
          <w:p w14:paraId="1E4C0723" w14:textId="77777777"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r>
      <w:tr w:rsidR="00BE1786" w:rsidRPr="00332AB5" w14:paraId="599BC8A5" w14:textId="77777777" w:rsidTr="003D43BE">
        <w:trPr>
          <w:trHeight w:val="397"/>
        </w:trPr>
        <w:tc>
          <w:tcPr>
            <w:tcW w:w="1179" w:type="dxa"/>
            <w:vAlign w:val="center"/>
          </w:tcPr>
          <w:p w14:paraId="40053F97" w14:textId="77777777" w:rsidR="00BE1786" w:rsidRPr="00332AB5" w:rsidRDefault="00BE1786" w:rsidP="00BE1786">
            <w:pPr>
              <w:rPr>
                <w:rFonts w:asciiTheme="minorHAnsi" w:hAnsiTheme="minorHAnsi" w:cstheme="minorHAnsi"/>
                <w:sz w:val="18"/>
                <w:szCs w:val="18"/>
              </w:rPr>
            </w:pPr>
            <w:r w:rsidRPr="00332AB5">
              <w:rPr>
                <w:rFonts w:asciiTheme="minorHAnsi" w:hAnsiTheme="minorHAnsi" w:cstheme="minorHAnsi"/>
                <w:sz w:val="18"/>
                <w:szCs w:val="18"/>
              </w:rPr>
              <w:t>M 5</w:t>
            </w:r>
          </w:p>
        </w:tc>
        <w:tc>
          <w:tcPr>
            <w:tcW w:w="998" w:type="dxa"/>
            <w:tcBorders>
              <w:top w:val="nil"/>
              <w:left w:val="nil"/>
              <w:bottom w:val="nil"/>
              <w:right w:val="nil"/>
            </w:tcBorders>
            <w:shd w:val="clear" w:color="auto" w:fill="auto"/>
            <w:vAlign w:val="center"/>
          </w:tcPr>
          <w:p w14:paraId="24656963" w14:textId="79A39AE7" w:rsidR="00BE1786" w:rsidRPr="00332AB5" w:rsidRDefault="00BE1786" w:rsidP="003D43BE">
            <w:pPr>
              <w:jc w:val="right"/>
              <w:rPr>
                <w:rFonts w:asciiTheme="minorHAnsi" w:hAnsiTheme="minorHAnsi" w:cstheme="minorHAnsi"/>
                <w:color w:val="000000"/>
                <w:sz w:val="18"/>
                <w:szCs w:val="18"/>
              </w:rPr>
            </w:pPr>
          </w:p>
        </w:tc>
        <w:tc>
          <w:tcPr>
            <w:tcW w:w="1089" w:type="dxa"/>
            <w:tcBorders>
              <w:top w:val="nil"/>
              <w:left w:val="nil"/>
              <w:bottom w:val="nil"/>
              <w:right w:val="nil"/>
            </w:tcBorders>
            <w:shd w:val="clear" w:color="auto" w:fill="auto"/>
            <w:vAlign w:val="center"/>
          </w:tcPr>
          <w:p w14:paraId="6188B329" w14:textId="147A900C" w:rsidR="00BE1786" w:rsidRPr="00332AB5" w:rsidRDefault="00BE1786" w:rsidP="003D43BE">
            <w:pPr>
              <w:jc w:val="right"/>
              <w:rPr>
                <w:rFonts w:asciiTheme="minorHAnsi" w:hAnsiTheme="minorHAnsi" w:cstheme="minorHAnsi"/>
                <w:color w:val="000000"/>
                <w:sz w:val="18"/>
                <w:szCs w:val="18"/>
              </w:rPr>
            </w:pPr>
          </w:p>
        </w:tc>
        <w:tc>
          <w:tcPr>
            <w:tcW w:w="845" w:type="dxa"/>
            <w:tcBorders>
              <w:top w:val="nil"/>
              <w:left w:val="nil"/>
              <w:bottom w:val="nil"/>
              <w:right w:val="nil"/>
            </w:tcBorders>
            <w:shd w:val="clear" w:color="auto" w:fill="auto"/>
            <w:vAlign w:val="center"/>
          </w:tcPr>
          <w:p w14:paraId="544E0E93" w14:textId="3CF4E737" w:rsidR="00BE1786" w:rsidRPr="00332AB5" w:rsidRDefault="00BE1786" w:rsidP="003D43BE">
            <w:pPr>
              <w:jc w:val="right"/>
              <w:rPr>
                <w:rFonts w:asciiTheme="minorHAnsi" w:hAnsiTheme="minorHAnsi" w:cstheme="minorHAnsi"/>
                <w:color w:val="000000"/>
                <w:sz w:val="18"/>
                <w:szCs w:val="18"/>
              </w:rPr>
            </w:pPr>
          </w:p>
        </w:tc>
        <w:tc>
          <w:tcPr>
            <w:tcW w:w="879" w:type="dxa"/>
            <w:tcBorders>
              <w:top w:val="nil"/>
              <w:left w:val="nil"/>
              <w:bottom w:val="nil"/>
              <w:right w:val="nil"/>
            </w:tcBorders>
            <w:shd w:val="clear" w:color="auto" w:fill="auto"/>
            <w:vAlign w:val="center"/>
          </w:tcPr>
          <w:p w14:paraId="5191FFB5" w14:textId="1A56EE11" w:rsidR="00BE1786" w:rsidRPr="00332AB5" w:rsidRDefault="00BE1786" w:rsidP="003D43BE">
            <w:pPr>
              <w:jc w:val="right"/>
              <w:rPr>
                <w:rFonts w:asciiTheme="minorHAnsi" w:hAnsiTheme="minorHAnsi" w:cstheme="minorHAnsi"/>
                <w:color w:val="000000"/>
                <w:sz w:val="18"/>
                <w:szCs w:val="18"/>
              </w:rPr>
            </w:pPr>
          </w:p>
        </w:tc>
        <w:tc>
          <w:tcPr>
            <w:tcW w:w="635" w:type="dxa"/>
            <w:tcBorders>
              <w:top w:val="nil"/>
              <w:left w:val="nil"/>
              <w:bottom w:val="nil"/>
              <w:right w:val="nil"/>
            </w:tcBorders>
            <w:shd w:val="clear" w:color="auto" w:fill="auto"/>
            <w:vAlign w:val="center"/>
          </w:tcPr>
          <w:p w14:paraId="690BA894" w14:textId="13F7C7CA" w:rsidR="00BE1786" w:rsidRPr="00332AB5" w:rsidRDefault="00BE1786" w:rsidP="003D43BE">
            <w:pPr>
              <w:jc w:val="right"/>
              <w:rPr>
                <w:rFonts w:asciiTheme="minorHAnsi" w:hAnsiTheme="minorHAnsi" w:cstheme="minorHAnsi"/>
                <w:color w:val="000000"/>
                <w:sz w:val="18"/>
                <w:szCs w:val="18"/>
              </w:rPr>
            </w:pPr>
          </w:p>
        </w:tc>
        <w:tc>
          <w:tcPr>
            <w:tcW w:w="1089" w:type="dxa"/>
            <w:tcBorders>
              <w:top w:val="nil"/>
              <w:left w:val="nil"/>
              <w:bottom w:val="nil"/>
              <w:right w:val="nil"/>
            </w:tcBorders>
            <w:shd w:val="clear" w:color="auto" w:fill="auto"/>
            <w:vAlign w:val="center"/>
          </w:tcPr>
          <w:p w14:paraId="7F4F3032" w14:textId="23B83A0C" w:rsidR="00BE1786" w:rsidRPr="00332AB5" w:rsidRDefault="00BE1786" w:rsidP="003D43BE">
            <w:pPr>
              <w:jc w:val="right"/>
              <w:rPr>
                <w:rFonts w:asciiTheme="minorHAnsi" w:hAnsiTheme="minorHAnsi" w:cstheme="minorHAnsi"/>
                <w:color w:val="000000"/>
                <w:sz w:val="18"/>
                <w:szCs w:val="18"/>
              </w:rPr>
            </w:pPr>
          </w:p>
        </w:tc>
        <w:tc>
          <w:tcPr>
            <w:tcW w:w="635" w:type="dxa"/>
            <w:tcBorders>
              <w:top w:val="nil"/>
              <w:left w:val="nil"/>
              <w:bottom w:val="nil"/>
              <w:right w:val="nil"/>
            </w:tcBorders>
            <w:shd w:val="clear" w:color="auto" w:fill="auto"/>
            <w:vAlign w:val="center"/>
          </w:tcPr>
          <w:p w14:paraId="1BF8E6BA" w14:textId="6D979188" w:rsidR="00BE1786" w:rsidRPr="00332AB5" w:rsidRDefault="00BE1786" w:rsidP="003D43BE">
            <w:pPr>
              <w:jc w:val="right"/>
              <w:rPr>
                <w:rFonts w:asciiTheme="minorHAnsi" w:hAnsiTheme="minorHAnsi" w:cstheme="minorHAnsi"/>
                <w:color w:val="000000"/>
                <w:sz w:val="18"/>
                <w:szCs w:val="18"/>
              </w:rPr>
            </w:pPr>
          </w:p>
        </w:tc>
        <w:tc>
          <w:tcPr>
            <w:tcW w:w="1089" w:type="dxa"/>
            <w:vAlign w:val="center"/>
          </w:tcPr>
          <w:p w14:paraId="36B82B16" w14:textId="77777777"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vAlign w:val="center"/>
          </w:tcPr>
          <w:p w14:paraId="5259C9B3" w14:textId="77777777"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r>
      <w:tr w:rsidR="00BE1786" w:rsidRPr="00332AB5" w14:paraId="2D89B2F6" w14:textId="77777777" w:rsidTr="003D43BE">
        <w:trPr>
          <w:trHeight w:val="397"/>
        </w:trPr>
        <w:tc>
          <w:tcPr>
            <w:tcW w:w="1179" w:type="dxa"/>
            <w:vAlign w:val="center"/>
          </w:tcPr>
          <w:p w14:paraId="486D3C01" w14:textId="77777777" w:rsidR="00BE1786" w:rsidRPr="00332AB5" w:rsidRDefault="00BE1786" w:rsidP="00BE1786">
            <w:pPr>
              <w:rPr>
                <w:rFonts w:asciiTheme="minorHAnsi" w:hAnsiTheme="minorHAnsi" w:cstheme="minorHAnsi"/>
                <w:sz w:val="18"/>
                <w:szCs w:val="18"/>
              </w:rPr>
            </w:pPr>
            <w:r w:rsidRPr="00332AB5">
              <w:rPr>
                <w:rFonts w:asciiTheme="minorHAnsi" w:hAnsiTheme="minorHAnsi" w:cstheme="minorHAnsi"/>
                <w:sz w:val="18"/>
                <w:szCs w:val="18"/>
              </w:rPr>
              <w:t>M 6</w:t>
            </w:r>
          </w:p>
        </w:tc>
        <w:tc>
          <w:tcPr>
            <w:tcW w:w="998" w:type="dxa"/>
            <w:tcBorders>
              <w:top w:val="nil"/>
              <w:left w:val="nil"/>
              <w:bottom w:val="nil"/>
              <w:right w:val="nil"/>
            </w:tcBorders>
            <w:shd w:val="clear" w:color="auto" w:fill="auto"/>
            <w:vAlign w:val="center"/>
          </w:tcPr>
          <w:p w14:paraId="21A3D8F1" w14:textId="6AB710EE" w:rsidR="00BE1786" w:rsidRPr="00332AB5" w:rsidRDefault="00BE1786" w:rsidP="003D43BE">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35,34</w:t>
            </w:r>
          </w:p>
        </w:tc>
        <w:tc>
          <w:tcPr>
            <w:tcW w:w="1089" w:type="dxa"/>
            <w:tcBorders>
              <w:top w:val="nil"/>
              <w:left w:val="nil"/>
              <w:bottom w:val="nil"/>
              <w:right w:val="nil"/>
            </w:tcBorders>
            <w:shd w:val="clear" w:color="auto" w:fill="auto"/>
            <w:vAlign w:val="center"/>
          </w:tcPr>
          <w:p w14:paraId="25C66294" w14:textId="0C11647D" w:rsidR="00BE1786" w:rsidRPr="00332AB5" w:rsidRDefault="00BE1786" w:rsidP="003D43BE">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33,10</w:t>
            </w:r>
          </w:p>
        </w:tc>
        <w:tc>
          <w:tcPr>
            <w:tcW w:w="845" w:type="dxa"/>
            <w:tcBorders>
              <w:top w:val="nil"/>
              <w:left w:val="nil"/>
              <w:bottom w:val="nil"/>
              <w:right w:val="nil"/>
            </w:tcBorders>
            <w:shd w:val="clear" w:color="auto" w:fill="auto"/>
            <w:vAlign w:val="center"/>
          </w:tcPr>
          <w:p w14:paraId="46C0971D" w14:textId="1248C3B7" w:rsidR="00BE1786" w:rsidRPr="00332AB5" w:rsidRDefault="00BE1786" w:rsidP="003D43BE">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93,66</w:t>
            </w:r>
          </w:p>
        </w:tc>
        <w:tc>
          <w:tcPr>
            <w:tcW w:w="879" w:type="dxa"/>
            <w:tcBorders>
              <w:top w:val="nil"/>
              <w:left w:val="nil"/>
              <w:bottom w:val="nil"/>
              <w:right w:val="nil"/>
            </w:tcBorders>
            <w:shd w:val="clear" w:color="auto" w:fill="auto"/>
            <w:vAlign w:val="center"/>
          </w:tcPr>
          <w:p w14:paraId="65721B16" w14:textId="0C88EEB8" w:rsidR="00BE1786" w:rsidRPr="00332AB5" w:rsidRDefault="00BE1786" w:rsidP="003D43BE">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19,65</w:t>
            </w:r>
          </w:p>
        </w:tc>
        <w:tc>
          <w:tcPr>
            <w:tcW w:w="635" w:type="dxa"/>
            <w:tcBorders>
              <w:top w:val="nil"/>
              <w:left w:val="nil"/>
              <w:bottom w:val="nil"/>
              <w:right w:val="nil"/>
            </w:tcBorders>
            <w:shd w:val="clear" w:color="auto" w:fill="auto"/>
            <w:vAlign w:val="center"/>
          </w:tcPr>
          <w:p w14:paraId="6585F5E1" w14:textId="7C3AB4E6" w:rsidR="00BE1786" w:rsidRPr="00332AB5" w:rsidRDefault="00BE1786" w:rsidP="003D43BE">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0,56</w:t>
            </w:r>
          </w:p>
        </w:tc>
        <w:tc>
          <w:tcPr>
            <w:tcW w:w="1089" w:type="dxa"/>
            <w:tcBorders>
              <w:top w:val="nil"/>
              <w:left w:val="nil"/>
              <w:bottom w:val="nil"/>
              <w:right w:val="nil"/>
            </w:tcBorders>
            <w:shd w:val="clear" w:color="auto" w:fill="auto"/>
            <w:vAlign w:val="center"/>
          </w:tcPr>
          <w:p w14:paraId="5F369F3D" w14:textId="733AD443" w:rsidR="00BE1786" w:rsidRPr="00332AB5" w:rsidRDefault="00BE1786" w:rsidP="003D43BE">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16,98</w:t>
            </w:r>
          </w:p>
        </w:tc>
        <w:tc>
          <w:tcPr>
            <w:tcW w:w="635" w:type="dxa"/>
            <w:tcBorders>
              <w:top w:val="nil"/>
              <w:left w:val="nil"/>
              <w:bottom w:val="nil"/>
              <w:right w:val="nil"/>
            </w:tcBorders>
            <w:shd w:val="clear" w:color="auto" w:fill="auto"/>
            <w:vAlign w:val="center"/>
          </w:tcPr>
          <w:p w14:paraId="4D87D395" w14:textId="32EE0028" w:rsidR="00BE1786" w:rsidRPr="00332AB5" w:rsidRDefault="00BE1786" w:rsidP="003D43BE">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0,48</w:t>
            </w:r>
          </w:p>
        </w:tc>
        <w:tc>
          <w:tcPr>
            <w:tcW w:w="1089" w:type="dxa"/>
            <w:vAlign w:val="center"/>
          </w:tcPr>
          <w:p w14:paraId="6ECCCE99" w14:textId="77777777"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vAlign w:val="center"/>
          </w:tcPr>
          <w:p w14:paraId="421EAAC2" w14:textId="77777777"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r>
      <w:tr w:rsidR="00BE1786" w:rsidRPr="00332AB5" w14:paraId="296729BB" w14:textId="77777777" w:rsidTr="003D43BE">
        <w:trPr>
          <w:trHeight w:val="397"/>
        </w:trPr>
        <w:tc>
          <w:tcPr>
            <w:tcW w:w="1179" w:type="dxa"/>
            <w:vAlign w:val="center"/>
          </w:tcPr>
          <w:p w14:paraId="16A36315" w14:textId="77777777" w:rsidR="00BE1786" w:rsidRPr="00332AB5" w:rsidRDefault="00BE1786" w:rsidP="00BE1786">
            <w:pPr>
              <w:rPr>
                <w:rFonts w:asciiTheme="minorHAnsi" w:hAnsiTheme="minorHAnsi" w:cstheme="minorHAnsi"/>
                <w:sz w:val="18"/>
                <w:szCs w:val="18"/>
              </w:rPr>
            </w:pPr>
            <w:r w:rsidRPr="00332AB5">
              <w:rPr>
                <w:rFonts w:asciiTheme="minorHAnsi" w:hAnsiTheme="minorHAnsi" w:cstheme="minorHAnsi"/>
                <w:sz w:val="18"/>
                <w:szCs w:val="18"/>
              </w:rPr>
              <w:t>M 7</w:t>
            </w:r>
          </w:p>
        </w:tc>
        <w:tc>
          <w:tcPr>
            <w:tcW w:w="998" w:type="dxa"/>
            <w:tcBorders>
              <w:top w:val="nil"/>
              <w:left w:val="nil"/>
              <w:bottom w:val="nil"/>
              <w:right w:val="nil"/>
            </w:tcBorders>
            <w:shd w:val="clear" w:color="auto" w:fill="auto"/>
            <w:vAlign w:val="center"/>
          </w:tcPr>
          <w:p w14:paraId="151CDCB2" w14:textId="6F88D512" w:rsidR="00BE1786" w:rsidRPr="00332AB5" w:rsidRDefault="00BE1786" w:rsidP="003D43BE">
            <w:pPr>
              <w:jc w:val="right"/>
              <w:rPr>
                <w:rFonts w:asciiTheme="minorHAnsi" w:hAnsiTheme="minorHAnsi" w:cstheme="minorHAnsi"/>
                <w:color w:val="000000"/>
                <w:sz w:val="18"/>
                <w:szCs w:val="18"/>
              </w:rPr>
            </w:pPr>
          </w:p>
        </w:tc>
        <w:tc>
          <w:tcPr>
            <w:tcW w:w="1089" w:type="dxa"/>
            <w:tcBorders>
              <w:top w:val="nil"/>
              <w:left w:val="nil"/>
              <w:bottom w:val="nil"/>
              <w:right w:val="nil"/>
            </w:tcBorders>
            <w:shd w:val="clear" w:color="auto" w:fill="auto"/>
            <w:vAlign w:val="center"/>
          </w:tcPr>
          <w:p w14:paraId="0F4B57C2" w14:textId="6F630BDF" w:rsidR="00BE1786" w:rsidRPr="00332AB5" w:rsidRDefault="00BE1786" w:rsidP="003D43BE">
            <w:pPr>
              <w:jc w:val="right"/>
              <w:rPr>
                <w:rFonts w:asciiTheme="minorHAnsi" w:hAnsiTheme="minorHAnsi" w:cstheme="minorHAnsi"/>
                <w:color w:val="000000"/>
                <w:sz w:val="18"/>
                <w:szCs w:val="18"/>
              </w:rPr>
            </w:pPr>
          </w:p>
        </w:tc>
        <w:tc>
          <w:tcPr>
            <w:tcW w:w="845" w:type="dxa"/>
            <w:tcBorders>
              <w:top w:val="nil"/>
              <w:left w:val="nil"/>
              <w:bottom w:val="nil"/>
              <w:right w:val="nil"/>
            </w:tcBorders>
            <w:shd w:val="clear" w:color="auto" w:fill="auto"/>
            <w:vAlign w:val="center"/>
          </w:tcPr>
          <w:p w14:paraId="58725EB4" w14:textId="45CB5F6D" w:rsidR="00BE1786" w:rsidRPr="00332AB5" w:rsidRDefault="00BE1786" w:rsidP="003D43BE">
            <w:pPr>
              <w:jc w:val="right"/>
              <w:rPr>
                <w:rFonts w:asciiTheme="minorHAnsi" w:hAnsiTheme="minorHAnsi" w:cstheme="minorHAnsi"/>
                <w:color w:val="000000"/>
                <w:sz w:val="18"/>
                <w:szCs w:val="18"/>
              </w:rPr>
            </w:pPr>
          </w:p>
        </w:tc>
        <w:tc>
          <w:tcPr>
            <w:tcW w:w="879" w:type="dxa"/>
            <w:tcBorders>
              <w:top w:val="nil"/>
              <w:left w:val="nil"/>
              <w:bottom w:val="nil"/>
              <w:right w:val="nil"/>
            </w:tcBorders>
            <w:shd w:val="clear" w:color="auto" w:fill="auto"/>
            <w:vAlign w:val="center"/>
          </w:tcPr>
          <w:p w14:paraId="36A80631" w14:textId="2618A45A" w:rsidR="00BE1786" w:rsidRPr="00332AB5" w:rsidRDefault="00BE1786" w:rsidP="003D43BE">
            <w:pPr>
              <w:jc w:val="right"/>
              <w:rPr>
                <w:rFonts w:asciiTheme="minorHAnsi" w:hAnsiTheme="minorHAnsi" w:cstheme="minorHAnsi"/>
                <w:color w:val="000000"/>
                <w:sz w:val="18"/>
                <w:szCs w:val="18"/>
              </w:rPr>
            </w:pPr>
          </w:p>
        </w:tc>
        <w:tc>
          <w:tcPr>
            <w:tcW w:w="635" w:type="dxa"/>
            <w:tcBorders>
              <w:top w:val="nil"/>
              <w:left w:val="nil"/>
              <w:bottom w:val="nil"/>
              <w:right w:val="nil"/>
            </w:tcBorders>
            <w:shd w:val="clear" w:color="auto" w:fill="auto"/>
            <w:vAlign w:val="center"/>
          </w:tcPr>
          <w:p w14:paraId="670267BB" w14:textId="1A65DCAD" w:rsidR="00BE1786" w:rsidRPr="00332AB5" w:rsidRDefault="00BE1786" w:rsidP="003D43BE">
            <w:pPr>
              <w:jc w:val="right"/>
              <w:rPr>
                <w:rFonts w:asciiTheme="minorHAnsi" w:hAnsiTheme="minorHAnsi" w:cstheme="minorHAnsi"/>
                <w:color w:val="000000"/>
                <w:sz w:val="18"/>
                <w:szCs w:val="18"/>
              </w:rPr>
            </w:pPr>
          </w:p>
        </w:tc>
        <w:tc>
          <w:tcPr>
            <w:tcW w:w="1089" w:type="dxa"/>
            <w:tcBorders>
              <w:top w:val="nil"/>
              <w:left w:val="nil"/>
              <w:bottom w:val="nil"/>
              <w:right w:val="nil"/>
            </w:tcBorders>
            <w:shd w:val="clear" w:color="auto" w:fill="auto"/>
            <w:vAlign w:val="center"/>
          </w:tcPr>
          <w:p w14:paraId="62525A48" w14:textId="50CF935E" w:rsidR="00BE1786" w:rsidRPr="00332AB5" w:rsidRDefault="00BE1786" w:rsidP="003D43BE">
            <w:pPr>
              <w:jc w:val="right"/>
              <w:rPr>
                <w:rFonts w:asciiTheme="minorHAnsi" w:hAnsiTheme="minorHAnsi" w:cstheme="minorHAnsi"/>
                <w:color w:val="000000"/>
                <w:sz w:val="18"/>
                <w:szCs w:val="18"/>
              </w:rPr>
            </w:pPr>
          </w:p>
        </w:tc>
        <w:tc>
          <w:tcPr>
            <w:tcW w:w="635" w:type="dxa"/>
            <w:tcBorders>
              <w:top w:val="nil"/>
              <w:left w:val="nil"/>
              <w:bottom w:val="nil"/>
              <w:right w:val="nil"/>
            </w:tcBorders>
            <w:shd w:val="clear" w:color="auto" w:fill="auto"/>
            <w:vAlign w:val="center"/>
          </w:tcPr>
          <w:p w14:paraId="0C5E64D6" w14:textId="465551AB" w:rsidR="00BE1786" w:rsidRPr="00332AB5" w:rsidRDefault="00BE1786" w:rsidP="003D43BE">
            <w:pPr>
              <w:jc w:val="right"/>
              <w:rPr>
                <w:rFonts w:asciiTheme="minorHAnsi" w:hAnsiTheme="minorHAnsi" w:cstheme="minorHAnsi"/>
                <w:color w:val="000000"/>
                <w:sz w:val="18"/>
                <w:szCs w:val="18"/>
              </w:rPr>
            </w:pPr>
          </w:p>
        </w:tc>
        <w:tc>
          <w:tcPr>
            <w:tcW w:w="1089" w:type="dxa"/>
            <w:vAlign w:val="center"/>
          </w:tcPr>
          <w:p w14:paraId="1C4F0FB4" w14:textId="77777777"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vAlign w:val="center"/>
          </w:tcPr>
          <w:p w14:paraId="201A3B71" w14:textId="77777777"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r>
      <w:tr w:rsidR="00BE1786" w:rsidRPr="00332AB5" w14:paraId="594D9A8B" w14:textId="77777777" w:rsidTr="003D43BE">
        <w:trPr>
          <w:trHeight w:val="397"/>
        </w:trPr>
        <w:tc>
          <w:tcPr>
            <w:tcW w:w="1179" w:type="dxa"/>
            <w:vAlign w:val="center"/>
          </w:tcPr>
          <w:p w14:paraId="75B8AFF1" w14:textId="77777777" w:rsidR="00BE1786" w:rsidRPr="00332AB5" w:rsidRDefault="00BE1786" w:rsidP="00BE1786">
            <w:pPr>
              <w:rPr>
                <w:rFonts w:asciiTheme="minorHAnsi" w:hAnsiTheme="minorHAnsi" w:cstheme="minorHAnsi"/>
                <w:sz w:val="18"/>
                <w:szCs w:val="18"/>
              </w:rPr>
            </w:pPr>
            <w:r w:rsidRPr="00332AB5">
              <w:rPr>
                <w:rFonts w:asciiTheme="minorHAnsi" w:hAnsiTheme="minorHAnsi" w:cstheme="minorHAnsi"/>
                <w:sz w:val="18"/>
                <w:szCs w:val="18"/>
              </w:rPr>
              <w:t>M 8</w:t>
            </w:r>
          </w:p>
        </w:tc>
        <w:tc>
          <w:tcPr>
            <w:tcW w:w="998" w:type="dxa"/>
            <w:tcBorders>
              <w:top w:val="nil"/>
              <w:left w:val="nil"/>
              <w:bottom w:val="nil"/>
              <w:right w:val="nil"/>
            </w:tcBorders>
            <w:shd w:val="clear" w:color="auto" w:fill="auto"/>
            <w:vAlign w:val="center"/>
          </w:tcPr>
          <w:p w14:paraId="4942958E" w14:textId="522AE2C3" w:rsidR="00BE1786" w:rsidRPr="00332AB5" w:rsidRDefault="00BE1786" w:rsidP="003D43BE">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4,00</w:t>
            </w:r>
          </w:p>
        </w:tc>
        <w:tc>
          <w:tcPr>
            <w:tcW w:w="1089" w:type="dxa"/>
            <w:tcBorders>
              <w:top w:val="nil"/>
              <w:left w:val="nil"/>
              <w:bottom w:val="nil"/>
              <w:right w:val="nil"/>
            </w:tcBorders>
            <w:shd w:val="clear" w:color="auto" w:fill="auto"/>
            <w:vAlign w:val="center"/>
          </w:tcPr>
          <w:p w14:paraId="1A703CBC" w14:textId="524A4448" w:rsidR="00BE1786" w:rsidRPr="00332AB5" w:rsidRDefault="00BE1786" w:rsidP="003D43BE">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1,86</w:t>
            </w:r>
          </w:p>
        </w:tc>
        <w:tc>
          <w:tcPr>
            <w:tcW w:w="845" w:type="dxa"/>
            <w:tcBorders>
              <w:top w:val="nil"/>
              <w:left w:val="nil"/>
              <w:bottom w:val="nil"/>
              <w:right w:val="nil"/>
            </w:tcBorders>
            <w:shd w:val="clear" w:color="auto" w:fill="auto"/>
            <w:vAlign w:val="center"/>
          </w:tcPr>
          <w:p w14:paraId="5ED6AB19" w14:textId="062A5826" w:rsidR="00BE1786" w:rsidRPr="00332AB5" w:rsidRDefault="00BE1786" w:rsidP="003D43BE">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46,44</w:t>
            </w:r>
          </w:p>
        </w:tc>
        <w:tc>
          <w:tcPr>
            <w:tcW w:w="879" w:type="dxa"/>
            <w:tcBorders>
              <w:top w:val="nil"/>
              <w:left w:val="nil"/>
              <w:bottom w:val="nil"/>
              <w:right w:val="nil"/>
            </w:tcBorders>
            <w:shd w:val="clear" w:color="auto" w:fill="auto"/>
            <w:vAlign w:val="center"/>
          </w:tcPr>
          <w:p w14:paraId="6C6EBDC3" w14:textId="2184630D" w:rsidR="00BE1786" w:rsidRPr="00332AB5" w:rsidRDefault="00BE1786" w:rsidP="003D43BE">
            <w:pPr>
              <w:jc w:val="right"/>
              <w:rPr>
                <w:rFonts w:asciiTheme="minorHAnsi" w:hAnsiTheme="minorHAnsi" w:cstheme="minorHAnsi"/>
                <w:color w:val="000000"/>
                <w:sz w:val="18"/>
                <w:szCs w:val="18"/>
              </w:rPr>
            </w:pPr>
          </w:p>
        </w:tc>
        <w:tc>
          <w:tcPr>
            <w:tcW w:w="635" w:type="dxa"/>
            <w:tcBorders>
              <w:top w:val="nil"/>
              <w:left w:val="nil"/>
              <w:bottom w:val="nil"/>
              <w:right w:val="nil"/>
            </w:tcBorders>
            <w:shd w:val="clear" w:color="auto" w:fill="auto"/>
            <w:vAlign w:val="center"/>
          </w:tcPr>
          <w:p w14:paraId="6F72E051" w14:textId="6ED8BADE" w:rsidR="00BE1786" w:rsidRPr="00332AB5" w:rsidRDefault="00BE1786" w:rsidP="003D43BE">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0,00</w:t>
            </w:r>
          </w:p>
        </w:tc>
        <w:tc>
          <w:tcPr>
            <w:tcW w:w="1089" w:type="dxa"/>
            <w:tcBorders>
              <w:top w:val="nil"/>
              <w:left w:val="nil"/>
              <w:bottom w:val="nil"/>
              <w:right w:val="nil"/>
            </w:tcBorders>
            <w:shd w:val="clear" w:color="auto" w:fill="auto"/>
            <w:vAlign w:val="center"/>
          </w:tcPr>
          <w:p w14:paraId="251474A5" w14:textId="0B85CBFD" w:rsidR="00BE1786" w:rsidRPr="00332AB5" w:rsidRDefault="00BE1786" w:rsidP="003D43BE">
            <w:pPr>
              <w:jc w:val="right"/>
              <w:rPr>
                <w:rFonts w:asciiTheme="minorHAnsi" w:hAnsiTheme="minorHAnsi" w:cstheme="minorHAnsi"/>
                <w:color w:val="000000"/>
                <w:sz w:val="18"/>
                <w:szCs w:val="18"/>
              </w:rPr>
            </w:pPr>
          </w:p>
        </w:tc>
        <w:tc>
          <w:tcPr>
            <w:tcW w:w="635" w:type="dxa"/>
            <w:tcBorders>
              <w:top w:val="nil"/>
              <w:left w:val="nil"/>
              <w:bottom w:val="nil"/>
              <w:right w:val="nil"/>
            </w:tcBorders>
            <w:shd w:val="clear" w:color="auto" w:fill="auto"/>
            <w:vAlign w:val="center"/>
          </w:tcPr>
          <w:p w14:paraId="1CCBA31A" w14:textId="26EF6DC5" w:rsidR="00BE1786" w:rsidRPr="00332AB5" w:rsidRDefault="00BE1786" w:rsidP="003D43BE">
            <w:pPr>
              <w:jc w:val="right"/>
              <w:rPr>
                <w:rFonts w:asciiTheme="minorHAnsi" w:hAnsiTheme="minorHAnsi" w:cstheme="minorHAnsi"/>
                <w:color w:val="000000"/>
                <w:sz w:val="18"/>
                <w:szCs w:val="18"/>
              </w:rPr>
            </w:pPr>
          </w:p>
        </w:tc>
        <w:tc>
          <w:tcPr>
            <w:tcW w:w="1089" w:type="dxa"/>
            <w:vAlign w:val="center"/>
          </w:tcPr>
          <w:p w14:paraId="4B3CE906" w14:textId="77777777"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vAlign w:val="center"/>
          </w:tcPr>
          <w:p w14:paraId="7AC45714" w14:textId="77777777"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r>
      <w:tr w:rsidR="00BE1786" w:rsidRPr="00332AB5" w14:paraId="64CF2003" w14:textId="77777777" w:rsidTr="003D43BE">
        <w:trPr>
          <w:trHeight w:val="397"/>
        </w:trPr>
        <w:tc>
          <w:tcPr>
            <w:tcW w:w="1179" w:type="dxa"/>
            <w:vAlign w:val="center"/>
          </w:tcPr>
          <w:p w14:paraId="112E9F24" w14:textId="77777777" w:rsidR="00BE1786" w:rsidRPr="00332AB5" w:rsidRDefault="00BE1786" w:rsidP="00BE1786">
            <w:pPr>
              <w:rPr>
                <w:rFonts w:asciiTheme="minorHAnsi" w:hAnsiTheme="minorHAnsi" w:cstheme="minorHAnsi"/>
                <w:sz w:val="18"/>
                <w:szCs w:val="18"/>
              </w:rPr>
            </w:pPr>
            <w:r w:rsidRPr="00332AB5">
              <w:rPr>
                <w:rFonts w:asciiTheme="minorHAnsi" w:hAnsiTheme="minorHAnsi" w:cstheme="minorHAnsi"/>
                <w:sz w:val="18"/>
                <w:szCs w:val="18"/>
              </w:rPr>
              <w:t>M 9</w:t>
            </w:r>
          </w:p>
        </w:tc>
        <w:tc>
          <w:tcPr>
            <w:tcW w:w="998" w:type="dxa"/>
            <w:vAlign w:val="center"/>
          </w:tcPr>
          <w:p w14:paraId="449BD6FC" w14:textId="05ACF1D1" w:rsidR="00BE1786" w:rsidRPr="00332AB5" w:rsidRDefault="00BE1786" w:rsidP="003D43BE">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tcBorders>
              <w:top w:val="nil"/>
              <w:left w:val="nil"/>
              <w:bottom w:val="nil"/>
              <w:right w:val="nil"/>
            </w:tcBorders>
            <w:shd w:val="clear" w:color="auto" w:fill="auto"/>
            <w:vAlign w:val="center"/>
          </w:tcPr>
          <w:p w14:paraId="29935026" w14:textId="4A52F5A2" w:rsidR="00BE1786" w:rsidRPr="00332AB5" w:rsidRDefault="00BE1786" w:rsidP="003D43BE">
            <w:pPr>
              <w:jc w:val="right"/>
              <w:rPr>
                <w:rFonts w:asciiTheme="minorHAnsi" w:hAnsiTheme="minorHAnsi" w:cstheme="minorHAnsi"/>
                <w:color w:val="000000"/>
                <w:sz w:val="18"/>
                <w:szCs w:val="18"/>
              </w:rPr>
            </w:pPr>
          </w:p>
        </w:tc>
        <w:tc>
          <w:tcPr>
            <w:tcW w:w="845" w:type="dxa"/>
            <w:tcBorders>
              <w:top w:val="nil"/>
              <w:left w:val="nil"/>
              <w:bottom w:val="nil"/>
              <w:right w:val="nil"/>
            </w:tcBorders>
            <w:shd w:val="clear" w:color="auto" w:fill="auto"/>
            <w:vAlign w:val="center"/>
          </w:tcPr>
          <w:p w14:paraId="13768A0A" w14:textId="6BA6243C" w:rsidR="00BE1786" w:rsidRPr="00332AB5" w:rsidRDefault="00BE1786" w:rsidP="003D43BE">
            <w:pPr>
              <w:jc w:val="right"/>
              <w:rPr>
                <w:rFonts w:asciiTheme="minorHAnsi" w:hAnsiTheme="minorHAnsi" w:cstheme="minorHAnsi"/>
                <w:color w:val="000000"/>
                <w:sz w:val="18"/>
                <w:szCs w:val="18"/>
              </w:rPr>
            </w:pPr>
          </w:p>
        </w:tc>
        <w:tc>
          <w:tcPr>
            <w:tcW w:w="879" w:type="dxa"/>
            <w:tcBorders>
              <w:top w:val="nil"/>
              <w:left w:val="nil"/>
              <w:bottom w:val="nil"/>
              <w:right w:val="nil"/>
            </w:tcBorders>
            <w:shd w:val="clear" w:color="auto" w:fill="auto"/>
            <w:vAlign w:val="center"/>
          </w:tcPr>
          <w:p w14:paraId="459A5901" w14:textId="5FC91093" w:rsidR="00BE1786" w:rsidRPr="00332AB5" w:rsidRDefault="00BE1786" w:rsidP="003D43BE">
            <w:pPr>
              <w:jc w:val="right"/>
              <w:rPr>
                <w:rFonts w:asciiTheme="minorHAnsi" w:hAnsiTheme="minorHAnsi" w:cstheme="minorHAnsi"/>
                <w:color w:val="000000"/>
                <w:sz w:val="18"/>
                <w:szCs w:val="18"/>
              </w:rPr>
            </w:pPr>
          </w:p>
        </w:tc>
        <w:tc>
          <w:tcPr>
            <w:tcW w:w="635" w:type="dxa"/>
            <w:tcBorders>
              <w:top w:val="nil"/>
              <w:left w:val="nil"/>
              <w:bottom w:val="nil"/>
              <w:right w:val="nil"/>
            </w:tcBorders>
            <w:shd w:val="clear" w:color="auto" w:fill="auto"/>
            <w:vAlign w:val="center"/>
          </w:tcPr>
          <w:p w14:paraId="4D555E1E" w14:textId="3F8DBE21" w:rsidR="00BE1786" w:rsidRPr="00332AB5" w:rsidRDefault="00BE1786" w:rsidP="003D43BE">
            <w:pPr>
              <w:jc w:val="right"/>
              <w:rPr>
                <w:rFonts w:asciiTheme="minorHAnsi" w:hAnsiTheme="minorHAnsi" w:cstheme="minorHAnsi"/>
                <w:color w:val="000000"/>
                <w:sz w:val="18"/>
                <w:szCs w:val="18"/>
              </w:rPr>
            </w:pPr>
          </w:p>
        </w:tc>
        <w:tc>
          <w:tcPr>
            <w:tcW w:w="1089" w:type="dxa"/>
            <w:tcBorders>
              <w:top w:val="nil"/>
              <w:left w:val="nil"/>
              <w:bottom w:val="nil"/>
              <w:right w:val="nil"/>
            </w:tcBorders>
            <w:shd w:val="clear" w:color="auto" w:fill="auto"/>
            <w:vAlign w:val="center"/>
          </w:tcPr>
          <w:p w14:paraId="5F088E2C" w14:textId="3BC3D2F4" w:rsidR="00BE1786" w:rsidRPr="00332AB5" w:rsidRDefault="00BE1786" w:rsidP="003D43BE">
            <w:pPr>
              <w:jc w:val="right"/>
              <w:rPr>
                <w:rFonts w:asciiTheme="minorHAnsi" w:hAnsiTheme="minorHAnsi" w:cstheme="minorHAnsi"/>
                <w:color w:val="000000"/>
                <w:sz w:val="18"/>
                <w:szCs w:val="18"/>
              </w:rPr>
            </w:pPr>
          </w:p>
        </w:tc>
        <w:tc>
          <w:tcPr>
            <w:tcW w:w="635" w:type="dxa"/>
            <w:tcBorders>
              <w:top w:val="nil"/>
              <w:left w:val="nil"/>
              <w:bottom w:val="nil"/>
              <w:right w:val="nil"/>
            </w:tcBorders>
            <w:shd w:val="clear" w:color="auto" w:fill="auto"/>
            <w:vAlign w:val="center"/>
          </w:tcPr>
          <w:p w14:paraId="66430FB0" w14:textId="6280A1BF" w:rsidR="00BE1786" w:rsidRPr="00332AB5" w:rsidRDefault="00BE1786" w:rsidP="003D43BE">
            <w:pPr>
              <w:jc w:val="right"/>
              <w:rPr>
                <w:rFonts w:asciiTheme="minorHAnsi" w:hAnsiTheme="minorHAnsi" w:cstheme="minorHAnsi"/>
                <w:color w:val="000000"/>
                <w:sz w:val="18"/>
                <w:szCs w:val="18"/>
              </w:rPr>
            </w:pPr>
          </w:p>
        </w:tc>
        <w:tc>
          <w:tcPr>
            <w:tcW w:w="1089" w:type="dxa"/>
            <w:vAlign w:val="center"/>
          </w:tcPr>
          <w:p w14:paraId="35BDCDBF" w14:textId="77777777"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vAlign w:val="center"/>
          </w:tcPr>
          <w:p w14:paraId="4D8AE710" w14:textId="77777777"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r>
      <w:tr w:rsidR="00BE1786" w:rsidRPr="00332AB5" w14:paraId="158757A9" w14:textId="77777777" w:rsidTr="003D43BE">
        <w:trPr>
          <w:trHeight w:val="397"/>
        </w:trPr>
        <w:tc>
          <w:tcPr>
            <w:tcW w:w="1179" w:type="dxa"/>
            <w:vAlign w:val="center"/>
          </w:tcPr>
          <w:p w14:paraId="790BECB3" w14:textId="77777777" w:rsidR="00BE1786" w:rsidRPr="00332AB5" w:rsidRDefault="00BE1786" w:rsidP="00BE1786">
            <w:pPr>
              <w:rPr>
                <w:rFonts w:asciiTheme="minorHAnsi" w:hAnsiTheme="minorHAnsi" w:cstheme="minorHAnsi"/>
                <w:sz w:val="18"/>
                <w:szCs w:val="18"/>
              </w:rPr>
            </w:pPr>
            <w:r w:rsidRPr="00332AB5">
              <w:rPr>
                <w:rFonts w:asciiTheme="minorHAnsi" w:hAnsiTheme="minorHAnsi" w:cstheme="minorHAnsi"/>
                <w:sz w:val="18"/>
                <w:szCs w:val="18"/>
              </w:rPr>
              <w:t>M 10</w:t>
            </w:r>
          </w:p>
        </w:tc>
        <w:tc>
          <w:tcPr>
            <w:tcW w:w="998" w:type="dxa"/>
            <w:vAlign w:val="center"/>
          </w:tcPr>
          <w:p w14:paraId="59849885" w14:textId="1396F97B" w:rsidR="00BE1786" w:rsidRPr="00332AB5" w:rsidRDefault="00BE1786" w:rsidP="003D43BE">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tcBorders>
              <w:top w:val="nil"/>
              <w:left w:val="nil"/>
              <w:bottom w:val="nil"/>
              <w:right w:val="nil"/>
            </w:tcBorders>
            <w:shd w:val="clear" w:color="auto" w:fill="auto"/>
            <w:vAlign w:val="center"/>
          </w:tcPr>
          <w:p w14:paraId="4EDC0C25" w14:textId="7BCA04AF" w:rsidR="00BE1786" w:rsidRPr="00332AB5" w:rsidRDefault="00BE1786" w:rsidP="003D43BE">
            <w:pPr>
              <w:jc w:val="right"/>
              <w:rPr>
                <w:rFonts w:asciiTheme="minorHAnsi" w:hAnsiTheme="minorHAnsi" w:cstheme="minorHAnsi"/>
                <w:color w:val="000000"/>
                <w:sz w:val="18"/>
                <w:szCs w:val="18"/>
              </w:rPr>
            </w:pPr>
          </w:p>
        </w:tc>
        <w:tc>
          <w:tcPr>
            <w:tcW w:w="845" w:type="dxa"/>
            <w:tcBorders>
              <w:top w:val="nil"/>
              <w:left w:val="nil"/>
              <w:bottom w:val="nil"/>
              <w:right w:val="nil"/>
            </w:tcBorders>
            <w:shd w:val="clear" w:color="auto" w:fill="auto"/>
            <w:vAlign w:val="center"/>
          </w:tcPr>
          <w:p w14:paraId="6ACABB82" w14:textId="1022A7C9" w:rsidR="00BE1786" w:rsidRPr="00332AB5" w:rsidRDefault="00BE1786" w:rsidP="003D43BE">
            <w:pPr>
              <w:jc w:val="right"/>
              <w:rPr>
                <w:rFonts w:asciiTheme="minorHAnsi" w:hAnsiTheme="minorHAnsi" w:cstheme="minorHAnsi"/>
                <w:color w:val="000000"/>
                <w:sz w:val="18"/>
                <w:szCs w:val="18"/>
              </w:rPr>
            </w:pPr>
          </w:p>
        </w:tc>
        <w:tc>
          <w:tcPr>
            <w:tcW w:w="879" w:type="dxa"/>
            <w:tcBorders>
              <w:top w:val="nil"/>
              <w:left w:val="nil"/>
              <w:bottom w:val="nil"/>
              <w:right w:val="nil"/>
            </w:tcBorders>
            <w:shd w:val="clear" w:color="auto" w:fill="auto"/>
            <w:vAlign w:val="center"/>
          </w:tcPr>
          <w:p w14:paraId="7E8862C8" w14:textId="1C8B8763" w:rsidR="00BE1786" w:rsidRPr="00332AB5" w:rsidRDefault="00BE1786" w:rsidP="003D43BE">
            <w:pPr>
              <w:jc w:val="right"/>
              <w:rPr>
                <w:rFonts w:asciiTheme="minorHAnsi" w:hAnsiTheme="minorHAnsi" w:cstheme="minorHAnsi"/>
                <w:color w:val="000000"/>
                <w:sz w:val="18"/>
                <w:szCs w:val="18"/>
              </w:rPr>
            </w:pPr>
          </w:p>
        </w:tc>
        <w:tc>
          <w:tcPr>
            <w:tcW w:w="635" w:type="dxa"/>
            <w:tcBorders>
              <w:top w:val="nil"/>
              <w:left w:val="nil"/>
              <w:bottom w:val="nil"/>
              <w:right w:val="nil"/>
            </w:tcBorders>
            <w:shd w:val="clear" w:color="auto" w:fill="auto"/>
            <w:vAlign w:val="center"/>
          </w:tcPr>
          <w:p w14:paraId="51429CE6" w14:textId="2FD5B1BD" w:rsidR="00BE1786" w:rsidRPr="00332AB5" w:rsidRDefault="00BE1786" w:rsidP="003D43BE">
            <w:pPr>
              <w:jc w:val="right"/>
              <w:rPr>
                <w:rFonts w:asciiTheme="minorHAnsi" w:hAnsiTheme="minorHAnsi" w:cstheme="minorHAnsi"/>
                <w:color w:val="000000"/>
                <w:sz w:val="18"/>
                <w:szCs w:val="18"/>
              </w:rPr>
            </w:pPr>
          </w:p>
        </w:tc>
        <w:tc>
          <w:tcPr>
            <w:tcW w:w="1089" w:type="dxa"/>
            <w:tcBorders>
              <w:top w:val="nil"/>
              <w:left w:val="nil"/>
              <w:bottom w:val="nil"/>
              <w:right w:val="nil"/>
            </w:tcBorders>
            <w:shd w:val="clear" w:color="auto" w:fill="auto"/>
            <w:vAlign w:val="center"/>
          </w:tcPr>
          <w:p w14:paraId="038A0258" w14:textId="34107228" w:rsidR="00BE1786" w:rsidRPr="00332AB5" w:rsidRDefault="00BE1786" w:rsidP="003D43BE">
            <w:pPr>
              <w:jc w:val="right"/>
              <w:rPr>
                <w:rFonts w:asciiTheme="minorHAnsi" w:hAnsiTheme="minorHAnsi" w:cstheme="minorHAnsi"/>
                <w:color w:val="000000"/>
                <w:sz w:val="18"/>
                <w:szCs w:val="18"/>
              </w:rPr>
            </w:pPr>
          </w:p>
        </w:tc>
        <w:tc>
          <w:tcPr>
            <w:tcW w:w="635" w:type="dxa"/>
            <w:tcBorders>
              <w:top w:val="nil"/>
              <w:left w:val="nil"/>
              <w:bottom w:val="nil"/>
              <w:right w:val="nil"/>
            </w:tcBorders>
            <w:shd w:val="clear" w:color="auto" w:fill="auto"/>
            <w:vAlign w:val="center"/>
          </w:tcPr>
          <w:p w14:paraId="608894D3" w14:textId="75F841D8" w:rsidR="00BE1786" w:rsidRPr="00332AB5" w:rsidRDefault="00BE1786" w:rsidP="003D43BE">
            <w:pPr>
              <w:jc w:val="right"/>
              <w:rPr>
                <w:rFonts w:asciiTheme="minorHAnsi" w:hAnsiTheme="minorHAnsi" w:cstheme="minorHAnsi"/>
                <w:color w:val="000000"/>
                <w:sz w:val="18"/>
                <w:szCs w:val="18"/>
              </w:rPr>
            </w:pPr>
          </w:p>
        </w:tc>
        <w:tc>
          <w:tcPr>
            <w:tcW w:w="1089" w:type="dxa"/>
            <w:vAlign w:val="center"/>
          </w:tcPr>
          <w:p w14:paraId="72C25EF5" w14:textId="77777777"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vAlign w:val="center"/>
          </w:tcPr>
          <w:p w14:paraId="25C1C3F5" w14:textId="77777777"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r>
      <w:tr w:rsidR="00BE1786" w:rsidRPr="00332AB5" w14:paraId="16996111" w14:textId="77777777" w:rsidTr="003D43BE">
        <w:trPr>
          <w:trHeight w:val="397"/>
        </w:trPr>
        <w:tc>
          <w:tcPr>
            <w:tcW w:w="1179" w:type="dxa"/>
            <w:vAlign w:val="center"/>
          </w:tcPr>
          <w:p w14:paraId="043AB714" w14:textId="77777777" w:rsidR="00BE1786" w:rsidRPr="00332AB5" w:rsidRDefault="00BE1786" w:rsidP="00BE1786">
            <w:pPr>
              <w:rPr>
                <w:rFonts w:asciiTheme="minorHAnsi" w:hAnsiTheme="minorHAnsi" w:cstheme="minorHAnsi"/>
                <w:sz w:val="18"/>
                <w:szCs w:val="18"/>
              </w:rPr>
            </w:pPr>
            <w:r w:rsidRPr="00332AB5">
              <w:rPr>
                <w:rFonts w:asciiTheme="minorHAnsi" w:hAnsiTheme="minorHAnsi" w:cstheme="minorHAnsi"/>
                <w:sz w:val="18"/>
                <w:szCs w:val="18"/>
              </w:rPr>
              <w:t>M 11</w:t>
            </w:r>
          </w:p>
        </w:tc>
        <w:tc>
          <w:tcPr>
            <w:tcW w:w="998" w:type="dxa"/>
            <w:vAlign w:val="center"/>
          </w:tcPr>
          <w:p w14:paraId="5B8E3515" w14:textId="588C912F" w:rsidR="00BE1786" w:rsidRPr="00332AB5" w:rsidRDefault="00BE1786" w:rsidP="003D43BE">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27,13</w:t>
            </w:r>
          </w:p>
        </w:tc>
        <w:tc>
          <w:tcPr>
            <w:tcW w:w="1089" w:type="dxa"/>
            <w:tcBorders>
              <w:top w:val="nil"/>
              <w:left w:val="nil"/>
              <w:bottom w:val="nil"/>
              <w:right w:val="nil"/>
            </w:tcBorders>
            <w:shd w:val="clear" w:color="auto" w:fill="auto"/>
            <w:vAlign w:val="center"/>
          </w:tcPr>
          <w:p w14:paraId="79975705" w14:textId="5002E917" w:rsidR="00BE1786" w:rsidRPr="00332AB5" w:rsidRDefault="00BE1786" w:rsidP="003D43BE">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21,25</w:t>
            </w:r>
          </w:p>
        </w:tc>
        <w:tc>
          <w:tcPr>
            <w:tcW w:w="845" w:type="dxa"/>
            <w:tcBorders>
              <w:top w:val="nil"/>
              <w:left w:val="nil"/>
              <w:bottom w:val="nil"/>
              <w:right w:val="nil"/>
            </w:tcBorders>
            <w:shd w:val="clear" w:color="auto" w:fill="auto"/>
            <w:vAlign w:val="center"/>
          </w:tcPr>
          <w:p w14:paraId="3DF24657" w14:textId="1AB4E74E" w:rsidR="00BE1786" w:rsidRPr="00332AB5" w:rsidRDefault="00BE1786" w:rsidP="003D43BE">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78,34</w:t>
            </w:r>
          </w:p>
        </w:tc>
        <w:tc>
          <w:tcPr>
            <w:tcW w:w="879" w:type="dxa"/>
            <w:tcBorders>
              <w:top w:val="nil"/>
              <w:left w:val="nil"/>
              <w:bottom w:val="nil"/>
              <w:right w:val="nil"/>
            </w:tcBorders>
            <w:shd w:val="clear" w:color="auto" w:fill="auto"/>
            <w:vAlign w:val="center"/>
          </w:tcPr>
          <w:p w14:paraId="12814443" w14:textId="291A6DE9" w:rsidR="00BE1786" w:rsidRPr="00332AB5" w:rsidRDefault="00BE1786" w:rsidP="003D43BE">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21,25</w:t>
            </w:r>
          </w:p>
        </w:tc>
        <w:tc>
          <w:tcPr>
            <w:tcW w:w="635" w:type="dxa"/>
            <w:tcBorders>
              <w:top w:val="nil"/>
              <w:left w:val="nil"/>
              <w:bottom w:val="nil"/>
              <w:right w:val="nil"/>
            </w:tcBorders>
            <w:shd w:val="clear" w:color="auto" w:fill="auto"/>
            <w:vAlign w:val="center"/>
          </w:tcPr>
          <w:p w14:paraId="04246ADA" w14:textId="75F73D90" w:rsidR="00BE1786" w:rsidRPr="00332AB5" w:rsidRDefault="00BE1786" w:rsidP="003D43BE">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0,78</w:t>
            </w:r>
          </w:p>
        </w:tc>
        <w:tc>
          <w:tcPr>
            <w:tcW w:w="1089" w:type="dxa"/>
            <w:tcBorders>
              <w:top w:val="nil"/>
              <w:left w:val="nil"/>
              <w:bottom w:val="nil"/>
              <w:right w:val="nil"/>
            </w:tcBorders>
            <w:shd w:val="clear" w:color="auto" w:fill="auto"/>
            <w:vAlign w:val="center"/>
          </w:tcPr>
          <w:p w14:paraId="0423DCA1" w14:textId="2901A6D0" w:rsidR="00BE1786" w:rsidRPr="00332AB5" w:rsidRDefault="00BE1786" w:rsidP="003D43BE">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10,26</w:t>
            </w:r>
          </w:p>
        </w:tc>
        <w:tc>
          <w:tcPr>
            <w:tcW w:w="635" w:type="dxa"/>
            <w:tcBorders>
              <w:top w:val="nil"/>
              <w:left w:val="nil"/>
              <w:bottom w:val="nil"/>
              <w:right w:val="nil"/>
            </w:tcBorders>
            <w:shd w:val="clear" w:color="auto" w:fill="auto"/>
            <w:vAlign w:val="center"/>
          </w:tcPr>
          <w:p w14:paraId="6ED3BF23" w14:textId="3F6949D0" w:rsidR="00BE1786" w:rsidRPr="00332AB5" w:rsidRDefault="00BE1786" w:rsidP="003D43BE">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0,38</w:t>
            </w:r>
          </w:p>
        </w:tc>
        <w:tc>
          <w:tcPr>
            <w:tcW w:w="1089" w:type="dxa"/>
            <w:vAlign w:val="center"/>
          </w:tcPr>
          <w:p w14:paraId="4C5899D3" w14:textId="77777777"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vAlign w:val="center"/>
          </w:tcPr>
          <w:p w14:paraId="7E121415" w14:textId="77777777"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r>
      <w:tr w:rsidR="00BE1786" w:rsidRPr="00332AB5" w14:paraId="6E6394C3" w14:textId="77777777" w:rsidTr="003D43BE">
        <w:trPr>
          <w:trHeight w:val="397"/>
        </w:trPr>
        <w:tc>
          <w:tcPr>
            <w:tcW w:w="1179" w:type="dxa"/>
            <w:vAlign w:val="center"/>
          </w:tcPr>
          <w:p w14:paraId="152D9156" w14:textId="77777777" w:rsidR="00BE1786" w:rsidRPr="00332AB5" w:rsidRDefault="00BE1786" w:rsidP="00BE1786">
            <w:pPr>
              <w:rPr>
                <w:rFonts w:asciiTheme="minorHAnsi" w:hAnsiTheme="minorHAnsi" w:cstheme="minorHAnsi"/>
                <w:sz w:val="18"/>
                <w:szCs w:val="18"/>
              </w:rPr>
            </w:pPr>
            <w:r w:rsidRPr="00332AB5">
              <w:rPr>
                <w:rFonts w:asciiTheme="minorHAnsi" w:hAnsiTheme="minorHAnsi" w:cstheme="minorHAnsi"/>
                <w:sz w:val="18"/>
                <w:szCs w:val="18"/>
              </w:rPr>
              <w:t>M 13</w:t>
            </w:r>
          </w:p>
        </w:tc>
        <w:tc>
          <w:tcPr>
            <w:tcW w:w="998" w:type="dxa"/>
            <w:vAlign w:val="center"/>
          </w:tcPr>
          <w:p w14:paraId="102D40A6" w14:textId="7DA69798" w:rsidR="00BE1786" w:rsidRPr="00332AB5" w:rsidRDefault="00BE1786" w:rsidP="003D43BE">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tcBorders>
              <w:top w:val="nil"/>
              <w:left w:val="nil"/>
              <w:bottom w:val="nil"/>
              <w:right w:val="nil"/>
            </w:tcBorders>
            <w:shd w:val="clear" w:color="auto" w:fill="auto"/>
            <w:vAlign w:val="center"/>
          </w:tcPr>
          <w:p w14:paraId="3315E0D2" w14:textId="454178A5" w:rsidR="00BE1786" w:rsidRPr="00332AB5" w:rsidRDefault="00BE1786" w:rsidP="003D43BE">
            <w:pPr>
              <w:jc w:val="right"/>
              <w:rPr>
                <w:rFonts w:asciiTheme="minorHAnsi" w:hAnsiTheme="minorHAnsi" w:cstheme="minorHAnsi"/>
                <w:color w:val="000000"/>
                <w:sz w:val="18"/>
                <w:szCs w:val="18"/>
              </w:rPr>
            </w:pPr>
          </w:p>
        </w:tc>
        <w:tc>
          <w:tcPr>
            <w:tcW w:w="845" w:type="dxa"/>
            <w:tcBorders>
              <w:top w:val="nil"/>
              <w:left w:val="nil"/>
              <w:bottom w:val="nil"/>
              <w:right w:val="nil"/>
            </w:tcBorders>
            <w:shd w:val="clear" w:color="auto" w:fill="auto"/>
            <w:vAlign w:val="center"/>
          </w:tcPr>
          <w:p w14:paraId="695E9AD3" w14:textId="7BBE21BD" w:rsidR="00BE1786" w:rsidRPr="00332AB5" w:rsidRDefault="00BE1786" w:rsidP="003D43BE">
            <w:pPr>
              <w:jc w:val="right"/>
              <w:rPr>
                <w:rFonts w:asciiTheme="minorHAnsi" w:hAnsiTheme="minorHAnsi" w:cstheme="minorHAnsi"/>
                <w:color w:val="000000"/>
                <w:sz w:val="18"/>
                <w:szCs w:val="18"/>
              </w:rPr>
            </w:pPr>
          </w:p>
        </w:tc>
        <w:tc>
          <w:tcPr>
            <w:tcW w:w="879" w:type="dxa"/>
            <w:tcBorders>
              <w:top w:val="nil"/>
              <w:left w:val="nil"/>
              <w:bottom w:val="nil"/>
              <w:right w:val="nil"/>
            </w:tcBorders>
            <w:shd w:val="clear" w:color="auto" w:fill="auto"/>
            <w:vAlign w:val="center"/>
          </w:tcPr>
          <w:p w14:paraId="6D6675E1" w14:textId="48213AA8" w:rsidR="00BE1786" w:rsidRPr="00332AB5" w:rsidRDefault="00BE1786" w:rsidP="003D43BE">
            <w:pPr>
              <w:jc w:val="right"/>
              <w:rPr>
                <w:rFonts w:asciiTheme="minorHAnsi" w:hAnsiTheme="minorHAnsi" w:cstheme="minorHAnsi"/>
                <w:color w:val="000000"/>
                <w:sz w:val="18"/>
                <w:szCs w:val="18"/>
              </w:rPr>
            </w:pPr>
          </w:p>
        </w:tc>
        <w:tc>
          <w:tcPr>
            <w:tcW w:w="635" w:type="dxa"/>
            <w:tcBorders>
              <w:top w:val="nil"/>
              <w:left w:val="nil"/>
              <w:bottom w:val="nil"/>
              <w:right w:val="nil"/>
            </w:tcBorders>
            <w:shd w:val="clear" w:color="auto" w:fill="auto"/>
            <w:vAlign w:val="center"/>
          </w:tcPr>
          <w:p w14:paraId="0EC521CB" w14:textId="3DD4278F" w:rsidR="00BE1786" w:rsidRPr="00332AB5" w:rsidRDefault="00BE1786" w:rsidP="003D43BE">
            <w:pPr>
              <w:jc w:val="right"/>
              <w:rPr>
                <w:rFonts w:asciiTheme="minorHAnsi" w:hAnsiTheme="minorHAnsi" w:cstheme="minorHAnsi"/>
                <w:color w:val="000000"/>
                <w:sz w:val="18"/>
                <w:szCs w:val="18"/>
              </w:rPr>
            </w:pPr>
          </w:p>
        </w:tc>
        <w:tc>
          <w:tcPr>
            <w:tcW w:w="1089" w:type="dxa"/>
            <w:tcBorders>
              <w:top w:val="nil"/>
              <w:left w:val="nil"/>
              <w:bottom w:val="nil"/>
              <w:right w:val="nil"/>
            </w:tcBorders>
            <w:shd w:val="clear" w:color="auto" w:fill="auto"/>
            <w:vAlign w:val="center"/>
          </w:tcPr>
          <w:p w14:paraId="3BAE0F56" w14:textId="0EFE5B57" w:rsidR="00BE1786" w:rsidRPr="00332AB5" w:rsidRDefault="00BE1786" w:rsidP="003D43BE">
            <w:pPr>
              <w:jc w:val="right"/>
              <w:rPr>
                <w:rFonts w:asciiTheme="minorHAnsi" w:hAnsiTheme="minorHAnsi" w:cstheme="minorHAnsi"/>
                <w:color w:val="000000"/>
                <w:sz w:val="18"/>
                <w:szCs w:val="18"/>
              </w:rPr>
            </w:pPr>
          </w:p>
        </w:tc>
        <w:tc>
          <w:tcPr>
            <w:tcW w:w="635" w:type="dxa"/>
            <w:tcBorders>
              <w:top w:val="nil"/>
              <w:left w:val="nil"/>
              <w:bottom w:val="nil"/>
              <w:right w:val="nil"/>
            </w:tcBorders>
            <w:shd w:val="clear" w:color="auto" w:fill="auto"/>
            <w:vAlign w:val="center"/>
          </w:tcPr>
          <w:p w14:paraId="1F8F1EA0" w14:textId="4F02C988" w:rsidR="00BE1786" w:rsidRPr="00332AB5" w:rsidRDefault="00BE1786" w:rsidP="003D43BE">
            <w:pPr>
              <w:jc w:val="right"/>
              <w:rPr>
                <w:rFonts w:asciiTheme="minorHAnsi" w:hAnsiTheme="minorHAnsi" w:cstheme="minorHAnsi"/>
                <w:color w:val="000000"/>
                <w:sz w:val="18"/>
                <w:szCs w:val="18"/>
              </w:rPr>
            </w:pPr>
          </w:p>
        </w:tc>
        <w:tc>
          <w:tcPr>
            <w:tcW w:w="1089" w:type="dxa"/>
            <w:vAlign w:val="center"/>
          </w:tcPr>
          <w:p w14:paraId="5096A56F" w14:textId="77777777"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vAlign w:val="center"/>
          </w:tcPr>
          <w:p w14:paraId="3E556DD7" w14:textId="77777777"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r>
      <w:tr w:rsidR="00BE1786" w:rsidRPr="00332AB5" w14:paraId="670BD72A" w14:textId="77777777" w:rsidTr="003D43BE">
        <w:trPr>
          <w:trHeight w:val="397"/>
        </w:trPr>
        <w:tc>
          <w:tcPr>
            <w:tcW w:w="1179" w:type="dxa"/>
            <w:vAlign w:val="center"/>
          </w:tcPr>
          <w:p w14:paraId="7D4EFDDD" w14:textId="77777777" w:rsidR="00BE1786" w:rsidRPr="00332AB5" w:rsidRDefault="00BE1786" w:rsidP="00BE1786">
            <w:pPr>
              <w:rPr>
                <w:rFonts w:asciiTheme="minorHAnsi" w:hAnsiTheme="minorHAnsi" w:cstheme="minorHAnsi"/>
                <w:sz w:val="18"/>
                <w:szCs w:val="18"/>
              </w:rPr>
            </w:pPr>
            <w:r w:rsidRPr="00332AB5">
              <w:rPr>
                <w:rFonts w:asciiTheme="minorHAnsi" w:hAnsiTheme="minorHAnsi" w:cstheme="minorHAnsi"/>
                <w:sz w:val="18"/>
                <w:szCs w:val="18"/>
              </w:rPr>
              <w:t>M 14</w:t>
            </w:r>
          </w:p>
        </w:tc>
        <w:tc>
          <w:tcPr>
            <w:tcW w:w="998" w:type="dxa"/>
            <w:vAlign w:val="center"/>
          </w:tcPr>
          <w:p w14:paraId="5A6DFF65" w14:textId="55F2C06A" w:rsidR="00BE1786" w:rsidRPr="00332AB5" w:rsidRDefault="00BE1786" w:rsidP="003D43BE">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31,59</w:t>
            </w:r>
          </w:p>
        </w:tc>
        <w:tc>
          <w:tcPr>
            <w:tcW w:w="1089" w:type="dxa"/>
            <w:tcBorders>
              <w:top w:val="nil"/>
              <w:left w:val="nil"/>
              <w:bottom w:val="nil"/>
              <w:right w:val="nil"/>
            </w:tcBorders>
            <w:shd w:val="clear" w:color="auto" w:fill="auto"/>
            <w:vAlign w:val="center"/>
          </w:tcPr>
          <w:p w14:paraId="48EBA620" w14:textId="38FA57B3" w:rsidR="00BE1786" w:rsidRPr="00332AB5" w:rsidRDefault="00BE1786" w:rsidP="003D43BE">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37,82</w:t>
            </w:r>
          </w:p>
        </w:tc>
        <w:tc>
          <w:tcPr>
            <w:tcW w:w="845" w:type="dxa"/>
            <w:tcBorders>
              <w:top w:val="nil"/>
              <w:left w:val="nil"/>
              <w:bottom w:val="nil"/>
              <w:right w:val="nil"/>
            </w:tcBorders>
            <w:shd w:val="clear" w:color="auto" w:fill="auto"/>
            <w:vAlign w:val="center"/>
          </w:tcPr>
          <w:p w14:paraId="1350EAB3" w14:textId="77033A14" w:rsidR="00BE1786" w:rsidRPr="00332AB5" w:rsidRDefault="00BE1786" w:rsidP="003D43BE">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119,69</w:t>
            </w:r>
          </w:p>
        </w:tc>
        <w:tc>
          <w:tcPr>
            <w:tcW w:w="879" w:type="dxa"/>
            <w:tcBorders>
              <w:top w:val="nil"/>
              <w:left w:val="nil"/>
              <w:bottom w:val="nil"/>
              <w:right w:val="nil"/>
            </w:tcBorders>
            <w:shd w:val="clear" w:color="auto" w:fill="auto"/>
            <w:vAlign w:val="center"/>
          </w:tcPr>
          <w:p w14:paraId="22489D09" w14:textId="51D7F91E" w:rsidR="00BE1786" w:rsidRPr="00332AB5" w:rsidRDefault="00BE1786" w:rsidP="003D43BE">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37,82</w:t>
            </w:r>
          </w:p>
        </w:tc>
        <w:tc>
          <w:tcPr>
            <w:tcW w:w="635" w:type="dxa"/>
            <w:tcBorders>
              <w:top w:val="nil"/>
              <w:left w:val="nil"/>
              <w:bottom w:val="nil"/>
              <w:right w:val="nil"/>
            </w:tcBorders>
            <w:shd w:val="clear" w:color="auto" w:fill="auto"/>
            <w:vAlign w:val="center"/>
          </w:tcPr>
          <w:p w14:paraId="56BD2B19" w14:textId="657CC472" w:rsidR="00BE1786" w:rsidRPr="00332AB5" w:rsidRDefault="00BE1786" w:rsidP="003D43BE">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1,20</w:t>
            </w:r>
          </w:p>
        </w:tc>
        <w:tc>
          <w:tcPr>
            <w:tcW w:w="1089" w:type="dxa"/>
            <w:tcBorders>
              <w:top w:val="nil"/>
              <w:left w:val="nil"/>
              <w:bottom w:val="nil"/>
              <w:right w:val="nil"/>
            </w:tcBorders>
            <w:shd w:val="clear" w:color="auto" w:fill="auto"/>
            <w:vAlign w:val="center"/>
          </w:tcPr>
          <w:p w14:paraId="322B4D34" w14:textId="7E892D5D" w:rsidR="00BE1786" w:rsidRPr="00332AB5" w:rsidRDefault="00BE1786" w:rsidP="003D43BE">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20,39</w:t>
            </w:r>
          </w:p>
        </w:tc>
        <w:tc>
          <w:tcPr>
            <w:tcW w:w="635" w:type="dxa"/>
            <w:tcBorders>
              <w:top w:val="nil"/>
              <w:left w:val="nil"/>
              <w:bottom w:val="nil"/>
              <w:right w:val="nil"/>
            </w:tcBorders>
            <w:shd w:val="clear" w:color="auto" w:fill="auto"/>
            <w:vAlign w:val="center"/>
          </w:tcPr>
          <w:p w14:paraId="423D85AE" w14:textId="6F9E54D3" w:rsidR="00BE1786" w:rsidRPr="00332AB5" w:rsidRDefault="00BE1786" w:rsidP="003D43BE">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0,65</w:t>
            </w:r>
          </w:p>
        </w:tc>
        <w:tc>
          <w:tcPr>
            <w:tcW w:w="1089" w:type="dxa"/>
            <w:vAlign w:val="center"/>
          </w:tcPr>
          <w:p w14:paraId="4D3E2A1E" w14:textId="77777777"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vAlign w:val="center"/>
          </w:tcPr>
          <w:p w14:paraId="64E2ACCB" w14:textId="77777777"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r>
      <w:tr w:rsidR="00BE1786" w:rsidRPr="00332AB5" w14:paraId="6452BF77" w14:textId="77777777" w:rsidTr="003D43BE">
        <w:trPr>
          <w:trHeight w:val="397"/>
        </w:trPr>
        <w:tc>
          <w:tcPr>
            <w:tcW w:w="1179" w:type="dxa"/>
            <w:vAlign w:val="center"/>
          </w:tcPr>
          <w:p w14:paraId="4C4A43EB" w14:textId="77777777" w:rsidR="00BE1786" w:rsidRPr="00332AB5" w:rsidRDefault="00BE1786" w:rsidP="00BE1786">
            <w:pPr>
              <w:rPr>
                <w:rFonts w:asciiTheme="minorHAnsi" w:hAnsiTheme="minorHAnsi" w:cstheme="minorHAnsi"/>
                <w:sz w:val="18"/>
                <w:szCs w:val="18"/>
              </w:rPr>
            </w:pPr>
            <w:r w:rsidRPr="00332AB5">
              <w:rPr>
                <w:rFonts w:asciiTheme="minorHAnsi" w:hAnsiTheme="minorHAnsi" w:cstheme="minorHAnsi"/>
                <w:sz w:val="18"/>
                <w:szCs w:val="18"/>
              </w:rPr>
              <w:t>M 16</w:t>
            </w:r>
          </w:p>
        </w:tc>
        <w:tc>
          <w:tcPr>
            <w:tcW w:w="998" w:type="dxa"/>
            <w:vAlign w:val="center"/>
          </w:tcPr>
          <w:p w14:paraId="581C6A28" w14:textId="2E51DE1F" w:rsidR="00BE1786" w:rsidRPr="00332AB5" w:rsidRDefault="00BE1786" w:rsidP="003D43BE">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tcBorders>
              <w:top w:val="nil"/>
              <w:left w:val="nil"/>
              <w:bottom w:val="nil"/>
              <w:right w:val="nil"/>
            </w:tcBorders>
            <w:shd w:val="clear" w:color="auto" w:fill="auto"/>
            <w:vAlign w:val="center"/>
          </w:tcPr>
          <w:p w14:paraId="55216DED" w14:textId="28290F3A" w:rsidR="00BE1786" w:rsidRPr="00332AB5" w:rsidRDefault="00BE1786" w:rsidP="003D43BE">
            <w:pPr>
              <w:jc w:val="right"/>
              <w:rPr>
                <w:rFonts w:asciiTheme="minorHAnsi" w:hAnsiTheme="minorHAnsi" w:cstheme="minorHAnsi"/>
                <w:color w:val="000000"/>
                <w:sz w:val="18"/>
                <w:szCs w:val="18"/>
              </w:rPr>
            </w:pPr>
          </w:p>
        </w:tc>
        <w:tc>
          <w:tcPr>
            <w:tcW w:w="845" w:type="dxa"/>
            <w:tcBorders>
              <w:top w:val="nil"/>
              <w:left w:val="nil"/>
              <w:bottom w:val="nil"/>
              <w:right w:val="nil"/>
            </w:tcBorders>
            <w:shd w:val="clear" w:color="auto" w:fill="auto"/>
            <w:vAlign w:val="center"/>
          </w:tcPr>
          <w:p w14:paraId="7E82FE6D" w14:textId="4A39DF30" w:rsidR="00BE1786" w:rsidRPr="00332AB5" w:rsidRDefault="00BE1786" w:rsidP="003D43BE">
            <w:pPr>
              <w:jc w:val="right"/>
              <w:rPr>
                <w:rFonts w:asciiTheme="minorHAnsi" w:hAnsiTheme="minorHAnsi" w:cstheme="minorHAnsi"/>
                <w:color w:val="000000"/>
                <w:sz w:val="18"/>
                <w:szCs w:val="18"/>
              </w:rPr>
            </w:pPr>
          </w:p>
        </w:tc>
        <w:tc>
          <w:tcPr>
            <w:tcW w:w="879" w:type="dxa"/>
            <w:tcBorders>
              <w:top w:val="nil"/>
              <w:left w:val="nil"/>
              <w:bottom w:val="nil"/>
              <w:right w:val="nil"/>
            </w:tcBorders>
            <w:shd w:val="clear" w:color="auto" w:fill="auto"/>
            <w:vAlign w:val="center"/>
          </w:tcPr>
          <w:p w14:paraId="026799EE" w14:textId="29341A57" w:rsidR="00BE1786" w:rsidRPr="00332AB5" w:rsidRDefault="00BE1786" w:rsidP="003D43BE">
            <w:pPr>
              <w:jc w:val="right"/>
              <w:rPr>
                <w:rFonts w:asciiTheme="minorHAnsi" w:hAnsiTheme="minorHAnsi" w:cstheme="minorHAnsi"/>
                <w:color w:val="000000"/>
                <w:sz w:val="18"/>
                <w:szCs w:val="18"/>
              </w:rPr>
            </w:pPr>
          </w:p>
        </w:tc>
        <w:tc>
          <w:tcPr>
            <w:tcW w:w="635" w:type="dxa"/>
            <w:tcBorders>
              <w:top w:val="nil"/>
              <w:left w:val="nil"/>
              <w:bottom w:val="nil"/>
              <w:right w:val="nil"/>
            </w:tcBorders>
            <w:shd w:val="clear" w:color="auto" w:fill="auto"/>
            <w:vAlign w:val="center"/>
          </w:tcPr>
          <w:p w14:paraId="5B88FC87" w14:textId="4EE356A5" w:rsidR="00BE1786" w:rsidRPr="00332AB5" w:rsidRDefault="00BE1786" w:rsidP="003D43BE">
            <w:pPr>
              <w:jc w:val="right"/>
              <w:rPr>
                <w:rFonts w:asciiTheme="minorHAnsi" w:hAnsiTheme="minorHAnsi" w:cstheme="minorHAnsi"/>
                <w:color w:val="000000"/>
                <w:sz w:val="18"/>
                <w:szCs w:val="18"/>
              </w:rPr>
            </w:pPr>
          </w:p>
        </w:tc>
        <w:tc>
          <w:tcPr>
            <w:tcW w:w="1089" w:type="dxa"/>
            <w:tcBorders>
              <w:top w:val="nil"/>
              <w:left w:val="nil"/>
              <w:bottom w:val="nil"/>
              <w:right w:val="nil"/>
            </w:tcBorders>
            <w:shd w:val="clear" w:color="auto" w:fill="auto"/>
            <w:vAlign w:val="center"/>
          </w:tcPr>
          <w:p w14:paraId="314CA24F" w14:textId="027FC605" w:rsidR="00BE1786" w:rsidRPr="00332AB5" w:rsidRDefault="00BE1786" w:rsidP="003D43BE">
            <w:pPr>
              <w:jc w:val="right"/>
              <w:rPr>
                <w:rFonts w:asciiTheme="minorHAnsi" w:hAnsiTheme="minorHAnsi" w:cstheme="minorHAnsi"/>
                <w:color w:val="000000"/>
                <w:sz w:val="18"/>
                <w:szCs w:val="18"/>
              </w:rPr>
            </w:pPr>
          </w:p>
        </w:tc>
        <w:tc>
          <w:tcPr>
            <w:tcW w:w="635" w:type="dxa"/>
            <w:tcBorders>
              <w:top w:val="nil"/>
              <w:left w:val="nil"/>
              <w:bottom w:val="nil"/>
              <w:right w:val="nil"/>
            </w:tcBorders>
            <w:shd w:val="clear" w:color="auto" w:fill="auto"/>
            <w:vAlign w:val="center"/>
          </w:tcPr>
          <w:p w14:paraId="63FB8451" w14:textId="7ADC6BA1" w:rsidR="00BE1786" w:rsidRPr="00332AB5" w:rsidRDefault="00BE1786" w:rsidP="003D43BE">
            <w:pPr>
              <w:jc w:val="right"/>
              <w:rPr>
                <w:rFonts w:asciiTheme="minorHAnsi" w:hAnsiTheme="minorHAnsi" w:cstheme="minorHAnsi"/>
                <w:color w:val="000000"/>
                <w:sz w:val="18"/>
                <w:szCs w:val="18"/>
              </w:rPr>
            </w:pPr>
          </w:p>
        </w:tc>
        <w:tc>
          <w:tcPr>
            <w:tcW w:w="1089" w:type="dxa"/>
            <w:vAlign w:val="center"/>
          </w:tcPr>
          <w:p w14:paraId="43100C8A" w14:textId="77777777"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vAlign w:val="center"/>
          </w:tcPr>
          <w:p w14:paraId="59BDE04D" w14:textId="77777777"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r>
      <w:tr w:rsidR="00BE1786" w:rsidRPr="00332AB5" w14:paraId="7429A402" w14:textId="77777777" w:rsidTr="003D43BE">
        <w:trPr>
          <w:trHeight w:val="397"/>
        </w:trPr>
        <w:tc>
          <w:tcPr>
            <w:tcW w:w="1179" w:type="dxa"/>
            <w:vAlign w:val="center"/>
          </w:tcPr>
          <w:p w14:paraId="55881BBC" w14:textId="77777777" w:rsidR="00BE1786" w:rsidRPr="00332AB5" w:rsidRDefault="00BE1786" w:rsidP="00BE1786">
            <w:pPr>
              <w:rPr>
                <w:rFonts w:asciiTheme="minorHAnsi" w:hAnsiTheme="minorHAnsi" w:cstheme="minorHAnsi"/>
                <w:sz w:val="18"/>
                <w:szCs w:val="18"/>
              </w:rPr>
            </w:pPr>
            <w:r w:rsidRPr="00332AB5">
              <w:rPr>
                <w:rFonts w:asciiTheme="minorHAnsi" w:hAnsiTheme="minorHAnsi" w:cstheme="minorHAnsi"/>
                <w:sz w:val="18"/>
                <w:szCs w:val="18"/>
              </w:rPr>
              <w:t>M 17</w:t>
            </w:r>
          </w:p>
        </w:tc>
        <w:tc>
          <w:tcPr>
            <w:tcW w:w="998" w:type="dxa"/>
            <w:vAlign w:val="center"/>
          </w:tcPr>
          <w:p w14:paraId="619CDD87" w14:textId="3D903C36" w:rsidR="00BE1786" w:rsidRPr="00332AB5" w:rsidRDefault="00BE1786" w:rsidP="003D43BE">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tcBorders>
              <w:top w:val="nil"/>
              <w:left w:val="nil"/>
              <w:bottom w:val="nil"/>
              <w:right w:val="nil"/>
            </w:tcBorders>
            <w:shd w:val="clear" w:color="auto" w:fill="auto"/>
            <w:vAlign w:val="center"/>
          </w:tcPr>
          <w:p w14:paraId="59EB62E7" w14:textId="7519FA12" w:rsidR="00BE1786" w:rsidRPr="00332AB5" w:rsidRDefault="00BE1786" w:rsidP="003D43BE">
            <w:pPr>
              <w:jc w:val="right"/>
              <w:rPr>
                <w:rFonts w:asciiTheme="minorHAnsi" w:hAnsiTheme="minorHAnsi" w:cstheme="minorHAnsi"/>
                <w:color w:val="000000"/>
                <w:sz w:val="18"/>
                <w:szCs w:val="18"/>
              </w:rPr>
            </w:pPr>
          </w:p>
        </w:tc>
        <w:tc>
          <w:tcPr>
            <w:tcW w:w="845" w:type="dxa"/>
            <w:tcBorders>
              <w:top w:val="nil"/>
              <w:left w:val="nil"/>
              <w:bottom w:val="nil"/>
              <w:right w:val="nil"/>
            </w:tcBorders>
            <w:shd w:val="clear" w:color="auto" w:fill="auto"/>
            <w:vAlign w:val="center"/>
          </w:tcPr>
          <w:p w14:paraId="363E101C" w14:textId="009B7BC1" w:rsidR="00BE1786" w:rsidRPr="00332AB5" w:rsidRDefault="00BE1786" w:rsidP="003D43BE">
            <w:pPr>
              <w:jc w:val="right"/>
              <w:rPr>
                <w:rFonts w:asciiTheme="minorHAnsi" w:hAnsiTheme="minorHAnsi" w:cstheme="minorHAnsi"/>
                <w:color w:val="000000"/>
                <w:sz w:val="18"/>
                <w:szCs w:val="18"/>
              </w:rPr>
            </w:pPr>
          </w:p>
        </w:tc>
        <w:tc>
          <w:tcPr>
            <w:tcW w:w="879" w:type="dxa"/>
            <w:tcBorders>
              <w:top w:val="nil"/>
              <w:left w:val="nil"/>
              <w:bottom w:val="nil"/>
              <w:right w:val="nil"/>
            </w:tcBorders>
            <w:shd w:val="clear" w:color="auto" w:fill="auto"/>
            <w:vAlign w:val="center"/>
          </w:tcPr>
          <w:p w14:paraId="05FCD3FF" w14:textId="67E74E4A" w:rsidR="00BE1786" w:rsidRPr="00332AB5" w:rsidRDefault="00BE1786" w:rsidP="003D43BE">
            <w:pPr>
              <w:jc w:val="right"/>
              <w:rPr>
                <w:rFonts w:asciiTheme="minorHAnsi" w:hAnsiTheme="minorHAnsi" w:cstheme="minorHAnsi"/>
                <w:color w:val="000000"/>
                <w:sz w:val="18"/>
                <w:szCs w:val="18"/>
              </w:rPr>
            </w:pPr>
          </w:p>
        </w:tc>
        <w:tc>
          <w:tcPr>
            <w:tcW w:w="635" w:type="dxa"/>
            <w:tcBorders>
              <w:top w:val="nil"/>
              <w:left w:val="nil"/>
              <w:bottom w:val="nil"/>
              <w:right w:val="nil"/>
            </w:tcBorders>
            <w:shd w:val="clear" w:color="auto" w:fill="auto"/>
            <w:vAlign w:val="center"/>
          </w:tcPr>
          <w:p w14:paraId="4F5D9E99" w14:textId="2FB3490C" w:rsidR="00BE1786" w:rsidRPr="00332AB5" w:rsidRDefault="00BE1786" w:rsidP="003D43BE">
            <w:pPr>
              <w:jc w:val="right"/>
              <w:rPr>
                <w:rFonts w:asciiTheme="minorHAnsi" w:hAnsiTheme="minorHAnsi" w:cstheme="minorHAnsi"/>
                <w:color w:val="000000"/>
                <w:sz w:val="18"/>
                <w:szCs w:val="18"/>
              </w:rPr>
            </w:pPr>
          </w:p>
        </w:tc>
        <w:tc>
          <w:tcPr>
            <w:tcW w:w="1089" w:type="dxa"/>
            <w:tcBorders>
              <w:top w:val="nil"/>
              <w:left w:val="nil"/>
              <w:bottom w:val="nil"/>
              <w:right w:val="nil"/>
            </w:tcBorders>
            <w:shd w:val="clear" w:color="auto" w:fill="auto"/>
            <w:vAlign w:val="center"/>
          </w:tcPr>
          <w:p w14:paraId="559A3FED" w14:textId="0C062056" w:rsidR="00BE1786" w:rsidRPr="00332AB5" w:rsidRDefault="00BE1786" w:rsidP="003D43BE">
            <w:pPr>
              <w:jc w:val="right"/>
              <w:rPr>
                <w:rFonts w:asciiTheme="minorHAnsi" w:hAnsiTheme="minorHAnsi" w:cstheme="minorHAnsi"/>
                <w:color w:val="000000"/>
                <w:sz w:val="18"/>
                <w:szCs w:val="18"/>
              </w:rPr>
            </w:pPr>
          </w:p>
        </w:tc>
        <w:tc>
          <w:tcPr>
            <w:tcW w:w="635" w:type="dxa"/>
            <w:tcBorders>
              <w:top w:val="nil"/>
              <w:left w:val="nil"/>
              <w:bottom w:val="nil"/>
              <w:right w:val="nil"/>
            </w:tcBorders>
            <w:shd w:val="clear" w:color="auto" w:fill="auto"/>
            <w:vAlign w:val="center"/>
          </w:tcPr>
          <w:p w14:paraId="199359F7" w14:textId="621347F3" w:rsidR="00BE1786" w:rsidRPr="00332AB5" w:rsidRDefault="00BE1786" w:rsidP="003D43BE">
            <w:pPr>
              <w:jc w:val="right"/>
              <w:rPr>
                <w:rFonts w:asciiTheme="minorHAnsi" w:hAnsiTheme="minorHAnsi" w:cstheme="minorHAnsi"/>
                <w:color w:val="000000"/>
                <w:sz w:val="18"/>
                <w:szCs w:val="18"/>
              </w:rPr>
            </w:pPr>
          </w:p>
        </w:tc>
        <w:tc>
          <w:tcPr>
            <w:tcW w:w="1089" w:type="dxa"/>
            <w:vAlign w:val="center"/>
          </w:tcPr>
          <w:p w14:paraId="44EF1DAA" w14:textId="77777777"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vAlign w:val="center"/>
          </w:tcPr>
          <w:p w14:paraId="2451E0CB" w14:textId="77777777"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r>
      <w:tr w:rsidR="00BE1786" w:rsidRPr="00332AB5" w14:paraId="4AC84AA4" w14:textId="77777777" w:rsidTr="003D43BE">
        <w:trPr>
          <w:trHeight w:val="397"/>
        </w:trPr>
        <w:tc>
          <w:tcPr>
            <w:tcW w:w="1179" w:type="dxa"/>
            <w:vAlign w:val="center"/>
          </w:tcPr>
          <w:p w14:paraId="7C85DFE0" w14:textId="77777777" w:rsidR="00BE1786" w:rsidRPr="00332AB5" w:rsidRDefault="00BE1786" w:rsidP="00BE1786">
            <w:pPr>
              <w:rPr>
                <w:rFonts w:asciiTheme="minorHAnsi" w:hAnsiTheme="minorHAnsi" w:cstheme="minorHAnsi"/>
                <w:sz w:val="18"/>
                <w:szCs w:val="18"/>
              </w:rPr>
            </w:pPr>
            <w:r w:rsidRPr="00332AB5">
              <w:rPr>
                <w:rFonts w:asciiTheme="minorHAnsi" w:hAnsiTheme="minorHAnsi" w:cstheme="minorHAnsi"/>
                <w:sz w:val="18"/>
                <w:szCs w:val="18"/>
              </w:rPr>
              <w:t>M 18</w:t>
            </w:r>
          </w:p>
        </w:tc>
        <w:tc>
          <w:tcPr>
            <w:tcW w:w="998" w:type="dxa"/>
            <w:vAlign w:val="center"/>
          </w:tcPr>
          <w:p w14:paraId="36EA9E05" w14:textId="2A867DDE" w:rsidR="00BE1786" w:rsidRPr="00332AB5" w:rsidRDefault="00BE1786" w:rsidP="003D43BE">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tcBorders>
              <w:top w:val="nil"/>
              <w:left w:val="nil"/>
              <w:bottom w:val="nil"/>
              <w:right w:val="nil"/>
            </w:tcBorders>
            <w:shd w:val="clear" w:color="auto" w:fill="auto"/>
            <w:vAlign w:val="center"/>
          </w:tcPr>
          <w:p w14:paraId="61BCF337" w14:textId="18BC24C6" w:rsidR="00BE1786" w:rsidRPr="00332AB5" w:rsidRDefault="00BE1786" w:rsidP="003D43BE">
            <w:pPr>
              <w:jc w:val="right"/>
              <w:rPr>
                <w:rFonts w:asciiTheme="minorHAnsi" w:hAnsiTheme="minorHAnsi" w:cstheme="minorHAnsi"/>
                <w:color w:val="000000"/>
                <w:sz w:val="18"/>
                <w:szCs w:val="18"/>
              </w:rPr>
            </w:pPr>
          </w:p>
        </w:tc>
        <w:tc>
          <w:tcPr>
            <w:tcW w:w="845" w:type="dxa"/>
            <w:tcBorders>
              <w:top w:val="nil"/>
              <w:left w:val="nil"/>
              <w:bottom w:val="nil"/>
              <w:right w:val="nil"/>
            </w:tcBorders>
            <w:shd w:val="clear" w:color="auto" w:fill="auto"/>
            <w:vAlign w:val="center"/>
          </w:tcPr>
          <w:p w14:paraId="28CB772C" w14:textId="04DB7E33" w:rsidR="00BE1786" w:rsidRPr="00332AB5" w:rsidRDefault="00BE1786" w:rsidP="003D43BE">
            <w:pPr>
              <w:jc w:val="right"/>
              <w:rPr>
                <w:rFonts w:asciiTheme="minorHAnsi" w:hAnsiTheme="minorHAnsi" w:cstheme="minorHAnsi"/>
                <w:color w:val="000000"/>
                <w:sz w:val="18"/>
                <w:szCs w:val="18"/>
              </w:rPr>
            </w:pPr>
          </w:p>
        </w:tc>
        <w:tc>
          <w:tcPr>
            <w:tcW w:w="879" w:type="dxa"/>
            <w:tcBorders>
              <w:top w:val="nil"/>
              <w:left w:val="nil"/>
              <w:bottom w:val="nil"/>
              <w:right w:val="nil"/>
            </w:tcBorders>
            <w:shd w:val="clear" w:color="auto" w:fill="auto"/>
            <w:vAlign w:val="center"/>
          </w:tcPr>
          <w:p w14:paraId="20A7A5EF" w14:textId="73851BD4" w:rsidR="00BE1786" w:rsidRPr="00332AB5" w:rsidRDefault="00BE1786" w:rsidP="003D43BE">
            <w:pPr>
              <w:jc w:val="right"/>
              <w:rPr>
                <w:rFonts w:asciiTheme="minorHAnsi" w:hAnsiTheme="minorHAnsi" w:cstheme="minorHAnsi"/>
                <w:color w:val="000000"/>
                <w:sz w:val="18"/>
                <w:szCs w:val="18"/>
              </w:rPr>
            </w:pPr>
          </w:p>
        </w:tc>
        <w:tc>
          <w:tcPr>
            <w:tcW w:w="635" w:type="dxa"/>
            <w:tcBorders>
              <w:top w:val="nil"/>
              <w:left w:val="nil"/>
              <w:bottom w:val="nil"/>
              <w:right w:val="nil"/>
            </w:tcBorders>
            <w:shd w:val="clear" w:color="auto" w:fill="auto"/>
            <w:vAlign w:val="center"/>
          </w:tcPr>
          <w:p w14:paraId="5A957839" w14:textId="548981C9" w:rsidR="00BE1786" w:rsidRPr="00332AB5" w:rsidRDefault="00BE1786" w:rsidP="003D43BE">
            <w:pPr>
              <w:jc w:val="right"/>
              <w:rPr>
                <w:rFonts w:asciiTheme="minorHAnsi" w:hAnsiTheme="minorHAnsi" w:cstheme="minorHAnsi"/>
                <w:color w:val="000000"/>
                <w:sz w:val="18"/>
                <w:szCs w:val="18"/>
              </w:rPr>
            </w:pPr>
          </w:p>
        </w:tc>
        <w:tc>
          <w:tcPr>
            <w:tcW w:w="1089" w:type="dxa"/>
            <w:tcBorders>
              <w:top w:val="nil"/>
              <w:left w:val="nil"/>
              <w:bottom w:val="nil"/>
              <w:right w:val="nil"/>
            </w:tcBorders>
            <w:shd w:val="clear" w:color="auto" w:fill="auto"/>
            <w:vAlign w:val="center"/>
          </w:tcPr>
          <w:p w14:paraId="3331F79A" w14:textId="3A44D9E8" w:rsidR="00BE1786" w:rsidRPr="00332AB5" w:rsidRDefault="00BE1786" w:rsidP="003D43BE">
            <w:pPr>
              <w:jc w:val="right"/>
              <w:rPr>
                <w:rFonts w:asciiTheme="minorHAnsi" w:hAnsiTheme="minorHAnsi" w:cstheme="minorHAnsi"/>
                <w:color w:val="000000"/>
                <w:sz w:val="18"/>
                <w:szCs w:val="18"/>
              </w:rPr>
            </w:pPr>
          </w:p>
        </w:tc>
        <w:tc>
          <w:tcPr>
            <w:tcW w:w="635" w:type="dxa"/>
            <w:tcBorders>
              <w:top w:val="nil"/>
              <w:left w:val="nil"/>
              <w:bottom w:val="nil"/>
              <w:right w:val="nil"/>
            </w:tcBorders>
            <w:shd w:val="clear" w:color="auto" w:fill="auto"/>
            <w:vAlign w:val="center"/>
          </w:tcPr>
          <w:p w14:paraId="1EF4A112" w14:textId="7E68639B" w:rsidR="00BE1786" w:rsidRPr="00332AB5" w:rsidRDefault="00BE1786" w:rsidP="003D43BE">
            <w:pPr>
              <w:jc w:val="right"/>
              <w:rPr>
                <w:rFonts w:asciiTheme="minorHAnsi" w:hAnsiTheme="minorHAnsi" w:cstheme="minorHAnsi"/>
                <w:color w:val="000000"/>
                <w:sz w:val="18"/>
                <w:szCs w:val="18"/>
              </w:rPr>
            </w:pPr>
          </w:p>
        </w:tc>
        <w:tc>
          <w:tcPr>
            <w:tcW w:w="1089" w:type="dxa"/>
            <w:vAlign w:val="center"/>
          </w:tcPr>
          <w:p w14:paraId="29D3E603" w14:textId="77777777"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vAlign w:val="center"/>
          </w:tcPr>
          <w:p w14:paraId="412BDCF4" w14:textId="77777777"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r>
      <w:tr w:rsidR="00BE1786" w:rsidRPr="00332AB5" w14:paraId="56976D3C" w14:textId="77777777" w:rsidTr="003D43BE">
        <w:trPr>
          <w:trHeight w:val="397"/>
        </w:trPr>
        <w:tc>
          <w:tcPr>
            <w:tcW w:w="1179" w:type="dxa"/>
            <w:vAlign w:val="center"/>
          </w:tcPr>
          <w:p w14:paraId="00E452CB" w14:textId="77777777" w:rsidR="00BE1786" w:rsidRPr="00332AB5" w:rsidRDefault="00BE1786" w:rsidP="00BE1786">
            <w:pPr>
              <w:rPr>
                <w:rFonts w:asciiTheme="minorHAnsi" w:hAnsiTheme="minorHAnsi" w:cstheme="minorHAnsi"/>
                <w:sz w:val="18"/>
                <w:szCs w:val="18"/>
              </w:rPr>
            </w:pPr>
            <w:r w:rsidRPr="00332AB5">
              <w:rPr>
                <w:rFonts w:asciiTheme="minorHAnsi" w:hAnsiTheme="minorHAnsi" w:cstheme="minorHAnsi"/>
                <w:sz w:val="18"/>
                <w:szCs w:val="18"/>
              </w:rPr>
              <w:t>M 19</w:t>
            </w:r>
          </w:p>
        </w:tc>
        <w:tc>
          <w:tcPr>
            <w:tcW w:w="998" w:type="dxa"/>
            <w:vAlign w:val="center"/>
          </w:tcPr>
          <w:p w14:paraId="5248E7B9" w14:textId="7D538235" w:rsidR="00BE1786" w:rsidRPr="00332AB5" w:rsidRDefault="00BE1786" w:rsidP="003D43BE">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tcBorders>
              <w:top w:val="nil"/>
              <w:left w:val="nil"/>
              <w:bottom w:val="nil"/>
              <w:right w:val="nil"/>
            </w:tcBorders>
            <w:shd w:val="clear" w:color="auto" w:fill="auto"/>
            <w:vAlign w:val="center"/>
          </w:tcPr>
          <w:p w14:paraId="51EE83F7" w14:textId="05C238B5" w:rsidR="00BE1786" w:rsidRPr="00332AB5" w:rsidRDefault="00BE1786" w:rsidP="003D43BE">
            <w:pPr>
              <w:jc w:val="right"/>
              <w:rPr>
                <w:rFonts w:asciiTheme="minorHAnsi" w:hAnsiTheme="minorHAnsi" w:cstheme="minorHAnsi"/>
                <w:color w:val="000000"/>
                <w:sz w:val="18"/>
                <w:szCs w:val="18"/>
              </w:rPr>
            </w:pPr>
          </w:p>
        </w:tc>
        <w:tc>
          <w:tcPr>
            <w:tcW w:w="845" w:type="dxa"/>
            <w:tcBorders>
              <w:top w:val="nil"/>
              <w:left w:val="nil"/>
              <w:bottom w:val="nil"/>
              <w:right w:val="nil"/>
            </w:tcBorders>
            <w:shd w:val="clear" w:color="auto" w:fill="auto"/>
            <w:vAlign w:val="center"/>
          </w:tcPr>
          <w:p w14:paraId="46498547" w14:textId="070633ED" w:rsidR="00BE1786" w:rsidRPr="00332AB5" w:rsidRDefault="00BE1786" w:rsidP="003D43BE">
            <w:pPr>
              <w:jc w:val="right"/>
              <w:rPr>
                <w:rFonts w:asciiTheme="minorHAnsi" w:hAnsiTheme="minorHAnsi" w:cstheme="minorHAnsi"/>
                <w:color w:val="000000"/>
                <w:sz w:val="18"/>
                <w:szCs w:val="18"/>
              </w:rPr>
            </w:pPr>
          </w:p>
        </w:tc>
        <w:tc>
          <w:tcPr>
            <w:tcW w:w="879" w:type="dxa"/>
            <w:tcBorders>
              <w:top w:val="nil"/>
              <w:left w:val="nil"/>
              <w:bottom w:val="nil"/>
              <w:right w:val="nil"/>
            </w:tcBorders>
            <w:shd w:val="clear" w:color="auto" w:fill="auto"/>
            <w:vAlign w:val="center"/>
          </w:tcPr>
          <w:p w14:paraId="0D8AD9E0" w14:textId="1402B91B" w:rsidR="00BE1786" w:rsidRPr="00332AB5" w:rsidRDefault="00BE1786" w:rsidP="003D43BE">
            <w:pPr>
              <w:jc w:val="right"/>
              <w:rPr>
                <w:rFonts w:asciiTheme="minorHAnsi" w:hAnsiTheme="minorHAnsi" w:cstheme="minorHAnsi"/>
                <w:color w:val="000000"/>
                <w:sz w:val="18"/>
                <w:szCs w:val="18"/>
              </w:rPr>
            </w:pPr>
          </w:p>
        </w:tc>
        <w:tc>
          <w:tcPr>
            <w:tcW w:w="635" w:type="dxa"/>
            <w:tcBorders>
              <w:top w:val="nil"/>
              <w:left w:val="nil"/>
              <w:bottom w:val="nil"/>
              <w:right w:val="nil"/>
            </w:tcBorders>
            <w:shd w:val="clear" w:color="auto" w:fill="auto"/>
            <w:vAlign w:val="center"/>
          </w:tcPr>
          <w:p w14:paraId="22D51B20" w14:textId="47840884" w:rsidR="00BE1786" w:rsidRPr="00332AB5" w:rsidRDefault="00BE1786" w:rsidP="003D43BE">
            <w:pPr>
              <w:jc w:val="right"/>
              <w:rPr>
                <w:rFonts w:asciiTheme="minorHAnsi" w:hAnsiTheme="minorHAnsi" w:cstheme="minorHAnsi"/>
                <w:color w:val="000000"/>
                <w:sz w:val="18"/>
                <w:szCs w:val="18"/>
              </w:rPr>
            </w:pPr>
          </w:p>
        </w:tc>
        <w:tc>
          <w:tcPr>
            <w:tcW w:w="1089" w:type="dxa"/>
            <w:tcBorders>
              <w:top w:val="nil"/>
              <w:left w:val="nil"/>
              <w:bottom w:val="nil"/>
              <w:right w:val="nil"/>
            </w:tcBorders>
            <w:shd w:val="clear" w:color="auto" w:fill="auto"/>
            <w:vAlign w:val="center"/>
          </w:tcPr>
          <w:p w14:paraId="647E6FAB" w14:textId="2F478346" w:rsidR="00BE1786" w:rsidRPr="00332AB5" w:rsidRDefault="00BE1786" w:rsidP="003D43BE">
            <w:pPr>
              <w:jc w:val="right"/>
              <w:rPr>
                <w:rFonts w:asciiTheme="minorHAnsi" w:hAnsiTheme="minorHAnsi" w:cstheme="minorHAnsi"/>
                <w:color w:val="000000"/>
                <w:sz w:val="18"/>
                <w:szCs w:val="18"/>
              </w:rPr>
            </w:pPr>
          </w:p>
        </w:tc>
        <w:tc>
          <w:tcPr>
            <w:tcW w:w="635" w:type="dxa"/>
            <w:tcBorders>
              <w:top w:val="nil"/>
              <w:left w:val="nil"/>
              <w:bottom w:val="nil"/>
              <w:right w:val="nil"/>
            </w:tcBorders>
            <w:shd w:val="clear" w:color="auto" w:fill="auto"/>
            <w:vAlign w:val="center"/>
          </w:tcPr>
          <w:p w14:paraId="618ED32D" w14:textId="6583EDAB" w:rsidR="00BE1786" w:rsidRPr="00332AB5" w:rsidRDefault="00BE1786" w:rsidP="003D43BE">
            <w:pPr>
              <w:jc w:val="right"/>
              <w:rPr>
                <w:rFonts w:asciiTheme="minorHAnsi" w:hAnsiTheme="minorHAnsi" w:cstheme="minorHAnsi"/>
                <w:color w:val="000000"/>
                <w:sz w:val="18"/>
                <w:szCs w:val="18"/>
              </w:rPr>
            </w:pPr>
          </w:p>
        </w:tc>
        <w:tc>
          <w:tcPr>
            <w:tcW w:w="1089" w:type="dxa"/>
            <w:vAlign w:val="center"/>
          </w:tcPr>
          <w:p w14:paraId="3F48604E" w14:textId="77777777"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vAlign w:val="center"/>
          </w:tcPr>
          <w:p w14:paraId="56A36CF2" w14:textId="77777777"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r>
      <w:tr w:rsidR="00BE1786" w:rsidRPr="00332AB5" w14:paraId="68A1A5BC" w14:textId="77777777" w:rsidTr="003D43BE">
        <w:trPr>
          <w:trHeight w:val="397"/>
        </w:trPr>
        <w:tc>
          <w:tcPr>
            <w:tcW w:w="1179" w:type="dxa"/>
            <w:vAlign w:val="center"/>
          </w:tcPr>
          <w:p w14:paraId="0A46712A" w14:textId="77777777" w:rsidR="00BE1786" w:rsidRPr="00332AB5" w:rsidRDefault="00BE1786" w:rsidP="00BE1786">
            <w:pPr>
              <w:rPr>
                <w:rFonts w:asciiTheme="minorHAnsi" w:hAnsiTheme="minorHAnsi" w:cstheme="minorHAnsi"/>
                <w:sz w:val="18"/>
                <w:szCs w:val="18"/>
              </w:rPr>
            </w:pPr>
            <w:r w:rsidRPr="00332AB5">
              <w:rPr>
                <w:rFonts w:asciiTheme="minorHAnsi" w:hAnsiTheme="minorHAnsi" w:cstheme="minorHAnsi"/>
                <w:sz w:val="18"/>
                <w:szCs w:val="18"/>
              </w:rPr>
              <w:t>M 20</w:t>
            </w:r>
          </w:p>
        </w:tc>
        <w:tc>
          <w:tcPr>
            <w:tcW w:w="998" w:type="dxa"/>
            <w:vAlign w:val="center"/>
          </w:tcPr>
          <w:p w14:paraId="4B700DFB" w14:textId="02483B49" w:rsidR="00BE1786" w:rsidRPr="00332AB5" w:rsidRDefault="00BE1786" w:rsidP="003D43BE">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8,07</w:t>
            </w:r>
          </w:p>
        </w:tc>
        <w:tc>
          <w:tcPr>
            <w:tcW w:w="1089" w:type="dxa"/>
            <w:tcBorders>
              <w:top w:val="nil"/>
              <w:left w:val="nil"/>
              <w:bottom w:val="nil"/>
              <w:right w:val="nil"/>
            </w:tcBorders>
            <w:shd w:val="clear" w:color="auto" w:fill="auto"/>
            <w:vAlign w:val="center"/>
          </w:tcPr>
          <w:p w14:paraId="24D53917" w14:textId="11419FC7" w:rsidR="00BE1786" w:rsidRPr="00332AB5" w:rsidRDefault="00BE1786" w:rsidP="003D43BE">
            <w:pPr>
              <w:jc w:val="right"/>
              <w:rPr>
                <w:rFonts w:asciiTheme="minorHAnsi" w:hAnsiTheme="minorHAnsi" w:cstheme="minorHAnsi"/>
                <w:color w:val="000000"/>
                <w:sz w:val="18"/>
                <w:szCs w:val="18"/>
              </w:rPr>
            </w:pPr>
          </w:p>
        </w:tc>
        <w:tc>
          <w:tcPr>
            <w:tcW w:w="845" w:type="dxa"/>
            <w:tcBorders>
              <w:top w:val="nil"/>
              <w:left w:val="nil"/>
              <w:bottom w:val="nil"/>
              <w:right w:val="nil"/>
            </w:tcBorders>
            <w:shd w:val="clear" w:color="auto" w:fill="auto"/>
            <w:vAlign w:val="center"/>
          </w:tcPr>
          <w:p w14:paraId="22FBF835" w14:textId="1D9B42ED" w:rsidR="00BE1786" w:rsidRPr="00332AB5" w:rsidRDefault="00BE1786" w:rsidP="003D43BE">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0,00</w:t>
            </w:r>
          </w:p>
        </w:tc>
        <w:tc>
          <w:tcPr>
            <w:tcW w:w="879" w:type="dxa"/>
            <w:tcBorders>
              <w:top w:val="nil"/>
              <w:left w:val="nil"/>
              <w:bottom w:val="nil"/>
              <w:right w:val="nil"/>
            </w:tcBorders>
            <w:shd w:val="clear" w:color="auto" w:fill="auto"/>
            <w:vAlign w:val="center"/>
          </w:tcPr>
          <w:p w14:paraId="376DBC5B" w14:textId="68634953" w:rsidR="00BE1786" w:rsidRPr="00332AB5" w:rsidRDefault="00BE1786" w:rsidP="003D43BE">
            <w:pPr>
              <w:jc w:val="right"/>
              <w:rPr>
                <w:rFonts w:asciiTheme="minorHAnsi" w:hAnsiTheme="minorHAnsi" w:cstheme="minorHAnsi"/>
                <w:color w:val="000000"/>
                <w:sz w:val="18"/>
                <w:szCs w:val="18"/>
              </w:rPr>
            </w:pPr>
          </w:p>
        </w:tc>
        <w:tc>
          <w:tcPr>
            <w:tcW w:w="635" w:type="dxa"/>
            <w:tcBorders>
              <w:top w:val="nil"/>
              <w:left w:val="nil"/>
              <w:bottom w:val="nil"/>
              <w:right w:val="nil"/>
            </w:tcBorders>
            <w:shd w:val="clear" w:color="auto" w:fill="auto"/>
            <w:vAlign w:val="center"/>
          </w:tcPr>
          <w:p w14:paraId="07DFC441" w14:textId="4400DD14" w:rsidR="00BE1786" w:rsidRPr="00332AB5" w:rsidRDefault="00BE1786" w:rsidP="003D43BE">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0,00</w:t>
            </w:r>
          </w:p>
        </w:tc>
        <w:tc>
          <w:tcPr>
            <w:tcW w:w="1089" w:type="dxa"/>
            <w:tcBorders>
              <w:top w:val="nil"/>
              <w:left w:val="nil"/>
              <w:bottom w:val="nil"/>
              <w:right w:val="nil"/>
            </w:tcBorders>
            <w:shd w:val="clear" w:color="auto" w:fill="auto"/>
            <w:vAlign w:val="center"/>
          </w:tcPr>
          <w:p w14:paraId="2E78B93F" w14:textId="702E1FA1" w:rsidR="00BE1786" w:rsidRPr="00332AB5" w:rsidRDefault="00BE1786" w:rsidP="003D43BE">
            <w:pPr>
              <w:jc w:val="right"/>
              <w:rPr>
                <w:rFonts w:asciiTheme="minorHAnsi" w:hAnsiTheme="minorHAnsi" w:cstheme="minorHAnsi"/>
                <w:color w:val="000000"/>
                <w:sz w:val="18"/>
                <w:szCs w:val="18"/>
              </w:rPr>
            </w:pPr>
          </w:p>
        </w:tc>
        <w:tc>
          <w:tcPr>
            <w:tcW w:w="635" w:type="dxa"/>
            <w:tcBorders>
              <w:top w:val="nil"/>
              <w:left w:val="nil"/>
              <w:bottom w:val="nil"/>
              <w:right w:val="nil"/>
            </w:tcBorders>
            <w:shd w:val="clear" w:color="auto" w:fill="auto"/>
            <w:vAlign w:val="center"/>
          </w:tcPr>
          <w:p w14:paraId="6867723D" w14:textId="34805BC0" w:rsidR="00BE1786" w:rsidRPr="00332AB5" w:rsidRDefault="00BE1786" w:rsidP="003D43BE">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0,00</w:t>
            </w:r>
          </w:p>
        </w:tc>
        <w:tc>
          <w:tcPr>
            <w:tcW w:w="1089" w:type="dxa"/>
            <w:vAlign w:val="center"/>
          </w:tcPr>
          <w:p w14:paraId="63966B85" w14:textId="77777777"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vAlign w:val="center"/>
          </w:tcPr>
          <w:p w14:paraId="1CA7B399" w14:textId="77777777" w:rsidR="00BE1786" w:rsidRPr="00332AB5" w:rsidRDefault="00BE1786" w:rsidP="00BE1786">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r>
      <w:tr w:rsidR="00234C90" w:rsidRPr="00332AB5" w14:paraId="196C918F" w14:textId="77777777" w:rsidTr="003D43BE">
        <w:trPr>
          <w:trHeight w:val="397"/>
        </w:trPr>
        <w:tc>
          <w:tcPr>
            <w:tcW w:w="1179" w:type="dxa"/>
            <w:vAlign w:val="center"/>
          </w:tcPr>
          <w:p w14:paraId="1C5FFD22" w14:textId="77777777" w:rsidR="00234C90" w:rsidRPr="00332AB5" w:rsidRDefault="00234C90" w:rsidP="00234C90">
            <w:pPr>
              <w:rPr>
                <w:rFonts w:asciiTheme="minorHAnsi" w:hAnsiTheme="minorHAnsi" w:cstheme="minorHAnsi"/>
                <w:sz w:val="18"/>
                <w:szCs w:val="18"/>
              </w:rPr>
            </w:pPr>
            <w:r w:rsidRPr="00332AB5">
              <w:rPr>
                <w:rFonts w:asciiTheme="minorHAnsi" w:hAnsiTheme="minorHAnsi" w:cstheme="minorHAnsi"/>
                <w:sz w:val="18"/>
                <w:szCs w:val="18"/>
              </w:rPr>
              <w:t>M 21</w:t>
            </w:r>
          </w:p>
        </w:tc>
        <w:tc>
          <w:tcPr>
            <w:tcW w:w="998" w:type="dxa"/>
            <w:vAlign w:val="center"/>
          </w:tcPr>
          <w:p w14:paraId="297EC10B" w14:textId="02457117" w:rsidR="00234C90" w:rsidRPr="00332AB5" w:rsidRDefault="00234C90" w:rsidP="00234C90">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vAlign w:val="center"/>
          </w:tcPr>
          <w:p w14:paraId="7EC0859B" w14:textId="6544CC18" w:rsidR="00234C90" w:rsidRPr="00332AB5" w:rsidRDefault="00234C90" w:rsidP="00234C90">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845" w:type="dxa"/>
            <w:vAlign w:val="center"/>
          </w:tcPr>
          <w:p w14:paraId="3AD27781" w14:textId="1B56A470" w:rsidR="00234C90" w:rsidRPr="00332AB5" w:rsidRDefault="00234C90" w:rsidP="00234C90">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879" w:type="dxa"/>
            <w:vAlign w:val="center"/>
          </w:tcPr>
          <w:p w14:paraId="373F74CB" w14:textId="65EF2FDB" w:rsidR="00234C90" w:rsidRPr="00332AB5" w:rsidRDefault="00234C90" w:rsidP="00234C90">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vAlign w:val="center"/>
          </w:tcPr>
          <w:p w14:paraId="18705CED" w14:textId="240BD63A" w:rsidR="00234C90" w:rsidRPr="00332AB5" w:rsidRDefault="00234C90" w:rsidP="00234C90">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vAlign w:val="center"/>
          </w:tcPr>
          <w:p w14:paraId="29A9A706" w14:textId="75263799" w:rsidR="00234C90" w:rsidRPr="00332AB5" w:rsidRDefault="00234C90" w:rsidP="00234C90">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vAlign w:val="center"/>
          </w:tcPr>
          <w:p w14:paraId="6C794A1F" w14:textId="562FE231" w:rsidR="00234C90" w:rsidRPr="00332AB5" w:rsidRDefault="00234C90" w:rsidP="00234C90">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1089" w:type="dxa"/>
            <w:vAlign w:val="center"/>
          </w:tcPr>
          <w:p w14:paraId="041D8944" w14:textId="77777777" w:rsidR="00234C90" w:rsidRPr="00332AB5" w:rsidRDefault="00234C90" w:rsidP="00234C90">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c>
          <w:tcPr>
            <w:tcW w:w="635" w:type="dxa"/>
            <w:vAlign w:val="center"/>
          </w:tcPr>
          <w:p w14:paraId="7C27AEDF" w14:textId="77777777" w:rsidR="00234C90" w:rsidRPr="00332AB5" w:rsidRDefault="00234C90" w:rsidP="00234C90">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w:t>
            </w:r>
          </w:p>
        </w:tc>
      </w:tr>
      <w:tr w:rsidR="00BE1786" w:rsidRPr="00332AB5" w14:paraId="622CCF7E" w14:textId="77777777" w:rsidTr="003D43BE">
        <w:trPr>
          <w:trHeight w:val="397"/>
        </w:trPr>
        <w:tc>
          <w:tcPr>
            <w:tcW w:w="1179" w:type="dxa"/>
            <w:vAlign w:val="center"/>
          </w:tcPr>
          <w:p w14:paraId="48B6994E" w14:textId="37F2BCBE" w:rsidR="00BE1786" w:rsidRPr="00332AB5" w:rsidRDefault="00BE1786" w:rsidP="00234C90">
            <w:pPr>
              <w:rPr>
                <w:rFonts w:asciiTheme="minorHAnsi" w:hAnsiTheme="minorHAnsi" w:cstheme="minorHAnsi"/>
                <w:sz w:val="18"/>
                <w:szCs w:val="18"/>
              </w:rPr>
            </w:pPr>
            <w:r w:rsidRPr="00332AB5">
              <w:rPr>
                <w:rFonts w:asciiTheme="minorHAnsi" w:hAnsiTheme="minorHAnsi" w:cstheme="minorHAnsi"/>
                <w:sz w:val="18"/>
                <w:szCs w:val="18"/>
              </w:rPr>
              <w:t>M 22</w:t>
            </w:r>
          </w:p>
        </w:tc>
        <w:tc>
          <w:tcPr>
            <w:tcW w:w="998" w:type="dxa"/>
            <w:vAlign w:val="center"/>
          </w:tcPr>
          <w:p w14:paraId="20242A7E" w14:textId="77777777" w:rsidR="00BE1786" w:rsidRPr="00332AB5" w:rsidRDefault="00BE1786" w:rsidP="00234C90">
            <w:pPr>
              <w:jc w:val="right"/>
              <w:rPr>
                <w:rFonts w:asciiTheme="minorHAnsi" w:hAnsiTheme="minorHAnsi" w:cstheme="minorHAnsi"/>
                <w:color w:val="000000"/>
                <w:sz w:val="18"/>
                <w:szCs w:val="18"/>
              </w:rPr>
            </w:pPr>
          </w:p>
        </w:tc>
        <w:tc>
          <w:tcPr>
            <w:tcW w:w="1089" w:type="dxa"/>
            <w:vAlign w:val="center"/>
          </w:tcPr>
          <w:p w14:paraId="267EDF7E" w14:textId="77777777" w:rsidR="00BE1786" w:rsidRPr="00332AB5" w:rsidRDefault="00BE1786" w:rsidP="00234C90">
            <w:pPr>
              <w:jc w:val="right"/>
              <w:rPr>
                <w:rFonts w:asciiTheme="minorHAnsi" w:hAnsiTheme="minorHAnsi" w:cstheme="minorHAnsi"/>
                <w:color w:val="000000"/>
                <w:sz w:val="18"/>
                <w:szCs w:val="18"/>
              </w:rPr>
            </w:pPr>
          </w:p>
        </w:tc>
        <w:tc>
          <w:tcPr>
            <w:tcW w:w="845" w:type="dxa"/>
            <w:vAlign w:val="center"/>
          </w:tcPr>
          <w:p w14:paraId="6C50B5B2" w14:textId="77777777" w:rsidR="00BE1786" w:rsidRPr="00332AB5" w:rsidRDefault="00BE1786" w:rsidP="00234C90">
            <w:pPr>
              <w:jc w:val="right"/>
              <w:rPr>
                <w:rFonts w:asciiTheme="minorHAnsi" w:hAnsiTheme="minorHAnsi" w:cstheme="minorHAnsi"/>
                <w:color w:val="000000"/>
                <w:sz w:val="18"/>
                <w:szCs w:val="18"/>
              </w:rPr>
            </w:pPr>
          </w:p>
        </w:tc>
        <w:tc>
          <w:tcPr>
            <w:tcW w:w="879" w:type="dxa"/>
            <w:vAlign w:val="center"/>
          </w:tcPr>
          <w:p w14:paraId="6F574E18" w14:textId="77777777" w:rsidR="00BE1786" w:rsidRPr="00332AB5" w:rsidRDefault="00BE1786" w:rsidP="00234C90">
            <w:pPr>
              <w:jc w:val="right"/>
              <w:rPr>
                <w:rFonts w:asciiTheme="minorHAnsi" w:hAnsiTheme="minorHAnsi" w:cstheme="minorHAnsi"/>
                <w:color w:val="000000"/>
                <w:sz w:val="18"/>
                <w:szCs w:val="18"/>
              </w:rPr>
            </w:pPr>
          </w:p>
        </w:tc>
        <w:tc>
          <w:tcPr>
            <w:tcW w:w="635" w:type="dxa"/>
            <w:vAlign w:val="center"/>
          </w:tcPr>
          <w:p w14:paraId="035BE63C" w14:textId="77777777" w:rsidR="00BE1786" w:rsidRPr="00332AB5" w:rsidRDefault="00BE1786" w:rsidP="00234C90">
            <w:pPr>
              <w:jc w:val="right"/>
              <w:rPr>
                <w:rFonts w:asciiTheme="minorHAnsi" w:hAnsiTheme="minorHAnsi" w:cstheme="minorHAnsi"/>
                <w:color w:val="000000"/>
                <w:sz w:val="18"/>
                <w:szCs w:val="18"/>
              </w:rPr>
            </w:pPr>
          </w:p>
        </w:tc>
        <w:tc>
          <w:tcPr>
            <w:tcW w:w="1089" w:type="dxa"/>
            <w:vAlign w:val="center"/>
          </w:tcPr>
          <w:p w14:paraId="779C347B" w14:textId="77777777" w:rsidR="00BE1786" w:rsidRPr="00332AB5" w:rsidRDefault="00BE1786" w:rsidP="00234C90">
            <w:pPr>
              <w:jc w:val="right"/>
              <w:rPr>
                <w:rFonts w:asciiTheme="minorHAnsi" w:hAnsiTheme="minorHAnsi" w:cstheme="minorHAnsi"/>
                <w:color w:val="000000"/>
                <w:sz w:val="18"/>
                <w:szCs w:val="18"/>
              </w:rPr>
            </w:pPr>
          </w:p>
        </w:tc>
        <w:tc>
          <w:tcPr>
            <w:tcW w:w="635" w:type="dxa"/>
            <w:vAlign w:val="center"/>
          </w:tcPr>
          <w:p w14:paraId="3E9644BA" w14:textId="77777777" w:rsidR="00BE1786" w:rsidRPr="00332AB5" w:rsidRDefault="00BE1786" w:rsidP="00234C90">
            <w:pPr>
              <w:jc w:val="right"/>
              <w:rPr>
                <w:rFonts w:asciiTheme="minorHAnsi" w:hAnsiTheme="minorHAnsi" w:cstheme="minorHAnsi"/>
                <w:color w:val="000000"/>
                <w:sz w:val="18"/>
                <w:szCs w:val="18"/>
              </w:rPr>
            </w:pPr>
          </w:p>
        </w:tc>
        <w:tc>
          <w:tcPr>
            <w:tcW w:w="1089" w:type="dxa"/>
            <w:vAlign w:val="center"/>
          </w:tcPr>
          <w:p w14:paraId="25D758BB" w14:textId="77777777" w:rsidR="00BE1786" w:rsidRPr="00332AB5" w:rsidRDefault="00BE1786" w:rsidP="00234C90">
            <w:pPr>
              <w:jc w:val="right"/>
              <w:rPr>
                <w:rFonts w:asciiTheme="minorHAnsi" w:hAnsiTheme="minorHAnsi" w:cstheme="minorHAnsi"/>
                <w:color w:val="000000"/>
                <w:sz w:val="18"/>
                <w:szCs w:val="18"/>
              </w:rPr>
            </w:pPr>
          </w:p>
        </w:tc>
        <w:tc>
          <w:tcPr>
            <w:tcW w:w="635" w:type="dxa"/>
            <w:vAlign w:val="center"/>
          </w:tcPr>
          <w:p w14:paraId="5173CA82" w14:textId="77777777" w:rsidR="00BE1786" w:rsidRPr="00332AB5" w:rsidRDefault="00BE1786" w:rsidP="00234C90">
            <w:pPr>
              <w:jc w:val="right"/>
              <w:rPr>
                <w:rFonts w:asciiTheme="minorHAnsi" w:hAnsiTheme="minorHAnsi" w:cstheme="minorHAnsi"/>
                <w:color w:val="000000"/>
                <w:sz w:val="18"/>
                <w:szCs w:val="18"/>
              </w:rPr>
            </w:pPr>
          </w:p>
        </w:tc>
      </w:tr>
      <w:tr w:rsidR="00C25832" w:rsidRPr="00332AB5" w14:paraId="228C9F9A" w14:textId="77777777" w:rsidTr="003D43BE">
        <w:trPr>
          <w:trHeight w:val="510"/>
        </w:trPr>
        <w:tc>
          <w:tcPr>
            <w:tcW w:w="1179" w:type="dxa"/>
            <w:vAlign w:val="center"/>
          </w:tcPr>
          <w:p w14:paraId="7518C7D4" w14:textId="77777777" w:rsidR="00C25832" w:rsidRPr="00332AB5" w:rsidRDefault="00C25832" w:rsidP="00C25832">
            <w:pPr>
              <w:rPr>
                <w:rFonts w:asciiTheme="minorHAnsi" w:hAnsiTheme="minorHAnsi" w:cstheme="minorHAnsi"/>
                <w:sz w:val="18"/>
                <w:szCs w:val="24"/>
              </w:rPr>
            </w:pPr>
            <w:r w:rsidRPr="00332AB5">
              <w:rPr>
                <w:rFonts w:asciiTheme="minorHAnsi" w:hAnsiTheme="minorHAnsi" w:cstheme="minorHAnsi"/>
                <w:sz w:val="18"/>
              </w:rPr>
              <w:t>UKUPNO</w:t>
            </w:r>
          </w:p>
        </w:tc>
        <w:tc>
          <w:tcPr>
            <w:tcW w:w="998" w:type="dxa"/>
            <w:tcBorders>
              <w:top w:val="single" w:sz="4" w:space="0" w:color="808080" w:themeColor="background1" w:themeShade="80"/>
              <w:bottom w:val="single" w:sz="4" w:space="0" w:color="808080" w:themeColor="background1" w:themeShade="80"/>
            </w:tcBorders>
            <w:vAlign w:val="center"/>
          </w:tcPr>
          <w:p w14:paraId="52B708A6" w14:textId="77777777" w:rsidR="00C25832" w:rsidRPr="00332AB5" w:rsidRDefault="00C25832" w:rsidP="00C25832">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201,67</w:t>
            </w:r>
          </w:p>
        </w:tc>
        <w:tc>
          <w:tcPr>
            <w:tcW w:w="1089" w:type="dxa"/>
            <w:tcBorders>
              <w:top w:val="single" w:sz="4" w:space="0" w:color="808080" w:themeColor="background1" w:themeShade="80"/>
              <w:left w:val="nil"/>
              <w:bottom w:val="single" w:sz="4" w:space="0" w:color="808080" w:themeColor="background1" w:themeShade="80"/>
              <w:right w:val="nil"/>
            </w:tcBorders>
            <w:shd w:val="clear" w:color="auto" w:fill="auto"/>
            <w:vAlign w:val="center"/>
          </w:tcPr>
          <w:p w14:paraId="52D3B33A" w14:textId="29ECF4B1" w:rsidR="00C25832" w:rsidRPr="00332AB5" w:rsidRDefault="00C25832" w:rsidP="00C25832">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105,91</w:t>
            </w:r>
          </w:p>
        </w:tc>
        <w:tc>
          <w:tcPr>
            <w:tcW w:w="845" w:type="dxa"/>
            <w:tcBorders>
              <w:top w:val="single" w:sz="4" w:space="0" w:color="808080" w:themeColor="background1" w:themeShade="80"/>
              <w:left w:val="nil"/>
              <w:bottom w:val="single" w:sz="4" w:space="0" w:color="808080" w:themeColor="background1" w:themeShade="80"/>
            </w:tcBorders>
            <w:shd w:val="clear" w:color="auto" w:fill="auto"/>
            <w:vAlign w:val="center"/>
          </w:tcPr>
          <w:p w14:paraId="1E8F99A1" w14:textId="796652B7" w:rsidR="00C25832" w:rsidRPr="00332AB5" w:rsidRDefault="00C25832" w:rsidP="00C25832">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52,52</w:t>
            </w:r>
          </w:p>
        </w:tc>
        <w:tc>
          <w:tcPr>
            <w:tcW w:w="879" w:type="dxa"/>
            <w:tcBorders>
              <w:top w:val="single" w:sz="4" w:space="0" w:color="808080" w:themeColor="background1" w:themeShade="80"/>
              <w:left w:val="nil"/>
              <w:bottom w:val="single" w:sz="4" w:space="0" w:color="808080" w:themeColor="background1" w:themeShade="80"/>
              <w:right w:val="nil"/>
            </w:tcBorders>
            <w:shd w:val="clear" w:color="auto" w:fill="auto"/>
            <w:vAlign w:val="center"/>
          </w:tcPr>
          <w:p w14:paraId="06057C00" w14:textId="1413DC1F" w:rsidR="00C25832" w:rsidRPr="00332AB5" w:rsidRDefault="00C25832" w:rsidP="00C25832">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80,55</w:t>
            </w:r>
          </w:p>
        </w:tc>
        <w:tc>
          <w:tcPr>
            <w:tcW w:w="635" w:type="dxa"/>
            <w:tcBorders>
              <w:top w:val="single" w:sz="4" w:space="0" w:color="808080" w:themeColor="background1" w:themeShade="80"/>
              <w:left w:val="nil"/>
              <w:bottom w:val="single" w:sz="4" w:space="0" w:color="808080" w:themeColor="background1" w:themeShade="80"/>
              <w:right w:val="nil"/>
            </w:tcBorders>
            <w:shd w:val="clear" w:color="auto" w:fill="auto"/>
            <w:vAlign w:val="center"/>
          </w:tcPr>
          <w:p w14:paraId="1B72BC8E" w14:textId="65B09B06" w:rsidR="00C25832" w:rsidRPr="00332AB5" w:rsidRDefault="00C25832" w:rsidP="00C25832">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39,94</w:t>
            </w:r>
          </w:p>
        </w:tc>
        <w:tc>
          <w:tcPr>
            <w:tcW w:w="1089" w:type="dxa"/>
            <w:tcBorders>
              <w:top w:val="single" w:sz="4" w:space="0" w:color="808080" w:themeColor="background1" w:themeShade="80"/>
              <w:left w:val="nil"/>
              <w:bottom w:val="single" w:sz="4" w:space="0" w:color="808080" w:themeColor="background1" w:themeShade="80"/>
              <w:right w:val="nil"/>
            </w:tcBorders>
            <w:shd w:val="clear" w:color="auto" w:fill="auto"/>
            <w:vAlign w:val="center"/>
          </w:tcPr>
          <w:p w14:paraId="1BB8620A" w14:textId="1A011982" w:rsidR="00C25832" w:rsidRPr="00332AB5" w:rsidRDefault="00C25832" w:rsidP="00C25832">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47,73</w:t>
            </w:r>
          </w:p>
        </w:tc>
        <w:tc>
          <w:tcPr>
            <w:tcW w:w="635" w:type="dxa"/>
            <w:tcBorders>
              <w:top w:val="single" w:sz="4" w:space="0" w:color="808080" w:themeColor="background1" w:themeShade="80"/>
              <w:left w:val="nil"/>
              <w:bottom w:val="single" w:sz="4" w:space="0" w:color="808080" w:themeColor="background1" w:themeShade="80"/>
              <w:right w:val="nil"/>
            </w:tcBorders>
            <w:shd w:val="clear" w:color="auto" w:fill="auto"/>
            <w:vAlign w:val="center"/>
          </w:tcPr>
          <w:p w14:paraId="0B95D3EE" w14:textId="214BCC40" w:rsidR="00C25832" w:rsidRPr="00332AB5" w:rsidRDefault="00C25832" w:rsidP="00C25832">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23,67</w:t>
            </w:r>
          </w:p>
        </w:tc>
        <w:tc>
          <w:tcPr>
            <w:tcW w:w="1089" w:type="dxa"/>
            <w:tcBorders>
              <w:top w:val="single" w:sz="4" w:space="0" w:color="808080" w:themeColor="background1" w:themeShade="80"/>
              <w:bottom w:val="single" w:sz="4" w:space="0" w:color="808080" w:themeColor="background1" w:themeShade="80"/>
            </w:tcBorders>
            <w:vAlign w:val="center"/>
          </w:tcPr>
          <w:p w14:paraId="0DF01114" w14:textId="48DA4309" w:rsidR="00C25832" w:rsidRPr="00332AB5" w:rsidRDefault="00C25832" w:rsidP="00C25832">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47,73</w:t>
            </w:r>
          </w:p>
        </w:tc>
        <w:tc>
          <w:tcPr>
            <w:tcW w:w="635" w:type="dxa"/>
            <w:tcBorders>
              <w:top w:val="single" w:sz="4" w:space="0" w:color="808080" w:themeColor="background1" w:themeShade="80"/>
              <w:bottom w:val="single" w:sz="4" w:space="0" w:color="808080" w:themeColor="background1" w:themeShade="80"/>
            </w:tcBorders>
            <w:vAlign w:val="center"/>
          </w:tcPr>
          <w:p w14:paraId="4DCBE7E8" w14:textId="614A6731" w:rsidR="00C25832" w:rsidRPr="00332AB5" w:rsidRDefault="00C25832" w:rsidP="00C25832">
            <w:pPr>
              <w:jc w:val="right"/>
              <w:rPr>
                <w:rFonts w:asciiTheme="minorHAnsi" w:hAnsiTheme="minorHAnsi" w:cstheme="minorHAnsi"/>
                <w:color w:val="000000"/>
                <w:sz w:val="18"/>
                <w:szCs w:val="18"/>
              </w:rPr>
            </w:pPr>
            <w:r w:rsidRPr="00332AB5">
              <w:rPr>
                <w:rFonts w:asciiTheme="minorHAnsi" w:hAnsiTheme="minorHAnsi" w:cstheme="minorHAnsi"/>
                <w:color w:val="000000"/>
                <w:sz w:val="18"/>
                <w:szCs w:val="18"/>
              </w:rPr>
              <w:t>23,67</w:t>
            </w:r>
          </w:p>
        </w:tc>
      </w:tr>
    </w:tbl>
    <w:p w14:paraId="7C1DABA9" w14:textId="24071E0A" w:rsidR="00CA7252" w:rsidRPr="00332AB5" w:rsidRDefault="00CA7252">
      <w:pPr>
        <w:rPr>
          <w:b/>
          <w:caps/>
          <w:sz w:val="28"/>
        </w:rPr>
      </w:pPr>
      <w:r w:rsidRPr="00332AB5">
        <w:br w:type="page"/>
      </w:r>
    </w:p>
    <w:p w14:paraId="09021E7A" w14:textId="77777777" w:rsidR="00CA7252" w:rsidRPr="00332AB5" w:rsidRDefault="00CA7252" w:rsidP="00CA7252">
      <w:pPr>
        <w:pStyle w:val="Heading1"/>
        <w:jc w:val="both"/>
      </w:pPr>
      <w:bookmarkStart w:id="156" w:name="_Toc152595246"/>
      <w:r w:rsidRPr="00332AB5">
        <w:t>JAČANJE SUSTAVA I POVEĆANJE UČINKOVITOSTI PROVEDBE EUROPSKIH STRUKTURNIH I INVESTICIJSKIH FONDOVA</w:t>
      </w:r>
      <w:bookmarkEnd w:id="156"/>
      <w:r w:rsidRPr="00332AB5">
        <w:t xml:space="preserve"> </w:t>
      </w:r>
    </w:p>
    <w:p w14:paraId="2D0A3414" w14:textId="77777777" w:rsidR="00B1568E" w:rsidRPr="00332AB5" w:rsidRDefault="00B1568E" w:rsidP="00B1568E">
      <w:pPr>
        <w:spacing w:before="120" w:after="120"/>
        <w:jc w:val="both"/>
        <w:rPr>
          <w:sz w:val="24"/>
          <w:szCs w:val="24"/>
        </w:rPr>
      </w:pPr>
      <w:r w:rsidRPr="00332AB5">
        <w:rPr>
          <w:sz w:val="24"/>
          <w:szCs w:val="24"/>
        </w:rPr>
        <w:t xml:space="preserve">MRRFEU kao tijelo nadležno za sveukupnu koordinaciju sustava upravljanja i kontrole korištenja ESI, odnosno EU fondova redovno prati stanje administrativnih kapaciteta u sustavu, uključujući i podatke proizašle iz analiza radne opterećenosti te o broju osoba koje je potrebno dodatno zaposliti na razini svakog tijela zasebno te ukupnog broja potrebnih osoba, o čemu redovno izvještava Vladu Republike Hrvatske. </w:t>
      </w:r>
    </w:p>
    <w:p w14:paraId="7B7CAA12" w14:textId="096730B4" w:rsidR="00B1568E" w:rsidRPr="00332AB5" w:rsidRDefault="00B1568E" w:rsidP="00B1568E">
      <w:pPr>
        <w:spacing w:before="120" w:after="120"/>
        <w:jc w:val="both"/>
        <w:rPr>
          <w:sz w:val="24"/>
          <w:szCs w:val="24"/>
        </w:rPr>
      </w:pPr>
      <w:r w:rsidRPr="00332AB5">
        <w:rPr>
          <w:sz w:val="24"/>
          <w:szCs w:val="24"/>
        </w:rPr>
        <w:t>Prema podacima MRRFEU-a na razini institucionalnog okvira financijskog razdoblja 2014.</w:t>
      </w:r>
      <w:r w:rsidR="0039743B" w:rsidRPr="00332AB5">
        <w:rPr>
          <w:sz w:val="24"/>
          <w:szCs w:val="24"/>
        </w:rPr>
        <w:t xml:space="preserve"> </w:t>
      </w:r>
      <w:r w:rsidRPr="00332AB5">
        <w:rPr>
          <w:sz w:val="24"/>
          <w:szCs w:val="24"/>
        </w:rPr>
        <w:t>-</w:t>
      </w:r>
      <w:r w:rsidR="0039743B" w:rsidRPr="00332AB5">
        <w:rPr>
          <w:sz w:val="24"/>
          <w:szCs w:val="24"/>
        </w:rPr>
        <w:t xml:space="preserve"> </w:t>
      </w:r>
      <w:r w:rsidRPr="00332AB5">
        <w:rPr>
          <w:sz w:val="24"/>
          <w:szCs w:val="24"/>
        </w:rPr>
        <w:t>2020., i financijskoga razdoblja 2021.</w:t>
      </w:r>
      <w:r w:rsidR="0039743B" w:rsidRPr="00332AB5">
        <w:rPr>
          <w:sz w:val="24"/>
          <w:szCs w:val="24"/>
        </w:rPr>
        <w:t xml:space="preserve"> </w:t>
      </w:r>
      <w:r w:rsidRPr="00332AB5">
        <w:rPr>
          <w:sz w:val="24"/>
          <w:szCs w:val="24"/>
        </w:rPr>
        <w:t>-</w:t>
      </w:r>
      <w:r w:rsidR="0039743B" w:rsidRPr="00332AB5">
        <w:rPr>
          <w:sz w:val="24"/>
          <w:szCs w:val="24"/>
        </w:rPr>
        <w:t xml:space="preserve"> </w:t>
      </w:r>
      <w:r w:rsidRPr="00332AB5">
        <w:rPr>
          <w:sz w:val="24"/>
          <w:szCs w:val="24"/>
        </w:rPr>
        <w:t xml:space="preserve">2027., na dan 30. </w:t>
      </w:r>
      <w:r w:rsidR="00EB199E" w:rsidRPr="00332AB5">
        <w:rPr>
          <w:sz w:val="24"/>
          <w:szCs w:val="24"/>
        </w:rPr>
        <w:t xml:space="preserve">lipnja </w:t>
      </w:r>
      <w:r w:rsidRPr="00332AB5">
        <w:rPr>
          <w:sz w:val="24"/>
          <w:szCs w:val="24"/>
        </w:rPr>
        <w:t>2023., ukupno je zaposleno 2407 službenika odnosno 36 više nego na dan 31.</w:t>
      </w:r>
      <w:r w:rsidR="00EB199E" w:rsidRPr="00332AB5">
        <w:rPr>
          <w:sz w:val="24"/>
          <w:szCs w:val="24"/>
        </w:rPr>
        <w:t xml:space="preserve"> prosinca </w:t>
      </w:r>
      <w:r w:rsidRPr="00332AB5">
        <w:rPr>
          <w:sz w:val="24"/>
          <w:szCs w:val="24"/>
        </w:rPr>
        <w:t>2022.</w:t>
      </w:r>
    </w:p>
    <w:p w14:paraId="78956753" w14:textId="1F42541A" w:rsidR="00B1568E" w:rsidRPr="00332AB5" w:rsidRDefault="00B1568E" w:rsidP="00B1568E">
      <w:pPr>
        <w:spacing w:before="120" w:after="120"/>
        <w:jc w:val="both"/>
        <w:rPr>
          <w:sz w:val="24"/>
          <w:szCs w:val="24"/>
        </w:rPr>
      </w:pPr>
      <w:r w:rsidRPr="00332AB5">
        <w:rPr>
          <w:sz w:val="24"/>
          <w:szCs w:val="24"/>
        </w:rPr>
        <w:t>U sustavu upravljanja i kontrole Operativnog programa Konkurentnost i kohezija 2014.</w:t>
      </w:r>
      <w:r w:rsidR="0039743B" w:rsidRPr="00332AB5">
        <w:rPr>
          <w:sz w:val="24"/>
          <w:szCs w:val="24"/>
        </w:rPr>
        <w:t xml:space="preserve"> </w:t>
      </w:r>
      <w:r w:rsidRPr="00332AB5">
        <w:rPr>
          <w:sz w:val="24"/>
          <w:szCs w:val="24"/>
        </w:rPr>
        <w:t>-</w:t>
      </w:r>
      <w:r w:rsidR="0039743B" w:rsidRPr="00332AB5">
        <w:rPr>
          <w:sz w:val="24"/>
          <w:szCs w:val="24"/>
        </w:rPr>
        <w:t xml:space="preserve"> </w:t>
      </w:r>
      <w:r w:rsidRPr="00332AB5">
        <w:rPr>
          <w:sz w:val="24"/>
          <w:szCs w:val="24"/>
        </w:rPr>
        <w:t>2020.</w:t>
      </w:r>
      <w:r w:rsidR="0039743B" w:rsidRPr="00332AB5">
        <w:rPr>
          <w:sz w:val="24"/>
          <w:szCs w:val="24"/>
        </w:rPr>
        <w:t xml:space="preserve"> </w:t>
      </w:r>
      <w:r w:rsidRPr="00332AB5">
        <w:rPr>
          <w:sz w:val="24"/>
          <w:szCs w:val="24"/>
        </w:rPr>
        <w:t>/</w:t>
      </w:r>
      <w:r w:rsidR="0039743B" w:rsidRPr="00332AB5">
        <w:rPr>
          <w:sz w:val="24"/>
          <w:szCs w:val="24"/>
        </w:rPr>
        <w:t xml:space="preserve"> </w:t>
      </w:r>
      <w:r w:rsidRPr="00332AB5">
        <w:rPr>
          <w:sz w:val="24"/>
          <w:szCs w:val="24"/>
        </w:rPr>
        <w:t>Programa Konkurentnost i kohezija 2021.</w:t>
      </w:r>
      <w:r w:rsidR="0039743B" w:rsidRPr="00332AB5">
        <w:rPr>
          <w:sz w:val="24"/>
          <w:szCs w:val="24"/>
        </w:rPr>
        <w:t xml:space="preserve"> </w:t>
      </w:r>
      <w:r w:rsidRPr="00332AB5">
        <w:rPr>
          <w:sz w:val="24"/>
          <w:szCs w:val="24"/>
        </w:rPr>
        <w:t>-</w:t>
      </w:r>
      <w:r w:rsidR="0039743B" w:rsidRPr="00332AB5">
        <w:rPr>
          <w:sz w:val="24"/>
          <w:szCs w:val="24"/>
        </w:rPr>
        <w:t xml:space="preserve"> </w:t>
      </w:r>
      <w:r w:rsidRPr="00332AB5">
        <w:rPr>
          <w:sz w:val="24"/>
          <w:szCs w:val="24"/>
        </w:rPr>
        <w:t xml:space="preserve">2027. zaposleno je ukupno </w:t>
      </w:r>
      <w:r w:rsidRPr="00332AB5">
        <w:rPr>
          <w:sz w:val="24"/>
        </w:rPr>
        <w:t>1.</w:t>
      </w:r>
      <w:r w:rsidRPr="00332AB5">
        <w:rPr>
          <w:sz w:val="24"/>
          <w:szCs w:val="24"/>
        </w:rPr>
        <w:t>162</w:t>
      </w:r>
      <w:r w:rsidRPr="00332AB5">
        <w:rPr>
          <w:sz w:val="24"/>
        </w:rPr>
        <w:t xml:space="preserve"> </w:t>
      </w:r>
      <w:r w:rsidRPr="00332AB5">
        <w:rPr>
          <w:sz w:val="24"/>
          <w:szCs w:val="24"/>
        </w:rPr>
        <w:t xml:space="preserve">službenika, odnosno </w:t>
      </w:r>
      <w:r w:rsidR="00020F30" w:rsidRPr="00332AB5">
        <w:rPr>
          <w:sz w:val="24"/>
          <w:szCs w:val="24"/>
        </w:rPr>
        <w:t>osam</w:t>
      </w:r>
      <w:r w:rsidRPr="00332AB5">
        <w:rPr>
          <w:sz w:val="24"/>
          <w:szCs w:val="24"/>
        </w:rPr>
        <w:t xml:space="preserve"> više nego na dan 31. </w:t>
      </w:r>
      <w:r w:rsidR="00EB199E" w:rsidRPr="00332AB5">
        <w:rPr>
          <w:sz w:val="24"/>
          <w:szCs w:val="24"/>
        </w:rPr>
        <w:t>prosinca</w:t>
      </w:r>
      <w:r w:rsidRPr="00332AB5">
        <w:rPr>
          <w:sz w:val="24"/>
          <w:szCs w:val="24"/>
        </w:rPr>
        <w:t xml:space="preserve"> 2022., što predstavlja 83</w:t>
      </w:r>
      <w:r w:rsidR="00EB199E" w:rsidRPr="00332AB5">
        <w:rPr>
          <w:sz w:val="24"/>
          <w:szCs w:val="24"/>
        </w:rPr>
        <w:t xml:space="preserve"> </w:t>
      </w:r>
      <w:r w:rsidRPr="00332AB5">
        <w:rPr>
          <w:sz w:val="24"/>
          <w:szCs w:val="24"/>
        </w:rPr>
        <w:t>% potreba sukladno analizi radne opterećenosti za 2023.g</w:t>
      </w:r>
      <w:r w:rsidR="0039743B" w:rsidRPr="00332AB5">
        <w:rPr>
          <w:sz w:val="24"/>
          <w:szCs w:val="24"/>
        </w:rPr>
        <w:t>odinu</w:t>
      </w:r>
      <w:r w:rsidRPr="00332AB5">
        <w:rPr>
          <w:sz w:val="24"/>
          <w:szCs w:val="24"/>
        </w:rPr>
        <w:t>. (1396).</w:t>
      </w:r>
    </w:p>
    <w:p w14:paraId="16A9E5D9" w14:textId="63A26814" w:rsidR="00B1568E" w:rsidRPr="00332AB5" w:rsidRDefault="00B1568E" w:rsidP="00B1568E">
      <w:pPr>
        <w:spacing w:before="120" w:after="120"/>
        <w:jc w:val="both"/>
        <w:rPr>
          <w:sz w:val="24"/>
          <w:szCs w:val="24"/>
        </w:rPr>
      </w:pPr>
      <w:r w:rsidRPr="00332AB5">
        <w:rPr>
          <w:sz w:val="24"/>
          <w:szCs w:val="24"/>
        </w:rPr>
        <w:t>U sustavu upravljanja i kontrole Operativnog programa Učinkoviti ljudski potencijali 2014.</w:t>
      </w:r>
      <w:r w:rsidR="0039743B" w:rsidRPr="00332AB5">
        <w:rPr>
          <w:sz w:val="24"/>
          <w:szCs w:val="24"/>
        </w:rPr>
        <w:t xml:space="preserve"> </w:t>
      </w:r>
      <w:r w:rsidRPr="00332AB5">
        <w:rPr>
          <w:sz w:val="24"/>
          <w:szCs w:val="24"/>
        </w:rPr>
        <w:t>-</w:t>
      </w:r>
      <w:r w:rsidR="0039743B" w:rsidRPr="00332AB5">
        <w:rPr>
          <w:sz w:val="24"/>
          <w:szCs w:val="24"/>
        </w:rPr>
        <w:t xml:space="preserve"> </w:t>
      </w:r>
      <w:r w:rsidRPr="00332AB5">
        <w:rPr>
          <w:sz w:val="24"/>
          <w:szCs w:val="24"/>
        </w:rPr>
        <w:t>2020.</w:t>
      </w:r>
      <w:r w:rsidR="0039743B" w:rsidRPr="00332AB5">
        <w:rPr>
          <w:sz w:val="24"/>
          <w:szCs w:val="24"/>
        </w:rPr>
        <w:t xml:space="preserve"> </w:t>
      </w:r>
      <w:r w:rsidRPr="00332AB5">
        <w:rPr>
          <w:sz w:val="24"/>
          <w:szCs w:val="24"/>
        </w:rPr>
        <w:t>/</w:t>
      </w:r>
      <w:r w:rsidR="0039743B" w:rsidRPr="00332AB5">
        <w:rPr>
          <w:sz w:val="24"/>
          <w:szCs w:val="24"/>
        </w:rPr>
        <w:t xml:space="preserve"> </w:t>
      </w:r>
      <w:r w:rsidRPr="00332AB5">
        <w:rPr>
          <w:sz w:val="24"/>
          <w:szCs w:val="24"/>
        </w:rPr>
        <w:t>Programa Učinkoviti ljudski potencijali 2021.</w:t>
      </w:r>
      <w:r w:rsidR="0039743B" w:rsidRPr="00332AB5">
        <w:rPr>
          <w:sz w:val="24"/>
          <w:szCs w:val="24"/>
        </w:rPr>
        <w:t xml:space="preserve"> </w:t>
      </w:r>
      <w:r w:rsidRPr="00332AB5">
        <w:rPr>
          <w:sz w:val="24"/>
          <w:szCs w:val="24"/>
        </w:rPr>
        <w:t>-</w:t>
      </w:r>
      <w:r w:rsidR="0039743B" w:rsidRPr="00332AB5">
        <w:rPr>
          <w:sz w:val="24"/>
          <w:szCs w:val="24"/>
        </w:rPr>
        <w:t xml:space="preserve"> </w:t>
      </w:r>
      <w:r w:rsidRPr="00332AB5">
        <w:rPr>
          <w:sz w:val="24"/>
          <w:szCs w:val="24"/>
        </w:rPr>
        <w:t>2027.na isti dan zaposlen je ukupno</w:t>
      </w:r>
      <w:r w:rsidRPr="00332AB5">
        <w:rPr>
          <w:sz w:val="24"/>
        </w:rPr>
        <w:t xml:space="preserve"> </w:t>
      </w:r>
      <w:r w:rsidRPr="00332AB5">
        <w:rPr>
          <w:sz w:val="24"/>
          <w:szCs w:val="24"/>
        </w:rPr>
        <w:t>571 službenik, odnosno 20 više nego</w:t>
      </w:r>
      <w:r w:rsidRPr="00332AB5">
        <w:rPr>
          <w:sz w:val="24"/>
        </w:rPr>
        <w:t xml:space="preserve"> </w:t>
      </w:r>
      <w:r w:rsidRPr="00332AB5">
        <w:rPr>
          <w:sz w:val="24"/>
          <w:szCs w:val="24"/>
        </w:rPr>
        <w:t xml:space="preserve">na dan 31. </w:t>
      </w:r>
      <w:r w:rsidR="0039743B" w:rsidRPr="00332AB5">
        <w:rPr>
          <w:sz w:val="24"/>
          <w:szCs w:val="24"/>
        </w:rPr>
        <w:t xml:space="preserve">prosinca </w:t>
      </w:r>
      <w:r w:rsidRPr="00332AB5">
        <w:rPr>
          <w:sz w:val="24"/>
          <w:szCs w:val="24"/>
        </w:rPr>
        <w:t>2022., što predstavlja 87</w:t>
      </w:r>
      <w:r w:rsidRPr="00332AB5">
        <w:rPr>
          <w:sz w:val="24"/>
        </w:rPr>
        <w:t xml:space="preserve"> </w:t>
      </w:r>
      <w:r w:rsidRPr="00332AB5">
        <w:rPr>
          <w:sz w:val="24"/>
          <w:szCs w:val="24"/>
        </w:rPr>
        <w:t xml:space="preserve">% potreba sukladno analizi radne opterećenosti za 2023. godinu (659). </w:t>
      </w:r>
    </w:p>
    <w:p w14:paraId="0EE371B4" w14:textId="6458BE09" w:rsidR="00B1568E" w:rsidRPr="00332AB5" w:rsidRDefault="00B1568E" w:rsidP="00B1568E">
      <w:pPr>
        <w:spacing w:before="120" w:after="120"/>
        <w:jc w:val="both"/>
        <w:rPr>
          <w:sz w:val="24"/>
          <w:szCs w:val="24"/>
        </w:rPr>
      </w:pPr>
      <w:r w:rsidRPr="00332AB5">
        <w:rPr>
          <w:sz w:val="24"/>
          <w:szCs w:val="24"/>
        </w:rPr>
        <w:t>U sustavu upravljanja i kontrole Programa ruralnog razvoja</w:t>
      </w:r>
      <w:r w:rsidR="0039743B" w:rsidRPr="00332AB5">
        <w:rPr>
          <w:sz w:val="24"/>
          <w:szCs w:val="24"/>
        </w:rPr>
        <w:t xml:space="preserve"> </w:t>
      </w:r>
      <w:r w:rsidRPr="00332AB5">
        <w:rPr>
          <w:sz w:val="24"/>
          <w:szCs w:val="24"/>
        </w:rPr>
        <w:t>/</w:t>
      </w:r>
      <w:r w:rsidR="0039743B" w:rsidRPr="00332AB5">
        <w:rPr>
          <w:sz w:val="24"/>
          <w:szCs w:val="24"/>
        </w:rPr>
        <w:t xml:space="preserve"> </w:t>
      </w:r>
      <w:r w:rsidRPr="00332AB5">
        <w:rPr>
          <w:sz w:val="24"/>
          <w:szCs w:val="24"/>
        </w:rPr>
        <w:t xml:space="preserve">Strateški plan zajedničke poljoprivredne politike zaposleno je ukupno 379 službenika, odnosno </w:t>
      </w:r>
      <w:r w:rsidR="00020F30" w:rsidRPr="00332AB5">
        <w:rPr>
          <w:sz w:val="24"/>
          <w:szCs w:val="24"/>
        </w:rPr>
        <w:t>dva</w:t>
      </w:r>
      <w:r w:rsidRPr="00332AB5">
        <w:rPr>
          <w:sz w:val="24"/>
          <w:szCs w:val="24"/>
        </w:rPr>
        <w:t xml:space="preserve"> manje nego na dan 31. </w:t>
      </w:r>
      <w:r w:rsidR="00EB199E" w:rsidRPr="00332AB5">
        <w:rPr>
          <w:sz w:val="24"/>
          <w:szCs w:val="24"/>
        </w:rPr>
        <w:t xml:space="preserve">prosinca </w:t>
      </w:r>
      <w:r w:rsidRPr="00332AB5">
        <w:rPr>
          <w:sz w:val="24"/>
          <w:szCs w:val="24"/>
        </w:rPr>
        <w:t>2022., što predstavlja 45 % potreba sukladno analizi radne opterećenosti za 2023. godinu (835), dok je u sustavu upravljanja i kontrole Operativnog programa za pomorstvo i ribarstvo</w:t>
      </w:r>
      <w:r w:rsidR="0039743B" w:rsidRPr="00332AB5">
        <w:rPr>
          <w:sz w:val="24"/>
          <w:szCs w:val="24"/>
        </w:rPr>
        <w:t xml:space="preserve"> </w:t>
      </w:r>
      <w:r w:rsidRPr="00332AB5">
        <w:rPr>
          <w:sz w:val="24"/>
          <w:szCs w:val="24"/>
        </w:rPr>
        <w:t>/</w:t>
      </w:r>
      <w:r w:rsidR="0039743B" w:rsidRPr="00332AB5">
        <w:rPr>
          <w:sz w:val="24"/>
          <w:szCs w:val="24"/>
        </w:rPr>
        <w:t xml:space="preserve"> </w:t>
      </w:r>
      <w:r w:rsidRPr="00332AB5">
        <w:rPr>
          <w:sz w:val="24"/>
          <w:szCs w:val="24"/>
        </w:rPr>
        <w:t>Programa za pomorstvo, ribarstvo i akvakulturu 2014</w:t>
      </w:r>
      <w:r w:rsidR="000F59CF" w:rsidRPr="00332AB5">
        <w:rPr>
          <w:sz w:val="24"/>
          <w:szCs w:val="24"/>
        </w:rPr>
        <w:t xml:space="preserve">. – </w:t>
      </w:r>
      <w:r w:rsidRPr="00332AB5">
        <w:rPr>
          <w:sz w:val="24"/>
          <w:szCs w:val="24"/>
        </w:rPr>
        <w:t>2027</w:t>
      </w:r>
      <w:r w:rsidR="000F59CF" w:rsidRPr="00332AB5">
        <w:rPr>
          <w:sz w:val="24"/>
          <w:szCs w:val="24"/>
        </w:rPr>
        <w:t>.</w:t>
      </w:r>
      <w:r w:rsidRPr="00332AB5">
        <w:rPr>
          <w:sz w:val="24"/>
          <w:szCs w:val="24"/>
        </w:rPr>
        <w:t xml:space="preserve"> zaposleno ukupno</w:t>
      </w:r>
      <w:r w:rsidRPr="00332AB5">
        <w:rPr>
          <w:sz w:val="24"/>
        </w:rPr>
        <w:t xml:space="preserve"> </w:t>
      </w:r>
      <w:r w:rsidRPr="00332AB5">
        <w:rPr>
          <w:sz w:val="24"/>
          <w:szCs w:val="24"/>
        </w:rPr>
        <w:t>78</w:t>
      </w:r>
      <w:r w:rsidRPr="00332AB5">
        <w:rPr>
          <w:sz w:val="24"/>
        </w:rPr>
        <w:t xml:space="preserve"> </w:t>
      </w:r>
      <w:r w:rsidRPr="00332AB5">
        <w:rPr>
          <w:sz w:val="24"/>
          <w:szCs w:val="24"/>
        </w:rPr>
        <w:t xml:space="preserve">službenika, odnosno </w:t>
      </w:r>
      <w:r w:rsidR="00020F30" w:rsidRPr="00332AB5">
        <w:rPr>
          <w:sz w:val="24"/>
          <w:szCs w:val="24"/>
        </w:rPr>
        <w:t>četiri</w:t>
      </w:r>
      <w:r w:rsidRPr="00332AB5">
        <w:rPr>
          <w:sz w:val="24"/>
          <w:szCs w:val="24"/>
        </w:rPr>
        <w:t xml:space="preserve"> više nego na dan 31. </w:t>
      </w:r>
      <w:r w:rsidR="00EB199E" w:rsidRPr="00332AB5">
        <w:rPr>
          <w:sz w:val="24"/>
          <w:szCs w:val="24"/>
        </w:rPr>
        <w:t xml:space="preserve">prosinca </w:t>
      </w:r>
      <w:r w:rsidRPr="00332AB5">
        <w:rPr>
          <w:sz w:val="24"/>
          <w:szCs w:val="24"/>
        </w:rPr>
        <w:t>.2021., što predstavlja 76 % potreba sukladno analizi radne opterećenosti za 2023. godinu (103).</w:t>
      </w:r>
    </w:p>
    <w:p w14:paraId="468DBEE3" w14:textId="3FD41985" w:rsidR="00B1568E" w:rsidRPr="00332AB5" w:rsidRDefault="00B1568E" w:rsidP="00B1568E">
      <w:pPr>
        <w:spacing w:before="120" w:after="120"/>
        <w:jc w:val="both"/>
        <w:rPr>
          <w:sz w:val="24"/>
          <w:szCs w:val="24"/>
        </w:rPr>
      </w:pPr>
      <w:r w:rsidRPr="00332AB5">
        <w:rPr>
          <w:sz w:val="24"/>
          <w:szCs w:val="24"/>
        </w:rPr>
        <w:t>Na dan 30.</w:t>
      </w:r>
      <w:r w:rsidR="00EB199E" w:rsidRPr="00332AB5">
        <w:rPr>
          <w:sz w:val="24"/>
          <w:szCs w:val="24"/>
        </w:rPr>
        <w:t xml:space="preserve">lipnja </w:t>
      </w:r>
      <w:r w:rsidRPr="00332AB5">
        <w:rPr>
          <w:sz w:val="24"/>
          <w:szCs w:val="24"/>
        </w:rPr>
        <w:t xml:space="preserve">2023. u Koordinacijskom tijelu ukupno je zaposleno 103 službenika, </w:t>
      </w:r>
      <w:r w:rsidR="00020F30" w:rsidRPr="00332AB5">
        <w:rPr>
          <w:sz w:val="24"/>
          <w:szCs w:val="24"/>
        </w:rPr>
        <w:t>jedan</w:t>
      </w:r>
      <w:r w:rsidRPr="00332AB5">
        <w:rPr>
          <w:sz w:val="24"/>
          <w:szCs w:val="24"/>
        </w:rPr>
        <w:t xml:space="preserve"> više u odnosu na dan 31. </w:t>
      </w:r>
      <w:r w:rsidR="00EB199E" w:rsidRPr="00332AB5">
        <w:rPr>
          <w:sz w:val="24"/>
          <w:szCs w:val="24"/>
        </w:rPr>
        <w:t>prosinca</w:t>
      </w:r>
      <w:r w:rsidRPr="00332AB5">
        <w:rPr>
          <w:sz w:val="24"/>
          <w:szCs w:val="24"/>
        </w:rPr>
        <w:t xml:space="preserve"> 2022., što predstavlja 84</w:t>
      </w:r>
      <w:r w:rsidR="00EB199E" w:rsidRPr="00332AB5">
        <w:rPr>
          <w:sz w:val="24"/>
          <w:szCs w:val="24"/>
        </w:rPr>
        <w:t xml:space="preserve"> </w:t>
      </w:r>
      <w:r w:rsidRPr="00332AB5">
        <w:rPr>
          <w:sz w:val="24"/>
          <w:szCs w:val="24"/>
        </w:rPr>
        <w:t>% potreba sukladno analizi radne opterećenosti za 2023. godinu (122).</w:t>
      </w:r>
    </w:p>
    <w:p w14:paraId="46E0E2A8" w14:textId="0371CCD6" w:rsidR="00B1568E" w:rsidRPr="00332AB5" w:rsidRDefault="00B1568E" w:rsidP="00B1568E">
      <w:pPr>
        <w:spacing w:before="120" w:after="120"/>
        <w:jc w:val="both"/>
        <w:rPr>
          <w:sz w:val="24"/>
          <w:szCs w:val="24"/>
        </w:rPr>
      </w:pPr>
      <w:r w:rsidRPr="00332AB5">
        <w:rPr>
          <w:sz w:val="24"/>
          <w:szCs w:val="24"/>
        </w:rPr>
        <w:t>U Ministarstvu financija, kao Tijelu za ovjeravanje</w:t>
      </w:r>
      <w:r w:rsidRPr="00332AB5">
        <w:rPr>
          <w:rStyle w:val="FootnoteReference"/>
          <w:sz w:val="24"/>
          <w:szCs w:val="24"/>
        </w:rPr>
        <w:footnoteReference w:id="24"/>
      </w:r>
      <w:r w:rsidRPr="00332AB5">
        <w:rPr>
          <w:sz w:val="24"/>
          <w:szCs w:val="24"/>
        </w:rPr>
        <w:t xml:space="preserve"> odnosno Tijelu koje obavlja računovodstvenu funkciju</w:t>
      </w:r>
      <w:r w:rsidRPr="00332AB5">
        <w:rPr>
          <w:rStyle w:val="FootnoteReference"/>
          <w:sz w:val="24"/>
          <w:szCs w:val="24"/>
        </w:rPr>
        <w:footnoteReference w:id="25"/>
      </w:r>
      <w:r w:rsidRPr="00332AB5">
        <w:rPr>
          <w:sz w:val="24"/>
          <w:szCs w:val="24"/>
        </w:rPr>
        <w:t>, na dan 30.</w:t>
      </w:r>
      <w:r w:rsidR="00EB199E" w:rsidRPr="00332AB5">
        <w:rPr>
          <w:sz w:val="24"/>
          <w:szCs w:val="24"/>
        </w:rPr>
        <w:t xml:space="preserve"> lipnja </w:t>
      </w:r>
      <w:r w:rsidRPr="00332AB5">
        <w:rPr>
          <w:sz w:val="24"/>
          <w:szCs w:val="24"/>
        </w:rPr>
        <w:t>2023. ukupno je zaposleno 13 službenika, istovjetno broju zaposlenih na dan 31.</w:t>
      </w:r>
      <w:r w:rsidR="00EB199E" w:rsidRPr="00332AB5">
        <w:rPr>
          <w:sz w:val="24"/>
          <w:szCs w:val="24"/>
        </w:rPr>
        <w:t xml:space="preserve"> prosinca </w:t>
      </w:r>
      <w:r w:rsidRPr="00332AB5">
        <w:rPr>
          <w:sz w:val="24"/>
          <w:szCs w:val="24"/>
        </w:rPr>
        <w:t>2022., što predstavlja 87</w:t>
      </w:r>
      <w:r w:rsidR="00EB199E" w:rsidRPr="00332AB5">
        <w:rPr>
          <w:sz w:val="24"/>
          <w:szCs w:val="24"/>
        </w:rPr>
        <w:t xml:space="preserve"> </w:t>
      </w:r>
      <w:r w:rsidRPr="00332AB5">
        <w:rPr>
          <w:sz w:val="24"/>
          <w:szCs w:val="24"/>
        </w:rPr>
        <w:t>% potreba sukladno analizi radne opterećenosti (15).</w:t>
      </w:r>
    </w:p>
    <w:p w14:paraId="3C6418DA" w14:textId="06523C2C" w:rsidR="00B1568E" w:rsidRPr="00332AB5" w:rsidRDefault="00B1568E" w:rsidP="00B1568E">
      <w:pPr>
        <w:spacing w:before="120" w:after="120"/>
        <w:jc w:val="both"/>
        <w:rPr>
          <w:sz w:val="24"/>
          <w:szCs w:val="24"/>
        </w:rPr>
      </w:pPr>
      <w:r w:rsidRPr="00332AB5">
        <w:rPr>
          <w:sz w:val="24"/>
          <w:szCs w:val="24"/>
        </w:rPr>
        <w:t>U Agenciji za reviziju sustava provedbe programa EU, kao tijelu koje obavlja revizorsku funkciju na dan 30.</w:t>
      </w:r>
      <w:r w:rsidR="00EB199E" w:rsidRPr="00332AB5">
        <w:rPr>
          <w:sz w:val="24"/>
          <w:szCs w:val="24"/>
        </w:rPr>
        <w:t xml:space="preserve"> lipnja </w:t>
      </w:r>
      <w:r w:rsidRPr="00332AB5">
        <w:rPr>
          <w:sz w:val="24"/>
          <w:szCs w:val="24"/>
        </w:rPr>
        <w:t>2022. ukupno je zaposleno 83 službenika, istovjetno broju zaposlenih na dan 31.</w:t>
      </w:r>
      <w:r w:rsidR="00EB199E" w:rsidRPr="00332AB5">
        <w:rPr>
          <w:sz w:val="24"/>
          <w:szCs w:val="24"/>
        </w:rPr>
        <w:t xml:space="preserve"> prosinca </w:t>
      </w:r>
      <w:r w:rsidRPr="00332AB5">
        <w:rPr>
          <w:sz w:val="24"/>
          <w:szCs w:val="24"/>
        </w:rPr>
        <w:t>2022., što predstavlja 97</w:t>
      </w:r>
      <w:r w:rsidR="00EB199E" w:rsidRPr="00332AB5">
        <w:rPr>
          <w:sz w:val="24"/>
          <w:szCs w:val="24"/>
        </w:rPr>
        <w:t xml:space="preserve"> </w:t>
      </w:r>
      <w:r w:rsidRPr="00332AB5">
        <w:rPr>
          <w:sz w:val="24"/>
          <w:szCs w:val="24"/>
        </w:rPr>
        <w:t>% potreba sukladno analizi radne opterećenosti za 2023.</w:t>
      </w:r>
      <w:r w:rsidR="0039743B" w:rsidRPr="00332AB5">
        <w:rPr>
          <w:sz w:val="24"/>
          <w:szCs w:val="24"/>
        </w:rPr>
        <w:t xml:space="preserve"> </w:t>
      </w:r>
      <w:r w:rsidRPr="00332AB5">
        <w:rPr>
          <w:sz w:val="24"/>
          <w:szCs w:val="24"/>
        </w:rPr>
        <w:t>godinu (86).</w:t>
      </w:r>
    </w:p>
    <w:p w14:paraId="671A4A85" w14:textId="68646443" w:rsidR="00B1568E" w:rsidRPr="00332AB5" w:rsidRDefault="00B1568E" w:rsidP="00B1568E">
      <w:pPr>
        <w:spacing w:before="120" w:after="120"/>
        <w:jc w:val="both"/>
        <w:rPr>
          <w:sz w:val="24"/>
          <w:szCs w:val="24"/>
        </w:rPr>
      </w:pPr>
      <w:r w:rsidRPr="00332AB5">
        <w:rPr>
          <w:sz w:val="24"/>
          <w:szCs w:val="24"/>
        </w:rPr>
        <w:t>U Ministarstvu unutarnjih poslova (za Program Fonda za azil, migraciju i integraciju, Program Fonda za unutarnju sigurnost i Instrument za financijsku potporu u području upravljanja granicama i vizne politike) na dan 30.</w:t>
      </w:r>
      <w:r w:rsidR="00EB199E" w:rsidRPr="00332AB5">
        <w:rPr>
          <w:sz w:val="24"/>
          <w:szCs w:val="24"/>
        </w:rPr>
        <w:t xml:space="preserve"> lipnja </w:t>
      </w:r>
      <w:r w:rsidRPr="00332AB5">
        <w:rPr>
          <w:sz w:val="24"/>
          <w:szCs w:val="24"/>
        </w:rPr>
        <w:t>2023.</w:t>
      </w:r>
      <w:r w:rsidR="00EB199E" w:rsidRPr="00332AB5">
        <w:rPr>
          <w:sz w:val="24"/>
          <w:szCs w:val="24"/>
        </w:rPr>
        <w:t xml:space="preserve"> </w:t>
      </w:r>
      <w:r w:rsidRPr="00332AB5">
        <w:rPr>
          <w:sz w:val="24"/>
          <w:szCs w:val="24"/>
        </w:rPr>
        <w:t xml:space="preserve">ukupno je zaposleno 18 službenika, odnosno </w:t>
      </w:r>
      <w:r w:rsidR="00020F30" w:rsidRPr="00332AB5">
        <w:rPr>
          <w:sz w:val="24"/>
          <w:szCs w:val="24"/>
        </w:rPr>
        <w:t>pet</w:t>
      </w:r>
      <w:r w:rsidRPr="00332AB5">
        <w:rPr>
          <w:sz w:val="24"/>
          <w:szCs w:val="24"/>
        </w:rPr>
        <w:t xml:space="preserve"> više nego na dan 31. </w:t>
      </w:r>
      <w:r w:rsidR="00EB199E" w:rsidRPr="00332AB5">
        <w:rPr>
          <w:sz w:val="24"/>
          <w:szCs w:val="24"/>
        </w:rPr>
        <w:t>prosinca</w:t>
      </w:r>
      <w:r w:rsidRPr="00332AB5">
        <w:rPr>
          <w:sz w:val="24"/>
          <w:szCs w:val="24"/>
        </w:rPr>
        <w:t xml:space="preserve"> 2022., što predstavlja 56</w:t>
      </w:r>
      <w:r w:rsidR="00EB199E" w:rsidRPr="00332AB5">
        <w:rPr>
          <w:sz w:val="24"/>
          <w:szCs w:val="24"/>
        </w:rPr>
        <w:t xml:space="preserve"> </w:t>
      </w:r>
      <w:r w:rsidRPr="00332AB5">
        <w:rPr>
          <w:sz w:val="24"/>
          <w:szCs w:val="24"/>
        </w:rPr>
        <w:t>% potreba sukladno analizi radne opterećenosti za 2023.godinu (32).</w:t>
      </w:r>
    </w:p>
    <w:p w14:paraId="76A9BCA9" w14:textId="44F2BF8D" w:rsidR="00B1568E" w:rsidRPr="00332AB5" w:rsidRDefault="00B1568E" w:rsidP="00B1568E">
      <w:pPr>
        <w:spacing w:before="120" w:after="120"/>
        <w:jc w:val="both"/>
        <w:rPr>
          <w:sz w:val="24"/>
          <w:szCs w:val="24"/>
        </w:rPr>
      </w:pPr>
      <w:r w:rsidRPr="00332AB5">
        <w:rPr>
          <w:sz w:val="24"/>
          <w:szCs w:val="24"/>
        </w:rPr>
        <w:t>U trećem tromjesečju 2023. godine, prikupljeni su podaci o statusu provedbe aktivnosti iz mjera Plana za jačanje kapaciteta institucionalnog okvira za korištenje fondova Europske unije za razdoblje do 30. lipnja 2023. Sukladno podacima, na razini institucionalnog okvira za korištenje fondova EU, unutar tri definirana područja Plana (Ljudi i organizacija, Strateško planiranje, programiranje i provedba te Korisnici i dionici) 26 je mjera, točnije 59 aktivnosti. Provedeno je 11 aktivnosti odnosno 19</w:t>
      </w:r>
      <w:r w:rsidR="00EB199E" w:rsidRPr="00332AB5">
        <w:rPr>
          <w:sz w:val="24"/>
          <w:szCs w:val="24"/>
        </w:rPr>
        <w:t xml:space="preserve"> </w:t>
      </w:r>
      <w:r w:rsidRPr="00332AB5">
        <w:rPr>
          <w:sz w:val="24"/>
          <w:szCs w:val="24"/>
        </w:rPr>
        <w:t>% od ukupnog broja aktivnosti, dok je za njih 44, odnosno 74</w:t>
      </w:r>
      <w:r w:rsidR="00EB199E" w:rsidRPr="00332AB5">
        <w:rPr>
          <w:sz w:val="24"/>
          <w:szCs w:val="24"/>
        </w:rPr>
        <w:t xml:space="preserve"> </w:t>
      </w:r>
      <w:r w:rsidRPr="00332AB5">
        <w:rPr>
          <w:sz w:val="24"/>
          <w:szCs w:val="24"/>
        </w:rPr>
        <w:t>% provedba u tijeku te za njih 4, odnosno 7</w:t>
      </w:r>
      <w:r w:rsidR="00EB199E" w:rsidRPr="00332AB5">
        <w:rPr>
          <w:sz w:val="24"/>
          <w:szCs w:val="24"/>
        </w:rPr>
        <w:t xml:space="preserve"> </w:t>
      </w:r>
      <w:r w:rsidRPr="00332AB5">
        <w:rPr>
          <w:sz w:val="24"/>
          <w:szCs w:val="24"/>
        </w:rPr>
        <w:t>% provedba još nije započela</w:t>
      </w:r>
      <w:r w:rsidRPr="00332AB5">
        <w:rPr>
          <w:rStyle w:val="FootnoteReference"/>
          <w:sz w:val="24"/>
          <w:szCs w:val="24"/>
        </w:rPr>
        <w:footnoteReference w:id="26"/>
      </w:r>
      <w:r w:rsidRPr="00332AB5">
        <w:rPr>
          <w:sz w:val="24"/>
          <w:szCs w:val="24"/>
        </w:rPr>
        <w:t xml:space="preserve">. </w:t>
      </w:r>
    </w:p>
    <w:p w14:paraId="5FBDA33F" w14:textId="4B5E5F01" w:rsidR="00807F63" w:rsidRPr="00332AB5" w:rsidRDefault="00807F63" w:rsidP="00807F63">
      <w:pPr>
        <w:jc w:val="both"/>
        <w:rPr>
          <w:sz w:val="24"/>
          <w:szCs w:val="24"/>
        </w:rPr>
      </w:pPr>
      <w:r w:rsidRPr="00332AB5">
        <w:rPr>
          <w:sz w:val="24"/>
          <w:szCs w:val="24"/>
        </w:rPr>
        <w:t xml:space="preserve">Sukladno članku 9. Uredbe o funkcijama, zadaćama i odgovornosti Koordinacijskog tijela u institucionalnom okviru za korištenje fondova Europske unije u Republici Hrvatskoj u financijskom razdoblju od 2021. </w:t>
      </w:r>
      <w:r w:rsidRPr="00332AB5">
        <w:rPr>
          <w:sz w:val="24"/>
        </w:rPr>
        <w:t>do 2027.</w:t>
      </w:r>
      <w:r w:rsidRPr="00332AB5">
        <w:rPr>
          <w:sz w:val="24"/>
          <w:szCs w:val="24"/>
        </w:rPr>
        <w:t xml:space="preserve"> (Narodne novine, broj: 96/22</w:t>
      </w:r>
      <w:r w:rsidR="00AA7D06" w:rsidRPr="00332AB5">
        <w:rPr>
          <w:sz w:val="24"/>
          <w:szCs w:val="24"/>
        </w:rPr>
        <w:t>.</w:t>
      </w:r>
      <w:r w:rsidRPr="00332AB5">
        <w:rPr>
          <w:sz w:val="24"/>
          <w:szCs w:val="24"/>
        </w:rPr>
        <w:t xml:space="preserve">), 5. siječnja 2023. osnovan je jedinstveni Odbor za praćenje Programa Konkurentnost i Kohezija 2021. - 2027. </w:t>
      </w:r>
      <w:r w:rsidRPr="00332AB5">
        <w:rPr>
          <w:sz w:val="24"/>
        </w:rPr>
        <w:t>i Integriranog teritorijalnog programa 2021. - 2027, čiji sastav je potvrđen na 1. konstituirajućoj sjednici</w:t>
      </w:r>
      <w:r w:rsidRPr="00332AB5">
        <w:rPr>
          <w:sz w:val="24"/>
          <w:szCs w:val="24"/>
        </w:rPr>
        <w:t xml:space="preserve">, održanoj 25. siječnja 2023. Do kraja ovog izvještajnog razdoblja održane su još dvije sjednice, druga je održana 17. travnja 2023. a treća 30. lipnja 2023. Ukupno je usvojeno </w:t>
      </w:r>
      <w:r w:rsidR="00020F30" w:rsidRPr="00332AB5">
        <w:rPr>
          <w:sz w:val="24"/>
          <w:szCs w:val="24"/>
        </w:rPr>
        <w:t>pet</w:t>
      </w:r>
      <w:r w:rsidRPr="00332AB5">
        <w:rPr>
          <w:sz w:val="24"/>
          <w:szCs w:val="24"/>
        </w:rPr>
        <w:t xml:space="preserve"> kriterija za odabir operacija i pripadajuće metodologije. </w:t>
      </w:r>
    </w:p>
    <w:p w14:paraId="092C9AE8" w14:textId="77777777" w:rsidR="00807F63" w:rsidRPr="00332AB5" w:rsidRDefault="00807F63" w:rsidP="00807F63">
      <w:pPr>
        <w:spacing w:before="120" w:after="120"/>
        <w:jc w:val="both"/>
        <w:rPr>
          <w:sz w:val="24"/>
          <w:szCs w:val="24"/>
        </w:rPr>
      </w:pPr>
      <w:r w:rsidRPr="00332AB5">
        <w:rPr>
          <w:sz w:val="24"/>
          <w:szCs w:val="24"/>
        </w:rPr>
        <w:t>S ciljem kontinuiranog jačanja kapaciteta članova, predstavnika i njihovih zamjena u Odboru, a sukladno prikupljenim prijedlozima tema od interesa od članova i zamjena, održane su i dva radna sastanka te će se s takvom praksom održavanja radnih sastanaka nastaviti i dalje.</w:t>
      </w:r>
    </w:p>
    <w:p w14:paraId="5CD9D3F8" w14:textId="64CAD769" w:rsidR="005B20F6" w:rsidRPr="00332AB5" w:rsidRDefault="00B1568E" w:rsidP="00882641">
      <w:pPr>
        <w:rPr>
          <w:sz w:val="24"/>
          <w:szCs w:val="24"/>
        </w:rPr>
      </w:pPr>
      <w:r w:rsidRPr="00332AB5">
        <w:rPr>
          <w:sz w:val="24"/>
          <w:szCs w:val="24"/>
        </w:rPr>
        <w:br w:type="page"/>
      </w:r>
    </w:p>
    <w:p w14:paraId="6BCA92B2" w14:textId="77777777" w:rsidR="003979EB" w:rsidRPr="00332AB5" w:rsidRDefault="003979EB" w:rsidP="003979EB">
      <w:pPr>
        <w:pStyle w:val="Heading1"/>
        <w:ind w:left="454" w:hanging="454"/>
      </w:pPr>
      <w:bookmarkStart w:id="157" w:name="_Toc152595247"/>
      <w:r w:rsidRPr="00332AB5">
        <w:t>AKTIVNOSTI INFORMIRANJA I KOMUNIKACIJE</w:t>
      </w:r>
      <w:bookmarkEnd w:id="157"/>
    </w:p>
    <w:p w14:paraId="527BC066" w14:textId="5140DF3E" w:rsidR="004C53B0" w:rsidRPr="00332AB5" w:rsidRDefault="004C53B0" w:rsidP="004C53B0">
      <w:pPr>
        <w:spacing w:before="120" w:after="120"/>
        <w:jc w:val="both"/>
        <w:rPr>
          <w:sz w:val="24"/>
          <w:szCs w:val="24"/>
        </w:rPr>
      </w:pPr>
      <w:r w:rsidRPr="00332AB5">
        <w:rPr>
          <w:sz w:val="24"/>
          <w:szCs w:val="24"/>
        </w:rPr>
        <w:t xml:space="preserve">U razdoblju od ožujka do lipnja 2023. godine u organizaciji </w:t>
      </w:r>
      <w:r w:rsidR="0019006C" w:rsidRPr="00332AB5">
        <w:rPr>
          <w:sz w:val="24"/>
          <w:szCs w:val="24"/>
        </w:rPr>
        <w:t>MRRFU</w:t>
      </w:r>
      <w:r w:rsidRPr="00332AB5">
        <w:rPr>
          <w:sz w:val="24"/>
          <w:szCs w:val="24"/>
        </w:rPr>
        <w:t xml:space="preserve"> unije održan je niz informativno-edukativnih događanja pod nazivom „EU fondovi 2021.</w:t>
      </w:r>
      <w:r w:rsidR="000F59CF" w:rsidRPr="00332AB5">
        <w:rPr>
          <w:sz w:val="24"/>
          <w:szCs w:val="24"/>
        </w:rPr>
        <w:t xml:space="preserve"> – </w:t>
      </w:r>
      <w:r w:rsidRPr="00332AB5">
        <w:rPr>
          <w:sz w:val="24"/>
          <w:szCs w:val="24"/>
        </w:rPr>
        <w:t xml:space="preserve">2027. - Nove prilike“. Događanja su održana u </w:t>
      </w:r>
      <w:r w:rsidR="00020F30" w:rsidRPr="00332AB5">
        <w:rPr>
          <w:sz w:val="24"/>
          <w:szCs w:val="24"/>
        </w:rPr>
        <w:t>deset</w:t>
      </w:r>
      <w:r w:rsidRPr="00332AB5">
        <w:rPr>
          <w:sz w:val="24"/>
          <w:szCs w:val="24"/>
        </w:rPr>
        <w:t xml:space="preserve"> različitih županija odnosno gradova (Kaštela, Rijeka, Velika Gorica, Pula, Karlovac, Pakrac, Slavonski brod, Koprivnica, Prelog, Bjelovar) te su bila namijenjena predstavnicima jedinica lokalne i regionalne samouprave, predstavnicima regionalnih i lokalnih razvojnih agencija te korisnicima i potencijalnim korisnicima sredstava iz EU fondova odnosno svim zainteresiranim građanima. Sudionici su se na događanju (uživo na lokacijama i putem internetskog prijenosa uživo) mogli upoznati sa svim mogućnosti financiranja projekata u okviru Kohezijske politike u financijskom razdoblju 2021.</w:t>
      </w:r>
      <w:r w:rsidR="000F59CF" w:rsidRPr="00332AB5">
        <w:rPr>
          <w:sz w:val="24"/>
          <w:szCs w:val="24"/>
        </w:rPr>
        <w:t xml:space="preserve"> – </w:t>
      </w:r>
      <w:r w:rsidRPr="00332AB5">
        <w:rPr>
          <w:sz w:val="24"/>
          <w:szCs w:val="24"/>
        </w:rPr>
        <w:t>2027.</w:t>
      </w:r>
    </w:p>
    <w:p w14:paraId="302B5FA0" w14:textId="29AEDDC9" w:rsidR="004C53B0" w:rsidRPr="00332AB5" w:rsidRDefault="004C53B0" w:rsidP="004C53B0">
      <w:pPr>
        <w:spacing w:before="120" w:after="120"/>
        <w:jc w:val="both"/>
        <w:rPr>
          <w:sz w:val="24"/>
          <w:szCs w:val="24"/>
        </w:rPr>
      </w:pPr>
      <w:r w:rsidRPr="00332AB5">
        <w:rPr>
          <w:sz w:val="24"/>
          <w:szCs w:val="24"/>
        </w:rPr>
        <w:t>16. svibnja</w:t>
      </w:r>
      <w:r w:rsidR="0039743B" w:rsidRPr="00332AB5">
        <w:rPr>
          <w:sz w:val="24"/>
          <w:szCs w:val="24"/>
        </w:rPr>
        <w:t xml:space="preserve"> 2023.</w:t>
      </w:r>
      <w:r w:rsidRPr="00332AB5">
        <w:rPr>
          <w:sz w:val="24"/>
          <w:szCs w:val="24"/>
        </w:rPr>
        <w:t> u Zagrebu održana je konferencija pod nazivom „ITU urbana agenda za RH do 2030.“ Konferencija je okupila predstavnike lokalne samouprave u Republici Hrvatskoj te stručnjake i znanstvenike iz područja urbanog razvoja, pri čemu su predstavnicima 22 hrvatska grada dodijeljene odluke o provođenju ITU mehanizma.</w:t>
      </w:r>
    </w:p>
    <w:p w14:paraId="02AD8DBC" w14:textId="50133B78" w:rsidR="004C53B0" w:rsidRPr="00332AB5" w:rsidRDefault="004C53B0" w:rsidP="004C53B0">
      <w:pPr>
        <w:spacing w:before="120" w:after="120"/>
        <w:jc w:val="both"/>
        <w:rPr>
          <w:sz w:val="24"/>
          <w:szCs w:val="24"/>
        </w:rPr>
      </w:pPr>
      <w:r w:rsidRPr="00332AB5">
        <w:rPr>
          <w:sz w:val="24"/>
          <w:szCs w:val="24"/>
        </w:rPr>
        <w:t>S ciljem obilježavanja deset godina članstva Republike Hrvatske u Europskoj uniji odnosno korištenja EU fondova, 30. lipnja i 1. srpnja</w:t>
      </w:r>
      <w:r w:rsidR="0039743B" w:rsidRPr="00332AB5">
        <w:rPr>
          <w:sz w:val="24"/>
          <w:szCs w:val="24"/>
        </w:rPr>
        <w:t xml:space="preserve"> 2023.</w:t>
      </w:r>
      <w:r w:rsidRPr="00332AB5">
        <w:rPr>
          <w:sz w:val="24"/>
          <w:szCs w:val="24"/>
        </w:rPr>
        <w:t xml:space="preserve"> održano je informativno događanje pod nazivom „Dani otvorenih vrata EU projekata“. Radi se o aktivnosti kojom se najširoj javnosti predstavljaju projekti koji su dali doprinos razvoju lokalnih zajednica u područjima kao što su energetika, istraživanje i razvoj, kultura, obrazovanje, poduzetništvo, promet, zaštita okoliša, ruralni razvoj, socijalna uključenost, turizam, zdravlje i mnoga druga. Korisnici koji su uspješno proveli projekt financiran iz EU fondova kroz različite aktivnosti u klopu Dana otvorenih vrata (radionice, predavanja, obilasci projektnih lokacija itd.) predstavljaju projekt zainteresiranim posjetiteljima te ujedno svojim primjerom služe kao motivacija i inspiracija budućim korisnicima koji svoje ideje žele financirati sredstvima iz fondova Europske unije.</w:t>
      </w:r>
    </w:p>
    <w:p w14:paraId="0F4947A1" w14:textId="467BDB9C" w:rsidR="004C53B0" w:rsidRPr="00332AB5" w:rsidRDefault="004C53B0" w:rsidP="004C53B0">
      <w:pPr>
        <w:spacing w:before="120" w:after="120"/>
        <w:jc w:val="both"/>
        <w:rPr>
          <w:sz w:val="24"/>
          <w:szCs w:val="24"/>
        </w:rPr>
      </w:pPr>
      <w:r w:rsidRPr="00332AB5">
        <w:rPr>
          <w:color w:val="000000" w:themeColor="text1"/>
          <w:sz w:val="24"/>
          <w:szCs w:val="24"/>
        </w:rPr>
        <w:t xml:space="preserve">MRRFEU je od 2019. </w:t>
      </w:r>
      <w:r w:rsidR="004E4D6B" w:rsidRPr="00332AB5">
        <w:rPr>
          <w:color w:val="000000" w:themeColor="text1"/>
          <w:sz w:val="24"/>
          <w:szCs w:val="24"/>
        </w:rPr>
        <w:t xml:space="preserve">godine </w:t>
      </w:r>
      <w:r w:rsidRPr="00332AB5">
        <w:rPr>
          <w:color w:val="000000" w:themeColor="text1"/>
          <w:sz w:val="24"/>
          <w:szCs w:val="24"/>
        </w:rPr>
        <w:t>uključen u provođenje projekta Europske komisije „At the School of OpenCohesion“. Aktivnosti ovog</w:t>
      </w:r>
      <w:r w:rsidRPr="00332AB5">
        <w:rPr>
          <w:sz w:val="24"/>
          <w:szCs w:val="24"/>
        </w:rPr>
        <w:t>a projekta usmjerene su upoznavanju mladih s procesom sufinanciranja projekata sredstvima EU, educiranju mladih o kohezijskoj politici i poticanju mladih na podizanje svijesti o kohezijskoj politici, a utemeljen je na talijanskom projektu dobre prakse. Projektom se promiče sudjelovanje učenika/</w:t>
      </w:r>
      <w:r w:rsidRPr="00332AB5">
        <w:rPr>
          <w:color w:val="000000" w:themeColor="text1"/>
          <w:sz w:val="24"/>
          <w:szCs w:val="24"/>
        </w:rPr>
        <w:t xml:space="preserve">ca u praćenju učinkovitosti projekata i ulaganja koja se provode putem kohezijske politike EU-a korištenjem javnih otvorenih podataka i poticanjem kulture aktivnog građanstva. </w:t>
      </w:r>
      <w:r w:rsidRPr="00332AB5">
        <w:rPr>
          <w:sz w:val="24"/>
          <w:szCs w:val="24"/>
        </w:rPr>
        <w:t>Sveukupno je gotovo 300 sudionika prošlo obrazovni program projekta, a MRRFEU je s provedbom projekta ovoga puta u eksperimentalnom obliku nastavilo i u 2022. godini, pod nazivom „</w:t>
      </w:r>
      <w:r w:rsidRPr="00332AB5">
        <w:rPr>
          <w:color w:val="000000" w:themeColor="text1"/>
          <w:sz w:val="24"/>
          <w:szCs w:val="24"/>
        </w:rPr>
        <w:t xml:space="preserve">ASOC – Prekogranična suradnja Interreg Italija-Hrvatska“, pri čemu je fokus na funkcioniranju Interreg programa prekogranične suradnje i s njim povezanih projekata. </w:t>
      </w:r>
      <w:r w:rsidRPr="00332AB5">
        <w:rPr>
          <w:sz w:val="24"/>
          <w:szCs w:val="24"/>
        </w:rPr>
        <w:t>Eksperimentalni obrazovni put ovog Pilot projekta uključio je ukupno osam škola iz Hrvatske i Italije, odnosno četiri para talijanskih i hrvatskih skupina učenika. Iz Hrvatske su sudjelovale četiri srednje škole iz četiri županije obuhvaćene Interreg programom prekogranične suradnje Italija-Hrvatska (Istarska, Karlovačka, Zadarska i Dubrovačko-neretvanska). I u školskoj godini 2022./2023. nastavljen je Projekt „ASOC – Prekogranična suradnja Interreg Italija-Hrvatska“. U Projekt je uključeno ukupno 15 škola iz Hrvatske i Italije, odnosno osam parova talijanskih i hrvatskih skupina učenika. Iz Hrvatske sudjeluje sedam srednjih škola iz pet županija obuhvaćenih Interreg programom prekogranične suradnje Italija-Hrvatska (Zadarska, Dubrovačko-neretvanska, Primorsko-goranska, Karlovačka i Splitsko-dalmatinska).</w:t>
      </w:r>
    </w:p>
    <w:p w14:paraId="2C34625F" w14:textId="5419A7AC" w:rsidR="004C53B0" w:rsidRPr="00332AB5" w:rsidRDefault="004C53B0" w:rsidP="004C53B0">
      <w:pPr>
        <w:spacing w:before="120" w:after="120"/>
        <w:jc w:val="both"/>
        <w:rPr>
          <w:b/>
          <w:bCs/>
          <w:sz w:val="24"/>
          <w:szCs w:val="24"/>
        </w:rPr>
      </w:pPr>
      <w:r w:rsidRPr="00332AB5">
        <w:rPr>
          <w:sz w:val="24"/>
          <w:szCs w:val="24"/>
        </w:rPr>
        <w:t xml:space="preserve">U sklopu aktivnosti projekta ASOC ostvarena je suradnja s Uredom za udruge Vlade Republike Hrvatske kroz inicijativu Partnerstva za otvorenu vlast. Od 2021. godine MRRFEU je kroz projekt ASOC uključen u </w:t>
      </w:r>
      <w:r w:rsidRPr="00332AB5">
        <w:rPr>
          <w:b/>
          <w:bCs/>
          <w:sz w:val="24"/>
          <w:szCs w:val="24"/>
        </w:rPr>
        <w:t>Inicijativu Partnerstva za otvorenu vlast u RH</w:t>
      </w:r>
      <w:r w:rsidRPr="00332AB5">
        <w:rPr>
          <w:sz w:val="24"/>
          <w:szCs w:val="24"/>
        </w:rPr>
        <w:t xml:space="preserve"> te je obvezno svake školske godine tijekom provođenja aktivnosti ASOC-a provesti aktivnost </w:t>
      </w:r>
      <w:r w:rsidRPr="00332AB5">
        <w:rPr>
          <w:b/>
          <w:bCs/>
          <w:sz w:val="24"/>
          <w:szCs w:val="24"/>
        </w:rPr>
        <w:t xml:space="preserve">16.2. Održati edukativni posjet srednjoškolskih učenika/ca nacionalnim institucijama definiranu Akcijskim planom za provedbu inicijative Partnerstva za otvorenu vlast u Republici Hrvatskoj za razdoblje od 2022. do 2023. </w:t>
      </w:r>
    </w:p>
    <w:p w14:paraId="70AEA628" w14:textId="77777777" w:rsidR="004C53B0" w:rsidRPr="00332AB5" w:rsidRDefault="004C53B0" w:rsidP="004C53B0">
      <w:pPr>
        <w:spacing w:before="120" w:after="120"/>
        <w:jc w:val="both"/>
        <w:rPr>
          <w:sz w:val="24"/>
          <w:szCs w:val="24"/>
        </w:rPr>
      </w:pPr>
      <w:r w:rsidRPr="00332AB5">
        <w:rPr>
          <w:sz w:val="24"/>
          <w:szCs w:val="24"/>
        </w:rPr>
        <w:t xml:space="preserve">Primjere uspješno provedenih EU projekata na području Republike Hrvatske moguće je pronaći na središnjem internetskom portalu za EU fondove u Republici Hrvatskoj – </w:t>
      </w:r>
      <w:hyperlink r:id="rId28" w:history="1">
        <w:r w:rsidRPr="00332AB5">
          <w:rPr>
            <w:color w:val="0000FF"/>
            <w:sz w:val="24"/>
            <w:szCs w:val="24"/>
            <w:u w:val="single"/>
          </w:rPr>
          <w:t>www.strukturnifondovi.hr</w:t>
        </w:r>
      </w:hyperlink>
      <w:r w:rsidRPr="00332AB5">
        <w:rPr>
          <w:sz w:val="24"/>
          <w:szCs w:val="24"/>
        </w:rPr>
        <w:t xml:space="preserve">. </w:t>
      </w:r>
    </w:p>
    <w:p w14:paraId="77294FF4" w14:textId="77777777" w:rsidR="004C53B0" w:rsidRPr="00332AB5" w:rsidRDefault="004C53B0" w:rsidP="004C53B0">
      <w:pPr>
        <w:spacing w:before="120" w:after="120"/>
        <w:jc w:val="both"/>
        <w:rPr>
          <w:sz w:val="24"/>
          <w:szCs w:val="24"/>
        </w:rPr>
      </w:pPr>
    </w:p>
    <w:p w14:paraId="55062199" w14:textId="13D7AD22" w:rsidR="004C53B0" w:rsidRPr="00332AB5" w:rsidRDefault="004C53B0" w:rsidP="004C53B0">
      <w:pPr>
        <w:spacing w:before="120" w:after="120"/>
        <w:jc w:val="both"/>
        <w:rPr>
          <w:b/>
          <w:sz w:val="24"/>
          <w:szCs w:val="24"/>
        </w:rPr>
      </w:pPr>
      <w:r w:rsidRPr="00332AB5">
        <w:rPr>
          <w:b/>
          <w:bCs/>
          <w:sz w:val="24"/>
          <w:szCs w:val="24"/>
        </w:rPr>
        <w:t>Aktivnosti informiranja i komunikacije provedene u okviru Europskog socijalnog fonda plus</w:t>
      </w:r>
    </w:p>
    <w:p w14:paraId="2E4ECF59" w14:textId="5F89F63E" w:rsidR="004C53B0" w:rsidRPr="00332AB5" w:rsidRDefault="004C53B0" w:rsidP="004C53B0">
      <w:pPr>
        <w:spacing w:before="120" w:after="120"/>
        <w:jc w:val="both"/>
        <w:rPr>
          <w:sz w:val="24"/>
          <w:szCs w:val="24"/>
        </w:rPr>
      </w:pPr>
      <w:r w:rsidRPr="00332AB5">
        <w:rPr>
          <w:sz w:val="24"/>
          <w:szCs w:val="24"/>
        </w:rPr>
        <w:t xml:space="preserve">Odobrenjem Programa za novo financijsko razdoblje izrađena je mrežna stranica Europskog socijalnog fonda plus (ESF+) </w:t>
      </w:r>
      <w:hyperlink r:id="rId29" w:history="1">
        <w:r w:rsidRPr="00332AB5">
          <w:rPr>
            <w:rStyle w:val="Hyperlink"/>
            <w:sz w:val="24"/>
            <w:szCs w:val="24"/>
          </w:rPr>
          <w:t>https://esf.hr/esfplus/</w:t>
        </w:r>
      </w:hyperlink>
      <w:r w:rsidRPr="00332AB5">
        <w:rPr>
          <w:sz w:val="24"/>
          <w:szCs w:val="24"/>
        </w:rPr>
        <w:t xml:space="preserve"> u okviru koje su dostupne informacije o Programu Učinkoviti ljudski potencijali 2021.</w:t>
      </w:r>
      <w:r w:rsidR="000F59CF" w:rsidRPr="00332AB5">
        <w:rPr>
          <w:sz w:val="24"/>
          <w:szCs w:val="24"/>
        </w:rPr>
        <w:t xml:space="preserve"> – </w:t>
      </w:r>
      <w:r w:rsidRPr="00332AB5">
        <w:rPr>
          <w:sz w:val="24"/>
          <w:szCs w:val="24"/>
        </w:rPr>
        <w:t>2027., uz detaljan prikaz odabranih prioriteta ulaganja, povezanih ciljeva, aktivnosti, mogućnosti financiranja, kao i postignuća u okviru Programa iz prethodnog programskog razdoblja 2014.</w:t>
      </w:r>
      <w:r w:rsidR="000F59CF" w:rsidRPr="00332AB5">
        <w:rPr>
          <w:sz w:val="24"/>
          <w:szCs w:val="24"/>
        </w:rPr>
        <w:t xml:space="preserve"> – </w:t>
      </w:r>
      <w:r w:rsidRPr="00332AB5">
        <w:rPr>
          <w:sz w:val="24"/>
          <w:szCs w:val="24"/>
        </w:rPr>
        <w:t>2020. Na stranici su dostupni i primjeri uspješno provedenih projekata iz ESF-a, iz svih područja financiranja.</w:t>
      </w:r>
    </w:p>
    <w:p w14:paraId="4EC9EA6E" w14:textId="497A4366" w:rsidR="004C53B0" w:rsidRPr="00332AB5" w:rsidRDefault="004C53B0" w:rsidP="004C53B0">
      <w:pPr>
        <w:spacing w:before="120" w:after="120"/>
        <w:jc w:val="both"/>
        <w:rPr>
          <w:sz w:val="24"/>
          <w:szCs w:val="24"/>
        </w:rPr>
      </w:pPr>
      <w:r w:rsidRPr="00332AB5">
        <w:rPr>
          <w:sz w:val="24"/>
          <w:szCs w:val="24"/>
        </w:rPr>
        <w:t>S ciljem promocije Programa i razmjene iskustva korisnika ESF sredstava, 28. veljače 2023. godine u Zagrebu održana je konferencija „Europski socijalni fond plus za razvojno desetljeće“, u sklopu koje su predstavljene mogućnosti koje su Republici Hrvatskoj na raspolaganju iz Europskog socijalnog fonda plus (ESF+) za novo sedmogodišnje programsko razdoblje. Na Konferenciji je sudjelovao i povjerenik Europske komisije za zapošljavanje i socijalna prava Nicolas Schmit.</w:t>
      </w:r>
    </w:p>
    <w:p w14:paraId="33334BBD" w14:textId="1A484910" w:rsidR="004C53B0" w:rsidRPr="00332AB5" w:rsidRDefault="004C53B0" w:rsidP="004C53B0">
      <w:pPr>
        <w:spacing w:before="120" w:after="120"/>
        <w:jc w:val="both"/>
        <w:rPr>
          <w:sz w:val="24"/>
          <w:szCs w:val="24"/>
        </w:rPr>
      </w:pPr>
      <w:r w:rsidRPr="00332AB5">
        <w:rPr>
          <w:sz w:val="24"/>
          <w:szCs w:val="24"/>
        </w:rPr>
        <w:t xml:space="preserve">Promocija Programa održana je i tijekom ožujka 2023. godine u </w:t>
      </w:r>
      <w:r w:rsidR="00020F30" w:rsidRPr="00332AB5">
        <w:rPr>
          <w:sz w:val="24"/>
          <w:szCs w:val="24"/>
        </w:rPr>
        <w:t>osam</w:t>
      </w:r>
      <w:r w:rsidRPr="00332AB5">
        <w:rPr>
          <w:sz w:val="24"/>
          <w:szCs w:val="24"/>
        </w:rPr>
        <w:t xml:space="preserve"> gradova diljem Republike Hrvatske (Požega, Vinkovci, Rijeka, Gospić, Dubrovnik, Šibenik, Varaždin i Karlovac) te su tom prilikom predstavljene mogućnosti financiranja u okviru Programa, kao i rezultati i iskustva korisnika ESF-a iz prethodnog financijskog razdoblja.</w:t>
      </w:r>
    </w:p>
    <w:p w14:paraId="60C75BE8" w14:textId="77777777" w:rsidR="004C53B0" w:rsidRPr="00332AB5" w:rsidRDefault="004C53B0" w:rsidP="004C53B0">
      <w:pPr>
        <w:spacing w:before="120" w:after="120"/>
        <w:rPr>
          <w:b/>
          <w:caps/>
          <w:sz w:val="28"/>
        </w:rPr>
      </w:pPr>
      <w:r w:rsidRPr="00332AB5">
        <w:br w:type="page"/>
      </w:r>
    </w:p>
    <w:p w14:paraId="22145164" w14:textId="04B2F756" w:rsidR="009A59C4" w:rsidRPr="00332AB5" w:rsidRDefault="00C76407" w:rsidP="00275475">
      <w:pPr>
        <w:pStyle w:val="Heading1"/>
      </w:pPr>
      <w:bookmarkStart w:id="158" w:name="_Toc152595248"/>
      <w:r w:rsidRPr="00332AB5">
        <w:t>FINANCIJSK</w:t>
      </w:r>
      <w:r w:rsidR="001A0071" w:rsidRPr="00332AB5">
        <w:t>A</w:t>
      </w:r>
      <w:r w:rsidRPr="00332AB5">
        <w:t xml:space="preserve"> PER</w:t>
      </w:r>
      <w:r w:rsidR="00596CD2" w:rsidRPr="00332AB5">
        <w:t>SPEKTIV</w:t>
      </w:r>
      <w:r w:rsidR="001A0071" w:rsidRPr="00332AB5">
        <w:t>A</w:t>
      </w:r>
      <w:r w:rsidRPr="00332AB5">
        <w:t xml:space="preserve"> 2021.</w:t>
      </w:r>
      <w:r w:rsidR="001E2EBE" w:rsidRPr="00332AB5">
        <w:t xml:space="preserve"> - </w:t>
      </w:r>
      <w:r w:rsidRPr="00332AB5">
        <w:t>2027.</w:t>
      </w:r>
      <w:bookmarkEnd w:id="158"/>
      <w:r w:rsidRPr="00332AB5">
        <w:t xml:space="preserve"> </w:t>
      </w:r>
    </w:p>
    <w:p w14:paraId="00831AC9" w14:textId="12A36554" w:rsidR="0078423A" w:rsidRPr="00332AB5" w:rsidRDefault="0078423A" w:rsidP="0078423A">
      <w:pPr>
        <w:spacing w:before="120" w:after="120"/>
        <w:jc w:val="both"/>
        <w:rPr>
          <w:sz w:val="24"/>
          <w:szCs w:val="24"/>
        </w:rPr>
      </w:pPr>
      <w:bookmarkStart w:id="159" w:name="_Hlk83639802"/>
      <w:r w:rsidRPr="00332AB5">
        <w:rPr>
          <w:sz w:val="24"/>
          <w:szCs w:val="24"/>
        </w:rPr>
        <w:t xml:space="preserve">Vezano uz proces programiranja novog financijskog razdoblja, </w:t>
      </w:r>
      <w:r w:rsidR="00716517" w:rsidRPr="00332AB5">
        <w:rPr>
          <w:sz w:val="24"/>
          <w:szCs w:val="24"/>
        </w:rPr>
        <w:t>VRH</w:t>
      </w:r>
      <w:r w:rsidRPr="00332AB5">
        <w:rPr>
          <w:sz w:val="24"/>
          <w:szCs w:val="24"/>
        </w:rPr>
        <w:t xml:space="preserve"> je na sjednici </w:t>
      </w:r>
      <w:r w:rsidR="00517A5B" w:rsidRPr="00332AB5">
        <w:rPr>
          <w:sz w:val="24"/>
          <w:szCs w:val="24"/>
        </w:rPr>
        <w:t xml:space="preserve">održanoj </w:t>
      </w:r>
      <w:r w:rsidRPr="00332AB5">
        <w:rPr>
          <w:sz w:val="24"/>
          <w:szCs w:val="24"/>
        </w:rPr>
        <w:t>5. studenog</w:t>
      </w:r>
      <w:r w:rsidR="00517A5B" w:rsidRPr="00332AB5">
        <w:rPr>
          <w:sz w:val="24"/>
          <w:szCs w:val="24"/>
        </w:rPr>
        <w:t>a</w:t>
      </w:r>
      <w:r w:rsidRPr="00332AB5">
        <w:rPr>
          <w:sz w:val="24"/>
          <w:szCs w:val="24"/>
        </w:rPr>
        <w:t xml:space="preserve"> 2020. donijela Odluku o operativnim programima vezanim za </w:t>
      </w:r>
      <w:r w:rsidR="00B50D83" w:rsidRPr="00332AB5">
        <w:rPr>
          <w:sz w:val="24"/>
          <w:szCs w:val="24"/>
        </w:rPr>
        <w:t>k</w:t>
      </w:r>
      <w:r w:rsidRPr="00332AB5">
        <w:rPr>
          <w:sz w:val="24"/>
          <w:szCs w:val="24"/>
        </w:rPr>
        <w:t>ohezijsku politiku za financijsko razdoblje Europske unije 2021.</w:t>
      </w:r>
      <w:r w:rsidR="005076F9" w:rsidRPr="00332AB5">
        <w:rPr>
          <w:sz w:val="24"/>
          <w:szCs w:val="24"/>
        </w:rPr>
        <w:t xml:space="preserve"> </w:t>
      </w:r>
      <w:r w:rsidR="00B50D83" w:rsidRPr="00332AB5">
        <w:rPr>
          <w:sz w:val="24"/>
          <w:szCs w:val="24"/>
        </w:rPr>
        <w:t>-</w:t>
      </w:r>
      <w:r w:rsidR="005076F9" w:rsidRPr="00332AB5">
        <w:rPr>
          <w:sz w:val="24"/>
          <w:szCs w:val="24"/>
        </w:rPr>
        <w:t xml:space="preserve"> </w:t>
      </w:r>
      <w:r w:rsidRPr="00332AB5">
        <w:rPr>
          <w:sz w:val="24"/>
          <w:szCs w:val="24"/>
        </w:rPr>
        <w:t>2027. u Republici Hrvatskoj i tijelima zaduženima za njihovu pripremu, a utvrđeni su sljedeći programi:</w:t>
      </w:r>
      <w:r w:rsidR="00B50D83" w:rsidRPr="00332AB5">
        <w:t xml:space="preserve"> </w:t>
      </w:r>
    </w:p>
    <w:p w14:paraId="40A74000" w14:textId="0C0AAB6C" w:rsidR="0078423A" w:rsidRPr="00332AB5" w:rsidRDefault="0078423A" w:rsidP="0078423A">
      <w:pPr>
        <w:spacing w:before="120" w:after="120"/>
        <w:jc w:val="both"/>
        <w:rPr>
          <w:sz w:val="24"/>
          <w:szCs w:val="24"/>
        </w:rPr>
      </w:pPr>
      <w:r w:rsidRPr="00332AB5">
        <w:rPr>
          <w:sz w:val="24"/>
          <w:szCs w:val="24"/>
        </w:rPr>
        <w:t>1.</w:t>
      </w:r>
      <w:r w:rsidR="00B50D83" w:rsidRPr="00332AB5">
        <w:rPr>
          <w:sz w:val="24"/>
          <w:szCs w:val="24"/>
        </w:rPr>
        <w:t xml:space="preserve"> </w:t>
      </w:r>
      <w:bookmarkStart w:id="160" w:name="_Hlk105068410"/>
      <w:r w:rsidR="004B6057" w:rsidRPr="00332AB5">
        <w:rPr>
          <w:sz w:val="24"/>
          <w:szCs w:val="24"/>
        </w:rPr>
        <w:t>P</w:t>
      </w:r>
      <w:r w:rsidRPr="00332AB5">
        <w:rPr>
          <w:sz w:val="24"/>
          <w:szCs w:val="24"/>
        </w:rPr>
        <w:t xml:space="preserve">rogram Konkurentnost i kohezija </w:t>
      </w:r>
      <w:bookmarkEnd w:id="160"/>
      <w:r w:rsidRPr="00332AB5">
        <w:rPr>
          <w:sz w:val="24"/>
          <w:szCs w:val="24"/>
        </w:rPr>
        <w:t>2021.</w:t>
      </w:r>
      <w:r w:rsidR="005076F9" w:rsidRPr="00332AB5">
        <w:rPr>
          <w:sz w:val="24"/>
          <w:szCs w:val="24"/>
        </w:rPr>
        <w:t xml:space="preserve"> </w:t>
      </w:r>
      <w:r w:rsidR="00B50D83" w:rsidRPr="00332AB5">
        <w:rPr>
          <w:sz w:val="24"/>
          <w:szCs w:val="24"/>
        </w:rPr>
        <w:t>-</w:t>
      </w:r>
      <w:r w:rsidR="005076F9" w:rsidRPr="00332AB5">
        <w:rPr>
          <w:sz w:val="24"/>
          <w:szCs w:val="24"/>
        </w:rPr>
        <w:t xml:space="preserve"> </w:t>
      </w:r>
      <w:r w:rsidRPr="00332AB5">
        <w:rPr>
          <w:sz w:val="24"/>
          <w:szCs w:val="24"/>
        </w:rPr>
        <w:t>2027. (čiji će se EU dio financirati iz Europskog fonda za regionalni razvoj i Kohezijskog fonda)</w:t>
      </w:r>
      <w:r w:rsidR="00714E8D" w:rsidRPr="00332AB5">
        <w:rPr>
          <w:sz w:val="24"/>
          <w:szCs w:val="24"/>
        </w:rPr>
        <w:t>.</w:t>
      </w:r>
    </w:p>
    <w:p w14:paraId="6B4F1591" w14:textId="285E4E74" w:rsidR="0078423A" w:rsidRPr="00332AB5" w:rsidRDefault="0078423A" w:rsidP="0078423A">
      <w:pPr>
        <w:spacing w:before="120" w:after="120"/>
        <w:jc w:val="both"/>
        <w:rPr>
          <w:sz w:val="24"/>
          <w:szCs w:val="24"/>
        </w:rPr>
      </w:pPr>
      <w:r w:rsidRPr="00332AB5">
        <w:rPr>
          <w:sz w:val="24"/>
          <w:szCs w:val="24"/>
        </w:rPr>
        <w:t xml:space="preserve">2. </w:t>
      </w:r>
      <w:bookmarkStart w:id="161" w:name="_Hlk105068419"/>
      <w:r w:rsidR="004B6057" w:rsidRPr="00332AB5">
        <w:rPr>
          <w:sz w:val="24"/>
          <w:szCs w:val="24"/>
        </w:rPr>
        <w:t>P</w:t>
      </w:r>
      <w:r w:rsidRPr="00332AB5">
        <w:rPr>
          <w:sz w:val="24"/>
          <w:szCs w:val="24"/>
        </w:rPr>
        <w:t xml:space="preserve">rogram Učinkoviti ljudski potencijali </w:t>
      </w:r>
      <w:bookmarkEnd w:id="161"/>
      <w:r w:rsidRPr="00332AB5">
        <w:rPr>
          <w:sz w:val="24"/>
          <w:szCs w:val="24"/>
        </w:rPr>
        <w:t>2021.</w:t>
      </w:r>
      <w:r w:rsidR="005076F9" w:rsidRPr="00332AB5">
        <w:rPr>
          <w:sz w:val="24"/>
          <w:szCs w:val="24"/>
        </w:rPr>
        <w:t xml:space="preserve"> </w:t>
      </w:r>
      <w:r w:rsidR="00B50D83" w:rsidRPr="00332AB5">
        <w:rPr>
          <w:sz w:val="24"/>
          <w:szCs w:val="24"/>
        </w:rPr>
        <w:t>-</w:t>
      </w:r>
      <w:r w:rsidR="005076F9" w:rsidRPr="00332AB5">
        <w:rPr>
          <w:sz w:val="24"/>
          <w:szCs w:val="24"/>
        </w:rPr>
        <w:t xml:space="preserve"> </w:t>
      </w:r>
      <w:r w:rsidRPr="00332AB5">
        <w:rPr>
          <w:sz w:val="24"/>
          <w:szCs w:val="24"/>
        </w:rPr>
        <w:t>2027. (čiji će se EU dio financirati iz Europskog socijalnog fonda plus)</w:t>
      </w:r>
      <w:r w:rsidR="00714E8D" w:rsidRPr="00332AB5">
        <w:rPr>
          <w:sz w:val="24"/>
          <w:szCs w:val="24"/>
        </w:rPr>
        <w:t>.</w:t>
      </w:r>
    </w:p>
    <w:p w14:paraId="53FB519D" w14:textId="73FBCE16" w:rsidR="0078423A" w:rsidRPr="00332AB5" w:rsidRDefault="0078423A" w:rsidP="0078423A">
      <w:pPr>
        <w:spacing w:before="120" w:after="120"/>
        <w:jc w:val="both"/>
        <w:rPr>
          <w:sz w:val="24"/>
          <w:szCs w:val="24"/>
        </w:rPr>
      </w:pPr>
      <w:r w:rsidRPr="00332AB5">
        <w:rPr>
          <w:sz w:val="24"/>
          <w:szCs w:val="24"/>
        </w:rPr>
        <w:t>3. Integrirani teritorijalni program 2021.</w:t>
      </w:r>
      <w:r w:rsidR="005076F9" w:rsidRPr="00332AB5">
        <w:rPr>
          <w:sz w:val="24"/>
          <w:szCs w:val="24"/>
        </w:rPr>
        <w:t xml:space="preserve"> </w:t>
      </w:r>
      <w:r w:rsidR="00B50D83" w:rsidRPr="00332AB5">
        <w:rPr>
          <w:sz w:val="24"/>
          <w:szCs w:val="24"/>
        </w:rPr>
        <w:t>-</w:t>
      </w:r>
      <w:r w:rsidR="005076F9" w:rsidRPr="00332AB5">
        <w:rPr>
          <w:sz w:val="24"/>
          <w:szCs w:val="24"/>
        </w:rPr>
        <w:t xml:space="preserve"> </w:t>
      </w:r>
      <w:r w:rsidRPr="00332AB5">
        <w:rPr>
          <w:sz w:val="24"/>
          <w:szCs w:val="24"/>
        </w:rPr>
        <w:t>2027. (čiji će se EU dio financirati iz Europskog fonda za regionalni razvoj i Fonda za pravednu tranziciju).</w:t>
      </w:r>
      <w:bookmarkEnd w:id="159"/>
    </w:p>
    <w:p w14:paraId="0696C24D" w14:textId="05D900EB" w:rsidR="00C75E1C" w:rsidRPr="00332AB5" w:rsidRDefault="00C75E1C" w:rsidP="0078423A">
      <w:pPr>
        <w:spacing w:before="120" w:after="120"/>
        <w:jc w:val="both"/>
        <w:rPr>
          <w:sz w:val="24"/>
          <w:szCs w:val="24"/>
        </w:rPr>
      </w:pPr>
      <w:r w:rsidRPr="00332AB5">
        <w:rPr>
          <w:sz w:val="24"/>
          <w:szCs w:val="24"/>
        </w:rPr>
        <w:t>Uz navedeno, za provedbu Zajedničke ribarstvene politike i pomorske politike Europske unije, utvrđen je i Program za ribarstvo i akvakulturu Republike Hrvatske za programsko razdoblje 2021.</w:t>
      </w:r>
      <w:r w:rsidR="005076F9" w:rsidRPr="00332AB5">
        <w:rPr>
          <w:sz w:val="24"/>
          <w:szCs w:val="24"/>
        </w:rPr>
        <w:t xml:space="preserve"> </w:t>
      </w:r>
      <w:r w:rsidRPr="00332AB5">
        <w:rPr>
          <w:sz w:val="24"/>
          <w:szCs w:val="24"/>
        </w:rPr>
        <w:t>-</w:t>
      </w:r>
      <w:r w:rsidR="005076F9" w:rsidRPr="00332AB5">
        <w:rPr>
          <w:sz w:val="24"/>
          <w:szCs w:val="24"/>
        </w:rPr>
        <w:t xml:space="preserve"> </w:t>
      </w:r>
      <w:r w:rsidRPr="00332AB5">
        <w:rPr>
          <w:sz w:val="24"/>
          <w:szCs w:val="24"/>
        </w:rPr>
        <w:t>2027. godine.</w:t>
      </w:r>
    </w:p>
    <w:p w14:paraId="5846EA49" w14:textId="2573FFBD" w:rsidR="00E13055" w:rsidRPr="00332AB5" w:rsidRDefault="0084085B" w:rsidP="0078423A">
      <w:pPr>
        <w:spacing w:before="120" w:after="120"/>
        <w:jc w:val="both"/>
        <w:rPr>
          <w:sz w:val="24"/>
          <w:szCs w:val="24"/>
        </w:rPr>
      </w:pPr>
      <w:r w:rsidRPr="00332AB5">
        <w:rPr>
          <w:sz w:val="24"/>
          <w:szCs w:val="24"/>
        </w:rPr>
        <w:t>SP ZPP</w:t>
      </w:r>
      <w:r w:rsidR="00E13055" w:rsidRPr="00332AB5">
        <w:rPr>
          <w:sz w:val="24"/>
          <w:szCs w:val="24"/>
        </w:rPr>
        <w:t xml:space="preserve"> je temeljni dokument za korištenje sredstava europskih poljoprivrednih fondova (Europski fond za jamstva u poljoprivredi - EFJP i Europski poljoprivredni fond za ruralni razvoj - EPFRR).</w:t>
      </w:r>
    </w:p>
    <w:p w14:paraId="4E7FCF60" w14:textId="01CC3940" w:rsidR="00A161B3" w:rsidRPr="00332AB5" w:rsidRDefault="00037D51" w:rsidP="00A161B3">
      <w:pPr>
        <w:spacing w:before="120" w:after="120"/>
        <w:jc w:val="both"/>
        <w:rPr>
          <w:sz w:val="24"/>
          <w:szCs w:val="24"/>
        </w:rPr>
      </w:pPr>
      <w:r w:rsidRPr="00332AB5">
        <w:rPr>
          <w:sz w:val="24"/>
          <w:szCs w:val="24"/>
        </w:rPr>
        <w:t>Sporazum o par</w:t>
      </w:r>
      <w:r w:rsidR="009773C2" w:rsidRPr="00332AB5">
        <w:rPr>
          <w:sz w:val="24"/>
          <w:szCs w:val="24"/>
        </w:rPr>
        <w:t xml:space="preserve">tnerstvu s Republikom Hrvatskom, </w:t>
      </w:r>
      <w:r w:rsidR="00A04224" w:rsidRPr="00332AB5">
        <w:rPr>
          <w:sz w:val="24"/>
          <w:szCs w:val="24"/>
        </w:rPr>
        <w:t xml:space="preserve">koji se odnosi na </w:t>
      </w:r>
      <w:r w:rsidRPr="00332AB5">
        <w:rPr>
          <w:sz w:val="24"/>
          <w:szCs w:val="24"/>
        </w:rPr>
        <w:t xml:space="preserve">financijsko razdoblje 2021. </w:t>
      </w:r>
      <w:r w:rsidR="005076F9" w:rsidRPr="00332AB5">
        <w:rPr>
          <w:sz w:val="24"/>
          <w:szCs w:val="24"/>
        </w:rPr>
        <w:t>-</w:t>
      </w:r>
      <w:r w:rsidRPr="00332AB5">
        <w:rPr>
          <w:sz w:val="24"/>
          <w:szCs w:val="24"/>
        </w:rPr>
        <w:t xml:space="preserve"> 2027. usvojen je 24. kolovoza 2022. i uspostavlja strategiju ulaganja Republike Hrvatske, vrijednu gotovo 9 milijardi eura za financijsko razdoblje </w:t>
      </w:r>
      <w:r w:rsidR="00882641" w:rsidRPr="00332AB5">
        <w:rPr>
          <w:sz w:val="24"/>
          <w:szCs w:val="24"/>
        </w:rPr>
        <w:t>2021. – 2027. Navedena sredstva dostupna su putem četiri programa: Program Konkurentnost i kohezija, Integrirani teritorijalni program, Program Učinkoviti ljudski potencijali te Program za ribarstvo i akvakulturu. Ulaganja predstavljaju istovremeno i kontinuitet, ali i dodatni iskorak s ciljem jačanja ulaganja s posebnim teritorijalnim fokusom, a koristit će se u najvećem iznosu za daljnje jačanje gospodarstva, potporu zelene i pravedne tranzicije koja će ublažiti utjecaj energetskih i klimatskih izazova na gospodarstvo i društvo u cjelini, digitalne tranzicije, daljnje poboljšanje povezanosti i mobilnosti te jačanje socijalne kohezije.</w:t>
      </w:r>
    </w:p>
    <w:p w14:paraId="472EC229" w14:textId="77777777" w:rsidR="00882641" w:rsidRPr="00332AB5" w:rsidRDefault="00882641" w:rsidP="00A161B3">
      <w:pPr>
        <w:spacing w:before="120" w:after="120"/>
        <w:jc w:val="both"/>
      </w:pPr>
    </w:p>
    <w:p w14:paraId="6DAF5339" w14:textId="10A5180A" w:rsidR="001A0071" w:rsidRPr="00332AB5" w:rsidRDefault="001A0071" w:rsidP="001A0071">
      <w:pPr>
        <w:pStyle w:val="Heading2"/>
        <w:numPr>
          <w:ilvl w:val="1"/>
          <w:numId w:val="3"/>
        </w:numPr>
      </w:pPr>
      <w:bookmarkStart w:id="162" w:name="_Toc152595249"/>
      <w:r w:rsidRPr="00332AB5">
        <w:t>PROGRAM KONKURENTNOST I KOHEZIJA 2021. - 2027.</w:t>
      </w:r>
      <w:bookmarkEnd w:id="162"/>
    </w:p>
    <w:p w14:paraId="5CEB3C9F" w14:textId="12BD087F" w:rsidR="00882641" w:rsidRPr="00332AB5" w:rsidRDefault="00882641" w:rsidP="00882641">
      <w:pPr>
        <w:spacing w:before="120" w:after="120"/>
        <w:jc w:val="both"/>
        <w:rPr>
          <w:sz w:val="24"/>
          <w:szCs w:val="24"/>
        </w:rPr>
      </w:pPr>
      <w:r w:rsidRPr="00332AB5">
        <w:rPr>
          <w:sz w:val="24"/>
          <w:szCs w:val="24"/>
        </w:rPr>
        <w:t xml:space="preserve">Program Konkurentnost i kohezija 2021. - 2027. odobren je od strane Europske komisije 9. studenoga 2022. Odobrenjem ovoga Programa ostvaren je temelj za korištenje 5,203 milijardi eura, od čega je iz Europskog fonda za regionalni razvoj 4,020 milijardi eura te iz Kohezijskog fonda 1,182 milijardi eura. Program se provodi kroz šest prioriteta u cilju ravnomjernog razvoja Hrvatske te predstavlja kontinuitet u odnosu na prethodno financijsko razdoblje 2014. – 2020., objedinjujući dosadašnja iskustva i znanja. Osim ulaganja na cijelo područje RH, kroz predmetni Program dodatno je osnažen i teritorijalni fokus na način da će se dio ulaganja s ciljem uravnoteženog regionalnog razvoja usmjeriti i na potpomognuta i brdsko-planinska područja. </w:t>
      </w:r>
    </w:p>
    <w:p w14:paraId="4781982C" w14:textId="1207B5AB" w:rsidR="00882641" w:rsidRPr="00332AB5" w:rsidRDefault="00882641" w:rsidP="00663F23">
      <w:pPr>
        <w:jc w:val="both"/>
        <w:rPr>
          <w:sz w:val="24"/>
        </w:rPr>
      </w:pPr>
      <w:r w:rsidRPr="00332AB5">
        <w:rPr>
          <w:sz w:val="24"/>
        </w:rPr>
        <w:t>Odbor za praćenje provedbe Programa Konkurentnost i kohezija 2021. – 2027. i Integriranog teritorijalnog programa 2021. – 2027., tijekom prve tri održane sjednice tijekom izvještajnog razdoblja odobrio je sljedeće kriterije za odabir operacija i pripadajuće metodologije unutar Programa Konkurentnost i kohezija 2021.</w:t>
      </w:r>
      <w:r w:rsidR="000F59CF" w:rsidRPr="00332AB5">
        <w:rPr>
          <w:sz w:val="24"/>
        </w:rPr>
        <w:t xml:space="preserve"> – </w:t>
      </w:r>
      <w:r w:rsidRPr="00332AB5">
        <w:rPr>
          <w:sz w:val="24"/>
        </w:rPr>
        <w:t xml:space="preserve">2027.: </w:t>
      </w:r>
    </w:p>
    <w:p w14:paraId="51B7A5DA" w14:textId="77777777" w:rsidR="00882641" w:rsidRPr="00332AB5" w:rsidRDefault="00882641" w:rsidP="00882641">
      <w:pPr>
        <w:spacing w:before="120" w:after="120"/>
        <w:jc w:val="both"/>
      </w:pPr>
    </w:p>
    <w:p w14:paraId="0D627C2F" w14:textId="4480BB71" w:rsidR="00882641" w:rsidRPr="00332AB5" w:rsidRDefault="00882641">
      <w:pPr>
        <w:pStyle w:val="ListParagraph"/>
        <w:numPr>
          <w:ilvl w:val="0"/>
          <w:numId w:val="20"/>
        </w:numPr>
        <w:jc w:val="both"/>
        <w:rPr>
          <w:sz w:val="24"/>
          <w:szCs w:val="24"/>
        </w:rPr>
      </w:pPr>
      <w:r w:rsidRPr="00332AB5">
        <w:rPr>
          <w:sz w:val="24"/>
          <w:szCs w:val="24"/>
        </w:rPr>
        <w:t>na prvoj sjednici</w:t>
      </w:r>
      <w:r w:rsidR="00F9514A" w:rsidRPr="00332AB5">
        <w:rPr>
          <w:sz w:val="24"/>
          <w:szCs w:val="24"/>
        </w:rPr>
        <w:t>,</w:t>
      </w:r>
      <w:r w:rsidRPr="00332AB5">
        <w:rPr>
          <w:sz w:val="24"/>
          <w:szCs w:val="24"/>
        </w:rPr>
        <w:t xml:space="preserve"> </w:t>
      </w:r>
      <w:r w:rsidR="00F9514A" w:rsidRPr="00332AB5">
        <w:rPr>
          <w:sz w:val="24"/>
          <w:szCs w:val="24"/>
        </w:rPr>
        <w:t xml:space="preserve">održanoj u siječnju 2023., </w:t>
      </w:r>
      <w:r w:rsidRPr="00332AB5">
        <w:rPr>
          <w:sz w:val="24"/>
          <w:szCs w:val="24"/>
        </w:rPr>
        <w:t xml:space="preserve">odobreni su kriteriji za financijske instrumente, </w:t>
      </w:r>
    </w:p>
    <w:p w14:paraId="1642BE57" w14:textId="5F48AA54" w:rsidR="00882641" w:rsidRPr="00332AB5" w:rsidRDefault="00882641">
      <w:pPr>
        <w:pStyle w:val="ListParagraph"/>
        <w:numPr>
          <w:ilvl w:val="0"/>
          <w:numId w:val="20"/>
        </w:numPr>
        <w:jc w:val="both"/>
        <w:rPr>
          <w:sz w:val="24"/>
          <w:szCs w:val="24"/>
        </w:rPr>
      </w:pPr>
      <w:r w:rsidRPr="00332AB5">
        <w:rPr>
          <w:sz w:val="24"/>
          <w:szCs w:val="24"/>
        </w:rPr>
        <w:t>na drugoj sjednici</w:t>
      </w:r>
      <w:r w:rsidR="00F9514A" w:rsidRPr="00332AB5">
        <w:rPr>
          <w:sz w:val="24"/>
          <w:szCs w:val="24"/>
        </w:rPr>
        <w:t>, održanoj</w:t>
      </w:r>
      <w:r w:rsidRPr="00332AB5">
        <w:rPr>
          <w:sz w:val="24"/>
          <w:szCs w:val="24"/>
        </w:rPr>
        <w:t xml:space="preserve"> </w:t>
      </w:r>
      <w:r w:rsidR="00F9514A" w:rsidRPr="00332AB5">
        <w:rPr>
          <w:sz w:val="24"/>
          <w:szCs w:val="24"/>
        </w:rPr>
        <w:t xml:space="preserve">u travnju 2023., </w:t>
      </w:r>
      <w:r w:rsidRPr="00332AB5">
        <w:rPr>
          <w:sz w:val="24"/>
          <w:szCs w:val="24"/>
        </w:rPr>
        <w:t xml:space="preserve">odobreni su kriteriji za dio specifičnog cilja 2.iv </w:t>
      </w:r>
      <w:r w:rsidRPr="00332AB5">
        <w:rPr>
          <w:iCs/>
          <w:sz w:val="24"/>
          <w:szCs w:val="24"/>
        </w:rPr>
        <w:t>„Promicanje prilagodbe klimatskim promjenama i sprečavanja rizika od katastrofa te otpornosti, uzimajući u obzir pristupe utemeljene na ekosustavima” i to za operacije u nadležnosti Ministarstva unutarnjih poslova</w:t>
      </w:r>
    </w:p>
    <w:p w14:paraId="20CB20F7" w14:textId="600AC10A" w:rsidR="003A7D02" w:rsidRPr="00332AB5" w:rsidRDefault="00882641" w:rsidP="00C8184D">
      <w:pPr>
        <w:pStyle w:val="ListParagraph"/>
        <w:numPr>
          <w:ilvl w:val="0"/>
          <w:numId w:val="20"/>
        </w:numPr>
        <w:jc w:val="both"/>
        <w:rPr>
          <w:sz w:val="24"/>
          <w:szCs w:val="24"/>
        </w:rPr>
      </w:pPr>
      <w:r w:rsidRPr="00332AB5">
        <w:rPr>
          <w:iCs/>
          <w:sz w:val="24"/>
          <w:szCs w:val="24"/>
        </w:rPr>
        <w:t>na trećoj sjednici</w:t>
      </w:r>
      <w:r w:rsidR="00F9514A" w:rsidRPr="00332AB5">
        <w:rPr>
          <w:iCs/>
          <w:sz w:val="24"/>
          <w:szCs w:val="24"/>
        </w:rPr>
        <w:t>, održanoj u lipnju 2023.,</w:t>
      </w:r>
      <w:r w:rsidRPr="00332AB5">
        <w:rPr>
          <w:iCs/>
          <w:sz w:val="24"/>
          <w:szCs w:val="24"/>
        </w:rPr>
        <w:t xml:space="preserve"> odobreni su kriteriji za dio specifičnog cilja 4.v „Osiguravanje jednakog pristupa zdravstvenoj skrbi i jačanje otpornosti zdravstvenog sustava, uključujući primarnu zaštitu, i promicanje prelaska s institucijske skrbi na skrb u obitelji i skrb u zajednici” i to za dvije operacije: „Ostvarivanje preduvjeta za uspostavu hitne helikopterske medicinske službe (HEMS)“ te „Jačanje hitne medicinske skrbi“, kao i kriteriji za dio specifičnog cilja 4.vi „Jačanje uloge kulture i održivog turizma u gospodarskom razvoju, socijalnoj uključenosti i socijalnim inovacijama“ koj</w:t>
      </w:r>
      <w:r w:rsidR="00647FFB" w:rsidRPr="00332AB5">
        <w:rPr>
          <w:iCs/>
          <w:sz w:val="24"/>
          <w:szCs w:val="24"/>
        </w:rPr>
        <w:t>e</w:t>
      </w:r>
      <w:r w:rsidRPr="00332AB5">
        <w:rPr>
          <w:iCs/>
          <w:sz w:val="24"/>
          <w:szCs w:val="24"/>
        </w:rPr>
        <w:t xml:space="preserve"> se odnose na operacije u nadležnosti Ministarstva kulture i medija.</w:t>
      </w:r>
    </w:p>
    <w:p w14:paraId="2BBC704F" w14:textId="1951A782" w:rsidR="003A7D02" w:rsidRPr="00332AB5" w:rsidRDefault="00F9514A" w:rsidP="003A7D02">
      <w:pPr>
        <w:spacing w:before="120" w:after="120"/>
        <w:jc w:val="both"/>
        <w:rPr>
          <w:sz w:val="24"/>
          <w:szCs w:val="24"/>
        </w:rPr>
      </w:pPr>
      <w:r w:rsidRPr="00332AB5">
        <w:rPr>
          <w:sz w:val="24"/>
          <w:szCs w:val="24"/>
        </w:rPr>
        <w:t>U</w:t>
      </w:r>
      <w:r w:rsidR="003A7D02" w:rsidRPr="00332AB5">
        <w:rPr>
          <w:sz w:val="24"/>
          <w:szCs w:val="24"/>
        </w:rPr>
        <w:t xml:space="preserve"> skladu s odredbama i rokovima iz članka 69. stavka 11. Uredbe (EU) 2021/1060</w:t>
      </w:r>
      <w:r w:rsidR="00BE3593" w:rsidRPr="00332AB5">
        <w:rPr>
          <w:sz w:val="24"/>
          <w:szCs w:val="24"/>
        </w:rPr>
        <w:t xml:space="preserve"> (SL L 231</w:t>
      </w:r>
      <w:r w:rsidR="003A7D02" w:rsidRPr="00332AB5">
        <w:rPr>
          <w:sz w:val="24"/>
          <w:szCs w:val="24"/>
        </w:rPr>
        <w:t>,</w:t>
      </w:r>
      <w:r w:rsidR="00BE3593" w:rsidRPr="00332AB5">
        <w:rPr>
          <w:sz w:val="24"/>
          <w:szCs w:val="24"/>
        </w:rPr>
        <w:t xml:space="preserve"> 30. 6. 2021</w:t>
      </w:r>
      <w:r w:rsidR="009535AB" w:rsidRPr="00332AB5">
        <w:rPr>
          <w:sz w:val="24"/>
          <w:szCs w:val="24"/>
        </w:rPr>
        <w:t>.</w:t>
      </w:r>
      <w:r w:rsidR="00BE3593" w:rsidRPr="00332AB5">
        <w:rPr>
          <w:sz w:val="24"/>
          <w:szCs w:val="24"/>
        </w:rPr>
        <w:t>), u daljnjem tekstu Uredba (EU) 2021/1060</w:t>
      </w:r>
      <w:r w:rsidR="003A7D02" w:rsidRPr="00332AB5">
        <w:rPr>
          <w:sz w:val="24"/>
          <w:szCs w:val="24"/>
        </w:rPr>
        <w:t xml:space="preserve"> u lipnju 2023. </w:t>
      </w:r>
      <w:r w:rsidR="0012095B" w:rsidRPr="00332AB5">
        <w:rPr>
          <w:sz w:val="24"/>
          <w:szCs w:val="24"/>
        </w:rPr>
        <w:t>MRRFEU</w:t>
      </w:r>
      <w:r w:rsidR="003A7D02" w:rsidRPr="00332AB5">
        <w:rPr>
          <w:sz w:val="24"/>
          <w:szCs w:val="24"/>
        </w:rPr>
        <w:t xml:space="preserve"> kao Upravljačko tijelo pripremilo je Opis sustava upravljanja i kontrole za Program Konkurentnost i kohezija 2021.</w:t>
      </w:r>
      <w:r w:rsidR="000F59CF" w:rsidRPr="00332AB5">
        <w:rPr>
          <w:sz w:val="24"/>
          <w:szCs w:val="24"/>
        </w:rPr>
        <w:t xml:space="preserve"> – </w:t>
      </w:r>
      <w:r w:rsidR="003A7D02" w:rsidRPr="00332AB5">
        <w:rPr>
          <w:sz w:val="24"/>
          <w:szCs w:val="24"/>
        </w:rPr>
        <w:t>2027., v.1.0. u kojem se opisuje uspostavljena struktura, procesi i postupanja te funkcioniranje sustava upravljanja i kontrole.</w:t>
      </w:r>
    </w:p>
    <w:p w14:paraId="13F01B35" w14:textId="77777777" w:rsidR="00882641" w:rsidRPr="00332AB5" w:rsidRDefault="00882641" w:rsidP="00882641">
      <w:pPr>
        <w:jc w:val="both"/>
        <w:rPr>
          <w:sz w:val="24"/>
          <w:szCs w:val="24"/>
        </w:rPr>
      </w:pPr>
    </w:p>
    <w:p w14:paraId="65CB0E97" w14:textId="5CEE9E99" w:rsidR="001A0071" w:rsidRPr="00332AB5" w:rsidRDefault="001A0071" w:rsidP="001A0071">
      <w:pPr>
        <w:pStyle w:val="Heading2"/>
        <w:numPr>
          <w:ilvl w:val="1"/>
          <w:numId w:val="3"/>
        </w:numPr>
      </w:pPr>
      <w:bookmarkStart w:id="163" w:name="_Toc152595250"/>
      <w:r w:rsidRPr="00332AB5">
        <w:t>PROGRAM UČINKOVITI LJUDSKI POTENCIJALI 2021. - 2027.</w:t>
      </w:r>
      <w:bookmarkEnd w:id="163"/>
    </w:p>
    <w:p w14:paraId="3E53F4FD" w14:textId="20E0CF30" w:rsidR="0090195D" w:rsidRPr="00332AB5" w:rsidRDefault="00795C76" w:rsidP="00795C76">
      <w:pPr>
        <w:spacing w:before="120" w:after="120"/>
        <w:jc w:val="both"/>
        <w:rPr>
          <w:sz w:val="24"/>
          <w:szCs w:val="24"/>
        </w:rPr>
      </w:pPr>
      <w:r w:rsidRPr="00332AB5">
        <w:rPr>
          <w:sz w:val="24"/>
          <w:szCs w:val="24"/>
        </w:rPr>
        <w:t>Program Učinkoviti ljudski potencijali 2021.</w:t>
      </w:r>
      <w:r w:rsidR="000F59CF" w:rsidRPr="00332AB5">
        <w:rPr>
          <w:sz w:val="24"/>
          <w:szCs w:val="24"/>
        </w:rPr>
        <w:t xml:space="preserve"> – </w:t>
      </w:r>
      <w:r w:rsidRPr="00332AB5">
        <w:rPr>
          <w:sz w:val="24"/>
          <w:szCs w:val="24"/>
        </w:rPr>
        <w:t>2027. odobren je Provedbenom odlukom Komisije C(2022) 7346 od 11. listopada 2022. U Programu objedinjena su četiri zasebna instrumenta financiranja korištena u prethodnom programskom razdoblju 2014.</w:t>
      </w:r>
      <w:r w:rsidR="000F59CF" w:rsidRPr="00332AB5">
        <w:rPr>
          <w:sz w:val="24"/>
          <w:szCs w:val="24"/>
        </w:rPr>
        <w:t xml:space="preserve"> – </w:t>
      </w:r>
      <w:r w:rsidRPr="00332AB5">
        <w:rPr>
          <w:sz w:val="24"/>
          <w:szCs w:val="24"/>
        </w:rPr>
        <w:t>2020., odnosno Europski socijalni fond (ESF), Fond europske pomoći za najpotrebitije (FEAD), Inicijativa za zapošljavanje mladih (YEI) i Program za zapošljavanje i socijalne inovacije (EaSI). Ukupna vrijednost programa, uključujući nacionalno sufinanciranje, iznosi gotovo 2,268 milijardi eura (1,933 milijardi eura- EU sufinanciranje). Sredstva Programa bit će usmjerena na financiranje četiri ključna područja: ulaganje u zapošljavanje i povećanje razine vještina, socijalno uključivanje, obrazovanje i cjeloživotno učenje te ulaganje u zdravstvenu i dugotrajnu skrb.</w:t>
      </w:r>
    </w:p>
    <w:p w14:paraId="610F60DA" w14:textId="35EA6B59" w:rsidR="00795C76" w:rsidRPr="00332AB5" w:rsidRDefault="00795C76" w:rsidP="00795C76">
      <w:pPr>
        <w:spacing w:before="120" w:after="120"/>
        <w:jc w:val="both"/>
        <w:rPr>
          <w:sz w:val="24"/>
          <w:szCs w:val="24"/>
        </w:rPr>
      </w:pPr>
      <w:r w:rsidRPr="00332AB5">
        <w:rPr>
          <w:sz w:val="24"/>
          <w:szCs w:val="24"/>
        </w:rPr>
        <w:t>Tijekom izvještajnog razdoblja, 6. travnja 2023. objavljen je Godišnji plan objave Poziva na dostavu projektnih prijedloga. U razdoblju do 30. lipnja 2023. nije bilo objava poziva.</w:t>
      </w:r>
    </w:p>
    <w:p w14:paraId="26036B7B" w14:textId="68A5FEA4" w:rsidR="00795C76" w:rsidRPr="00332AB5" w:rsidRDefault="00795C76" w:rsidP="00795C76">
      <w:pPr>
        <w:spacing w:before="120" w:after="120"/>
        <w:jc w:val="both"/>
        <w:rPr>
          <w:sz w:val="24"/>
          <w:szCs w:val="24"/>
        </w:rPr>
      </w:pPr>
      <w:r w:rsidRPr="00332AB5">
        <w:rPr>
          <w:sz w:val="24"/>
          <w:szCs w:val="24"/>
        </w:rPr>
        <w:t>Proces imenovanja članstva Odbora za praćenje Programa Učinkoviti ljudski potencijali 2021.</w:t>
      </w:r>
      <w:r w:rsidR="000F59CF" w:rsidRPr="00332AB5">
        <w:rPr>
          <w:sz w:val="24"/>
          <w:szCs w:val="24"/>
        </w:rPr>
        <w:t xml:space="preserve"> – </w:t>
      </w:r>
      <w:r w:rsidRPr="00332AB5">
        <w:rPr>
          <w:sz w:val="24"/>
          <w:szCs w:val="24"/>
        </w:rPr>
        <w:t>2027. proveden je u razdoblju od 18. listopada do 11. studenog 2022. Prva, konstituirajuća sjednica, na kojoj je potvrđeno članstvo Odbora za praćenje Programa Učinkoviti ljudski potencijali 2021.</w:t>
      </w:r>
      <w:r w:rsidR="000F59CF" w:rsidRPr="00332AB5">
        <w:rPr>
          <w:sz w:val="24"/>
          <w:szCs w:val="24"/>
        </w:rPr>
        <w:t xml:space="preserve"> – </w:t>
      </w:r>
      <w:r w:rsidRPr="00332AB5">
        <w:rPr>
          <w:sz w:val="24"/>
          <w:szCs w:val="24"/>
        </w:rPr>
        <w:t xml:space="preserve">2027. održana je 13. prosinca 2022. </w:t>
      </w:r>
    </w:p>
    <w:p w14:paraId="6C3F10D1" w14:textId="1649C780" w:rsidR="00795C76" w:rsidRPr="00332AB5" w:rsidRDefault="00795C76" w:rsidP="00795C76">
      <w:pPr>
        <w:spacing w:before="120" w:after="120"/>
        <w:jc w:val="both"/>
        <w:rPr>
          <w:sz w:val="24"/>
          <w:szCs w:val="24"/>
        </w:rPr>
      </w:pPr>
      <w:r w:rsidRPr="00332AB5">
        <w:rPr>
          <w:sz w:val="24"/>
          <w:szCs w:val="24"/>
        </w:rPr>
        <w:t>Tijekom izvještajnog razdoblja, do 30. lipnja 2023. održane su dvije sjednice Odbora za praćenje Programa Učinkoviti ljudski potencijali 2021.</w:t>
      </w:r>
      <w:r w:rsidR="000F59CF" w:rsidRPr="00332AB5">
        <w:rPr>
          <w:sz w:val="24"/>
          <w:szCs w:val="24"/>
        </w:rPr>
        <w:t xml:space="preserve"> – </w:t>
      </w:r>
      <w:r w:rsidRPr="00332AB5">
        <w:rPr>
          <w:sz w:val="24"/>
          <w:szCs w:val="24"/>
        </w:rPr>
        <w:t xml:space="preserve">2027. Druga sjednica održana je u Zagrebu 2. veljače 2023. Na sjednici su predstavljeni i usvojeni kriteriji dodjele. Treća sjednica održana je u Zagrebu 3. svibnja 2023. Na sjednici je predstavljen Godišnji plan objave Poziva na dostavu projektnih prijedloga za 2023. godinu te su predstavljene </w:t>
      </w:r>
      <w:r w:rsidRPr="00332AB5">
        <w:rPr>
          <w:i/>
          <w:iCs/>
          <w:sz w:val="24"/>
          <w:szCs w:val="24"/>
        </w:rPr>
        <w:t>ex ante</w:t>
      </w:r>
      <w:r w:rsidRPr="00332AB5">
        <w:rPr>
          <w:sz w:val="24"/>
          <w:szCs w:val="24"/>
        </w:rPr>
        <w:t xml:space="preserve"> analize i usvojeni kriteriji odabira za Financijske instrumente.</w:t>
      </w:r>
    </w:p>
    <w:p w14:paraId="7DAC420A" w14:textId="77777777" w:rsidR="001A0071" w:rsidRPr="00332AB5" w:rsidRDefault="001A0071" w:rsidP="00A161B3">
      <w:pPr>
        <w:spacing w:before="120" w:after="120"/>
        <w:jc w:val="both"/>
        <w:rPr>
          <w:sz w:val="24"/>
          <w:szCs w:val="24"/>
        </w:rPr>
      </w:pPr>
    </w:p>
    <w:p w14:paraId="04B0755B" w14:textId="6E8487BF" w:rsidR="001A0071" w:rsidRPr="00332AB5" w:rsidRDefault="001A0071" w:rsidP="001A0071">
      <w:pPr>
        <w:pStyle w:val="Heading2"/>
        <w:numPr>
          <w:ilvl w:val="1"/>
          <w:numId w:val="3"/>
        </w:numPr>
      </w:pPr>
      <w:bookmarkStart w:id="164" w:name="_Toc152595251"/>
      <w:r w:rsidRPr="00332AB5">
        <w:t>INTEGRIRANI TERITORIJALNI PROGRAM 2021. - 2027.</w:t>
      </w:r>
      <w:bookmarkEnd w:id="164"/>
    </w:p>
    <w:p w14:paraId="6BE10A56" w14:textId="2F118F9B" w:rsidR="009366D9" w:rsidRPr="00332AB5" w:rsidRDefault="009366D9" w:rsidP="009366D9">
      <w:pPr>
        <w:spacing w:before="120" w:after="120"/>
        <w:jc w:val="both"/>
        <w:rPr>
          <w:sz w:val="24"/>
          <w:szCs w:val="24"/>
        </w:rPr>
      </w:pPr>
      <w:r w:rsidRPr="00332AB5">
        <w:rPr>
          <w:sz w:val="24"/>
          <w:szCs w:val="24"/>
        </w:rPr>
        <w:t>Integrirani teritorijalni program 2021. - 2027. EK je odobrila 2. prosinca 2022. Sredstva ovoga Programa iznos</w:t>
      </w:r>
      <w:r w:rsidR="00DE5FC3" w:rsidRPr="00332AB5">
        <w:rPr>
          <w:sz w:val="24"/>
          <w:szCs w:val="24"/>
        </w:rPr>
        <w:t>e</w:t>
      </w:r>
      <w:r w:rsidRPr="00332AB5">
        <w:rPr>
          <w:sz w:val="24"/>
          <w:szCs w:val="24"/>
        </w:rPr>
        <w:t xml:space="preserve"> 1,569 milijardi eura, od čega </w:t>
      </w:r>
      <w:r w:rsidR="00DE5FC3" w:rsidRPr="00332AB5">
        <w:rPr>
          <w:sz w:val="24"/>
          <w:szCs w:val="24"/>
        </w:rPr>
        <w:t>se na sredstva iz</w:t>
      </w:r>
      <w:r w:rsidRPr="00332AB5">
        <w:rPr>
          <w:sz w:val="24"/>
          <w:szCs w:val="24"/>
        </w:rPr>
        <w:t xml:space="preserve"> Europskog fonda za regionalni razvoj </w:t>
      </w:r>
      <w:r w:rsidR="00DE5FC3" w:rsidRPr="00332AB5">
        <w:rPr>
          <w:sz w:val="24"/>
          <w:szCs w:val="24"/>
        </w:rPr>
        <w:t xml:space="preserve">odnosi </w:t>
      </w:r>
      <w:r w:rsidRPr="00332AB5">
        <w:rPr>
          <w:sz w:val="24"/>
          <w:szCs w:val="24"/>
        </w:rPr>
        <w:t xml:space="preserve">1,384 milijardi eura te iz Fonda za pravednu tranziciju 185 milijuna eura. Sva planirana ulaganja unutar ITP-a </w:t>
      </w:r>
      <w:r w:rsidR="00BD4FBB" w:rsidRPr="00332AB5">
        <w:rPr>
          <w:sz w:val="24"/>
          <w:szCs w:val="24"/>
        </w:rPr>
        <w:t xml:space="preserve">provodit će se </w:t>
      </w:r>
      <w:r w:rsidRPr="00332AB5">
        <w:rPr>
          <w:sz w:val="24"/>
          <w:szCs w:val="24"/>
        </w:rPr>
        <w:t>putem četiri prioriteta</w:t>
      </w:r>
      <w:r w:rsidR="00F9514A" w:rsidRPr="00332AB5">
        <w:rPr>
          <w:sz w:val="24"/>
          <w:szCs w:val="24"/>
        </w:rPr>
        <w:t xml:space="preserve"> </w:t>
      </w:r>
      <w:r w:rsidRPr="00332AB5">
        <w:rPr>
          <w:sz w:val="24"/>
          <w:szCs w:val="24"/>
        </w:rPr>
        <w:t>Program će doprinijeti osiguranju puno snažnijeg teritorijalnog pristupa u usporedbi s prethodnim financijskim razdobljem</w:t>
      </w:r>
      <w:r w:rsidR="00BD4FBB" w:rsidRPr="00332AB5">
        <w:rPr>
          <w:sz w:val="24"/>
          <w:szCs w:val="24"/>
        </w:rPr>
        <w:t>, kroz ulaganja usmjerena na jačanje regionalnog gospodarstva putem procesa industrijske tranzicije regija, ulaganja u razvoj pametnih i održivih otoka, razvoj pametnih i održivih gradova te ublažavanje učinaka tranzicije prema klimatski neutralnom gospodarstvu u Sisačko-moslavačkoj i Istarskoj županiji</w:t>
      </w:r>
      <w:r w:rsidRPr="00332AB5">
        <w:rPr>
          <w:sz w:val="24"/>
          <w:szCs w:val="24"/>
        </w:rPr>
        <w:t>. Pripremljen je na temelju iskustava i pouka stečenih u razdoblju 2014.</w:t>
      </w:r>
      <w:r w:rsidR="000F59CF" w:rsidRPr="00332AB5">
        <w:rPr>
          <w:sz w:val="24"/>
          <w:szCs w:val="24"/>
        </w:rPr>
        <w:t xml:space="preserve"> – </w:t>
      </w:r>
      <w:r w:rsidRPr="00332AB5">
        <w:rPr>
          <w:sz w:val="24"/>
          <w:szCs w:val="24"/>
        </w:rPr>
        <w:t xml:space="preserve">2020., a odgovara na razvojne izazove određenog područja, integrira ulaganja temeljem pristupa „odozdo prema gore“, omogućujući regionalnoj i lokalnoj zajednici određivanje prioriteta, i to gradovima i otocima u skladu sa teritorijalnim strategijama, NUTS 2 regijama u planovima industrijske tranzicije te Istarskoj i Sisačko-moslavačkoj županiji u okviru Fonda za pravednu tranziciju u Teritorijalnom planu za pravednu tranziciju. </w:t>
      </w:r>
    </w:p>
    <w:p w14:paraId="33566839" w14:textId="2889F437" w:rsidR="009366D9" w:rsidRPr="00332AB5" w:rsidRDefault="009366D9" w:rsidP="009366D9">
      <w:pPr>
        <w:spacing w:before="120" w:after="120"/>
        <w:jc w:val="both"/>
        <w:rPr>
          <w:sz w:val="24"/>
        </w:rPr>
      </w:pPr>
      <w:r w:rsidRPr="00332AB5">
        <w:rPr>
          <w:sz w:val="24"/>
        </w:rPr>
        <w:t>Na dosad održanim sjednicama Odbora za praćenje provedbe PKK i ITP 2021.</w:t>
      </w:r>
      <w:r w:rsidR="000F59CF" w:rsidRPr="00332AB5">
        <w:rPr>
          <w:sz w:val="24"/>
        </w:rPr>
        <w:t xml:space="preserve"> – </w:t>
      </w:r>
      <w:r w:rsidRPr="00332AB5">
        <w:rPr>
          <w:sz w:val="24"/>
        </w:rPr>
        <w:t>2027. tijekom izvještajnog razdoblja, usvojeni su sljedeći kriteriji za odabir operacija i pripadajuće metodologije unutar Integriranog teritorijalnog programa 2021.</w:t>
      </w:r>
      <w:r w:rsidR="000F59CF" w:rsidRPr="00332AB5">
        <w:rPr>
          <w:sz w:val="24"/>
        </w:rPr>
        <w:t xml:space="preserve"> – </w:t>
      </w:r>
      <w:r w:rsidRPr="00332AB5">
        <w:rPr>
          <w:sz w:val="24"/>
        </w:rPr>
        <w:t>2027.:</w:t>
      </w:r>
    </w:p>
    <w:p w14:paraId="1A4F2A32" w14:textId="7EA714C4" w:rsidR="009366D9" w:rsidRPr="00332AB5" w:rsidRDefault="009366D9">
      <w:pPr>
        <w:pStyle w:val="ListParagraph"/>
        <w:numPr>
          <w:ilvl w:val="0"/>
          <w:numId w:val="21"/>
        </w:numPr>
        <w:spacing w:before="120" w:after="120"/>
        <w:jc w:val="both"/>
        <w:rPr>
          <w:iCs/>
          <w:sz w:val="24"/>
          <w:szCs w:val="24"/>
        </w:rPr>
      </w:pPr>
      <w:r w:rsidRPr="00332AB5">
        <w:rPr>
          <w:iCs/>
          <w:sz w:val="24"/>
          <w:szCs w:val="24"/>
        </w:rPr>
        <w:t>na prvoj sjednici</w:t>
      </w:r>
      <w:r w:rsidR="00F9514A" w:rsidRPr="00332AB5">
        <w:rPr>
          <w:iCs/>
          <w:sz w:val="24"/>
          <w:szCs w:val="24"/>
        </w:rPr>
        <w:t>,</w:t>
      </w:r>
      <w:r w:rsidRPr="00332AB5">
        <w:rPr>
          <w:iCs/>
          <w:sz w:val="24"/>
          <w:szCs w:val="24"/>
        </w:rPr>
        <w:t xml:space="preserve"> </w:t>
      </w:r>
      <w:r w:rsidR="00F9514A" w:rsidRPr="00332AB5">
        <w:rPr>
          <w:iCs/>
          <w:sz w:val="24"/>
          <w:szCs w:val="24"/>
        </w:rPr>
        <w:t xml:space="preserve">održanoj u siječnju 2023., </w:t>
      </w:r>
      <w:r w:rsidRPr="00332AB5">
        <w:rPr>
          <w:iCs/>
          <w:sz w:val="24"/>
          <w:szCs w:val="24"/>
        </w:rPr>
        <w:t>odobreni su kriteriji za financijske instrumente, a</w:t>
      </w:r>
    </w:p>
    <w:p w14:paraId="50140BE5" w14:textId="6C5AC9EF" w:rsidR="009366D9" w:rsidRPr="00332AB5" w:rsidRDefault="009366D9">
      <w:pPr>
        <w:pStyle w:val="ListParagraph"/>
        <w:numPr>
          <w:ilvl w:val="0"/>
          <w:numId w:val="21"/>
        </w:numPr>
        <w:spacing w:before="120" w:after="120"/>
        <w:jc w:val="both"/>
        <w:rPr>
          <w:iCs/>
          <w:sz w:val="24"/>
          <w:szCs w:val="24"/>
        </w:rPr>
      </w:pPr>
      <w:r w:rsidRPr="00332AB5">
        <w:rPr>
          <w:iCs/>
          <w:sz w:val="24"/>
          <w:szCs w:val="24"/>
        </w:rPr>
        <w:t>na drugoj sjednici</w:t>
      </w:r>
      <w:r w:rsidR="00F9514A" w:rsidRPr="00332AB5">
        <w:rPr>
          <w:iCs/>
          <w:sz w:val="24"/>
          <w:szCs w:val="24"/>
        </w:rPr>
        <w:t xml:space="preserve">, održanoj u travnju 2023., </w:t>
      </w:r>
      <w:r w:rsidRPr="00332AB5">
        <w:rPr>
          <w:iCs/>
          <w:sz w:val="24"/>
          <w:szCs w:val="24"/>
        </w:rPr>
        <w:t xml:space="preserve">odobreni su kriteriji koji se odnose na Industrijsku tranziciju hrvatskih regija, i to u dijelu za specifični cilj 1.i „Razvoj i jačanje istraživačkih i inovacijskih kapaciteta te prihvaćanje naprednih tehnologija“, dio specifičnog cilja 1.iii „Jačanje održivog rasta i konkurentnosti MSP-ova i otvaranje radnih mjesta u njima, među ostalim i kroz produktivna ulaganja“ te specifični cilj 1.iv „Razvoj vještina za pametnu specijalizaciju, industrijsku tranziciju i poduzetništvo“. </w:t>
      </w:r>
    </w:p>
    <w:p w14:paraId="618C063E" w14:textId="1EDD9813" w:rsidR="007840E3" w:rsidRPr="00332AB5" w:rsidRDefault="007840E3" w:rsidP="007840E3">
      <w:pPr>
        <w:spacing w:before="120" w:after="120"/>
        <w:jc w:val="both"/>
        <w:rPr>
          <w:sz w:val="24"/>
          <w:szCs w:val="24"/>
        </w:rPr>
      </w:pPr>
      <w:r w:rsidRPr="00332AB5">
        <w:rPr>
          <w:sz w:val="24"/>
          <w:szCs w:val="24"/>
        </w:rPr>
        <w:t xml:space="preserve">U skladu s odredbama i rokovima iz članka 69. stavka 11. Uredbe (EU) 2021/1060, u lipnju 2023. </w:t>
      </w:r>
      <w:r w:rsidR="0012095B" w:rsidRPr="00332AB5">
        <w:rPr>
          <w:sz w:val="24"/>
          <w:szCs w:val="24"/>
        </w:rPr>
        <w:t>MRRFEU</w:t>
      </w:r>
      <w:r w:rsidRPr="00332AB5">
        <w:rPr>
          <w:sz w:val="24"/>
          <w:szCs w:val="24"/>
        </w:rPr>
        <w:t xml:space="preserve"> kao Upravljačko tijelo pripremilo je Opis sustava upravljanja i kontrole za Program Integrirana teritorijalna ulaganja 2021.</w:t>
      </w:r>
      <w:r w:rsidR="000F59CF" w:rsidRPr="00332AB5">
        <w:rPr>
          <w:sz w:val="24"/>
          <w:szCs w:val="24"/>
        </w:rPr>
        <w:t xml:space="preserve"> – </w:t>
      </w:r>
      <w:r w:rsidRPr="00332AB5">
        <w:rPr>
          <w:sz w:val="24"/>
          <w:szCs w:val="24"/>
        </w:rPr>
        <w:t>2027., v.1.0. u kojem se opisuje uspostavljena struktura, procesi i postupanja te funkcioniranje sustava upravljanja i kontrole.</w:t>
      </w:r>
    </w:p>
    <w:p w14:paraId="2C1921A4" w14:textId="6DFAB60C" w:rsidR="009366D9" w:rsidRPr="00332AB5" w:rsidRDefault="007840E3" w:rsidP="007840E3">
      <w:pPr>
        <w:spacing w:before="120" w:after="120"/>
        <w:jc w:val="both"/>
        <w:rPr>
          <w:sz w:val="24"/>
          <w:szCs w:val="24"/>
        </w:rPr>
      </w:pPr>
      <w:r w:rsidRPr="00332AB5">
        <w:rPr>
          <w:sz w:val="24"/>
          <w:szCs w:val="24"/>
        </w:rPr>
        <w:t>Također, u izvještajnom razdoblju započele su pripremne aktivnosti za procjenu administrativnih kapaciteta gradova u svrhu dobivanja razumnog uvjerenja o spremnosti istih za preuzimanje funkcija posredničkoga tijela za odabir operacija.</w:t>
      </w:r>
    </w:p>
    <w:p w14:paraId="2B480F75" w14:textId="77777777" w:rsidR="001A0071" w:rsidRPr="00332AB5" w:rsidRDefault="001A0071" w:rsidP="00A161B3">
      <w:pPr>
        <w:spacing w:before="120" w:after="120"/>
        <w:jc w:val="both"/>
        <w:rPr>
          <w:sz w:val="24"/>
          <w:szCs w:val="24"/>
        </w:rPr>
      </w:pPr>
    </w:p>
    <w:p w14:paraId="2ADF28AA" w14:textId="039A9B55" w:rsidR="001A0071" w:rsidRPr="00332AB5" w:rsidRDefault="001A0071" w:rsidP="001A0071">
      <w:pPr>
        <w:pStyle w:val="Heading2"/>
        <w:numPr>
          <w:ilvl w:val="1"/>
          <w:numId w:val="3"/>
        </w:numPr>
      </w:pPr>
      <w:bookmarkStart w:id="165" w:name="_Toc152595252"/>
      <w:r w:rsidRPr="00332AB5">
        <w:t>STRATEŠKI PLAN ZAJEDNIČKE POLJOPRIVREDNE POLITIKE 2023. – 2027.</w:t>
      </w:r>
      <w:bookmarkEnd w:id="165"/>
    </w:p>
    <w:p w14:paraId="503B7746" w14:textId="65E9147A" w:rsidR="003D43BE" w:rsidRPr="00332AB5" w:rsidRDefault="003D43BE" w:rsidP="003D43BE">
      <w:pPr>
        <w:spacing w:before="120" w:after="120"/>
        <w:jc w:val="both"/>
        <w:rPr>
          <w:sz w:val="24"/>
          <w:szCs w:val="24"/>
        </w:rPr>
      </w:pPr>
      <w:r w:rsidRPr="00332AB5">
        <w:rPr>
          <w:sz w:val="24"/>
          <w:szCs w:val="24"/>
        </w:rPr>
        <w:t>Strateški plan Zajedničke poljoprivredne politike Republike Hrvatske 2023. – 2027. (</w:t>
      </w:r>
      <w:r w:rsidR="00EB675D" w:rsidRPr="00332AB5">
        <w:rPr>
          <w:sz w:val="24"/>
          <w:szCs w:val="24"/>
        </w:rPr>
        <w:t>u daljnjem</w:t>
      </w:r>
      <w:r w:rsidRPr="00332AB5">
        <w:rPr>
          <w:sz w:val="24"/>
          <w:szCs w:val="24"/>
        </w:rPr>
        <w:t xml:space="preserve"> tekstu: SP ZPP) odobren je od strane Europske komisije 28. listopada 2022., u okviru kojeg je hrvatskim poljoprivrednicima na raspolaganju 3,78 milijarde eura u razdoblju od 2023. do 2027. i to kroz 81 intervenciju (uz Tehničku pomoć): 19 iz izravnih plaćanja, 23 sektorskih te 39 ruralnih intervencija.</w:t>
      </w:r>
    </w:p>
    <w:p w14:paraId="145B9139" w14:textId="64261976" w:rsidR="003D43BE" w:rsidRPr="00332AB5" w:rsidRDefault="003D43BE" w:rsidP="003D43BE">
      <w:pPr>
        <w:spacing w:before="120" w:after="120"/>
        <w:jc w:val="both"/>
        <w:rPr>
          <w:sz w:val="24"/>
          <w:szCs w:val="24"/>
        </w:rPr>
      </w:pPr>
      <w:r w:rsidRPr="00332AB5">
        <w:rPr>
          <w:sz w:val="24"/>
          <w:szCs w:val="24"/>
        </w:rPr>
        <w:t>U Zagrebu je dana 8. veljače 2023. održana 1. sjednica Odbora za praćenje provedbe SP ZPP-a. Na sjednici je potvrđeno članstvo, a popis imenovanih predstavnika objavljen je na mrežnim stranicama Uprave za potpore poljoprivredi i ruralnom razvoju.</w:t>
      </w:r>
      <w:r w:rsidRPr="00332AB5">
        <w:t xml:space="preserve"> </w:t>
      </w:r>
      <w:r w:rsidRPr="00332AB5">
        <w:rPr>
          <w:sz w:val="24"/>
          <w:szCs w:val="24"/>
        </w:rPr>
        <w:t>Sjednici su prisustvovali predstavnici tijela državne uprave, lokalne i područne (regionalne) samouprave, javna tijela, socijalni i gospodarski partneri te organizacije civilnog društva uz predstavnike Ministarstva poljoprivrede.</w:t>
      </w:r>
    </w:p>
    <w:p w14:paraId="17DEF48D" w14:textId="77777777" w:rsidR="003D43BE" w:rsidRPr="00332AB5" w:rsidRDefault="003D43BE" w:rsidP="003D43BE">
      <w:pPr>
        <w:spacing w:before="120" w:after="120"/>
        <w:jc w:val="both"/>
        <w:rPr>
          <w:sz w:val="24"/>
          <w:szCs w:val="24"/>
        </w:rPr>
      </w:pPr>
      <w:r w:rsidRPr="00332AB5">
        <w:rPr>
          <w:sz w:val="24"/>
          <w:szCs w:val="24"/>
        </w:rPr>
        <w:t>Na konstituirajućoj sjednici usvojen je Poslovnik o radu, temeljem kojeg će Odbor djelovati kroz tekuće programsko razdoblje, a između ostalog posebno će razmatrati i davati mišljenja o:</w:t>
      </w:r>
    </w:p>
    <w:p w14:paraId="5F588B94" w14:textId="77777777" w:rsidR="003D43BE" w:rsidRPr="00332AB5" w:rsidRDefault="003D43BE">
      <w:pPr>
        <w:pStyle w:val="ListParagraph"/>
        <w:numPr>
          <w:ilvl w:val="0"/>
          <w:numId w:val="41"/>
        </w:numPr>
        <w:spacing w:before="120" w:after="120"/>
        <w:jc w:val="both"/>
        <w:rPr>
          <w:sz w:val="24"/>
          <w:szCs w:val="24"/>
        </w:rPr>
      </w:pPr>
      <w:r w:rsidRPr="00332AB5">
        <w:rPr>
          <w:sz w:val="24"/>
          <w:szCs w:val="24"/>
        </w:rPr>
        <w:t>metodologiji i kriterijima upotrijebljenima pri odabiru operacija/projekata koji će se financirati;</w:t>
      </w:r>
    </w:p>
    <w:p w14:paraId="62EF9C1B" w14:textId="77777777" w:rsidR="003D43BE" w:rsidRPr="00332AB5" w:rsidRDefault="003D43BE">
      <w:pPr>
        <w:pStyle w:val="ListParagraph"/>
        <w:numPr>
          <w:ilvl w:val="0"/>
          <w:numId w:val="41"/>
        </w:numPr>
        <w:spacing w:before="120" w:after="120"/>
        <w:jc w:val="both"/>
        <w:rPr>
          <w:sz w:val="24"/>
          <w:szCs w:val="24"/>
        </w:rPr>
      </w:pPr>
      <w:r w:rsidRPr="00332AB5">
        <w:rPr>
          <w:sz w:val="24"/>
          <w:szCs w:val="24"/>
        </w:rPr>
        <w:t>godišnjim izvješćima o uspješnosti;</w:t>
      </w:r>
    </w:p>
    <w:p w14:paraId="1D44B4DE" w14:textId="77777777" w:rsidR="003D43BE" w:rsidRPr="00332AB5" w:rsidRDefault="003D43BE">
      <w:pPr>
        <w:pStyle w:val="ListParagraph"/>
        <w:numPr>
          <w:ilvl w:val="0"/>
          <w:numId w:val="41"/>
        </w:numPr>
        <w:spacing w:before="120" w:after="120"/>
        <w:jc w:val="both"/>
        <w:rPr>
          <w:sz w:val="24"/>
          <w:szCs w:val="24"/>
        </w:rPr>
      </w:pPr>
      <w:r w:rsidRPr="00332AB5">
        <w:rPr>
          <w:sz w:val="24"/>
          <w:szCs w:val="24"/>
        </w:rPr>
        <w:t>Planu evaluacije/vrednovanja i njegovim izmjenama;</w:t>
      </w:r>
    </w:p>
    <w:p w14:paraId="6FDB6231" w14:textId="77777777" w:rsidR="003D43BE" w:rsidRPr="00332AB5" w:rsidRDefault="003D43BE">
      <w:pPr>
        <w:pStyle w:val="ListParagraph"/>
        <w:numPr>
          <w:ilvl w:val="0"/>
          <w:numId w:val="41"/>
        </w:numPr>
        <w:spacing w:before="120" w:after="120"/>
        <w:jc w:val="both"/>
        <w:rPr>
          <w:sz w:val="24"/>
          <w:szCs w:val="24"/>
        </w:rPr>
      </w:pPr>
      <w:r w:rsidRPr="00332AB5">
        <w:rPr>
          <w:sz w:val="24"/>
          <w:szCs w:val="24"/>
        </w:rPr>
        <w:t>svakom prijedlogu izmjene SP ZPP-a koji iznese Upravljačko tijelo.</w:t>
      </w:r>
    </w:p>
    <w:p w14:paraId="5C3B0337" w14:textId="6BF27F31" w:rsidR="003D43BE" w:rsidRPr="00332AB5" w:rsidRDefault="003D43BE" w:rsidP="003D43BE">
      <w:pPr>
        <w:spacing w:before="120" w:after="120"/>
        <w:jc w:val="both"/>
        <w:rPr>
          <w:sz w:val="24"/>
          <w:szCs w:val="24"/>
        </w:rPr>
      </w:pPr>
      <w:r w:rsidRPr="00332AB5">
        <w:rPr>
          <w:sz w:val="24"/>
          <w:szCs w:val="24"/>
        </w:rPr>
        <w:t>U izvještajnom razdoblju, od 1. siječnja 2023. do 30. lipnja 2023. intenzivirao se rad na izradi pravilnika za provedbu intervencija i nije bilo objavljenih natječaja iz SP ZPP-a. U izvještajnom razdoblju objavljeni su sljedeći pravilnici o provedbi intervencija iz SP ZPP-a:</w:t>
      </w:r>
    </w:p>
    <w:p w14:paraId="5EF74885" w14:textId="4198A355" w:rsidR="003D43BE" w:rsidRPr="00332AB5" w:rsidRDefault="003D43BE">
      <w:pPr>
        <w:pStyle w:val="ListParagraph"/>
        <w:numPr>
          <w:ilvl w:val="0"/>
          <w:numId w:val="42"/>
        </w:numPr>
        <w:spacing w:before="120" w:after="120"/>
        <w:jc w:val="both"/>
        <w:rPr>
          <w:sz w:val="24"/>
          <w:szCs w:val="24"/>
        </w:rPr>
      </w:pPr>
      <w:r w:rsidRPr="00332AB5">
        <w:rPr>
          <w:sz w:val="24"/>
          <w:szCs w:val="24"/>
        </w:rPr>
        <w:t>Pravilnik o provedbi izravne potpore poljoprivredi i IAKS mjera ruralnog razvoja za 2023. godinu (</w:t>
      </w:r>
      <w:r w:rsidR="00254B1E" w:rsidRPr="00332AB5">
        <w:rPr>
          <w:sz w:val="24"/>
          <w:szCs w:val="24"/>
        </w:rPr>
        <w:t xml:space="preserve">„Narodne novine“, broj: </w:t>
      </w:r>
      <w:r w:rsidRPr="00332AB5">
        <w:rPr>
          <w:sz w:val="24"/>
          <w:szCs w:val="24"/>
        </w:rPr>
        <w:t>25/23</w:t>
      </w:r>
      <w:r w:rsidR="00254B1E" w:rsidRPr="00332AB5">
        <w:rPr>
          <w:sz w:val="24"/>
          <w:szCs w:val="24"/>
        </w:rPr>
        <w:t>.</w:t>
      </w:r>
      <w:r w:rsidRPr="00332AB5">
        <w:rPr>
          <w:sz w:val="24"/>
          <w:szCs w:val="24"/>
        </w:rPr>
        <w:t>, 51/23</w:t>
      </w:r>
      <w:r w:rsidR="00254B1E" w:rsidRPr="00332AB5">
        <w:rPr>
          <w:sz w:val="24"/>
          <w:szCs w:val="24"/>
        </w:rPr>
        <w:t>.</w:t>
      </w:r>
      <w:r w:rsidRPr="00332AB5">
        <w:rPr>
          <w:sz w:val="24"/>
          <w:szCs w:val="24"/>
        </w:rPr>
        <w:t>, 56/23</w:t>
      </w:r>
      <w:r w:rsidR="00254B1E" w:rsidRPr="00332AB5">
        <w:rPr>
          <w:sz w:val="24"/>
          <w:szCs w:val="24"/>
        </w:rPr>
        <w:t>.</w:t>
      </w:r>
      <w:r w:rsidRPr="00332AB5">
        <w:rPr>
          <w:sz w:val="24"/>
          <w:szCs w:val="24"/>
        </w:rPr>
        <w:t xml:space="preserve"> i 65/23</w:t>
      </w:r>
      <w:r w:rsidR="00254B1E" w:rsidRPr="00332AB5">
        <w:rPr>
          <w:sz w:val="24"/>
          <w:szCs w:val="24"/>
        </w:rPr>
        <w:t>.</w:t>
      </w:r>
      <w:r w:rsidR="00594B89" w:rsidRPr="00332AB5">
        <w:rPr>
          <w:sz w:val="24"/>
          <w:szCs w:val="24"/>
        </w:rPr>
        <w:t xml:space="preserve"> - ispravak</w:t>
      </w:r>
      <w:r w:rsidRPr="00332AB5">
        <w:rPr>
          <w:sz w:val="24"/>
          <w:szCs w:val="24"/>
        </w:rPr>
        <w:t xml:space="preserve">) </w:t>
      </w:r>
    </w:p>
    <w:p w14:paraId="4FA5F39A" w14:textId="23E920B6" w:rsidR="003D43BE" w:rsidRPr="00332AB5" w:rsidRDefault="003D43BE">
      <w:pPr>
        <w:pStyle w:val="ListParagraph"/>
        <w:numPr>
          <w:ilvl w:val="0"/>
          <w:numId w:val="42"/>
        </w:numPr>
        <w:spacing w:before="120" w:after="120"/>
        <w:jc w:val="both"/>
        <w:rPr>
          <w:sz w:val="24"/>
          <w:szCs w:val="24"/>
        </w:rPr>
      </w:pPr>
      <w:r w:rsidRPr="00332AB5">
        <w:rPr>
          <w:sz w:val="24"/>
          <w:szCs w:val="24"/>
        </w:rPr>
        <w:t>Pravilnik o uvjetovanosti (</w:t>
      </w:r>
      <w:r w:rsidR="00254B1E" w:rsidRPr="00332AB5">
        <w:rPr>
          <w:sz w:val="24"/>
          <w:szCs w:val="24"/>
        </w:rPr>
        <w:t xml:space="preserve">„Narodne novine“, broj: </w:t>
      </w:r>
      <w:r w:rsidRPr="00332AB5">
        <w:rPr>
          <w:sz w:val="24"/>
          <w:szCs w:val="24"/>
        </w:rPr>
        <w:t>26/23</w:t>
      </w:r>
      <w:r w:rsidR="00254B1E" w:rsidRPr="00332AB5">
        <w:rPr>
          <w:sz w:val="24"/>
          <w:szCs w:val="24"/>
        </w:rPr>
        <w:t>.</w:t>
      </w:r>
      <w:r w:rsidRPr="00332AB5">
        <w:rPr>
          <w:sz w:val="24"/>
          <w:szCs w:val="24"/>
        </w:rPr>
        <w:t>)</w:t>
      </w:r>
    </w:p>
    <w:p w14:paraId="129C7554" w14:textId="3B436792" w:rsidR="00956CDE" w:rsidRPr="00332AB5" w:rsidRDefault="003D43BE">
      <w:pPr>
        <w:pStyle w:val="ListParagraph"/>
        <w:numPr>
          <w:ilvl w:val="0"/>
          <w:numId w:val="43"/>
        </w:numPr>
        <w:spacing w:before="120" w:after="120"/>
        <w:jc w:val="both"/>
        <w:rPr>
          <w:sz w:val="24"/>
          <w:szCs w:val="24"/>
        </w:rPr>
      </w:pPr>
      <w:r w:rsidRPr="00332AB5">
        <w:rPr>
          <w:sz w:val="24"/>
          <w:szCs w:val="24"/>
        </w:rPr>
        <w:t>Pravilnik o određivanju područja s prirodnim i ostalim ograničenjima (</w:t>
      </w:r>
      <w:r w:rsidR="00254B1E" w:rsidRPr="00332AB5">
        <w:rPr>
          <w:sz w:val="24"/>
          <w:szCs w:val="24"/>
        </w:rPr>
        <w:t>„Narodne novine“, broj:</w:t>
      </w:r>
      <w:r w:rsidRPr="00332AB5">
        <w:rPr>
          <w:sz w:val="24"/>
          <w:szCs w:val="24"/>
        </w:rPr>
        <w:t xml:space="preserve"> 27/23</w:t>
      </w:r>
      <w:r w:rsidR="00254B1E" w:rsidRPr="00332AB5">
        <w:rPr>
          <w:sz w:val="24"/>
          <w:szCs w:val="24"/>
        </w:rPr>
        <w:t>.</w:t>
      </w:r>
      <w:r w:rsidRPr="00332AB5">
        <w:rPr>
          <w:sz w:val="24"/>
          <w:szCs w:val="24"/>
        </w:rPr>
        <w:t>)</w:t>
      </w:r>
    </w:p>
    <w:p w14:paraId="27EAAB41" w14:textId="1D78B84F" w:rsidR="003D43BE" w:rsidRPr="00332AB5" w:rsidRDefault="003D43BE">
      <w:pPr>
        <w:pStyle w:val="ListParagraph"/>
        <w:numPr>
          <w:ilvl w:val="0"/>
          <w:numId w:val="43"/>
        </w:numPr>
        <w:spacing w:before="120" w:after="120"/>
        <w:jc w:val="both"/>
        <w:rPr>
          <w:sz w:val="24"/>
          <w:szCs w:val="24"/>
        </w:rPr>
      </w:pPr>
      <w:r w:rsidRPr="00332AB5">
        <w:rPr>
          <w:sz w:val="24"/>
          <w:szCs w:val="24"/>
        </w:rPr>
        <w:t>Pravilnik o provedbi intervencije 76.01. Osiguranje poljoprivredne proizvodnje iz Strateškog plana Zajedničke poljoprivredne politike Republike Hrvatske 2023. – 2027. (</w:t>
      </w:r>
      <w:r w:rsidR="00254B1E" w:rsidRPr="00332AB5">
        <w:rPr>
          <w:sz w:val="24"/>
          <w:szCs w:val="24"/>
        </w:rPr>
        <w:t xml:space="preserve">„Narodne novine“, broj: </w:t>
      </w:r>
      <w:r w:rsidRPr="00332AB5">
        <w:rPr>
          <w:sz w:val="24"/>
          <w:szCs w:val="24"/>
        </w:rPr>
        <w:t>38/23</w:t>
      </w:r>
      <w:r w:rsidR="00254B1E" w:rsidRPr="00332AB5">
        <w:rPr>
          <w:sz w:val="24"/>
          <w:szCs w:val="24"/>
        </w:rPr>
        <w:t>.</w:t>
      </w:r>
      <w:r w:rsidRPr="00332AB5">
        <w:rPr>
          <w:sz w:val="24"/>
          <w:szCs w:val="24"/>
        </w:rPr>
        <w:t>)</w:t>
      </w:r>
    </w:p>
    <w:p w14:paraId="70B895B5" w14:textId="3CE598C3" w:rsidR="003D43BE" w:rsidRPr="00332AB5" w:rsidRDefault="003D43BE">
      <w:pPr>
        <w:pStyle w:val="ListParagraph"/>
        <w:numPr>
          <w:ilvl w:val="0"/>
          <w:numId w:val="43"/>
        </w:numPr>
        <w:spacing w:before="120" w:after="120"/>
        <w:jc w:val="both"/>
        <w:rPr>
          <w:sz w:val="24"/>
          <w:szCs w:val="24"/>
        </w:rPr>
      </w:pPr>
      <w:r w:rsidRPr="00332AB5">
        <w:rPr>
          <w:sz w:val="24"/>
          <w:szCs w:val="24"/>
        </w:rPr>
        <w:t>Pravilnik o provedbi intervencije 78.01. Potpora prenošenju znanja iz Strateškog plana Zajedničke poljoprivredne politike Republike Hrvatske 2023. – 2027. (</w:t>
      </w:r>
      <w:r w:rsidR="00AA7D06" w:rsidRPr="00332AB5">
        <w:rPr>
          <w:sz w:val="24"/>
          <w:szCs w:val="24"/>
        </w:rPr>
        <w:t xml:space="preserve">„Narodne novine“, broj: </w:t>
      </w:r>
      <w:r w:rsidRPr="00332AB5">
        <w:rPr>
          <w:sz w:val="24"/>
          <w:szCs w:val="24"/>
        </w:rPr>
        <w:t>68/23</w:t>
      </w:r>
      <w:r w:rsidR="00AA7D06" w:rsidRPr="00332AB5">
        <w:rPr>
          <w:sz w:val="24"/>
          <w:szCs w:val="24"/>
        </w:rPr>
        <w:t>.</w:t>
      </w:r>
      <w:r w:rsidRPr="00332AB5">
        <w:rPr>
          <w:sz w:val="24"/>
          <w:szCs w:val="24"/>
        </w:rPr>
        <w:t>)</w:t>
      </w:r>
    </w:p>
    <w:p w14:paraId="74542A53" w14:textId="4F20516E" w:rsidR="003D43BE" w:rsidRPr="00332AB5" w:rsidRDefault="003D43BE">
      <w:pPr>
        <w:pStyle w:val="ListParagraph"/>
        <w:numPr>
          <w:ilvl w:val="0"/>
          <w:numId w:val="43"/>
        </w:numPr>
        <w:spacing w:before="120" w:after="120"/>
        <w:jc w:val="both"/>
        <w:rPr>
          <w:sz w:val="24"/>
          <w:szCs w:val="24"/>
        </w:rPr>
      </w:pPr>
      <w:r w:rsidRPr="00332AB5">
        <w:rPr>
          <w:sz w:val="24"/>
          <w:szCs w:val="24"/>
        </w:rPr>
        <w:t>Pravilnik o provedbi intervencije 77.06. „Potpora LEADER (CLLD) pristupu“ iz Strateškog plana Zajedničke poljoprivredne politike Republike Hrvatske 2023.</w:t>
      </w:r>
      <w:r w:rsidR="003B16E9" w:rsidRPr="00332AB5">
        <w:rPr>
          <w:sz w:val="24"/>
          <w:szCs w:val="24"/>
        </w:rPr>
        <w:t xml:space="preserve"> </w:t>
      </w:r>
      <w:r w:rsidRPr="00332AB5">
        <w:rPr>
          <w:sz w:val="24"/>
          <w:szCs w:val="24"/>
        </w:rPr>
        <w:t>-</w:t>
      </w:r>
      <w:r w:rsidR="003B16E9" w:rsidRPr="00332AB5">
        <w:rPr>
          <w:sz w:val="24"/>
          <w:szCs w:val="24"/>
        </w:rPr>
        <w:t xml:space="preserve"> </w:t>
      </w:r>
      <w:r w:rsidRPr="00332AB5">
        <w:rPr>
          <w:sz w:val="24"/>
          <w:szCs w:val="24"/>
        </w:rPr>
        <w:t>2027. (</w:t>
      </w:r>
      <w:r w:rsidR="00AA7D06" w:rsidRPr="00332AB5">
        <w:rPr>
          <w:sz w:val="24"/>
          <w:szCs w:val="24"/>
        </w:rPr>
        <w:t xml:space="preserve">„Narodne novine“, broj: </w:t>
      </w:r>
      <w:r w:rsidRPr="00332AB5">
        <w:rPr>
          <w:sz w:val="24"/>
          <w:szCs w:val="24"/>
        </w:rPr>
        <w:t>69/23</w:t>
      </w:r>
      <w:r w:rsidR="00AA7D06" w:rsidRPr="00332AB5">
        <w:rPr>
          <w:sz w:val="24"/>
          <w:szCs w:val="24"/>
        </w:rPr>
        <w:t>.</w:t>
      </w:r>
      <w:r w:rsidRPr="00332AB5">
        <w:rPr>
          <w:sz w:val="24"/>
          <w:szCs w:val="24"/>
        </w:rPr>
        <w:t>)</w:t>
      </w:r>
    </w:p>
    <w:p w14:paraId="5BE8AFCE" w14:textId="0C640686" w:rsidR="003D43BE" w:rsidRPr="00332AB5" w:rsidRDefault="003D43BE" w:rsidP="003D43BE">
      <w:pPr>
        <w:spacing w:before="120" w:after="120"/>
        <w:jc w:val="both"/>
        <w:rPr>
          <w:sz w:val="24"/>
          <w:szCs w:val="24"/>
        </w:rPr>
      </w:pPr>
      <w:r w:rsidRPr="00332AB5">
        <w:rPr>
          <w:sz w:val="24"/>
          <w:szCs w:val="24"/>
        </w:rPr>
        <w:t xml:space="preserve">Tijekom posljednja dva kvartala u 2023. godini u planu je objava 14 natječaja za intervencije u okviru SP ZPP-a (od kojih su dva natječaja, za intervenciju 73.02. Obnova poljoprivrednog potencijala i 77.05. Potpora za uspostavu i rad proizvođačkih organizacija, planirana prema potrebi). </w:t>
      </w:r>
    </w:p>
    <w:p w14:paraId="53B02CAC" w14:textId="77777777" w:rsidR="001A0071" w:rsidRPr="00332AB5" w:rsidRDefault="001A0071" w:rsidP="00A161B3">
      <w:pPr>
        <w:spacing w:before="120" w:after="120"/>
        <w:jc w:val="both"/>
        <w:rPr>
          <w:sz w:val="24"/>
          <w:szCs w:val="24"/>
        </w:rPr>
      </w:pPr>
    </w:p>
    <w:p w14:paraId="57704E96" w14:textId="1D2D649D" w:rsidR="001A0071" w:rsidRPr="00332AB5" w:rsidRDefault="001A0071" w:rsidP="001A0071">
      <w:pPr>
        <w:pStyle w:val="Heading2"/>
        <w:numPr>
          <w:ilvl w:val="1"/>
          <w:numId w:val="3"/>
        </w:numPr>
      </w:pPr>
      <w:bookmarkStart w:id="166" w:name="_Toc152595253"/>
      <w:r w:rsidRPr="00332AB5">
        <w:t>PROGRAM ZA RIBARSTVO I AKVAKULTURU REPUBLIKE HRVATSKE ZA PROGRAMSKO RAZDOBLJE 2021. - 2027.</w:t>
      </w:r>
      <w:bookmarkEnd w:id="166"/>
    </w:p>
    <w:p w14:paraId="73990931" w14:textId="685E55C5" w:rsidR="004933FD" w:rsidRPr="00332AB5" w:rsidRDefault="004933FD" w:rsidP="004933FD">
      <w:pPr>
        <w:spacing w:before="120" w:after="120"/>
        <w:jc w:val="both"/>
        <w:rPr>
          <w:sz w:val="24"/>
          <w:szCs w:val="24"/>
        </w:rPr>
      </w:pPr>
      <w:r w:rsidRPr="00332AB5">
        <w:rPr>
          <w:sz w:val="24"/>
          <w:szCs w:val="24"/>
        </w:rPr>
        <w:t>Program za ribarstvo i akvakulturu Republike Hrvatske za programsko razdoblje 2021. - 2027. (</w:t>
      </w:r>
      <w:r w:rsidR="00EB675D" w:rsidRPr="00332AB5">
        <w:rPr>
          <w:sz w:val="24"/>
          <w:szCs w:val="24"/>
        </w:rPr>
        <w:t>u daljnjem tekstu</w:t>
      </w:r>
      <w:r w:rsidRPr="00332AB5">
        <w:rPr>
          <w:sz w:val="24"/>
          <w:szCs w:val="24"/>
        </w:rPr>
        <w:t xml:space="preserve">: </w:t>
      </w:r>
      <w:r w:rsidR="006F376A" w:rsidRPr="00332AB5">
        <w:rPr>
          <w:sz w:val="24"/>
          <w:szCs w:val="24"/>
        </w:rPr>
        <w:t>PRA</w:t>
      </w:r>
      <w:r w:rsidRPr="00332AB5">
        <w:rPr>
          <w:sz w:val="24"/>
          <w:szCs w:val="24"/>
        </w:rPr>
        <w:t>) odobrila je Europska komisija 29. studenoga 2022. Tim je Programom hrvatskom sektoru ribarstva i akvakulture na raspolaganje stavljeno ukupno 348,1 milijuna eura, od čega iz europskog proračuna 243,7 milijuna eura, te iz proračuna Republike Hrvatske 104,4 milijuna eura, usmjerenih prije svega na podršku provedbi Zajedničke ribarstvene politike.</w:t>
      </w:r>
    </w:p>
    <w:p w14:paraId="51028A58" w14:textId="77777777" w:rsidR="004933FD" w:rsidRPr="00332AB5" w:rsidRDefault="004933FD" w:rsidP="004933FD">
      <w:pPr>
        <w:spacing w:before="120" w:after="120"/>
        <w:jc w:val="both"/>
        <w:rPr>
          <w:sz w:val="24"/>
          <w:szCs w:val="24"/>
        </w:rPr>
      </w:pPr>
      <w:r w:rsidRPr="00332AB5">
        <w:rPr>
          <w:sz w:val="24"/>
          <w:szCs w:val="24"/>
        </w:rPr>
        <w:t>Tijekom izvještajnog razdoblja doneseni su pravni propisi za provedbu sljedećih mjera u okviru novog Programa:</w:t>
      </w:r>
    </w:p>
    <w:p w14:paraId="69824163" w14:textId="77777777" w:rsidR="004933FD" w:rsidRPr="00332AB5" w:rsidRDefault="004933FD">
      <w:pPr>
        <w:pStyle w:val="ListParagraph"/>
        <w:numPr>
          <w:ilvl w:val="0"/>
          <w:numId w:val="17"/>
        </w:numPr>
        <w:spacing w:before="120" w:after="120"/>
        <w:jc w:val="both"/>
        <w:rPr>
          <w:sz w:val="24"/>
          <w:szCs w:val="24"/>
        </w:rPr>
      </w:pPr>
      <w:r w:rsidRPr="00332AB5">
        <w:rPr>
          <w:sz w:val="24"/>
          <w:szCs w:val="24"/>
        </w:rPr>
        <w:t>Mjera I.9. „Privremeni prestanak ribolovnih djelatnosti“ – tijekom 2021. i 2022. korisnici su dostavili zahtjeve za potporu u okviru proglašenih privremenih obustava ribolovnih djelatnosti. Po odobrenju Programa 29. studenog 2022. doneseni su sljedeći pravilnici temeljem kojih je Upravljačko tijelo započelo s obradom prijava zaprimljenih tijekom 2021. i 2022. godine:</w:t>
      </w:r>
    </w:p>
    <w:p w14:paraId="451350A0" w14:textId="257258A9" w:rsidR="004933FD" w:rsidRPr="00332AB5" w:rsidRDefault="004933FD">
      <w:pPr>
        <w:pStyle w:val="ListParagraph"/>
        <w:numPr>
          <w:ilvl w:val="1"/>
          <w:numId w:val="17"/>
        </w:numPr>
        <w:spacing w:before="120" w:after="120"/>
        <w:jc w:val="both"/>
        <w:rPr>
          <w:sz w:val="24"/>
          <w:szCs w:val="24"/>
        </w:rPr>
      </w:pPr>
      <w:r w:rsidRPr="00332AB5">
        <w:rPr>
          <w:sz w:val="24"/>
          <w:szCs w:val="24"/>
        </w:rPr>
        <w:t>Pravilnik o provedbi mjere I.9. „Privremeni prestanak ribolovnih aktivnosti – COVID-19“ pridnenim povlačnim mrežama – koćama u 2021. i 2022. godini („Narodne novine“ broj</w:t>
      </w:r>
      <w:r w:rsidR="00AA7D06" w:rsidRPr="00332AB5">
        <w:rPr>
          <w:sz w:val="24"/>
          <w:szCs w:val="24"/>
        </w:rPr>
        <w:t>:</w:t>
      </w:r>
      <w:r w:rsidRPr="00332AB5">
        <w:rPr>
          <w:sz w:val="24"/>
          <w:szCs w:val="24"/>
        </w:rPr>
        <w:t xml:space="preserve"> 51/23</w:t>
      </w:r>
      <w:r w:rsidR="00AA7D06" w:rsidRPr="00332AB5">
        <w:rPr>
          <w:sz w:val="24"/>
          <w:szCs w:val="24"/>
        </w:rPr>
        <w:t>.</w:t>
      </w:r>
      <w:r w:rsidRPr="00332AB5">
        <w:rPr>
          <w:sz w:val="24"/>
          <w:szCs w:val="24"/>
        </w:rPr>
        <w:t>) za COVID privremene obustave ribolovnih djelatnosti u 2021. i 2022. godini</w:t>
      </w:r>
    </w:p>
    <w:p w14:paraId="1108E5EA" w14:textId="2EC009F6" w:rsidR="004933FD" w:rsidRPr="00332AB5" w:rsidRDefault="004933FD">
      <w:pPr>
        <w:pStyle w:val="ListParagraph"/>
        <w:numPr>
          <w:ilvl w:val="1"/>
          <w:numId w:val="17"/>
        </w:numPr>
        <w:spacing w:before="120" w:after="120"/>
        <w:jc w:val="both"/>
        <w:rPr>
          <w:sz w:val="24"/>
          <w:szCs w:val="24"/>
        </w:rPr>
      </w:pPr>
      <w:r w:rsidRPr="00332AB5">
        <w:rPr>
          <w:sz w:val="24"/>
          <w:szCs w:val="24"/>
        </w:rPr>
        <w:t>Pravilnik o provedbi mjere I.9. „Privremeni prestanak ribolovnih aktivnosti“ pridnenim povlačnim mrežama – koćama u 2021. i 2022. godini („Narodne novine“ broj</w:t>
      </w:r>
      <w:r w:rsidR="00AA7D06" w:rsidRPr="00332AB5">
        <w:rPr>
          <w:sz w:val="24"/>
          <w:szCs w:val="24"/>
        </w:rPr>
        <w:t>:</w:t>
      </w:r>
      <w:r w:rsidRPr="00332AB5">
        <w:rPr>
          <w:sz w:val="24"/>
          <w:szCs w:val="24"/>
        </w:rPr>
        <w:t xml:space="preserve"> 51/23</w:t>
      </w:r>
      <w:r w:rsidR="00AA7D06" w:rsidRPr="00332AB5">
        <w:rPr>
          <w:sz w:val="24"/>
          <w:szCs w:val="24"/>
        </w:rPr>
        <w:t>.</w:t>
      </w:r>
      <w:r w:rsidRPr="00332AB5">
        <w:rPr>
          <w:sz w:val="24"/>
          <w:szCs w:val="24"/>
        </w:rPr>
        <w:t>) za privremene obustave ribolovnih djelatnosti u rujnu/listopadu 2021. i rujnu/listopadu 2022.</w:t>
      </w:r>
    </w:p>
    <w:p w14:paraId="1D69090B" w14:textId="7286346D" w:rsidR="004933FD" w:rsidRPr="00332AB5" w:rsidRDefault="004933FD">
      <w:pPr>
        <w:pStyle w:val="ListParagraph"/>
        <w:numPr>
          <w:ilvl w:val="1"/>
          <w:numId w:val="17"/>
        </w:numPr>
        <w:spacing w:before="120" w:after="120"/>
        <w:jc w:val="both"/>
        <w:rPr>
          <w:sz w:val="24"/>
          <w:szCs w:val="24"/>
        </w:rPr>
      </w:pPr>
      <w:r w:rsidRPr="00332AB5">
        <w:rPr>
          <w:sz w:val="24"/>
          <w:szCs w:val="24"/>
        </w:rPr>
        <w:t>Pravilnik o provedbi mjere I.9. „Privremeni prestanak ribolovnih aktivnosti“ okružujućim mrežama plivaricama – srdelarama u 2022. godini („Narodne novine“ broj 51/23</w:t>
      </w:r>
      <w:r w:rsidR="00AA7D06" w:rsidRPr="00332AB5">
        <w:rPr>
          <w:sz w:val="24"/>
          <w:szCs w:val="24"/>
        </w:rPr>
        <w:t>.</w:t>
      </w:r>
      <w:r w:rsidRPr="00332AB5">
        <w:rPr>
          <w:sz w:val="24"/>
          <w:szCs w:val="24"/>
        </w:rPr>
        <w:t>) za privremene obustave ribolovnih djelatnosti u siječnju/veljači 2022. i svibnju 2022.</w:t>
      </w:r>
    </w:p>
    <w:p w14:paraId="618CA5F7" w14:textId="77777777" w:rsidR="004933FD" w:rsidRPr="00332AB5" w:rsidRDefault="004933FD">
      <w:pPr>
        <w:pStyle w:val="ListParagraph"/>
        <w:numPr>
          <w:ilvl w:val="0"/>
          <w:numId w:val="17"/>
        </w:numPr>
        <w:spacing w:before="120" w:after="120"/>
        <w:jc w:val="both"/>
        <w:rPr>
          <w:sz w:val="24"/>
          <w:szCs w:val="24"/>
        </w:rPr>
      </w:pPr>
      <w:r w:rsidRPr="00332AB5">
        <w:rPr>
          <w:sz w:val="24"/>
          <w:szCs w:val="24"/>
        </w:rPr>
        <w:t>Mjera I.9. „Privremeni prestanak ribolovnih djelatnosti“ – u izvještajnom razdoblju doneseni su sljedeći pravilnici za provedbu mjere I.9. temeljem kojih su korisnici podnijeli zahtjeve:</w:t>
      </w:r>
    </w:p>
    <w:p w14:paraId="6BC7CCB2" w14:textId="184AEF8C" w:rsidR="004933FD" w:rsidRPr="00332AB5" w:rsidRDefault="004933FD">
      <w:pPr>
        <w:pStyle w:val="ListParagraph"/>
        <w:numPr>
          <w:ilvl w:val="1"/>
          <w:numId w:val="17"/>
        </w:numPr>
        <w:spacing w:before="120" w:after="120"/>
        <w:jc w:val="both"/>
        <w:rPr>
          <w:sz w:val="24"/>
          <w:szCs w:val="24"/>
        </w:rPr>
      </w:pPr>
      <w:r w:rsidRPr="00332AB5">
        <w:rPr>
          <w:sz w:val="24"/>
          <w:szCs w:val="24"/>
        </w:rPr>
        <w:t>Pravilnik o provedbi mjere I.9 „Privremeni prestanak ribolovnih aktivnosti“ okružujućim mrežama plivaricama – srdelarama za siječanj/veljaču 2023. godine („Narodne novine“ broj</w:t>
      </w:r>
      <w:r w:rsidR="00AA7D06" w:rsidRPr="00332AB5">
        <w:rPr>
          <w:sz w:val="24"/>
          <w:szCs w:val="24"/>
        </w:rPr>
        <w:t>:</w:t>
      </w:r>
      <w:r w:rsidRPr="00332AB5">
        <w:rPr>
          <w:sz w:val="24"/>
          <w:szCs w:val="24"/>
        </w:rPr>
        <w:t xml:space="preserve"> 51/23</w:t>
      </w:r>
      <w:r w:rsidR="00AA7D06" w:rsidRPr="00332AB5">
        <w:rPr>
          <w:sz w:val="24"/>
          <w:szCs w:val="24"/>
        </w:rPr>
        <w:t>.</w:t>
      </w:r>
      <w:r w:rsidRPr="00332AB5">
        <w:rPr>
          <w:sz w:val="24"/>
          <w:szCs w:val="24"/>
        </w:rPr>
        <w:t xml:space="preserve">) </w:t>
      </w:r>
    </w:p>
    <w:p w14:paraId="6B04ABF1" w14:textId="0DD484C9" w:rsidR="004933FD" w:rsidRPr="00332AB5" w:rsidRDefault="004933FD">
      <w:pPr>
        <w:pStyle w:val="ListParagraph"/>
        <w:numPr>
          <w:ilvl w:val="1"/>
          <w:numId w:val="17"/>
        </w:numPr>
        <w:spacing w:before="120" w:after="120"/>
        <w:jc w:val="both"/>
        <w:rPr>
          <w:sz w:val="24"/>
          <w:szCs w:val="24"/>
        </w:rPr>
      </w:pPr>
      <w:r w:rsidRPr="00332AB5">
        <w:rPr>
          <w:sz w:val="24"/>
          <w:szCs w:val="24"/>
        </w:rPr>
        <w:t>Pravilnik o provedbi mjere I.9. „Privremeni prestanak ribolovnih aktivnosti“ okružujućim mrežama plivaricama – srdelarama za svibanj 2023. godine („Narodne novine“ broj</w:t>
      </w:r>
      <w:r w:rsidR="00AA7D06" w:rsidRPr="00332AB5">
        <w:rPr>
          <w:sz w:val="24"/>
          <w:szCs w:val="24"/>
        </w:rPr>
        <w:t>:</w:t>
      </w:r>
      <w:r w:rsidRPr="00332AB5">
        <w:rPr>
          <w:sz w:val="24"/>
          <w:szCs w:val="24"/>
        </w:rPr>
        <w:t xml:space="preserve"> 66/23</w:t>
      </w:r>
      <w:r w:rsidR="00AA7D06" w:rsidRPr="00332AB5">
        <w:rPr>
          <w:sz w:val="24"/>
          <w:szCs w:val="24"/>
        </w:rPr>
        <w:t>.</w:t>
      </w:r>
      <w:r w:rsidRPr="00332AB5">
        <w:rPr>
          <w:sz w:val="24"/>
          <w:szCs w:val="24"/>
        </w:rPr>
        <w:t>)</w:t>
      </w:r>
    </w:p>
    <w:p w14:paraId="2D453051" w14:textId="20FB8113" w:rsidR="004933FD" w:rsidRPr="00332AB5" w:rsidRDefault="004933FD">
      <w:pPr>
        <w:pStyle w:val="ListParagraph"/>
        <w:numPr>
          <w:ilvl w:val="0"/>
          <w:numId w:val="17"/>
        </w:numPr>
        <w:spacing w:before="120" w:after="120"/>
        <w:jc w:val="both"/>
        <w:rPr>
          <w:sz w:val="24"/>
          <w:szCs w:val="24"/>
        </w:rPr>
      </w:pPr>
      <w:r w:rsidRPr="00332AB5">
        <w:rPr>
          <w:sz w:val="24"/>
          <w:szCs w:val="24"/>
        </w:rPr>
        <w:t>Mjera I.10. „Trajni prestanak ribolovnih aktivnosti“ – korisnici su tijekom prosinca 2022. i siječnja 2023. podnosili iskaze interesa odnosno Zahtjeve za potporu u okviru predmetne mjere temeljem Javnog poziva za sudjelovanje u mjeri trajnog prestanka ribolovnih aktivnosti za 2022./2023. godinu u okviru Programa za ribarstvo i akvakulturu Republike Hrvatske za programsko razdoblje 2021.</w:t>
      </w:r>
      <w:r w:rsidR="000F59CF" w:rsidRPr="00332AB5">
        <w:rPr>
          <w:sz w:val="24"/>
          <w:szCs w:val="24"/>
        </w:rPr>
        <w:t xml:space="preserve"> – </w:t>
      </w:r>
      <w:r w:rsidRPr="00332AB5">
        <w:rPr>
          <w:sz w:val="24"/>
          <w:szCs w:val="24"/>
        </w:rPr>
        <w:t>2027. godine.</w:t>
      </w:r>
    </w:p>
    <w:p w14:paraId="525B5F54" w14:textId="77777777" w:rsidR="004933FD" w:rsidRPr="00332AB5" w:rsidRDefault="004933FD" w:rsidP="004933FD">
      <w:pPr>
        <w:spacing w:before="120" w:after="120"/>
        <w:jc w:val="both"/>
        <w:rPr>
          <w:sz w:val="24"/>
          <w:szCs w:val="24"/>
        </w:rPr>
      </w:pPr>
      <w:r w:rsidRPr="00332AB5">
        <w:rPr>
          <w:sz w:val="24"/>
          <w:szCs w:val="24"/>
        </w:rPr>
        <w:t xml:space="preserve">Pripremne aktivnosti za provedbu preostalih mjera, uključujući donošenje pravnih akata, je u tijeku. </w:t>
      </w:r>
    </w:p>
    <w:p w14:paraId="1664F36F" w14:textId="77777777" w:rsidR="004933FD" w:rsidRPr="00332AB5" w:rsidRDefault="004933FD" w:rsidP="004933FD">
      <w:pPr>
        <w:spacing w:before="120" w:after="120"/>
        <w:jc w:val="both"/>
        <w:rPr>
          <w:sz w:val="24"/>
          <w:szCs w:val="24"/>
        </w:rPr>
      </w:pPr>
      <w:r w:rsidRPr="00332AB5">
        <w:rPr>
          <w:sz w:val="24"/>
          <w:szCs w:val="24"/>
        </w:rPr>
        <w:t>Nadalje, tijekom izvještajnog razdoblja održana je prva sjednica Odbora za praćenje provedbe Programa za ribarstvo i akvakulturu Republike Hrvatske za programsko razdoblje 2021. - 2027., na kojoj je usvojen Poslovnik o radu Odbora za praćenje, predstavljen Program za ribarstvo i akvakulturu te su članovi Odbora usvojili kriterije za odabir operacija i način njihove primjene u okviru dvije mjere odnosno vrste djelovanja (za mjere Otkup ribolovnih prava i Privremeni prestanak ribolovnih aktivnosti). Također, tijekom izvještajnog razdoblja održan je i pisani postupak Odbora za praćenje gdje su članovima navedenog Odbora dostavljeni na komentare i odobrenje kriteriji za odabir operacija i način njihove primjene u okviru četiri mjere odnosno vrste djelovanja (Trajni prestanak ribolovnih aktivnosti; Pripremna potpora; Produktivna ulaganja u akvakulturu te Prerada proizvoda ribarstva i akvakulture). Svi predloženi kriteriji u navedenom pisanom postupku su usvojeni.</w:t>
      </w:r>
    </w:p>
    <w:p w14:paraId="44509F23" w14:textId="77777777" w:rsidR="004933FD" w:rsidRPr="00332AB5" w:rsidRDefault="004933FD" w:rsidP="004933FD">
      <w:pPr>
        <w:spacing w:before="120" w:after="120"/>
        <w:jc w:val="both"/>
        <w:rPr>
          <w:sz w:val="24"/>
          <w:szCs w:val="24"/>
        </w:rPr>
      </w:pPr>
    </w:p>
    <w:p w14:paraId="4D1D546B" w14:textId="0982C681" w:rsidR="001A0071" w:rsidRPr="00332AB5" w:rsidRDefault="002D31E9" w:rsidP="002D31E9">
      <w:pPr>
        <w:pStyle w:val="Heading2"/>
        <w:numPr>
          <w:ilvl w:val="1"/>
          <w:numId w:val="3"/>
        </w:numPr>
      </w:pPr>
      <w:bookmarkStart w:id="167" w:name="_Toc152595254"/>
      <w:r w:rsidRPr="00332AB5">
        <w:t>PROGRAM FONDA ZA AZIL, MIGRACIJE I INTEGRACIJU 2021.</w:t>
      </w:r>
      <w:r w:rsidR="00A40284" w:rsidRPr="00332AB5">
        <w:t xml:space="preserve"> </w:t>
      </w:r>
      <w:r w:rsidRPr="00332AB5">
        <w:t>-</w:t>
      </w:r>
      <w:r w:rsidR="00A40284" w:rsidRPr="00332AB5">
        <w:t xml:space="preserve"> </w:t>
      </w:r>
      <w:r w:rsidRPr="00332AB5">
        <w:t>2027.</w:t>
      </w:r>
      <w:bookmarkEnd w:id="167"/>
      <w:r w:rsidRPr="00332AB5">
        <w:t> </w:t>
      </w:r>
    </w:p>
    <w:p w14:paraId="0E458858" w14:textId="7CC4F0FC" w:rsidR="00762565" w:rsidRPr="00332AB5" w:rsidRDefault="00762565" w:rsidP="00A161B3">
      <w:pPr>
        <w:spacing w:before="120" w:after="120"/>
        <w:jc w:val="both"/>
        <w:rPr>
          <w:sz w:val="24"/>
          <w:szCs w:val="24"/>
        </w:rPr>
      </w:pPr>
      <w:r w:rsidRPr="00332AB5">
        <w:rPr>
          <w:sz w:val="24"/>
          <w:szCs w:val="24"/>
        </w:rPr>
        <w:t>Program Fonda za azil, migracije i integraciju 2021.</w:t>
      </w:r>
      <w:r w:rsidR="00A40284" w:rsidRPr="00332AB5">
        <w:rPr>
          <w:sz w:val="24"/>
          <w:szCs w:val="24"/>
        </w:rPr>
        <w:t xml:space="preserve"> </w:t>
      </w:r>
      <w:r w:rsidRPr="00332AB5">
        <w:rPr>
          <w:sz w:val="24"/>
          <w:szCs w:val="24"/>
        </w:rPr>
        <w:t>-</w:t>
      </w:r>
      <w:r w:rsidR="00A40284" w:rsidRPr="00332AB5">
        <w:rPr>
          <w:sz w:val="24"/>
          <w:szCs w:val="24"/>
        </w:rPr>
        <w:t xml:space="preserve"> </w:t>
      </w:r>
      <w:r w:rsidRPr="00332AB5">
        <w:rPr>
          <w:sz w:val="24"/>
          <w:szCs w:val="24"/>
        </w:rPr>
        <w:t xml:space="preserve">2027. odobrila je Europska komisija 16. studenoga 2022. Republici Hrvatskoj na raspolaganju je iznos od 47.316.335,00 </w:t>
      </w:r>
      <w:r w:rsidR="003A1636" w:rsidRPr="00332AB5">
        <w:rPr>
          <w:sz w:val="24"/>
          <w:szCs w:val="24"/>
        </w:rPr>
        <w:t>eura</w:t>
      </w:r>
      <w:r w:rsidRPr="00332AB5">
        <w:rPr>
          <w:sz w:val="24"/>
          <w:szCs w:val="24"/>
        </w:rPr>
        <w:t>.</w:t>
      </w:r>
    </w:p>
    <w:p w14:paraId="3F8A678A" w14:textId="77777777" w:rsidR="00762565" w:rsidRPr="00332AB5" w:rsidRDefault="00762565" w:rsidP="00A161B3">
      <w:pPr>
        <w:spacing w:before="120" w:after="120"/>
        <w:jc w:val="both"/>
        <w:rPr>
          <w:sz w:val="24"/>
          <w:szCs w:val="24"/>
        </w:rPr>
      </w:pPr>
    </w:p>
    <w:p w14:paraId="7BFE1CE1" w14:textId="1BFF1EC8" w:rsidR="002D31E9" w:rsidRPr="00332AB5" w:rsidRDefault="002D31E9" w:rsidP="002D31E9">
      <w:pPr>
        <w:pStyle w:val="Heading2"/>
        <w:numPr>
          <w:ilvl w:val="1"/>
          <w:numId w:val="3"/>
        </w:numPr>
      </w:pPr>
      <w:bookmarkStart w:id="168" w:name="_Toc152595255"/>
      <w:r w:rsidRPr="00332AB5">
        <w:t>PROGRAM FONDA ZA UNUTARNJU SIGURNOST 2021.</w:t>
      </w:r>
      <w:r w:rsidR="00A40284" w:rsidRPr="00332AB5">
        <w:t xml:space="preserve"> </w:t>
      </w:r>
      <w:r w:rsidRPr="00332AB5">
        <w:t>-</w:t>
      </w:r>
      <w:r w:rsidR="00A40284" w:rsidRPr="00332AB5">
        <w:t xml:space="preserve"> </w:t>
      </w:r>
      <w:r w:rsidRPr="00332AB5">
        <w:t>2027.</w:t>
      </w:r>
      <w:bookmarkEnd w:id="168"/>
      <w:r w:rsidRPr="00332AB5">
        <w:t> </w:t>
      </w:r>
    </w:p>
    <w:p w14:paraId="01626CC7" w14:textId="21CB1E13" w:rsidR="00762565" w:rsidRPr="00332AB5" w:rsidRDefault="00762565" w:rsidP="00762565">
      <w:pPr>
        <w:spacing w:before="120" w:after="120"/>
        <w:jc w:val="both"/>
        <w:rPr>
          <w:sz w:val="24"/>
          <w:szCs w:val="24"/>
        </w:rPr>
      </w:pPr>
      <w:r w:rsidRPr="00332AB5">
        <w:rPr>
          <w:sz w:val="24"/>
          <w:szCs w:val="24"/>
        </w:rPr>
        <w:t>Program Fonda za unutarnju sigurnost Republike Hrvatske 2021</w:t>
      </w:r>
      <w:r w:rsidR="00A40284" w:rsidRPr="00332AB5">
        <w:rPr>
          <w:sz w:val="24"/>
          <w:szCs w:val="24"/>
        </w:rPr>
        <w:t xml:space="preserve"> </w:t>
      </w:r>
      <w:r w:rsidRPr="00332AB5">
        <w:rPr>
          <w:sz w:val="24"/>
          <w:szCs w:val="24"/>
        </w:rPr>
        <w:t>.</w:t>
      </w:r>
      <w:r w:rsidR="00A40284" w:rsidRPr="00332AB5">
        <w:rPr>
          <w:sz w:val="24"/>
          <w:szCs w:val="24"/>
        </w:rPr>
        <w:t xml:space="preserve"> </w:t>
      </w:r>
      <w:r w:rsidRPr="00332AB5">
        <w:rPr>
          <w:sz w:val="24"/>
          <w:szCs w:val="24"/>
        </w:rPr>
        <w:t xml:space="preserve">-2027. odobrila je Europska komisija 8. studenoga 2022. Republici Hrvatskoj na raspolaganju je iznos od 35.730.549,00 </w:t>
      </w:r>
      <w:r w:rsidR="003A1636" w:rsidRPr="00332AB5">
        <w:rPr>
          <w:sz w:val="24"/>
          <w:szCs w:val="24"/>
        </w:rPr>
        <w:t>eura</w:t>
      </w:r>
      <w:r w:rsidRPr="00332AB5">
        <w:rPr>
          <w:sz w:val="24"/>
          <w:szCs w:val="24"/>
        </w:rPr>
        <w:t>.</w:t>
      </w:r>
    </w:p>
    <w:p w14:paraId="01B0EF1C" w14:textId="77777777" w:rsidR="002D31E9" w:rsidRPr="00332AB5" w:rsidRDefault="002D31E9" w:rsidP="00A161B3">
      <w:pPr>
        <w:spacing w:before="120" w:after="120"/>
        <w:jc w:val="both"/>
        <w:rPr>
          <w:sz w:val="24"/>
          <w:szCs w:val="24"/>
        </w:rPr>
      </w:pPr>
    </w:p>
    <w:p w14:paraId="0B5993A0" w14:textId="09E3BDF4" w:rsidR="002D31E9" w:rsidRPr="00332AB5" w:rsidRDefault="002D31E9" w:rsidP="002D31E9">
      <w:pPr>
        <w:pStyle w:val="Heading2"/>
        <w:numPr>
          <w:ilvl w:val="1"/>
          <w:numId w:val="3"/>
        </w:numPr>
      </w:pPr>
      <w:bookmarkStart w:id="169" w:name="_Toc152595256"/>
      <w:r w:rsidRPr="00332AB5">
        <w:t>PROGRAM FONDA ZA INTEGRIRANO UPRAVLJANJE GRANICAMA – INSTRUMENTA ZA FINANCIJSKU POTPORU U PODRUČJU UPRAVLJANJA GRANICAMA I VIZNE POLITIKE</w:t>
      </w:r>
      <w:r w:rsidR="00A40284" w:rsidRPr="00332AB5">
        <w:t xml:space="preserve"> 2021.</w:t>
      </w:r>
      <w:r w:rsidR="000F59CF" w:rsidRPr="00332AB5">
        <w:t xml:space="preserve"> –</w:t>
      </w:r>
      <w:r w:rsidR="00A40284" w:rsidRPr="00332AB5">
        <w:t xml:space="preserve"> 2027.</w:t>
      </w:r>
      <w:bookmarkEnd w:id="169"/>
    </w:p>
    <w:p w14:paraId="44576638" w14:textId="2CA5E02A" w:rsidR="00762565" w:rsidRPr="00332AB5" w:rsidRDefault="00762565" w:rsidP="00762565">
      <w:pPr>
        <w:spacing w:before="120" w:after="120"/>
        <w:jc w:val="both"/>
        <w:rPr>
          <w:sz w:val="24"/>
          <w:szCs w:val="24"/>
        </w:rPr>
      </w:pPr>
      <w:r w:rsidRPr="00332AB5">
        <w:rPr>
          <w:sz w:val="24"/>
          <w:szCs w:val="24"/>
        </w:rPr>
        <w:t>Program Fonda za integrirano upravljanje granicama - Instrument za financijsku potporu u području upravljanja granicama i vizne politike Republike Hrvatske za programsko razdoblje 2021.</w:t>
      </w:r>
      <w:r w:rsidR="000F59CF" w:rsidRPr="00332AB5">
        <w:rPr>
          <w:sz w:val="24"/>
          <w:szCs w:val="24"/>
        </w:rPr>
        <w:t xml:space="preserve"> – </w:t>
      </w:r>
      <w:r w:rsidRPr="00332AB5">
        <w:rPr>
          <w:sz w:val="24"/>
          <w:szCs w:val="24"/>
        </w:rPr>
        <w:t>2027. odobrila je Europska komisija 8. studenoga 2022.</w:t>
      </w:r>
      <w:r w:rsidR="003A1636" w:rsidRPr="00332AB5">
        <w:rPr>
          <w:sz w:val="24"/>
          <w:szCs w:val="24"/>
        </w:rPr>
        <w:t xml:space="preserve"> </w:t>
      </w:r>
      <w:r w:rsidRPr="00332AB5">
        <w:rPr>
          <w:sz w:val="24"/>
          <w:szCs w:val="24"/>
        </w:rPr>
        <w:t xml:space="preserve">Republici Hrvatskoj na raspolaganju je iznos od 172.926.701,72 </w:t>
      </w:r>
      <w:r w:rsidR="003A1636" w:rsidRPr="00332AB5">
        <w:rPr>
          <w:sz w:val="24"/>
          <w:szCs w:val="24"/>
        </w:rPr>
        <w:t>eura</w:t>
      </w:r>
      <w:r w:rsidRPr="00332AB5">
        <w:rPr>
          <w:sz w:val="24"/>
          <w:szCs w:val="24"/>
        </w:rPr>
        <w:t>.</w:t>
      </w:r>
    </w:p>
    <w:p w14:paraId="34CE4AB3" w14:textId="77777777" w:rsidR="002D31E9" w:rsidRPr="00332AB5" w:rsidRDefault="002D31E9" w:rsidP="00A161B3">
      <w:pPr>
        <w:spacing w:before="120" w:after="120"/>
        <w:jc w:val="both"/>
        <w:rPr>
          <w:sz w:val="24"/>
          <w:szCs w:val="24"/>
        </w:rPr>
      </w:pPr>
    </w:p>
    <w:p w14:paraId="18436873" w14:textId="77777777" w:rsidR="00A161B3" w:rsidRPr="00332AB5" w:rsidRDefault="00A161B3" w:rsidP="00A161B3">
      <w:pPr>
        <w:pStyle w:val="Heading2"/>
        <w:numPr>
          <w:ilvl w:val="1"/>
          <w:numId w:val="3"/>
        </w:numPr>
      </w:pPr>
      <w:bookmarkStart w:id="170" w:name="_Toc152595257"/>
      <w:r w:rsidRPr="00332AB5">
        <w:t>PROGRAMI TERITORIJALNE SURADNJE ZA FINANCIJSKO RAZDOBLJE 2021. – 2027.</w:t>
      </w:r>
      <w:bookmarkEnd w:id="170"/>
    </w:p>
    <w:p w14:paraId="6D0ABDB2" w14:textId="77777777" w:rsidR="00A161B3" w:rsidRPr="00332AB5" w:rsidRDefault="00A161B3" w:rsidP="00A161B3">
      <w:pPr>
        <w:spacing w:before="120" w:after="120"/>
        <w:jc w:val="both"/>
        <w:rPr>
          <w:rFonts w:eastAsia="Calibri"/>
          <w:sz w:val="24"/>
          <w:szCs w:val="24"/>
        </w:rPr>
      </w:pPr>
      <w:r w:rsidRPr="00332AB5">
        <w:rPr>
          <w:rFonts w:eastAsia="Calibri"/>
          <w:sz w:val="24"/>
          <w:szCs w:val="24"/>
        </w:rPr>
        <w:t>U financijskom razdoblju 2021. – 2027. RH sudjeluje u 13 programa prekogranične, transnacionalne i međuregionalne suradnje.</w:t>
      </w:r>
    </w:p>
    <w:p w14:paraId="501C3F2A" w14:textId="77777777" w:rsidR="00A161B3" w:rsidRPr="00332AB5" w:rsidRDefault="00A161B3" w:rsidP="00A161B3">
      <w:pPr>
        <w:spacing w:before="120" w:after="120"/>
        <w:jc w:val="both"/>
        <w:rPr>
          <w:rFonts w:eastAsia="Calibri"/>
          <w:sz w:val="24"/>
          <w:szCs w:val="24"/>
        </w:rPr>
      </w:pPr>
      <w:r w:rsidRPr="00332AB5">
        <w:rPr>
          <w:rFonts w:eastAsia="Calibri"/>
          <w:sz w:val="24"/>
          <w:szCs w:val="24"/>
        </w:rPr>
        <w:t>Programi prekogranične suradnje:</w:t>
      </w:r>
    </w:p>
    <w:p w14:paraId="66AFFE81" w14:textId="77777777" w:rsidR="00A161B3" w:rsidRPr="00332AB5" w:rsidRDefault="00A161B3" w:rsidP="00A161B3">
      <w:pPr>
        <w:numPr>
          <w:ilvl w:val="0"/>
          <w:numId w:val="4"/>
        </w:numPr>
        <w:spacing w:before="120" w:after="120"/>
        <w:contextualSpacing/>
        <w:jc w:val="both"/>
        <w:rPr>
          <w:rFonts w:eastAsia="Calibri"/>
          <w:sz w:val="24"/>
          <w:szCs w:val="24"/>
        </w:rPr>
      </w:pPr>
      <w:r w:rsidRPr="00332AB5">
        <w:rPr>
          <w:rFonts w:eastAsia="Calibri"/>
          <w:sz w:val="24"/>
          <w:szCs w:val="24"/>
        </w:rPr>
        <w:t>Interreg IPA program prekogranične suradnje Hrvatska – Srbija 2021. – 2027.</w:t>
      </w:r>
    </w:p>
    <w:p w14:paraId="08C38950" w14:textId="77777777" w:rsidR="00A161B3" w:rsidRPr="00332AB5" w:rsidRDefault="00A161B3" w:rsidP="00A161B3">
      <w:pPr>
        <w:numPr>
          <w:ilvl w:val="0"/>
          <w:numId w:val="4"/>
        </w:numPr>
        <w:spacing w:before="120" w:after="120"/>
        <w:contextualSpacing/>
        <w:jc w:val="both"/>
        <w:rPr>
          <w:rFonts w:eastAsia="Calibri"/>
          <w:sz w:val="24"/>
          <w:szCs w:val="24"/>
        </w:rPr>
      </w:pPr>
      <w:r w:rsidRPr="00332AB5">
        <w:rPr>
          <w:rFonts w:eastAsia="Calibri"/>
          <w:sz w:val="24"/>
          <w:szCs w:val="24"/>
        </w:rPr>
        <w:t>Interreg IPA program prekogranične suradnje Hrvatska – Bosna i Hercegovina – Crna Gora 2021. – 2027.</w:t>
      </w:r>
    </w:p>
    <w:p w14:paraId="50776B7F" w14:textId="77777777" w:rsidR="00A161B3" w:rsidRPr="00332AB5" w:rsidRDefault="00A161B3" w:rsidP="00A161B3">
      <w:pPr>
        <w:numPr>
          <w:ilvl w:val="0"/>
          <w:numId w:val="4"/>
        </w:numPr>
        <w:spacing w:before="120" w:after="120"/>
        <w:contextualSpacing/>
        <w:jc w:val="both"/>
        <w:rPr>
          <w:rFonts w:eastAsia="Calibri"/>
          <w:sz w:val="24"/>
          <w:szCs w:val="24"/>
        </w:rPr>
      </w:pPr>
      <w:r w:rsidRPr="00332AB5">
        <w:rPr>
          <w:rFonts w:eastAsia="Calibri"/>
          <w:sz w:val="24"/>
          <w:szCs w:val="24"/>
        </w:rPr>
        <w:t>Program prekogranične suradnje Interreg VI-A Mađarska – Hrvatska 2021. – 2027.</w:t>
      </w:r>
    </w:p>
    <w:p w14:paraId="1063D223" w14:textId="77777777" w:rsidR="00A161B3" w:rsidRPr="00332AB5" w:rsidRDefault="00A161B3" w:rsidP="00A161B3">
      <w:pPr>
        <w:numPr>
          <w:ilvl w:val="0"/>
          <w:numId w:val="4"/>
        </w:numPr>
        <w:spacing w:before="120" w:after="120"/>
        <w:contextualSpacing/>
        <w:jc w:val="both"/>
        <w:rPr>
          <w:rFonts w:eastAsia="Calibri"/>
          <w:sz w:val="24"/>
          <w:szCs w:val="24"/>
        </w:rPr>
      </w:pPr>
      <w:r w:rsidRPr="00332AB5">
        <w:rPr>
          <w:rFonts w:eastAsia="Calibri"/>
          <w:sz w:val="24"/>
          <w:szCs w:val="24"/>
        </w:rPr>
        <w:t>Program prekogranične suradnje Interreg VI-A Slovenija – Hrvatska 2021. – 2027.</w:t>
      </w:r>
    </w:p>
    <w:p w14:paraId="60814AE0" w14:textId="77777777" w:rsidR="00A161B3" w:rsidRPr="00332AB5" w:rsidRDefault="00A161B3" w:rsidP="00A161B3">
      <w:pPr>
        <w:numPr>
          <w:ilvl w:val="0"/>
          <w:numId w:val="4"/>
        </w:numPr>
        <w:spacing w:before="120" w:after="120"/>
        <w:ind w:left="714" w:hanging="357"/>
        <w:jc w:val="both"/>
        <w:rPr>
          <w:rFonts w:eastAsia="Calibri"/>
          <w:sz w:val="24"/>
          <w:szCs w:val="24"/>
        </w:rPr>
      </w:pPr>
      <w:r w:rsidRPr="00332AB5">
        <w:rPr>
          <w:rFonts w:eastAsia="Calibri"/>
          <w:sz w:val="24"/>
          <w:szCs w:val="24"/>
        </w:rPr>
        <w:t>Program prekogranične suradnje Interreg VI-A Italija – Hrvatska 2021. – 2027.</w:t>
      </w:r>
    </w:p>
    <w:p w14:paraId="5B225C20" w14:textId="77777777" w:rsidR="00A161B3" w:rsidRPr="00332AB5" w:rsidRDefault="00A161B3" w:rsidP="00A161B3">
      <w:pPr>
        <w:spacing w:before="120" w:after="120"/>
        <w:jc w:val="both"/>
        <w:rPr>
          <w:rFonts w:eastAsia="Calibri"/>
          <w:sz w:val="24"/>
          <w:szCs w:val="24"/>
        </w:rPr>
      </w:pPr>
      <w:r w:rsidRPr="00332AB5">
        <w:rPr>
          <w:rFonts w:eastAsia="Calibri"/>
          <w:sz w:val="24"/>
          <w:szCs w:val="24"/>
        </w:rPr>
        <w:t>Programi Interreg B transnacionalne suradnje:</w:t>
      </w:r>
    </w:p>
    <w:p w14:paraId="50350EEA" w14:textId="120546F0" w:rsidR="00A161B3" w:rsidRPr="00332AB5" w:rsidRDefault="00A161B3" w:rsidP="00A161B3">
      <w:pPr>
        <w:numPr>
          <w:ilvl w:val="0"/>
          <w:numId w:val="5"/>
        </w:numPr>
        <w:spacing w:before="120" w:after="120"/>
        <w:contextualSpacing/>
        <w:jc w:val="both"/>
        <w:rPr>
          <w:rFonts w:eastAsia="Calibri"/>
          <w:sz w:val="24"/>
          <w:szCs w:val="24"/>
        </w:rPr>
      </w:pPr>
      <w:r w:rsidRPr="00332AB5">
        <w:rPr>
          <w:rFonts w:eastAsia="Calibri"/>
          <w:sz w:val="24"/>
          <w:szCs w:val="24"/>
        </w:rPr>
        <w:t xml:space="preserve">Program transnacionalne suradnje </w:t>
      </w:r>
      <w:r w:rsidR="00CC0C98" w:rsidRPr="00332AB5">
        <w:rPr>
          <w:rFonts w:eastAsia="Calibri"/>
          <w:sz w:val="24"/>
          <w:szCs w:val="24"/>
        </w:rPr>
        <w:t>D</w:t>
      </w:r>
      <w:r w:rsidRPr="00332AB5">
        <w:rPr>
          <w:rFonts w:eastAsia="Calibri"/>
          <w:sz w:val="24"/>
          <w:szCs w:val="24"/>
        </w:rPr>
        <w:t>unavske regije 2021. – 2027.</w:t>
      </w:r>
    </w:p>
    <w:p w14:paraId="1E8A184D" w14:textId="6F7F1D15" w:rsidR="00A161B3" w:rsidRPr="00332AB5" w:rsidRDefault="00A161B3" w:rsidP="00A161B3">
      <w:pPr>
        <w:numPr>
          <w:ilvl w:val="0"/>
          <w:numId w:val="5"/>
        </w:numPr>
        <w:spacing w:before="120" w:after="120"/>
        <w:contextualSpacing/>
        <w:jc w:val="both"/>
        <w:rPr>
          <w:rFonts w:eastAsia="Calibri"/>
          <w:sz w:val="24"/>
          <w:szCs w:val="24"/>
        </w:rPr>
      </w:pPr>
      <w:r w:rsidRPr="00332AB5">
        <w:rPr>
          <w:rFonts w:eastAsia="Calibri"/>
          <w:sz w:val="24"/>
          <w:szCs w:val="24"/>
        </w:rPr>
        <w:t>Interreg Jadransko-jonski program transnacionalne suradnje 2021. – 2027.</w:t>
      </w:r>
    </w:p>
    <w:p w14:paraId="32D30E07" w14:textId="77777777" w:rsidR="00A161B3" w:rsidRPr="00332AB5" w:rsidRDefault="00A161B3" w:rsidP="00A161B3">
      <w:pPr>
        <w:numPr>
          <w:ilvl w:val="0"/>
          <w:numId w:val="5"/>
        </w:numPr>
        <w:spacing w:before="120" w:after="120"/>
        <w:contextualSpacing/>
        <w:jc w:val="both"/>
        <w:rPr>
          <w:rFonts w:eastAsia="Calibri"/>
          <w:sz w:val="24"/>
          <w:szCs w:val="24"/>
        </w:rPr>
      </w:pPr>
      <w:r w:rsidRPr="00332AB5">
        <w:rPr>
          <w:rFonts w:eastAsia="Calibri"/>
          <w:sz w:val="24"/>
          <w:szCs w:val="24"/>
        </w:rPr>
        <w:t>Program transnacionalne suradnje Interreg VI-B Središnja Europa 2021. – 2027.</w:t>
      </w:r>
    </w:p>
    <w:p w14:paraId="65CDE407" w14:textId="58E4D3F9" w:rsidR="00A161B3" w:rsidRPr="00332AB5" w:rsidRDefault="00A161B3" w:rsidP="00A161B3">
      <w:pPr>
        <w:numPr>
          <w:ilvl w:val="0"/>
          <w:numId w:val="5"/>
        </w:numPr>
        <w:spacing w:before="120" w:after="120"/>
        <w:ind w:left="714" w:hanging="357"/>
        <w:jc w:val="both"/>
        <w:rPr>
          <w:rFonts w:eastAsia="Calibri"/>
          <w:sz w:val="24"/>
          <w:szCs w:val="24"/>
        </w:rPr>
      </w:pPr>
      <w:r w:rsidRPr="00332AB5">
        <w:rPr>
          <w:rFonts w:eastAsia="Calibri"/>
          <w:sz w:val="24"/>
          <w:szCs w:val="24"/>
        </w:rPr>
        <w:t>Program transnacionalne suradnje Interreg VI-B Mediteran 2021. – 2027.</w:t>
      </w:r>
    </w:p>
    <w:p w14:paraId="26B1D74E" w14:textId="77777777" w:rsidR="00A161B3" w:rsidRPr="00332AB5" w:rsidRDefault="00A161B3" w:rsidP="00A161B3">
      <w:pPr>
        <w:spacing w:before="120" w:after="120"/>
        <w:jc w:val="both"/>
        <w:rPr>
          <w:rFonts w:eastAsia="Calibri"/>
          <w:sz w:val="24"/>
          <w:szCs w:val="24"/>
        </w:rPr>
      </w:pPr>
      <w:r w:rsidRPr="00332AB5">
        <w:rPr>
          <w:rFonts w:eastAsia="Calibri"/>
          <w:sz w:val="24"/>
          <w:szCs w:val="24"/>
        </w:rPr>
        <w:t>Programi Interreg C međuregionalne suradnje:</w:t>
      </w:r>
    </w:p>
    <w:p w14:paraId="0F9DA15B" w14:textId="77777777" w:rsidR="00A161B3" w:rsidRPr="00332AB5" w:rsidRDefault="00A161B3" w:rsidP="00A161B3">
      <w:pPr>
        <w:numPr>
          <w:ilvl w:val="0"/>
          <w:numId w:val="6"/>
        </w:numPr>
        <w:spacing w:before="120" w:after="120"/>
        <w:contextualSpacing/>
        <w:jc w:val="both"/>
        <w:rPr>
          <w:rFonts w:eastAsia="Calibri"/>
          <w:sz w:val="24"/>
          <w:szCs w:val="24"/>
        </w:rPr>
      </w:pPr>
      <w:r w:rsidRPr="00332AB5">
        <w:rPr>
          <w:rFonts w:eastAsia="Calibri"/>
          <w:sz w:val="24"/>
          <w:szCs w:val="24"/>
        </w:rPr>
        <w:t>Program međuregionalne suradnje INTERREG Europe 2021. – 2027.</w:t>
      </w:r>
    </w:p>
    <w:p w14:paraId="2D43E79E" w14:textId="77777777" w:rsidR="00A161B3" w:rsidRPr="00332AB5" w:rsidRDefault="00A161B3" w:rsidP="00A161B3">
      <w:pPr>
        <w:numPr>
          <w:ilvl w:val="0"/>
          <w:numId w:val="6"/>
        </w:numPr>
        <w:spacing w:before="120" w:after="120"/>
        <w:contextualSpacing/>
        <w:jc w:val="both"/>
        <w:rPr>
          <w:rFonts w:eastAsia="Calibri"/>
          <w:sz w:val="24"/>
          <w:szCs w:val="24"/>
        </w:rPr>
      </w:pPr>
      <w:r w:rsidRPr="00332AB5">
        <w:rPr>
          <w:rFonts w:eastAsia="Calibri"/>
          <w:sz w:val="24"/>
          <w:szCs w:val="24"/>
        </w:rPr>
        <w:t>Program međuregionalne suradnje INTERACT 2021. – 2027.</w:t>
      </w:r>
    </w:p>
    <w:p w14:paraId="21195DC9" w14:textId="10B53016" w:rsidR="00A161B3" w:rsidRPr="00332AB5" w:rsidRDefault="00A161B3" w:rsidP="00A161B3">
      <w:pPr>
        <w:numPr>
          <w:ilvl w:val="0"/>
          <w:numId w:val="6"/>
        </w:numPr>
        <w:spacing w:before="120" w:after="120"/>
        <w:contextualSpacing/>
        <w:jc w:val="both"/>
        <w:rPr>
          <w:rFonts w:eastAsia="Calibri"/>
          <w:sz w:val="24"/>
          <w:szCs w:val="24"/>
        </w:rPr>
      </w:pPr>
      <w:r w:rsidRPr="00332AB5">
        <w:rPr>
          <w:rFonts w:eastAsia="Calibri"/>
          <w:sz w:val="24"/>
          <w:szCs w:val="24"/>
        </w:rPr>
        <w:t xml:space="preserve">Program međuregionalne suradnje URBACT </w:t>
      </w:r>
      <w:r w:rsidR="00EA2BEF" w:rsidRPr="00332AB5">
        <w:rPr>
          <w:rFonts w:eastAsia="Calibri"/>
          <w:sz w:val="24"/>
          <w:szCs w:val="24"/>
        </w:rPr>
        <w:t xml:space="preserve">IV </w:t>
      </w:r>
      <w:r w:rsidRPr="00332AB5">
        <w:rPr>
          <w:rFonts w:eastAsia="Calibri"/>
          <w:sz w:val="24"/>
          <w:szCs w:val="24"/>
        </w:rPr>
        <w:t>2021. – 2027.</w:t>
      </w:r>
    </w:p>
    <w:p w14:paraId="652FA323" w14:textId="77777777" w:rsidR="00A161B3" w:rsidRPr="00332AB5" w:rsidRDefault="00A161B3" w:rsidP="00A161B3">
      <w:pPr>
        <w:numPr>
          <w:ilvl w:val="0"/>
          <w:numId w:val="6"/>
        </w:numPr>
        <w:spacing w:before="120" w:after="120"/>
        <w:contextualSpacing/>
        <w:jc w:val="both"/>
        <w:rPr>
          <w:rFonts w:eastAsia="Calibri"/>
          <w:sz w:val="24"/>
          <w:szCs w:val="24"/>
        </w:rPr>
      </w:pPr>
      <w:r w:rsidRPr="00332AB5">
        <w:rPr>
          <w:rFonts w:eastAsia="Calibri"/>
          <w:sz w:val="24"/>
          <w:szCs w:val="24"/>
        </w:rPr>
        <w:t>Program međuregionalne suradnje ESPON 2030.</w:t>
      </w:r>
    </w:p>
    <w:p w14:paraId="6F925B9D" w14:textId="77777777" w:rsidR="00A161B3" w:rsidRPr="00332AB5" w:rsidRDefault="00A161B3" w:rsidP="00A161B3">
      <w:pPr>
        <w:spacing w:before="120" w:after="120"/>
        <w:contextualSpacing/>
        <w:jc w:val="both"/>
        <w:rPr>
          <w:rFonts w:eastAsia="Calibri"/>
          <w:sz w:val="24"/>
          <w:szCs w:val="24"/>
        </w:rPr>
      </w:pPr>
    </w:p>
    <w:p w14:paraId="5CD1976F" w14:textId="77777777" w:rsidR="00A161B3" w:rsidRPr="00332AB5" w:rsidRDefault="00A161B3" w:rsidP="00A161B3">
      <w:pPr>
        <w:keepNext/>
        <w:numPr>
          <w:ilvl w:val="2"/>
          <w:numId w:val="3"/>
        </w:numPr>
        <w:spacing w:before="240" w:after="240"/>
        <w:ind w:left="1276"/>
        <w:outlineLvl w:val="2"/>
        <w:rPr>
          <w:b/>
          <w:bCs/>
          <w:sz w:val="24"/>
          <w:szCs w:val="26"/>
        </w:rPr>
      </w:pPr>
      <w:bookmarkStart w:id="171" w:name="_Toc152595258"/>
      <w:r w:rsidRPr="00332AB5">
        <w:rPr>
          <w:b/>
          <w:bCs/>
          <w:sz w:val="24"/>
          <w:szCs w:val="26"/>
        </w:rPr>
        <w:t xml:space="preserve">Interreg IPA program prekogranične suradnje </w:t>
      </w:r>
      <w:r w:rsidRPr="00332AB5">
        <w:rPr>
          <w:rFonts w:eastAsia="Calibri"/>
          <w:b/>
          <w:bCs/>
          <w:sz w:val="24"/>
          <w:szCs w:val="24"/>
        </w:rPr>
        <w:t xml:space="preserve">Hrvatska – Bosna i </w:t>
      </w:r>
      <w:r w:rsidRPr="00332AB5">
        <w:rPr>
          <w:rFonts w:eastAsia="Calibri"/>
          <w:b/>
          <w:bCs/>
          <w:sz w:val="24"/>
          <w:szCs w:val="24"/>
        </w:rPr>
        <w:tab/>
        <w:t>Hercegovina – Crna Gora</w:t>
      </w:r>
      <w:r w:rsidRPr="00332AB5">
        <w:rPr>
          <w:b/>
          <w:bCs/>
          <w:sz w:val="24"/>
          <w:szCs w:val="26"/>
        </w:rPr>
        <w:t xml:space="preserve"> 2021. – 2027.</w:t>
      </w:r>
      <w:bookmarkEnd w:id="171"/>
    </w:p>
    <w:p w14:paraId="55C8A5B3" w14:textId="77777777" w:rsidR="004F270D" w:rsidRPr="00332AB5" w:rsidRDefault="004F270D" w:rsidP="004F270D">
      <w:pPr>
        <w:spacing w:before="120" w:after="120"/>
        <w:jc w:val="both"/>
        <w:rPr>
          <w:sz w:val="24"/>
          <w:szCs w:val="24"/>
        </w:rPr>
      </w:pPr>
      <w:r w:rsidRPr="00332AB5">
        <w:rPr>
          <w:sz w:val="24"/>
          <w:szCs w:val="24"/>
        </w:rPr>
        <w:t>Ukupan proračun Programa iznosi 138,5 milijuna eura (117,7 milijuna eura EU sredstva). Do 30. lipnja 2023. objavljen je jedan poziv na dostavu projektnih prijedloga. Do 30. lipnja 2023. nije sklopljen niti jedan ugovor o dodjeli bespovratnih sredstava. U istom razdoblju održan je jedan sastanak Odbora za praćenje.</w:t>
      </w:r>
    </w:p>
    <w:p w14:paraId="39C0B122" w14:textId="77777777" w:rsidR="00A161B3" w:rsidRPr="00332AB5" w:rsidRDefault="00A161B3" w:rsidP="00A161B3">
      <w:pPr>
        <w:keepNext/>
        <w:numPr>
          <w:ilvl w:val="2"/>
          <w:numId w:val="3"/>
        </w:numPr>
        <w:spacing w:before="240" w:after="240"/>
        <w:outlineLvl w:val="2"/>
        <w:rPr>
          <w:b/>
          <w:bCs/>
          <w:sz w:val="24"/>
          <w:szCs w:val="26"/>
        </w:rPr>
      </w:pPr>
      <w:bookmarkStart w:id="172" w:name="_Toc152595259"/>
      <w:r w:rsidRPr="00332AB5">
        <w:rPr>
          <w:b/>
          <w:bCs/>
          <w:sz w:val="24"/>
          <w:szCs w:val="26"/>
        </w:rPr>
        <w:t xml:space="preserve">Interreg IPA program prekogranične suradnje Hrvatska – Srbija 2021. – </w:t>
      </w:r>
      <w:r w:rsidRPr="00332AB5">
        <w:rPr>
          <w:b/>
          <w:bCs/>
          <w:sz w:val="24"/>
          <w:szCs w:val="26"/>
        </w:rPr>
        <w:tab/>
        <w:t>2027.</w:t>
      </w:r>
      <w:bookmarkEnd w:id="172"/>
    </w:p>
    <w:p w14:paraId="305829FD" w14:textId="79D4B38B" w:rsidR="00A161B3" w:rsidRPr="00332AB5" w:rsidRDefault="004F270D" w:rsidP="00A161B3">
      <w:pPr>
        <w:spacing w:before="120" w:after="120"/>
        <w:jc w:val="both"/>
        <w:rPr>
          <w:sz w:val="24"/>
          <w:szCs w:val="24"/>
        </w:rPr>
      </w:pPr>
      <w:r w:rsidRPr="00332AB5">
        <w:rPr>
          <w:sz w:val="24"/>
          <w:szCs w:val="24"/>
        </w:rPr>
        <w:t>Ukupan proračun Programa iznosi 45 milijuna eura (38,3 milijuna eura EU sredstva). Do 30. lipnja 2023. objavljen je jedan poziv na dostavu projektnih prijedloga. Do 30. lipnja 2023. nije sklopljen niti jedan ugovor o dodjeli bespovratnih sredstava. U istom razdoblju održan je jedan sastanak Odbora za praćenje</w:t>
      </w:r>
      <w:r w:rsidR="00A161B3" w:rsidRPr="00332AB5">
        <w:rPr>
          <w:sz w:val="24"/>
          <w:szCs w:val="24"/>
        </w:rPr>
        <w:t xml:space="preserve">. </w:t>
      </w:r>
    </w:p>
    <w:p w14:paraId="754B162C" w14:textId="77777777" w:rsidR="00A161B3" w:rsidRPr="00332AB5" w:rsidRDefault="00A161B3" w:rsidP="00A161B3">
      <w:pPr>
        <w:keepNext/>
        <w:numPr>
          <w:ilvl w:val="2"/>
          <w:numId w:val="3"/>
        </w:numPr>
        <w:spacing w:before="240" w:after="240"/>
        <w:outlineLvl w:val="2"/>
        <w:rPr>
          <w:b/>
          <w:bCs/>
          <w:sz w:val="24"/>
          <w:szCs w:val="26"/>
        </w:rPr>
      </w:pPr>
      <w:bookmarkStart w:id="173" w:name="_Toc152595260"/>
      <w:r w:rsidRPr="00332AB5">
        <w:rPr>
          <w:b/>
          <w:bCs/>
          <w:sz w:val="24"/>
          <w:szCs w:val="26"/>
        </w:rPr>
        <w:t xml:space="preserve">Program prekogranične suradnje Interreg VI-A Italija – Hrvatska 2021. – </w:t>
      </w:r>
      <w:r w:rsidRPr="00332AB5">
        <w:rPr>
          <w:b/>
          <w:bCs/>
          <w:sz w:val="24"/>
          <w:szCs w:val="26"/>
        </w:rPr>
        <w:tab/>
        <w:t>2027.</w:t>
      </w:r>
      <w:bookmarkEnd w:id="173"/>
    </w:p>
    <w:p w14:paraId="6A9862C9" w14:textId="77777777" w:rsidR="004F270D" w:rsidRPr="00332AB5" w:rsidRDefault="004F270D" w:rsidP="004F270D">
      <w:pPr>
        <w:spacing w:before="120" w:after="120"/>
        <w:jc w:val="both"/>
        <w:rPr>
          <w:sz w:val="24"/>
          <w:szCs w:val="24"/>
        </w:rPr>
      </w:pPr>
      <w:r w:rsidRPr="00332AB5">
        <w:rPr>
          <w:sz w:val="24"/>
          <w:szCs w:val="24"/>
        </w:rPr>
        <w:t>Ukupan proračun Programa iznosi 222,72 milijuna eura (178,17 milijun eura EU sredstava). Do 30. lipnja 2023. objavljen je jedan poziv na dostavu projektnih prijedloga ukupne vrijednosti 80 milijuna eura (EU sredstva). U izvještajnom razdoblju nije objavljen niti jedan poziv na dostavu projektnih prijedloga.</w:t>
      </w:r>
    </w:p>
    <w:p w14:paraId="7312AE81" w14:textId="77777777" w:rsidR="004F270D" w:rsidRPr="00332AB5" w:rsidRDefault="004F270D" w:rsidP="004F270D">
      <w:pPr>
        <w:spacing w:before="120" w:after="120"/>
        <w:jc w:val="both"/>
        <w:rPr>
          <w:sz w:val="24"/>
          <w:szCs w:val="24"/>
        </w:rPr>
      </w:pPr>
      <w:r w:rsidRPr="00332AB5">
        <w:rPr>
          <w:sz w:val="24"/>
          <w:szCs w:val="24"/>
        </w:rPr>
        <w:t>Do 30. lipnja 2023. nije sklopljen niti jedan ugovor o dodjeli bespovratnih sredstava.</w:t>
      </w:r>
    </w:p>
    <w:p w14:paraId="58EF55AC" w14:textId="2902CCC8" w:rsidR="00A161B3" w:rsidRPr="00332AB5" w:rsidRDefault="004F270D" w:rsidP="003979EB">
      <w:pPr>
        <w:spacing w:before="120" w:after="120"/>
        <w:jc w:val="both"/>
        <w:rPr>
          <w:sz w:val="24"/>
          <w:szCs w:val="24"/>
        </w:rPr>
      </w:pPr>
      <w:r w:rsidRPr="00332AB5">
        <w:rPr>
          <w:sz w:val="24"/>
          <w:szCs w:val="24"/>
        </w:rPr>
        <w:t>Do 30. lipnja 2023. održana su četiri sastanka Odbora za praćenje Programa. U izvještajnom razdoblju održana su dva sastanka Odbora za praćenje.</w:t>
      </w:r>
    </w:p>
    <w:p w14:paraId="684D9851" w14:textId="50C96332" w:rsidR="00A161B3" w:rsidRPr="00332AB5" w:rsidRDefault="00A161B3" w:rsidP="003979EB">
      <w:pPr>
        <w:keepNext/>
        <w:numPr>
          <w:ilvl w:val="2"/>
          <w:numId w:val="3"/>
        </w:numPr>
        <w:spacing w:before="240" w:after="240"/>
        <w:ind w:left="1225" w:hanging="505"/>
        <w:outlineLvl w:val="2"/>
        <w:rPr>
          <w:b/>
          <w:bCs/>
          <w:sz w:val="24"/>
          <w:szCs w:val="26"/>
        </w:rPr>
      </w:pPr>
      <w:bookmarkStart w:id="174" w:name="_Toc152595261"/>
      <w:r w:rsidRPr="00332AB5">
        <w:rPr>
          <w:b/>
          <w:bCs/>
          <w:sz w:val="24"/>
          <w:szCs w:val="26"/>
        </w:rPr>
        <w:t>Program prekogranične suradnje Interreg VI-A Slovenija – Hrvatska 2021. – 2027.</w:t>
      </w:r>
      <w:bookmarkEnd w:id="174"/>
    </w:p>
    <w:p w14:paraId="10E8A5DF" w14:textId="77777777" w:rsidR="004F270D" w:rsidRPr="00332AB5" w:rsidRDefault="004F270D" w:rsidP="004F270D">
      <w:pPr>
        <w:spacing w:before="120" w:after="120"/>
        <w:jc w:val="both"/>
        <w:rPr>
          <w:sz w:val="24"/>
        </w:rPr>
      </w:pPr>
      <w:r w:rsidRPr="00332AB5">
        <w:rPr>
          <w:sz w:val="24"/>
        </w:rPr>
        <w:t>Ukupan proračun Programa iznosi 52,31 milijuna eura (41,84 milijuna eura EU sredstava). Do 30. lipnja 2023. objavljena su dva poziva na dostavu projektnih prijedloga.</w:t>
      </w:r>
    </w:p>
    <w:p w14:paraId="4830231E" w14:textId="77777777" w:rsidR="004F270D" w:rsidRPr="00332AB5" w:rsidRDefault="004F270D" w:rsidP="004F270D">
      <w:pPr>
        <w:spacing w:before="120" w:after="120"/>
        <w:jc w:val="both"/>
        <w:rPr>
          <w:sz w:val="24"/>
        </w:rPr>
      </w:pPr>
      <w:r w:rsidRPr="00332AB5">
        <w:rPr>
          <w:sz w:val="24"/>
        </w:rPr>
        <w:t>Do 30. lipnja 2023. nije sklopljen niti jedan ugovor o dodjeli bespovratnih sredstava.</w:t>
      </w:r>
    </w:p>
    <w:p w14:paraId="244721EE" w14:textId="79C01E32" w:rsidR="00A161B3" w:rsidRPr="00332AB5" w:rsidRDefault="004F270D" w:rsidP="004F270D">
      <w:pPr>
        <w:spacing w:before="120" w:after="120"/>
        <w:jc w:val="both"/>
        <w:rPr>
          <w:sz w:val="24"/>
        </w:rPr>
      </w:pPr>
      <w:r w:rsidRPr="00332AB5">
        <w:rPr>
          <w:sz w:val="24"/>
        </w:rPr>
        <w:t>Do 30. lipnja 2023. održana su dva sastanka Odbora za praćenje Programa. U izvještajnom razdoblju održan je jedan sastanak Odbora za praćenje Programa</w:t>
      </w:r>
      <w:r w:rsidR="00A161B3" w:rsidRPr="00332AB5">
        <w:rPr>
          <w:sz w:val="24"/>
        </w:rPr>
        <w:t>.</w:t>
      </w:r>
    </w:p>
    <w:p w14:paraId="0F9A3D10" w14:textId="70B67F86" w:rsidR="00A161B3" w:rsidRPr="00332AB5" w:rsidRDefault="00A161B3" w:rsidP="003979EB">
      <w:pPr>
        <w:keepNext/>
        <w:numPr>
          <w:ilvl w:val="2"/>
          <w:numId w:val="3"/>
        </w:numPr>
        <w:spacing w:before="240" w:after="240"/>
        <w:ind w:left="1225" w:hanging="505"/>
        <w:outlineLvl w:val="2"/>
        <w:rPr>
          <w:b/>
          <w:bCs/>
          <w:sz w:val="24"/>
          <w:szCs w:val="26"/>
        </w:rPr>
      </w:pPr>
      <w:bookmarkStart w:id="175" w:name="_Toc152595262"/>
      <w:r w:rsidRPr="00332AB5">
        <w:rPr>
          <w:b/>
          <w:bCs/>
          <w:sz w:val="24"/>
          <w:szCs w:val="26"/>
        </w:rPr>
        <w:t xml:space="preserve">Program prekogranične suradnje Interreg VI-A Mađarska – Hrvatska </w:t>
      </w:r>
      <w:r w:rsidRPr="00332AB5">
        <w:rPr>
          <w:b/>
          <w:bCs/>
          <w:sz w:val="24"/>
          <w:szCs w:val="26"/>
        </w:rPr>
        <w:tab/>
        <w:t>2021. – 2027.</w:t>
      </w:r>
      <w:bookmarkEnd w:id="175"/>
    </w:p>
    <w:p w14:paraId="2B255433" w14:textId="77777777" w:rsidR="00A161B3" w:rsidRPr="00332AB5" w:rsidRDefault="00A161B3" w:rsidP="00A161B3">
      <w:pPr>
        <w:spacing w:before="120" w:after="120"/>
        <w:jc w:val="both"/>
        <w:rPr>
          <w:sz w:val="24"/>
          <w:szCs w:val="24"/>
        </w:rPr>
      </w:pPr>
      <w:r w:rsidRPr="00332AB5">
        <w:rPr>
          <w:sz w:val="24"/>
          <w:szCs w:val="24"/>
        </w:rPr>
        <w:t>Proces programiranja programa prekogranične suradnje je u tijeku.</w:t>
      </w:r>
    </w:p>
    <w:p w14:paraId="521BE3A5" w14:textId="3671B4DA" w:rsidR="00A161B3" w:rsidRPr="00332AB5" w:rsidRDefault="00A161B3" w:rsidP="00A161B3">
      <w:pPr>
        <w:spacing w:before="120" w:after="120"/>
        <w:jc w:val="both"/>
        <w:rPr>
          <w:sz w:val="24"/>
          <w:szCs w:val="24"/>
        </w:rPr>
      </w:pPr>
      <w:r w:rsidRPr="00332AB5">
        <w:rPr>
          <w:sz w:val="24"/>
          <w:szCs w:val="24"/>
        </w:rPr>
        <w:t xml:space="preserve">Do </w:t>
      </w:r>
      <w:r w:rsidR="0011067E" w:rsidRPr="00332AB5">
        <w:rPr>
          <w:sz w:val="24"/>
          <w:szCs w:val="24"/>
        </w:rPr>
        <w:t>30. lipnja 2023.</w:t>
      </w:r>
      <w:r w:rsidRPr="00332AB5">
        <w:rPr>
          <w:sz w:val="24"/>
          <w:szCs w:val="24"/>
        </w:rPr>
        <w:t xml:space="preserve"> održana su tri sastanaka Odbora za programiranje. U izvještajnom razdoblju nije održan niti jedan sastanak Odbora za programiranje.</w:t>
      </w:r>
    </w:p>
    <w:p w14:paraId="12F916D9" w14:textId="31747D93" w:rsidR="00A161B3" w:rsidRPr="00332AB5" w:rsidRDefault="00A161B3" w:rsidP="003979EB">
      <w:pPr>
        <w:keepNext/>
        <w:numPr>
          <w:ilvl w:val="2"/>
          <w:numId w:val="3"/>
        </w:numPr>
        <w:spacing w:before="240" w:after="240"/>
        <w:ind w:left="1225" w:hanging="505"/>
        <w:outlineLvl w:val="2"/>
        <w:rPr>
          <w:b/>
          <w:bCs/>
          <w:sz w:val="24"/>
          <w:szCs w:val="26"/>
        </w:rPr>
      </w:pPr>
      <w:bookmarkStart w:id="176" w:name="_Toc152595263"/>
      <w:r w:rsidRPr="00332AB5">
        <w:rPr>
          <w:b/>
          <w:bCs/>
          <w:sz w:val="24"/>
          <w:szCs w:val="26"/>
        </w:rPr>
        <w:t xml:space="preserve">Program transnacionalne </w:t>
      </w:r>
      <w:r w:rsidR="009773C2" w:rsidRPr="00332AB5">
        <w:rPr>
          <w:b/>
          <w:bCs/>
          <w:sz w:val="24"/>
          <w:szCs w:val="26"/>
        </w:rPr>
        <w:t>suradnje Dunavske</w:t>
      </w:r>
      <w:r w:rsidRPr="00332AB5">
        <w:rPr>
          <w:b/>
          <w:bCs/>
          <w:sz w:val="24"/>
          <w:szCs w:val="26"/>
        </w:rPr>
        <w:t xml:space="preserve"> regij</w:t>
      </w:r>
      <w:r w:rsidR="00CC0C98" w:rsidRPr="00332AB5">
        <w:rPr>
          <w:b/>
          <w:bCs/>
          <w:sz w:val="24"/>
          <w:szCs w:val="26"/>
        </w:rPr>
        <w:t>e</w:t>
      </w:r>
      <w:r w:rsidRPr="00332AB5">
        <w:rPr>
          <w:b/>
          <w:bCs/>
          <w:sz w:val="24"/>
          <w:szCs w:val="26"/>
        </w:rPr>
        <w:t xml:space="preserve"> 2021. – 2027.</w:t>
      </w:r>
      <w:bookmarkEnd w:id="176"/>
    </w:p>
    <w:p w14:paraId="38550F13" w14:textId="77777777" w:rsidR="00A85798" w:rsidRPr="00332AB5" w:rsidRDefault="00A85798" w:rsidP="00A85798">
      <w:pPr>
        <w:spacing w:before="120" w:after="120"/>
        <w:jc w:val="both"/>
        <w:rPr>
          <w:sz w:val="24"/>
          <w:szCs w:val="24"/>
        </w:rPr>
      </w:pPr>
      <w:r w:rsidRPr="00332AB5">
        <w:rPr>
          <w:sz w:val="24"/>
          <w:szCs w:val="24"/>
        </w:rPr>
        <w:t>Ukupan proračun Programa iznosi 255,6 milijuna eura. Do 30. lipnja 2023. objavljena su dva poziva na dostavu projektnih prijedloga ukupne vrijednosti 107,9 milijuna eura (sredstva EU). U izvještajnom razdoblju nije objavljen niti jedan poziv na dostavu projektnih prijedloga.</w:t>
      </w:r>
    </w:p>
    <w:p w14:paraId="323015B5" w14:textId="526A15D7" w:rsidR="00A85798" w:rsidRPr="00332AB5" w:rsidRDefault="00A85798" w:rsidP="00A85798">
      <w:pPr>
        <w:spacing w:before="120" w:after="120"/>
        <w:jc w:val="both"/>
        <w:rPr>
          <w:sz w:val="24"/>
          <w:szCs w:val="24"/>
        </w:rPr>
      </w:pPr>
      <w:r w:rsidRPr="00332AB5">
        <w:rPr>
          <w:sz w:val="24"/>
          <w:szCs w:val="24"/>
        </w:rPr>
        <w:t xml:space="preserve">Do 30. lipnja 2023. sklopljena su </w:t>
      </w:r>
      <w:r w:rsidR="00020F30" w:rsidRPr="00332AB5">
        <w:rPr>
          <w:sz w:val="24"/>
          <w:szCs w:val="24"/>
        </w:rPr>
        <w:t>dva</w:t>
      </w:r>
      <w:r w:rsidRPr="00332AB5">
        <w:rPr>
          <w:sz w:val="24"/>
          <w:szCs w:val="24"/>
        </w:rPr>
        <w:t xml:space="preserve"> ugovora o dodjeli bespovratnih sredstava u koja su uključena </w:t>
      </w:r>
      <w:r w:rsidR="00020F30" w:rsidRPr="00332AB5">
        <w:rPr>
          <w:sz w:val="24"/>
          <w:szCs w:val="24"/>
        </w:rPr>
        <w:t>dva</w:t>
      </w:r>
      <w:r w:rsidRPr="00332AB5">
        <w:rPr>
          <w:sz w:val="24"/>
          <w:szCs w:val="24"/>
        </w:rPr>
        <w:t xml:space="preserve"> hrvatska projektna partnera za koje je ugovorena ukupna vrijednost od 0,53 milijuna eura (sredstva EU). U izvještajnom razdoblju sklopljena su dva ugovora o dodjeli bespovratnih sredstava.</w:t>
      </w:r>
    </w:p>
    <w:p w14:paraId="1B4D224E" w14:textId="194D01A8" w:rsidR="00A161B3" w:rsidRPr="00332AB5" w:rsidRDefault="00A85798" w:rsidP="00A161B3">
      <w:pPr>
        <w:spacing w:before="120" w:after="120"/>
        <w:jc w:val="both"/>
        <w:rPr>
          <w:sz w:val="24"/>
          <w:szCs w:val="24"/>
        </w:rPr>
      </w:pPr>
      <w:r w:rsidRPr="00332AB5">
        <w:rPr>
          <w:sz w:val="24"/>
          <w:szCs w:val="24"/>
        </w:rPr>
        <w:t>Do 30. lipnja 2023. održana su tri sastanka Odbora za praćenje Programa. U izvještajnom razdoblju održana su dva sastanka Odbora za praćenje Programa.</w:t>
      </w:r>
    </w:p>
    <w:p w14:paraId="7929C620" w14:textId="7A8B9BCC" w:rsidR="00A161B3" w:rsidRPr="00332AB5" w:rsidRDefault="00A161B3" w:rsidP="00A161B3">
      <w:pPr>
        <w:keepNext/>
        <w:numPr>
          <w:ilvl w:val="2"/>
          <w:numId w:val="3"/>
        </w:numPr>
        <w:spacing w:before="240" w:after="240"/>
        <w:outlineLvl w:val="2"/>
        <w:rPr>
          <w:b/>
          <w:bCs/>
          <w:sz w:val="24"/>
          <w:szCs w:val="26"/>
        </w:rPr>
      </w:pPr>
      <w:bookmarkStart w:id="177" w:name="_Toc152595264"/>
      <w:r w:rsidRPr="00332AB5">
        <w:rPr>
          <w:b/>
          <w:bCs/>
          <w:sz w:val="24"/>
          <w:szCs w:val="26"/>
        </w:rPr>
        <w:t xml:space="preserve">Interreg Jadransko-jonski program transnacionalne suradnje 2021. – </w:t>
      </w:r>
      <w:r w:rsidRPr="00332AB5">
        <w:rPr>
          <w:b/>
          <w:bCs/>
          <w:sz w:val="24"/>
          <w:szCs w:val="26"/>
        </w:rPr>
        <w:tab/>
        <w:t>2027.</w:t>
      </w:r>
      <w:bookmarkEnd w:id="177"/>
    </w:p>
    <w:p w14:paraId="41094196" w14:textId="77777777" w:rsidR="00A85798" w:rsidRPr="00332AB5" w:rsidRDefault="00A85798" w:rsidP="00A85798">
      <w:pPr>
        <w:spacing w:before="120" w:after="120"/>
        <w:jc w:val="both"/>
        <w:rPr>
          <w:sz w:val="24"/>
          <w:szCs w:val="24"/>
        </w:rPr>
      </w:pPr>
      <w:r w:rsidRPr="00332AB5">
        <w:rPr>
          <w:sz w:val="24"/>
          <w:szCs w:val="24"/>
        </w:rPr>
        <w:t>Ukupan proračun Programa iznosi 136,7 milijuna eura. Do 30. lipnja 2023. objavljen je jedan poziv na dostavu projektnih prijedloga.</w:t>
      </w:r>
      <w:r w:rsidRPr="00332AB5">
        <w:t xml:space="preserve"> </w:t>
      </w:r>
      <w:r w:rsidRPr="00332AB5">
        <w:rPr>
          <w:sz w:val="24"/>
          <w:szCs w:val="24"/>
        </w:rPr>
        <w:t>U izvještajnom razdoblju objavljen je jedan poziv na dostavu projektnih prijedloga ukupne vrijednosti 65,7 milijuna eura (sredstva EU).</w:t>
      </w:r>
    </w:p>
    <w:p w14:paraId="1B25DD8D" w14:textId="77777777" w:rsidR="00A85798" w:rsidRPr="00332AB5" w:rsidRDefault="00A85798" w:rsidP="00A85798">
      <w:pPr>
        <w:spacing w:before="120" w:after="120"/>
        <w:jc w:val="both"/>
        <w:rPr>
          <w:sz w:val="24"/>
          <w:szCs w:val="24"/>
        </w:rPr>
      </w:pPr>
      <w:r w:rsidRPr="00332AB5">
        <w:rPr>
          <w:sz w:val="24"/>
          <w:szCs w:val="24"/>
        </w:rPr>
        <w:t>U izvještajnom razdoblju nije sklopljen niti jedan ugovor o dodjeli bespovratnih sredstava.</w:t>
      </w:r>
    </w:p>
    <w:p w14:paraId="16B13DB2" w14:textId="77777777" w:rsidR="00A85798" w:rsidRPr="00332AB5" w:rsidRDefault="00A85798" w:rsidP="00A85798">
      <w:pPr>
        <w:spacing w:before="120" w:after="120"/>
        <w:jc w:val="both"/>
        <w:rPr>
          <w:rStyle w:val="normaltextrun1"/>
          <w:i/>
          <w:iCs/>
          <w:sz w:val="24"/>
          <w:szCs w:val="24"/>
        </w:rPr>
      </w:pPr>
      <w:r w:rsidRPr="00332AB5">
        <w:rPr>
          <w:sz w:val="24"/>
          <w:szCs w:val="24"/>
        </w:rPr>
        <w:t xml:space="preserve">Kroz Interreg specifični cilj </w:t>
      </w:r>
      <w:r w:rsidRPr="00332AB5">
        <w:rPr>
          <w:i/>
          <w:iCs/>
          <w:sz w:val="24"/>
          <w:szCs w:val="24"/>
        </w:rPr>
        <w:t xml:space="preserve">Bolje upravljanje suradnjom </w:t>
      </w:r>
      <w:r w:rsidRPr="00332AB5">
        <w:rPr>
          <w:sz w:val="24"/>
          <w:szCs w:val="24"/>
        </w:rPr>
        <w:t xml:space="preserve">financirat će se potpora upravljanju Strategijom EU za jadransku i jonsku regiju (EUSAIR). Aktivnosti će se provoditi kroz tri projekta, tzv. operacije od strateške važnosti: </w:t>
      </w:r>
      <w:r w:rsidRPr="00332AB5">
        <w:rPr>
          <w:i/>
          <w:iCs/>
          <w:sz w:val="24"/>
          <w:szCs w:val="24"/>
        </w:rPr>
        <w:t>EUSAIR Facility Point, EUSAIR Stakeholder Engagement Point</w:t>
      </w:r>
      <w:r w:rsidRPr="00332AB5">
        <w:rPr>
          <w:sz w:val="24"/>
          <w:szCs w:val="24"/>
        </w:rPr>
        <w:t xml:space="preserve"> te </w:t>
      </w:r>
      <w:r w:rsidRPr="00332AB5">
        <w:rPr>
          <w:i/>
          <w:iCs/>
          <w:sz w:val="24"/>
          <w:szCs w:val="24"/>
        </w:rPr>
        <w:t>EUSAIR Strategic Implementation</w:t>
      </w:r>
      <w:r w:rsidRPr="00332AB5">
        <w:rPr>
          <w:sz w:val="24"/>
          <w:szCs w:val="24"/>
        </w:rPr>
        <w:t xml:space="preserve"> </w:t>
      </w:r>
      <w:r w:rsidRPr="00332AB5">
        <w:rPr>
          <w:i/>
          <w:iCs/>
          <w:sz w:val="24"/>
          <w:szCs w:val="24"/>
        </w:rPr>
        <w:t>Project</w:t>
      </w:r>
      <w:r w:rsidRPr="00332AB5">
        <w:rPr>
          <w:sz w:val="24"/>
          <w:szCs w:val="24"/>
        </w:rPr>
        <w:t xml:space="preserve">. MRRFEU će ispred </w:t>
      </w:r>
      <w:r w:rsidRPr="00332AB5">
        <w:rPr>
          <w:rStyle w:val="normaltextrun1"/>
          <w:sz w:val="24"/>
          <w:szCs w:val="24"/>
        </w:rPr>
        <w:t xml:space="preserve">Republike Hrvatske preuzeti ulogu vodećeg partnera u sklopu projekta </w:t>
      </w:r>
      <w:r w:rsidRPr="00332AB5">
        <w:rPr>
          <w:rStyle w:val="normaltextrun1"/>
          <w:i/>
          <w:iCs/>
          <w:sz w:val="24"/>
          <w:szCs w:val="24"/>
        </w:rPr>
        <w:t>„EUSAIR Strategic implementation“.</w:t>
      </w:r>
    </w:p>
    <w:p w14:paraId="46CAC15C" w14:textId="62DE87E4" w:rsidR="00A161B3" w:rsidRPr="00332AB5" w:rsidRDefault="00A85798" w:rsidP="00A161B3">
      <w:pPr>
        <w:spacing w:before="120" w:after="120"/>
        <w:jc w:val="both"/>
        <w:rPr>
          <w:sz w:val="24"/>
          <w:szCs w:val="24"/>
        </w:rPr>
      </w:pPr>
      <w:r w:rsidRPr="00332AB5">
        <w:rPr>
          <w:sz w:val="24"/>
          <w:szCs w:val="24"/>
        </w:rPr>
        <w:t>Do 30. lipnja 2023. održana su četiri sastanka Odbora za praćenje Programa.</w:t>
      </w:r>
      <w:r w:rsidRPr="00332AB5">
        <w:t xml:space="preserve"> </w:t>
      </w:r>
      <w:r w:rsidRPr="00332AB5">
        <w:rPr>
          <w:sz w:val="24"/>
          <w:szCs w:val="24"/>
        </w:rPr>
        <w:t>U izvještajnom razdoblju održana su četiri sastanka Odbora za praćenje.</w:t>
      </w:r>
      <w:r w:rsidRPr="00332AB5">
        <w:t xml:space="preserve"> </w:t>
      </w:r>
    </w:p>
    <w:p w14:paraId="6B68C175" w14:textId="77777777" w:rsidR="00A161B3" w:rsidRPr="00332AB5" w:rsidRDefault="00A161B3" w:rsidP="00A161B3">
      <w:pPr>
        <w:keepNext/>
        <w:numPr>
          <w:ilvl w:val="2"/>
          <w:numId w:val="3"/>
        </w:numPr>
        <w:spacing w:before="240" w:after="240"/>
        <w:outlineLvl w:val="2"/>
        <w:rPr>
          <w:b/>
          <w:bCs/>
          <w:sz w:val="24"/>
          <w:szCs w:val="26"/>
        </w:rPr>
      </w:pPr>
      <w:bookmarkStart w:id="178" w:name="_Toc152595265"/>
      <w:r w:rsidRPr="00332AB5">
        <w:rPr>
          <w:b/>
          <w:bCs/>
          <w:sz w:val="24"/>
          <w:szCs w:val="26"/>
        </w:rPr>
        <w:t>Program transnacionalne suradnje Interreg VI-B Mediteran 2021. – 2027.</w:t>
      </w:r>
      <w:bookmarkEnd w:id="178"/>
    </w:p>
    <w:p w14:paraId="282549FB" w14:textId="77777777" w:rsidR="004C0D61" w:rsidRPr="00332AB5" w:rsidRDefault="004C0D61" w:rsidP="004C0D61">
      <w:pPr>
        <w:spacing w:before="120" w:after="120"/>
        <w:jc w:val="both"/>
        <w:rPr>
          <w:sz w:val="24"/>
          <w:szCs w:val="24"/>
        </w:rPr>
      </w:pPr>
      <w:r w:rsidRPr="00332AB5">
        <w:rPr>
          <w:sz w:val="24"/>
          <w:szCs w:val="24"/>
        </w:rPr>
        <w:t>Ukupan proračun Programa iznosi 234,9 milijuna eura. Do 30. lipnja 2023. objavljena su tri poziva na dostavu projektnih prijedloga ukupne vrijednosti 122 milijuna eura (sredstva EU). U izvještajnom razdoblju nije objavljen niti jedan poziv na dostavu projektnih prijedloga.</w:t>
      </w:r>
    </w:p>
    <w:p w14:paraId="3993FA26" w14:textId="007A997F" w:rsidR="004C0D61" w:rsidRPr="00332AB5" w:rsidRDefault="004C0D61" w:rsidP="004C0D61">
      <w:pPr>
        <w:spacing w:before="120" w:after="120"/>
        <w:jc w:val="both"/>
        <w:rPr>
          <w:sz w:val="24"/>
          <w:szCs w:val="24"/>
        </w:rPr>
      </w:pPr>
      <w:r w:rsidRPr="00332AB5">
        <w:rPr>
          <w:sz w:val="24"/>
          <w:szCs w:val="24"/>
        </w:rPr>
        <w:t>Do 30. lipnja 2023. sklopljena su tri ugovora o dodjeli bespovratnih sredstava u</w:t>
      </w:r>
      <w:r w:rsidRPr="00332AB5">
        <w:t xml:space="preserve"> </w:t>
      </w:r>
      <w:r w:rsidRPr="00332AB5">
        <w:rPr>
          <w:sz w:val="24"/>
          <w:szCs w:val="24"/>
        </w:rPr>
        <w:t xml:space="preserve">kojima sudjeluju </w:t>
      </w:r>
      <w:r w:rsidR="00020F30" w:rsidRPr="00332AB5">
        <w:rPr>
          <w:sz w:val="24"/>
          <w:szCs w:val="24"/>
        </w:rPr>
        <w:t>četiri</w:t>
      </w:r>
      <w:r w:rsidRPr="00332AB5">
        <w:rPr>
          <w:sz w:val="24"/>
          <w:szCs w:val="24"/>
        </w:rPr>
        <w:t xml:space="preserve"> hrvatska projektna partnera za koje je ugovorena ukupna vrijednost od 1,13 milijuna eura (EU sredstva). U izvještajnom razdoblju sklopljena su </w:t>
      </w:r>
      <w:r w:rsidR="00020F30" w:rsidRPr="00332AB5">
        <w:rPr>
          <w:sz w:val="24"/>
          <w:szCs w:val="24"/>
        </w:rPr>
        <w:t>tri</w:t>
      </w:r>
      <w:r w:rsidRPr="00332AB5">
        <w:rPr>
          <w:sz w:val="24"/>
          <w:szCs w:val="24"/>
        </w:rPr>
        <w:t xml:space="preserve"> ugovora o dodjeli bespovratnih sredstava.</w:t>
      </w:r>
    </w:p>
    <w:p w14:paraId="7CF06715" w14:textId="77777777" w:rsidR="004C0D61" w:rsidRPr="00332AB5" w:rsidRDefault="004C0D61" w:rsidP="004C0D61">
      <w:pPr>
        <w:spacing w:before="120" w:after="120"/>
        <w:jc w:val="both"/>
        <w:rPr>
          <w:sz w:val="24"/>
          <w:szCs w:val="24"/>
        </w:rPr>
      </w:pPr>
      <w:r w:rsidRPr="00332AB5">
        <w:rPr>
          <w:sz w:val="24"/>
          <w:szCs w:val="24"/>
        </w:rPr>
        <w:t>Do 30. lipnja 2023. održano je šest sastanaka Odbora za praćenje Programa. U izvještajnom razdoblju održana su dva sastanka Odbora za praćenje Programa.</w:t>
      </w:r>
    </w:p>
    <w:p w14:paraId="2EAE8415" w14:textId="77777777" w:rsidR="00A161B3" w:rsidRPr="00332AB5" w:rsidRDefault="00A161B3" w:rsidP="00A161B3">
      <w:pPr>
        <w:keepNext/>
        <w:numPr>
          <w:ilvl w:val="2"/>
          <w:numId w:val="3"/>
        </w:numPr>
        <w:spacing w:before="240" w:after="240"/>
        <w:outlineLvl w:val="2"/>
        <w:rPr>
          <w:b/>
          <w:bCs/>
          <w:sz w:val="24"/>
          <w:szCs w:val="26"/>
        </w:rPr>
      </w:pPr>
      <w:bookmarkStart w:id="179" w:name="_Toc152595266"/>
      <w:r w:rsidRPr="00332AB5">
        <w:rPr>
          <w:b/>
          <w:bCs/>
          <w:sz w:val="24"/>
          <w:szCs w:val="26"/>
        </w:rPr>
        <w:t xml:space="preserve">Program transnacionalne suradnje Interreg VI-B Središnja Europa 2021. – </w:t>
      </w:r>
      <w:r w:rsidRPr="00332AB5">
        <w:rPr>
          <w:b/>
          <w:bCs/>
          <w:sz w:val="24"/>
          <w:szCs w:val="26"/>
        </w:rPr>
        <w:tab/>
        <w:t>2027.</w:t>
      </w:r>
      <w:bookmarkEnd w:id="179"/>
    </w:p>
    <w:p w14:paraId="6D532818" w14:textId="77777777" w:rsidR="004C0D61" w:rsidRPr="00332AB5" w:rsidRDefault="004C0D61" w:rsidP="004C0D61">
      <w:pPr>
        <w:spacing w:before="120" w:after="120"/>
        <w:jc w:val="both"/>
        <w:rPr>
          <w:sz w:val="24"/>
          <w:szCs w:val="24"/>
        </w:rPr>
      </w:pPr>
      <w:r w:rsidRPr="00332AB5">
        <w:rPr>
          <w:sz w:val="24"/>
          <w:szCs w:val="24"/>
        </w:rPr>
        <w:t>Ukupan proračun Programa iznosi 268,8 milijuna eura. Do 30. lipnja 2023. objavljena su dva poziva na dostavu projektnih prijedloga ukupne vrijednosti 132 milijuna eura (sredstva EU). U izvještajnom razdoblju objavljen je jedan poziv na dostavu projektnih prijedloga.</w:t>
      </w:r>
    </w:p>
    <w:p w14:paraId="2A3614A2" w14:textId="77777777" w:rsidR="004C0D61" w:rsidRPr="00332AB5" w:rsidRDefault="004C0D61" w:rsidP="004C0D61">
      <w:pPr>
        <w:spacing w:before="120" w:after="120"/>
        <w:jc w:val="both"/>
        <w:rPr>
          <w:sz w:val="24"/>
          <w:szCs w:val="24"/>
        </w:rPr>
      </w:pPr>
      <w:bookmarkStart w:id="180" w:name="_Hlk146267540"/>
      <w:r w:rsidRPr="00332AB5">
        <w:rPr>
          <w:sz w:val="24"/>
          <w:szCs w:val="24"/>
        </w:rPr>
        <w:t>Do 30. lipnja 2023. sklopljena su 32 ugovora o dodjeli bespovratnih sredstava u kojima sudjeluju 52 hrvatska projektna partnera za koje je ugovorena ukupna vrijednost od 8,1 milijuna eura (sredstva EU).</w:t>
      </w:r>
      <w:r w:rsidRPr="00332AB5">
        <w:t xml:space="preserve"> </w:t>
      </w:r>
      <w:r w:rsidRPr="00332AB5">
        <w:rPr>
          <w:sz w:val="24"/>
          <w:szCs w:val="24"/>
        </w:rPr>
        <w:t>U izvještajnom razdoblju sklopljena su 32 ugovora o dodjeli bespovratnih sredstava.</w:t>
      </w:r>
    </w:p>
    <w:bookmarkEnd w:id="180"/>
    <w:p w14:paraId="1B23F490" w14:textId="77C264B0" w:rsidR="00A161B3" w:rsidRPr="00332AB5" w:rsidRDefault="004C0D61" w:rsidP="004C0D61">
      <w:pPr>
        <w:spacing w:before="120" w:after="120"/>
        <w:jc w:val="both"/>
        <w:rPr>
          <w:sz w:val="24"/>
          <w:szCs w:val="24"/>
        </w:rPr>
      </w:pPr>
      <w:r w:rsidRPr="00332AB5">
        <w:rPr>
          <w:sz w:val="24"/>
          <w:szCs w:val="24"/>
        </w:rPr>
        <w:t>Do 30. lipnja 2023. održano je šest sastanaka Odbora za praćenje Programa. U izvještajnom razdoblju su održana tri sastanaka Odbora za praćenje Programa</w:t>
      </w:r>
      <w:r w:rsidR="00A161B3" w:rsidRPr="00332AB5">
        <w:rPr>
          <w:sz w:val="24"/>
          <w:szCs w:val="24"/>
        </w:rPr>
        <w:t>.</w:t>
      </w:r>
    </w:p>
    <w:p w14:paraId="4D69F381" w14:textId="77777777" w:rsidR="00A161B3" w:rsidRPr="00332AB5" w:rsidRDefault="00A161B3" w:rsidP="00A161B3">
      <w:pPr>
        <w:keepNext/>
        <w:numPr>
          <w:ilvl w:val="2"/>
          <w:numId w:val="3"/>
        </w:numPr>
        <w:spacing w:before="240" w:after="240"/>
        <w:outlineLvl w:val="2"/>
        <w:rPr>
          <w:b/>
          <w:bCs/>
          <w:sz w:val="24"/>
          <w:szCs w:val="26"/>
        </w:rPr>
      </w:pPr>
      <w:bookmarkStart w:id="181" w:name="_Toc152595267"/>
      <w:r w:rsidRPr="00332AB5">
        <w:rPr>
          <w:b/>
          <w:bCs/>
          <w:sz w:val="24"/>
          <w:szCs w:val="26"/>
        </w:rPr>
        <w:t>Program međuregionalne suradnje INTERREG Europe 2021. – 2027.</w:t>
      </w:r>
      <w:bookmarkEnd w:id="181"/>
    </w:p>
    <w:p w14:paraId="125A8D35" w14:textId="77777777" w:rsidR="004C0D61" w:rsidRPr="00332AB5" w:rsidRDefault="004C0D61" w:rsidP="004C0D61">
      <w:pPr>
        <w:spacing w:before="120" w:after="120"/>
        <w:jc w:val="both"/>
        <w:rPr>
          <w:sz w:val="24"/>
          <w:szCs w:val="24"/>
        </w:rPr>
      </w:pPr>
      <w:r w:rsidRPr="00332AB5">
        <w:rPr>
          <w:sz w:val="24"/>
          <w:szCs w:val="24"/>
        </w:rPr>
        <w:t>Ukupan proračun Programa iznosi 379 milijuna eura. Do 30. lipnja 2023. objavljena su dva poziva na dostavu projektnih prijedloga ukupne vrijednosti 200 milijuna eura (sredstva EU). U izvještajnom razdoblju objavljen je jedan poziv na dostavu projektnih prijedloga.</w:t>
      </w:r>
    </w:p>
    <w:p w14:paraId="36E7E7EC" w14:textId="3F922172" w:rsidR="004C0D61" w:rsidRPr="00332AB5" w:rsidRDefault="004C0D61" w:rsidP="004C0D61">
      <w:pPr>
        <w:spacing w:before="120" w:after="120"/>
        <w:jc w:val="both"/>
        <w:rPr>
          <w:sz w:val="24"/>
          <w:szCs w:val="24"/>
        </w:rPr>
      </w:pPr>
      <w:bookmarkStart w:id="182" w:name="_Hlk146267493"/>
      <w:r w:rsidRPr="00332AB5">
        <w:rPr>
          <w:sz w:val="24"/>
          <w:szCs w:val="24"/>
        </w:rPr>
        <w:t xml:space="preserve">Do 30. lipnja 2023. sklopljeno je </w:t>
      </w:r>
      <w:r w:rsidR="00020F30" w:rsidRPr="00332AB5">
        <w:rPr>
          <w:sz w:val="24"/>
          <w:szCs w:val="24"/>
        </w:rPr>
        <w:t>deset</w:t>
      </w:r>
      <w:r w:rsidRPr="00332AB5">
        <w:rPr>
          <w:sz w:val="24"/>
          <w:szCs w:val="24"/>
        </w:rPr>
        <w:t xml:space="preserve"> ugovora o dodjeli bespovratnih sredstava u kojima sudjeluje </w:t>
      </w:r>
      <w:r w:rsidR="00020F30" w:rsidRPr="00332AB5">
        <w:rPr>
          <w:sz w:val="24"/>
          <w:szCs w:val="24"/>
        </w:rPr>
        <w:t>deset</w:t>
      </w:r>
      <w:r w:rsidRPr="00332AB5">
        <w:rPr>
          <w:sz w:val="24"/>
          <w:szCs w:val="24"/>
        </w:rPr>
        <w:t xml:space="preserve"> hrvatskih projektnih partnera za koje je ugovorena ukupna vrijednost od 1,6 milijuna eura (EU sredstava). U izvještajnom razdoblju sklopljeno je deset ugovora o dodjeli besplatnih sredstava.</w:t>
      </w:r>
      <w:r w:rsidRPr="00332AB5">
        <w:t xml:space="preserve"> </w:t>
      </w:r>
    </w:p>
    <w:bookmarkEnd w:id="182"/>
    <w:p w14:paraId="3CA6EB6E" w14:textId="79B90F04" w:rsidR="00A161B3" w:rsidRPr="00332AB5" w:rsidRDefault="004C0D61" w:rsidP="004C0D61">
      <w:pPr>
        <w:spacing w:before="120" w:after="120"/>
        <w:jc w:val="both"/>
        <w:rPr>
          <w:sz w:val="24"/>
          <w:szCs w:val="24"/>
        </w:rPr>
      </w:pPr>
      <w:r w:rsidRPr="00332AB5">
        <w:rPr>
          <w:sz w:val="24"/>
          <w:szCs w:val="24"/>
        </w:rPr>
        <w:t>Do 30. lipnja 2023. održana su tri sastanaka Odbora za praćenje Programa. U izvještajnom razdoblju održan je jedan sastanak Odbora za praćenje Programa</w:t>
      </w:r>
      <w:r w:rsidR="00A161B3" w:rsidRPr="00332AB5">
        <w:rPr>
          <w:sz w:val="24"/>
          <w:szCs w:val="24"/>
        </w:rPr>
        <w:t>.</w:t>
      </w:r>
    </w:p>
    <w:p w14:paraId="6AA2BB9E" w14:textId="77777777" w:rsidR="00A161B3" w:rsidRPr="00332AB5" w:rsidRDefault="00A161B3" w:rsidP="00A161B3">
      <w:pPr>
        <w:keepNext/>
        <w:numPr>
          <w:ilvl w:val="2"/>
          <w:numId w:val="3"/>
        </w:numPr>
        <w:spacing w:before="240" w:after="240"/>
        <w:outlineLvl w:val="2"/>
        <w:rPr>
          <w:b/>
          <w:bCs/>
          <w:sz w:val="24"/>
          <w:szCs w:val="26"/>
        </w:rPr>
      </w:pPr>
      <w:bookmarkStart w:id="183" w:name="_Toc152595268"/>
      <w:r w:rsidRPr="00332AB5">
        <w:rPr>
          <w:b/>
          <w:bCs/>
          <w:sz w:val="24"/>
          <w:szCs w:val="26"/>
        </w:rPr>
        <w:t>Program međuregionalne suradnje INTERACT 2021. – 2027.</w:t>
      </w:r>
      <w:bookmarkEnd w:id="183"/>
    </w:p>
    <w:p w14:paraId="00048261" w14:textId="06B1AB8A" w:rsidR="00A161B3" w:rsidRPr="00332AB5" w:rsidRDefault="00A3375F" w:rsidP="00A161B3">
      <w:pPr>
        <w:spacing w:before="120" w:after="120"/>
        <w:jc w:val="both"/>
        <w:rPr>
          <w:sz w:val="24"/>
          <w:szCs w:val="24"/>
        </w:rPr>
      </w:pPr>
      <w:r w:rsidRPr="00332AB5">
        <w:rPr>
          <w:sz w:val="24"/>
          <w:szCs w:val="24"/>
        </w:rPr>
        <w:t>Ukupan proračun P</w:t>
      </w:r>
      <w:r w:rsidR="00A161B3" w:rsidRPr="00332AB5">
        <w:rPr>
          <w:sz w:val="24"/>
          <w:szCs w:val="24"/>
        </w:rPr>
        <w:t>rograma iznosi 45 milijuna eura te je u potpunosti usmjeren na financiranje programskih aktivnosti namijenjenih razmjeni iskustava upravljačkih struktura i ujednačavanju provedbenih alata u programima europske teritorijalne suradnje.</w:t>
      </w:r>
    </w:p>
    <w:p w14:paraId="480A7EE2" w14:textId="39065B94" w:rsidR="00A161B3" w:rsidRPr="00332AB5" w:rsidRDefault="00A161B3" w:rsidP="00A161B3">
      <w:pPr>
        <w:spacing w:before="120" w:after="120"/>
        <w:contextualSpacing/>
        <w:jc w:val="both"/>
        <w:rPr>
          <w:rFonts w:eastAsia="Calibri"/>
          <w:sz w:val="24"/>
          <w:szCs w:val="24"/>
        </w:rPr>
      </w:pPr>
      <w:r w:rsidRPr="00332AB5">
        <w:rPr>
          <w:sz w:val="24"/>
          <w:szCs w:val="24"/>
        </w:rPr>
        <w:t xml:space="preserve">Do </w:t>
      </w:r>
      <w:r w:rsidR="0011067E" w:rsidRPr="00332AB5">
        <w:rPr>
          <w:sz w:val="24"/>
          <w:szCs w:val="24"/>
        </w:rPr>
        <w:t>30. lipnja 2023.</w:t>
      </w:r>
      <w:r w:rsidRPr="00332AB5">
        <w:rPr>
          <w:sz w:val="24"/>
          <w:szCs w:val="24"/>
        </w:rPr>
        <w:t xml:space="preserve"> održana su </w:t>
      </w:r>
      <w:r w:rsidR="00F96CEA" w:rsidRPr="00332AB5">
        <w:rPr>
          <w:sz w:val="24"/>
          <w:szCs w:val="24"/>
        </w:rPr>
        <w:t>tri</w:t>
      </w:r>
      <w:r w:rsidRPr="00332AB5">
        <w:rPr>
          <w:sz w:val="24"/>
          <w:szCs w:val="24"/>
        </w:rPr>
        <w:t xml:space="preserve"> sastanaka Odbora za praćenje Programa. U izvještajnom razdoblju održan </w:t>
      </w:r>
      <w:r w:rsidR="00F96CEA" w:rsidRPr="00332AB5">
        <w:rPr>
          <w:sz w:val="24"/>
          <w:szCs w:val="24"/>
        </w:rPr>
        <w:t>je jedan</w:t>
      </w:r>
      <w:r w:rsidRPr="00332AB5">
        <w:rPr>
          <w:sz w:val="24"/>
          <w:szCs w:val="24"/>
        </w:rPr>
        <w:t xml:space="preserve"> sastan</w:t>
      </w:r>
      <w:r w:rsidR="00F96CEA" w:rsidRPr="00332AB5">
        <w:rPr>
          <w:sz w:val="24"/>
          <w:szCs w:val="24"/>
        </w:rPr>
        <w:t>ak</w:t>
      </w:r>
      <w:r w:rsidRPr="00332AB5">
        <w:rPr>
          <w:sz w:val="24"/>
          <w:szCs w:val="24"/>
        </w:rPr>
        <w:t xml:space="preserve"> Odbora za praćenje Programa.</w:t>
      </w:r>
    </w:p>
    <w:p w14:paraId="30D21EEC" w14:textId="77777777" w:rsidR="00C4329C" w:rsidRPr="00332AB5" w:rsidRDefault="00C4329C" w:rsidP="00C4329C">
      <w:pPr>
        <w:keepNext/>
        <w:numPr>
          <w:ilvl w:val="2"/>
          <w:numId w:val="3"/>
        </w:numPr>
        <w:spacing w:before="240" w:after="240"/>
        <w:outlineLvl w:val="2"/>
        <w:rPr>
          <w:b/>
          <w:bCs/>
          <w:sz w:val="24"/>
          <w:szCs w:val="26"/>
        </w:rPr>
      </w:pPr>
      <w:bookmarkStart w:id="184" w:name="_Toc152595269"/>
      <w:r w:rsidRPr="00332AB5">
        <w:rPr>
          <w:b/>
          <w:bCs/>
          <w:sz w:val="24"/>
          <w:szCs w:val="26"/>
        </w:rPr>
        <w:t>Program međuregionalne suradnje URBACT IV 2021. – 2027.</w:t>
      </w:r>
      <w:bookmarkEnd w:id="184"/>
    </w:p>
    <w:p w14:paraId="07F90873" w14:textId="00F2AB3D" w:rsidR="00C4329C" w:rsidRPr="00332AB5" w:rsidRDefault="00C4329C" w:rsidP="00C4329C">
      <w:pPr>
        <w:jc w:val="both"/>
        <w:rPr>
          <w:sz w:val="24"/>
          <w:szCs w:val="24"/>
        </w:rPr>
      </w:pPr>
      <w:r w:rsidRPr="00332AB5">
        <w:rPr>
          <w:sz w:val="24"/>
          <w:szCs w:val="24"/>
        </w:rPr>
        <w:t xml:space="preserve">Ukupan proračun </w:t>
      </w:r>
      <w:r w:rsidR="00206C5B">
        <w:rPr>
          <w:sz w:val="24"/>
          <w:szCs w:val="24"/>
        </w:rPr>
        <w:t>P</w:t>
      </w:r>
      <w:r w:rsidRPr="00332AB5">
        <w:rPr>
          <w:sz w:val="24"/>
          <w:szCs w:val="24"/>
        </w:rPr>
        <w:t>rograma iznosi 107,9 milijuna EUR od čega 79,8 milijuna EUR čini doprinos iz EFRR-a, 5 milijuna EUR čini doprinos iz mehanizma IPA III te 23,1 milijuna EUR čine nacionalni doprinosi (ukupni nacionalni doprinosi država sudionica u programu iznose 7,6 milijuna EUR, a preostali dio se odnosi na doprinose koje plaćaju gradovi sudionici u programskim aktivnostima). Ukupni doprinos koji RH uplaćuje iznosi 53.403,00 EUR za razdoblje 2021. – 2027. Program je usmjeren na financiranje razmjene znanja i dobrih praksi između gradova, ostalih JLP(R)S, središnjih tijela državne uprave i znanstveno-istraživačkih institucija. Cilj programa je promicanje integriranog, održivog razvoja JLP(R)S-a te poboljšavanje učinkovite provedbe kohezijske politike EU-a na regionalnoj i lokalnoj razini.</w:t>
      </w:r>
    </w:p>
    <w:p w14:paraId="77C5C68A" w14:textId="77777777" w:rsidR="00C4329C" w:rsidRPr="00332AB5" w:rsidRDefault="00C4329C" w:rsidP="00C4329C">
      <w:pPr>
        <w:jc w:val="both"/>
        <w:rPr>
          <w:sz w:val="24"/>
          <w:szCs w:val="24"/>
        </w:rPr>
      </w:pPr>
    </w:p>
    <w:p w14:paraId="795EA71F" w14:textId="77777777" w:rsidR="00C4329C" w:rsidRPr="00332AB5" w:rsidRDefault="00C4329C" w:rsidP="00C4329C">
      <w:pPr>
        <w:jc w:val="both"/>
        <w:rPr>
          <w:sz w:val="24"/>
          <w:szCs w:val="24"/>
        </w:rPr>
      </w:pPr>
      <w:r w:rsidRPr="00332AB5">
        <w:rPr>
          <w:sz w:val="24"/>
          <w:szCs w:val="24"/>
        </w:rPr>
        <w:t>Tijekom izvještajnoga razdoblja održan je jedan sastanak Odbora za praćenje programa (URBACT IV MC), 30. i 31. svibnja 2023. Tijekom sastanka članovi URBACT IV MC-a odobrili su 30 projektnih prijedloga za uspostavljanje mreža za planiranje aktivnosti,</w:t>
      </w:r>
      <w:r w:rsidRPr="00332AB5">
        <w:t xml:space="preserve"> </w:t>
      </w:r>
      <w:r w:rsidRPr="00332AB5">
        <w:rPr>
          <w:sz w:val="24"/>
          <w:szCs w:val="24"/>
        </w:rPr>
        <w:t>primili su na znanje status uključivanja u program tzv. IPA država (AL, BA, ME, MK i RS) te dali mandat Tajništvu programa da ocijeni mogućnosti za integraciju UA i MD u program URBACT IV. Krajem siječnja 2023. otvoren je stalni poziv za imenovanje stručnjaka/savjetnika za programske aktivnosti u okviru URBACT-a IV. Države sudionice u programu posebno su potaknute da osiguraju da isto tijelo na nacionalnoj razini bude imenovano za URBACT kontaktnu točku i kontaktnu točku u okviru Europske urbane inicijative (EUI). U RH ove funkcije obavlja Udruga gradova u Republici Hrvatskoj.</w:t>
      </w:r>
    </w:p>
    <w:p w14:paraId="3F3E4E5E" w14:textId="77777777" w:rsidR="00C4329C" w:rsidRPr="00332AB5" w:rsidRDefault="00C4329C" w:rsidP="00C4329C">
      <w:pPr>
        <w:keepNext/>
        <w:numPr>
          <w:ilvl w:val="2"/>
          <w:numId w:val="3"/>
        </w:numPr>
        <w:spacing w:before="240" w:after="240"/>
        <w:outlineLvl w:val="2"/>
        <w:rPr>
          <w:b/>
          <w:bCs/>
          <w:sz w:val="24"/>
          <w:szCs w:val="26"/>
        </w:rPr>
      </w:pPr>
      <w:bookmarkStart w:id="185" w:name="_Toc152595270"/>
      <w:r w:rsidRPr="00332AB5">
        <w:rPr>
          <w:b/>
          <w:bCs/>
          <w:sz w:val="24"/>
          <w:szCs w:val="26"/>
        </w:rPr>
        <w:t>Program međuregionalne suradnje ESPON 2030 2021. – 2027.</w:t>
      </w:r>
      <w:bookmarkEnd w:id="185"/>
    </w:p>
    <w:p w14:paraId="54513A99" w14:textId="162CC10A" w:rsidR="00C4329C" w:rsidRPr="00332AB5" w:rsidRDefault="00C4329C" w:rsidP="00C4329C">
      <w:pPr>
        <w:jc w:val="both"/>
        <w:rPr>
          <w:sz w:val="24"/>
          <w:szCs w:val="24"/>
        </w:rPr>
      </w:pPr>
      <w:r w:rsidRPr="00332AB5">
        <w:rPr>
          <w:sz w:val="24"/>
          <w:szCs w:val="24"/>
        </w:rPr>
        <w:t xml:space="preserve">Ukupni proračun </w:t>
      </w:r>
      <w:r w:rsidR="00206C5B">
        <w:rPr>
          <w:sz w:val="24"/>
          <w:szCs w:val="24"/>
        </w:rPr>
        <w:t>P</w:t>
      </w:r>
      <w:r w:rsidRPr="00332AB5">
        <w:rPr>
          <w:sz w:val="24"/>
          <w:szCs w:val="24"/>
        </w:rPr>
        <w:t xml:space="preserve">rograma ESPON 2030 iznosi 60 milijuna EUR od čega 48 milijuna EUR čini doprinos iz EFRR-a, a 12 milijuna EUR su nacionalni doprinosi država sudionica u programu. Ukupni doprinos koji RH uplaćuje iznosi 310.000,00 EUR za razdoblje 2021. – 2027. Tijekom programskoga razdoblja hrvatska ESPON kontaktna točka (ECP) ima na raspolaganju iznos od 103.000,00 EUR za provedbu odgovarajućih aktivnosti koje su povezane s programom i koje podupiru programske aktivnosti. </w:t>
      </w:r>
    </w:p>
    <w:p w14:paraId="4B41E03D" w14:textId="77777777" w:rsidR="00C4329C" w:rsidRPr="00332AB5" w:rsidRDefault="00C4329C" w:rsidP="00C4329C">
      <w:pPr>
        <w:jc w:val="both"/>
        <w:rPr>
          <w:sz w:val="24"/>
          <w:szCs w:val="24"/>
        </w:rPr>
      </w:pPr>
    </w:p>
    <w:p w14:paraId="39446A23" w14:textId="77777777" w:rsidR="00C4329C" w:rsidRPr="00332AB5" w:rsidRDefault="00C4329C" w:rsidP="00C4329C">
      <w:pPr>
        <w:jc w:val="both"/>
        <w:rPr>
          <w:sz w:val="24"/>
          <w:szCs w:val="24"/>
        </w:rPr>
      </w:pPr>
      <w:r w:rsidRPr="00332AB5">
        <w:rPr>
          <w:sz w:val="24"/>
          <w:szCs w:val="24"/>
        </w:rPr>
        <w:t xml:space="preserve">Tijekom izvještajnog razdoblja održana su dva sastanka Odbora za praćenje programa (ESPON 2030 MC), 28. i 29. ožujka te 12. i 13. lipnja 2023. Tijekom sastanaka članovi ESPON 2030 MC-a dali su mandat Upravljačkome tijelu (ESPON MA) da pozove tzv. IPA (AL, BA, ME, MK i RS) i NDICI države (MD i UA) na sudjelovanje u programu u svojstvu promatrača. Članovi ESPON 2030 MC-a odobrili su ukupno sedam Tematskih akcijskih planova (TAP), a jedan je vraćen ESPON EGTC-u na daljnju doradu. Do kraja izvještajnoga razdoblja pokrenuta je provedba četiri ciljane analize te sedam europskih istraživanja. </w:t>
      </w:r>
    </w:p>
    <w:p w14:paraId="10A8A2B9" w14:textId="77777777" w:rsidR="00C4329C" w:rsidRPr="00332AB5" w:rsidRDefault="00C4329C" w:rsidP="00C4329C">
      <w:pPr>
        <w:jc w:val="both"/>
        <w:rPr>
          <w:sz w:val="24"/>
          <w:szCs w:val="24"/>
        </w:rPr>
      </w:pPr>
    </w:p>
    <w:p w14:paraId="30775D2A" w14:textId="77777777" w:rsidR="00C4329C" w:rsidRPr="00332AB5" w:rsidRDefault="00C4329C" w:rsidP="00C4329C">
      <w:pPr>
        <w:jc w:val="both"/>
        <w:rPr>
          <w:sz w:val="24"/>
          <w:szCs w:val="24"/>
        </w:rPr>
      </w:pPr>
      <w:r w:rsidRPr="00332AB5">
        <w:rPr>
          <w:sz w:val="24"/>
          <w:szCs w:val="24"/>
        </w:rPr>
        <w:t xml:space="preserve">U okviru Odbora za sustavno ocjenjivanje programa, u radu kojega sudjeluju predstavnici FR, HR, NL i ESPON MA-a, izrađena je dokumentacija za provedbu javnoga natječaja za odabir provoditelja usluge sustavnoga ocjenjivanja programa te je javni natječaj i objavljen. </w:t>
      </w:r>
    </w:p>
    <w:p w14:paraId="6E3DD272" w14:textId="77777777" w:rsidR="00C4329C" w:rsidRPr="00332AB5" w:rsidRDefault="00C4329C" w:rsidP="00C4329C">
      <w:pPr>
        <w:jc w:val="both"/>
        <w:rPr>
          <w:sz w:val="24"/>
          <w:szCs w:val="24"/>
        </w:rPr>
      </w:pPr>
    </w:p>
    <w:p w14:paraId="54BF5679" w14:textId="510672E9" w:rsidR="00C4329C" w:rsidRPr="00332AB5" w:rsidRDefault="00C4329C" w:rsidP="00C4329C">
      <w:pPr>
        <w:jc w:val="both"/>
        <w:rPr>
          <w:sz w:val="24"/>
          <w:szCs w:val="24"/>
        </w:rPr>
      </w:pPr>
      <w:r w:rsidRPr="00332AB5">
        <w:rPr>
          <w:sz w:val="24"/>
          <w:szCs w:val="24"/>
        </w:rPr>
        <w:t xml:space="preserve">Na zahtjev nacionalnoga ECP-a, 31. ožujka 2023. u Zagrebu je održana radionica Mjesta za ljude – nova generacija arhitektonskih politika Republike Hrvatske u organizaciji ESPON EGTC-a i nacionalnoga ECP-a. Nakon održane radionice Hrvatskoj je dostavljeno opsežno izvješće. </w:t>
      </w:r>
    </w:p>
    <w:p w14:paraId="4B6551EC" w14:textId="77777777" w:rsidR="00C4329C" w:rsidRPr="00332AB5" w:rsidRDefault="00C4329C" w:rsidP="00C4329C">
      <w:pPr>
        <w:jc w:val="both"/>
        <w:rPr>
          <w:sz w:val="24"/>
          <w:szCs w:val="24"/>
        </w:rPr>
      </w:pPr>
    </w:p>
    <w:p w14:paraId="0904AF24" w14:textId="7F733513" w:rsidR="00C4329C" w:rsidRPr="00332AB5" w:rsidRDefault="00C4329C" w:rsidP="00C4329C">
      <w:pPr>
        <w:jc w:val="both"/>
        <w:rPr>
          <w:sz w:val="24"/>
          <w:szCs w:val="24"/>
        </w:rPr>
      </w:pPr>
      <w:r w:rsidRPr="00332AB5">
        <w:rPr>
          <w:sz w:val="24"/>
          <w:szCs w:val="24"/>
        </w:rPr>
        <w:t>Tijekom ESPON tjedna, 14. i 15. lipnja 2023. predstavnici ECP-ova sudjelovali su na ESPON seminaru o zelenoj industrijalizaciji na kojem su razmatrane mogućnosti upravljanja tzv. polukružnim zaokretom (U-turn), poboljšanja lokalne privlačnosti, pristupa sukobima oko korištenja zemljišta te upravljanja zelenom tranzicijom. Nakon seminara, 16. lipnja 2023. održan je sastanak ECP-ova na kojem je dan pregled imenovanja ECP-ova po državama članicama, napredak u sklapanju partnerskih sporazuma između ESPON EGTC-a i ECP-ova za obavljanje dodatnih aktivnosti ECP-ova za koje će biti isplaćena dodatna financijska naknada. Partnerski sporazum hrvatskog ECP-a je pripremljen za potpis te su izrađeni i godišnji planovi rada za 2023. i 2024. godinu.</w:t>
      </w:r>
    </w:p>
    <w:p w14:paraId="55B26E0E" w14:textId="77777777" w:rsidR="00A161B3" w:rsidRPr="00332AB5" w:rsidRDefault="00A161B3" w:rsidP="00A161B3">
      <w:pPr>
        <w:spacing w:before="120" w:after="120"/>
        <w:jc w:val="both"/>
        <w:rPr>
          <w:sz w:val="24"/>
          <w:szCs w:val="24"/>
        </w:rPr>
      </w:pPr>
      <w:r w:rsidRPr="00332AB5">
        <w:br w:type="page"/>
      </w:r>
    </w:p>
    <w:p w14:paraId="2FFC8E73" w14:textId="3C573DB2" w:rsidR="00710808" w:rsidRPr="00332AB5" w:rsidRDefault="00710808" w:rsidP="00113EAE">
      <w:pPr>
        <w:pStyle w:val="Heading1"/>
      </w:pPr>
      <w:bookmarkStart w:id="186" w:name="_Toc152595271"/>
      <w:r w:rsidRPr="00332AB5">
        <w:t>ZAKLJUČAK</w:t>
      </w:r>
      <w:bookmarkEnd w:id="132"/>
      <w:bookmarkEnd w:id="133"/>
      <w:bookmarkEnd w:id="134"/>
      <w:bookmarkEnd w:id="135"/>
      <w:bookmarkEnd w:id="136"/>
      <w:bookmarkEnd w:id="137"/>
      <w:bookmarkEnd w:id="138"/>
      <w:bookmarkEnd w:id="139"/>
      <w:bookmarkEnd w:id="140"/>
      <w:bookmarkEnd w:id="186"/>
    </w:p>
    <w:p w14:paraId="651FD457" w14:textId="497C17CC" w:rsidR="00A40452" w:rsidRPr="00332AB5" w:rsidRDefault="00A40452" w:rsidP="00E2152B">
      <w:pPr>
        <w:spacing w:before="120" w:after="120"/>
        <w:jc w:val="both"/>
        <w:rPr>
          <w:sz w:val="24"/>
          <w:szCs w:val="24"/>
        </w:rPr>
      </w:pPr>
      <w:bookmarkStart w:id="187" w:name="_Toc372635488"/>
      <w:r w:rsidRPr="00332AB5">
        <w:rPr>
          <w:sz w:val="24"/>
          <w:szCs w:val="24"/>
        </w:rPr>
        <w:t xml:space="preserve">Ukoliko sagledamo izvornu alokaciju ESI sredstava 2014. – 2020. u iznosu od 10,73 milijarde eura na koju nadodamo </w:t>
      </w:r>
      <w:r w:rsidR="006E680F" w:rsidRPr="00332AB5">
        <w:rPr>
          <w:sz w:val="24"/>
          <w:szCs w:val="24"/>
        </w:rPr>
        <w:t>864,23</w:t>
      </w:r>
      <w:r w:rsidRPr="00332AB5">
        <w:rPr>
          <w:sz w:val="24"/>
          <w:szCs w:val="24"/>
        </w:rPr>
        <w:t xml:space="preserve"> milijuna eura iz REACT EU te 597,56 milijuna eura koj</w:t>
      </w:r>
      <w:r w:rsidR="00460EC8" w:rsidRPr="00332AB5">
        <w:rPr>
          <w:sz w:val="24"/>
          <w:szCs w:val="24"/>
        </w:rPr>
        <w:t>i</w:t>
      </w:r>
      <w:r w:rsidRPr="00332AB5">
        <w:rPr>
          <w:sz w:val="24"/>
          <w:szCs w:val="24"/>
        </w:rPr>
        <w:t xml:space="preserve"> su dodan</w:t>
      </w:r>
      <w:r w:rsidR="00460EC8" w:rsidRPr="00332AB5">
        <w:rPr>
          <w:sz w:val="24"/>
          <w:szCs w:val="24"/>
        </w:rPr>
        <w:t>i</w:t>
      </w:r>
      <w:r w:rsidRPr="00332AB5">
        <w:rPr>
          <w:sz w:val="24"/>
          <w:szCs w:val="24"/>
        </w:rPr>
        <w:t xml:space="preserve"> u </w:t>
      </w:r>
      <w:r w:rsidR="00867ED4" w:rsidRPr="00332AB5">
        <w:rPr>
          <w:sz w:val="24"/>
          <w:szCs w:val="24"/>
        </w:rPr>
        <w:t>PRR</w:t>
      </w:r>
      <w:r w:rsidRPr="00332AB5">
        <w:rPr>
          <w:sz w:val="24"/>
          <w:szCs w:val="24"/>
        </w:rPr>
        <w:t>, ukupna alokacija je 12,</w:t>
      </w:r>
      <w:r w:rsidR="006E680F" w:rsidRPr="00332AB5">
        <w:rPr>
          <w:sz w:val="24"/>
          <w:szCs w:val="24"/>
        </w:rPr>
        <w:t>19</w:t>
      </w:r>
      <w:r w:rsidRPr="00332AB5">
        <w:rPr>
          <w:sz w:val="24"/>
          <w:szCs w:val="24"/>
        </w:rPr>
        <w:t xml:space="preserve"> milijardi eura.</w:t>
      </w:r>
    </w:p>
    <w:p w14:paraId="7B656CFB" w14:textId="19DA3A4C" w:rsidR="002421B8" w:rsidRPr="00332AB5" w:rsidRDefault="00072BC6" w:rsidP="00E2152B">
      <w:pPr>
        <w:spacing w:before="120" w:after="120"/>
        <w:jc w:val="both"/>
        <w:rPr>
          <w:sz w:val="24"/>
          <w:szCs w:val="24"/>
        </w:rPr>
      </w:pPr>
      <w:r w:rsidRPr="00332AB5">
        <w:rPr>
          <w:sz w:val="24"/>
          <w:szCs w:val="24"/>
        </w:rPr>
        <w:t>Iz EU fondova za razdoblje 2014. – 2020. u RH je</w:t>
      </w:r>
      <w:r w:rsidR="004F5953" w:rsidRPr="00332AB5">
        <w:rPr>
          <w:sz w:val="24"/>
          <w:szCs w:val="24"/>
        </w:rPr>
        <w:t xml:space="preserve"> tijekom izvještajnog razdoblj</w:t>
      </w:r>
      <w:r w:rsidR="00C748D5" w:rsidRPr="00332AB5">
        <w:rPr>
          <w:sz w:val="24"/>
          <w:szCs w:val="24"/>
        </w:rPr>
        <w:t>a</w:t>
      </w:r>
      <w:r w:rsidRPr="00332AB5">
        <w:rPr>
          <w:sz w:val="24"/>
          <w:szCs w:val="24"/>
        </w:rPr>
        <w:t xml:space="preserve"> ukupno ugovoreno </w:t>
      </w:r>
      <w:r w:rsidR="00844445" w:rsidRPr="00332AB5">
        <w:rPr>
          <w:sz w:val="24"/>
          <w:szCs w:val="24"/>
        </w:rPr>
        <w:t>265,71</w:t>
      </w:r>
      <w:r w:rsidR="00B10C2E" w:rsidRPr="00332AB5">
        <w:rPr>
          <w:sz w:val="24"/>
          <w:szCs w:val="24"/>
        </w:rPr>
        <w:t xml:space="preserve"> milij</w:t>
      </w:r>
      <w:r w:rsidR="006612EF" w:rsidRPr="00332AB5">
        <w:rPr>
          <w:sz w:val="24"/>
          <w:szCs w:val="24"/>
        </w:rPr>
        <w:t>una</w:t>
      </w:r>
      <w:r w:rsidR="00B10C2E" w:rsidRPr="00332AB5">
        <w:rPr>
          <w:sz w:val="24"/>
          <w:szCs w:val="24"/>
        </w:rPr>
        <w:t xml:space="preserve"> </w:t>
      </w:r>
      <w:r w:rsidRPr="00332AB5">
        <w:rPr>
          <w:sz w:val="24"/>
          <w:szCs w:val="24"/>
        </w:rPr>
        <w:t xml:space="preserve">eura, plaćanja izvršena prema krajnjim korisnicima iznose </w:t>
      </w:r>
      <w:r w:rsidR="00844445" w:rsidRPr="00332AB5">
        <w:rPr>
          <w:sz w:val="24"/>
          <w:szCs w:val="24"/>
          <w:lang w:bidi="ta-IN"/>
        </w:rPr>
        <w:t>895,09</w:t>
      </w:r>
      <w:r w:rsidR="00F95973" w:rsidRPr="00332AB5">
        <w:rPr>
          <w:sz w:val="24"/>
          <w:szCs w:val="24"/>
          <w:lang w:bidi="ta-IN"/>
        </w:rPr>
        <w:t xml:space="preserve"> milijuna</w:t>
      </w:r>
      <w:r w:rsidR="00D669AA" w:rsidRPr="00332AB5">
        <w:rPr>
          <w:sz w:val="24"/>
          <w:szCs w:val="24"/>
          <w:lang w:bidi="ta-IN"/>
        </w:rPr>
        <w:t xml:space="preserve"> </w:t>
      </w:r>
      <w:r w:rsidRPr="00332AB5">
        <w:rPr>
          <w:sz w:val="24"/>
          <w:szCs w:val="24"/>
        </w:rPr>
        <w:t>eura</w:t>
      </w:r>
      <w:r w:rsidR="002421B8" w:rsidRPr="00332AB5">
        <w:rPr>
          <w:sz w:val="24"/>
          <w:szCs w:val="24"/>
        </w:rPr>
        <w:t xml:space="preserve"> te je ovjereno </w:t>
      </w:r>
      <w:r w:rsidR="00EE495C" w:rsidRPr="00332AB5">
        <w:rPr>
          <w:sz w:val="24"/>
          <w:szCs w:val="24"/>
        </w:rPr>
        <w:t>356,33</w:t>
      </w:r>
      <w:r w:rsidR="005D7AB6" w:rsidRPr="00332AB5">
        <w:rPr>
          <w:sz w:val="24"/>
          <w:szCs w:val="24"/>
        </w:rPr>
        <w:t xml:space="preserve"> mil</w:t>
      </w:r>
      <w:r w:rsidR="00EE495C" w:rsidRPr="00332AB5">
        <w:rPr>
          <w:sz w:val="24"/>
          <w:szCs w:val="24"/>
        </w:rPr>
        <w:t>ijuna</w:t>
      </w:r>
      <w:r w:rsidR="002421B8" w:rsidRPr="00332AB5">
        <w:rPr>
          <w:sz w:val="24"/>
          <w:szCs w:val="24"/>
        </w:rPr>
        <w:t xml:space="preserve"> eura.</w:t>
      </w:r>
    </w:p>
    <w:p w14:paraId="62A85FAC" w14:textId="318B3EC7" w:rsidR="007E7544" w:rsidRPr="00332AB5" w:rsidRDefault="007E7544" w:rsidP="007E7544">
      <w:pPr>
        <w:spacing w:before="120" w:after="120"/>
        <w:jc w:val="both"/>
        <w:rPr>
          <w:sz w:val="24"/>
          <w:szCs w:val="24"/>
        </w:rPr>
      </w:pPr>
      <w:r w:rsidRPr="00332AB5">
        <w:rPr>
          <w:sz w:val="24"/>
          <w:szCs w:val="24"/>
        </w:rPr>
        <w:t xml:space="preserve">Do </w:t>
      </w:r>
      <w:r w:rsidR="0011067E" w:rsidRPr="00332AB5">
        <w:rPr>
          <w:sz w:val="24"/>
          <w:szCs w:val="24"/>
        </w:rPr>
        <w:t>30. lipnja 2023.</w:t>
      </w:r>
      <w:r w:rsidRPr="00332AB5">
        <w:rPr>
          <w:sz w:val="24"/>
          <w:szCs w:val="24"/>
        </w:rPr>
        <w:t xml:space="preserve"> ukupno je ugovoreno </w:t>
      </w:r>
      <w:r w:rsidR="00EE495C" w:rsidRPr="00332AB5">
        <w:rPr>
          <w:sz w:val="24"/>
          <w:szCs w:val="24"/>
        </w:rPr>
        <w:t>14,06</w:t>
      </w:r>
      <w:r w:rsidRPr="00332AB5">
        <w:rPr>
          <w:sz w:val="24"/>
          <w:szCs w:val="24"/>
        </w:rPr>
        <w:t xml:space="preserve"> milijardi eura što iznosi </w:t>
      </w:r>
      <w:r w:rsidR="006E501F" w:rsidRPr="00332AB5">
        <w:rPr>
          <w:sz w:val="24"/>
          <w:szCs w:val="24"/>
        </w:rPr>
        <w:t>12</w:t>
      </w:r>
      <w:r w:rsidR="00EE495C" w:rsidRPr="00332AB5">
        <w:rPr>
          <w:sz w:val="24"/>
          <w:szCs w:val="24"/>
        </w:rPr>
        <w:t>4,07</w:t>
      </w:r>
      <w:r w:rsidRPr="00332AB5">
        <w:rPr>
          <w:sz w:val="24"/>
          <w:szCs w:val="24"/>
        </w:rPr>
        <w:t xml:space="preserve"> % od ukupno dodijeljenih sredstava u iznosu od </w:t>
      </w:r>
      <w:r w:rsidR="006E501F" w:rsidRPr="00332AB5">
        <w:rPr>
          <w:sz w:val="24"/>
          <w:szCs w:val="24"/>
        </w:rPr>
        <w:t>11,33</w:t>
      </w:r>
      <w:r w:rsidRPr="00332AB5">
        <w:rPr>
          <w:sz w:val="24"/>
          <w:szCs w:val="24"/>
        </w:rPr>
        <w:t xml:space="preserve"> milijardi eura. Ukupna plaćanja iznose </w:t>
      </w:r>
      <w:r w:rsidR="00EE495C" w:rsidRPr="00332AB5">
        <w:rPr>
          <w:sz w:val="24"/>
          <w:szCs w:val="24"/>
        </w:rPr>
        <w:t>9,66</w:t>
      </w:r>
      <w:r w:rsidRPr="00332AB5">
        <w:rPr>
          <w:sz w:val="24"/>
          <w:szCs w:val="24"/>
        </w:rPr>
        <w:t xml:space="preserve"> milijardi eura, odnosno </w:t>
      </w:r>
      <w:r w:rsidR="00EE495C" w:rsidRPr="00332AB5">
        <w:rPr>
          <w:sz w:val="24"/>
          <w:szCs w:val="24"/>
        </w:rPr>
        <w:t>85,26</w:t>
      </w:r>
      <w:r w:rsidRPr="00332AB5">
        <w:rPr>
          <w:sz w:val="24"/>
          <w:szCs w:val="24"/>
        </w:rPr>
        <w:t xml:space="preserve"> % od ukupno dodijeljenih sredstava te je ukupno ovjereno </w:t>
      </w:r>
      <w:r w:rsidR="006E501F" w:rsidRPr="00332AB5">
        <w:rPr>
          <w:sz w:val="24"/>
          <w:szCs w:val="24"/>
        </w:rPr>
        <w:t>7,</w:t>
      </w:r>
      <w:r w:rsidR="00EE495C" w:rsidRPr="00332AB5">
        <w:rPr>
          <w:sz w:val="24"/>
          <w:szCs w:val="24"/>
        </w:rPr>
        <w:t>96</w:t>
      </w:r>
      <w:r w:rsidRPr="00332AB5">
        <w:rPr>
          <w:sz w:val="24"/>
          <w:szCs w:val="24"/>
        </w:rPr>
        <w:t xml:space="preserve"> milijardi eura, odnosno </w:t>
      </w:r>
      <w:r w:rsidR="00EE495C" w:rsidRPr="00332AB5">
        <w:rPr>
          <w:sz w:val="24"/>
          <w:szCs w:val="24"/>
        </w:rPr>
        <w:t>70,27</w:t>
      </w:r>
      <w:r w:rsidRPr="00332AB5">
        <w:rPr>
          <w:sz w:val="24"/>
          <w:szCs w:val="24"/>
        </w:rPr>
        <w:t xml:space="preserve"> %</w:t>
      </w:r>
      <w:r w:rsidRPr="00332AB5">
        <w:t xml:space="preserve"> </w:t>
      </w:r>
      <w:r w:rsidRPr="00332AB5">
        <w:rPr>
          <w:sz w:val="24"/>
          <w:szCs w:val="24"/>
        </w:rPr>
        <w:t>od ukupno dodijeljenih sredstava.</w:t>
      </w:r>
    </w:p>
    <w:p w14:paraId="706B37DA" w14:textId="239CABDF" w:rsidR="007E7544" w:rsidRPr="00332AB5" w:rsidRDefault="007E7544" w:rsidP="007E7544">
      <w:pPr>
        <w:spacing w:before="120" w:after="120"/>
        <w:jc w:val="both"/>
        <w:rPr>
          <w:sz w:val="24"/>
          <w:szCs w:val="24"/>
        </w:rPr>
      </w:pPr>
      <w:r w:rsidRPr="00332AB5">
        <w:rPr>
          <w:sz w:val="24"/>
          <w:szCs w:val="24"/>
        </w:rPr>
        <w:t xml:space="preserve">U okviru OPKK-a tijekom izvještajnog razdoblja ugovoreno je </w:t>
      </w:r>
      <w:r w:rsidR="00EE495C" w:rsidRPr="00332AB5">
        <w:rPr>
          <w:sz w:val="24"/>
          <w:szCs w:val="24"/>
        </w:rPr>
        <w:t>12,82</w:t>
      </w:r>
      <w:r w:rsidR="003D0FD0" w:rsidRPr="00332AB5">
        <w:rPr>
          <w:sz w:val="24"/>
          <w:szCs w:val="24"/>
        </w:rPr>
        <w:t xml:space="preserve"> </w:t>
      </w:r>
      <w:r w:rsidRPr="00332AB5">
        <w:rPr>
          <w:sz w:val="24"/>
          <w:szCs w:val="24"/>
        </w:rPr>
        <w:t xml:space="preserve">milijuna eura, a plaćeno </w:t>
      </w:r>
      <w:r w:rsidR="00EE495C" w:rsidRPr="00332AB5">
        <w:rPr>
          <w:sz w:val="24"/>
          <w:szCs w:val="24"/>
        </w:rPr>
        <w:t>483,41</w:t>
      </w:r>
      <w:r w:rsidRPr="00332AB5">
        <w:rPr>
          <w:sz w:val="24"/>
          <w:szCs w:val="24"/>
        </w:rPr>
        <w:t xml:space="preserve"> milijuna eura. Ukupno od početka provedbe do </w:t>
      </w:r>
      <w:r w:rsidR="0011067E" w:rsidRPr="00332AB5">
        <w:rPr>
          <w:sz w:val="24"/>
          <w:szCs w:val="24"/>
        </w:rPr>
        <w:t>30. lipnja 2023.</w:t>
      </w:r>
      <w:r w:rsidRPr="00332AB5">
        <w:rPr>
          <w:sz w:val="24"/>
          <w:szCs w:val="24"/>
        </w:rPr>
        <w:t xml:space="preserve"> ugovoreno je </w:t>
      </w:r>
      <w:r w:rsidR="006E501F" w:rsidRPr="00332AB5">
        <w:rPr>
          <w:sz w:val="24"/>
          <w:szCs w:val="24"/>
        </w:rPr>
        <w:t>134,</w:t>
      </w:r>
      <w:r w:rsidR="00EE495C" w:rsidRPr="00332AB5">
        <w:rPr>
          <w:sz w:val="24"/>
          <w:szCs w:val="24"/>
        </w:rPr>
        <w:t>83</w:t>
      </w:r>
      <w:r w:rsidRPr="00332AB5">
        <w:rPr>
          <w:sz w:val="24"/>
          <w:szCs w:val="24"/>
        </w:rPr>
        <w:t xml:space="preserve"> %, a plaćeno </w:t>
      </w:r>
      <w:r w:rsidR="00EE495C" w:rsidRPr="00332AB5">
        <w:rPr>
          <w:sz w:val="24"/>
          <w:szCs w:val="24"/>
        </w:rPr>
        <w:t>85,0</w:t>
      </w:r>
      <w:r w:rsidR="00EF6E66" w:rsidRPr="00332AB5">
        <w:rPr>
          <w:sz w:val="24"/>
          <w:szCs w:val="24"/>
        </w:rPr>
        <w:t>4</w:t>
      </w:r>
      <w:r w:rsidRPr="00332AB5">
        <w:rPr>
          <w:sz w:val="24"/>
          <w:szCs w:val="24"/>
        </w:rPr>
        <w:t xml:space="preserve"> % dodijeljenih sredstava.</w:t>
      </w:r>
    </w:p>
    <w:p w14:paraId="3BAA43F7" w14:textId="309EF0ED" w:rsidR="003827BA" w:rsidRPr="00332AB5" w:rsidRDefault="003827BA" w:rsidP="003827BA">
      <w:pPr>
        <w:spacing w:before="120" w:after="120"/>
        <w:jc w:val="both"/>
        <w:rPr>
          <w:sz w:val="24"/>
          <w:szCs w:val="24"/>
        </w:rPr>
      </w:pPr>
      <w:r w:rsidRPr="00332AB5">
        <w:rPr>
          <w:sz w:val="24"/>
          <w:szCs w:val="24"/>
        </w:rPr>
        <w:t xml:space="preserve">U okviru OPULJP-a tijekom izvještajnog razdoblja ugovoreno je </w:t>
      </w:r>
      <w:r w:rsidR="00795C76" w:rsidRPr="00332AB5">
        <w:rPr>
          <w:sz w:val="24"/>
          <w:szCs w:val="24"/>
        </w:rPr>
        <w:t>3,77</w:t>
      </w:r>
      <w:r w:rsidR="00386D3E" w:rsidRPr="00332AB5">
        <w:rPr>
          <w:sz w:val="24"/>
          <w:szCs w:val="24"/>
        </w:rPr>
        <w:t xml:space="preserve"> milijuna eura, </w:t>
      </w:r>
      <w:r w:rsidR="00CC7B9B" w:rsidRPr="00332AB5">
        <w:rPr>
          <w:sz w:val="24"/>
          <w:szCs w:val="24"/>
        </w:rPr>
        <w:t xml:space="preserve">a </w:t>
      </w:r>
      <w:r w:rsidRPr="00332AB5">
        <w:rPr>
          <w:sz w:val="24"/>
          <w:szCs w:val="24"/>
        </w:rPr>
        <w:t>plaćeno</w:t>
      </w:r>
      <w:r w:rsidR="00386D3E" w:rsidRPr="00332AB5">
        <w:rPr>
          <w:sz w:val="24"/>
          <w:szCs w:val="24"/>
        </w:rPr>
        <w:t xml:space="preserve"> je</w:t>
      </w:r>
      <w:r w:rsidRPr="00332AB5">
        <w:rPr>
          <w:sz w:val="24"/>
          <w:szCs w:val="24"/>
        </w:rPr>
        <w:t xml:space="preserve"> </w:t>
      </w:r>
      <w:r w:rsidR="00795C76" w:rsidRPr="00332AB5">
        <w:rPr>
          <w:sz w:val="24"/>
          <w:szCs w:val="24"/>
        </w:rPr>
        <w:t>146,52</w:t>
      </w:r>
      <w:r w:rsidRPr="00332AB5">
        <w:rPr>
          <w:sz w:val="24"/>
          <w:szCs w:val="24"/>
        </w:rPr>
        <w:t xml:space="preserve"> milijuna eura.</w:t>
      </w:r>
      <w:r w:rsidR="00386D3E" w:rsidRPr="00332AB5">
        <w:rPr>
          <w:sz w:val="24"/>
          <w:szCs w:val="24"/>
        </w:rPr>
        <w:t xml:space="preserve"> </w:t>
      </w:r>
      <w:r w:rsidRPr="00332AB5">
        <w:rPr>
          <w:sz w:val="24"/>
          <w:szCs w:val="24"/>
        </w:rPr>
        <w:t xml:space="preserve">Ukupno od početka provedbe do </w:t>
      </w:r>
      <w:r w:rsidR="0011067E" w:rsidRPr="00332AB5">
        <w:rPr>
          <w:sz w:val="24"/>
          <w:szCs w:val="24"/>
        </w:rPr>
        <w:t>30. lipnja 2023.</w:t>
      </w:r>
      <w:r w:rsidRPr="00332AB5">
        <w:rPr>
          <w:sz w:val="24"/>
          <w:szCs w:val="24"/>
        </w:rPr>
        <w:t xml:space="preserve"> ugovoreno je </w:t>
      </w:r>
      <w:r w:rsidR="006E6543" w:rsidRPr="00332AB5">
        <w:rPr>
          <w:sz w:val="24"/>
          <w:szCs w:val="24"/>
        </w:rPr>
        <w:t>120</w:t>
      </w:r>
      <w:r w:rsidRPr="00332AB5">
        <w:rPr>
          <w:sz w:val="24"/>
          <w:szCs w:val="24"/>
        </w:rPr>
        <w:t>,</w:t>
      </w:r>
      <w:r w:rsidR="00795C76" w:rsidRPr="00332AB5">
        <w:rPr>
          <w:sz w:val="24"/>
          <w:szCs w:val="24"/>
        </w:rPr>
        <w:t>98</w:t>
      </w:r>
      <w:r w:rsidR="006E6543" w:rsidRPr="00332AB5">
        <w:rPr>
          <w:sz w:val="24"/>
          <w:szCs w:val="24"/>
        </w:rPr>
        <w:t xml:space="preserve"> </w:t>
      </w:r>
      <w:r w:rsidRPr="00332AB5">
        <w:rPr>
          <w:sz w:val="24"/>
          <w:szCs w:val="24"/>
        </w:rPr>
        <w:t xml:space="preserve">% sredstava, dok je plaćeno </w:t>
      </w:r>
      <w:r w:rsidR="00795C76" w:rsidRPr="00332AB5">
        <w:rPr>
          <w:sz w:val="24"/>
          <w:szCs w:val="24"/>
        </w:rPr>
        <w:t xml:space="preserve">90,79 </w:t>
      </w:r>
      <w:r w:rsidRPr="00332AB5">
        <w:rPr>
          <w:sz w:val="24"/>
          <w:szCs w:val="24"/>
        </w:rPr>
        <w:t>% dodijeljenih sredstava.</w:t>
      </w:r>
    </w:p>
    <w:p w14:paraId="3451E616" w14:textId="29B427D3" w:rsidR="007E7544" w:rsidRPr="00332AB5" w:rsidRDefault="007E7544" w:rsidP="007E7544">
      <w:pPr>
        <w:spacing w:before="120" w:after="120"/>
        <w:jc w:val="both"/>
        <w:rPr>
          <w:sz w:val="24"/>
          <w:szCs w:val="24"/>
        </w:rPr>
      </w:pPr>
      <w:r w:rsidRPr="00332AB5">
        <w:rPr>
          <w:sz w:val="24"/>
          <w:szCs w:val="24"/>
        </w:rPr>
        <w:t xml:space="preserve">U okviru PRR-a tijekom izvještajnog razdoblja ugovoreno je </w:t>
      </w:r>
      <w:r w:rsidR="00EE495C" w:rsidRPr="00332AB5">
        <w:rPr>
          <w:sz w:val="24"/>
          <w:szCs w:val="24"/>
        </w:rPr>
        <w:t>230,95</w:t>
      </w:r>
      <w:r w:rsidRPr="00332AB5">
        <w:rPr>
          <w:sz w:val="24"/>
          <w:szCs w:val="24"/>
        </w:rPr>
        <w:t xml:space="preserve"> milijuna eura, a plaćeno </w:t>
      </w:r>
      <w:r w:rsidR="00EE495C" w:rsidRPr="00332AB5">
        <w:rPr>
          <w:sz w:val="24"/>
          <w:szCs w:val="24"/>
        </w:rPr>
        <w:t>238,44</w:t>
      </w:r>
      <w:r w:rsidRPr="00332AB5">
        <w:rPr>
          <w:sz w:val="24"/>
          <w:szCs w:val="24"/>
        </w:rPr>
        <w:t xml:space="preserve"> milijuna eura. Ukupno od početka provedbe do </w:t>
      </w:r>
      <w:r w:rsidR="0011067E" w:rsidRPr="00332AB5">
        <w:rPr>
          <w:sz w:val="24"/>
          <w:szCs w:val="24"/>
        </w:rPr>
        <w:t>30. lipnja 2023.</w:t>
      </w:r>
      <w:r w:rsidRPr="00332AB5">
        <w:rPr>
          <w:sz w:val="24"/>
          <w:szCs w:val="24"/>
        </w:rPr>
        <w:t xml:space="preserve"> ugovoreno je </w:t>
      </w:r>
      <w:r w:rsidR="00CC7B9B" w:rsidRPr="00332AB5">
        <w:rPr>
          <w:sz w:val="24"/>
          <w:szCs w:val="24"/>
        </w:rPr>
        <w:t>9</w:t>
      </w:r>
      <w:r w:rsidR="00EE495C" w:rsidRPr="00332AB5">
        <w:rPr>
          <w:sz w:val="24"/>
          <w:szCs w:val="24"/>
        </w:rPr>
        <w:t>9,27</w:t>
      </w:r>
      <w:r w:rsidRPr="00332AB5">
        <w:rPr>
          <w:sz w:val="24"/>
          <w:szCs w:val="24"/>
        </w:rPr>
        <w:t xml:space="preserve"> %, a plaćeno </w:t>
      </w:r>
      <w:r w:rsidR="00EE495C" w:rsidRPr="00332AB5">
        <w:rPr>
          <w:sz w:val="24"/>
          <w:szCs w:val="24"/>
        </w:rPr>
        <w:t>84,29</w:t>
      </w:r>
      <w:r w:rsidRPr="00332AB5">
        <w:rPr>
          <w:sz w:val="24"/>
          <w:szCs w:val="24"/>
        </w:rPr>
        <w:t xml:space="preserve"> % dodijeljenih sredstava.</w:t>
      </w:r>
    </w:p>
    <w:p w14:paraId="2A803113" w14:textId="545D2E2D" w:rsidR="001E4900" w:rsidRPr="00332AB5" w:rsidRDefault="001E4900" w:rsidP="00E2152B">
      <w:pPr>
        <w:spacing w:before="120" w:after="120"/>
        <w:jc w:val="both"/>
        <w:rPr>
          <w:sz w:val="24"/>
          <w:szCs w:val="24"/>
        </w:rPr>
      </w:pPr>
      <w:r w:rsidRPr="00332AB5">
        <w:rPr>
          <w:sz w:val="24"/>
          <w:szCs w:val="24"/>
        </w:rPr>
        <w:t xml:space="preserve">U okviru OPPiR-a tijekom izvještajnog razdoblja ugovoreno je </w:t>
      </w:r>
      <w:r w:rsidR="00EE495C" w:rsidRPr="00332AB5">
        <w:rPr>
          <w:sz w:val="24"/>
          <w:szCs w:val="24"/>
        </w:rPr>
        <w:t>18,17</w:t>
      </w:r>
      <w:r w:rsidRPr="00332AB5">
        <w:rPr>
          <w:sz w:val="24"/>
          <w:szCs w:val="24"/>
        </w:rPr>
        <w:t xml:space="preserve"> milijuna eura, a plaćeno je </w:t>
      </w:r>
      <w:r w:rsidR="00EE495C" w:rsidRPr="00332AB5">
        <w:rPr>
          <w:sz w:val="24"/>
          <w:szCs w:val="24"/>
        </w:rPr>
        <w:t>26,72</w:t>
      </w:r>
      <w:r w:rsidRPr="00332AB5">
        <w:rPr>
          <w:sz w:val="24"/>
          <w:szCs w:val="24"/>
        </w:rPr>
        <w:t xml:space="preserve"> milijuna eura. </w:t>
      </w:r>
      <w:r w:rsidR="009F23C8" w:rsidRPr="00332AB5">
        <w:rPr>
          <w:sz w:val="24"/>
          <w:szCs w:val="24"/>
        </w:rPr>
        <w:t>Ukupn</w:t>
      </w:r>
      <w:r w:rsidRPr="00332AB5">
        <w:rPr>
          <w:sz w:val="24"/>
          <w:szCs w:val="24"/>
        </w:rPr>
        <w:t>o</w:t>
      </w:r>
      <w:r w:rsidR="009F23C8" w:rsidRPr="00332AB5">
        <w:rPr>
          <w:sz w:val="24"/>
          <w:szCs w:val="24"/>
        </w:rPr>
        <w:t xml:space="preserve"> </w:t>
      </w:r>
      <w:r w:rsidRPr="00332AB5">
        <w:rPr>
          <w:sz w:val="24"/>
          <w:szCs w:val="24"/>
        </w:rPr>
        <w:t xml:space="preserve">od početka provedbe do </w:t>
      </w:r>
      <w:r w:rsidR="0011067E" w:rsidRPr="00332AB5">
        <w:rPr>
          <w:sz w:val="24"/>
          <w:szCs w:val="24"/>
        </w:rPr>
        <w:t>30. lipnja 2023.</w:t>
      </w:r>
      <w:r w:rsidR="006612EF" w:rsidRPr="00332AB5">
        <w:rPr>
          <w:sz w:val="24"/>
          <w:szCs w:val="24"/>
        </w:rPr>
        <w:t xml:space="preserve"> </w:t>
      </w:r>
      <w:r w:rsidRPr="00332AB5">
        <w:rPr>
          <w:sz w:val="24"/>
          <w:szCs w:val="24"/>
        </w:rPr>
        <w:t xml:space="preserve">ugovoreno je </w:t>
      </w:r>
      <w:r w:rsidR="00EE495C" w:rsidRPr="00332AB5">
        <w:rPr>
          <w:sz w:val="24"/>
          <w:szCs w:val="24"/>
        </w:rPr>
        <w:t>110,61</w:t>
      </w:r>
      <w:r w:rsidR="000C006E" w:rsidRPr="00332AB5">
        <w:rPr>
          <w:sz w:val="24"/>
          <w:szCs w:val="24"/>
        </w:rPr>
        <w:t xml:space="preserve"> %</w:t>
      </w:r>
      <w:r w:rsidRPr="00332AB5">
        <w:rPr>
          <w:sz w:val="24"/>
          <w:szCs w:val="24"/>
        </w:rPr>
        <w:t xml:space="preserve">, dok je plaćeno </w:t>
      </w:r>
      <w:r w:rsidR="00EE495C" w:rsidRPr="00332AB5">
        <w:rPr>
          <w:sz w:val="24"/>
          <w:szCs w:val="24"/>
        </w:rPr>
        <w:t>65,85</w:t>
      </w:r>
      <w:r w:rsidR="000C006E" w:rsidRPr="00332AB5">
        <w:rPr>
          <w:sz w:val="24"/>
          <w:szCs w:val="24"/>
        </w:rPr>
        <w:t xml:space="preserve"> %</w:t>
      </w:r>
      <w:r w:rsidRPr="00332AB5">
        <w:rPr>
          <w:sz w:val="24"/>
          <w:szCs w:val="24"/>
        </w:rPr>
        <w:t xml:space="preserve"> dodijeljenih sredstava.</w:t>
      </w:r>
    </w:p>
    <w:p w14:paraId="2759BC7E" w14:textId="4ECAA8EC" w:rsidR="00D950E3" w:rsidRPr="00332AB5" w:rsidRDefault="00D950E3" w:rsidP="00D950E3">
      <w:pPr>
        <w:spacing w:before="120" w:after="120"/>
        <w:jc w:val="both"/>
        <w:rPr>
          <w:sz w:val="24"/>
          <w:szCs w:val="24"/>
        </w:rPr>
      </w:pPr>
      <w:r w:rsidRPr="00332AB5">
        <w:rPr>
          <w:sz w:val="24"/>
          <w:szCs w:val="24"/>
        </w:rPr>
        <w:t xml:space="preserve">Iz instrumenata NEXT GENERATION EU je tijekom izvještajnog razdoblja ukupno ugovoreno 603,67 milijuna eura, plaćanja izvršena prema krajnjim korisnicima iznose </w:t>
      </w:r>
      <w:r w:rsidRPr="00332AB5">
        <w:rPr>
          <w:sz w:val="24"/>
          <w:szCs w:val="24"/>
          <w:lang w:bidi="ta-IN"/>
        </w:rPr>
        <w:t xml:space="preserve">619,04 milijuna </w:t>
      </w:r>
      <w:r w:rsidRPr="00332AB5">
        <w:rPr>
          <w:sz w:val="24"/>
          <w:szCs w:val="24"/>
        </w:rPr>
        <w:t>eura te je ovjereno 8,55 milijuna eura.</w:t>
      </w:r>
    </w:p>
    <w:p w14:paraId="38A10404" w14:textId="63EB8B54" w:rsidR="00D950E3" w:rsidRPr="00332AB5" w:rsidRDefault="00D950E3" w:rsidP="00D950E3">
      <w:pPr>
        <w:spacing w:before="120" w:after="120"/>
        <w:jc w:val="both"/>
        <w:rPr>
          <w:sz w:val="24"/>
          <w:szCs w:val="24"/>
        </w:rPr>
      </w:pPr>
      <w:r w:rsidRPr="00332AB5">
        <w:rPr>
          <w:sz w:val="24"/>
          <w:szCs w:val="24"/>
        </w:rPr>
        <w:t xml:space="preserve">Do 30. lipnja 2023. ukupno je ugovoreno </w:t>
      </w:r>
      <w:r w:rsidR="007B2EFC" w:rsidRPr="00332AB5">
        <w:rPr>
          <w:sz w:val="24"/>
          <w:szCs w:val="24"/>
        </w:rPr>
        <w:t xml:space="preserve">791,12 milijuna eura </w:t>
      </w:r>
      <w:r w:rsidRPr="00332AB5">
        <w:rPr>
          <w:sz w:val="24"/>
          <w:szCs w:val="24"/>
        </w:rPr>
        <w:t xml:space="preserve">što iznosi </w:t>
      </w:r>
      <w:r w:rsidR="007B2EFC" w:rsidRPr="00332AB5">
        <w:rPr>
          <w:sz w:val="24"/>
          <w:szCs w:val="24"/>
        </w:rPr>
        <w:t xml:space="preserve">91,54 </w:t>
      </w:r>
      <w:r w:rsidRPr="00332AB5">
        <w:rPr>
          <w:sz w:val="24"/>
          <w:szCs w:val="24"/>
        </w:rPr>
        <w:t xml:space="preserve">% od ukupno dodijeljenih sredstava. Ukupna plaćanja iznose </w:t>
      </w:r>
      <w:r w:rsidR="007B2EFC" w:rsidRPr="00332AB5">
        <w:rPr>
          <w:sz w:val="24"/>
          <w:szCs w:val="24"/>
        </w:rPr>
        <w:t xml:space="preserve">714,16 milijuna </w:t>
      </w:r>
      <w:r w:rsidRPr="00332AB5">
        <w:rPr>
          <w:sz w:val="24"/>
          <w:szCs w:val="24"/>
        </w:rPr>
        <w:t xml:space="preserve">eura, odnosno </w:t>
      </w:r>
      <w:r w:rsidR="007B2EFC" w:rsidRPr="00332AB5">
        <w:rPr>
          <w:sz w:val="24"/>
          <w:szCs w:val="24"/>
        </w:rPr>
        <w:t xml:space="preserve">82,64 </w:t>
      </w:r>
      <w:r w:rsidRPr="00332AB5">
        <w:rPr>
          <w:sz w:val="24"/>
          <w:szCs w:val="24"/>
        </w:rPr>
        <w:t xml:space="preserve">% od ukupno dodijeljenih sredstava te je ukupno ovjereno </w:t>
      </w:r>
      <w:r w:rsidR="007B2EFC" w:rsidRPr="00332AB5">
        <w:rPr>
          <w:sz w:val="24"/>
          <w:szCs w:val="24"/>
        </w:rPr>
        <w:t xml:space="preserve">47,73 milijuna </w:t>
      </w:r>
      <w:r w:rsidRPr="00332AB5">
        <w:rPr>
          <w:sz w:val="24"/>
          <w:szCs w:val="24"/>
        </w:rPr>
        <w:t xml:space="preserve">eura, odnosno </w:t>
      </w:r>
      <w:r w:rsidR="007B2EFC" w:rsidRPr="00332AB5">
        <w:rPr>
          <w:sz w:val="24"/>
          <w:szCs w:val="24"/>
        </w:rPr>
        <w:t>5,52</w:t>
      </w:r>
      <w:r w:rsidRPr="00332AB5">
        <w:rPr>
          <w:sz w:val="24"/>
          <w:szCs w:val="24"/>
        </w:rPr>
        <w:t xml:space="preserve"> %</w:t>
      </w:r>
      <w:r w:rsidRPr="00332AB5">
        <w:t xml:space="preserve"> </w:t>
      </w:r>
      <w:r w:rsidRPr="00332AB5">
        <w:rPr>
          <w:sz w:val="24"/>
          <w:szCs w:val="24"/>
        </w:rPr>
        <w:t>od ukupno dodijeljenih sredstava.</w:t>
      </w:r>
    </w:p>
    <w:p w14:paraId="20D598E5" w14:textId="0B9AF34C" w:rsidR="0037609C" w:rsidRPr="00332AB5" w:rsidRDefault="004F5953" w:rsidP="0037609C">
      <w:pPr>
        <w:spacing w:before="120" w:after="120"/>
        <w:jc w:val="both"/>
        <w:rPr>
          <w:sz w:val="24"/>
          <w:szCs w:val="24"/>
        </w:rPr>
      </w:pPr>
      <w:r w:rsidRPr="00332AB5">
        <w:rPr>
          <w:sz w:val="24"/>
          <w:szCs w:val="24"/>
        </w:rPr>
        <w:t>Iz EU fondova za razdoblje 2007. – 2013. u RH tijekom izvještajnog razdoblja</w:t>
      </w:r>
      <w:r w:rsidR="00901D95" w:rsidRPr="00332AB5">
        <w:rPr>
          <w:sz w:val="24"/>
          <w:szCs w:val="24"/>
        </w:rPr>
        <w:t xml:space="preserve"> </w:t>
      </w:r>
      <w:r w:rsidR="0037609C" w:rsidRPr="00332AB5">
        <w:rPr>
          <w:sz w:val="24"/>
          <w:szCs w:val="24"/>
        </w:rPr>
        <w:t xml:space="preserve">nije bilo </w:t>
      </w:r>
      <w:r w:rsidR="00B56CF0" w:rsidRPr="00332AB5">
        <w:rPr>
          <w:sz w:val="24"/>
          <w:szCs w:val="24"/>
        </w:rPr>
        <w:t xml:space="preserve">novih </w:t>
      </w:r>
      <w:r w:rsidR="0037609C" w:rsidRPr="00332AB5">
        <w:rPr>
          <w:sz w:val="24"/>
          <w:szCs w:val="24"/>
        </w:rPr>
        <w:t>ugovaranja</w:t>
      </w:r>
      <w:r w:rsidR="00B56CF0" w:rsidRPr="00332AB5">
        <w:rPr>
          <w:sz w:val="24"/>
          <w:szCs w:val="24"/>
        </w:rPr>
        <w:t xml:space="preserve">, </w:t>
      </w:r>
      <w:r w:rsidR="00A80453" w:rsidRPr="00332AB5">
        <w:rPr>
          <w:sz w:val="24"/>
          <w:szCs w:val="24"/>
        </w:rPr>
        <w:t>plaćanja i ovjeravanja</w:t>
      </w:r>
      <w:r w:rsidR="00250BD5" w:rsidRPr="00332AB5">
        <w:rPr>
          <w:sz w:val="24"/>
          <w:szCs w:val="24"/>
        </w:rPr>
        <w:t>,</w:t>
      </w:r>
      <w:r w:rsidR="00EF6E66" w:rsidRPr="00332AB5">
        <w:rPr>
          <w:sz w:val="24"/>
          <w:szCs w:val="24"/>
        </w:rPr>
        <w:t xml:space="preserve"> </w:t>
      </w:r>
      <w:r w:rsidR="00250BD5" w:rsidRPr="00332AB5">
        <w:rPr>
          <w:sz w:val="24"/>
          <w:szCs w:val="24"/>
        </w:rPr>
        <w:t>već je bilo manjih promjena u doznačenim sredstvima.</w:t>
      </w:r>
    </w:p>
    <w:p w14:paraId="12E765F8" w14:textId="67ED92A5" w:rsidR="000410BA" w:rsidRPr="00332AB5" w:rsidRDefault="004F5953" w:rsidP="000410BA">
      <w:pPr>
        <w:spacing w:before="120" w:after="120"/>
        <w:jc w:val="both"/>
        <w:rPr>
          <w:sz w:val="24"/>
          <w:szCs w:val="24"/>
        </w:rPr>
      </w:pPr>
      <w:r w:rsidRPr="00332AB5">
        <w:rPr>
          <w:sz w:val="24"/>
          <w:szCs w:val="24"/>
        </w:rPr>
        <w:t xml:space="preserve">Do </w:t>
      </w:r>
      <w:r w:rsidR="0011067E" w:rsidRPr="00332AB5">
        <w:rPr>
          <w:sz w:val="24"/>
          <w:szCs w:val="24"/>
        </w:rPr>
        <w:t>30. lipnja 2023.</w:t>
      </w:r>
      <w:r w:rsidR="006612EF" w:rsidRPr="00332AB5">
        <w:rPr>
          <w:sz w:val="24"/>
          <w:szCs w:val="24"/>
        </w:rPr>
        <w:t xml:space="preserve"> </w:t>
      </w:r>
      <w:r w:rsidRPr="00332AB5">
        <w:rPr>
          <w:sz w:val="24"/>
          <w:szCs w:val="24"/>
        </w:rPr>
        <w:t>ukupno je ugovoreno 1,</w:t>
      </w:r>
      <w:r w:rsidR="00424B15" w:rsidRPr="00332AB5">
        <w:rPr>
          <w:sz w:val="24"/>
          <w:szCs w:val="24"/>
        </w:rPr>
        <w:t>2</w:t>
      </w:r>
      <w:r w:rsidR="00A80453" w:rsidRPr="00332AB5">
        <w:rPr>
          <w:sz w:val="24"/>
          <w:szCs w:val="24"/>
        </w:rPr>
        <w:t>8</w:t>
      </w:r>
      <w:r w:rsidR="00424B15" w:rsidRPr="00332AB5">
        <w:rPr>
          <w:sz w:val="24"/>
          <w:szCs w:val="24"/>
        </w:rPr>
        <w:t xml:space="preserve"> </w:t>
      </w:r>
      <w:r w:rsidRPr="00332AB5">
        <w:rPr>
          <w:sz w:val="24"/>
          <w:szCs w:val="24"/>
        </w:rPr>
        <w:t xml:space="preserve">milijardi eura, odnosno </w:t>
      </w:r>
      <w:r w:rsidR="00424B15" w:rsidRPr="00332AB5">
        <w:rPr>
          <w:sz w:val="24"/>
          <w:szCs w:val="24"/>
        </w:rPr>
        <w:t>99,</w:t>
      </w:r>
      <w:r w:rsidR="00A80453" w:rsidRPr="00332AB5">
        <w:rPr>
          <w:sz w:val="24"/>
          <w:szCs w:val="24"/>
        </w:rPr>
        <w:t>66</w:t>
      </w:r>
      <w:r w:rsidR="000C006E" w:rsidRPr="00332AB5">
        <w:rPr>
          <w:sz w:val="24"/>
          <w:szCs w:val="24"/>
        </w:rPr>
        <w:t xml:space="preserve"> %</w:t>
      </w:r>
      <w:r w:rsidRPr="00332AB5">
        <w:rPr>
          <w:sz w:val="24"/>
          <w:szCs w:val="24"/>
        </w:rPr>
        <w:t xml:space="preserve"> dodijeljenih sredstava. Istovrem</w:t>
      </w:r>
      <w:r w:rsidR="00990DBA" w:rsidRPr="00332AB5">
        <w:rPr>
          <w:sz w:val="24"/>
          <w:szCs w:val="24"/>
        </w:rPr>
        <w:t>eno je korisnicima isplaćeno 1,</w:t>
      </w:r>
      <w:r w:rsidR="00AE361B" w:rsidRPr="00332AB5">
        <w:rPr>
          <w:sz w:val="24"/>
          <w:szCs w:val="24"/>
        </w:rPr>
        <w:t>13</w:t>
      </w:r>
      <w:r w:rsidR="00143F46" w:rsidRPr="00332AB5">
        <w:rPr>
          <w:sz w:val="24"/>
          <w:szCs w:val="24"/>
        </w:rPr>
        <w:t xml:space="preserve"> </w:t>
      </w:r>
      <w:r w:rsidRPr="00332AB5">
        <w:rPr>
          <w:sz w:val="24"/>
          <w:szCs w:val="24"/>
        </w:rPr>
        <w:t xml:space="preserve">milijardi eura, odnosno </w:t>
      </w:r>
      <w:r w:rsidR="00AE361B" w:rsidRPr="00332AB5">
        <w:rPr>
          <w:sz w:val="24"/>
          <w:szCs w:val="24"/>
        </w:rPr>
        <w:t>88,06</w:t>
      </w:r>
      <w:r w:rsidR="00990DBA" w:rsidRPr="00332AB5">
        <w:rPr>
          <w:sz w:val="24"/>
          <w:szCs w:val="24"/>
        </w:rPr>
        <w:t xml:space="preserve"> % </w:t>
      </w:r>
      <w:r w:rsidRPr="00332AB5">
        <w:rPr>
          <w:sz w:val="24"/>
          <w:szCs w:val="24"/>
        </w:rPr>
        <w:t>dodijeljenih sredstava.</w:t>
      </w:r>
    </w:p>
    <w:p w14:paraId="4C339951" w14:textId="56676097" w:rsidR="00363764" w:rsidRPr="00332AB5" w:rsidRDefault="00363764" w:rsidP="000410BA">
      <w:pPr>
        <w:spacing w:before="120" w:after="120"/>
        <w:jc w:val="both"/>
        <w:rPr>
          <w:b/>
          <w:bCs/>
          <w:sz w:val="24"/>
          <w:szCs w:val="24"/>
        </w:rPr>
      </w:pPr>
      <w:r w:rsidRPr="00332AB5">
        <w:rPr>
          <w:b/>
          <w:bCs/>
          <w:sz w:val="24"/>
          <w:szCs w:val="24"/>
        </w:rPr>
        <w:t>NEPRAVILNOSTI</w:t>
      </w:r>
    </w:p>
    <w:bookmarkEnd w:id="187"/>
    <w:p w14:paraId="4762E062" w14:textId="075600CB" w:rsidR="00EE495C" w:rsidRPr="00332AB5" w:rsidRDefault="00EE495C" w:rsidP="00EE495C">
      <w:pPr>
        <w:spacing w:before="120" w:after="120"/>
        <w:jc w:val="both"/>
        <w:rPr>
          <w:color w:val="000000"/>
          <w:sz w:val="24"/>
          <w:szCs w:val="24"/>
        </w:rPr>
      </w:pPr>
      <w:r w:rsidRPr="00332AB5">
        <w:rPr>
          <w:color w:val="000000"/>
          <w:sz w:val="24"/>
          <w:szCs w:val="24"/>
        </w:rPr>
        <w:t>U razdoblju od početka financijskog razdoblja 2007. - 2013. do kraja drugog tromjesečja 2023. Europskom uredu za borbu protiv prijevara (OLAF) prijavljena su 593 slučaja nepravilnosti u provedbi (operativnih) programa financijskog razdoblja 2007. - 2013. i (operativnih) programa financijskog razdoblja 2014. - 2020. Među navedenim slučajevima nepravilnosti, zatvoreno je njih 203 (34,23 % prijavljenih slučajeva nepravilnosti). Razlika u broju zatvorenih slučajeva nepravilnosti u odnosu na prethodno izvještajno razdoblje proizlazi iz činjenice da je OLAF ponovo otvorio prethodno zatvorene slučajeve radi izmjena i dopuna izvještaja o nepravilnostima podacima koji su nedostajali, a što je velikim dijelom uzrokovano nedostacima u OLAF-ovom elektroničkom sustavu za izvještavanje o nepravilnostima (</w:t>
      </w:r>
      <w:r w:rsidRPr="00332AB5">
        <w:rPr>
          <w:i/>
          <w:color w:val="000000"/>
          <w:sz w:val="24"/>
          <w:szCs w:val="24"/>
        </w:rPr>
        <w:t>Irregularity Management System, IMS</w:t>
      </w:r>
      <w:r w:rsidRPr="00332AB5">
        <w:rPr>
          <w:color w:val="000000"/>
          <w:sz w:val="24"/>
          <w:szCs w:val="24"/>
        </w:rPr>
        <w:t xml:space="preserve">) koji su u procesu rješavanja. </w:t>
      </w:r>
    </w:p>
    <w:p w14:paraId="3746E578" w14:textId="77777777" w:rsidR="00EE495C" w:rsidRPr="00332AB5" w:rsidRDefault="00EE495C" w:rsidP="00EE495C">
      <w:pPr>
        <w:spacing w:before="120" w:after="120"/>
        <w:jc w:val="both"/>
        <w:rPr>
          <w:color w:val="000000"/>
          <w:sz w:val="24"/>
          <w:szCs w:val="24"/>
        </w:rPr>
      </w:pPr>
      <w:r w:rsidRPr="00332AB5">
        <w:rPr>
          <w:color w:val="000000"/>
          <w:sz w:val="24"/>
          <w:szCs w:val="24"/>
        </w:rPr>
        <w:t xml:space="preserve">Iznos koji se odnosi na nepravilnosti prijavljene OLAF-u u razdoblju od II. tromjesečja 2008. do kraja drugog tromjesečja 2023. čini otprilike 88,00 milijuna eura, od čega je EK-u ovjereno 56,22 milijuna eura (63,92 % ukupnog iznosa nepravilnosti). </w:t>
      </w:r>
    </w:p>
    <w:p w14:paraId="35DE0C94" w14:textId="77777777" w:rsidR="00EE495C" w:rsidRPr="00332AB5" w:rsidRDefault="00EE495C" w:rsidP="00EE495C">
      <w:pPr>
        <w:spacing w:before="120" w:after="120"/>
        <w:jc w:val="both"/>
        <w:rPr>
          <w:color w:val="000000"/>
          <w:sz w:val="24"/>
          <w:szCs w:val="24"/>
        </w:rPr>
      </w:pPr>
      <w:r w:rsidRPr="00332AB5">
        <w:rPr>
          <w:color w:val="000000"/>
          <w:sz w:val="24"/>
          <w:szCs w:val="24"/>
        </w:rPr>
        <w:t xml:space="preserve">Ako se promatra </w:t>
      </w:r>
      <w:r w:rsidRPr="00332AB5">
        <w:rPr>
          <w:b/>
          <w:color w:val="000000"/>
          <w:sz w:val="24"/>
          <w:szCs w:val="24"/>
        </w:rPr>
        <w:t>broj nepravilnosti</w:t>
      </w:r>
      <w:r w:rsidRPr="00332AB5">
        <w:rPr>
          <w:color w:val="000000"/>
          <w:sz w:val="24"/>
          <w:szCs w:val="24"/>
        </w:rPr>
        <w:t xml:space="preserve">, u </w:t>
      </w:r>
      <w:r w:rsidRPr="00332AB5">
        <w:rPr>
          <w:b/>
          <w:color w:val="000000"/>
          <w:sz w:val="24"/>
          <w:szCs w:val="24"/>
        </w:rPr>
        <w:t>financijskom razdoblju 2007. - 2013.,</w:t>
      </w:r>
      <w:r w:rsidRPr="00332AB5">
        <w:rPr>
          <w:color w:val="000000"/>
          <w:sz w:val="24"/>
          <w:szCs w:val="24"/>
        </w:rPr>
        <w:t xml:space="preserve"> najveći dio nepravilnosti odnosio se na komponentu II programa IPA – Prekogranična suradnja (31,68 %), nakon čega slijede IPARD (19,25 %) i EFRR (18,01 %). Ako se, s druge strane, promatra </w:t>
      </w:r>
      <w:r w:rsidRPr="00332AB5">
        <w:rPr>
          <w:b/>
          <w:color w:val="000000"/>
          <w:sz w:val="24"/>
          <w:szCs w:val="24"/>
        </w:rPr>
        <w:t>iznos nepravilnosti</w:t>
      </w:r>
      <w:r w:rsidRPr="00332AB5">
        <w:rPr>
          <w:color w:val="000000"/>
          <w:sz w:val="24"/>
          <w:szCs w:val="24"/>
        </w:rPr>
        <w:t xml:space="preserve"> u istom razdoblju, najveći udio u ukupnom iznosu nepravilnosti imaju EFRR (</w:t>
      </w:r>
      <w:r w:rsidRPr="00332AB5">
        <w:rPr>
          <w:sz w:val="24"/>
          <w:szCs w:val="24"/>
        </w:rPr>
        <w:t>58,</w:t>
      </w:r>
      <w:r w:rsidRPr="00332AB5">
        <w:rPr>
          <w:color w:val="000000"/>
          <w:sz w:val="24"/>
          <w:szCs w:val="24"/>
        </w:rPr>
        <w:t>22 %), KF (14,96 %) i IPARD (11,83 %).</w:t>
      </w:r>
    </w:p>
    <w:p w14:paraId="22955765" w14:textId="77777777" w:rsidR="00EE495C" w:rsidRPr="00332AB5" w:rsidRDefault="00EE495C" w:rsidP="00EE495C">
      <w:pPr>
        <w:spacing w:before="120" w:after="120"/>
        <w:jc w:val="both"/>
        <w:rPr>
          <w:color w:val="000000"/>
          <w:sz w:val="24"/>
          <w:szCs w:val="24"/>
        </w:rPr>
      </w:pPr>
      <w:r w:rsidRPr="00332AB5">
        <w:rPr>
          <w:b/>
          <w:color w:val="000000"/>
          <w:sz w:val="24"/>
          <w:szCs w:val="24"/>
        </w:rPr>
        <w:t>U financijskom razdoblju 2014. - 2020.</w:t>
      </w:r>
      <w:r w:rsidRPr="00332AB5">
        <w:rPr>
          <w:color w:val="000000"/>
          <w:sz w:val="24"/>
          <w:szCs w:val="24"/>
        </w:rPr>
        <w:t xml:space="preserve">, najveći </w:t>
      </w:r>
      <w:r w:rsidRPr="00332AB5">
        <w:rPr>
          <w:b/>
          <w:color w:val="000000"/>
          <w:sz w:val="24"/>
          <w:szCs w:val="24"/>
        </w:rPr>
        <w:t>broj nepravilnosti</w:t>
      </w:r>
      <w:r w:rsidRPr="00332AB5">
        <w:rPr>
          <w:color w:val="000000"/>
          <w:sz w:val="24"/>
          <w:szCs w:val="24"/>
        </w:rPr>
        <w:t xml:space="preserve"> utvrđen je u okviru EPFRR-a (59,95 %), nakon čega slijede EFRR (15,51 %) i ESF (12,04 %). Ako se promatra </w:t>
      </w:r>
      <w:r w:rsidRPr="00332AB5">
        <w:rPr>
          <w:b/>
          <w:color w:val="000000"/>
          <w:sz w:val="24"/>
          <w:szCs w:val="24"/>
        </w:rPr>
        <w:t>iznos nepravilnosti</w:t>
      </w:r>
      <w:r w:rsidRPr="00332AB5">
        <w:rPr>
          <w:color w:val="000000"/>
          <w:sz w:val="24"/>
          <w:szCs w:val="24"/>
        </w:rPr>
        <w:t xml:space="preserve"> u istom razdoblju, najveći udio u ukupnom iznosu nepravilnosti imaju KF (36,38 %), EFRR (21,91 %) i ESF (19,39 %).</w:t>
      </w:r>
    </w:p>
    <w:p w14:paraId="4E9DC512" w14:textId="159E1032" w:rsidR="00B513E7" w:rsidRPr="00332AB5" w:rsidRDefault="00B513E7" w:rsidP="000F32FF"/>
    <w:p w14:paraId="6BCF7371" w14:textId="77777777" w:rsidR="00BB4754" w:rsidRPr="00332AB5" w:rsidRDefault="00BB4754">
      <w:pPr>
        <w:rPr>
          <w:b/>
          <w:caps/>
          <w:sz w:val="28"/>
        </w:rPr>
      </w:pPr>
      <w:r w:rsidRPr="00332AB5">
        <w:br w:type="page"/>
      </w:r>
    </w:p>
    <w:p w14:paraId="30307465" w14:textId="368D7508" w:rsidR="00454102" w:rsidRPr="00332AB5" w:rsidRDefault="00454102" w:rsidP="00E2152B">
      <w:pPr>
        <w:pStyle w:val="Heading1"/>
        <w:numPr>
          <w:ilvl w:val="0"/>
          <w:numId w:val="0"/>
        </w:numPr>
        <w:ind w:left="454" w:hanging="454"/>
        <w:jc w:val="both"/>
      </w:pPr>
      <w:bookmarkStart w:id="188" w:name="_Toc152595272"/>
      <w:r w:rsidRPr="00332AB5">
        <w:t>Kratice</w:t>
      </w:r>
      <w:bookmarkEnd w:id="18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F82AB3" w:rsidRPr="00332AB5" w14:paraId="453564E4" w14:textId="77777777" w:rsidTr="002E0ADB">
        <w:tc>
          <w:tcPr>
            <w:tcW w:w="2263" w:type="dxa"/>
            <w:shd w:val="clear" w:color="auto" w:fill="auto"/>
          </w:tcPr>
          <w:p w14:paraId="4DEE210E" w14:textId="77777777" w:rsidR="00F82AB3" w:rsidRPr="00332AB5" w:rsidRDefault="00F82AB3" w:rsidP="00F82AB3">
            <w:pPr>
              <w:spacing w:before="60" w:after="60"/>
              <w:rPr>
                <w:sz w:val="24"/>
                <w:szCs w:val="24"/>
              </w:rPr>
            </w:pPr>
            <w:r w:rsidRPr="00332AB5">
              <w:rPr>
                <w:sz w:val="24"/>
                <w:szCs w:val="24"/>
              </w:rPr>
              <w:t>AFCOS-sustav</w:t>
            </w:r>
          </w:p>
        </w:tc>
        <w:tc>
          <w:tcPr>
            <w:tcW w:w="6799" w:type="dxa"/>
            <w:shd w:val="clear" w:color="auto" w:fill="auto"/>
          </w:tcPr>
          <w:p w14:paraId="4376F22C" w14:textId="77777777" w:rsidR="00F82AB3" w:rsidRPr="00332AB5" w:rsidRDefault="00F82AB3" w:rsidP="00F82AB3">
            <w:pPr>
              <w:spacing w:before="60" w:after="60"/>
              <w:jc w:val="both"/>
              <w:rPr>
                <w:sz w:val="24"/>
                <w:szCs w:val="24"/>
              </w:rPr>
            </w:pPr>
            <w:r w:rsidRPr="00332AB5">
              <w:rPr>
                <w:sz w:val="24"/>
                <w:szCs w:val="24"/>
              </w:rPr>
              <w:t xml:space="preserve">Sustav za suzbijanje nepravilnosti i prijevara </w:t>
            </w:r>
          </w:p>
        </w:tc>
      </w:tr>
      <w:tr w:rsidR="00AA5DF3" w:rsidRPr="00332AB5" w14:paraId="01EFC743" w14:textId="77777777" w:rsidTr="002E0ADB">
        <w:tc>
          <w:tcPr>
            <w:tcW w:w="2263" w:type="dxa"/>
            <w:shd w:val="clear" w:color="auto" w:fill="auto"/>
          </w:tcPr>
          <w:p w14:paraId="2C6C4FAD" w14:textId="77777777" w:rsidR="00061C66" w:rsidRPr="00332AB5" w:rsidRDefault="00061C66" w:rsidP="00E2152B">
            <w:pPr>
              <w:spacing w:before="60" w:after="60"/>
              <w:rPr>
                <w:sz w:val="24"/>
                <w:szCs w:val="24"/>
              </w:rPr>
            </w:pPr>
            <w:r w:rsidRPr="00332AB5">
              <w:rPr>
                <w:sz w:val="24"/>
                <w:szCs w:val="24"/>
              </w:rPr>
              <w:t>ARPA</w:t>
            </w:r>
          </w:p>
        </w:tc>
        <w:tc>
          <w:tcPr>
            <w:tcW w:w="6799" w:type="dxa"/>
            <w:shd w:val="clear" w:color="auto" w:fill="auto"/>
          </w:tcPr>
          <w:p w14:paraId="52397950" w14:textId="77777777" w:rsidR="00061C66" w:rsidRPr="00332AB5" w:rsidRDefault="00061C66" w:rsidP="00E2152B">
            <w:pPr>
              <w:spacing w:before="60" w:after="60"/>
              <w:jc w:val="both"/>
              <w:rPr>
                <w:sz w:val="24"/>
                <w:szCs w:val="24"/>
              </w:rPr>
            </w:pPr>
            <w:r w:rsidRPr="00332AB5">
              <w:rPr>
                <w:sz w:val="24"/>
                <w:szCs w:val="24"/>
              </w:rPr>
              <w:t>Agencija za reviziju sustava provedbe programa Europske unije</w:t>
            </w:r>
          </w:p>
        </w:tc>
      </w:tr>
      <w:tr w:rsidR="00AA5DF3" w:rsidRPr="00332AB5" w14:paraId="4E12598B" w14:textId="77777777" w:rsidTr="002E0ADB">
        <w:tc>
          <w:tcPr>
            <w:tcW w:w="2263" w:type="dxa"/>
            <w:shd w:val="clear" w:color="auto" w:fill="auto"/>
          </w:tcPr>
          <w:p w14:paraId="66BBF69B" w14:textId="77777777" w:rsidR="001D24A1" w:rsidRPr="00332AB5" w:rsidRDefault="001D24A1" w:rsidP="00E2152B">
            <w:pPr>
              <w:spacing w:before="60" w:after="60"/>
              <w:rPr>
                <w:sz w:val="24"/>
                <w:szCs w:val="24"/>
              </w:rPr>
            </w:pPr>
            <w:r w:rsidRPr="00332AB5">
              <w:rPr>
                <w:sz w:val="24"/>
                <w:szCs w:val="24"/>
              </w:rPr>
              <w:t>EFPR</w:t>
            </w:r>
          </w:p>
        </w:tc>
        <w:tc>
          <w:tcPr>
            <w:tcW w:w="6799" w:type="dxa"/>
            <w:shd w:val="clear" w:color="auto" w:fill="auto"/>
          </w:tcPr>
          <w:p w14:paraId="53F08B06" w14:textId="77777777" w:rsidR="001D24A1" w:rsidRPr="00332AB5" w:rsidRDefault="001D24A1" w:rsidP="00E2152B">
            <w:pPr>
              <w:spacing w:before="60" w:after="60"/>
              <w:jc w:val="both"/>
              <w:rPr>
                <w:sz w:val="24"/>
                <w:szCs w:val="24"/>
              </w:rPr>
            </w:pPr>
            <w:r w:rsidRPr="00332AB5">
              <w:rPr>
                <w:sz w:val="24"/>
                <w:szCs w:val="24"/>
              </w:rPr>
              <w:t>Europski fond za pomorstvo i ribarstvo</w:t>
            </w:r>
          </w:p>
        </w:tc>
      </w:tr>
      <w:tr w:rsidR="00AA5DF3" w:rsidRPr="00332AB5" w14:paraId="5A6A467A" w14:textId="77777777" w:rsidTr="002E0ADB">
        <w:tc>
          <w:tcPr>
            <w:tcW w:w="2263" w:type="dxa"/>
            <w:shd w:val="clear" w:color="auto" w:fill="auto"/>
          </w:tcPr>
          <w:p w14:paraId="310206B5" w14:textId="77777777" w:rsidR="001D24A1" w:rsidRPr="00332AB5" w:rsidRDefault="001D24A1" w:rsidP="00E2152B">
            <w:pPr>
              <w:spacing w:before="60" w:after="60"/>
              <w:rPr>
                <w:sz w:val="24"/>
                <w:szCs w:val="24"/>
              </w:rPr>
            </w:pPr>
            <w:r w:rsidRPr="00332AB5">
              <w:rPr>
                <w:sz w:val="24"/>
                <w:szCs w:val="24"/>
              </w:rPr>
              <w:t>EFR</w:t>
            </w:r>
          </w:p>
        </w:tc>
        <w:tc>
          <w:tcPr>
            <w:tcW w:w="6799" w:type="dxa"/>
            <w:shd w:val="clear" w:color="auto" w:fill="auto"/>
          </w:tcPr>
          <w:p w14:paraId="35C82618" w14:textId="77777777" w:rsidR="001D24A1" w:rsidRPr="00332AB5" w:rsidRDefault="001D24A1" w:rsidP="00E2152B">
            <w:pPr>
              <w:spacing w:before="60" w:after="60"/>
              <w:jc w:val="both"/>
              <w:rPr>
                <w:sz w:val="24"/>
                <w:szCs w:val="24"/>
              </w:rPr>
            </w:pPr>
            <w:r w:rsidRPr="00332AB5">
              <w:rPr>
                <w:sz w:val="24"/>
                <w:szCs w:val="24"/>
              </w:rPr>
              <w:t>Europski fond za ribarstvo</w:t>
            </w:r>
          </w:p>
        </w:tc>
      </w:tr>
      <w:tr w:rsidR="00AA5DF3" w:rsidRPr="00332AB5" w14:paraId="0B19F66A" w14:textId="77777777" w:rsidTr="002E0ADB">
        <w:tc>
          <w:tcPr>
            <w:tcW w:w="2263" w:type="dxa"/>
            <w:shd w:val="clear" w:color="auto" w:fill="auto"/>
          </w:tcPr>
          <w:p w14:paraId="3A1E9568" w14:textId="77777777" w:rsidR="001D24A1" w:rsidRPr="00332AB5" w:rsidRDefault="001D24A1" w:rsidP="00E2152B">
            <w:pPr>
              <w:spacing w:before="60" w:after="60"/>
              <w:rPr>
                <w:sz w:val="24"/>
                <w:szCs w:val="24"/>
              </w:rPr>
            </w:pPr>
            <w:r w:rsidRPr="00332AB5">
              <w:rPr>
                <w:sz w:val="24"/>
                <w:szCs w:val="24"/>
              </w:rPr>
              <w:t>EFRR</w:t>
            </w:r>
          </w:p>
        </w:tc>
        <w:tc>
          <w:tcPr>
            <w:tcW w:w="6799" w:type="dxa"/>
            <w:shd w:val="clear" w:color="auto" w:fill="auto"/>
          </w:tcPr>
          <w:p w14:paraId="42567D84" w14:textId="77777777" w:rsidR="001D24A1" w:rsidRPr="00332AB5" w:rsidRDefault="001D24A1" w:rsidP="00E2152B">
            <w:pPr>
              <w:spacing w:before="60" w:after="60"/>
              <w:jc w:val="both"/>
              <w:rPr>
                <w:sz w:val="24"/>
                <w:szCs w:val="24"/>
              </w:rPr>
            </w:pPr>
            <w:r w:rsidRPr="00332AB5">
              <w:rPr>
                <w:sz w:val="24"/>
                <w:szCs w:val="24"/>
              </w:rPr>
              <w:t>Europski fond za regionalni razvoj</w:t>
            </w:r>
          </w:p>
        </w:tc>
      </w:tr>
      <w:tr w:rsidR="00AA5DF3" w:rsidRPr="00332AB5" w14:paraId="4E59D27D" w14:textId="77777777" w:rsidTr="002E0ADB">
        <w:tc>
          <w:tcPr>
            <w:tcW w:w="2263" w:type="dxa"/>
            <w:shd w:val="clear" w:color="auto" w:fill="auto"/>
          </w:tcPr>
          <w:p w14:paraId="7E0F0297" w14:textId="77777777" w:rsidR="001D24A1" w:rsidRPr="00332AB5" w:rsidRDefault="001D24A1" w:rsidP="00E2152B">
            <w:pPr>
              <w:spacing w:before="60" w:after="60"/>
              <w:rPr>
                <w:sz w:val="24"/>
                <w:szCs w:val="24"/>
              </w:rPr>
            </w:pPr>
            <w:r w:rsidRPr="00332AB5">
              <w:rPr>
                <w:sz w:val="24"/>
                <w:szCs w:val="24"/>
              </w:rPr>
              <w:t>EK</w:t>
            </w:r>
          </w:p>
        </w:tc>
        <w:tc>
          <w:tcPr>
            <w:tcW w:w="6799" w:type="dxa"/>
            <w:shd w:val="clear" w:color="auto" w:fill="auto"/>
          </w:tcPr>
          <w:p w14:paraId="20E36301" w14:textId="77777777" w:rsidR="001D24A1" w:rsidRPr="00332AB5" w:rsidRDefault="001D24A1" w:rsidP="00E2152B">
            <w:pPr>
              <w:spacing w:before="60" w:after="60"/>
              <w:jc w:val="both"/>
              <w:rPr>
                <w:sz w:val="24"/>
                <w:szCs w:val="24"/>
              </w:rPr>
            </w:pPr>
            <w:r w:rsidRPr="00332AB5">
              <w:rPr>
                <w:sz w:val="24"/>
                <w:szCs w:val="24"/>
              </w:rPr>
              <w:t>Europska komisija</w:t>
            </w:r>
          </w:p>
        </w:tc>
      </w:tr>
      <w:tr w:rsidR="00F82AB3" w:rsidRPr="00332AB5" w14:paraId="06DA2C44" w14:textId="77777777" w:rsidTr="002E0ADB">
        <w:tc>
          <w:tcPr>
            <w:tcW w:w="2263" w:type="dxa"/>
            <w:shd w:val="clear" w:color="auto" w:fill="auto"/>
          </w:tcPr>
          <w:p w14:paraId="66ECD6EE" w14:textId="77777777" w:rsidR="00F82AB3" w:rsidRPr="00332AB5" w:rsidRDefault="00F82AB3" w:rsidP="00F82AB3">
            <w:pPr>
              <w:spacing w:before="60" w:after="60"/>
              <w:rPr>
                <w:sz w:val="24"/>
                <w:szCs w:val="24"/>
              </w:rPr>
            </w:pPr>
            <w:r w:rsidRPr="00332AB5">
              <w:rPr>
                <w:sz w:val="24"/>
                <w:szCs w:val="24"/>
              </w:rPr>
              <w:t>EPPO</w:t>
            </w:r>
          </w:p>
        </w:tc>
        <w:tc>
          <w:tcPr>
            <w:tcW w:w="6799" w:type="dxa"/>
            <w:shd w:val="clear" w:color="auto" w:fill="auto"/>
          </w:tcPr>
          <w:p w14:paraId="26FE5A47" w14:textId="77777777" w:rsidR="00F82AB3" w:rsidRPr="00332AB5" w:rsidRDefault="00F82AB3" w:rsidP="00F82AB3">
            <w:pPr>
              <w:spacing w:before="60" w:after="60"/>
              <w:jc w:val="both"/>
              <w:rPr>
                <w:sz w:val="24"/>
                <w:szCs w:val="24"/>
              </w:rPr>
            </w:pPr>
            <w:r w:rsidRPr="00332AB5">
              <w:rPr>
                <w:sz w:val="24"/>
                <w:szCs w:val="24"/>
              </w:rPr>
              <w:t>Ured europskog javnog tužitelja (</w:t>
            </w:r>
            <w:r w:rsidRPr="00332AB5">
              <w:rPr>
                <w:i/>
                <w:sz w:val="24"/>
                <w:szCs w:val="24"/>
              </w:rPr>
              <w:t>European Public Prosecutor’s Office)</w:t>
            </w:r>
          </w:p>
        </w:tc>
      </w:tr>
      <w:tr w:rsidR="00AA5DF3" w:rsidRPr="00332AB5" w14:paraId="33C2A0A4" w14:textId="77777777" w:rsidTr="002E0ADB">
        <w:tc>
          <w:tcPr>
            <w:tcW w:w="2263" w:type="dxa"/>
            <w:shd w:val="clear" w:color="auto" w:fill="auto"/>
          </w:tcPr>
          <w:p w14:paraId="7AE0D157" w14:textId="77777777" w:rsidR="001D24A1" w:rsidRPr="00332AB5" w:rsidRDefault="001D24A1" w:rsidP="00E2152B">
            <w:pPr>
              <w:spacing w:before="60" w:after="60"/>
              <w:rPr>
                <w:sz w:val="24"/>
                <w:szCs w:val="24"/>
              </w:rPr>
            </w:pPr>
            <w:r w:rsidRPr="00332AB5">
              <w:rPr>
                <w:sz w:val="24"/>
                <w:szCs w:val="24"/>
              </w:rPr>
              <w:t>EPFRR</w:t>
            </w:r>
          </w:p>
        </w:tc>
        <w:tc>
          <w:tcPr>
            <w:tcW w:w="6799" w:type="dxa"/>
            <w:shd w:val="clear" w:color="auto" w:fill="auto"/>
          </w:tcPr>
          <w:p w14:paraId="1DCBEFFE" w14:textId="77777777" w:rsidR="001D24A1" w:rsidRPr="00332AB5" w:rsidRDefault="001D24A1" w:rsidP="00E2152B">
            <w:pPr>
              <w:spacing w:before="60" w:after="60"/>
              <w:jc w:val="both"/>
              <w:rPr>
                <w:sz w:val="24"/>
                <w:szCs w:val="24"/>
              </w:rPr>
            </w:pPr>
            <w:r w:rsidRPr="00332AB5">
              <w:rPr>
                <w:sz w:val="24"/>
                <w:szCs w:val="24"/>
              </w:rPr>
              <w:t>Europski poljoprivredni fond za ruralni razvoj</w:t>
            </w:r>
          </w:p>
        </w:tc>
      </w:tr>
      <w:tr w:rsidR="00AA5DF3" w:rsidRPr="00332AB5" w14:paraId="5259881D" w14:textId="77777777" w:rsidTr="002E0ADB">
        <w:tc>
          <w:tcPr>
            <w:tcW w:w="2263" w:type="dxa"/>
            <w:shd w:val="clear" w:color="auto" w:fill="auto"/>
          </w:tcPr>
          <w:p w14:paraId="4C99845A" w14:textId="77777777" w:rsidR="001D24A1" w:rsidRPr="00332AB5" w:rsidRDefault="001D24A1" w:rsidP="00E2152B">
            <w:pPr>
              <w:spacing w:before="60" w:after="60"/>
              <w:rPr>
                <w:sz w:val="24"/>
                <w:szCs w:val="24"/>
              </w:rPr>
            </w:pPr>
            <w:r w:rsidRPr="00332AB5">
              <w:rPr>
                <w:sz w:val="24"/>
                <w:szCs w:val="24"/>
              </w:rPr>
              <w:t>ESF</w:t>
            </w:r>
          </w:p>
        </w:tc>
        <w:tc>
          <w:tcPr>
            <w:tcW w:w="6799" w:type="dxa"/>
            <w:shd w:val="clear" w:color="auto" w:fill="auto"/>
          </w:tcPr>
          <w:p w14:paraId="38774331" w14:textId="77777777" w:rsidR="001D24A1" w:rsidRPr="00332AB5" w:rsidRDefault="001D24A1" w:rsidP="00E2152B">
            <w:pPr>
              <w:spacing w:before="60" w:after="60"/>
              <w:jc w:val="both"/>
              <w:rPr>
                <w:sz w:val="24"/>
                <w:szCs w:val="24"/>
              </w:rPr>
            </w:pPr>
            <w:r w:rsidRPr="00332AB5">
              <w:rPr>
                <w:sz w:val="24"/>
                <w:szCs w:val="24"/>
              </w:rPr>
              <w:t>Europski socijalni fond</w:t>
            </w:r>
          </w:p>
        </w:tc>
      </w:tr>
      <w:tr w:rsidR="00AA5DF3" w:rsidRPr="00332AB5" w14:paraId="1CC2D563" w14:textId="77777777" w:rsidTr="002E0ADB">
        <w:tc>
          <w:tcPr>
            <w:tcW w:w="2263" w:type="dxa"/>
            <w:shd w:val="clear" w:color="auto" w:fill="auto"/>
          </w:tcPr>
          <w:p w14:paraId="4FC7AE28" w14:textId="77777777" w:rsidR="001D24A1" w:rsidRPr="00332AB5" w:rsidRDefault="001D24A1" w:rsidP="00E2152B">
            <w:pPr>
              <w:spacing w:before="60" w:after="60"/>
              <w:rPr>
                <w:sz w:val="24"/>
                <w:szCs w:val="24"/>
              </w:rPr>
            </w:pPr>
            <w:r w:rsidRPr="00332AB5">
              <w:rPr>
                <w:sz w:val="24"/>
                <w:szCs w:val="24"/>
              </w:rPr>
              <w:t>ESI fondovi</w:t>
            </w:r>
          </w:p>
        </w:tc>
        <w:tc>
          <w:tcPr>
            <w:tcW w:w="6799" w:type="dxa"/>
            <w:shd w:val="clear" w:color="auto" w:fill="auto"/>
          </w:tcPr>
          <w:p w14:paraId="3A710468" w14:textId="77777777" w:rsidR="001D24A1" w:rsidRPr="00332AB5" w:rsidRDefault="00D64827" w:rsidP="00E2152B">
            <w:pPr>
              <w:spacing w:before="60" w:after="60"/>
              <w:jc w:val="both"/>
              <w:rPr>
                <w:sz w:val="24"/>
                <w:szCs w:val="24"/>
              </w:rPr>
            </w:pPr>
            <w:r w:rsidRPr="00332AB5">
              <w:rPr>
                <w:sz w:val="24"/>
                <w:szCs w:val="24"/>
              </w:rPr>
              <w:t>e</w:t>
            </w:r>
            <w:r w:rsidR="001D24A1" w:rsidRPr="00332AB5">
              <w:rPr>
                <w:sz w:val="24"/>
                <w:szCs w:val="24"/>
              </w:rPr>
              <w:t>uropski strukturni i investicijski fondovi</w:t>
            </w:r>
          </w:p>
        </w:tc>
      </w:tr>
      <w:tr w:rsidR="00AA5DF3" w:rsidRPr="00332AB5" w14:paraId="45395F41" w14:textId="77777777" w:rsidTr="002E0ADB">
        <w:tc>
          <w:tcPr>
            <w:tcW w:w="2263" w:type="dxa"/>
            <w:shd w:val="clear" w:color="auto" w:fill="auto"/>
          </w:tcPr>
          <w:p w14:paraId="7980F501" w14:textId="77777777" w:rsidR="001D24A1" w:rsidRPr="00332AB5" w:rsidRDefault="001D24A1" w:rsidP="00E2152B">
            <w:pPr>
              <w:spacing w:before="60" w:after="60"/>
              <w:rPr>
                <w:sz w:val="24"/>
                <w:szCs w:val="24"/>
              </w:rPr>
            </w:pPr>
            <w:r w:rsidRPr="00332AB5">
              <w:rPr>
                <w:sz w:val="24"/>
                <w:szCs w:val="24"/>
              </w:rPr>
              <w:t>ESPON</w:t>
            </w:r>
          </w:p>
        </w:tc>
        <w:tc>
          <w:tcPr>
            <w:tcW w:w="6799" w:type="dxa"/>
            <w:shd w:val="clear" w:color="auto" w:fill="auto"/>
          </w:tcPr>
          <w:p w14:paraId="6344107C" w14:textId="77777777" w:rsidR="001D24A1" w:rsidRPr="00332AB5" w:rsidRDefault="001D24A1" w:rsidP="00E2152B">
            <w:pPr>
              <w:spacing w:before="60" w:after="60"/>
              <w:jc w:val="both"/>
              <w:rPr>
                <w:sz w:val="24"/>
                <w:szCs w:val="24"/>
              </w:rPr>
            </w:pPr>
            <w:r w:rsidRPr="00332AB5">
              <w:rPr>
                <w:sz w:val="24"/>
                <w:szCs w:val="24"/>
                <w:shd w:val="clear" w:color="auto" w:fill="FFFFFF"/>
              </w:rPr>
              <w:t>Europska mreža za praćenje prostornog razvoja (</w:t>
            </w:r>
            <w:r w:rsidRPr="00332AB5">
              <w:rPr>
                <w:i/>
                <w:sz w:val="24"/>
                <w:szCs w:val="24"/>
                <w:shd w:val="clear" w:color="auto" w:fill="FFFFFF"/>
              </w:rPr>
              <w:t xml:space="preserve">European </w:t>
            </w:r>
            <w:r w:rsidR="0002668E" w:rsidRPr="00332AB5">
              <w:rPr>
                <w:i/>
                <w:sz w:val="24"/>
                <w:szCs w:val="24"/>
                <w:shd w:val="clear" w:color="auto" w:fill="FFFFFF"/>
              </w:rPr>
              <w:t>Spatial Planning Observation Network</w:t>
            </w:r>
            <w:r w:rsidRPr="00332AB5">
              <w:rPr>
                <w:sz w:val="24"/>
                <w:szCs w:val="24"/>
                <w:shd w:val="clear" w:color="auto" w:fill="FFFFFF"/>
              </w:rPr>
              <w:t>)</w:t>
            </w:r>
          </w:p>
        </w:tc>
      </w:tr>
      <w:tr w:rsidR="00AA5DF3" w:rsidRPr="00332AB5" w14:paraId="734D25A0" w14:textId="77777777" w:rsidTr="002E0ADB">
        <w:tc>
          <w:tcPr>
            <w:tcW w:w="2263" w:type="dxa"/>
            <w:shd w:val="clear" w:color="auto" w:fill="auto"/>
          </w:tcPr>
          <w:p w14:paraId="45082445" w14:textId="77777777" w:rsidR="001D24A1" w:rsidRPr="00332AB5" w:rsidRDefault="001D24A1" w:rsidP="00E2152B">
            <w:pPr>
              <w:spacing w:before="60" w:after="60"/>
              <w:rPr>
                <w:sz w:val="24"/>
                <w:szCs w:val="24"/>
              </w:rPr>
            </w:pPr>
            <w:r w:rsidRPr="00332AB5">
              <w:rPr>
                <w:sz w:val="24"/>
                <w:szCs w:val="24"/>
              </w:rPr>
              <w:t>EU</w:t>
            </w:r>
          </w:p>
        </w:tc>
        <w:tc>
          <w:tcPr>
            <w:tcW w:w="6799" w:type="dxa"/>
            <w:shd w:val="clear" w:color="auto" w:fill="auto"/>
          </w:tcPr>
          <w:p w14:paraId="646434DE" w14:textId="77777777" w:rsidR="001D24A1" w:rsidRPr="00332AB5" w:rsidRDefault="001D24A1" w:rsidP="00E2152B">
            <w:pPr>
              <w:spacing w:before="60" w:after="60"/>
              <w:jc w:val="both"/>
              <w:rPr>
                <w:sz w:val="24"/>
                <w:szCs w:val="24"/>
              </w:rPr>
            </w:pPr>
            <w:r w:rsidRPr="00332AB5">
              <w:rPr>
                <w:sz w:val="24"/>
                <w:szCs w:val="24"/>
              </w:rPr>
              <w:t>Europska unija</w:t>
            </w:r>
          </w:p>
        </w:tc>
      </w:tr>
      <w:tr w:rsidR="00AA5DF3" w:rsidRPr="00332AB5" w14:paraId="3478BF16" w14:textId="77777777" w:rsidTr="002E0ADB">
        <w:tc>
          <w:tcPr>
            <w:tcW w:w="2263" w:type="dxa"/>
            <w:shd w:val="clear" w:color="auto" w:fill="auto"/>
          </w:tcPr>
          <w:p w14:paraId="71A96A6D" w14:textId="14172D0D" w:rsidR="00503AE8" w:rsidRPr="00332AB5" w:rsidRDefault="001D24A1" w:rsidP="00536F63">
            <w:pPr>
              <w:spacing w:before="60" w:after="60"/>
              <w:rPr>
                <w:sz w:val="24"/>
                <w:szCs w:val="24"/>
              </w:rPr>
            </w:pPr>
            <w:r w:rsidRPr="00332AB5">
              <w:rPr>
                <w:sz w:val="24"/>
                <w:szCs w:val="24"/>
              </w:rPr>
              <w:t>FEAD</w:t>
            </w:r>
          </w:p>
        </w:tc>
        <w:tc>
          <w:tcPr>
            <w:tcW w:w="6799" w:type="dxa"/>
            <w:shd w:val="clear" w:color="auto" w:fill="auto"/>
          </w:tcPr>
          <w:p w14:paraId="0B64C8D1" w14:textId="5827F827" w:rsidR="00503AE8" w:rsidRPr="00332AB5" w:rsidRDefault="001D24A1" w:rsidP="00E2152B">
            <w:pPr>
              <w:spacing w:before="60" w:after="60"/>
              <w:jc w:val="both"/>
              <w:rPr>
                <w:sz w:val="24"/>
                <w:szCs w:val="24"/>
              </w:rPr>
            </w:pPr>
            <w:r w:rsidRPr="00332AB5">
              <w:rPr>
                <w:sz w:val="24"/>
                <w:szCs w:val="24"/>
              </w:rPr>
              <w:t>Fond europske pomoći za najpotrebitije</w:t>
            </w:r>
          </w:p>
        </w:tc>
      </w:tr>
      <w:tr w:rsidR="00536F63" w:rsidRPr="00332AB5" w14:paraId="3CFFE752" w14:textId="77777777" w:rsidTr="002E0ADB">
        <w:tc>
          <w:tcPr>
            <w:tcW w:w="2263" w:type="dxa"/>
            <w:shd w:val="clear" w:color="auto" w:fill="auto"/>
          </w:tcPr>
          <w:p w14:paraId="411CD530" w14:textId="20C080BA" w:rsidR="00536F63" w:rsidRPr="00332AB5" w:rsidRDefault="00536F63" w:rsidP="00E2152B">
            <w:pPr>
              <w:spacing w:before="60" w:after="60"/>
              <w:rPr>
                <w:sz w:val="24"/>
                <w:szCs w:val="24"/>
              </w:rPr>
            </w:pPr>
            <w:r w:rsidRPr="00332AB5">
              <w:rPr>
                <w:sz w:val="24"/>
                <w:szCs w:val="24"/>
              </w:rPr>
              <w:t>FLAG</w:t>
            </w:r>
          </w:p>
        </w:tc>
        <w:tc>
          <w:tcPr>
            <w:tcW w:w="6799" w:type="dxa"/>
            <w:shd w:val="clear" w:color="auto" w:fill="auto"/>
          </w:tcPr>
          <w:p w14:paraId="0A2B5F9E" w14:textId="27CB43C8" w:rsidR="00536F63" w:rsidRPr="00332AB5" w:rsidRDefault="00536F63" w:rsidP="00E2152B">
            <w:pPr>
              <w:spacing w:before="60" w:after="60"/>
              <w:jc w:val="both"/>
              <w:rPr>
                <w:sz w:val="24"/>
                <w:szCs w:val="24"/>
              </w:rPr>
            </w:pPr>
            <w:r w:rsidRPr="00332AB5">
              <w:rPr>
                <w:sz w:val="24"/>
                <w:szCs w:val="24"/>
              </w:rPr>
              <w:t>Lokalna akcijska skupina u ribarstvu</w:t>
            </w:r>
          </w:p>
        </w:tc>
      </w:tr>
      <w:tr w:rsidR="00AA5DF3" w:rsidRPr="00332AB5" w14:paraId="6E400676" w14:textId="77777777" w:rsidTr="002E0ADB">
        <w:tc>
          <w:tcPr>
            <w:tcW w:w="2263" w:type="dxa"/>
            <w:shd w:val="clear" w:color="auto" w:fill="auto"/>
          </w:tcPr>
          <w:p w14:paraId="17477B92" w14:textId="77777777" w:rsidR="001D24A1" w:rsidRPr="00332AB5" w:rsidRDefault="001D24A1" w:rsidP="00E2152B">
            <w:pPr>
              <w:spacing w:before="60" w:after="60"/>
              <w:rPr>
                <w:sz w:val="24"/>
                <w:szCs w:val="24"/>
              </w:rPr>
            </w:pPr>
            <w:r w:rsidRPr="00332AB5">
              <w:rPr>
                <w:sz w:val="24"/>
                <w:szCs w:val="24"/>
              </w:rPr>
              <w:t>HAMAG – BICRO</w:t>
            </w:r>
          </w:p>
        </w:tc>
        <w:tc>
          <w:tcPr>
            <w:tcW w:w="6799" w:type="dxa"/>
            <w:shd w:val="clear" w:color="auto" w:fill="auto"/>
          </w:tcPr>
          <w:p w14:paraId="2C5C5BF1" w14:textId="77777777" w:rsidR="001D24A1" w:rsidRPr="00332AB5" w:rsidRDefault="001D24A1" w:rsidP="00E2152B">
            <w:pPr>
              <w:spacing w:before="60" w:after="60"/>
              <w:jc w:val="both"/>
              <w:rPr>
                <w:sz w:val="24"/>
                <w:szCs w:val="24"/>
              </w:rPr>
            </w:pPr>
            <w:r w:rsidRPr="00332AB5">
              <w:rPr>
                <w:sz w:val="24"/>
                <w:szCs w:val="24"/>
              </w:rPr>
              <w:t>Hrvatska agencije za malo gospodarstvo, inovacije i investicije</w:t>
            </w:r>
          </w:p>
        </w:tc>
      </w:tr>
      <w:tr w:rsidR="00512BE8" w:rsidRPr="00332AB5" w14:paraId="702FA9EC" w14:textId="77777777" w:rsidTr="002E0ADB">
        <w:tc>
          <w:tcPr>
            <w:tcW w:w="2263" w:type="dxa"/>
            <w:shd w:val="clear" w:color="auto" w:fill="auto"/>
          </w:tcPr>
          <w:p w14:paraId="518E36EB" w14:textId="043A5487" w:rsidR="00512BE8" w:rsidRPr="00332AB5" w:rsidRDefault="00512BE8" w:rsidP="00E2152B">
            <w:pPr>
              <w:spacing w:before="60" w:after="60"/>
              <w:rPr>
                <w:sz w:val="24"/>
                <w:szCs w:val="24"/>
              </w:rPr>
            </w:pPr>
            <w:r w:rsidRPr="00332AB5">
              <w:rPr>
                <w:sz w:val="24"/>
                <w:szCs w:val="24"/>
              </w:rPr>
              <w:t>HV</w:t>
            </w:r>
          </w:p>
        </w:tc>
        <w:tc>
          <w:tcPr>
            <w:tcW w:w="6799" w:type="dxa"/>
            <w:shd w:val="clear" w:color="auto" w:fill="auto"/>
          </w:tcPr>
          <w:p w14:paraId="57DDB9D9" w14:textId="10F9AF00" w:rsidR="00512BE8" w:rsidRPr="00332AB5" w:rsidRDefault="00512BE8" w:rsidP="00E2152B">
            <w:pPr>
              <w:spacing w:before="60" w:after="60"/>
              <w:jc w:val="both"/>
              <w:rPr>
                <w:sz w:val="24"/>
                <w:szCs w:val="24"/>
              </w:rPr>
            </w:pPr>
            <w:r w:rsidRPr="00332AB5">
              <w:rPr>
                <w:sz w:val="24"/>
                <w:szCs w:val="24"/>
              </w:rPr>
              <w:t>Hrvatske vode</w:t>
            </w:r>
          </w:p>
        </w:tc>
      </w:tr>
      <w:tr w:rsidR="00AA5DF3" w:rsidRPr="00332AB5" w14:paraId="7A26ABA0" w14:textId="77777777" w:rsidTr="002E0ADB">
        <w:tc>
          <w:tcPr>
            <w:tcW w:w="2263" w:type="dxa"/>
            <w:shd w:val="clear" w:color="auto" w:fill="auto"/>
          </w:tcPr>
          <w:p w14:paraId="2944DBDF" w14:textId="77777777" w:rsidR="001D24A1" w:rsidRPr="00332AB5" w:rsidRDefault="001D24A1" w:rsidP="00E2152B">
            <w:pPr>
              <w:spacing w:before="60" w:after="60"/>
              <w:rPr>
                <w:sz w:val="24"/>
                <w:szCs w:val="24"/>
              </w:rPr>
            </w:pPr>
            <w:r w:rsidRPr="00332AB5">
              <w:rPr>
                <w:sz w:val="24"/>
                <w:szCs w:val="24"/>
              </w:rPr>
              <w:t>IAKS</w:t>
            </w:r>
          </w:p>
        </w:tc>
        <w:tc>
          <w:tcPr>
            <w:tcW w:w="6799" w:type="dxa"/>
            <w:shd w:val="clear" w:color="auto" w:fill="auto"/>
          </w:tcPr>
          <w:p w14:paraId="51B3CF5B" w14:textId="77777777" w:rsidR="001D24A1" w:rsidRPr="00332AB5" w:rsidRDefault="001D24A1" w:rsidP="00E2152B">
            <w:pPr>
              <w:spacing w:before="60" w:after="60"/>
              <w:jc w:val="both"/>
              <w:rPr>
                <w:sz w:val="24"/>
                <w:szCs w:val="24"/>
              </w:rPr>
            </w:pPr>
            <w:r w:rsidRPr="00332AB5">
              <w:rPr>
                <w:sz w:val="24"/>
                <w:szCs w:val="24"/>
                <w:shd w:val="clear" w:color="auto" w:fill="FFFFFF"/>
              </w:rPr>
              <w:t>Integrirani administrativni i kontrolni sustav</w:t>
            </w:r>
          </w:p>
        </w:tc>
      </w:tr>
      <w:tr w:rsidR="00AA5DF3" w:rsidRPr="00332AB5" w14:paraId="78F15F67" w14:textId="77777777" w:rsidTr="002E0ADB">
        <w:tc>
          <w:tcPr>
            <w:tcW w:w="2263" w:type="dxa"/>
            <w:shd w:val="clear" w:color="auto" w:fill="auto"/>
          </w:tcPr>
          <w:p w14:paraId="38930399" w14:textId="77777777" w:rsidR="001D24A1" w:rsidRPr="00332AB5" w:rsidRDefault="001D24A1" w:rsidP="00E2152B">
            <w:pPr>
              <w:spacing w:before="60" w:after="60"/>
              <w:rPr>
                <w:sz w:val="24"/>
                <w:szCs w:val="24"/>
              </w:rPr>
            </w:pPr>
            <w:r w:rsidRPr="00332AB5">
              <w:rPr>
                <w:sz w:val="24"/>
                <w:szCs w:val="24"/>
              </w:rPr>
              <w:t>IKT</w:t>
            </w:r>
          </w:p>
        </w:tc>
        <w:tc>
          <w:tcPr>
            <w:tcW w:w="6799" w:type="dxa"/>
            <w:shd w:val="clear" w:color="auto" w:fill="auto"/>
          </w:tcPr>
          <w:p w14:paraId="7AFDE2C3" w14:textId="77777777" w:rsidR="001D24A1" w:rsidRPr="00332AB5" w:rsidRDefault="001D24A1" w:rsidP="00E2152B">
            <w:pPr>
              <w:spacing w:before="60" w:after="60"/>
              <w:jc w:val="both"/>
              <w:rPr>
                <w:sz w:val="24"/>
                <w:szCs w:val="24"/>
                <w:shd w:val="clear" w:color="auto" w:fill="FFFFFF"/>
              </w:rPr>
            </w:pPr>
            <w:r w:rsidRPr="00332AB5">
              <w:rPr>
                <w:sz w:val="24"/>
                <w:szCs w:val="24"/>
                <w:shd w:val="clear" w:color="auto" w:fill="FFFFFF"/>
              </w:rPr>
              <w:t>informacijsko komunikacijska tehnologija</w:t>
            </w:r>
          </w:p>
        </w:tc>
      </w:tr>
      <w:tr w:rsidR="00AA5DF3" w:rsidRPr="00332AB5" w14:paraId="52080424" w14:textId="77777777" w:rsidTr="002E0ADB">
        <w:tc>
          <w:tcPr>
            <w:tcW w:w="2263" w:type="dxa"/>
            <w:shd w:val="clear" w:color="auto" w:fill="auto"/>
          </w:tcPr>
          <w:p w14:paraId="5EE5E954" w14:textId="77777777" w:rsidR="001D24A1" w:rsidRPr="00332AB5" w:rsidRDefault="001D24A1" w:rsidP="00E2152B">
            <w:pPr>
              <w:spacing w:before="60" w:after="60"/>
              <w:rPr>
                <w:sz w:val="24"/>
                <w:szCs w:val="24"/>
              </w:rPr>
            </w:pPr>
            <w:r w:rsidRPr="00332AB5">
              <w:rPr>
                <w:sz w:val="24"/>
                <w:szCs w:val="24"/>
              </w:rPr>
              <w:t>IMS</w:t>
            </w:r>
          </w:p>
        </w:tc>
        <w:tc>
          <w:tcPr>
            <w:tcW w:w="6799" w:type="dxa"/>
            <w:shd w:val="clear" w:color="auto" w:fill="auto"/>
          </w:tcPr>
          <w:p w14:paraId="35351F8C" w14:textId="77777777" w:rsidR="001D24A1" w:rsidRPr="00332AB5" w:rsidRDefault="001D24A1" w:rsidP="00E2152B">
            <w:pPr>
              <w:spacing w:before="60" w:after="60"/>
              <w:jc w:val="both"/>
              <w:rPr>
                <w:sz w:val="24"/>
                <w:szCs w:val="24"/>
                <w:shd w:val="clear" w:color="auto" w:fill="FFFFFF"/>
              </w:rPr>
            </w:pPr>
            <w:r w:rsidRPr="00332AB5">
              <w:rPr>
                <w:sz w:val="24"/>
                <w:szCs w:val="24"/>
                <w:shd w:val="clear" w:color="auto" w:fill="FFFFFF"/>
              </w:rPr>
              <w:t xml:space="preserve">Informatički sustav za upravljanje </w:t>
            </w:r>
            <w:r w:rsidRPr="00332AB5">
              <w:rPr>
                <w:rStyle w:val="Emphasis"/>
                <w:bCs/>
                <w:i w:val="0"/>
                <w:sz w:val="24"/>
                <w:szCs w:val="24"/>
                <w:shd w:val="clear" w:color="auto" w:fill="FFFFFF"/>
              </w:rPr>
              <w:t>nepravilnostima</w:t>
            </w:r>
            <w:r w:rsidRPr="00332AB5">
              <w:rPr>
                <w:rStyle w:val="Emphasis"/>
                <w:bCs/>
                <w:sz w:val="24"/>
                <w:szCs w:val="24"/>
                <w:shd w:val="clear" w:color="auto" w:fill="FFFFFF"/>
              </w:rPr>
              <w:t xml:space="preserve"> (</w:t>
            </w:r>
            <w:r w:rsidRPr="00332AB5">
              <w:rPr>
                <w:bCs/>
                <w:i/>
                <w:sz w:val="24"/>
                <w:szCs w:val="24"/>
              </w:rPr>
              <w:t>Irregularity Managemet System</w:t>
            </w:r>
            <w:r w:rsidRPr="00332AB5">
              <w:rPr>
                <w:bCs/>
                <w:sz w:val="24"/>
                <w:szCs w:val="24"/>
              </w:rPr>
              <w:t>)</w:t>
            </w:r>
          </w:p>
        </w:tc>
      </w:tr>
      <w:tr w:rsidR="00AA5DF3" w:rsidRPr="00332AB5" w14:paraId="5294C52C" w14:textId="77777777" w:rsidTr="002E0ADB">
        <w:tc>
          <w:tcPr>
            <w:tcW w:w="2263" w:type="dxa"/>
            <w:shd w:val="clear" w:color="auto" w:fill="auto"/>
          </w:tcPr>
          <w:p w14:paraId="1893C175" w14:textId="77777777" w:rsidR="001D24A1" w:rsidRPr="00332AB5" w:rsidRDefault="001D24A1" w:rsidP="00E2152B">
            <w:pPr>
              <w:spacing w:before="60" w:after="60"/>
              <w:rPr>
                <w:sz w:val="24"/>
                <w:szCs w:val="24"/>
              </w:rPr>
            </w:pPr>
            <w:r w:rsidRPr="00332AB5">
              <w:rPr>
                <w:sz w:val="24"/>
                <w:szCs w:val="24"/>
              </w:rPr>
              <w:t>IPA</w:t>
            </w:r>
          </w:p>
        </w:tc>
        <w:tc>
          <w:tcPr>
            <w:tcW w:w="6799" w:type="dxa"/>
            <w:shd w:val="clear" w:color="auto" w:fill="auto"/>
          </w:tcPr>
          <w:p w14:paraId="777159F3" w14:textId="77777777" w:rsidR="001D24A1" w:rsidRPr="00332AB5" w:rsidRDefault="001D24A1" w:rsidP="00E2152B">
            <w:pPr>
              <w:spacing w:before="60" w:after="60"/>
              <w:jc w:val="both"/>
              <w:rPr>
                <w:sz w:val="24"/>
                <w:szCs w:val="24"/>
              </w:rPr>
            </w:pPr>
            <w:r w:rsidRPr="00332AB5">
              <w:rPr>
                <w:sz w:val="24"/>
                <w:szCs w:val="24"/>
              </w:rPr>
              <w:t>Instrument pretpristupne pomoći</w:t>
            </w:r>
          </w:p>
        </w:tc>
      </w:tr>
      <w:tr w:rsidR="00AA5DF3" w:rsidRPr="00332AB5" w14:paraId="27FC4A4E" w14:textId="77777777" w:rsidTr="002E0ADB">
        <w:tc>
          <w:tcPr>
            <w:tcW w:w="2263" w:type="dxa"/>
            <w:shd w:val="clear" w:color="auto" w:fill="auto"/>
          </w:tcPr>
          <w:p w14:paraId="305D199A" w14:textId="77777777" w:rsidR="001D24A1" w:rsidRPr="00332AB5" w:rsidRDefault="001D24A1" w:rsidP="00E2152B">
            <w:pPr>
              <w:spacing w:before="60" w:after="60"/>
              <w:rPr>
                <w:sz w:val="24"/>
                <w:szCs w:val="24"/>
              </w:rPr>
            </w:pPr>
            <w:r w:rsidRPr="00332AB5">
              <w:rPr>
                <w:sz w:val="24"/>
                <w:szCs w:val="24"/>
              </w:rPr>
              <w:t>IPARD</w:t>
            </w:r>
          </w:p>
        </w:tc>
        <w:tc>
          <w:tcPr>
            <w:tcW w:w="6799" w:type="dxa"/>
            <w:shd w:val="clear" w:color="auto" w:fill="auto"/>
          </w:tcPr>
          <w:p w14:paraId="7EAC0301" w14:textId="77777777" w:rsidR="001D24A1" w:rsidRPr="00332AB5" w:rsidRDefault="001D24A1" w:rsidP="00E2152B">
            <w:pPr>
              <w:spacing w:before="60" w:after="60"/>
              <w:jc w:val="both"/>
              <w:rPr>
                <w:sz w:val="24"/>
                <w:szCs w:val="24"/>
                <w:shd w:val="clear" w:color="auto" w:fill="FFFFFF"/>
              </w:rPr>
            </w:pPr>
            <w:r w:rsidRPr="00332AB5">
              <w:rPr>
                <w:rStyle w:val="apple-converted-space"/>
                <w:sz w:val="24"/>
                <w:szCs w:val="24"/>
                <w:shd w:val="clear" w:color="auto" w:fill="FFFFFF"/>
              </w:rPr>
              <w:t>Instrument pretpristupne pomoći za ruralni razvoj (</w:t>
            </w:r>
            <w:r w:rsidRPr="00332AB5">
              <w:rPr>
                <w:i/>
                <w:sz w:val="24"/>
                <w:szCs w:val="24"/>
                <w:shd w:val="clear" w:color="auto" w:fill="FFFFFF"/>
              </w:rPr>
              <w:t>Instrument for Pre-Accession Assistance for Rural Development</w:t>
            </w:r>
            <w:r w:rsidRPr="00332AB5">
              <w:rPr>
                <w:sz w:val="24"/>
                <w:szCs w:val="24"/>
                <w:shd w:val="clear" w:color="auto" w:fill="FFFFFF"/>
              </w:rPr>
              <w:t>)</w:t>
            </w:r>
          </w:p>
        </w:tc>
      </w:tr>
      <w:tr w:rsidR="00D8056B" w:rsidRPr="00332AB5" w14:paraId="7364BB80" w14:textId="77777777" w:rsidTr="002E0ADB">
        <w:tc>
          <w:tcPr>
            <w:tcW w:w="2263" w:type="dxa"/>
            <w:shd w:val="clear" w:color="auto" w:fill="auto"/>
          </w:tcPr>
          <w:p w14:paraId="2B09EC56" w14:textId="616A5915" w:rsidR="00D8056B" w:rsidRPr="00332AB5" w:rsidRDefault="00D8056B" w:rsidP="00E2152B">
            <w:pPr>
              <w:spacing w:before="60" w:after="60"/>
              <w:rPr>
                <w:sz w:val="24"/>
                <w:szCs w:val="24"/>
              </w:rPr>
            </w:pPr>
            <w:r w:rsidRPr="00332AB5">
              <w:rPr>
                <w:sz w:val="24"/>
                <w:szCs w:val="24"/>
              </w:rPr>
              <w:t>ITP</w:t>
            </w:r>
          </w:p>
        </w:tc>
        <w:tc>
          <w:tcPr>
            <w:tcW w:w="6799" w:type="dxa"/>
            <w:shd w:val="clear" w:color="auto" w:fill="auto"/>
          </w:tcPr>
          <w:p w14:paraId="36BC5DBC" w14:textId="56E72725" w:rsidR="00D8056B" w:rsidRPr="00332AB5" w:rsidRDefault="00D8056B" w:rsidP="00E2152B">
            <w:pPr>
              <w:spacing w:before="60" w:after="60"/>
              <w:jc w:val="both"/>
              <w:rPr>
                <w:rStyle w:val="apple-converted-space"/>
                <w:sz w:val="24"/>
                <w:szCs w:val="24"/>
                <w:shd w:val="clear" w:color="auto" w:fill="FFFFFF"/>
              </w:rPr>
            </w:pPr>
            <w:r w:rsidRPr="00332AB5">
              <w:rPr>
                <w:rStyle w:val="apple-converted-space"/>
                <w:sz w:val="24"/>
                <w:szCs w:val="24"/>
                <w:shd w:val="clear" w:color="auto" w:fill="FFFFFF"/>
              </w:rPr>
              <w:t>Integrirani teritorijalni program 2021.</w:t>
            </w:r>
            <w:r w:rsidR="000F59CF" w:rsidRPr="00332AB5">
              <w:rPr>
                <w:rStyle w:val="apple-converted-space"/>
                <w:sz w:val="24"/>
                <w:szCs w:val="24"/>
                <w:shd w:val="clear" w:color="auto" w:fill="FFFFFF"/>
              </w:rPr>
              <w:t xml:space="preserve"> – </w:t>
            </w:r>
            <w:r w:rsidRPr="00332AB5">
              <w:rPr>
                <w:rStyle w:val="apple-converted-space"/>
                <w:sz w:val="24"/>
                <w:szCs w:val="24"/>
                <w:shd w:val="clear" w:color="auto" w:fill="FFFFFF"/>
              </w:rPr>
              <w:t>2027.</w:t>
            </w:r>
          </w:p>
        </w:tc>
      </w:tr>
      <w:tr w:rsidR="00B1314F" w:rsidRPr="00332AB5" w14:paraId="364644E5" w14:textId="77777777" w:rsidTr="002E0ADB">
        <w:tc>
          <w:tcPr>
            <w:tcW w:w="2263" w:type="dxa"/>
            <w:shd w:val="clear" w:color="auto" w:fill="auto"/>
          </w:tcPr>
          <w:p w14:paraId="72A0C299" w14:textId="657B1F06" w:rsidR="00B1314F" w:rsidRPr="00332AB5" w:rsidRDefault="00B1314F" w:rsidP="00E2152B">
            <w:pPr>
              <w:spacing w:before="60" w:after="60"/>
              <w:rPr>
                <w:sz w:val="24"/>
                <w:szCs w:val="24"/>
              </w:rPr>
            </w:pPr>
            <w:r w:rsidRPr="00332AB5">
              <w:rPr>
                <w:sz w:val="24"/>
                <w:szCs w:val="24"/>
              </w:rPr>
              <w:t>ITU</w:t>
            </w:r>
          </w:p>
        </w:tc>
        <w:tc>
          <w:tcPr>
            <w:tcW w:w="6799" w:type="dxa"/>
            <w:shd w:val="clear" w:color="auto" w:fill="auto"/>
          </w:tcPr>
          <w:p w14:paraId="1C564FF6" w14:textId="3F620F28" w:rsidR="00B1314F" w:rsidRPr="00332AB5" w:rsidRDefault="00B1314F" w:rsidP="00E2152B">
            <w:pPr>
              <w:spacing w:before="60" w:after="60"/>
              <w:jc w:val="both"/>
              <w:rPr>
                <w:rStyle w:val="apple-converted-space"/>
                <w:sz w:val="24"/>
                <w:szCs w:val="24"/>
                <w:lang w:bidi="ta-IN"/>
              </w:rPr>
            </w:pPr>
            <w:r w:rsidRPr="00332AB5">
              <w:rPr>
                <w:sz w:val="24"/>
                <w:szCs w:val="24"/>
                <w:lang w:bidi="ta-IN"/>
              </w:rPr>
              <w:t>Integrirana teritorijalna ulaganja</w:t>
            </w:r>
          </w:p>
        </w:tc>
      </w:tr>
      <w:tr w:rsidR="00AA5DF3" w:rsidRPr="00332AB5" w14:paraId="57AA63CB" w14:textId="77777777" w:rsidTr="002E0ADB">
        <w:tc>
          <w:tcPr>
            <w:tcW w:w="2263" w:type="dxa"/>
            <w:shd w:val="clear" w:color="auto" w:fill="auto"/>
          </w:tcPr>
          <w:p w14:paraId="14BB5F71" w14:textId="3C80AE2D" w:rsidR="001D24A1" w:rsidRPr="00332AB5" w:rsidRDefault="001D24A1" w:rsidP="00E2152B">
            <w:pPr>
              <w:spacing w:before="60" w:after="60"/>
              <w:rPr>
                <w:sz w:val="24"/>
                <w:szCs w:val="24"/>
              </w:rPr>
            </w:pPr>
            <w:r w:rsidRPr="00332AB5">
              <w:rPr>
                <w:sz w:val="24"/>
                <w:szCs w:val="24"/>
              </w:rPr>
              <w:t>IZM</w:t>
            </w:r>
          </w:p>
        </w:tc>
        <w:tc>
          <w:tcPr>
            <w:tcW w:w="6799" w:type="dxa"/>
            <w:shd w:val="clear" w:color="auto" w:fill="auto"/>
          </w:tcPr>
          <w:p w14:paraId="73492201" w14:textId="2A35DC29" w:rsidR="001D24A1" w:rsidRPr="00332AB5" w:rsidRDefault="001D24A1" w:rsidP="00E2152B">
            <w:pPr>
              <w:spacing w:before="60" w:after="60"/>
              <w:jc w:val="both"/>
              <w:rPr>
                <w:sz w:val="24"/>
                <w:szCs w:val="24"/>
              </w:rPr>
            </w:pPr>
            <w:r w:rsidRPr="00332AB5">
              <w:rPr>
                <w:sz w:val="24"/>
                <w:szCs w:val="24"/>
                <w:lang w:bidi="ta-IN"/>
              </w:rPr>
              <w:t>Inicijative za zapošljavanje mladih</w:t>
            </w:r>
          </w:p>
        </w:tc>
      </w:tr>
      <w:tr w:rsidR="00AA5DF3" w:rsidRPr="00332AB5" w14:paraId="00442277" w14:textId="77777777" w:rsidTr="002E0ADB">
        <w:tc>
          <w:tcPr>
            <w:tcW w:w="2263" w:type="dxa"/>
            <w:shd w:val="clear" w:color="auto" w:fill="auto"/>
          </w:tcPr>
          <w:p w14:paraId="3EC33E16" w14:textId="77777777" w:rsidR="003445D0" w:rsidRPr="00332AB5" w:rsidRDefault="003445D0" w:rsidP="00E2152B">
            <w:pPr>
              <w:spacing w:before="60" w:after="60"/>
              <w:rPr>
                <w:sz w:val="24"/>
                <w:szCs w:val="24"/>
              </w:rPr>
            </w:pPr>
            <w:r w:rsidRPr="00332AB5">
              <w:rPr>
                <w:sz w:val="24"/>
                <w:szCs w:val="24"/>
              </w:rPr>
              <w:t>JLP(R)S</w:t>
            </w:r>
          </w:p>
        </w:tc>
        <w:tc>
          <w:tcPr>
            <w:tcW w:w="6799" w:type="dxa"/>
            <w:shd w:val="clear" w:color="auto" w:fill="auto"/>
          </w:tcPr>
          <w:p w14:paraId="63319593" w14:textId="77777777" w:rsidR="003445D0" w:rsidRPr="00332AB5" w:rsidRDefault="003445D0" w:rsidP="00E2152B">
            <w:pPr>
              <w:spacing w:before="60" w:after="60"/>
              <w:jc w:val="both"/>
              <w:rPr>
                <w:sz w:val="24"/>
                <w:szCs w:val="24"/>
                <w:lang w:bidi="ta-IN"/>
              </w:rPr>
            </w:pPr>
            <w:r w:rsidRPr="00332AB5">
              <w:rPr>
                <w:sz w:val="24"/>
                <w:szCs w:val="24"/>
                <w:lang w:bidi="ta-IN"/>
              </w:rPr>
              <w:t>jedinice lokalne i područne (regionalne) samouprave</w:t>
            </w:r>
          </w:p>
        </w:tc>
      </w:tr>
      <w:tr w:rsidR="00027902" w:rsidRPr="00332AB5" w14:paraId="1A9FAC05" w14:textId="77777777" w:rsidTr="002E0ADB">
        <w:tc>
          <w:tcPr>
            <w:tcW w:w="2263" w:type="dxa"/>
            <w:shd w:val="clear" w:color="auto" w:fill="auto"/>
          </w:tcPr>
          <w:p w14:paraId="1CD00DEF" w14:textId="0D84E4A4" w:rsidR="00027902" w:rsidRPr="00332AB5" w:rsidRDefault="00027902" w:rsidP="00E2152B">
            <w:pPr>
              <w:spacing w:before="60" w:after="60"/>
              <w:rPr>
                <w:sz w:val="24"/>
                <w:szCs w:val="24"/>
              </w:rPr>
            </w:pPr>
            <w:r w:rsidRPr="00332AB5">
              <w:rPr>
                <w:sz w:val="24"/>
                <w:szCs w:val="24"/>
              </w:rPr>
              <w:t>KF</w:t>
            </w:r>
          </w:p>
        </w:tc>
        <w:tc>
          <w:tcPr>
            <w:tcW w:w="6799" w:type="dxa"/>
            <w:shd w:val="clear" w:color="auto" w:fill="auto"/>
          </w:tcPr>
          <w:p w14:paraId="74B33907" w14:textId="3E442B17" w:rsidR="00027902" w:rsidRPr="00332AB5" w:rsidRDefault="00027902" w:rsidP="00E2152B">
            <w:pPr>
              <w:spacing w:before="60" w:after="60"/>
              <w:jc w:val="both"/>
              <w:rPr>
                <w:sz w:val="24"/>
                <w:szCs w:val="24"/>
              </w:rPr>
            </w:pPr>
            <w:r w:rsidRPr="00332AB5">
              <w:rPr>
                <w:sz w:val="24"/>
                <w:szCs w:val="24"/>
              </w:rPr>
              <w:t>Kohezijski fond</w:t>
            </w:r>
          </w:p>
        </w:tc>
      </w:tr>
      <w:tr w:rsidR="00AA5DF3" w:rsidRPr="00332AB5" w14:paraId="448A7C63" w14:textId="77777777" w:rsidTr="002E0ADB">
        <w:tc>
          <w:tcPr>
            <w:tcW w:w="2263" w:type="dxa"/>
            <w:shd w:val="clear" w:color="auto" w:fill="auto"/>
          </w:tcPr>
          <w:p w14:paraId="50EADE96" w14:textId="1D6580E5" w:rsidR="00B85BA3" w:rsidRPr="00332AB5" w:rsidRDefault="00ED23F1" w:rsidP="00B85BA3">
            <w:pPr>
              <w:rPr>
                <w:sz w:val="24"/>
                <w:szCs w:val="24"/>
              </w:rPr>
            </w:pPr>
            <w:r w:rsidRPr="00332AB5">
              <w:rPr>
                <w:sz w:val="24"/>
                <w:szCs w:val="24"/>
              </w:rPr>
              <w:t>LAGUR</w:t>
            </w:r>
          </w:p>
        </w:tc>
        <w:tc>
          <w:tcPr>
            <w:tcW w:w="6799" w:type="dxa"/>
            <w:shd w:val="clear" w:color="auto" w:fill="auto"/>
          </w:tcPr>
          <w:p w14:paraId="5D69F28A" w14:textId="5A0E8677" w:rsidR="00B85BA3" w:rsidRPr="00332AB5" w:rsidRDefault="00ED23F1" w:rsidP="00E2152B">
            <w:pPr>
              <w:spacing w:before="60" w:after="60"/>
              <w:jc w:val="both"/>
              <w:rPr>
                <w:sz w:val="24"/>
                <w:szCs w:val="24"/>
              </w:rPr>
            </w:pPr>
            <w:r w:rsidRPr="00332AB5">
              <w:rPr>
                <w:sz w:val="24"/>
                <w:szCs w:val="24"/>
              </w:rPr>
              <w:t>Lokalna akcijska grupa u ribarstvu</w:t>
            </w:r>
          </w:p>
        </w:tc>
      </w:tr>
      <w:tr w:rsidR="00027902" w:rsidRPr="00332AB5" w14:paraId="7D473704" w14:textId="77777777" w:rsidTr="002E0ADB">
        <w:tc>
          <w:tcPr>
            <w:tcW w:w="2263" w:type="dxa"/>
            <w:shd w:val="clear" w:color="auto" w:fill="auto"/>
          </w:tcPr>
          <w:p w14:paraId="78F9BE43" w14:textId="1545449A" w:rsidR="00027902" w:rsidRPr="00332AB5" w:rsidRDefault="00027902" w:rsidP="00ED23F1">
            <w:pPr>
              <w:rPr>
                <w:sz w:val="24"/>
                <w:szCs w:val="24"/>
              </w:rPr>
            </w:pPr>
            <w:r w:rsidRPr="00332AB5">
              <w:rPr>
                <w:sz w:val="24"/>
                <w:szCs w:val="24"/>
              </w:rPr>
              <w:t>LRSR</w:t>
            </w:r>
          </w:p>
        </w:tc>
        <w:tc>
          <w:tcPr>
            <w:tcW w:w="6799" w:type="dxa"/>
            <w:shd w:val="clear" w:color="auto" w:fill="auto"/>
          </w:tcPr>
          <w:p w14:paraId="20051018" w14:textId="3DCD2617" w:rsidR="00027902" w:rsidRPr="00332AB5" w:rsidRDefault="00027902" w:rsidP="00E2152B">
            <w:pPr>
              <w:spacing w:before="60" w:after="60"/>
              <w:jc w:val="both"/>
              <w:rPr>
                <w:sz w:val="24"/>
                <w:szCs w:val="24"/>
              </w:rPr>
            </w:pPr>
            <w:r w:rsidRPr="00332AB5">
              <w:rPr>
                <w:sz w:val="24"/>
                <w:szCs w:val="24"/>
              </w:rPr>
              <w:t>Lokalna razvojna strategija u ribarstvu</w:t>
            </w:r>
          </w:p>
        </w:tc>
      </w:tr>
      <w:tr w:rsidR="00AA5DF3" w:rsidRPr="00332AB5" w14:paraId="5093CF1B" w14:textId="77777777" w:rsidTr="002E0ADB">
        <w:tc>
          <w:tcPr>
            <w:tcW w:w="2263" w:type="dxa"/>
            <w:shd w:val="clear" w:color="auto" w:fill="auto"/>
          </w:tcPr>
          <w:p w14:paraId="762B7A45" w14:textId="77777777" w:rsidR="001D24A1" w:rsidRPr="00332AB5" w:rsidRDefault="001D24A1" w:rsidP="00E2152B">
            <w:pPr>
              <w:spacing w:before="60" w:after="60"/>
              <w:rPr>
                <w:sz w:val="24"/>
                <w:szCs w:val="24"/>
              </w:rPr>
            </w:pPr>
            <w:r w:rsidRPr="00332AB5">
              <w:rPr>
                <w:sz w:val="24"/>
                <w:szCs w:val="24"/>
              </w:rPr>
              <w:t>MFIN</w:t>
            </w:r>
          </w:p>
        </w:tc>
        <w:tc>
          <w:tcPr>
            <w:tcW w:w="6799" w:type="dxa"/>
            <w:shd w:val="clear" w:color="auto" w:fill="auto"/>
          </w:tcPr>
          <w:p w14:paraId="7CFEA884" w14:textId="77777777" w:rsidR="001D24A1" w:rsidRPr="00332AB5" w:rsidRDefault="001D24A1" w:rsidP="00E2152B">
            <w:pPr>
              <w:spacing w:before="60" w:after="60"/>
              <w:jc w:val="both"/>
              <w:rPr>
                <w:sz w:val="24"/>
                <w:szCs w:val="24"/>
              </w:rPr>
            </w:pPr>
            <w:r w:rsidRPr="00332AB5">
              <w:rPr>
                <w:sz w:val="24"/>
                <w:szCs w:val="24"/>
              </w:rPr>
              <w:t>Ministarstvo financija</w:t>
            </w:r>
          </w:p>
        </w:tc>
      </w:tr>
      <w:tr w:rsidR="00AA5DF3" w:rsidRPr="00332AB5" w14:paraId="14C19370" w14:textId="77777777" w:rsidTr="002E0ADB">
        <w:tc>
          <w:tcPr>
            <w:tcW w:w="2263" w:type="dxa"/>
            <w:shd w:val="clear" w:color="auto" w:fill="auto"/>
          </w:tcPr>
          <w:p w14:paraId="517D2216" w14:textId="77777777" w:rsidR="00970FE2" w:rsidRPr="00332AB5" w:rsidRDefault="00970FE2" w:rsidP="00E2152B">
            <w:pPr>
              <w:spacing w:before="60" w:after="60"/>
              <w:rPr>
                <w:sz w:val="24"/>
                <w:szCs w:val="24"/>
              </w:rPr>
            </w:pPr>
            <w:r w:rsidRPr="00332AB5">
              <w:rPr>
                <w:sz w:val="24"/>
                <w:szCs w:val="24"/>
              </w:rPr>
              <w:t>M</w:t>
            </w:r>
            <w:r w:rsidR="00C85298" w:rsidRPr="00332AB5">
              <w:rPr>
                <w:sz w:val="24"/>
                <w:szCs w:val="24"/>
              </w:rPr>
              <w:t>PGI</w:t>
            </w:r>
          </w:p>
        </w:tc>
        <w:tc>
          <w:tcPr>
            <w:tcW w:w="6799" w:type="dxa"/>
            <w:shd w:val="clear" w:color="auto" w:fill="auto"/>
          </w:tcPr>
          <w:p w14:paraId="489199AE" w14:textId="77777777" w:rsidR="00970FE2" w:rsidRPr="00332AB5" w:rsidRDefault="00C85298" w:rsidP="00E2152B">
            <w:pPr>
              <w:spacing w:before="60" w:after="60"/>
              <w:jc w:val="both"/>
              <w:rPr>
                <w:sz w:val="24"/>
                <w:szCs w:val="24"/>
              </w:rPr>
            </w:pPr>
            <w:r w:rsidRPr="00332AB5">
              <w:rPr>
                <w:sz w:val="24"/>
                <w:szCs w:val="24"/>
              </w:rPr>
              <w:t>Ministarstvo prostornog uređenja, graditeljstva i državne imovine</w:t>
            </w:r>
          </w:p>
        </w:tc>
      </w:tr>
      <w:tr w:rsidR="00AA5DF3" w:rsidRPr="00332AB5" w14:paraId="356E9CE6" w14:textId="77777777" w:rsidTr="002E0ADB">
        <w:tc>
          <w:tcPr>
            <w:tcW w:w="2263" w:type="dxa"/>
            <w:shd w:val="clear" w:color="auto" w:fill="auto"/>
          </w:tcPr>
          <w:p w14:paraId="6141E064" w14:textId="77777777" w:rsidR="00454102" w:rsidRPr="00332AB5" w:rsidRDefault="00454102" w:rsidP="00E2152B">
            <w:pPr>
              <w:spacing w:before="60" w:after="60"/>
              <w:rPr>
                <w:sz w:val="24"/>
                <w:szCs w:val="24"/>
              </w:rPr>
            </w:pPr>
            <w:r w:rsidRPr="00332AB5">
              <w:rPr>
                <w:sz w:val="24"/>
                <w:szCs w:val="24"/>
              </w:rPr>
              <w:t>MG</w:t>
            </w:r>
            <w:r w:rsidR="00C85298" w:rsidRPr="00332AB5">
              <w:rPr>
                <w:sz w:val="24"/>
                <w:szCs w:val="24"/>
              </w:rPr>
              <w:t>OR</w:t>
            </w:r>
          </w:p>
        </w:tc>
        <w:tc>
          <w:tcPr>
            <w:tcW w:w="6799" w:type="dxa"/>
            <w:shd w:val="clear" w:color="auto" w:fill="auto"/>
          </w:tcPr>
          <w:p w14:paraId="374A38B7" w14:textId="77777777" w:rsidR="00454102" w:rsidRPr="00332AB5" w:rsidRDefault="00454102" w:rsidP="00E2152B">
            <w:pPr>
              <w:spacing w:before="60" w:after="60"/>
              <w:jc w:val="both"/>
              <w:rPr>
                <w:sz w:val="24"/>
                <w:szCs w:val="24"/>
              </w:rPr>
            </w:pPr>
            <w:r w:rsidRPr="00332AB5">
              <w:rPr>
                <w:sz w:val="24"/>
                <w:szCs w:val="24"/>
              </w:rPr>
              <w:t>Ministarstvo gospodarstva</w:t>
            </w:r>
            <w:r w:rsidR="00C85298" w:rsidRPr="00332AB5">
              <w:rPr>
                <w:sz w:val="24"/>
                <w:szCs w:val="24"/>
              </w:rPr>
              <w:t xml:space="preserve"> i održivog razvoja</w:t>
            </w:r>
          </w:p>
        </w:tc>
      </w:tr>
      <w:tr w:rsidR="00AA5DF3" w:rsidRPr="00332AB5" w14:paraId="2F31E59E" w14:textId="77777777" w:rsidTr="002E0ADB">
        <w:tc>
          <w:tcPr>
            <w:tcW w:w="2263" w:type="dxa"/>
            <w:shd w:val="clear" w:color="auto" w:fill="auto"/>
          </w:tcPr>
          <w:p w14:paraId="66AC5172" w14:textId="77777777" w:rsidR="00454102" w:rsidRPr="00332AB5" w:rsidRDefault="00454102" w:rsidP="00E2152B">
            <w:pPr>
              <w:spacing w:before="60" w:after="60"/>
              <w:rPr>
                <w:sz w:val="24"/>
                <w:szCs w:val="24"/>
              </w:rPr>
            </w:pPr>
            <w:r w:rsidRPr="00332AB5">
              <w:rPr>
                <w:sz w:val="24"/>
                <w:szCs w:val="24"/>
              </w:rPr>
              <w:t>MPOLJ</w:t>
            </w:r>
          </w:p>
        </w:tc>
        <w:tc>
          <w:tcPr>
            <w:tcW w:w="6799" w:type="dxa"/>
            <w:shd w:val="clear" w:color="auto" w:fill="auto"/>
          </w:tcPr>
          <w:p w14:paraId="7BBD7B58" w14:textId="77777777" w:rsidR="00454102" w:rsidRPr="00332AB5" w:rsidRDefault="00454102" w:rsidP="00E2152B">
            <w:pPr>
              <w:spacing w:before="60" w:after="60"/>
              <w:jc w:val="both"/>
              <w:rPr>
                <w:sz w:val="24"/>
                <w:szCs w:val="24"/>
              </w:rPr>
            </w:pPr>
            <w:r w:rsidRPr="00332AB5">
              <w:rPr>
                <w:sz w:val="24"/>
                <w:szCs w:val="24"/>
              </w:rPr>
              <w:t>Ministarstvo poljoprivrede</w:t>
            </w:r>
          </w:p>
        </w:tc>
      </w:tr>
      <w:tr w:rsidR="00AA5DF3" w:rsidRPr="00332AB5" w14:paraId="43AE52CA" w14:textId="77777777" w:rsidTr="002E0ADB">
        <w:tc>
          <w:tcPr>
            <w:tcW w:w="2263" w:type="dxa"/>
            <w:shd w:val="clear" w:color="auto" w:fill="auto"/>
          </w:tcPr>
          <w:p w14:paraId="2842A19C" w14:textId="77777777" w:rsidR="00454102" w:rsidRPr="00332AB5" w:rsidRDefault="00454102" w:rsidP="00E2152B">
            <w:pPr>
              <w:spacing w:before="60" w:after="60"/>
              <w:rPr>
                <w:sz w:val="24"/>
                <w:szCs w:val="24"/>
              </w:rPr>
            </w:pPr>
            <w:r w:rsidRPr="00332AB5">
              <w:rPr>
                <w:sz w:val="24"/>
                <w:szCs w:val="24"/>
              </w:rPr>
              <w:t>MR</w:t>
            </w:r>
            <w:r w:rsidR="00C85298" w:rsidRPr="00332AB5">
              <w:rPr>
                <w:sz w:val="24"/>
                <w:szCs w:val="24"/>
              </w:rPr>
              <w:t>OSP</w:t>
            </w:r>
          </w:p>
        </w:tc>
        <w:tc>
          <w:tcPr>
            <w:tcW w:w="6799" w:type="dxa"/>
            <w:shd w:val="clear" w:color="auto" w:fill="auto"/>
          </w:tcPr>
          <w:p w14:paraId="1F3EB4E4" w14:textId="77777777" w:rsidR="00454102" w:rsidRPr="00332AB5" w:rsidRDefault="00C85298" w:rsidP="00E2152B">
            <w:pPr>
              <w:spacing w:before="60" w:after="60"/>
              <w:jc w:val="both"/>
              <w:rPr>
                <w:sz w:val="24"/>
                <w:szCs w:val="24"/>
              </w:rPr>
            </w:pPr>
            <w:bookmarkStart w:id="189" w:name="_Hlk46907403"/>
            <w:r w:rsidRPr="00332AB5">
              <w:rPr>
                <w:sz w:val="24"/>
                <w:szCs w:val="24"/>
              </w:rPr>
              <w:t>Ministarstvo rada, mirovinskoga sustava, obitelji i socijalne politike</w:t>
            </w:r>
            <w:bookmarkEnd w:id="189"/>
          </w:p>
        </w:tc>
      </w:tr>
      <w:tr w:rsidR="00AA5DF3" w:rsidRPr="00332AB5" w14:paraId="704063BB" w14:textId="77777777" w:rsidTr="002E0ADB">
        <w:tc>
          <w:tcPr>
            <w:tcW w:w="2263" w:type="dxa"/>
            <w:shd w:val="clear" w:color="auto" w:fill="auto"/>
          </w:tcPr>
          <w:p w14:paraId="11AADF8F" w14:textId="77777777" w:rsidR="00454102" w:rsidRPr="00332AB5" w:rsidRDefault="00454102" w:rsidP="00E2152B">
            <w:pPr>
              <w:spacing w:before="60" w:after="60"/>
              <w:rPr>
                <w:sz w:val="24"/>
                <w:szCs w:val="24"/>
              </w:rPr>
            </w:pPr>
            <w:r w:rsidRPr="00332AB5">
              <w:rPr>
                <w:sz w:val="24"/>
                <w:szCs w:val="24"/>
              </w:rPr>
              <w:t>MRRFEU</w:t>
            </w:r>
          </w:p>
        </w:tc>
        <w:tc>
          <w:tcPr>
            <w:tcW w:w="6799" w:type="dxa"/>
            <w:shd w:val="clear" w:color="auto" w:fill="auto"/>
          </w:tcPr>
          <w:p w14:paraId="634F320F" w14:textId="77777777" w:rsidR="00454102" w:rsidRPr="00332AB5" w:rsidRDefault="00454102" w:rsidP="00E2152B">
            <w:pPr>
              <w:spacing w:before="60" w:after="60"/>
              <w:jc w:val="both"/>
              <w:rPr>
                <w:sz w:val="24"/>
                <w:szCs w:val="24"/>
              </w:rPr>
            </w:pPr>
            <w:r w:rsidRPr="00332AB5">
              <w:rPr>
                <w:sz w:val="24"/>
                <w:szCs w:val="24"/>
              </w:rPr>
              <w:t>Ministarstvo regionalnoga razvoja i fondova Europske unije</w:t>
            </w:r>
          </w:p>
        </w:tc>
      </w:tr>
      <w:tr w:rsidR="00AA5DF3" w:rsidRPr="00332AB5" w14:paraId="3E14E3CA" w14:textId="77777777" w:rsidTr="002E0ADB">
        <w:tc>
          <w:tcPr>
            <w:tcW w:w="2263" w:type="dxa"/>
            <w:shd w:val="clear" w:color="auto" w:fill="auto"/>
          </w:tcPr>
          <w:p w14:paraId="713EE78E" w14:textId="77777777" w:rsidR="00454102" w:rsidRPr="00332AB5" w:rsidRDefault="00454102" w:rsidP="00E2152B">
            <w:pPr>
              <w:spacing w:before="60" w:after="60"/>
              <w:rPr>
                <w:sz w:val="24"/>
                <w:szCs w:val="24"/>
              </w:rPr>
            </w:pPr>
            <w:r w:rsidRPr="00332AB5">
              <w:rPr>
                <w:sz w:val="24"/>
                <w:szCs w:val="24"/>
              </w:rPr>
              <w:t>MSP</w:t>
            </w:r>
          </w:p>
        </w:tc>
        <w:tc>
          <w:tcPr>
            <w:tcW w:w="6799" w:type="dxa"/>
            <w:shd w:val="clear" w:color="auto" w:fill="auto"/>
          </w:tcPr>
          <w:p w14:paraId="15461EB6" w14:textId="77777777" w:rsidR="00454102" w:rsidRPr="00332AB5" w:rsidRDefault="00454102" w:rsidP="00E2152B">
            <w:pPr>
              <w:spacing w:before="60" w:after="60"/>
              <w:jc w:val="both"/>
              <w:rPr>
                <w:sz w:val="24"/>
                <w:szCs w:val="24"/>
              </w:rPr>
            </w:pPr>
            <w:r w:rsidRPr="00332AB5">
              <w:rPr>
                <w:sz w:val="24"/>
                <w:szCs w:val="24"/>
              </w:rPr>
              <w:t>malo i srednje poduzetništvo</w:t>
            </w:r>
            <w:r w:rsidR="006D205B" w:rsidRPr="00332AB5">
              <w:rPr>
                <w:sz w:val="24"/>
                <w:szCs w:val="24"/>
              </w:rPr>
              <w:t xml:space="preserve"> (poduzeće)</w:t>
            </w:r>
          </w:p>
        </w:tc>
      </w:tr>
      <w:tr w:rsidR="00AA5DF3" w:rsidRPr="00332AB5" w14:paraId="7E3DE4EC" w14:textId="77777777" w:rsidTr="002E0ADB">
        <w:tc>
          <w:tcPr>
            <w:tcW w:w="2263" w:type="dxa"/>
            <w:shd w:val="clear" w:color="auto" w:fill="auto"/>
          </w:tcPr>
          <w:p w14:paraId="427394A6" w14:textId="77777777" w:rsidR="00454102" w:rsidRPr="00332AB5" w:rsidRDefault="00454102" w:rsidP="00E2152B">
            <w:pPr>
              <w:spacing w:before="60" w:after="60"/>
              <w:rPr>
                <w:sz w:val="24"/>
                <w:szCs w:val="24"/>
              </w:rPr>
            </w:pPr>
            <w:r w:rsidRPr="00332AB5">
              <w:rPr>
                <w:sz w:val="24"/>
                <w:szCs w:val="24"/>
              </w:rPr>
              <w:t>MU</w:t>
            </w:r>
          </w:p>
        </w:tc>
        <w:tc>
          <w:tcPr>
            <w:tcW w:w="6799" w:type="dxa"/>
            <w:shd w:val="clear" w:color="auto" w:fill="auto"/>
          </w:tcPr>
          <w:p w14:paraId="671A7D18" w14:textId="77777777" w:rsidR="00454102" w:rsidRPr="00332AB5" w:rsidRDefault="00454102" w:rsidP="00E2152B">
            <w:pPr>
              <w:spacing w:before="60" w:after="60"/>
              <w:jc w:val="both"/>
              <w:rPr>
                <w:sz w:val="24"/>
                <w:szCs w:val="24"/>
              </w:rPr>
            </w:pPr>
            <w:r w:rsidRPr="00332AB5">
              <w:rPr>
                <w:sz w:val="24"/>
                <w:szCs w:val="24"/>
              </w:rPr>
              <w:t xml:space="preserve">Ministarstvo </w:t>
            </w:r>
            <w:r w:rsidR="00F80B5E" w:rsidRPr="00332AB5">
              <w:rPr>
                <w:sz w:val="24"/>
                <w:szCs w:val="24"/>
              </w:rPr>
              <w:t xml:space="preserve">pravosuđa i </w:t>
            </w:r>
            <w:r w:rsidRPr="00332AB5">
              <w:rPr>
                <w:sz w:val="24"/>
                <w:szCs w:val="24"/>
              </w:rPr>
              <w:t>uprave</w:t>
            </w:r>
          </w:p>
        </w:tc>
      </w:tr>
      <w:tr w:rsidR="00AA5DF3" w:rsidRPr="00332AB5" w14:paraId="680D469C" w14:textId="77777777" w:rsidTr="002E0ADB">
        <w:tc>
          <w:tcPr>
            <w:tcW w:w="2263" w:type="dxa"/>
            <w:shd w:val="clear" w:color="auto" w:fill="auto"/>
          </w:tcPr>
          <w:p w14:paraId="27841E75" w14:textId="77777777" w:rsidR="00454102" w:rsidRPr="00332AB5" w:rsidRDefault="00454102" w:rsidP="00E2152B">
            <w:pPr>
              <w:spacing w:before="60" w:after="60"/>
              <w:rPr>
                <w:sz w:val="24"/>
                <w:szCs w:val="24"/>
              </w:rPr>
            </w:pPr>
            <w:r w:rsidRPr="00332AB5">
              <w:rPr>
                <w:sz w:val="24"/>
                <w:szCs w:val="24"/>
              </w:rPr>
              <w:t>MZO</w:t>
            </w:r>
          </w:p>
        </w:tc>
        <w:tc>
          <w:tcPr>
            <w:tcW w:w="6799" w:type="dxa"/>
            <w:shd w:val="clear" w:color="auto" w:fill="auto"/>
          </w:tcPr>
          <w:p w14:paraId="12913790" w14:textId="77777777" w:rsidR="00454102" w:rsidRPr="00332AB5" w:rsidRDefault="00454102" w:rsidP="00E2152B">
            <w:pPr>
              <w:spacing w:before="60" w:after="60"/>
              <w:jc w:val="both"/>
              <w:rPr>
                <w:sz w:val="24"/>
                <w:szCs w:val="24"/>
              </w:rPr>
            </w:pPr>
            <w:r w:rsidRPr="00332AB5">
              <w:rPr>
                <w:sz w:val="24"/>
                <w:szCs w:val="24"/>
              </w:rPr>
              <w:t>Ministarstvo znanosti i obrazovanja</w:t>
            </w:r>
          </w:p>
        </w:tc>
      </w:tr>
      <w:tr w:rsidR="00AA5DF3" w:rsidRPr="00332AB5" w14:paraId="674F53E2" w14:textId="77777777" w:rsidTr="002E0ADB">
        <w:tc>
          <w:tcPr>
            <w:tcW w:w="2263" w:type="dxa"/>
            <w:shd w:val="clear" w:color="auto" w:fill="auto"/>
          </w:tcPr>
          <w:p w14:paraId="605AAA75" w14:textId="77777777" w:rsidR="00454102" w:rsidRPr="00332AB5" w:rsidRDefault="00454102" w:rsidP="00E2152B">
            <w:pPr>
              <w:spacing w:before="60" w:after="60"/>
              <w:rPr>
                <w:sz w:val="24"/>
                <w:szCs w:val="24"/>
              </w:rPr>
            </w:pPr>
            <w:r w:rsidRPr="00332AB5">
              <w:rPr>
                <w:sz w:val="24"/>
                <w:szCs w:val="24"/>
              </w:rPr>
              <w:t>NGN</w:t>
            </w:r>
          </w:p>
        </w:tc>
        <w:tc>
          <w:tcPr>
            <w:tcW w:w="6799" w:type="dxa"/>
            <w:shd w:val="clear" w:color="auto" w:fill="auto"/>
          </w:tcPr>
          <w:p w14:paraId="114A37E7" w14:textId="02584221" w:rsidR="00454102" w:rsidRPr="00332AB5" w:rsidRDefault="00ED739C" w:rsidP="00E2152B">
            <w:pPr>
              <w:spacing w:before="60" w:after="60"/>
              <w:jc w:val="both"/>
              <w:rPr>
                <w:sz w:val="24"/>
                <w:szCs w:val="24"/>
              </w:rPr>
            </w:pPr>
            <w:r w:rsidRPr="00332AB5">
              <w:rPr>
                <w:sz w:val="24"/>
                <w:szCs w:val="24"/>
              </w:rPr>
              <w:t>M</w:t>
            </w:r>
            <w:r w:rsidR="00454102" w:rsidRPr="00332AB5">
              <w:rPr>
                <w:sz w:val="24"/>
                <w:szCs w:val="24"/>
              </w:rPr>
              <w:t>reža sljedeće generacije</w:t>
            </w:r>
          </w:p>
        </w:tc>
      </w:tr>
      <w:tr w:rsidR="00AA5DF3" w:rsidRPr="00332AB5" w14:paraId="4B76F5D9" w14:textId="77777777" w:rsidTr="002E0ADB">
        <w:tc>
          <w:tcPr>
            <w:tcW w:w="2263" w:type="dxa"/>
            <w:shd w:val="clear" w:color="auto" w:fill="auto"/>
          </w:tcPr>
          <w:p w14:paraId="6952036E" w14:textId="77777777" w:rsidR="00454102" w:rsidRPr="00332AB5" w:rsidRDefault="00454102" w:rsidP="00E2152B">
            <w:pPr>
              <w:spacing w:before="60" w:after="60"/>
              <w:rPr>
                <w:sz w:val="24"/>
                <w:szCs w:val="24"/>
              </w:rPr>
            </w:pPr>
            <w:r w:rsidRPr="00332AB5">
              <w:rPr>
                <w:sz w:val="24"/>
                <w:szCs w:val="24"/>
              </w:rPr>
              <w:t>OLAF</w:t>
            </w:r>
          </w:p>
        </w:tc>
        <w:tc>
          <w:tcPr>
            <w:tcW w:w="6799" w:type="dxa"/>
            <w:shd w:val="clear" w:color="auto" w:fill="auto"/>
          </w:tcPr>
          <w:p w14:paraId="0A5A763F" w14:textId="77777777" w:rsidR="00454102" w:rsidRPr="00332AB5" w:rsidRDefault="00454102" w:rsidP="00E2152B">
            <w:pPr>
              <w:spacing w:before="60" w:after="60"/>
              <w:jc w:val="both"/>
              <w:rPr>
                <w:sz w:val="24"/>
                <w:szCs w:val="24"/>
              </w:rPr>
            </w:pPr>
            <w:r w:rsidRPr="00332AB5">
              <w:rPr>
                <w:bCs/>
                <w:sz w:val="24"/>
                <w:szCs w:val="24"/>
              </w:rPr>
              <w:t>Europski ured za borbu protiv prijevara</w:t>
            </w:r>
          </w:p>
        </w:tc>
      </w:tr>
      <w:tr w:rsidR="00AA5DF3" w:rsidRPr="00332AB5" w14:paraId="71379D8D" w14:textId="77777777" w:rsidTr="002E0ADB">
        <w:tc>
          <w:tcPr>
            <w:tcW w:w="2263" w:type="dxa"/>
            <w:shd w:val="clear" w:color="auto" w:fill="auto"/>
          </w:tcPr>
          <w:p w14:paraId="2DC2710E" w14:textId="77777777" w:rsidR="00454102" w:rsidRPr="00332AB5" w:rsidRDefault="00454102" w:rsidP="00E2152B">
            <w:pPr>
              <w:spacing w:before="60" w:after="60"/>
              <w:rPr>
                <w:sz w:val="24"/>
                <w:szCs w:val="24"/>
              </w:rPr>
            </w:pPr>
            <w:r w:rsidRPr="00332AB5">
              <w:rPr>
                <w:bCs/>
                <w:sz w:val="24"/>
              </w:rPr>
              <w:t>ONP</w:t>
            </w:r>
          </w:p>
        </w:tc>
        <w:tc>
          <w:tcPr>
            <w:tcW w:w="6799" w:type="dxa"/>
            <w:shd w:val="clear" w:color="auto" w:fill="auto"/>
          </w:tcPr>
          <w:p w14:paraId="1777FD28" w14:textId="77777777" w:rsidR="00454102" w:rsidRPr="00332AB5" w:rsidRDefault="00454102" w:rsidP="00E2152B">
            <w:pPr>
              <w:spacing w:before="60" w:after="60"/>
              <w:jc w:val="both"/>
              <w:rPr>
                <w:bCs/>
                <w:sz w:val="24"/>
                <w:szCs w:val="24"/>
              </w:rPr>
            </w:pPr>
            <w:r w:rsidRPr="00332AB5">
              <w:rPr>
                <w:bCs/>
                <w:sz w:val="24"/>
              </w:rPr>
              <w:t>Okvirni nacionalni program za razvoj infrastrukture širokopojasnog pristupa</w:t>
            </w:r>
          </w:p>
        </w:tc>
      </w:tr>
      <w:tr w:rsidR="00AA5DF3" w:rsidRPr="00332AB5" w14:paraId="4825799C" w14:textId="77777777" w:rsidTr="002E0ADB">
        <w:tc>
          <w:tcPr>
            <w:tcW w:w="2263" w:type="dxa"/>
            <w:shd w:val="clear" w:color="auto" w:fill="auto"/>
          </w:tcPr>
          <w:p w14:paraId="7DA428FF" w14:textId="77777777" w:rsidR="007F199A" w:rsidRPr="00332AB5" w:rsidRDefault="007F199A" w:rsidP="00E2152B">
            <w:pPr>
              <w:spacing w:before="60" w:after="60"/>
              <w:rPr>
                <w:bCs/>
                <w:sz w:val="24"/>
              </w:rPr>
            </w:pPr>
            <w:r w:rsidRPr="00332AB5">
              <w:rPr>
                <w:bCs/>
                <w:sz w:val="24"/>
              </w:rPr>
              <w:t>OPFEAD</w:t>
            </w:r>
          </w:p>
        </w:tc>
        <w:tc>
          <w:tcPr>
            <w:tcW w:w="6799" w:type="dxa"/>
            <w:shd w:val="clear" w:color="auto" w:fill="auto"/>
          </w:tcPr>
          <w:p w14:paraId="1DC5CBBB" w14:textId="77777777" w:rsidR="007F199A" w:rsidRPr="00332AB5" w:rsidRDefault="007F199A" w:rsidP="00E2152B">
            <w:pPr>
              <w:spacing w:before="60" w:after="60"/>
              <w:jc w:val="both"/>
              <w:rPr>
                <w:bCs/>
                <w:sz w:val="24"/>
              </w:rPr>
            </w:pPr>
            <w:r w:rsidRPr="00332AB5">
              <w:rPr>
                <w:sz w:val="24"/>
                <w:szCs w:val="24"/>
              </w:rPr>
              <w:t>Operativni program za hranu i/ili osnovnu materijalnu pomoć 2014. – 2020.</w:t>
            </w:r>
          </w:p>
        </w:tc>
      </w:tr>
      <w:tr w:rsidR="00AA5DF3" w:rsidRPr="00332AB5" w14:paraId="644AA0E5" w14:textId="77777777" w:rsidTr="002E0ADB">
        <w:tc>
          <w:tcPr>
            <w:tcW w:w="2263" w:type="dxa"/>
            <w:shd w:val="clear" w:color="auto" w:fill="auto"/>
          </w:tcPr>
          <w:p w14:paraId="60B723BF" w14:textId="77777777" w:rsidR="00454102" w:rsidRPr="00332AB5" w:rsidRDefault="00454102" w:rsidP="00E2152B">
            <w:pPr>
              <w:spacing w:before="60" w:after="60"/>
              <w:rPr>
                <w:sz w:val="24"/>
                <w:szCs w:val="24"/>
              </w:rPr>
            </w:pPr>
            <w:r w:rsidRPr="00332AB5">
              <w:rPr>
                <w:sz w:val="24"/>
                <w:szCs w:val="24"/>
              </w:rPr>
              <w:t>OPKK</w:t>
            </w:r>
          </w:p>
        </w:tc>
        <w:tc>
          <w:tcPr>
            <w:tcW w:w="6799" w:type="dxa"/>
            <w:shd w:val="clear" w:color="auto" w:fill="auto"/>
          </w:tcPr>
          <w:p w14:paraId="6CE33A90" w14:textId="77777777" w:rsidR="00454102" w:rsidRPr="00332AB5" w:rsidRDefault="00454102" w:rsidP="00E2152B">
            <w:pPr>
              <w:spacing w:before="60" w:after="60"/>
              <w:jc w:val="both"/>
              <w:rPr>
                <w:sz w:val="24"/>
                <w:szCs w:val="24"/>
              </w:rPr>
            </w:pPr>
            <w:r w:rsidRPr="00332AB5">
              <w:rPr>
                <w:sz w:val="24"/>
                <w:szCs w:val="24"/>
                <w:lang w:bidi="ta-IN"/>
              </w:rPr>
              <w:t>Operativni program „Konkurentnost i kohezija“ 2014. – 2020.</w:t>
            </w:r>
          </w:p>
        </w:tc>
      </w:tr>
      <w:tr w:rsidR="00AA5DF3" w:rsidRPr="00332AB5" w14:paraId="152A1CF9" w14:textId="77777777" w:rsidTr="002E0ADB">
        <w:tc>
          <w:tcPr>
            <w:tcW w:w="2263" w:type="dxa"/>
            <w:shd w:val="clear" w:color="auto" w:fill="auto"/>
          </w:tcPr>
          <w:p w14:paraId="1E0B5154" w14:textId="77777777" w:rsidR="00454102" w:rsidRPr="00332AB5" w:rsidRDefault="00454102" w:rsidP="00E2152B">
            <w:pPr>
              <w:spacing w:before="60" w:after="60"/>
              <w:rPr>
                <w:sz w:val="24"/>
                <w:szCs w:val="24"/>
              </w:rPr>
            </w:pPr>
            <w:r w:rsidRPr="00332AB5">
              <w:rPr>
                <w:sz w:val="24"/>
                <w:szCs w:val="24"/>
              </w:rPr>
              <w:t>OPP</w:t>
            </w:r>
          </w:p>
        </w:tc>
        <w:tc>
          <w:tcPr>
            <w:tcW w:w="6799" w:type="dxa"/>
            <w:shd w:val="clear" w:color="auto" w:fill="auto"/>
          </w:tcPr>
          <w:p w14:paraId="333BB8B7" w14:textId="77777777" w:rsidR="00454102" w:rsidRPr="00332AB5" w:rsidRDefault="00454102" w:rsidP="00E2152B">
            <w:pPr>
              <w:spacing w:before="60" w:after="60"/>
              <w:jc w:val="both"/>
              <w:rPr>
                <w:sz w:val="24"/>
                <w:szCs w:val="24"/>
              </w:rPr>
            </w:pPr>
            <w:r w:rsidRPr="00332AB5">
              <w:rPr>
                <w:sz w:val="24"/>
                <w:szCs w:val="24"/>
              </w:rPr>
              <w:t>Operativni program „Promet“ 2007 – 2013.</w:t>
            </w:r>
          </w:p>
        </w:tc>
      </w:tr>
      <w:tr w:rsidR="00AA5DF3" w:rsidRPr="00332AB5" w14:paraId="41E83F8D" w14:textId="77777777" w:rsidTr="002E0ADB">
        <w:tc>
          <w:tcPr>
            <w:tcW w:w="2263" w:type="dxa"/>
            <w:shd w:val="clear" w:color="auto" w:fill="auto"/>
          </w:tcPr>
          <w:p w14:paraId="0BA643CB" w14:textId="77777777" w:rsidR="00454102" w:rsidRPr="00332AB5" w:rsidRDefault="00454102" w:rsidP="00E2152B">
            <w:pPr>
              <w:spacing w:before="60" w:after="60"/>
              <w:rPr>
                <w:sz w:val="24"/>
                <w:szCs w:val="24"/>
              </w:rPr>
            </w:pPr>
            <w:r w:rsidRPr="00332AB5">
              <w:rPr>
                <w:sz w:val="24"/>
                <w:szCs w:val="24"/>
              </w:rPr>
              <w:t>OPPiR</w:t>
            </w:r>
          </w:p>
        </w:tc>
        <w:tc>
          <w:tcPr>
            <w:tcW w:w="6799" w:type="dxa"/>
            <w:shd w:val="clear" w:color="auto" w:fill="auto"/>
          </w:tcPr>
          <w:p w14:paraId="0483733B" w14:textId="77777777" w:rsidR="00454102" w:rsidRPr="00332AB5" w:rsidRDefault="00454102" w:rsidP="00E2152B">
            <w:pPr>
              <w:spacing w:before="60" w:after="60"/>
              <w:jc w:val="both"/>
              <w:rPr>
                <w:bCs/>
                <w:sz w:val="24"/>
                <w:szCs w:val="24"/>
              </w:rPr>
            </w:pPr>
            <w:r w:rsidRPr="00332AB5">
              <w:rPr>
                <w:bCs/>
                <w:sz w:val="24"/>
                <w:szCs w:val="24"/>
              </w:rPr>
              <w:t xml:space="preserve">Operativni program za pomorstvo i ribarstvo 2014. </w:t>
            </w:r>
            <w:r w:rsidR="00582B2B" w:rsidRPr="00332AB5">
              <w:rPr>
                <w:bCs/>
                <w:sz w:val="24"/>
                <w:szCs w:val="24"/>
              </w:rPr>
              <w:t>–</w:t>
            </w:r>
            <w:r w:rsidRPr="00332AB5">
              <w:rPr>
                <w:bCs/>
                <w:sz w:val="24"/>
                <w:szCs w:val="24"/>
              </w:rPr>
              <w:t xml:space="preserve"> 2020</w:t>
            </w:r>
          </w:p>
        </w:tc>
      </w:tr>
      <w:tr w:rsidR="00AA5DF3" w:rsidRPr="00332AB5" w14:paraId="66B71B79" w14:textId="77777777" w:rsidTr="002E0ADB">
        <w:tc>
          <w:tcPr>
            <w:tcW w:w="2263" w:type="dxa"/>
            <w:shd w:val="clear" w:color="auto" w:fill="auto"/>
          </w:tcPr>
          <w:p w14:paraId="05DAE901" w14:textId="77777777" w:rsidR="00454102" w:rsidRPr="00332AB5" w:rsidRDefault="00454102" w:rsidP="00E2152B">
            <w:pPr>
              <w:spacing w:before="60" w:after="60"/>
              <w:rPr>
                <w:sz w:val="24"/>
                <w:szCs w:val="24"/>
              </w:rPr>
            </w:pPr>
            <w:r w:rsidRPr="00332AB5">
              <w:rPr>
                <w:sz w:val="24"/>
                <w:szCs w:val="24"/>
              </w:rPr>
              <w:t>OPRK</w:t>
            </w:r>
          </w:p>
        </w:tc>
        <w:tc>
          <w:tcPr>
            <w:tcW w:w="6799" w:type="dxa"/>
            <w:shd w:val="clear" w:color="auto" w:fill="auto"/>
          </w:tcPr>
          <w:p w14:paraId="3A298A9A" w14:textId="77777777" w:rsidR="00454102" w:rsidRPr="00332AB5" w:rsidRDefault="00454102" w:rsidP="00E2152B">
            <w:pPr>
              <w:spacing w:before="60" w:after="60"/>
              <w:jc w:val="both"/>
              <w:rPr>
                <w:sz w:val="24"/>
                <w:szCs w:val="24"/>
              </w:rPr>
            </w:pPr>
            <w:r w:rsidRPr="00332AB5">
              <w:rPr>
                <w:sz w:val="24"/>
                <w:szCs w:val="24"/>
              </w:rPr>
              <w:t>Operativni program „Regionalna konkurentnost“ 2007 – 2013.</w:t>
            </w:r>
          </w:p>
        </w:tc>
      </w:tr>
      <w:tr w:rsidR="00AA5DF3" w:rsidRPr="00332AB5" w14:paraId="4D417228" w14:textId="77777777" w:rsidTr="002E0ADB">
        <w:tc>
          <w:tcPr>
            <w:tcW w:w="2263" w:type="dxa"/>
            <w:shd w:val="clear" w:color="auto" w:fill="auto"/>
          </w:tcPr>
          <w:p w14:paraId="19A5CF85" w14:textId="77777777" w:rsidR="00454102" w:rsidRPr="00332AB5" w:rsidRDefault="00454102" w:rsidP="00E2152B">
            <w:pPr>
              <w:spacing w:before="60" w:after="60"/>
              <w:rPr>
                <w:sz w:val="24"/>
                <w:szCs w:val="24"/>
              </w:rPr>
            </w:pPr>
            <w:r w:rsidRPr="00332AB5">
              <w:rPr>
                <w:sz w:val="24"/>
                <w:szCs w:val="24"/>
              </w:rPr>
              <w:t>OPRLJP</w:t>
            </w:r>
          </w:p>
        </w:tc>
        <w:tc>
          <w:tcPr>
            <w:tcW w:w="6799" w:type="dxa"/>
            <w:shd w:val="clear" w:color="auto" w:fill="auto"/>
          </w:tcPr>
          <w:p w14:paraId="0916DDA3" w14:textId="77777777" w:rsidR="00454102" w:rsidRPr="00332AB5" w:rsidRDefault="00454102" w:rsidP="00E2152B">
            <w:pPr>
              <w:spacing w:before="60" w:after="60"/>
              <w:jc w:val="both"/>
              <w:rPr>
                <w:sz w:val="24"/>
                <w:szCs w:val="24"/>
              </w:rPr>
            </w:pPr>
            <w:r w:rsidRPr="00332AB5">
              <w:rPr>
                <w:sz w:val="24"/>
                <w:szCs w:val="24"/>
              </w:rPr>
              <w:t>Operativni program „Razvoj ljudskih potencijala“ 2007. – 2013.</w:t>
            </w:r>
          </w:p>
        </w:tc>
      </w:tr>
      <w:tr w:rsidR="00AA5DF3" w:rsidRPr="00332AB5" w14:paraId="5098FAF8" w14:textId="77777777" w:rsidTr="002E0ADB">
        <w:tc>
          <w:tcPr>
            <w:tcW w:w="2263" w:type="dxa"/>
            <w:shd w:val="clear" w:color="auto" w:fill="auto"/>
          </w:tcPr>
          <w:p w14:paraId="62C54E5B" w14:textId="77777777" w:rsidR="00454102" w:rsidRPr="00332AB5" w:rsidRDefault="00454102" w:rsidP="00E2152B">
            <w:pPr>
              <w:spacing w:before="60" w:after="60"/>
              <w:rPr>
                <w:sz w:val="24"/>
                <w:szCs w:val="24"/>
              </w:rPr>
            </w:pPr>
            <w:r w:rsidRPr="00332AB5">
              <w:rPr>
                <w:sz w:val="24"/>
                <w:szCs w:val="24"/>
              </w:rPr>
              <w:t>OPULJP</w:t>
            </w:r>
          </w:p>
        </w:tc>
        <w:tc>
          <w:tcPr>
            <w:tcW w:w="6799" w:type="dxa"/>
            <w:shd w:val="clear" w:color="auto" w:fill="auto"/>
          </w:tcPr>
          <w:p w14:paraId="465BF37E" w14:textId="77777777" w:rsidR="00454102" w:rsidRPr="00332AB5" w:rsidRDefault="00454102" w:rsidP="00E2152B">
            <w:pPr>
              <w:spacing w:before="60" w:after="60"/>
              <w:jc w:val="both"/>
              <w:rPr>
                <w:sz w:val="24"/>
                <w:szCs w:val="24"/>
              </w:rPr>
            </w:pPr>
            <w:r w:rsidRPr="00332AB5">
              <w:rPr>
                <w:bCs/>
                <w:sz w:val="24"/>
                <w:szCs w:val="24"/>
              </w:rPr>
              <w:t>Operativni program „Učinkoviti ljudski potencijali“ 2014. – 2020.</w:t>
            </w:r>
          </w:p>
        </w:tc>
      </w:tr>
      <w:tr w:rsidR="00AA5DF3" w:rsidRPr="00332AB5" w14:paraId="23E603E6" w14:textId="77777777" w:rsidTr="002E0ADB">
        <w:tc>
          <w:tcPr>
            <w:tcW w:w="2263" w:type="dxa"/>
            <w:shd w:val="clear" w:color="auto" w:fill="auto"/>
          </w:tcPr>
          <w:p w14:paraId="28FA524C" w14:textId="6E447487" w:rsidR="002421F1" w:rsidRPr="00332AB5" w:rsidRDefault="00454102">
            <w:pPr>
              <w:spacing w:before="60" w:after="60"/>
              <w:rPr>
                <w:sz w:val="24"/>
                <w:szCs w:val="24"/>
              </w:rPr>
            </w:pPr>
            <w:r w:rsidRPr="00332AB5">
              <w:rPr>
                <w:sz w:val="24"/>
                <w:szCs w:val="24"/>
              </w:rPr>
              <w:t>OPZO</w:t>
            </w:r>
          </w:p>
        </w:tc>
        <w:tc>
          <w:tcPr>
            <w:tcW w:w="6799" w:type="dxa"/>
            <w:shd w:val="clear" w:color="auto" w:fill="auto"/>
          </w:tcPr>
          <w:p w14:paraId="3356CC3D" w14:textId="533745EB" w:rsidR="002421F1" w:rsidRPr="00332AB5" w:rsidRDefault="00454102" w:rsidP="00E2152B">
            <w:pPr>
              <w:spacing w:before="60" w:after="60"/>
              <w:jc w:val="both"/>
              <w:rPr>
                <w:sz w:val="24"/>
                <w:szCs w:val="24"/>
              </w:rPr>
            </w:pPr>
            <w:r w:rsidRPr="00332AB5">
              <w:rPr>
                <w:sz w:val="24"/>
                <w:szCs w:val="24"/>
              </w:rPr>
              <w:t>Operativni program „Zaštita okoliša“ 2017. – 2013.</w:t>
            </w:r>
          </w:p>
        </w:tc>
      </w:tr>
      <w:tr w:rsidR="00536F63" w:rsidRPr="00332AB5" w14:paraId="4EEC5BFF" w14:textId="77777777" w:rsidTr="002E0ADB">
        <w:tc>
          <w:tcPr>
            <w:tcW w:w="2263" w:type="dxa"/>
            <w:shd w:val="clear" w:color="auto" w:fill="auto"/>
          </w:tcPr>
          <w:p w14:paraId="540124D6" w14:textId="08CE52A0" w:rsidR="00536F63" w:rsidRPr="00332AB5" w:rsidRDefault="00536F63" w:rsidP="00E2152B">
            <w:pPr>
              <w:spacing w:before="60" w:after="60"/>
              <w:rPr>
                <w:sz w:val="24"/>
                <w:szCs w:val="24"/>
              </w:rPr>
            </w:pPr>
            <w:r w:rsidRPr="00332AB5">
              <w:rPr>
                <w:sz w:val="24"/>
                <w:szCs w:val="24"/>
              </w:rPr>
              <w:t>OPR</w:t>
            </w:r>
          </w:p>
        </w:tc>
        <w:tc>
          <w:tcPr>
            <w:tcW w:w="6799" w:type="dxa"/>
            <w:shd w:val="clear" w:color="auto" w:fill="auto"/>
          </w:tcPr>
          <w:p w14:paraId="4AEF0700" w14:textId="4BBD0BA8" w:rsidR="00536F63" w:rsidRPr="00332AB5" w:rsidRDefault="00536F63" w:rsidP="00E2152B">
            <w:pPr>
              <w:spacing w:before="60" w:after="60"/>
              <w:jc w:val="both"/>
              <w:rPr>
                <w:sz w:val="24"/>
                <w:szCs w:val="24"/>
              </w:rPr>
            </w:pPr>
            <w:r w:rsidRPr="00332AB5">
              <w:rPr>
                <w:sz w:val="24"/>
                <w:szCs w:val="24"/>
              </w:rPr>
              <w:t>Operativni program za ribarstvo 2007. – 2013.</w:t>
            </w:r>
          </w:p>
        </w:tc>
      </w:tr>
      <w:tr w:rsidR="00AA5DF3" w:rsidRPr="00332AB5" w14:paraId="6F0B51C8" w14:textId="77777777" w:rsidTr="002E0ADB">
        <w:tc>
          <w:tcPr>
            <w:tcW w:w="2263" w:type="dxa"/>
            <w:shd w:val="clear" w:color="auto" w:fill="auto"/>
          </w:tcPr>
          <w:p w14:paraId="4A3049D3" w14:textId="77777777" w:rsidR="00454102" w:rsidRPr="00332AB5" w:rsidRDefault="00454102" w:rsidP="00E2152B">
            <w:pPr>
              <w:spacing w:before="60" w:after="60"/>
              <w:rPr>
                <w:sz w:val="24"/>
                <w:szCs w:val="24"/>
              </w:rPr>
            </w:pPr>
            <w:r w:rsidRPr="00332AB5">
              <w:rPr>
                <w:sz w:val="24"/>
                <w:szCs w:val="24"/>
              </w:rPr>
              <w:t>OzP</w:t>
            </w:r>
          </w:p>
        </w:tc>
        <w:tc>
          <w:tcPr>
            <w:tcW w:w="6799" w:type="dxa"/>
            <w:shd w:val="clear" w:color="auto" w:fill="auto"/>
          </w:tcPr>
          <w:p w14:paraId="398CF121" w14:textId="77777777" w:rsidR="00454102" w:rsidRPr="00332AB5" w:rsidRDefault="00454102" w:rsidP="00E2152B">
            <w:pPr>
              <w:spacing w:before="60" w:after="60"/>
              <w:jc w:val="both"/>
              <w:rPr>
                <w:sz w:val="24"/>
                <w:szCs w:val="24"/>
              </w:rPr>
            </w:pPr>
            <w:r w:rsidRPr="00332AB5">
              <w:rPr>
                <w:sz w:val="24"/>
                <w:szCs w:val="24"/>
              </w:rPr>
              <w:t>Odbor za praćenje</w:t>
            </w:r>
          </w:p>
        </w:tc>
      </w:tr>
      <w:tr w:rsidR="00AA5DF3" w:rsidRPr="00332AB5" w14:paraId="4F8224AE" w14:textId="77777777" w:rsidTr="002E0ADB">
        <w:tc>
          <w:tcPr>
            <w:tcW w:w="2263" w:type="dxa"/>
            <w:shd w:val="clear" w:color="auto" w:fill="auto"/>
          </w:tcPr>
          <w:p w14:paraId="204D5AD9" w14:textId="77777777" w:rsidR="00454102" w:rsidRPr="00332AB5" w:rsidRDefault="00454102" w:rsidP="00E2152B">
            <w:pPr>
              <w:spacing w:before="60" w:after="60"/>
              <w:rPr>
                <w:sz w:val="24"/>
                <w:szCs w:val="24"/>
              </w:rPr>
            </w:pPr>
            <w:r w:rsidRPr="00332AB5">
              <w:rPr>
                <w:sz w:val="24"/>
                <w:szCs w:val="24"/>
              </w:rPr>
              <w:t>PI</w:t>
            </w:r>
          </w:p>
        </w:tc>
        <w:tc>
          <w:tcPr>
            <w:tcW w:w="6799" w:type="dxa"/>
            <w:shd w:val="clear" w:color="auto" w:fill="auto"/>
          </w:tcPr>
          <w:p w14:paraId="52A2ED9B" w14:textId="77777777" w:rsidR="00454102" w:rsidRPr="00332AB5" w:rsidRDefault="00454102" w:rsidP="00E2152B">
            <w:pPr>
              <w:spacing w:before="60" w:after="60"/>
              <w:jc w:val="both"/>
              <w:rPr>
                <w:bCs/>
                <w:sz w:val="24"/>
                <w:szCs w:val="24"/>
                <w:shd w:val="clear" w:color="auto" w:fill="FFFFFF"/>
              </w:rPr>
            </w:pPr>
            <w:r w:rsidRPr="00332AB5">
              <w:rPr>
                <w:bCs/>
                <w:sz w:val="24"/>
                <w:szCs w:val="24"/>
                <w:shd w:val="clear" w:color="auto" w:fill="FFFFFF"/>
              </w:rPr>
              <w:t>Prijelazni instrument</w:t>
            </w:r>
          </w:p>
        </w:tc>
      </w:tr>
      <w:tr w:rsidR="00D8056B" w:rsidRPr="00332AB5" w14:paraId="71C3EBBB" w14:textId="77777777" w:rsidTr="002E0ADB">
        <w:tc>
          <w:tcPr>
            <w:tcW w:w="2263" w:type="dxa"/>
            <w:shd w:val="clear" w:color="auto" w:fill="auto"/>
          </w:tcPr>
          <w:p w14:paraId="24607023" w14:textId="653FB737" w:rsidR="00D8056B" w:rsidRPr="00332AB5" w:rsidRDefault="00D8056B" w:rsidP="00E2152B">
            <w:pPr>
              <w:spacing w:before="60" w:after="60"/>
              <w:rPr>
                <w:sz w:val="24"/>
                <w:szCs w:val="24"/>
              </w:rPr>
            </w:pPr>
            <w:r w:rsidRPr="00332AB5">
              <w:rPr>
                <w:sz w:val="24"/>
                <w:szCs w:val="24"/>
              </w:rPr>
              <w:t>PKK</w:t>
            </w:r>
          </w:p>
        </w:tc>
        <w:tc>
          <w:tcPr>
            <w:tcW w:w="6799" w:type="dxa"/>
            <w:shd w:val="clear" w:color="auto" w:fill="auto"/>
          </w:tcPr>
          <w:p w14:paraId="22BAC27D" w14:textId="54BC70C5" w:rsidR="00D8056B" w:rsidRPr="00332AB5" w:rsidRDefault="00D8056B" w:rsidP="00E2152B">
            <w:pPr>
              <w:spacing w:before="60" w:after="60"/>
              <w:jc w:val="both"/>
              <w:rPr>
                <w:bCs/>
                <w:sz w:val="24"/>
                <w:szCs w:val="24"/>
                <w:shd w:val="clear" w:color="auto" w:fill="FFFFFF"/>
              </w:rPr>
            </w:pPr>
            <w:r w:rsidRPr="00332AB5">
              <w:rPr>
                <w:bCs/>
                <w:sz w:val="24"/>
                <w:szCs w:val="24"/>
                <w:shd w:val="clear" w:color="auto" w:fill="FFFFFF"/>
              </w:rPr>
              <w:t>Program Konkurentnost i kohezija 2021.</w:t>
            </w:r>
            <w:r w:rsidR="005F27EC" w:rsidRPr="00332AB5">
              <w:rPr>
                <w:bCs/>
                <w:sz w:val="24"/>
                <w:szCs w:val="24"/>
                <w:shd w:val="clear" w:color="auto" w:fill="FFFFFF"/>
              </w:rPr>
              <w:t xml:space="preserve"> – </w:t>
            </w:r>
            <w:r w:rsidRPr="00332AB5">
              <w:rPr>
                <w:bCs/>
                <w:sz w:val="24"/>
                <w:szCs w:val="24"/>
                <w:shd w:val="clear" w:color="auto" w:fill="FFFFFF"/>
              </w:rPr>
              <w:t>2027.</w:t>
            </w:r>
          </w:p>
        </w:tc>
      </w:tr>
      <w:tr w:rsidR="006F376A" w:rsidRPr="00332AB5" w14:paraId="0A86738D" w14:textId="77777777" w:rsidTr="002E0ADB">
        <w:tc>
          <w:tcPr>
            <w:tcW w:w="2263" w:type="dxa"/>
            <w:shd w:val="clear" w:color="auto" w:fill="auto"/>
          </w:tcPr>
          <w:p w14:paraId="4F7ADE14" w14:textId="1C1A11A5" w:rsidR="006F376A" w:rsidRPr="00332AB5" w:rsidRDefault="006F376A" w:rsidP="00E2152B">
            <w:pPr>
              <w:spacing w:before="60" w:after="60"/>
              <w:rPr>
                <w:sz w:val="24"/>
                <w:szCs w:val="24"/>
              </w:rPr>
            </w:pPr>
            <w:r w:rsidRPr="00332AB5">
              <w:rPr>
                <w:sz w:val="24"/>
                <w:szCs w:val="24"/>
              </w:rPr>
              <w:t>PRA</w:t>
            </w:r>
          </w:p>
        </w:tc>
        <w:tc>
          <w:tcPr>
            <w:tcW w:w="6799" w:type="dxa"/>
            <w:shd w:val="clear" w:color="auto" w:fill="auto"/>
          </w:tcPr>
          <w:p w14:paraId="37A68699" w14:textId="19DF1201" w:rsidR="006F376A" w:rsidRPr="00332AB5" w:rsidRDefault="006F376A" w:rsidP="00E2152B">
            <w:pPr>
              <w:spacing w:before="60" w:after="60"/>
              <w:jc w:val="both"/>
              <w:rPr>
                <w:bCs/>
                <w:sz w:val="24"/>
                <w:szCs w:val="24"/>
                <w:shd w:val="clear" w:color="auto" w:fill="FFFFFF"/>
              </w:rPr>
            </w:pPr>
            <w:r w:rsidRPr="00332AB5">
              <w:rPr>
                <w:bCs/>
                <w:sz w:val="24"/>
                <w:szCs w:val="24"/>
                <w:shd w:val="clear" w:color="auto" w:fill="FFFFFF"/>
              </w:rPr>
              <w:t>Program za ribarstvo i akvakulturu Republike Hrvatske za programsko razdoblje 2021. – 2027.</w:t>
            </w:r>
          </w:p>
        </w:tc>
      </w:tr>
      <w:tr w:rsidR="00AA5DF3" w:rsidRPr="00332AB5" w14:paraId="20A0666F" w14:textId="77777777" w:rsidTr="002E0ADB">
        <w:tc>
          <w:tcPr>
            <w:tcW w:w="2263" w:type="dxa"/>
            <w:shd w:val="clear" w:color="auto" w:fill="auto"/>
          </w:tcPr>
          <w:p w14:paraId="4EC60B17" w14:textId="77777777" w:rsidR="00454102" w:rsidRPr="00332AB5" w:rsidRDefault="00454102" w:rsidP="00E2152B">
            <w:pPr>
              <w:spacing w:before="60" w:after="60"/>
              <w:rPr>
                <w:sz w:val="24"/>
                <w:szCs w:val="24"/>
              </w:rPr>
            </w:pPr>
            <w:r w:rsidRPr="00332AB5">
              <w:rPr>
                <w:sz w:val="24"/>
                <w:szCs w:val="24"/>
              </w:rPr>
              <w:t>PRR</w:t>
            </w:r>
          </w:p>
        </w:tc>
        <w:tc>
          <w:tcPr>
            <w:tcW w:w="6799" w:type="dxa"/>
            <w:shd w:val="clear" w:color="auto" w:fill="auto"/>
          </w:tcPr>
          <w:p w14:paraId="1EA45011" w14:textId="4A1CB490" w:rsidR="00454102" w:rsidRPr="00332AB5" w:rsidRDefault="00454102" w:rsidP="00E2152B">
            <w:pPr>
              <w:spacing w:before="60" w:after="60"/>
              <w:jc w:val="both"/>
              <w:rPr>
                <w:sz w:val="24"/>
                <w:szCs w:val="24"/>
              </w:rPr>
            </w:pPr>
            <w:r w:rsidRPr="00332AB5">
              <w:rPr>
                <w:sz w:val="24"/>
                <w:szCs w:val="24"/>
              </w:rPr>
              <w:t>Program ruralnog razvoja Republike Hrvatske 2014. – 202</w:t>
            </w:r>
            <w:r w:rsidR="00CC7B9B" w:rsidRPr="00332AB5">
              <w:rPr>
                <w:sz w:val="24"/>
                <w:szCs w:val="24"/>
              </w:rPr>
              <w:t>2</w:t>
            </w:r>
            <w:r w:rsidRPr="00332AB5">
              <w:rPr>
                <w:sz w:val="24"/>
                <w:szCs w:val="24"/>
              </w:rPr>
              <w:t>.</w:t>
            </w:r>
          </w:p>
        </w:tc>
      </w:tr>
      <w:tr w:rsidR="00AA5DF3" w:rsidRPr="00332AB5" w14:paraId="1CCD7F81" w14:textId="77777777" w:rsidTr="002E0ADB">
        <w:tc>
          <w:tcPr>
            <w:tcW w:w="2263" w:type="dxa"/>
            <w:shd w:val="clear" w:color="auto" w:fill="auto"/>
          </w:tcPr>
          <w:p w14:paraId="44866406" w14:textId="77777777" w:rsidR="0041628A" w:rsidRPr="00332AB5" w:rsidRDefault="0041628A" w:rsidP="00E2152B">
            <w:pPr>
              <w:spacing w:before="60" w:after="60"/>
              <w:rPr>
                <w:sz w:val="24"/>
                <w:szCs w:val="24"/>
              </w:rPr>
            </w:pPr>
            <w:r w:rsidRPr="00332AB5">
              <w:rPr>
                <w:sz w:val="24"/>
                <w:szCs w:val="24"/>
              </w:rPr>
              <w:t>PT1</w:t>
            </w:r>
          </w:p>
        </w:tc>
        <w:tc>
          <w:tcPr>
            <w:tcW w:w="6799" w:type="dxa"/>
            <w:shd w:val="clear" w:color="auto" w:fill="auto"/>
          </w:tcPr>
          <w:p w14:paraId="72B820C1" w14:textId="77777777" w:rsidR="0041628A" w:rsidRPr="00332AB5" w:rsidRDefault="0022207D" w:rsidP="00E2152B">
            <w:pPr>
              <w:spacing w:before="60" w:after="60"/>
              <w:jc w:val="both"/>
              <w:rPr>
                <w:sz w:val="24"/>
                <w:szCs w:val="24"/>
              </w:rPr>
            </w:pPr>
            <w:r w:rsidRPr="00332AB5">
              <w:rPr>
                <w:sz w:val="24"/>
                <w:szCs w:val="24"/>
              </w:rPr>
              <w:t>P</w:t>
            </w:r>
            <w:r w:rsidR="0041628A" w:rsidRPr="00332AB5">
              <w:rPr>
                <w:sz w:val="24"/>
                <w:szCs w:val="24"/>
              </w:rPr>
              <w:t>osredničko tijelo razine 1</w:t>
            </w:r>
          </w:p>
        </w:tc>
      </w:tr>
      <w:tr w:rsidR="00AA5DF3" w:rsidRPr="00332AB5" w14:paraId="3A99AE83" w14:textId="77777777" w:rsidTr="002E0ADB">
        <w:tc>
          <w:tcPr>
            <w:tcW w:w="2263" w:type="dxa"/>
            <w:shd w:val="clear" w:color="auto" w:fill="auto"/>
          </w:tcPr>
          <w:p w14:paraId="12A14737" w14:textId="77777777" w:rsidR="0041628A" w:rsidRPr="00332AB5" w:rsidRDefault="0041628A" w:rsidP="00E2152B">
            <w:pPr>
              <w:spacing w:before="60" w:after="60"/>
              <w:rPr>
                <w:sz w:val="24"/>
                <w:szCs w:val="24"/>
              </w:rPr>
            </w:pPr>
            <w:r w:rsidRPr="00332AB5">
              <w:rPr>
                <w:sz w:val="24"/>
                <w:szCs w:val="24"/>
              </w:rPr>
              <w:t>PT2</w:t>
            </w:r>
          </w:p>
        </w:tc>
        <w:tc>
          <w:tcPr>
            <w:tcW w:w="6799" w:type="dxa"/>
            <w:shd w:val="clear" w:color="auto" w:fill="auto"/>
          </w:tcPr>
          <w:p w14:paraId="5035CA2B" w14:textId="77777777" w:rsidR="0041628A" w:rsidRPr="00332AB5" w:rsidRDefault="0022207D" w:rsidP="00E2152B">
            <w:pPr>
              <w:spacing w:before="60" w:after="60"/>
              <w:jc w:val="both"/>
              <w:rPr>
                <w:sz w:val="24"/>
                <w:szCs w:val="24"/>
              </w:rPr>
            </w:pPr>
            <w:r w:rsidRPr="00332AB5">
              <w:rPr>
                <w:sz w:val="24"/>
                <w:szCs w:val="24"/>
              </w:rPr>
              <w:t>P</w:t>
            </w:r>
            <w:r w:rsidR="0041628A" w:rsidRPr="00332AB5">
              <w:rPr>
                <w:sz w:val="24"/>
                <w:szCs w:val="24"/>
              </w:rPr>
              <w:t>osredničko tijelo razine 2</w:t>
            </w:r>
          </w:p>
        </w:tc>
      </w:tr>
      <w:tr w:rsidR="002E0ADB" w:rsidRPr="00332AB5" w14:paraId="4FAED695" w14:textId="77777777" w:rsidTr="002E0ADB">
        <w:tc>
          <w:tcPr>
            <w:tcW w:w="2263" w:type="dxa"/>
            <w:shd w:val="clear" w:color="auto" w:fill="auto"/>
          </w:tcPr>
          <w:p w14:paraId="2E8FC62F" w14:textId="6F729285" w:rsidR="002E0ADB" w:rsidRPr="00332AB5" w:rsidRDefault="002E0ADB" w:rsidP="00E2152B">
            <w:pPr>
              <w:spacing w:before="60" w:after="60"/>
              <w:rPr>
                <w:sz w:val="24"/>
                <w:szCs w:val="24"/>
              </w:rPr>
            </w:pPr>
            <w:r w:rsidRPr="00332AB5">
              <w:rPr>
                <w:sz w:val="24"/>
                <w:szCs w:val="24"/>
              </w:rPr>
              <w:t>PTO</w:t>
            </w:r>
          </w:p>
        </w:tc>
        <w:tc>
          <w:tcPr>
            <w:tcW w:w="6799" w:type="dxa"/>
            <w:shd w:val="clear" w:color="auto" w:fill="auto"/>
          </w:tcPr>
          <w:p w14:paraId="5CB2BAA3" w14:textId="433CE427" w:rsidR="002E0ADB" w:rsidRPr="00332AB5" w:rsidRDefault="002E0ADB" w:rsidP="00E2152B">
            <w:pPr>
              <w:spacing w:before="60" w:after="60"/>
              <w:jc w:val="both"/>
              <w:rPr>
                <w:sz w:val="24"/>
                <w:szCs w:val="24"/>
              </w:rPr>
            </w:pPr>
            <w:r w:rsidRPr="00332AB5">
              <w:rPr>
                <w:sz w:val="24"/>
                <w:szCs w:val="24"/>
              </w:rPr>
              <w:t>Pojednostavljene troškovne operacije</w:t>
            </w:r>
          </w:p>
        </w:tc>
      </w:tr>
      <w:tr w:rsidR="00D8056B" w:rsidRPr="00332AB5" w14:paraId="1A57C6EF" w14:textId="77777777" w:rsidTr="002E0ADB">
        <w:tc>
          <w:tcPr>
            <w:tcW w:w="2263" w:type="dxa"/>
            <w:shd w:val="clear" w:color="auto" w:fill="auto"/>
          </w:tcPr>
          <w:p w14:paraId="423E2844" w14:textId="0EFE4280" w:rsidR="00D8056B" w:rsidRPr="00332AB5" w:rsidRDefault="00D8056B" w:rsidP="00E2152B">
            <w:pPr>
              <w:spacing w:before="60" w:after="60"/>
              <w:rPr>
                <w:sz w:val="24"/>
                <w:szCs w:val="24"/>
              </w:rPr>
            </w:pPr>
            <w:r w:rsidRPr="00332AB5">
              <w:rPr>
                <w:sz w:val="24"/>
                <w:szCs w:val="24"/>
              </w:rPr>
              <w:t>PULJP</w:t>
            </w:r>
          </w:p>
        </w:tc>
        <w:tc>
          <w:tcPr>
            <w:tcW w:w="6799" w:type="dxa"/>
            <w:shd w:val="clear" w:color="auto" w:fill="auto"/>
          </w:tcPr>
          <w:p w14:paraId="659B855A" w14:textId="4C3C706E" w:rsidR="00D8056B" w:rsidRPr="00332AB5" w:rsidRDefault="00D8056B" w:rsidP="00E2152B">
            <w:pPr>
              <w:spacing w:before="60" w:after="60"/>
              <w:jc w:val="both"/>
              <w:rPr>
                <w:sz w:val="24"/>
                <w:szCs w:val="24"/>
              </w:rPr>
            </w:pPr>
            <w:r w:rsidRPr="00332AB5">
              <w:rPr>
                <w:sz w:val="24"/>
                <w:szCs w:val="24"/>
              </w:rPr>
              <w:t>Program Učinkoviti ljudski potencijali 2021.</w:t>
            </w:r>
            <w:r w:rsidR="005F27EC" w:rsidRPr="00332AB5">
              <w:rPr>
                <w:sz w:val="24"/>
                <w:szCs w:val="24"/>
              </w:rPr>
              <w:t xml:space="preserve"> – </w:t>
            </w:r>
            <w:r w:rsidRPr="00332AB5">
              <w:rPr>
                <w:sz w:val="24"/>
                <w:szCs w:val="24"/>
              </w:rPr>
              <w:t>2027.</w:t>
            </w:r>
          </w:p>
        </w:tc>
      </w:tr>
      <w:tr w:rsidR="00AA5DF3" w:rsidRPr="00332AB5" w14:paraId="392031BF" w14:textId="77777777" w:rsidTr="002E0ADB">
        <w:tc>
          <w:tcPr>
            <w:tcW w:w="2263" w:type="dxa"/>
            <w:shd w:val="clear" w:color="auto" w:fill="auto"/>
          </w:tcPr>
          <w:p w14:paraId="34C897BB" w14:textId="77777777" w:rsidR="00454102" w:rsidRPr="00332AB5" w:rsidRDefault="00454102" w:rsidP="00E2152B">
            <w:pPr>
              <w:spacing w:before="60" w:after="60"/>
              <w:rPr>
                <w:sz w:val="24"/>
                <w:szCs w:val="24"/>
              </w:rPr>
            </w:pPr>
            <w:r w:rsidRPr="00332AB5">
              <w:rPr>
                <w:sz w:val="24"/>
                <w:szCs w:val="24"/>
              </w:rPr>
              <w:t>RH</w:t>
            </w:r>
          </w:p>
        </w:tc>
        <w:tc>
          <w:tcPr>
            <w:tcW w:w="6799" w:type="dxa"/>
            <w:shd w:val="clear" w:color="auto" w:fill="auto"/>
          </w:tcPr>
          <w:p w14:paraId="0E71A6FF" w14:textId="77777777" w:rsidR="00454102" w:rsidRPr="00332AB5" w:rsidRDefault="00454102" w:rsidP="00E2152B">
            <w:pPr>
              <w:spacing w:before="60" w:after="60"/>
              <w:jc w:val="both"/>
              <w:rPr>
                <w:sz w:val="24"/>
                <w:szCs w:val="24"/>
              </w:rPr>
            </w:pPr>
            <w:r w:rsidRPr="00332AB5">
              <w:rPr>
                <w:sz w:val="24"/>
                <w:szCs w:val="24"/>
              </w:rPr>
              <w:t>Republika Hrvatska</w:t>
            </w:r>
          </w:p>
        </w:tc>
      </w:tr>
      <w:tr w:rsidR="00AA5DF3" w:rsidRPr="00332AB5" w14:paraId="23355AEF" w14:textId="77777777" w:rsidTr="002E0ADB">
        <w:tc>
          <w:tcPr>
            <w:tcW w:w="2263" w:type="dxa"/>
            <w:shd w:val="clear" w:color="auto" w:fill="auto"/>
          </w:tcPr>
          <w:p w14:paraId="23212D34" w14:textId="77777777" w:rsidR="00454102" w:rsidRPr="00332AB5" w:rsidRDefault="00454102" w:rsidP="00E2152B">
            <w:pPr>
              <w:spacing w:before="60" w:after="60"/>
              <w:rPr>
                <w:sz w:val="24"/>
                <w:szCs w:val="24"/>
              </w:rPr>
            </w:pPr>
            <w:r w:rsidRPr="00332AB5">
              <w:rPr>
                <w:sz w:val="24"/>
                <w:szCs w:val="24"/>
              </w:rPr>
              <w:t>SAFU</w:t>
            </w:r>
          </w:p>
        </w:tc>
        <w:tc>
          <w:tcPr>
            <w:tcW w:w="6799" w:type="dxa"/>
            <w:shd w:val="clear" w:color="auto" w:fill="auto"/>
          </w:tcPr>
          <w:p w14:paraId="4ACFDBF0" w14:textId="68CCB7B4" w:rsidR="001A0071" w:rsidRPr="00332AB5" w:rsidRDefault="00454102" w:rsidP="00E2152B">
            <w:pPr>
              <w:spacing w:before="60" w:after="60"/>
              <w:jc w:val="both"/>
              <w:rPr>
                <w:sz w:val="24"/>
                <w:szCs w:val="24"/>
              </w:rPr>
            </w:pPr>
            <w:r w:rsidRPr="00332AB5">
              <w:rPr>
                <w:sz w:val="24"/>
                <w:szCs w:val="24"/>
              </w:rPr>
              <w:t>Središnja agencija za financiranje i ugovaranje programa i projekata Europske unije</w:t>
            </w:r>
          </w:p>
        </w:tc>
      </w:tr>
      <w:tr w:rsidR="002D31E9" w:rsidRPr="00332AB5" w14:paraId="219F88A6" w14:textId="77777777" w:rsidTr="002E0ADB">
        <w:tc>
          <w:tcPr>
            <w:tcW w:w="2263" w:type="dxa"/>
            <w:shd w:val="clear" w:color="auto" w:fill="auto"/>
          </w:tcPr>
          <w:p w14:paraId="387CCBAC" w14:textId="55B1EB85" w:rsidR="002D31E9" w:rsidRPr="00332AB5" w:rsidRDefault="002D31E9" w:rsidP="00E2152B">
            <w:pPr>
              <w:spacing w:before="60" w:after="60"/>
              <w:rPr>
                <w:sz w:val="24"/>
                <w:szCs w:val="24"/>
              </w:rPr>
            </w:pPr>
            <w:r w:rsidRPr="00332AB5">
              <w:rPr>
                <w:sz w:val="24"/>
                <w:szCs w:val="24"/>
              </w:rPr>
              <w:t>SP ZPP</w:t>
            </w:r>
          </w:p>
        </w:tc>
        <w:tc>
          <w:tcPr>
            <w:tcW w:w="6799" w:type="dxa"/>
            <w:shd w:val="clear" w:color="auto" w:fill="auto"/>
          </w:tcPr>
          <w:p w14:paraId="269E4A92" w14:textId="4953B89E" w:rsidR="002D31E9" w:rsidRPr="00332AB5" w:rsidRDefault="002D31E9" w:rsidP="00E2152B">
            <w:pPr>
              <w:spacing w:before="60" w:after="60"/>
              <w:jc w:val="both"/>
              <w:rPr>
                <w:sz w:val="24"/>
                <w:szCs w:val="24"/>
              </w:rPr>
            </w:pPr>
            <w:r w:rsidRPr="00332AB5">
              <w:rPr>
                <w:sz w:val="24"/>
                <w:szCs w:val="24"/>
              </w:rPr>
              <w:t>Strateški plan Zajedničke poljoprivredne politike 2023. – 2027.</w:t>
            </w:r>
          </w:p>
        </w:tc>
      </w:tr>
      <w:tr w:rsidR="00AA5DF3" w:rsidRPr="00332AB5" w14:paraId="52BD45F3" w14:textId="77777777" w:rsidTr="002E0ADB">
        <w:tc>
          <w:tcPr>
            <w:tcW w:w="2263" w:type="dxa"/>
            <w:shd w:val="clear" w:color="auto" w:fill="auto"/>
          </w:tcPr>
          <w:p w14:paraId="50EE4702" w14:textId="77777777" w:rsidR="00454102" w:rsidRPr="00332AB5" w:rsidRDefault="00454102" w:rsidP="00E2152B">
            <w:pPr>
              <w:spacing w:before="60" w:after="60"/>
              <w:rPr>
                <w:sz w:val="24"/>
                <w:szCs w:val="24"/>
              </w:rPr>
            </w:pPr>
            <w:r w:rsidRPr="00332AB5">
              <w:rPr>
                <w:sz w:val="24"/>
                <w:szCs w:val="24"/>
              </w:rPr>
              <w:t>SSNIP</w:t>
            </w:r>
          </w:p>
        </w:tc>
        <w:tc>
          <w:tcPr>
            <w:tcW w:w="6799" w:type="dxa"/>
            <w:shd w:val="clear" w:color="auto" w:fill="auto"/>
          </w:tcPr>
          <w:p w14:paraId="6026FCCE" w14:textId="77777777" w:rsidR="00454102" w:rsidRPr="00332AB5" w:rsidRDefault="00454102" w:rsidP="00E2152B">
            <w:pPr>
              <w:spacing w:before="60" w:after="60"/>
              <w:jc w:val="both"/>
              <w:rPr>
                <w:sz w:val="24"/>
                <w:szCs w:val="24"/>
              </w:rPr>
            </w:pPr>
            <w:r w:rsidRPr="00332AB5">
              <w:rPr>
                <w:bCs/>
                <w:sz w:val="24"/>
                <w:szCs w:val="24"/>
              </w:rPr>
              <w:t>Služba za suzbijanje nepravilnosti i prijevara</w:t>
            </w:r>
          </w:p>
        </w:tc>
      </w:tr>
      <w:tr w:rsidR="00AA5DF3" w:rsidRPr="00332AB5" w14:paraId="402F0E6D" w14:textId="77777777" w:rsidTr="002E0ADB">
        <w:tc>
          <w:tcPr>
            <w:tcW w:w="2263" w:type="dxa"/>
            <w:shd w:val="clear" w:color="auto" w:fill="auto"/>
          </w:tcPr>
          <w:p w14:paraId="42315052" w14:textId="77777777" w:rsidR="00454102" w:rsidRPr="00332AB5" w:rsidRDefault="00454102" w:rsidP="00E2152B">
            <w:pPr>
              <w:spacing w:before="60" w:after="60"/>
              <w:rPr>
                <w:sz w:val="24"/>
                <w:szCs w:val="24"/>
              </w:rPr>
            </w:pPr>
            <w:r w:rsidRPr="00332AB5">
              <w:rPr>
                <w:sz w:val="24"/>
                <w:szCs w:val="24"/>
              </w:rPr>
              <w:t>SUK</w:t>
            </w:r>
          </w:p>
        </w:tc>
        <w:tc>
          <w:tcPr>
            <w:tcW w:w="6799" w:type="dxa"/>
            <w:shd w:val="clear" w:color="auto" w:fill="auto"/>
          </w:tcPr>
          <w:p w14:paraId="78E339D8" w14:textId="77777777" w:rsidR="00454102" w:rsidRPr="00332AB5" w:rsidRDefault="00454102" w:rsidP="00E2152B">
            <w:pPr>
              <w:spacing w:before="60" w:after="60"/>
              <w:jc w:val="both"/>
              <w:rPr>
                <w:sz w:val="24"/>
                <w:szCs w:val="24"/>
              </w:rPr>
            </w:pPr>
            <w:r w:rsidRPr="00332AB5">
              <w:rPr>
                <w:sz w:val="24"/>
                <w:szCs w:val="24"/>
              </w:rPr>
              <w:t>Sustav upravljanja i kontrole</w:t>
            </w:r>
          </w:p>
        </w:tc>
      </w:tr>
      <w:tr w:rsidR="00AA5DF3" w:rsidRPr="00332AB5" w14:paraId="2CA379A8" w14:textId="77777777" w:rsidTr="002E0ADB">
        <w:tc>
          <w:tcPr>
            <w:tcW w:w="2263" w:type="dxa"/>
            <w:shd w:val="clear" w:color="auto" w:fill="auto"/>
          </w:tcPr>
          <w:p w14:paraId="68494848" w14:textId="19E0C5DA" w:rsidR="004B5FBC" w:rsidRPr="00332AB5" w:rsidRDefault="00454102" w:rsidP="00536F63">
            <w:pPr>
              <w:spacing w:before="60" w:after="60"/>
              <w:rPr>
                <w:sz w:val="24"/>
                <w:szCs w:val="24"/>
              </w:rPr>
            </w:pPr>
            <w:r w:rsidRPr="00332AB5">
              <w:rPr>
                <w:sz w:val="24"/>
                <w:szCs w:val="24"/>
              </w:rPr>
              <w:t>TO</w:t>
            </w:r>
          </w:p>
        </w:tc>
        <w:tc>
          <w:tcPr>
            <w:tcW w:w="6799" w:type="dxa"/>
            <w:shd w:val="clear" w:color="auto" w:fill="auto"/>
          </w:tcPr>
          <w:p w14:paraId="5E66E672" w14:textId="5F130566" w:rsidR="004B5FBC" w:rsidRPr="00332AB5" w:rsidRDefault="00454102" w:rsidP="00E2152B">
            <w:pPr>
              <w:spacing w:before="60" w:after="60"/>
              <w:jc w:val="both"/>
              <w:rPr>
                <w:sz w:val="24"/>
                <w:szCs w:val="24"/>
              </w:rPr>
            </w:pPr>
            <w:r w:rsidRPr="00332AB5">
              <w:rPr>
                <w:sz w:val="24"/>
                <w:szCs w:val="24"/>
              </w:rPr>
              <w:t>Tijelo za ovjeravanje</w:t>
            </w:r>
          </w:p>
        </w:tc>
      </w:tr>
      <w:tr w:rsidR="00536F63" w:rsidRPr="00332AB5" w14:paraId="30164622" w14:textId="77777777" w:rsidTr="002E0ADB">
        <w:tc>
          <w:tcPr>
            <w:tcW w:w="2263" w:type="dxa"/>
            <w:shd w:val="clear" w:color="auto" w:fill="auto"/>
          </w:tcPr>
          <w:p w14:paraId="65F07A7A" w14:textId="35AF1C63" w:rsidR="00536F63" w:rsidRPr="00332AB5" w:rsidRDefault="00536F63" w:rsidP="00E2152B">
            <w:pPr>
              <w:spacing w:before="60" w:after="60"/>
              <w:rPr>
                <w:sz w:val="24"/>
                <w:szCs w:val="24"/>
              </w:rPr>
            </w:pPr>
            <w:r w:rsidRPr="00332AB5">
              <w:rPr>
                <w:sz w:val="24"/>
                <w:szCs w:val="24"/>
              </w:rPr>
              <w:t>TP</w:t>
            </w:r>
          </w:p>
        </w:tc>
        <w:tc>
          <w:tcPr>
            <w:tcW w:w="6799" w:type="dxa"/>
            <w:shd w:val="clear" w:color="auto" w:fill="auto"/>
          </w:tcPr>
          <w:p w14:paraId="55977FFF" w14:textId="1008D7F9" w:rsidR="00536F63" w:rsidRPr="00332AB5" w:rsidRDefault="00536F63" w:rsidP="00E2152B">
            <w:pPr>
              <w:spacing w:before="60" w:after="60"/>
              <w:jc w:val="both"/>
              <w:rPr>
                <w:sz w:val="24"/>
                <w:szCs w:val="24"/>
              </w:rPr>
            </w:pPr>
            <w:r w:rsidRPr="00332AB5">
              <w:rPr>
                <w:sz w:val="24"/>
                <w:szCs w:val="24"/>
              </w:rPr>
              <w:t>Tehnička pomoć</w:t>
            </w:r>
          </w:p>
        </w:tc>
      </w:tr>
      <w:tr w:rsidR="00AA5DF3" w:rsidRPr="00332AB5" w14:paraId="197D6C24" w14:textId="77777777" w:rsidTr="002E0ADB">
        <w:tc>
          <w:tcPr>
            <w:tcW w:w="2263" w:type="dxa"/>
            <w:shd w:val="clear" w:color="auto" w:fill="auto"/>
          </w:tcPr>
          <w:p w14:paraId="167EFE7F" w14:textId="77777777" w:rsidR="00454102" w:rsidRPr="00332AB5" w:rsidRDefault="00454102" w:rsidP="00E2152B">
            <w:pPr>
              <w:spacing w:before="60" w:after="60"/>
              <w:rPr>
                <w:sz w:val="24"/>
                <w:szCs w:val="24"/>
              </w:rPr>
            </w:pPr>
            <w:r w:rsidRPr="00332AB5">
              <w:rPr>
                <w:sz w:val="24"/>
                <w:szCs w:val="24"/>
              </w:rPr>
              <w:t>TR</w:t>
            </w:r>
          </w:p>
        </w:tc>
        <w:tc>
          <w:tcPr>
            <w:tcW w:w="6799" w:type="dxa"/>
            <w:shd w:val="clear" w:color="auto" w:fill="auto"/>
          </w:tcPr>
          <w:p w14:paraId="20F60729" w14:textId="77777777" w:rsidR="00454102" w:rsidRPr="00332AB5" w:rsidRDefault="00454102" w:rsidP="00E2152B">
            <w:pPr>
              <w:spacing w:before="60" w:after="60"/>
              <w:jc w:val="both"/>
              <w:rPr>
                <w:sz w:val="24"/>
                <w:szCs w:val="24"/>
              </w:rPr>
            </w:pPr>
            <w:r w:rsidRPr="00332AB5">
              <w:rPr>
                <w:sz w:val="24"/>
                <w:szCs w:val="24"/>
              </w:rPr>
              <w:t>Tijelo za reviziju</w:t>
            </w:r>
          </w:p>
        </w:tc>
      </w:tr>
      <w:tr w:rsidR="00AA5DF3" w:rsidRPr="00332AB5" w14:paraId="28700C55" w14:textId="77777777" w:rsidTr="002E0ADB">
        <w:tc>
          <w:tcPr>
            <w:tcW w:w="2263" w:type="dxa"/>
            <w:shd w:val="clear" w:color="auto" w:fill="auto"/>
          </w:tcPr>
          <w:p w14:paraId="7BAA560D" w14:textId="77777777" w:rsidR="00454102" w:rsidRPr="00332AB5" w:rsidRDefault="00454102" w:rsidP="00E2152B">
            <w:pPr>
              <w:spacing w:before="60" w:after="60"/>
              <w:rPr>
                <w:sz w:val="24"/>
                <w:szCs w:val="24"/>
              </w:rPr>
            </w:pPr>
            <w:r w:rsidRPr="00332AB5">
              <w:rPr>
                <w:sz w:val="24"/>
                <w:szCs w:val="24"/>
              </w:rPr>
              <w:t>UT</w:t>
            </w:r>
          </w:p>
        </w:tc>
        <w:tc>
          <w:tcPr>
            <w:tcW w:w="6799" w:type="dxa"/>
            <w:shd w:val="clear" w:color="auto" w:fill="auto"/>
          </w:tcPr>
          <w:p w14:paraId="50B41AAC" w14:textId="77777777" w:rsidR="00454102" w:rsidRPr="00332AB5" w:rsidRDefault="00454102" w:rsidP="00E2152B">
            <w:pPr>
              <w:spacing w:before="60" w:after="60"/>
              <w:jc w:val="both"/>
              <w:rPr>
                <w:sz w:val="24"/>
                <w:szCs w:val="24"/>
              </w:rPr>
            </w:pPr>
            <w:r w:rsidRPr="00332AB5">
              <w:rPr>
                <w:sz w:val="24"/>
                <w:szCs w:val="24"/>
              </w:rPr>
              <w:t>Upravljačko tijelo</w:t>
            </w:r>
          </w:p>
        </w:tc>
      </w:tr>
      <w:tr w:rsidR="00AA5DF3" w:rsidRPr="00332AB5" w14:paraId="253E5F14" w14:textId="77777777" w:rsidTr="002E0ADB">
        <w:tc>
          <w:tcPr>
            <w:tcW w:w="2263" w:type="dxa"/>
            <w:shd w:val="clear" w:color="auto" w:fill="auto"/>
          </w:tcPr>
          <w:p w14:paraId="6D95D62B" w14:textId="77777777" w:rsidR="00454102" w:rsidRPr="00332AB5" w:rsidRDefault="00454102" w:rsidP="00E2152B">
            <w:pPr>
              <w:spacing w:before="60" w:after="60"/>
              <w:rPr>
                <w:sz w:val="24"/>
                <w:szCs w:val="24"/>
              </w:rPr>
            </w:pPr>
            <w:r w:rsidRPr="00332AB5">
              <w:rPr>
                <w:sz w:val="24"/>
                <w:szCs w:val="24"/>
              </w:rPr>
              <w:t>UzUVRH</w:t>
            </w:r>
          </w:p>
        </w:tc>
        <w:tc>
          <w:tcPr>
            <w:tcW w:w="6799" w:type="dxa"/>
            <w:shd w:val="clear" w:color="auto" w:fill="auto"/>
          </w:tcPr>
          <w:p w14:paraId="28461FCA" w14:textId="77777777" w:rsidR="00454102" w:rsidRPr="00332AB5" w:rsidRDefault="00454102" w:rsidP="00E2152B">
            <w:pPr>
              <w:spacing w:before="60" w:after="60"/>
              <w:jc w:val="both"/>
              <w:rPr>
                <w:sz w:val="24"/>
                <w:szCs w:val="24"/>
              </w:rPr>
            </w:pPr>
            <w:r w:rsidRPr="00332AB5">
              <w:rPr>
                <w:sz w:val="24"/>
                <w:szCs w:val="24"/>
              </w:rPr>
              <w:t>Ured za udruge Vlade Republike Hrvatske</w:t>
            </w:r>
          </w:p>
        </w:tc>
      </w:tr>
      <w:tr w:rsidR="00AA5DF3" w:rsidRPr="00332AB5" w14:paraId="63978632" w14:textId="77777777" w:rsidTr="002E0ADB">
        <w:tc>
          <w:tcPr>
            <w:tcW w:w="2263" w:type="dxa"/>
            <w:shd w:val="clear" w:color="auto" w:fill="auto"/>
          </w:tcPr>
          <w:p w14:paraId="64D23BCF" w14:textId="7FE1697F" w:rsidR="00B05F0B" w:rsidRPr="00332AB5" w:rsidRDefault="00454102" w:rsidP="00536F63">
            <w:pPr>
              <w:spacing w:before="60" w:after="60"/>
              <w:rPr>
                <w:sz w:val="24"/>
                <w:szCs w:val="24"/>
              </w:rPr>
            </w:pPr>
            <w:r w:rsidRPr="00332AB5">
              <w:rPr>
                <w:sz w:val="24"/>
                <w:szCs w:val="24"/>
              </w:rPr>
              <w:t>VRH</w:t>
            </w:r>
          </w:p>
        </w:tc>
        <w:tc>
          <w:tcPr>
            <w:tcW w:w="6799" w:type="dxa"/>
            <w:shd w:val="clear" w:color="auto" w:fill="auto"/>
          </w:tcPr>
          <w:p w14:paraId="704D6138" w14:textId="3679F60F" w:rsidR="00B05F0B" w:rsidRPr="00332AB5" w:rsidRDefault="00454102" w:rsidP="00E2152B">
            <w:pPr>
              <w:spacing w:before="60" w:after="60"/>
              <w:jc w:val="both"/>
              <w:rPr>
                <w:sz w:val="24"/>
                <w:szCs w:val="24"/>
              </w:rPr>
            </w:pPr>
            <w:r w:rsidRPr="00332AB5">
              <w:rPr>
                <w:sz w:val="24"/>
                <w:szCs w:val="24"/>
              </w:rPr>
              <w:t>Vlada Republike Hrvatske</w:t>
            </w:r>
          </w:p>
        </w:tc>
      </w:tr>
      <w:tr w:rsidR="00536F63" w:rsidRPr="00332AB5" w14:paraId="2ED2D3CF" w14:textId="77777777" w:rsidTr="002E0ADB">
        <w:tc>
          <w:tcPr>
            <w:tcW w:w="2263" w:type="dxa"/>
            <w:shd w:val="clear" w:color="auto" w:fill="auto"/>
          </w:tcPr>
          <w:p w14:paraId="2CAF9263" w14:textId="18B6C395" w:rsidR="00536F63" w:rsidRPr="00332AB5" w:rsidRDefault="00536F63" w:rsidP="00E2152B">
            <w:pPr>
              <w:spacing w:before="60" w:after="60"/>
              <w:rPr>
                <w:sz w:val="24"/>
                <w:szCs w:val="24"/>
              </w:rPr>
            </w:pPr>
            <w:r w:rsidRPr="00332AB5">
              <w:rPr>
                <w:sz w:val="24"/>
                <w:szCs w:val="24"/>
              </w:rPr>
              <w:t>ZNP</w:t>
            </w:r>
          </w:p>
        </w:tc>
        <w:tc>
          <w:tcPr>
            <w:tcW w:w="6799" w:type="dxa"/>
            <w:shd w:val="clear" w:color="auto" w:fill="auto"/>
          </w:tcPr>
          <w:p w14:paraId="668F9EFA" w14:textId="162B1AB2" w:rsidR="00536F63" w:rsidRPr="00332AB5" w:rsidRDefault="00536F63" w:rsidP="00E2152B">
            <w:pPr>
              <w:spacing w:before="60" w:after="60"/>
              <w:jc w:val="both"/>
              <w:rPr>
                <w:sz w:val="24"/>
                <w:szCs w:val="24"/>
              </w:rPr>
            </w:pPr>
            <w:r w:rsidRPr="00332AB5">
              <w:rPr>
                <w:sz w:val="24"/>
                <w:szCs w:val="24"/>
              </w:rPr>
              <w:t>Zajednička nacionalna pravila</w:t>
            </w:r>
          </w:p>
        </w:tc>
      </w:tr>
      <w:tr w:rsidR="00AA5DF3" w:rsidRPr="00332AB5" w14:paraId="1D7B3D1C" w14:textId="77777777" w:rsidTr="002E0ADB">
        <w:tc>
          <w:tcPr>
            <w:tcW w:w="2263" w:type="dxa"/>
            <w:shd w:val="clear" w:color="auto" w:fill="auto"/>
          </w:tcPr>
          <w:p w14:paraId="470418E3" w14:textId="77777777" w:rsidR="007F199A" w:rsidRPr="00332AB5" w:rsidRDefault="007F199A" w:rsidP="00E2152B">
            <w:pPr>
              <w:spacing w:before="60" w:after="60"/>
              <w:rPr>
                <w:sz w:val="24"/>
                <w:szCs w:val="24"/>
              </w:rPr>
            </w:pPr>
            <w:r w:rsidRPr="00332AB5">
              <w:rPr>
                <w:sz w:val="24"/>
                <w:szCs w:val="24"/>
              </w:rPr>
              <w:t>ZNS</w:t>
            </w:r>
          </w:p>
        </w:tc>
        <w:tc>
          <w:tcPr>
            <w:tcW w:w="6799" w:type="dxa"/>
            <w:shd w:val="clear" w:color="auto" w:fill="auto"/>
          </w:tcPr>
          <w:p w14:paraId="033B8573" w14:textId="77777777" w:rsidR="007F199A" w:rsidRPr="00332AB5" w:rsidRDefault="007F199A" w:rsidP="00E2152B">
            <w:pPr>
              <w:spacing w:before="60" w:after="60"/>
              <w:jc w:val="both"/>
              <w:rPr>
                <w:sz w:val="24"/>
                <w:szCs w:val="24"/>
              </w:rPr>
            </w:pPr>
            <w:r w:rsidRPr="00332AB5">
              <w:rPr>
                <w:sz w:val="24"/>
                <w:szCs w:val="24"/>
              </w:rPr>
              <w:t>Zahtjev za nadoknadom sredstava</w:t>
            </w:r>
          </w:p>
        </w:tc>
      </w:tr>
    </w:tbl>
    <w:p w14:paraId="1BE414B9" w14:textId="77777777" w:rsidR="00392156" w:rsidRPr="00332AB5" w:rsidRDefault="00392156" w:rsidP="00E2152B">
      <w:pPr>
        <w:rPr>
          <w:spacing w:val="-2"/>
          <w:sz w:val="24"/>
        </w:rPr>
      </w:pPr>
      <w:r w:rsidRPr="00332AB5">
        <w:br w:type="page"/>
      </w:r>
    </w:p>
    <w:p w14:paraId="17FBB482" w14:textId="77777777" w:rsidR="00B17206" w:rsidRPr="00332AB5" w:rsidRDefault="00B17206" w:rsidP="00E2152B">
      <w:pPr>
        <w:pStyle w:val="Heading1"/>
        <w:numPr>
          <w:ilvl w:val="0"/>
          <w:numId w:val="0"/>
        </w:numPr>
        <w:ind w:left="454" w:right="1" w:hanging="454"/>
        <w:jc w:val="both"/>
      </w:pPr>
      <w:bookmarkStart w:id="190" w:name="_Toc152595273"/>
      <w:r w:rsidRPr="00332AB5">
        <w:t>P</w:t>
      </w:r>
      <w:r w:rsidR="00454102" w:rsidRPr="00332AB5">
        <w:t>opis grafikona</w:t>
      </w:r>
      <w:bookmarkEnd w:id="190"/>
    </w:p>
    <w:p w14:paraId="7AB9FE47" w14:textId="2A83FCF0" w:rsidR="00E910EE" w:rsidRPr="00332AB5" w:rsidRDefault="008C2CC3" w:rsidP="00E910EE">
      <w:pPr>
        <w:pStyle w:val="TableofFigures"/>
        <w:tabs>
          <w:tab w:val="right" w:leader="dot" w:pos="9063"/>
        </w:tabs>
        <w:spacing w:after="120"/>
        <w:rPr>
          <w:rFonts w:asciiTheme="minorHAnsi" w:eastAsiaTheme="minorEastAsia" w:hAnsiTheme="minorHAnsi" w:cstheme="minorBidi"/>
          <w:noProof/>
          <w:kern w:val="2"/>
          <w:sz w:val="22"/>
          <w:szCs w:val="22"/>
          <w14:ligatures w14:val="standardContextual"/>
        </w:rPr>
      </w:pPr>
      <w:r w:rsidRPr="00332AB5">
        <w:rPr>
          <w:sz w:val="24"/>
          <w:szCs w:val="24"/>
        </w:rPr>
        <w:fldChar w:fldCharType="begin"/>
      </w:r>
      <w:r w:rsidR="00B17206" w:rsidRPr="00332AB5">
        <w:rPr>
          <w:sz w:val="24"/>
          <w:szCs w:val="24"/>
        </w:rPr>
        <w:instrText xml:space="preserve"> TOC \h \z \c "Grafikon" </w:instrText>
      </w:r>
      <w:r w:rsidRPr="00332AB5">
        <w:rPr>
          <w:sz w:val="24"/>
          <w:szCs w:val="24"/>
        </w:rPr>
        <w:fldChar w:fldCharType="separate"/>
      </w:r>
      <w:hyperlink w:anchor="_Toc152595301" w:history="1">
        <w:r w:rsidR="00E910EE" w:rsidRPr="00332AB5">
          <w:rPr>
            <w:rStyle w:val="Hyperlink"/>
            <w:noProof/>
          </w:rPr>
          <w:t xml:space="preserve">Grafikon 1: </w:t>
        </w:r>
        <w:r w:rsidR="00E910EE" w:rsidRPr="00332AB5">
          <w:rPr>
            <w:rStyle w:val="Hyperlink"/>
            <w:rFonts w:eastAsia="Calibri"/>
            <w:noProof/>
          </w:rPr>
          <w:t>Grafički prikaz geografske rasprostranjenosti projekata u okviru shema dodjele bespovratnih sredstava</w:t>
        </w:r>
        <w:r w:rsidR="00E910EE" w:rsidRPr="00332AB5">
          <w:rPr>
            <w:rStyle w:val="Hyperlink"/>
            <w:noProof/>
          </w:rPr>
          <w:t xml:space="preserve"> Operativnog programa Konkurentnost i kohezija od početka provedbe do kraja izvještajnog razdoblja 30. lipnja 2023. (sredstva EU, u postocima)</w:t>
        </w:r>
        <w:r w:rsidR="00E910EE" w:rsidRPr="00332AB5">
          <w:rPr>
            <w:noProof/>
            <w:webHidden/>
          </w:rPr>
          <w:tab/>
        </w:r>
        <w:r w:rsidR="00E910EE" w:rsidRPr="00332AB5">
          <w:rPr>
            <w:noProof/>
            <w:webHidden/>
          </w:rPr>
          <w:fldChar w:fldCharType="begin"/>
        </w:r>
        <w:r w:rsidR="00E910EE" w:rsidRPr="00332AB5">
          <w:rPr>
            <w:noProof/>
            <w:webHidden/>
          </w:rPr>
          <w:instrText xml:space="preserve"> PAGEREF _Toc152595301 \h </w:instrText>
        </w:r>
        <w:r w:rsidR="00E910EE" w:rsidRPr="00332AB5">
          <w:rPr>
            <w:noProof/>
            <w:webHidden/>
          </w:rPr>
        </w:r>
        <w:r w:rsidR="00E910EE" w:rsidRPr="00332AB5">
          <w:rPr>
            <w:noProof/>
            <w:webHidden/>
          </w:rPr>
          <w:fldChar w:fldCharType="separate"/>
        </w:r>
        <w:r w:rsidR="005E6E46">
          <w:rPr>
            <w:noProof/>
            <w:webHidden/>
          </w:rPr>
          <w:t>12</w:t>
        </w:r>
        <w:r w:rsidR="00E910EE" w:rsidRPr="00332AB5">
          <w:rPr>
            <w:noProof/>
            <w:webHidden/>
          </w:rPr>
          <w:fldChar w:fldCharType="end"/>
        </w:r>
      </w:hyperlink>
    </w:p>
    <w:p w14:paraId="4C5CD610" w14:textId="0FA53C6D" w:rsidR="00E910EE" w:rsidRPr="00332AB5" w:rsidRDefault="00310FA2" w:rsidP="00E910EE">
      <w:pPr>
        <w:pStyle w:val="TableofFigures"/>
        <w:tabs>
          <w:tab w:val="right" w:leader="dot" w:pos="9063"/>
        </w:tabs>
        <w:spacing w:after="120"/>
        <w:rPr>
          <w:rFonts w:asciiTheme="minorHAnsi" w:eastAsiaTheme="minorEastAsia" w:hAnsiTheme="minorHAnsi" w:cstheme="minorBidi"/>
          <w:noProof/>
          <w:kern w:val="2"/>
          <w:sz w:val="22"/>
          <w:szCs w:val="22"/>
          <w14:ligatures w14:val="standardContextual"/>
        </w:rPr>
      </w:pPr>
      <w:hyperlink w:anchor="_Toc152595302" w:history="1">
        <w:r w:rsidR="00E910EE" w:rsidRPr="00332AB5">
          <w:rPr>
            <w:rStyle w:val="Hyperlink"/>
            <w:noProof/>
          </w:rPr>
          <w:t xml:space="preserve">Grafikon 2: </w:t>
        </w:r>
        <w:r w:rsidR="00E910EE" w:rsidRPr="00332AB5">
          <w:rPr>
            <w:rStyle w:val="Hyperlink"/>
            <w:rFonts w:eastAsia="Calibri"/>
            <w:noProof/>
          </w:rPr>
          <w:t>Grafički prikaz geografske rasprostranjenosti projekata u okviru shema dodjele bespovratnih sredstava</w:t>
        </w:r>
        <w:r w:rsidR="00E910EE" w:rsidRPr="00332AB5">
          <w:rPr>
            <w:rStyle w:val="Hyperlink"/>
            <w:noProof/>
          </w:rPr>
          <w:t xml:space="preserve"> Operativnog programa „Učinkoviti ljudski potencijali“ od početka provedbe do kraja izvještajnog razdoblja 30. lipnja 2023. (sredstva EU, u postocima)</w:t>
        </w:r>
        <w:r w:rsidR="00E910EE" w:rsidRPr="00332AB5">
          <w:rPr>
            <w:noProof/>
            <w:webHidden/>
          </w:rPr>
          <w:tab/>
        </w:r>
        <w:r w:rsidR="00E910EE" w:rsidRPr="00332AB5">
          <w:rPr>
            <w:noProof/>
            <w:webHidden/>
          </w:rPr>
          <w:fldChar w:fldCharType="begin"/>
        </w:r>
        <w:r w:rsidR="00E910EE" w:rsidRPr="00332AB5">
          <w:rPr>
            <w:noProof/>
            <w:webHidden/>
          </w:rPr>
          <w:instrText xml:space="preserve"> PAGEREF _Toc152595302 \h </w:instrText>
        </w:r>
        <w:r w:rsidR="00E910EE" w:rsidRPr="00332AB5">
          <w:rPr>
            <w:noProof/>
            <w:webHidden/>
          </w:rPr>
        </w:r>
        <w:r w:rsidR="00E910EE" w:rsidRPr="00332AB5">
          <w:rPr>
            <w:noProof/>
            <w:webHidden/>
          </w:rPr>
          <w:fldChar w:fldCharType="separate"/>
        </w:r>
        <w:r w:rsidR="005E6E46">
          <w:rPr>
            <w:noProof/>
            <w:webHidden/>
          </w:rPr>
          <w:t>18</w:t>
        </w:r>
        <w:r w:rsidR="00E910EE" w:rsidRPr="00332AB5">
          <w:rPr>
            <w:noProof/>
            <w:webHidden/>
          </w:rPr>
          <w:fldChar w:fldCharType="end"/>
        </w:r>
      </w:hyperlink>
    </w:p>
    <w:p w14:paraId="208D0FC9" w14:textId="5175237C" w:rsidR="00E910EE" w:rsidRPr="00332AB5" w:rsidRDefault="00310FA2" w:rsidP="00E910EE">
      <w:pPr>
        <w:pStyle w:val="TableofFigures"/>
        <w:tabs>
          <w:tab w:val="right" w:leader="dot" w:pos="9063"/>
        </w:tabs>
        <w:spacing w:after="120"/>
        <w:rPr>
          <w:rFonts w:asciiTheme="minorHAnsi" w:eastAsiaTheme="minorEastAsia" w:hAnsiTheme="minorHAnsi" w:cstheme="minorBidi"/>
          <w:noProof/>
          <w:kern w:val="2"/>
          <w:sz w:val="22"/>
          <w:szCs w:val="22"/>
          <w14:ligatures w14:val="standardContextual"/>
        </w:rPr>
      </w:pPr>
      <w:hyperlink w:anchor="_Toc152595303" w:history="1">
        <w:r w:rsidR="00E910EE" w:rsidRPr="00332AB5">
          <w:rPr>
            <w:rStyle w:val="Hyperlink"/>
            <w:noProof/>
          </w:rPr>
          <w:t xml:space="preserve">Grafikon 3: </w:t>
        </w:r>
        <w:r w:rsidR="00E910EE" w:rsidRPr="00332AB5">
          <w:rPr>
            <w:rStyle w:val="Hyperlink"/>
            <w:rFonts w:eastAsia="Calibri"/>
            <w:noProof/>
          </w:rPr>
          <w:t>Grafički prikaz geografske rasprostranjenosti projekata u okviru shema dodjele bespovratnih sredstava</w:t>
        </w:r>
        <w:r w:rsidR="00E910EE" w:rsidRPr="00332AB5">
          <w:rPr>
            <w:rStyle w:val="Hyperlink"/>
            <w:noProof/>
          </w:rPr>
          <w:t xml:space="preserve"> Programa ruralnog razvoja od početka provedbe do kraja izvještajnog razdoblja 30. lipnja 2023. (sredstva EU, u postocima)</w:t>
        </w:r>
        <w:r w:rsidR="00E910EE" w:rsidRPr="00332AB5">
          <w:rPr>
            <w:noProof/>
            <w:webHidden/>
          </w:rPr>
          <w:tab/>
        </w:r>
        <w:r w:rsidR="00E910EE" w:rsidRPr="00332AB5">
          <w:rPr>
            <w:noProof/>
            <w:webHidden/>
          </w:rPr>
          <w:fldChar w:fldCharType="begin"/>
        </w:r>
        <w:r w:rsidR="00E910EE" w:rsidRPr="00332AB5">
          <w:rPr>
            <w:noProof/>
            <w:webHidden/>
          </w:rPr>
          <w:instrText xml:space="preserve"> PAGEREF _Toc152595303 \h </w:instrText>
        </w:r>
        <w:r w:rsidR="00E910EE" w:rsidRPr="00332AB5">
          <w:rPr>
            <w:noProof/>
            <w:webHidden/>
          </w:rPr>
        </w:r>
        <w:r w:rsidR="00E910EE" w:rsidRPr="00332AB5">
          <w:rPr>
            <w:noProof/>
            <w:webHidden/>
          </w:rPr>
          <w:fldChar w:fldCharType="separate"/>
        </w:r>
        <w:r w:rsidR="005E6E46">
          <w:rPr>
            <w:noProof/>
            <w:webHidden/>
          </w:rPr>
          <w:t>23</w:t>
        </w:r>
        <w:r w:rsidR="00E910EE" w:rsidRPr="00332AB5">
          <w:rPr>
            <w:noProof/>
            <w:webHidden/>
          </w:rPr>
          <w:fldChar w:fldCharType="end"/>
        </w:r>
      </w:hyperlink>
    </w:p>
    <w:p w14:paraId="5EA3620B" w14:textId="2AF15BD5" w:rsidR="00E910EE" w:rsidRPr="00332AB5" w:rsidRDefault="00310FA2" w:rsidP="00E910EE">
      <w:pPr>
        <w:pStyle w:val="TableofFigures"/>
        <w:tabs>
          <w:tab w:val="right" w:leader="dot" w:pos="9063"/>
        </w:tabs>
        <w:spacing w:after="120"/>
        <w:rPr>
          <w:rFonts w:asciiTheme="minorHAnsi" w:eastAsiaTheme="minorEastAsia" w:hAnsiTheme="minorHAnsi" w:cstheme="minorBidi"/>
          <w:noProof/>
          <w:kern w:val="2"/>
          <w:sz w:val="22"/>
          <w:szCs w:val="22"/>
          <w14:ligatures w14:val="standardContextual"/>
        </w:rPr>
      </w:pPr>
      <w:hyperlink w:anchor="_Toc152595304" w:history="1">
        <w:r w:rsidR="00E910EE" w:rsidRPr="00332AB5">
          <w:rPr>
            <w:rStyle w:val="Hyperlink"/>
            <w:noProof/>
          </w:rPr>
          <w:t xml:space="preserve">Grafikon 4: </w:t>
        </w:r>
        <w:r w:rsidR="00E910EE" w:rsidRPr="00332AB5">
          <w:rPr>
            <w:rStyle w:val="Hyperlink"/>
            <w:rFonts w:eastAsia="Calibri"/>
            <w:noProof/>
          </w:rPr>
          <w:t>Grafički prikaz geografske rasprostranjenosti projekata u okviru shema dodjele bespovratnih sredstava</w:t>
        </w:r>
        <w:r w:rsidR="00E910EE" w:rsidRPr="00332AB5">
          <w:rPr>
            <w:rStyle w:val="Hyperlink"/>
            <w:noProof/>
          </w:rPr>
          <w:t xml:space="preserve"> Operativnog programa za pomorstvo i ribarstvo od početka provedbe do kraja izvještajnog razdoblja 30. lipnja 2023. (sredstva EU, u postocima)</w:t>
        </w:r>
        <w:r w:rsidR="00E910EE" w:rsidRPr="00332AB5">
          <w:rPr>
            <w:noProof/>
            <w:webHidden/>
          </w:rPr>
          <w:tab/>
        </w:r>
        <w:r w:rsidR="00E910EE" w:rsidRPr="00332AB5">
          <w:rPr>
            <w:noProof/>
            <w:webHidden/>
          </w:rPr>
          <w:fldChar w:fldCharType="begin"/>
        </w:r>
        <w:r w:rsidR="00E910EE" w:rsidRPr="00332AB5">
          <w:rPr>
            <w:noProof/>
            <w:webHidden/>
          </w:rPr>
          <w:instrText xml:space="preserve"> PAGEREF _Toc152595304 \h </w:instrText>
        </w:r>
        <w:r w:rsidR="00E910EE" w:rsidRPr="00332AB5">
          <w:rPr>
            <w:noProof/>
            <w:webHidden/>
          </w:rPr>
        </w:r>
        <w:r w:rsidR="00E910EE" w:rsidRPr="00332AB5">
          <w:rPr>
            <w:noProof/>
            <w:webHidden/>
          </w:rPr>
          <w:fldChar w:fldCharType="separate"/>
        </w:r>
        <w:r w:rsidR="005E6E46">
          <w:rPr>
            <w:noProof/>
            <w:webHidden/>
          </w:rPr>
          <w:t>28</w:t>
        </w:r>
        <w:r w:rsidR="00E910EE" w:rsidRPr="00332AB5">
          <w:rPr>
            <w:noProof/>
            <w:webHidden/>
          </w:rPr>
          <w:fldChar w:fldCharType="end"/>
        </w:r>
      </w:hyperlink>
    </w:p>
    <w:p w14:paraId="47783F89" w14:textId="3CF51989" w:rsidR="00B17206" w:rsidRPr="00332AB5" w:rsidRDefault="008C2CC3" w:rsidP="005679A2">
      <w:pPr>
        <w:tabs>
          <w:tab w:val="right" w:leader="dot" w:pos="9923"/>
        </w:tabs>
        <w:spacing w:before="120" w:after="120"/>
        <w:ind w:left="709" w:right="1082" w:hanging="993"/>
        <w:jc w:val="both"/>
        <w:rPr>
          <w:sz w:val="24"/>
          <w:szCs w:val="24"/>
        </w:rPr>
      </w:pPr>
      <w:r w:rsidRPr="00332AB5">
        <w:rPr>
          <w:sz w:val="24"/>
          <w:szCs w:val="24"/>
        </w:rPr>
        <w:fldChar w:fldCharType="end"/>
      </w:r>
      <w:r w:rsidR="00B17206" w:rsidRPr="00332AB5">
        <w:rPr>
          <w:sz w:val="24"/>
          <w:szCs w:val="24"/>
        </w:rPr>
        <w:br w:type="page"/>
      </w:r>
    </w:p>
    <w:p w14:paraId="6B2A510B" w14:textId="77777777" w:rsidR="00B17206" w:rsidRPr="00332AB5" w:rsidRDefault="00B17206" w:rsidP="00E2152B">
      <w:pPr>
        <w:pStyle w:val="Heading1"/>
        <w:numPr>
          <w:ilvl w:val="0"/>
          <w:numId w:val="0"/>
        </w:numPr>
        <w:ind w:left="454" w:hanging="454"/>
        <w:jc w:val="both"/>
        <w:rPr>
          <w:bCs/>
        </w:rPr>
      </w:pPr>
      <w:bookmarkStart w:id="191" w:name="_Toc152595274"/>
      <w:r w:rsidRPr="00332AB5">
        <w:rPr>
          <w:bCs/>
        </w:rPr>
        <w:t>P</w:t>
      </w:r>
      <w:r w:rsidR="00454102" w:rsidRPr="00332AB5">
        <w:rPr>
          <w:bCs/>
        </w:rPr>
        <w:t>opis tablica</w:t>
      </w:r>
      <w:bookmarkEnd w:id="191"/>
    </w:p>
    <w:p w14:paraId="4625019E" w14:textId="67893097" w:rsidR="00E910EE" w:rsidRPr="00332AB5" w:rsidRDefault="008C2CC3" w:rsidP="00E910EE">
      <w:pPr>
        <w:pStyle w:val="TableofFigures"/>
        <w:tabs>
          <w:tab w:val="right" w:leader="dot" w:pos="9063"/>
        </w:tabs>
        <w:spacing w:after="120"/>
        <w:rPr>
          <w:rFonts w:asciiTheme="minorHAnsi" w:eastAsiaTheme="minorEastAsia" w:hAnsiTheme="minorHAnsi" w:cstheme="minorBidi"/>
          <w:noProof/>
          <w:kern w:val="2"/>
          <w:sz w:val="22"/>
          <w:szCs w:val="22"/>
          <w14:ligatures w14:val="standardContextual"/>
        </w:rPr>
      </w:pPr>
      <w:r w:rsidRPr="00332AB5">
        <w:fldChar w:fldCharType="begin"/>
      </w:r>
      <w:r w:rsidR="00B17206" w:rsidRPr="00332AB5">
        <w:instrText xml:space="preserve"> TOC \h \z \c "Tablica" </w:instrText>
      </w:r>
      <w:r w:rsidRPr="00332AB5">
        <w:fldChar w:fldCharType="separate"/>
      </w:r>
      <w:hyperlink w:anchor="_Toc152595275" w:history="1">
        <w:r w:rsidR="00E910EE" w:rsidRPr="00332AB5">
          <w:rPr>
            <w:rStyle w:val="Hyperlink"/>
            <w:noProof/>
          </w:rPr>
          <w:t>Tablica 1: Financijski pokazatelji statusa provedbe (operativnih) programa financijskog razdoblja 2014. – 2020. u izvještajnom razdoblju od 1. siječnja do 30. lipnja 2023. (sredstva EU, u milijunima eura i postocima od dodijeljenih sredstava)</w:t>
        </w:r>
        <w:r w:rsidR="00E910EE" w:rsidRPr="00332AB5">
          <w:rPr>
            <w:noProof/>
            <w:webHidden/>
          </w:rPr>
          <w:tab/>
        </w:r>
        <w:r w:rsidR="00E910EE" w:rsidRPr="00332AB5">
          <w:rPr>
            <w:noProof/>
            <w:webHidden/>
          </w:rPr>
          <w:fldChar w:fldCharType="begin"/>
        </w:r>
        <w:r w:rsidR="00E910EE" w:rsidRPr="00332AB5">
          <w:rPr>
            <w:noProof/>
            <w:webHidden/>
          </w:rPr>
          <w:instrText xml:space="preserve"> PAGEREF _Toc152595275 \h </w:instrText>
        </w:r>
        <w:r w:rsidR="00E910EE" w:rsidRPr="00332AB5">
          <w:rPr>
            <w:noProof/>
            <w:webHidden/>
          </w:rPr>
        </w:r>
        <w:r w:rsidR="00E910EE" w:rsidRPr="00332AB5">
          <w:rPr>
            <w:noProof/>
            <w:webHidden/>
          </w:rPr>
          <w:fldChar w:fldCharType="separate"/>
        </w:r>
        <w:r w:rsidR="005E6E46">
          <w:rPr>
            <w:noProof/>
            <w:webHidden/>
          </w:rPr>
          <w:t>6</w:t>
        </w:r>
        <w:r w:rsidR="00E910EE" w:rsidRPr="00332AB5">
          <w:rPr>
            <w:noProof/>
            <w:webHidden/>
          </w:rPr>
          <w:fldChar w:fldCharType="end"/>
        </w:r>
      </w:hyperlink>
    </w:p>
    <w:p w14:paraId="14BBE870" w14:textId="2024EB21" w:rsidR="00E910EE" w:rsidRPr="00332AB5" w:rsidRDefault="00310FA2" w:rsidP="00E910EE">
      <w:pPr>
        <w:pStyle w:val="TableofFigures"/>
        <w:tabs>
          <w:tab w:val="right" w:leader="dot" w:pos="9063"/>
        </w:tabs>
        <w:spacing w:after="120"/>
        <w:rPr>
          <w:rFonts w:asciiTheme="minorHAnsi" w:eastAsiaTheme="minorEastAsia" w:hAnsiTheme="minorHAnsi" w:cstheme="minorBidi"/>
          <w:noProof/>
          <w:kern w:val="2"/>
          <w:sz w:val="22"/>
          <w:szCs w:val="22"/>
          <w14:ligatures w14:val="standardContextual"/>
        </w:rPr>
      </w:pPr>
      <w:hyperlink w:anchor="_Toc152595276" w:history="1">
        <w:r w:rsidR="00E910EE" w:rsidRPr="00332AB5">
          <w:rPr>
            <w:rStyle w:val="Hyperlink"/>
            <w:noProof/>
          </w:rPr>
          <w:t>Tablica 2: Financijski pokazatelji statusa provedbe (operativnih) programa financijskog razdoblja 2014. – 2020. od početka provedbe do kraja izvještajnog razdoblja 30. lipnja 2023. (sredstva EU, u milijunima eura i postocima od dodijeljenih sredstava)</w:t>
        </w:r>
        <w:r w:rsidR="00E910EE" w:rsidRPr="00332AB5">
          <w:rPr>
            <w:noProof/>
            <w:webHidden/>
          </w:rPr>
          <w:tab/>
        </w:r>
        <w:r w:rsidR="00E910EE" w:rsidRPr="00332AB5">
          <w:rPr>
            <w:noProof/>
            <w:webHidden/>
          </w:rPr>
          <w:fldChar w:fldCharType="begin"/>
        </w:r>
        <w:r w:rsidR="00E910EE" w:rsidRPr="00332AB5">
          <w:rPr>
            <w:noProof/>
            <w:webHidden/>
          </w:rPr>
          <w:instrText xml:space="preserve"> PAGEREF _Toc152595276 \h </w:instrText>
        </w:r>
        <w:r w:rsidR="00E910EE" w:rsidRPr="00332AB5">
          <w:rPr>
            <w:noProof/>
            <w:webHidden/>
          </w:rPr>
        </w:r>
        <w:r w:rsidR="00E910EE" w:rsidRPr="00332AB5">
          <w:rPr>
            <w:noProof/>
            <w:webHidden/>
          </w:rPr>
          <w:fldChar w:fldCharType="separate"/>
        </w:r>
        <w:r w:rsidR="005E6E46">
          <w:rPr>
            <w:noProof/>
            <w:webHidden/>
          </w:rPr>
          <w:t>7</w:t>
        </w:r>
        <w:r w:rsidR="00E910EE" w:rsidRPr="00332AB5">
          <w:rPr>
            <w:noProof/>
            <w:webHidden/>
          </w:rPr>
          <w:fldChar w:fldCharType="end"/>
        </w:r>
      </w:hyperlink>
    </w:p>
    <w:p w14:paraId="07D0C298" w14:textId="64A34254" w:rsidR="00E910EE" w:rsidRPr="00332AB5" w:rsidRDefault="00310FA2" w:rsidP="00E910EE">
      <w:pPr>
        <w:pStyle w:val="TableofFigures"/>
        <w:tabs>
          <w:tab w:val="right" w:leader="dot" w:pos="9063"/>
        </w:tabs>
        <w:spacing w:after="120"/>
        <w:rPr>
          <w:rFonts w:asciiTheme="minorHAnsi" w:eastAsiaTheme="minorEastAsia" w:hAnsiTheme="minorHAnsi" w:cstheme="minorBidi"/>
          <w:noProof/>
          <w:kern w:val="2"/>
          <w:sz w:val="22"/>
          <w:szCs w:val="22"/>
          <w14:ligatures w14:val="standardContextual"/>
        </w:rPr>
      </w:pPr>
      <w:hyperlink w:anchor="_Toc152595277" w:history="1">
        <w:r w:rsidR="00E910EE" w:rsidRPr="00332AB5">
          <w:rPr>
            <w:rStyle w:val="Hyperlink"/>
            <w:noProof/>
          </w:rPr>
          <w:t>Tablica 3: Napredak u ugovaranju i plaćanju pojedinih (operativnih) programa u odnosu na zadnji dan prethodnog izvještajnog razdoblja (sredstva EU, u milijunima eura)</w:t>
        </w:r>
        <w:r w:rsidR="00E910EE" w:rsidRPr="00332AB5">
          <w:rPr>
            <w:noProof/>
            <w:webHidden/>
          </w:rPr>
          <w:tab/>
        </w:r>
        <w:r w:rsidR="00E910EE" w:rsidRPr="00332AB5">
          <w:rPr>
            <w:noProof/>
            <w:webHidden/>
          </w:rPr>
          <w:fldChar w:fldCharType="begin"/>
        </w:r>
        <w:r w:rsidR="00E910EE" w:rsidRPr="00332AB5">
          <w:rPr>
            <w:noProof/>
            <w:webHidden/>
          </w:rPr>
          <w:instrText xml:space="preserve"> PAGEREF _Toc152595277 \h </w:instrText>
        </w:r>
        <w:r w:rsidR="00E910EE" w:rsidRPr="00332AB5">
          <w:rPr>
            <w:noProof/>
            <w:webHidden/>
          </w:rPr>
        </w:r>
        <w:r w:rsidR="00E910EE" w:rsidRPr="00332AB5">
          <w:rPr>
            <w:noProof/>
            <w:webHidden/>
          </w:rPr>
          <w:fldChar w:fldCharType="separate"/>
        </w:r>
        <w:r w:rsidR="005E6E46">
          <w:rPr>
            <w:noProof/>
            <w:webHidden/>
          </w:rPr>
          <w:t>7</w:t>
        </w:r>
        <w:r w:rsidR="00E910EE" w:rsidRPr="00332AB5">
          <w:rPr>
            <w:noProof/>
            <w:webHidden/>
          </w:rPr>
          <w:fldChar w:fldCharType="end"/>
        </w:r>
      </w:hyperlink>
    </w:p>
    <w:p w14:paraId="6EC5F3A5" w14:textId="0733D074" w:rsidR="00E910EE" w:rsidRPr="00332AB5" w:rsidRDefault="00310FA2" w:rsidP="00E910EE">
      <w:pPr>
        <w:pStyle w:val="TableofFigures"/>
        <w:tabs>
          <w:tab w:val="right" w:leader="dot" w:pos="9063"/>
        </w:tabs>
        <w:spacing w:after="120"/>
        <w:rPr>
          <w:rFonts w:asciiTheme="minorHAnsi" w:eastAsiaTheme="minorEastAsia" w:hAnsiTheme="minorHAnsi" w:cstheme="minorBidi"/>
          <w:noProof/>
          <w:kern w:val="2"/>
          <w:sz w:val="22"/>
          <w:szCs w:val="22"/>
          <w14:ligatures w14:val="standardContextual"/>
        </w:rPr>
      </w:pPr>
      <w:hyperlink w:anchor="_Toc152595278" w:history="1">
        <w:r w:rsidR="00E910EE" w:rsidRPr="00332AB5">
          <w:rPr>
            <w:rStyle w:val="Hyperlink"/>
            <w:noProof/>
          </w:rPr>
          <w:t>Tablica 4: Financijski pokazatelji statusa provedbe instrumenata NEXT GENERATION EU razdoblju od 1. siječnja do 30. lipnja 2023. (sredstva EU, u milijunima eura i postocima od dodijeljenih sredstava)</w:t>
        </w:r>
        <w:r w:rsidR="00E910EE" w:rsidRPr="00332AB5">
          <w:rPr>
            <w:noProof/>
            <w:webHidden/>
          </w:rPr>
          <w:tab/>
        </w:r>
        <w:r w:rsidR="00E910EE" w:rsidRPr="00332AB5">
          <w:rPr>
            <w:noProof/>
            <w:webHidden/>
          </w:rPr>
          <w:fldChar w:fldCharType="begin"/>
        </w:r>
        <w:r w:rsidR="00E910EE" w:rsidRPr="00332AB5">
          <w:rPr>
            <w:noProof/>
            <w:webHidden/>
          </w:rPr>
          <w:instrText xml:space="preserve"> PAGEREF _Toc152595278 \h </w:instrText>
        </w:r>
        <w:r w:rsidR="00E910EE" w:rsidRPr="00332AB5">
          <w:rPr>
            <w:noProof/>
            <w:webHidden/>
          </w:rPr>
        </w:r>
        <w:r w:rsidR="00E910EE" w:rsidRPr="00332AB5">
          <w:rPr>
            <w:noProof/>
            <w:webHidden/>
          </w:rPr>
          <w:fldChar w:fldCharType="separate"/>
        </w:r>
        <w:r w:rsidR="005E6E46">
          <w:rPr>
            <w:noProof/>
            <w:webHidden/>
          </w:rPr>
          <w:t>8</w:t>
        </w:r>
        <w:r w:rsidR="00E910EE" w:rsidRPr="00332AB5">
          <w:rPr>
            <w:noProof/>
            <w:webHidden/>
          </w:rPr>
          <w:fldChar w:fldCharType="end"/>
        </w:r>
      </w:hyperlink>
    </w:p>
    <w:p w14:paraId="3B20E426" w14:textId="05882366" w:rsidR="00E910EE" w:rsidRPr="00332AB5" w:rsidRDefault="00310FA2" w:rsidP="00E910EE">
      <w:pPr>
        <w:pStyle w:val="TableofFigures"/>
        <w:tabs>
          <w:tab w:val="right" w:leader="dot" w:pos="9063"/>
        </w:tabs>
        <w:spacing w:after="120"/>
        <w:rPr>
          <w:rFonts w:asciiTheme="minorHAnsi" w:eastAsiaTheme="minorEastAsia" w:hAnsiTheme="minorHAnsi" w:cstheme="minorBidi"/>
          <w:noProof/>
          <w:kern w:val="2"/>
          <w:sz w:val="22"/>
          <w:szCs w:val="22"/>
          <w14:ligatures w14:val="standardContextual"/>
        </w:rPr>
      </w:pPr>
      <w:hyperlink w:anchor="_Toc152595279" w:history="1">
        <w:r w:rsidR="00E910EE" w:rsidRPr="00332AB5">
          <w:rPr>
            <w:rStyle w:val="Hyperlink"/>
            <w:noProof/>
          </w:rPr>
          <w:t>Tablica 5: Financijski pokazatelji statusa provedbe instrumenata NEXT GENERATION EU od početka provedbe do kraja izvještajnog razdoblja 30. lipnja 2023. (sredstva EU, u milijunima eura i postocima od dodijeljenih sredstava)</w:t>
        </w:r>
        <w:r w:rsidR="00E910EE" w:rsidRPr="00332AB5">
          <w:rPr>
            <w:noProof/>
            <w:webHidden/>
          </w:rPr>
          <w:tab/>
        </w:r>
        <w:r w:rsidR="00E910EE" w:rsidRPr="00332AB5">
          <w:rPr>
            <w:noProof/>
            <w:webHidden/>
          </w:rPr>
          <w:fldChar w:fldCharType="begin"/>
        </w:r>
        <w:r w:rsidR="00E910EE" w:rsidRPr="00332AB5">
          <w:rPr>
            <w:noProof/>
            <w:webHidden/>
          </w:rPr>
          <w:instrText xml:space="preserve"> PAGEREF _Toc152595279 \h </w:instrText>
        </w:r>
        <w:r w:rsidR="00E910EE" w:rsidRPr="00332AB5">
          <w:rPr>
            <w:noProof/>
            <w:webHidden/>
          </w:rPr>
        </w:r>
        <w:r w:rsidR="00E910EE" w:rsidRPr="00332AB5">
          <w:rPr>
            <w:noProof/>
            <w:webHidden/>
          </w:rPr>
          <w:fldChar w:fldCharType="separate"/>
        </w:r>
        <w:r w:rsidR="005E6E46">
          <w:rPr>
            <w:noProof/>
            <w:webHidden/>
          </w:rPr>
          <w:t>8</w:t>
        </w:r>
        <w:r w:rsidR="00E910EE" w:rsidRPr="00332AB5">
          <w:rPr>
            <w:noProof/>
            <w:webHidden/>
          </w:rPr>
          <w:fldChar w:fldCharType="end"/>
        </w:r>
      </w:hyperlink>
    </w:p>
    <w:p w14:paraId="77DD4C29" w14:textId="15149B8F" w:rsidR="00E910EE" w:rsidRPr="00332AB5" w:rsidRDefault="00310FA2" w:rsidP="00E910EE">
      <w:pPr>
        <w:pStyle w:val="TableofFigures"/>
        <w:tabs>
          <w:tab w:val="right" w:leader="dot" w:pos="9063"/>
        </w:tabs>
        <w:spacing w:after="120"/>
        <w:rPr>
          <w:rFonts w:asciiTheme="minorHAnsi" w:eastAsiaTheme="minorEastAsia" w:hAnsiTheme="minorHAnsi" w:cstheme="minorBidi"/>
          <w:noProof/>
          <w:kern w:val="2"/>
          <w:sz w:val="22"/>
          <w:szCs w:val="22"/>
          <w14:ligatures w14:val="standardContextual"/>
        </w:rPr>
      </w:pPr>
      <w:hyperlink w:anchor="_Toc152595280" w:history="1">
        <w:r w:rsidR="00E910EE" w:rsidRPr="00332AB5">
          <w:rPr>
            <w:rStyle w:val="Hyperlink"/>
            <w:noProof/>
          </w:rPr>
          <w:t>Tablica 6: Financijski pokazatelji statusa provedbe svih Operativnih programa i komponenti programa IPA od početka provedbe do kraja izvještajnog razdoblja 30. lipnja 2023. (sredstva EU, u milijunima eura i postocima od dodijeljenih sredstava)</w:t>
        </w:r>
        <w:r w:rsidR="00E910EE" w:rsidRPr="00332AB5">
          <w:rPr>
            <w:noProof/>
            <w:webHidden/>
          </w:rPr>
          <w:tab/>
        </w:r>
        <w:r w:rsidR="00E910EE" w:rsidRPr="00332AB5">
          <w:rPr>
            <w:noProof/>
            <w:webHidden/>
          </w:rPr>
          <w:fldChar w:fldCharType="begin"/>
        </w:r>
        <w:r w:rsidR="00E910EE" w:rsidRPr="00332AB5">
          <w:rPr>
            <w:noProof/>
            <w:webHidden/>
          </w:rPr>
          <w:instrText xml:space="preserve"> PAGEREF _Toc152595280 \h </w:instrText>
        </w:r>
        <w:r w:rsidR="00E910EE" w:rsidRPr="00332AB5">
          <w:rPr>
            <w:noProof/>
            <w:webHidden/>
          </w:rPr>
        </w:r>
        <w:r w:rsidR="00E910EE" w:rsidRPr="00332AB5">
          <w:rPr>
            <w:noProof/>
            <w:webHidden/>
          </w:rPr>
          <w:fldChar w:fldCharType="separate"/>
        </w:r>
        <w:r w:rsidR="005E6E46">
          <w:rPr>
            <w:noProof/>
            <w:webHidden/>
          </w:rPr>
          <w:t>9</w:t>
        </w:r>
        <w:r w:rsidR="00E910EE" w:rsidRPr="00332AB5">
          <w:rPr>
            <w:noProof/>
            <w:webHidden/>
          </w:rPr>
          <w:fldChar w:fldCharType="end"/>
        </w:r>
      </w:hyperlink>
    </w:p>
    <w:p w14:paraId="7FBFB03C" w14:textId="73AEED1B" w:rsidR="00E910EE" w:rsidRPr="00332AB5" w:rsidRDefault="00310FA2" w:rsidP="00E910EE">
      <w:pPr>
        <w:pStyle w:val="TableofFigures"/>
        <w:tabs>
          <w:tab w:val="right" w:leader="dot" w:pos="9063"/>
        </w:tabs>
        <w:spacing w:after="120"/>
        <w:rPr>
          <w:rFonts w:asciiTheme="minorHAnsi" w:eastAsiaTheme="minorEastAsia" w:hAnsiTheme="minorHAnsi" w:cstheme="minorBidi"/>
          <w:noProof/>
          <w:kern w:val="2"/>
          <w:sz w:val="22"/>
          <w:szCs w:val="22"/>
          <w14:ligatures w14:val="standardContextual"/>
        </w:rPr>
      </w:pPr>
      <w:hyperlink w:anchor="_Toc152595281" w:history="1">
        <w:r w:rsidR="00E910EE" w:rsidRPr="00332AB5">
          <w:rPr>
            <w:rStyle w:val="Hyperlink"/>
            <w:noProof/>
          </w:rPr>
          <w:t>Tablica 7: Financijski pokazatelji statusa provedbe Operativnog programa „Konkurentnost i kohezija“ u izvještajnom razdoblju od 1. siječnja do 30. lipnja 2023. (sredstva EU, u milijunima eura i postocima od dodijeljenih sredstava)</w:t>
        </w:r>
        <w:r w:rsidR="00E910EE" w:rsidRPr="00332AB5">
          <w:rPr>
            <w:noProof/>
            <w:webHidden/>
          </w:rPr>
          <w:tab/>
        </w:r>
        <w:r w:rsidR="00E910EE" w:rsidRPr="00332AB5">
          <w:rPr>
            <w:noProof/>
            <w:webHidden/>
          </w:rPr>
          <w:fldChar w:fldCharType="begin"/>
        </w:r>
        <w:r w:rsidR="00E910EE" w:rsidRPr="00332AB5">
          <w:rPr>
            <w:noProof/>
            <w:webHidden/>
          </w:rPr>
          <w:instrText xml:space="preserve"> PAGEREF _Toc152595281 \h </w:instrText>
        </w:r>
        <w:r w:rsidR="00E910EE" w:rsidRPr="00332AB5">
          <w:rPr>
            <w:noProof/>
            <w:webHidden/>
          </w:rPr>
        </w:r>
        <w:r w:rsidR="00E910EE" w:rsidRPr="00332AB5">
          <w:rPr>
            <w:noProof/>
            <w:webHidden/>
          </w:rPr>
          <w:fldChar w:fldCharType="separate"/>
        </w:r>
        <w:r w:rsidR="005E6E46">
          <w:rPr>
            <w:noProof/>
            <w:webHidden/>
          </w:rPr>
          <w:t>10</w:t>
        </w:r>
        <w:r w:rsidR="00E910EE" w:rsidRPr="00332AB5">
          <w:rPr>
            <w:noProof/>
            <w:webHidden/>
          </w:rPr>
          <w:fldChar w:fldCharType="end"/>
        </w:r>
      </w:hyperlink>
    </w:p>
    <w:p w14:paraId="77D8EB00" w14:textId="4429B7E8" w:rsidR="00E910EE" w:rsidRPr="00332AB5" w:rsidRDefault="00310FA2" w:rsidP="00E910EE">
      <w:pPr>
        <w:pStyle w:val="TableofFigures"/>
        <w:tabs>
          <w:tab w:val="right" w:leader="dot" w:pos="9063"/>
        </w:tabs>
        <w:spacing w:after="120"/>
        <w:rPr>
          <w:rFonts w:asciiTheme="minorHAnsi" w:eastAsiaTheme="minorEastAsia" w:hAnsiTheme="minorHAnsi" w:cstheme="minorBidi"/>
          <w:noProof/>
          <w:kern w:val="2"/>
          <w:sz w:val="22"/>
          <w:szCs w:val="22"/>
          <w14:ligatures w14:val="standardContextual"/>
        </w:rPr>
      </w:pPr>
      <w:hyperlink w:anchor="_Toc152595282" w:history="1">
        <w:r w:rsidR="00E910EE" w:rsidRPr="00332AB5">
          <w:rPr>
            <w:rStyle w:val="Hyperlink"/>
            <w:noProof/>
          </w:rPr>
          <w:t>Tablica 8: Financijski pokazatelji statusa provedbe Operativnog programa „Konkurentnost i kohezija“ od početka provedbe do kraja izvještajnog razdoblja 30. lipnja 2023. (sredstva EU, u milijunima eura i postocima od dodijeljenih sredstava)</w:t>
        </w:r>
        <w:r w:rsidR="00E910EE" w:rsidRPr="00332AB5">
          <w:rPr>
            <w:noProof/>
            <w:webHidden/>
          </w:rPr>
          <w:tab/>
        </w:r>
        <w:r w:rsidR="00E910EE" w:rsidRPr="00332AB5">
          <w:rPr>
            <w:noProof/>
            <w:webHidden/>
          </w:rPr>
          <w:fldChar w:fldCharType="begin"/>
        </w:r>
        <w:r w:rsidR="00E910EE" w:rsidRPr="00332AB5">
          <w:rPr>
            <w:noProof/>
            <w:webHidden/>
          </w:rPr>
          <w:instrText xml:space="preserve"> PAGEREF _Toc152595282 \h </w:instrText>
        </w:r>
        <w:r w:rsidR="00E910EE" w:rsidRPr="00332AB5">
          <w:rPr>
            <w:noProof/>
            <w:webHidden/>
          </w:rPr>
        </w:r>
        <w:r w:rsidR="00E910EE" w:rsidRPr="00332AB5">
          <w:rPr>
            <w:noProof/>
            <w:webHidden/>
          </w:rPr>
          <w:fldChar w:fldCharType="separate"/>
        </w:r>
        <w:r w:rsidR="005E6E46">
          <w:rPr>
            <w:noProof/>
            <w:webHidden/>
          </w:rPr>
          <w:t>11</w:t>
        </w:r>
        <w:r w:rsidR="00E910EE" w:rsidRPr="00332AB5">
          <w:rPr>
            <w:noProof/>
            <w:webHidden/>
          </w:rPr>
          <w:fldChar w:fldCharType="end"/>
        </w:r>
      </w:hyperlink>
    </w:p>
    <w:p w14:paraId="57BC4CEB" w14:textId="6609B34E" w:rsidR="00E910EE" w:rsidRPr="00332AB5" w:rsidRDefault="00310FA2" w:rsidP="00E910EE">
      <w:pPr>
        <w:pStyle w:val="TableofFigures"/>
        <w:tabs>
          <w:tab w:val="right" w:leader="dot" w:pos="9063"/>
        </w:tabs>
        <w:spacing w:after="120"/>
        <w:rPr>
          <w:rFonts w:asciiTheme="minorHAnsi" w:eastAsiaTheme="minorEastAsia" w:hAnsiTheme="minorHAnsi" w:cstheme="minorBidi"/>
          <w:noProof/>
          <w:kern w:val="2"/>
          <w:sz w:val="22"/>
          <w:szCs w:val="22"/>
          <w14:ligatures w14:val="standardContextual"/>
        </w:rPr>
      </w:pPr>
      <w:hyperlink w:anchor="_Toc152595283" w:history="1">
        <w:r w:rsidR="00E910EE" w:rsidRPr="00332AB5">
          <w:rPr>
            <w:rStyle w:val="Hyperlink"/>
            <w:noProof/>
          </w:rPr>
          <w:t>Tablica 9: Financijski pokazatelji statusa provedbe Operativnog programa „Učinkoviti ljudski potencijali“ u izvještajnom razdoblju od 1. siječnja do 30. lipnja 2023. (sredstva EU, u milijunima eura i postocima od dodijeljenih sredstava)</w:t>
        </w:r>
        <w:r w:rsidR="00E910EE" w:rsidRPr="00332AB5">
          <w:rPr>
            <w:noProof/>
            <w:webHidden/>
          </w:rPr>
          <w:tab/>
        </w:r>
        <w:r w:rsidR="00E910EE" w:rsidRPr="00332AB5">
          <w:rPr>
            <w:noProof/>
            <w:webHidden/>
          </w:rPr>
          <w:fldChar w:fldCharType="begin"/>
        </w:r>
        <w:r w:rsidR="00E910EE" w:rsidRPr="00332AB5">
          <w:rPr>
            <w:noProof/>
            <w:webHidden/>
          </w:rPr>
          <w:instrText xml:space="preserve"> PAGEREF _Toc152595283 \h </w:instrText>
        </w:r>
        <w:r w:rsidR="00E910EE" w:rsidRPr="00332AB5">
          <w:rPr>
            <w:noProof/>
            <w:webHidden/>
          </w:rPr>
        </w:r>
        <w:r w:rsidR="00E910EE" w:rsidRPr="00332AB5">
          <w:rPr>
            <w:noProof/>
            <w:webHidden/>
          </w:rPr>
          <w:fldChar w:fldCharType="separate"/>
        </w:r>
        <w:r w:rsidR="005E6E46">
          <w:rPr>
            <w:noProof/>
            <w:webHidden/>
          </w:rPr>
          <w:t>16</w:t>
        </w:r>
        <w:r w:rsidR="00E910EE" w:rsidRPr="00332AB5">
          <w:rPr>
            <w:noProof/>
            <w:webHidden/>
          </w:rPr>
          <w:fldChar w:fldCharType="end"/>
        </w:r>
      </w:hyperlink>
    </w:p>
    <w:p w14:paraId="6DDFBF31" w14:textId="6BE215A5" w:rsidR="00E910EE" w:rsidRPr="00332AB5" w:rsidRDefault="00310FA2" w:rsidP="00E910EE">
      <w:pPr>
        <w:pStyle w:val="TableofFigures"/>
        <w:tabs>
          <w:tab w:val="right" w:leader="dot" w:pos="9063"/>
        </w:tabs>
        <w:spacing w:after="120"/>
        <w:rPr>
          <w:rFonts w:asciiTheme="minorHAnsi" w:eastAsiaTheme="minorEastAsia" w:hAnsiTheme="minorHAnsi" w:cstheme="minorBidi"/>
          <w:noProof/>
          <w:kern w:val="2"/>
          <w:sz w:val="22"/>
          <w:szCs w:val="22"/>
          <w14:ligatures w14:val="standardContextual"/>
        </w:rPr>
      </w:pPr>
      <w:hyperlink w:anchor="_Toc152595284" w:history="1">
        <w:r w:rsidR="00E910EE" w:rsidRPr="00332AB5">
          <w:rPr>
            <w:rStyle w:val="Hyperlink"/>
            <w:noProof/>
          </w:rPr>
          <w:t>Tablica 10: Financijski pokazatelji statusa provedbe Operativnog programa „Učinkoviti ljudski potencijali“ od početka provedbe do kraja izvještajnog razdoblja 30. lipnja 2023. (sredstva EU, u milijunima eura i postocima od dodijeljenih sredstava)</w:t>
        </w:r>
        <w:r w:rsidR="00E910EE" w:rsidRPr="00332AB5">
          <w:rPr>
            <w:noProof/>
            <w:webHidden/>
          </w:rPr>
          <w:tab/>
        </w:r>
        <w:r w:rsidR="00E910EE" w:rsidRPr="00332AB5">
          <w:rPr>
            <w:noProof/>
            <w:webHidden/>
          </w:rPr>
          <w:fldChar w:fldCharType="begin"/>
        </w:r>
        <w:r w:rsidR="00E910EE" w:rsidRPr="00332AB5">
          <w:rPr>
            <w:noProof/>
            <w:webHidden/>
          </w:rPr>
          <w:instrText xml:space="preserve"> PAGEREF _Toc152595284 \h </w:instrText>
        </w:r>
        <w:r w:rsidR="00E910EE" w:rsidRPr="00332AB5">
          <w:rPr>
            <w:noProof/>
            <w:webHidden/>
          </w:rPr>
        </w:r>
        <w:r w:rsidR="00E910EE" w:rsidRPr="00332AB5">
          <w:rPr>
            <w:noProof/>
            <w:webHidden/>
          </w:rPr>
          <w:fldChar w:fldCharType="separate"/>
        </w:r>
        <w:r w:rsidR="005E6E46">
          <w:rPr>
            <w:noProof/>
            <w:webHidden/>
          </w:rPr>
          <w:t>17</w:t>
        </w:r>
        <w:r w:rsidR="00E910EE" w:rsidRPr="00332AB5">
          <w:rPr>
            <w:noProof/>
            <w:webHidden/>
          </w:rPr>
          <w:fldChar w:fldCharType="end"/>
        </w:r>
      </w:hyperlink>
    </w:p>
    <w:p w14:paraId="3BB6A340" w14:textId="59A0152F" w:rsidR="00E910EE" w:rsidRPr="00332AB5" w:rsidRDefault="00310FA2" w:rsidP="00E910EE">
      <w:pPr>
        <w:pStyle w:val="TableofFigures"/>
        <w:tabs>
          <w:tab w:val="right" w:leader="dot" w:pos="9063"/>
        </w:tabs>
        <w:spacing w:after="120"/>
        <w:rPr>
          <w:rFonts w:asciiTheme="minorHAnsi" w:eastAsiaTheme="minorEastAsia" w:hAnsiTheme="minorHAnsi" w:cstheme="minorBidi"/>
          <w:noProof/>
          <w:kern w:val="2"/>
          <w:sz w:val="22"/>
          <w:szCs w:val="22"/>
          <w14:ligatures w14:val="standardContextual"/>
        </w:rPr>
      </w:pPr>
      <w:hyperlink w:anchor="_Toc152595285" w:history="1">
        <w:r w:rsidR="00E910EE" w:rsidRPr="00332AB5">
          <w:rPr>
            <w:rStyle w:val="Hyperlink"/>
            <w:noProof/>
          </w:rPr>
          <w:t>Tablica 11: Popis objavljenih natječaja za dodjelu potpora iz Programa ruralnog razvoja u izvještajnom razdoblju od 1. siječnja do 30. lipnja 2023. (bespovratna sredstva)</w:t>
        </w:r>
        <w:r w:rsidR="00E910EE" w:rsidRPr="00332AB5">
          <w:rPr>
            <w:noProof/>
            <w:webHidden/>
          </w:rPr>
          <w:tab/>
        </w:r>
        <w:r w:rsidR="00E910EE" w:rsidRPr="00332AB5">
          <w:rPr>
            <w:noProof/>
            <w:webHidden/>
          </w:rPr>
          <w:fldChar w:fldCharType="begin"/>
        </w:r>
        <w:r w:rsidR="00E910EE" w:rsidRPr="00332AB5">
          <w:rPr>
            <w:noProof/>
            <w:webHidden/>
          </w:rPr>
          <w:instrText xml:space="preserve"> PAGEREF _Toc152595285 \h </w:instrText>
        </w:r>
        <w:r w:rsidR="00E910EE" w:rsidRPr="00332AB5">
          <w:rPr>
            <w:noProof/>
            <w:webHidden/>
          </w:rPr>
        </w:r>
        <w:r w:rsidR="00E910EE" w:rsidRPr="00332AB5">
          <w:rPr>
            <w:noProof/>
            <w:webHidden/>
          </w:rPr>
          <w:fldChar w:fldCharType="separate"/>
        </w:r>
        <w:r w:rsidR="005E6E46">
          <w:rPr>
            <w:noProof/>
            <w:webHidden/>
          </w:rPr>
          <w:t>20</w:t>
        </w:r>
        <w:r w:rsidR="00E910EE" w:rsidRPr="00332AB5">
          <w:rPr>
            <w:noProof/>
            <w:webHidden/>
          </w:rPr>
          <w:fldChar w:fldCharType="end"/>
        </w:r>
      </w:hyperlink>
    </w:p>
    <w:p w14:paraId="68A1B02E" w14:textId="22D7211E" w:rsidR="00E910EE" w:rsidRPr="00332AB5" w:rsidRDefault="00310FA2" w:rsidP="00E910EE">
      <w:pPr>
        <w:pStyle w:val="TableofFigures"/>
        <w:tabs>
          <w:tab w:val="right" w:leader="dot" w:pos="9063"/>
        </w:tabs>
        <w:spacing w:after="120"/>
        <w:rPr>
          <w:rFonts w:asciiTheme="minorHAnsi" w:eastAsiaTheme="minorEastAsia" w:hAnsiTheme="minorHAnsi" w:cstheme="minorBidi"/>
          <w:noProof/>
          <w:kern w:val="2"/>
          <w:sz w:val="22"/>
          <w:szCs w:val="22"/>
          <w14:ligatures w14:val="standardContextual"/>
        </w:rPr>
      </w:pPr>
      <w:hyperlink w:anchor="_Toc152595286" w:history="1">
        <w:r w:rsidR="00E910EE" w:rsidRPr="00332AB5">
          <w:rPr>
            <w:rStyle w:val="Hyperlink"/>
            <w:noProof/>
          </w:rPr>
          <w:t>Tablica 12: Financijski pokazatelji statusa provedbe</w:t>
        </w:r>
        <w:r w:rsidR="00E910EE" w:rsidRPr="00332AB5">
          <w:rPr>
            <w:rStyle w:val="Hyperlink"/>
            <w:noProof/>
            <w:shd w:val="clear" w:color="auto" w:fill="EAF1DD" w:themeFill="accent3" w:themeFillTint="33"/>
          </w:rPr>
          <w:t xml:space="preserve"> </w:t>
        </w:r>
        <w:r w:rsidR="00E910EE" w:rsidRPr="00332AB5">
          <w:rPr>
            <w:rStyle w:val="Hyperlink"/>
            <w:noProof/>
          </w:rPr>
          <w:t>Programa ruralnog razvoja u izvještajnom razdoblju od 1. siječnja do 30. lipnja 2023. (sredstva EU, u milijunima eura i postocima od dodijeljenih sredstava)</w:t>
        </w:r>
        <w:r w:rsidR="00E910EE" w:rsidRPr="00332AB5">
          <w:rPr>
            <w:noProof/>
            <w:webHidden/>
          </w:rPr>
          <w:tab/>
        </w:r>
        <w:r w:rsidR="00E910EE" w:rsidRPr="00332AB5">
          <w:rPr>
            <w:noProof/>
            <w:webHidden/>
          </w:rPr>
          <w:fldChar w:fldCharType="begin"/>
        </w:r>
        <w:r w:rsidR="00E910EE" w:rsidRPr="00332AB5">
          <w:rPr>
            <w:noProof/>
            <w:webHidden/>
          </w:rPr>
          <w:instrText xml:space="preserve"> PAGEREF _Toc152595286 \h </w:instrText>
        </w:r>
        <w:r w:rsidR="00E910EE" w:rsidRPr="00332AB5">
          <w:rPr>
            <w:noProof/>
            <w:webHidden/>
          </w:rPr>
        </w:r>
        <w:r w:rsidR="00E910EE" w:rsidRPr="00332AB5">
          <w:rPr>
            <w:noProof/>
            <w:webHidden/>
          </w:rPr>
          <w:fldChar w:fldCharType="separate"/>
        </w:r>
        <w:r w:rsidR="005E6E46">
          <w:rPr>
            <w:noProof/>
            <w:webHidden/>
          </w:rPr>
          <w:t>21</w:t>
        </w:r>
        <w:r w:rsidR="00E910EE" w:rsidRPr="00332AB5">
          <w:rPr>
            <w:noProof/>
            <w:webHidden/>
          </w:rPr>
          <w:fldChar w:fldCharType="end"/>
        </w:r>
      </w:hyperlink>
    </w:p>
    <w:p w14:paraId="1DF0BE10" w14:textId="4AFB0853" w:rsidR="00E910EE" w:rsidRPr="00332AB5" w:rsidRDefault="00310FA2" w:rsidP="00E910EE">
      <w:pPr>
        <w:pStyle w:val="TableofFigures"/>
        <w:tabs>
          <w:tab w:val="right" w:leader="dot" w:pos="9063"/>
        </w:tabs>
        <w:spacing w:after="120"/>
        <w:rPr>
          <w:rFonts w:asciiTheme="minorHAnsi" w:eastAsiaTheme="minorEastAsia" w:hAnsiTheme="minorHAnsi" w:cstheme="minorBidi"/>
          <w:noProof/>
          <w:kern w:val="2"/>
          <w:sz w:val="22"/>
          <w:szCs w:val="22"/>
          <w14:ligatures w14:val="standardContextual"/>
        </w:rPr>
      </w:pPr>
      <w:hyperlink w:anchor="_Toc152595287" w:history="1">
        <w:r w:rsidR="00E910EE" w:rsidRPr="00332AB5">
          <w:rPr>
            <w:rStyle w:val="Hyperlink"/>
            <w:noProof/>
          </w:rPr>
          <w:t>Tablica 13: Financijski pokazatelji statusa provedbe Programa ruralnog razvoja od početka provedbe do kraja izvještajnog razdoblja 30. lipnja 2023. (sredstva EU, u milijunima eura i postocima od dodijeljenih sredstava)</w:t>
        </w:r>
        <w:r w:rsidR="00E910EE" w:rsidRPr="00332AB5">
          <w:rPr>
            <w:noProof/>
            <w:webHidden/>
          </w:rPr>
          <w:tab/>
        </w:r>
        <w:r w:rsidR="00E910EE" w:rsidRPr="00332AB5">
          <w:rPr>
            <w:noProof/>
            <w:webHidden/>
          </w:rPr>
          <w:fldChar w:fldCharType="begin"/>
        </w:r>
        <w:r w:rsidR="00E910EE" w:rsidRPr="00332AB5">
          <w:rPr>
            <w:noProof/>
            <w:webHidden/>
          </w:rPr>
          <w:instrText xml:space="preserve"> PAGEREF _Toc152595287 \h </w:instrText>
        </w:r>
        <w:r w:rsidR="00E910EE" w:rsidRPr="00332AB5">
          <w:rPr>
            <w:noProof/>
            <w:webHidden/>
          </w:rPr>
        </w:r>
        <w:r w:rsidR="00E910EE" w:rsidRPr="00332AB5">
          <w:rPr>
            <w:noProof/>
            <w:webHidden/>
          </w:rPr>
          <w:fldChar w:fldCharType="separate"/>
        </w:r>
        <w:r w:rsidR="005E6E46">
          <w:rPr>
            <w:noProof/>
            <w:webHidden/>
          </w:rPr>
          <w:t>22</w:t>
        </w:r>
        <w:r w:rsidR="00E910EE" w:rsidRPr="00332AB5">
          <w:rPr>
            <w:noProof/>
            <w:webHidden/>
          </w:rPr>
          <w:fldChar w:fldCharType="end"/>
        </w:r>
      </w:hyperlink>
    </w:p>
    <w:p w14:paraId="37B82E20" w14:textId="5E1D4742" w:rsidR="00E910EE" w:rsidRPr="00332AB5" w:rsidRDefault="00310FA2" w:rsidP="00E910EE">
      <w:pPr>
        <w:pStyle w:val="TableofFigures"/>
        <w:tabs>
          <w:tab w:val="right" w:leader="dot" w:pos="9063"/>
        </w:tabs>
        <w:spacing w:after="120"/>
        <w:rPr>
          <w:rFonts w:asciiTheme="minorHAnsi" w:eastAsiaTheme="minorEastAsia" w:hAnsiTheme="minorHAnsi" w:cstheme="minorBidi"/>
          <w:noProof/>
          <w:kern w:val="2"/>
          <w:sz w:val="22"/>
          <w:szCs w:val="22"/>
          <w14:ligatures w14:val="standardContextual"/>
        </w:rPr>
      </w:pPr>
      <w:hyperlink w:anchor="_Toc152595288" w:history="1">
        <w:r w:rsidR="00E910EE" w:rsidRPr="00332AB5">
          <w:rPr>
            <w:rStyle w:val="Hyperlink"/>
            <w:noProof/>
          </w:rPr>
          <w:t>Tablica 14: Popis objavljenih natječaja za dodjelu potpora iz Operativnog programa za pomorstvo i ribarstvo u izvještajnom razdoblju od 1. siječnja do 30. lipnja 2023. (bespovratna sredstva)</w:t>
        </w:r>
        <w:r w:rsidR="00E910EE" w:rsidRPr="00332AB5">
          <w:rPr>
            <w:noProof/>
            <w:webHidden/>
          </w:rPr>
          <w:tab/>
        </w:r>
        <w:r w:rsidR="00E910EE" w:rsidRPr="00332AB5">
          <w:rPr>
            <w:noProof/>
            <w:webHidden/>
          </w:rPr>
          <w:fldChar w:fldCharType="begin"/>
        </w:r>
        <w:r w:rsidR="00E910EE" w:rsidRPr="00332AB5">
          <w:rPr>
            <w:noProof/>
            <w:webHidden/>
          </w:rPr>
          <w:instrText xml:space="preserve"> PAGEREF _Toc152595288 \h </w:instrText>
        </w:r>
        <w:r w:rsidR="00E910EE" w:rsidRPr="00332AB5">
          <w:rPr>
            <w:noProof/>
            <w:webHidden/>
          </w:rPr>
        </w:r>
        <w:r w:rsidR="00E910EE" w:rsidRPr="00332AB5">
          <w:rPr>
            <w:noProof/>
            <w:webHidden/>
          </w:rPr>
          <w:fldChar w:fldCharType="separate"/>
        </w:r>
        <w:r w:rsidR="005E6E46">
          <w:rPr>
            <w:noProof/>
            <w:webHidden/>
          </w:rPr>
          <w:t>26</w:t>
        </w:r>
        <w:r w:rsidR="00E910EE" w:rsidRPr="00332AB5">
          <w:rPr>
            <w:noProof/>
            <w:webHidden/>
          </w:rPr>
          <w:fldChar w:fldCharType="end"/>
        </w:r>
      </w:hyperlink>
    </w:p>
    <w:p w14:paraId="2FCE51F3" w14:textId="4EF2BF71" w:rsidR="00E910EE" w:rsidRPr="00332AB5" w:rsidRDefault="00310FA2" w:rsidP="00E910EE">
      <w:pPr>
        <w:pStyle w:val="TableofFigures"/>
        <w:tabs>
          <w:tab w:val="right" w:leader="dot" w:pos="9063"/>
        </w:tabs>
        <w:spacing w:after="120"/>
        <w:rPr>
          <w:rFonts w:asciiTheme="minorHAnsi" w:eastAsiaTheme="minorEastAsia" w:hAnsiTheme="minorHAnsi" w:cstheme="minorBidi"/>
          <w:noProof/>
          <w:kern w:val="2"/>
          <w:sz w:val="22"/>
          <w:szCs w:val="22"/>
          <w14:ligatures w14:val="standardContextual"/>
        </w:rPr>
      </w:pPr>
      <w:hyperlink w:anchor="_Toc152595289" w:history="1">
        <w:r w:rsidR="00E910EE" w:rsidRPr="00332AB5">
          <w:rPr>
            <w:rStyle w:val="Hyperlink"/>
            <w:noProof/>
          </w:rPr>
          <w:t>Tablica 15: Financijski pokazatelji statusa provedbe Operativnog programa za pomorstvo i ribarstvo u izvještajnom razdoblju od 1. siječnja do 30. lipnja 2023. (sredstva EU, u milijunima eura i postocima od dodijeljenih sredstava)</w:t>
        </w:r>
        <w:r w:rsidR="00E910EE" w:rsidRPr="00332AB5">
          <w:rPr>
            <w:noProof/>
            <w:webHidden/>
          </w:rPr>
          <w:tab/>
        </w:r>
        <w:r w:rsidR="00E910EE" w:rsidRPr="00332AB5">
          <w:rPr>
            <w:noProof/>
            <w:webHidden/>
          </w:rPr>
          <w:fldChar w:fldCharType="begin"/>
        </w:r>
        <w:r w:rsidR="00E910EE" w:rsidRPr="00332AB5">
          <w:rPr>
            <w:noProof/>
            <w:webHidden/>
          </w:rPr>
          <w:instrText xml:space="preserve"> PAGEREF _Toc152595289 \h </w:instrText>
        </w:r>
        <w:r w:rsidR="00E910EE" w:rsidRPr="00332AB5">
          <w:rPr>
            <w:noProof/>
            <w:webHidden/>
          </w:rPr>
        </w:r>
        <w:r w:rsidR="00E910EE" w:rsidRPr="00332AB5">
          <w:rPr>
            <w:noProof/>
            <w:webHidden/>
          </w:rPr>
          <w:fldChar w:fldCharType="separate"/>
        </w:r>
        <w:r w:rsidR="005E6E46">
          <w:rPr>
            <w:noProof/>
            <w:webHidden/>
          </w:rPr>
          <w:t>27</w:t>
        </w:r>
        <w:r w:rsidR="00E910EE" w:rsidRPr="00332AB5">
          <w:rPr>
            <w:noProof/>
            <w:webHidden/>
          </w:rPr>
          <w:fldChar w:fldCharType="end"/>
        </w:r>
      </w:hyperlink>
    </w:p>
    <w:p w14:paraId="192AA654" w14:textId="14AAA2BF" w:rsidR="00E910EE" w:rsidRPr="00332AB5" w:rsidRDefault="00310FA2" w:rsidP="00E910EE">
      <w:pPr>
        <w:pStyle w:val="TableofFigures"/>
        <w:tabs>
          <w:tab w:val="right" w:leader="dot" w:pos="9063"/>
        </w:tabs>
        <w:spacing w:after="120"/>
        <w:rPr>
          <w:rFonts w:asciiTheme="minorHAnsi" w:eastAsiaTheme="minorEastAsia" w:hAnsiTheme="minorHAnsi" w:cstheme="minorBidi"/>
          <w:noProof/>
          <w:kern w:val="2"/>
          <w:sz w:val="22"/>
          <w:szCs w:val="22"/>
          <w14:ligatures w14:val="standardContextual"/>
        </w:rPr>
      </w:pPr>
      <w:hyperlink w:anchor="_Toc152595290" w:history="1">
        <w:r w:rsidR="00E910EE" w:rsidRPr="00332AB5">
          <w:rPr>
            <w:rStyle w:val="Hyperlink"/>
            <w:noProof/>
          </w:rPr>
          <w:t>Tablica 16: Financijski pokazatelji statusa provedbe Operativnog programa za pomorstvo i ribarstvo od početka provedbe do kraja izvještajnog razdoblja 30. lipnja 2023. (sredstva EU, u milijunima eura i postocima od dodijeljenih sredstava)</w:t>
        </w:r>
        <w:r w:rsidR="00E910EE" w:rsidRPr="00332AB5">
          <w:rPr>
            <w:noProof/>
            <w:webHidden/>
          </w:rPr>
          <w:tab/>
        </w:r>
        <w:r w:rsidR="00E910EE" w:rsidRPr="00332AB5">
          <w:rPr>
            <w:noProof/>
            <w:webHidden/>
          </w:rPr>
          <w:fldChar w:fldCharType="begin"/>
        </w:r>
        <w:r w:rsidR="00E910EE" w:rsidRPr="00332AB5">
          <w:rPr>
            <w:noProof/>
            <w:webHidden/>
          </w:rPr>
          <w:instrText xml:space="preserve"> PAGEREF _Toc152595290 \h </w:instrText>
        </w:r>
        <w:r w:rsidR="00E910EE" w:rsidRPr="00332AB5">
          <w:rPr>
            <w:noProof/>
            <w:webHidden/>
          </w:rPr>
        </w:r>
        <w:r w:rsidR="00E910EE" w:rsidRPr="00332AB5">
          <w:rPr>
            <w:noProof/>
            <w:webHidden/>
          </w:rPr>
          <w:fldChar w:fldCharType="separate"/>
        </w:r>
        <w:r w:rsidR="005E6E46">
          <w:rPr>
            <w:noProof/>
            <w:webHidden/>
          </w:rPr>
          <w:t>27</w:t>
        </w:r>
        <w:r w:rsidR="00E910EE" w:rsidRPr="00332AB5">
          <w:rPr>
            <w:noProof/>
            <w:webHidden/>
          </w:rPr>
          <w:fldChar w:fldCharType="end"/>
        </w:r>
      </w:hyperlink>
    </w:p>
    <w:p w14:paraId="143BB032" w14:textId="2CF5ABB3" w:rsidR="00E910EE" w:rsidRPr="00332AB5" w:rsidRDefault="00310FA2" w:rsidP="00E910EE">
      <w:pPr>
        <w:pStyle w:val="TableofFigures"/>
        <w:tabs>
          <w:tab w:val="right" w:leader="dot" w:pos="9063"/>
        </w:tabs>
        <w:spacing w:after="120"/>
        <w:rPr>
          <w:rFonts w:asciiTheme="minorHAnsi" w:eastAsiaTheme="minorEastAsia" w:hAnsiTheme="minorHAnsi" w:cstheme="minorBidi"/>
          <w:noProof/>
          <w:kern w:val="2"/>
          <w:sz w:val="22"/>
          <w:szCs w:val="22"/>
          <w14:ligatures w14:val="standardContextual"/>
        </w:rPr>
      </w:pPr>
      <w:hyperlink w:anchor="_Toc152595291" w:history="1">
        <w:r w:rsidR="00E910EE" w:rsidRPr="00332AB5">
          <w:rPr>
            <w:rStyle w:val="Hyperlink"/>
            <w:noProof/>
          </w:rPr>
          <w:t>Tablica 17: Financijski pokazatelji statusa provedbe Operativnog programa za hranu i/ili osnovnu materijalnu pomoć u izvještajnom razdoblju od 1. siječnja do 30. lipnja 2023. (sredstva EU, u milijunima eura i postocima od dodijeljenih sredstava)</w:t>
        </w:r>
        <w:r w:rsidR="00E910EE" w:rsidRPr="00332AB5">
          <w:rPr>
            <w:noProof/>
            <w:webHidden/>
          </w:rPr>
          <w:tab/>
        </w:r>
        <w:r w:rsidR="00E910EE" w:rsidRPr="00332AB5">
          <w:rPr>
            <w:noProof/>
            <w:webHidden/>
          </w:rPr>
          <w:fldChar w:fldCharType="begin"/>
        </w:r>
        <w:r w:rsidR="00E910EE" w:rsidRPr="00332AB5">
          <w:rPr>
            <w:noProof/>
            <w:webHidden/>
          </w:rPr>
          <w:instrText xml:space="preserve"> PAGEREF _Toc152595291 \h </w:instrText>
        </w:r>
        <w:r w:rsidR="00E910EE" w:rsidRPr="00332AB5">
          <w:rPr>
            <w:noProof/>
            <w:webHidden/>
          </w:rPr>
        </w:r>
        <w:r w:rsidR="00E910EE" w:rsidRPr="00332AB5">
          <w:rPr>
            <w:noProof/>
            <w:webHidden/>
          </w:rPr>
          <w:fldChar w:fldCharType="separate"/>
        </w:r>
        <w:r w:rsidR="005E6E46">
          <w:rPr>
            <w:noProof/>
            <w:webHidden/>
          </w:rPr>
          <w:t>30</w:t>
        </w:r>
        <w:r w:rsidR="00E910EE" w:rsidRPr="00332AB5">
          <w:rPr>
            <w:noProof/>
            <w:webHidden/>
          </w:rPr>
          <w:fldChar w:fldCharType="end"/>
        </w:r>
      </w:hyperlink>
    </w:p>
    <w:p w14:paraId="50E3332C" w14:textId="1BF46453" w:rsidR="00E910EE" w:rsidRPr="00332AB5" w:rsidRDefault="00310FA2" w:rsidP="00E910EE">
      <w:pPr>
        <w:pStyle w:val="TableofFigures"/>
        <w:tabs>
          <w:tab w:val="right" w:leader="dot" w:pos="9063"/>
        </w:tabs>
        <w:spacing w:after="120"/>
        <w:rPr>
          <w:rFonts w:asciiTheme="minorHAnsi" w:eastAsiaTheme="minorEastAsia" w:hAnsiTheme="minorHAnsi" w:cstheme="minorBidi"/>
          <w:noProof/>
          <w:kern w:val="2"/>
          <w:sz w:val="22"/>
          <w:szCs w:val="22"/>
          <w14:ligatures w14:val="standardContextual"/>
        </w:rPr>
      </w:pPr>
      <w:hyperlink w:anchor="_Toc152595292" w:history="1">
        <w:r w:rsidR="00E910EE" w:rsidRPr="00332AB5">
          <w:rPr>
            <w:rStyle w:val="Hyperlink"/>
            <w:noProof/>
          </w:rPr>
          <w:t>Tablica 18: Financijski pokazatelji statusa provedbe Operativnog programa za hranu i/ili osnovnu materijalnu pomoć od početka provedbe do kraja izvještajnog razdoblja 30. lipnja 2023. (sredstva EU, u milijunima eura i postocima od dodijeljenih sredstava)</w:t>
        </w:r>
        <w:r w:rsidR="00E910EE" w:rsidRPr="00332AB5">
          <w:rPr>
            <w:noProof/>
            <w:webHidden/>
          </w:rPr>
          <w:tab/>
        </w:r>
        <w:r w:rsidR="00E910EE" w:rsidRPr="00332AB5">
          <w:rPr>
            <w:noProof/>
            <w:webHidden/>
          </w:rPr>
          <w:fldChar w:fldCharType="begin"/>
        </w:r>
        <w:r w:rsidR="00E910EE" w:rsidRPr="00332AB5">
          <w:rPr>
            <w:noProof/>
            <w:webHidden/>
          </w:rPr>
          <w:instrText xml:space="preserve"> PAGEREF _Toc152595292 \h </w:instrText>
        </w:r>
        <w:r w:rsidR="00E910EE" w:rsidRPr="00332AB5">
          <w:rPr>
            <w:noProof/>
            <w:webHidden/>
          </w:rPr>
        </w:r>
        <w:r w:rsidR="00E910EE" w:rsidRPr="00332AB5">
          <w:rPr>
            <w:noProof/>
            <w:webHidden/>
          </w:rPr>
          <w:fldChar w:fldCharType="separate"/>
        </w:r>
        <w:r w:rsidR="005E6E46">
          <w:rPr>
            <w:noProof/>
            <w:webHidden/>
          </w:rPr>
          <w:t>31</w:t>
        </w:r>
        <w:r w:rsidR="00E910EE" w:rsidRPr="00332AB5">
          <w:rPr>
            <w:noProof/>
            <w:webHidden/>
          </w:rPr>
          <w:fldChar w:fldCharType="end"/>
        </w:r>
      </w:hyperlink>
    </w:p>
    <w:p w14:paraId="372F03FD" w14:textId="2DC44F6B" w:rsidR="00E910EE" w:rsidRPr="00332AB5" w:rsidRDefault="00310FA2" w:rsidP="00E910EE">
      <w:pPr>
        <w:pStyle w:val="TableofFigures"/>
        <w:tabs>
          <w:tab w:val="right" w:leader="dot" w:pos="9063"/>
        </w:tabs>
        <w:spacing w:after="120"/>
        <w:rPr>
          <w:rFonts w:asciiTheme="minorHAnsi" w:eastAsiaTheme="minorEastAsia" w:hAnsiTheme="minorHAnsi" w:cstheme="minorBidi"/>
          <w:noProof/>
          <w:kern w:val="2"/>
          <w:sz w:val="22"/>
          <w:szCs w:val="22"/>
          <w14:ligatures w14:val="standardContextual"/>
        </w:rPr>
      </w:pPr>
      <w:hyperlink w:anchor="_Toc152595293" w:history="1">
        <w:r w:rsidR="00E910EE" w:rsidRPr="00332AB5">
          <w:rPr>
            <w:rStyle w:val="Hyperlink"/>
            <w:noProof/>
          </w:rPr>
          <w:t>Tablica 19: Nepravilnosti prijavljene OLAF-u u razdoblju od početka programskog razdoblja 2007. - 2013. do kraja drugog tromjesečja 2023., prema fondovima EU-a</w:t>
        </w:r>
        <w:r w:rsidR="00E910EE" w:rsidRPr="00332AB5">
          <w:rPr>
            <w:noProof/>
            <w:webHidden/>
          </w:rPr>
          <w:tab/>
        </w:r>
        <w:r w:rsidR="00E910EE" w:rsidRPr="00332AB5">
          <w:rPr>
            <w:noProof/>
            <w:webHidden/>
          </w:rPr>
          <w:fldChar w:fldCharType="begin"/>
        </w:r>
        <w:r w:rsidR="00E910EE" w:rsidRPr="00332AB5">
          <w:rPr>
            <w:noProof/>
            <w:webHidden/>
          </w:rPr>
          <w:instrText xml:space="preserve"> PAGEREF _Toc152595293 \h </w:instrText>
        </w:r>
        <w:r w:rsidR="00E910EE" w:rsidRPr="00332AB5">
          <w:rPr>
            <w:noProof/>
            <w:webHidden/>
          </w:rPr>
        </w:r>
        <w:r w:rsidR="00E910EE" w:rsidRPr="00332AB5">
          <w:rPr>
            <w:noProof/>
            <w:webHidden/>
          </w:rPr>
          <w:fldChar w:fldCharType="separate"/>
        </w:r>
        <w:r w:rsidR="005E6E46">
          <w:rPr>
            <w:noProof/>
            <w:webHidden/>
          </w:rPr>
          <w:t>51</w:t>
        </w:r>
        <w:r w:rsidR="00E910EE" w:rsidRPr="00332AB5">
          <w:rPr>
            <w:noProof/>
            <w:webHidden/>
          </w:rPr>
          <w:fldChar w:fldCharType="end"/>
        </w:r>
      </w:hyperlink>
    </w:p>
    <w:p w14:paraId="21B8D50F" w14:textId="08856862" w:rsidR="00E910EE" w:rsidRPr="00332AB5" w:rsidRDefault="00310FA2" w:rsidP="00E910EE">
      <w:pPr>
        <w:pStyle w:val="TableofFigures"/>
        <w:tabs>
          <w:tab w:val="right" w:leader="dot" w:pos="9063"/>
        </w:tabs>
        <w:spacing w:after="120"/>
        <w:rPr>
          <w:rFonts w:asciiTheme="minorHAnsi" w:eastAsiaTheme="minorEastAsia" w:hAnsiTheme="minorHAnsi" w:cstheme="minorBidi"/>
          <w:noProof/>
          <w:kern w:val="2"/>
          <w:sz w:val="22"/>
          <w:szCs w:val="22"/>
          <w14:ligatures w14:val="standardContextual"/>
        </w:rPr>
      </w:pPr>
      <w:hyperlink w:anchor="_Toc152595294" w:history="1">
        <w:r w:rsidR="00E910EE" w:rsidRPr="00332AB5">
          <w:rPr>
            <w:rStyle w:val="Hyperlink"/>
            <w:noProof/>
          </w:rPr>
          <w:t>Tablica 20: Broj i iznos nepravilnosti prijavljenih OLAF-u u izvještajnom razdoblju, prema fondovima</w:t>
        </w:r>
        <w:r w:rsidR="00E910EE" w:rsidRPr="00332AB5">
          <w:rPr>
            <w:noProof/>
            <w:webHidden/>
          </w:rPr>
          <w:tab/>
        </w:r>
        <w:r w:rsidR="00E910EE" w:rsidRPr="00332AB5">
          <w:rPr>
            <w:noProof/>
            <w:webHidden/>
          </w:rPr>
          <w:fldChar w:fldCharType="begin"/>
        </w:r>
        <w:r w:rsidR="00E910EE" w:rsidRPr="00332AB5">
          <w:rPr>
            <w:noProof/>
            <w:webHidden/>
          </w:rPr>
          <w:instrText xml:space="preserve"> PAGEREF _Toc152595294 \h </w:instrText>
        </w:r>
        <w:r w:rsidR="00E910EE" w:rsidRPr="00332AB5">
          <w:rPr>
            <w:noProof/>
            <w:webHidden/>
          </w:rPr>
        </w:r>
        <w:r w:rsidR="00E910EE" w:rsidRPr="00332AB5">
          <w:rPr>
            <w:noProof/>
            <w:webHidden/>
          </w:rPr>
          <w:fldChar w:fldCharType="separate"/>
        </w:r>
        <w:r w:rsidR="005E6E46">
          <w:rPr>
            <w:noProof/>
            <w:webHidden/>
          </w:rPr>
          <w:t>52</w:t>
        </w:r>
        <w:r w:rsidR="00E910EE" w:rsidRPr="00332AB5">
          <w:rPr>
            <w:noProof/>
            <w:webHidden/>
          </w:rPr>
          <w:fldChar w:fldCharType="end"/>
        </w:r>
      </w:hyperlink>
    </w:p>
    <w:p w14:paraId="4AD25340" w14:textId="4E380D89" w:rsidR="00E910EE" w:rsidRPr="00332AB5" w:rsidRDefault="00310FA2" w:rsidP="00E910EE">
      <w:pPr>
        <w:pStyle w:val="TableofFigures"/>
        <w:tabs>
          <w:tab w:val="right" w:leader="dot" w:pos="9063"/>
        </w:tabs>
        <w:spacing w:after="120"/>
        <w:rPr>
          <w:rFonts w:asciiTheme="minorHAnsi" w:eastAsiaTheme="minorEastAsia" w:hAnsiTheme="minorHAnsi" w:cstheme="minorBidi"/>
          <w:noProof/>
          <w:kern w:val="2"/>
          <w:sz w:val="22"/>
          <w:szCs w:val="22"/>
          <w14:ligatures w14:val="standardContextual"/>
        </w:rPr>
      </w:pPr>
      <w:hyperlink w:anchor="_Toc152595295" w:history="1">
        <w:r w:rsidR="00E910EE" w:rsidRPr="00332AB5">
          <w:rPr>
            <w:rStyle w:val="Hyperlink"/>
            <w:noProof/>
          </w:rPr>
          <w:t>Tablica 21: Financijski pokazatelji statusa provedbe REACT-EU u sklopu Operativnog programa „Konkurentnost i kohezija“ u izvještajnom razdoblju od 1. siječnja do 30. lipnja 2023. (sredstva EU, u milijunima eura i postocima od dodijeljenih sredstava)</w:t>
        </w:r>
        <w:r w:rsidR="00E910EE" w:rsidRPr="00332AB5">
          <w:rPr>
            <w:noProof/>
            <w:webHidden/>
          </w:rPr>
          <w:tab/>
        </w:r>
        <w:r w:rsidR="00E910EE" w:rsidRPr="00332AB5">
          <w:rPr>
            <w:noProof/>
            <w:webHidden/>
          </w:rPr>
          <w:fldChar w:fldCharType="begin"/>
        </w:r>
        <w:r w:rsidR="00E910EE" w:rsidRPr="00332AB5">
          <w:rPr>
            <w:noProof/>
            <w:webHidden/>
          </w:rPr>
          <w:instrText xml:space="preserve"> PAGEREF _Toc152595295 \h </w:instrText>
        </w:r>
        <w:r w:rsidR="00E910EE" w:rsidRPr="00332AB5">
          <w:rPr>
            <w:noProof/>
            <w:webHidden/>
          </w:rPr>
        </w:r>
        <w:r w:rsidR="00E910EE" w:rsidRPr="00332AB5">
          <w:rPr>
            <w:noProof/>
            <w:webHidden/>
          </w:rPr>
          <w:fldChar w:fldCharType="separate"/>
        </w:r>
        <w:r w:rsidR="005E6E46">
          <w:rPr>
            <w:noProof/>
            <w:webHidden/>
          </w:rPr>
          <w:t>65</w:t>
        </w:r>
        <w:r w:rsidR="00E910EE" w:rsidRPr="00332AB5">
          <w:rPr>
            <w:noProof/>
            <w:webHidden/>
          </w:rPr>
          <w:fldChar w:fldCharType="end"/>
        </w:r>
      </w:hyperlink>
    </w:p>
    <w:p w14:paraId="01D09DF0" w14:textId="6BA71463" w:rsidR="00E910EE" w:rsidRPr="00332AB5" w:rsidRDefault="00310FA2" w:rsidP="00E910EE">
      <w:pPr>
        <w:pStyle w:val="TableofFigures"/>
        <w:tabs>
          <w:tab w:val="right" w:leader="dot" w:pos="9063"/>
        </w:tabs>
        <w:spacing w:after="120"/>
        <w:rPr>
          <w:rFonts w:asciiTheme="minorHAnsi" w:eastAsiaTheme="minorEastAsia" w:hAnsiTheme="minorHAnsi" w:cstheme="minorBidi"/>
          <w:noProof/>
          <w:kern w:val="2"/>
          <w:sz w:val="22"/>
          <w:szCs w:val="22"/>
          <w14:ligatures w14:val="standardContextual"/>
        </w:rPr>
      </w:pPr>
      <w:hyperlink w:anchor="_Toc152595296" w:history="1">
        <w:r w:rsidR="00E910EE" w:rsidRPr="00332AB5">
          <w:rPr>
            <w:rStyle w:val="Hyperlink"/>
            <w:noProof/>
          </w:rPr>
          <w:t>Tablica 22: Financijski pokazatelji statusa provedbe REACT-EU u sklopu Operativnog programa „Konkurentnost i kohezija“ od početka provedbe do kraja izvještajnog razdoblja 30. lipnja 2023. (sredstva EU, u milijunima eura i postocima od dodijeljenih sredstava)</w:t>
        </w:r>
        <w:r w:rsidR="00E910EE" w:rsidRPr="00332AB5">
          <w:rPr>
            <w:noProof/>
            <w:webHidden/>
          </w:rPr>
          <w:tab/>
        </w:r>
        <w:r w:rsidR="00E910EE" w:rsidRPr="00332AB5">
          <w:rPr>
            <w:noProof/>
            <w:webHidden/>
          </w:rPr>
          <w:fldChar w:fldCharType="begin"/>
        </w:r>
        <w:r w:rsidR="00E910EE" w:rsidRPr="00332AB5">
          <w:rPr>
            <w:noProof/>
            <w:webHidden/>
          </w:rPr>
          <w:instrText xml:space="preserve"> PAGEREF _Toc152595296 \h </w:instrText>
        </w:r>
        <w:r w:rsidR="00E910EE" w:rsidRPr="00332AB5">
          <w:rPr>
            <w:noProof/>
            <w:webHidden/>
          </w:rPr>
        </w:r>
        <w:r w:rsidR="00E910EE" w:rsidRPr="00332AB5">
          <w:rPr>
            <w:noProof/>
            <w:webHidden/>
          </w:rPr>
          <w:fldChar w:fldCharType="separate"/>
        </w:r>
        <w:r w:rsidR="005E6E46">
          <w:rPr>
            <w:noProof/>
            <w:webHidden/>
          </w:rPr>
          <w:t>65</w:t>
        </w:r>
        <w:r w:rsidR="00E910EE" w:rsidRPr="00332AB5">
          <w:rPr>
            <w:noProof/>
            <w:webHidden/>
          </w:rPr>
          <w:fldChar w:fldCharType="end"/>
        </w:r>
      </w:hyperlink>
    </w:p>
    <w:p w14:paraId="3B47B1F1" w14:textId="61EF550E" w:rsidR="00E910EE" w:rsidRPr="00332AB5" w:rsidRDefault="00310FA2" w:rsidP="00E910EE">
      <w:pPr>
        <w:pStyle w:val="TableofFigures"/>
        <w:tabs>
          <w:tab w:val="right" w:leader="dot" w:pos="9063"/>
        </w:tabs>
        <w:spacing w:after="120"/>
        <w:rPr>
          <w:rFonts w:asciiTheme="minorHAnsi" w:eastAsiaTheme="minorEastAsia" w:hAnsiTheme="minorHAnsi" w:cstheme="minorBidi"/>
          <w:noProof/>
          <w:kern w:val="2"/>
          <w:sz w:val="22"/>
          <w:szCs w:val="22"/>
          <w14:ligatures w14:val="standardContextual"/>
        </w:rPr>
      </w:pPr>
      <w:hyperlink w:anchor="_Toc152595297" w:history="1">
        <w:r w:rsidR="00E910EE" w:rsidRPr="00332AB5">
          <w:rPr>
            <w:rStyle w:val="Hyperlink"/>
            <w:noProof/>
          </w:rPr>
          <w:t>Tablica 23: Financijski pokazatelji statusa provedbe REACT-EU u sklopu Operativnog programa „Učinkoviti ljudski potencijali“ u izvještajnom razdoblju od 1. siječnja do 30. lipnja 2023. (sredstva EU, u milijunima eura i postocima od dodijeljenih sredstava)</w:t>
        </w:r>
        <w:r w:rsidR="00E910EE" w:rsidRPr="00332AB5">
          <w:rPr>
            <w:noProof/>
            <w:webHidden/>
          </w:rPr>
          <w:tab/>
        </w:r>
        <w:r w:rsidR="00E910EE" w:rsidRPr="00332AB5">
          <w:rPr>
            <w:noProof/>
            <w:webHidden/>
          </w:rPr>
          <w:fldChar w:fldCharType="begin"/>
        </w:r>
        <w:r w:rsidR="00E910EE" w:rsidRPr="00332AB5">
          <w:rPr>
            <w:noProof/>
            <w:webHidden/>
          </w:rPr>
          <w:instrText xml:space="preserve"> PAGEREF _Toc152595297 \h </w:instrText>
        </w:r>
        <w:r w:rsidR="00E910EE" w:rsidRPr="00332AB5">
          <w:rPr>
            <w:noProof/>
            <w:webHidden/>
          </w:rPr>
        </w:r>
        <w:r w:rsidR="00E910EE" w:rsidRPr="00332AB5">
          <w:rPr>
            <w:noProof/>
            <w:webHidden/>
          </w:rPr>
          <w:fldChar w:fldCharType="separate"/>
        </w:r>
        <w:r w:rsidR="005E6E46">
          <w:rPr>
            <w:noProof/>
            <w:webHidden/>
          </w:rPr>
          <w:t>66</w:t>
        </w:r>
        <w:r w:rsidR="00E910EE" w:rsidRPr="00332AB5">
          <w:rPr>
            <w:noProof/>
            <w:webHidden/>
          </w:rPr>
          <w:fldChar w:fldCharType="end"/>
        </w:r>
      </w:hyperlink>
    </w:p>
    <w:p w14:paraId="48823568" w14:textId="29601AD5" w:rsidR="00E910EE" w:rsidRPr="00332AB5" w:rsidRDefault="00310FA2" w:rsidP="00E910EE">
      <w:pPr>
        <w:pStyle w:val="TableofFigures"/>
        <w:tabs>
          <w:tab w:val="right" w:leader="dot" w:pos="9063"/>
        </w:tabs>
        <w:spacing w:after="120"/>
        <w:rPr>
          <w:rFonts w:asciiTheme="minorHAnsi" w:eastAsiaTheme="minorEastAsia" w:hAnsiTheme="minorHAnsi" w:cstheme="minorBidi"/>
          <w:noProof/>
          <w:kern w:val="2"/>
          <w:sz w:val="22"/>
          <w:szCs w:val="22"/>
          <w14:ligatures w14:val="standardContextual"/>
        </w:rPr>
      </w:pPr>
      <w:hyperlink w:anchor="_Toc152595298" w:history="1">
        <w:r w:rsidR="00E910EE" w:rsidRPr="00332AB5">
          <w:rPr>
            <w:rStyle w:val="Hyperlink"/>
            <w:noProof/>
          </w:rPr>
          <w:t>Tablica 24: Financijski pokazatelji statusa provedbe REACT-EU u sklopu Operativnog programa „Učinkoviti ljudski potencijali“ od početka provedbe do kraja izvještajnog razdoblja 30. lipnja 2023. (sredstva EU, u milijunima eura i postocima od dodijeljenih sredstava)</w:t>
        </w:r>
        <w:r w:rsidR="00E910EE" w:rsidRPr="00332AB5">
          <w:rPr>
            <w:noProof/>
            <w:webHidden/>
          </w:rPr>
          <w:tab/>
        </w:r>
        <w:r w:rsidR="00E910EE" w:rsidRPr="00332AB5">
          <w:rPr>
            <w:noProof/>
            <w:webHidden/>
          </w:rPr>
          <w:fldChar w:fldCharType="begin"/>
        </w:r>
        <w:r w:rsidR="00E910EE" w:rsidRPr="00332AB5">
          <w:rPr>
            <w:noProof/>
            <w:webHidden/>
          </w:rPr>
          <w:instrText xml:space="preserve"> PAGEREF _Toc152595298 \h </w:instrText>
        </w:r>
        <w:r w:rsidR="00E910EE" w:rsidRPr="00332AB5">
          <w:rPr>
            <w:noProof/>
            <w:webHidden/>
          </w:rPr>
        </w:r>
        <w:r w:rsidR="00E910EE" w:rsidRPr="00332AB5">
          <w:rPr>
            <w:noProof/>
            <w:webHidden/>
          </w:rPr>
          <w:fldChar w:fldCharType="separate"/>
        </w:r>
        <w:r w:rsidR="005E6E46">
          <w:rPr>
            <w:noProof/>
            <w:webHidden/>
          </w:rPr>
          <w:t>66</w:t>
        </w:r>
        <w:r w:rsidR="00E910EE" w:rsidRPr="00332AB5">
          <w:rPr>
            <w:noProof/>
            <w:webHidden/>
          </w:rPr>
          <w:fldChar w:fldCharType="end"/>
        </w:r>
      </w:hyperlink>
    </w:p>
    <w:p w14:paraId="4647B2DE" w14:textId="71A83A45" w:rsidR="00E910EE" w:rsidRPr="00332AB5" w:rsidRDefault="00310FA2" w:rsidP="00E910EE">
      <w:pPr>
        <w:pStyle w:val="TableofFigures"/>
        <w:tabs>
          <w:tab w:val="right" w:leader="dot" w:pos="9063"/>
        </w:tabs>
        <w:spacing w:after="120"/>
        <w:rPr>
          <w:rFonts w:asciiTheme="minorHAnsi" w:eastAsiaTheme="minorEastAsia" w:hAnsiTheme="minorHAnsi" w:cstheme="minorBidi"/>
          <w:noProof/>
          <w:kern w:val="2"/>
          <w:sz w:val="22"/>
          <w:szCs w:val="22"/>
          <w14:ligatures w14:val="standardContextual"/>
        </w:rPr>
      </w:pPr>
      <w:hyperlink w:anchor="_Toc152595299" w:history="1">
        <w:r w:rsidR="00E910EE" w:rsidRPr="00332AB5">
          <w:rPr>
            <w:rStyle w:val="Hyperlink"/>
            <w:noProof/>
          </w:rPr>
          <w:t>Tablica 25: Financijski pokazatelji statusa provedbe instrumenata NEXT GENERATION EU u sklopu Programa ruralnog razvoja u izvještajnom razdoblju od 1. siječnja do 30. lipnja 2023. (sredstva EU, u milijunima eura i postocima od dodijeljenih sredstava)</w:t>
        </w:r>
        <w:r w:rsidR="00E910EE" w:rsidRPr="00332AB5">
          <w:rPr>
            <w:noProof/>
            <w:webHidden/>
          </w:rPr>
          <w:tab/>
        </w:r>
        <w:r w:rsidR="00E910EE" w:rsidRPr="00332AB5">
          <w:rPr>
            <w:noProof/>
            <w:webHidden/>
          </w:rPr>
          <w:fldChar w:fldCharType="begin"/>
        </w:r>
        <w:r w:rsidR="00E910EE" w:rsidRPr="00332AB5">
          <w:rPr>
            <w:noProof/>
            <w:webHidden/>
          </w:rPr>
          <w:instrText xml:space="preserve"> PAGEREF _Toc152595299 \h </w:instrText>
        </w:r>
        <w:r w:rsidR="00E910EE" w:rsidRPr="00332AB5">
          <w:rPr>
            <w:noProof/>
            <w:webHidden/>
          </w:rPr>
        </w:r>
        <w:r w:rsidR="00E910EE" w:rsidRPr="00332AB5">
          <w:rPr>
            <w:noProof/>
            <w:webHidden/>
          </w:rPr>
          <w:fldChar w:fldCharType="separate"/>
        </w:r>
        <w:r w:rsidR="005E6E46">
          <w:rPr>
            <w:noProof/>
            <w:webHidden/>
          </w:rPr>
          <w:t>67</w:t>
        </w:r>
        <w:r w:rsidR="00E910EE" w:rsidRPr="00332AB5">
          <w:rPr>
            <w:noProof/>
            <w:webHidden/>
          </w:rPr>
          <w:fldChar w:fldCharType="end"/>
        </w:r>
      </w:hyperlink>
    </w:p>
    <w:p w14:paraId="47A5D18E" w14:textId="1B1C1F2A" w:rsidR="00E910EE" w:rsidRPr="00332AB5" w:rsidRDefault="00310FA2" w:rsidP="00E910EE">
      <w:pPr>
        <w:pStyle w:val="TableofFigures"/>
        <w:tabs>
          <w:tab w:val="right" w:leader="dot" w:pos="9063"/>
        </w:tabs>
        <w:spacing w:after="120"/>
        <w:rPr>
          <w:rFonts w:asciiTheme="minorHAnsi" w:eastAsiaTheme="minorEastAsia" w:hAnsiTheme="minorHAnsi" w:cstheme="minorBidi"/>
          <w:noProof/>
          <w:kern w:val="2"/>
          <w:sz w:val="22"/>
          <w:szCs w:val="22"/>
          <w14:ligatures w14:val="standardContextual"/>
        </w:rPr>
      </w:pPr>
      <w:hyperlink w:anchor="_Toc152595300" w:history="1">
        <w:r w:rsidR="00E910EE" w:rsidRPr="00332AB5">
          <w:rPr>
            <w:rStyle w:val="Hyperlink"/>
            <w:noProof/>
          </w:rPr>
          <w:t>Tablica 26: Financijski pokazatelji statusa provedbe instrumenata NEXT GENERATION EU u sklopu Programa ruralnog razvoja od početka provedbe do kraja izvještajnog razdoblja 30. lipnja 2023. (sredstva EU, u milijunima eura i postocima od dodijeljenih sredstava)</w:t>
        </w:r>
        <w:r w:rsidR="00E910EE" w:rsidRPr="00332AB5">
          <w:rPr>
            <w:noProof/>
            <w:webHidden/>
          </w:rPr>
          <w:tab/>
        </w:r>
        <w:r w:rsidR="00E910EE" w:rsidRPr="00332AB5">
          <w:rPr>
            <w:noProof/>
            <w:webHidden/>
          </w:rPr>
          <w:fldChar w:fldCharType="begin"/>
        </w:r>
        <w:r w:rsidR="00E910EE" w:rsidRPr="00332AB5">
          <w:rPr>
            <w:noProof/>
            <w:webHidden/>
          </w:rPr>
          <w:instrText xml:space="preserve"> PAGEREF _Toc152595300 \h </w:instrText>
        </w:r>
        <w:r w:rsidR="00E910EE" w:rsidRPr="00332AB5">
          <w:rPr>
            <w:noProof/>
            <w:webHidden/>
          </w:rPr>
        </w:r>
        <w:r w:rsidR="00E910EE" w:rsidRPr="00332AB5">
          <w:rPr>
            <w:noProof/>
            <w:webHidden/>
          </w:rPr>
          <w:fldChar w:fldCharType="separate"/>
        </w:r>
        <w:r w:rsidR="005E6E46">
          <w:rPr>
            <w:noProof/>
            <w:webHidden/>
          </w:rPr>
          <w:t>68</w:t>
        </w:r>
        <w:r w:rsidR="00E910EE" w:rsidRPr="00332AB5">
          <w:rPr>
            <w:noProof/>
            <w:webHidden/>
          </w:rPr>
          <w:fldChar w:fldCharType="end"/>
        </w:r>
      </w:hyperlink>
    </w:p>
    <w:p w14:paraId="2A3DDF2C" w14:textId="3F65056F" w:rsidR="00B17206" w:rsidRPr="00E910EE" w:rsidRDefault="008C2CC3" w:rsidP="00E910EE">
      <w:pPr>
        <w:tabs>
          <w:tab w:val="right" w:leader="dot" w:pos="9923"/>
          <w:tab w:val="right" w:leader="dot" w:pos="10206"/>
        </w:tabs>
        <w:spacing w:before="120" w:after="120"/>
        <w:ind w:right="454"/>
      </w:pPr>
      <w:r w:rsidRPr="00332AB5">
        <w:fldChar w:fldCharType="end"/>
      </w:r>
    </w:p>
    <w:sectPr w:rsidR="00B17206" w:rsidRPr="00E910EE" w:rsidSect="005804C2">
      <w:pgSz w:w="11907" w:h="16839"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191E3" w14:textId="77777777" w:rsidR="00704E80" w:rsidRDefault="00704E80" w:rsidP="00121C93">
      <w:r>
        <w:separator/>
      </w:r>
    </w:p>
    <w:p w14:paraId="51566E02" w14:textId="77777777" w:rsidR="00704E80" w:rsidRDefault="00704E80"/>
  </w:endnote>
  <w:endnote w:type="continuationSeparator" w:id="0">
    <w:p w14:paraId="1F46C7DE" w14:textId="77777777" w:rsidR="00704E80" w:rsidRDefault="00704E80" w:rsidP="00121C93">
      <w:r>
        <w:continuationSeparator/>
      </w:r>
    </w:p>
    <w:p w14:paraId="796E64FD" w14:textId="77777777" w:rsidR="00704E80" w:rsidRDefault="00704E80"/>
  </w:endnote>
  <w:endnote w:type="continuationNotice" w:id="1">
    <w:p w14:paraId="7E28D7BA" w14:textId="77777777" w:rsidR="00704E80" w:rsidRDefault="00704E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wis721 Cn BT">
    <w:altName w:val="Arial"/>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EE"/>
    <w:family w:val="swiss"/>
    <w:pitch w:val="variable"/>
    <w:sig w:usb0="00000007"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CF3CE" w14:textId="77777777" w:rsidR="00844B16" w:rsidRPr="004F7BEB" w:rsidRDefault="00844B16" w:rsidP="00691271">
    <w:pPr>
      <w:pStyle w:val="Footer"/>
      <w:pBdr>
        <w:top w:val="single" w:sz="4" w:space="1" w:color="404040"/>
      </w:pBdr>
      <w:jc w:val="center"/>
      <w:rPr>
        <w:color w:val="404040"/>
        <w:spacing w:val="20"/>
      </w:rPr>
    </w:pPr>
    <w:r w:rsidRPr="00B4080D">
      <w:rPr>
        <w:color w:val="404040"/>
        <w:spacing w:val="20"/>
      </w:rPr>
      <w:t>Banski dvori | Trg Sv. Marka 2</w:t>
    </w:r>
    <w:r w:rsidRPr="004F7BEB">
      <w:rPr>
        <w:color w:val="404040"/>
        <w:spacing w:val="20"/>
      </w:rPr>
      <w:t xml:space="preserve">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67A3C" w14:textId="77777777" w:rsidR="00844B16" w:rsidRPr="004F7BEB" w:rsidRDefault="00844B16" w:rsidP="00691271">
    <w:pPr>
      <w:pStyle w:val="Footer"/>
      <w:pBdr>
        <w:top w:val="single" w:sz="4" w:space="1" w:color="404040"/>
      </w:pBdr>
      <w:jc w:val="center"/>
      <w:rPr>
        <w:color w:val="404040"/>
        <w:spacing w:val="20"/>
      </w:rPr>
    </w:pPr>
    <w:r w:rsidRPr="00B4080D">
      <w:rPr>
        <w:color w:val="404040"/>
        <w:spacing w:val="20"/>
      </w:rPr>
      <w:t>Banski dvori | Trg Sv. Marka 2</w:t>
    </w:r>
    <w:r w:rsidRPr="004F7BEB">
      <w:rPr>
        <w:color w:val="404040"/>
        <w:spacing w:val="20"/>
      </w:rPr>
      <w:t xml:space="preserve">  | 10000 Zagreb | tel. 01 4569 222 | vlada.gov.hr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5083111"/>
      <w:docPartObj>
        <w:docPartGallery w:val="Page Numbers (Bottom of Page)"/>
        <w:docPartUnique/>
      </w:docPartObj>
    </w:sdtPr>
    <w:sdtEndPr>
      <w:rPr>
        <w:noProof/>
      </w:rPr>
    </w:sdtEndPr>
    <w:sdtContent>
      <w:p w14:paraId="65DFE0E6" w14:textId="04B1D2F8" w:rsidR="0071329B" w:rsidRDefault="0071329B">
        <w:pPr>
          <w:pStyle w:val="Footer"/>
          <w:jc w:val="right"/>
        </w:pPr>
        <w:r>
          <w:fldChar w:fldCharType="begin"/>
        </w:r>
        <w:r>
          <w:instrText xml:space="preserve"> PAGE   \* MERGEFORMAT </w:instrText>
        </w:r>
        <w:r>
          <w:fldChar w:fldCharType="separate"/>
        </w:r>
        <w:r w:rsidR="00310FA2">
          <w:rPr>
            <w:noProof/>
          </w:rPr>
          <w:t>2</w:t>
        </w:r>
        <w:r>
          <w:rPr>
            <w:noProof/>
          </w:rPr>
          <w:fldChar w:fldCharType="end"/>
        </w:r>
      </w:p>
    </w:sdtContent>
  </w:sdt>
  <w:p w14:paraId="3A1F327F" w14:textId="77777777" w:rsidR="000438F4" w:rsidRPr="00AF0EFC" w:rsidRDefault="000438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BEE4B" w14:textId="77777777" w:rsidR="0071329B" w:rsidRDefault="0071329B">
    <w:pPr>
      <w:pStyle w:val="Footer"/>
      <w:jc w:val="right"/>
    </w:pPr>
  </w:p>
  <w:p w14:paraId="09B16454" w14:textId="77777777" w:rsidR="0071329B" w:rsidRDefault="007132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121920"/>
      <w:docPartObj>
        <w:docPartGallery w:val="Page Numbers (Bottom of Page)"/>
        <w:docPartUnique/>
      </w:docPartObj>
    </w:sdtPr>
    <w:sdtEndPr/>
    <w:sdtContent>
      <w:p w14:paraId="22058ECC" w14:textId="149E1B29" w:rsidR="0071329B" w:rsidRDefault="0071329B">
        <w:pPr>
          <w:pStyle w:val="Footer"/>
          <w:jc w:val="right"/>
        </w:pPr>
        <w:r>
          <w:rPr>
            <w:lang w:val="en-US"/>
          </w:rPr>
          <w:fldChar w:fldCharType="begin"/>
        </w:r>
        <w:r>
          <w:instrText>PAGE   \* MERGEFORMAT</w:instrText>
        </w:r>
        <w:r>
          <w:rPr>
            <w:lang w:val="en-US"/>
          </w:rPr>
          <w:fldChar w:fldCharType="separate"/>
        </w:r>
        <w:r w:rsidR="00310FA2">
          <w:rPr>
            <w:noProof/>
          </w:rPr>
          <w:t>4</w:t>
        </w:r>
        <w:r>
          <w:rPr>
            <w:noProof/>
          </w:rPr>
          <w:fldChar w:fldCharType="end"/>
        </w:r>
      </w:p>
    </w:sdtContent>
  </w:sdt>
  <w:p w14:paraId="4A43F729" w14:textId="77777777" w:rsidR="0071329B" w:rsidRDefault="007132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2C166" w14:textId="77777777" w:rsidR="00704E80" w:rsidRDefault="00704E80" w:rsidP="00121C93">
      <w:r>
        <w:separator/>
      </w:r>
    </w:p>
    <w:p w14:paraId="0E32412C" w14:textId="77777777" w:rsidR="00704E80" w:rsidRDefault="00704E80"/>
  </w:footnote>
  <w:footnote w:type="continuationSeparator" w:id="0">
    <w:p w14:paraId="0BFCD0D2" w14:textId="77777777" w:rsidR="00704E80" w:rsidRDefault="00704E80" w:rsidP="00121C93">
      <w:r>
        <w:continuationSeparator/>
      </w:r>
    </w:p>
    <w:p w14:paraId="7CE3B684" w14:textId="77777777" w:rsidR="00704E80" w:rsidRDefault="00704E80"/>
  </w:footnote>
  <w:footnote w:type="continuationNotice" w:id="1">
    <w:p w14:paraId="4A3DB96B" w14:textId="77777777" w:rsidR="00704E80" w:rsidRDefault="00704E80"/>
  </w:footnote>
  <w:footnote w:id="2">
    <w:p w14:paraId="191E8B87" w14:textId="77777777" w:rsidR="0071329B" w:rsidRPr="003A7C61" w:rsidRDefault="0071329B" w:rsidP="00B60A46">
      <w:pPr>
        <w:pStyle w:val="FootnoteText"/>
        <w:jc w:val="both"/>
      </w:pPr>
      <w:r w:rsidRPr="003A7C61">
        <w:rPr>
          <w:rStyle w:val="FootnoteReference"/>
        </w:rPr>
        <w:footnoteRef/>
      </w:r>
      <w:r w:rsidRPr="003A7C61">
        <w:t xml:space="preserve"> OPKK – Operativni program Konkurentnost i kohezija; OPULJP – Operativni program Učinkoviti ljudski potencijali; PRR – Program ruralnog razvoja; OPPiR – Operativni program za pomorstvo i ribarstvo.</w:t>
      </w:r>
    </w:p>
  </w:footnote>
  <w:footnote w:id="3">
    <w:p w14:paraId="640985F3" w14:textId="415AA621" w:rsidR="0071329B" w:rsidRPr="00595E11" w:rsidRDefault="0071329B" w:rsidP="00235A74">
      <w:pPr>
        <w:pStyle w:val="FootnoteText"/>
        <w:jc w:val="both"/>
      </w:pPr>
      <w:r>
        <w:rPr>
          <w:rStyle w:val="FootnoteReference"/>
        </w:rPr>
        <w:footnoteRef/>
      </w:r>
      <w:r w:rsidRPr="00B857AE">
        <w:t xml:space="preserve"> </w:t>
      </w:r>
      <w:r w:rsidRPr="00B4085A">
        <w:t xml:space="preserve">Vrijednost indeksa </w:t>
      </w:r>
      <w:r w:rsidRPr="00945AB6">
        <w:t xml:space="preserve">na </w:t>
      </w:r>
      <w:r w:rsidRPr="004A64D5">
        <w:t>3</w:t>
      </w:r>
      <w:r w:rsidR="00891C6A">
        <w:t>1</w:t>
      </w:r>
      <w:r w:rsidRPr="004A64D5">
        <w:t>.</w:t>
      </w:r>
      <w:r w:rsidR="00891C6A">
        <w:t>12</w:t>
      </w:r>
      <w:r w:rsidR="000351E8">
        <w:t>.</w:t>
      </w:r>
      <w:r w:rsidRPr="004A64D5">
        <w:t>202</w:t>
      </w:r>
      <w:r w:rsidR="000351E8">
        <w:t>2</w:t>
      </w:r>
      <w:r w:rsidRPr="004A64D5">
        <w:t xml:space="preserve">. iznosi </w:t>
      </w:r>
      <w:r w:rsidRPr="00EB65CC">
        <w:t>100,00.</w:t>
      </w:r>
    </w:p>
  </w:footnote>
  <w:footnote w:id="4">
    <w:p w14:paraId="199F92BD" w14:textId="77777777" w:rsidR="0071329B" w:rsidRPr="00F76044" w:rsidRDefault="0071329B" w:rsidP="00F76044">
      <w:pPr>
        <w:pStyle w:val="FootnoteText"/>
        <w:jc w:val="both"/>
      </w:pPr>
      <w:r w:rsidRPr="00E03D0D">
        <w:rPr>
          <w:rStyle w:val="FootnoteReference"/>
        </w:rPr>
        <w:footnoteRef/>
      </w:r>
      <w:r w:rsidRPr="00E03D0D">
        <w:t xml:space="preserve"> Sredstva alocirana za n godinu moraju se potrošiti najkasnije tri godine nakon n godine. S obzirom da je zadnja godina ovog financijskog razdoblja 2013. godina,</w:t>
      </w:r>
      <w:r>
        <w:t xml:space="preserve"> </w:t>
      </w:r>
      <w:r w:rsidRPr="00E03D0D">
        <w:t>sredstva su bila raspoloživa do 31. prosinca 2016. Iznimno, za OPR se primjenjuje pravilo n+2 te su sredstva bila raspoloživa do 31. prosinca</w:t>
      </w:r>
      <w:r w:rsidRPr="00B857AE">
        <w:t xml:space="preserve"> 2015.</w:t>
      </w:r>
    </w:p>
  </w:footnote>
  <w:footnote w:id="5">
    <w:p w14:paraId="1F42EDAA" w14:textId="77777777" w:rsidR="00786694" w:rsidRPr="00B14412" w:rsidRDefault="00786694" w:rsidP="00786694">
      <w:pPr>
        <w:pStyle w:val="FootnoteText"/>
        <w:jc w:val="both"/>
      </w:pPr>
      <w:r w:rsidRPr="003A7C61">
        <w:rPr>
          <w:rStyle w:val="FootnoteReference"/>
        </w:rPr>
        <w:footnoteRef/>
      </w:r>
      <w:r w:rsidRPr="00B857AE">
        <w:t xml:space="preserve"> </w:t>
      </w:r>
      <w:r w:rsidRPr="003A7C61">
        <w:t xml:space="preserve">OPP – Operativni program Promet; OPZO – Operativni program Zaštita okoliša; OPRK – Operativni program Regionalna konkurentnost; OPRLJP – Operativni program Razvoj </w:t>
      </w:r>
      <w:r w:rsidRPr="00B14412">
        <w:t>ljudskih potencijala; OPR – Operativni program za ribarstvo.</w:t>
      </w:r>
    </w:p>
  </w:footnote>
  <w:footnote w:id="6">
    <w:p w14:paraId="0E9BB21F" w14:textId="77777777" w:rsidR="00AE361B" w:rsidRPr="00B14412" w:rsidRDefault="00AE361B" w:rsidP="00786694">
      <w:pPr>
        <w:pStyle w:val="FootnoteText"/>
        <w:jc w:val="both"/>
      </w:pPr>
      <w:r w:rsidRPr="00B14412">
        <w:rPr>
          <w:rStyle w:val="FootnoteReference"/>
        </w:rPr>
        <w:footnoteRef/>
      </w:r>
      <w:r w:rsidRPr="00B14412">
        <w:rPr>
          <w:lang w:val="de-DE"/>
        </w:rPr>
        <w:t xml:space="preserve"> </w:t>
      </w:r>
      <w:r w:rsidRPr="00B14412">
        <w:t>Obuhvaća Nacionalni program, Nuklearnu sigurnost, članarine za programe Unije te Prijelazni instrument.</w:t>
      </w:r>
    </w:p>
  </w:footnote>
  <w:footnote w:id="7">
    <w:p w14:paraId="747972A8" w14:textId="77777777" w:rsidR="00AE361B" w:rsidRPr="00595E11" w:rsidRDefault="00AE361B" w:rsidP="00786694">
      <w:pPr>
        <w:pStyle w:val="FootnoteText"/>
        <w:jc w:val="both"/>
      </w:pPr>
      <w:r w:rsidRPr="00B14412">
        <w:rPr>
          <w:rStyle w:val="FootnoteReference"/>
        </w:rPr>
        <w:footnoteRef/>
      </w:r>
      <w:r w:rsidRPr="00B14412">
        <w:t xml:space="preserve"> Obuhvaća programe prekogranične suradnje s državama nečlanicama Europske unije za godišnje</w:t>
      </w:r>
      <w:r w:rsidRPr="00075461">
        <w:t xml:space="preserve"> alokacije 2007. – 2013. i Transnacionalne programe za godišnje alokacije 2007. – 2009.</w:t>
      </w:r>
    </w:p>
  </w:footnote>
  <w:footnote w:id="8">
    <w:p w14:paraId="5A007405" w14:textId="77777777" w:rsidR="00AE361B" w:rsidRPr="00595E11" w:rsidRDefault="00AE361B" w:rsidP="00786694">
      <w:pPr>
        <w:pStyle w:val="FootnoteText"/>
        <w:jc w:val="both"/>
      </w:pPr>
      <w:r w:rsidRPr="00075461">
        <w:rPr>
          <w:rStyle w:val="FootnoteReference"/>
        </w:rPr>
        <w:footnoteRef/>
      </w:r>
      <w:r w:rsidRPr="00B857AE">
        <w:t xml:space="preserve"> </w:t>
      </w:r>
      <w:r w:rsidRPr="00B96C19">
        <w:t>Inicijalno dodijeljena sredstva, prije automatskog opoziva sredstava iznose 182.920.793 eura.</w:t>
      </w:r>
    </w:p>
  </w:footnote>
  <w:footnote w:id="9">
    <w:p w14:paraId="77A936C8" w14:textId="77777777" w:rsidR="0071329B" w:rsidRPr="00D15A30" w:rsidRDefault="0071329B" w:rsidP="00A024D8">
      <w:pPr>
        <w:pStyle w:val="FootnoteText"/>
        <w:jc w:val="both"/>
      </w:pPr>
      <w:r>
        <w:rPr>
          <w:rStyle w:val="FootnoteReference"/>
        </w:rPr>
        <w:footnoteRef/>
      </w:r>
      <w:r>
        <w:t xml:space="preserve"> </w:t>
      </w:r>
      <w:r w:rsidRPr="000F20F5">
        <w:t>Prioritetna os 1: Jačanje gospodarstva primjenom istraživanja i inovacija</w:t>
      </w:r>
      <w:r>
        <w:t xml:space="preserve">; </w:t>
      </w:r>
      <w:r w:rsidRPr="000F20F5">
        <w:t>Prioritetna os 2: Korištenje informacijske i komunikacijske tehnologije</w:t>
      </w:r>
      <w:r>
        <w:t xml:space="preserve">; </w:t>
      </w:r>
      <w:r w:rsidRPr="000F20F5">
        <w:t>Prioritetna os 3: Poslovna konkurentnost</w:t>
      </w:r>
      <w:r>
        <w:t xml:space="preserve">; </w:t>
      </w:r>
      <w:r w:rsidRPr="000F20F5">
        <w:t>Prioritetna os 4: Promicanje energetske učinkovitosti i obnovljivih izvora energije</w:t>
      </w:r>
      <w:r>
        <w:t xml:space="preserve">; </w:t>
      </w:r>
      <w:r w:rsidRPr="000F20F5">
        <w:t>Prioritetna os 5: Klimatske promjene i upravljanje rizicima</w:t>
      </w:r>
      <w:r>
        <w:t xml:space="preserve">; </w:t>
      </w:r>
      <w:r w:rsidRPr="000F20F5">
        <w:t>Prioritetna os 6: Zaštita okoliša i održivost resursa</w:t>
      </w:r>
      <w:r>
        <w:t xml:space="preserve">; </w:t>
      </w:r>
      <w:r w:rsidRPr="000F20F5">
        <w:t>Prioritetna os 7: Povezanost i mobilnost</w:t>
      </w:r>
      <w:r>
        <w:t xml:space="preserve">; </w:t>
      </w:r>
      <w:r w:rsidRPr="000F20F5">
        <w:t>Prioritetna os 8: Socijalno uključivanje i zdravlje</w:t>
      </w:r>
      <w:r>
        <w:t xml:space="preserve">; </w:t>
      </w:r>
      <w:r w:rsidRPr="000F20F5">
        <w:t>Prioritetna os 9: Obrazovanje, vještine i cjeloživotno učenje</w:t>
      </w:r>
      <w:r>
        <w:t xml:space="preserve">; </w:t>
      </w:r>
      <w:r w:rsidRPr="000F20F5">
        <w:t xml:space="preserve">Prioritetna os 10: Tehnička </w:t>
      </w:r>
      <w:r w:rsidRPr="00EB65CC">
        <w:t>pomoć;</w:t>
      </w:r>
      <w:r w:rsidRPr="00B857AE">
        <w:t xml:space="preserve"> </w:t>
      </w:r>
      <w:r w:rsidRPr="00EB65CC">
        <w:t>Prioritetna os 12: Sanacija štete od potresa.</w:t>
      </w:r>
    </w:p>
  </w:footnote>
  <w:footnote w:id="10">
    <w:p w14:paraId="2C583ED3" w14:textId="509DCBFB" w:rsidR="00FC4BD8" w:rsidRDefault="00FC4BD8">
      <w:pPr>
        <w:pStyle w:val="FootnoteText"/>
      </w:pPr>
      <w:r w:rsidRPr="0012095B">
        <w:rPr>
          <w:rStyle w:val="FootnoteReference"/>
        </w:rPr>
        <w:footnoteRef/>
      </w:r>
      <w:r w:rsidRPr="0012095B">
        <w:t xml:space="preserve"> Prilikom računanja geografske rasprostranjenosti projekata nisu uzeti u obzir iznosi koji se odnose na financijske instrumente i Tehničku pomoć za tijela u sustavu.</w:t>
      </w:r>
    </w:p>
  </w:footnote>
  <w:footnote w:id="11">
    <w:p w14:paraId="31A7968F" w14:textId="77777777" w:rsidR="0071329B" w:rsidRPr="007B6AB9" w:rsidRDefault="0071329B" w:rsidP="00FA3316">
      <w:pPr>
        <w:jc w:val="both"/>
        <w:rPr>
          <w:bCs/>
          <w:sz w:val="16"/>
          <w:szCs w:val="18"/>
        </w:rPr>
      </w:pPr>
      <w:r>
        <w:rPr>
          <w:rStyle w:val="FootnoteReference"/>
        </w:rPr>
        <w:footnoteRef/>
      </w:r>
      <w:r w:rsidRPr="00B857AE">
        <w:t xml:space="preserve"> </w:t>
      </w:r>
      <w:r w:rsidRPr="007B6AB9">
        <w:t>Prioritetna os 1: Visoka zapošljivost i mobilnost radne snage</w:t>
      </w:r>
      <w:r>
        <w:t xml:space="preserve">; </w:t>
      </w:r>
      <w:r w:rsidRPr="000F20F5">
        <w:t xml:space="preserve">Prioritetna os 2: </w:t>
      </w:r>
      <w:r w:rsidRPr="007B6AB9">
        <w:t>Socijalno uključivanje</w:t>
      </w:r>
      <w:r>
        <w:t xml:space="preserve">; </w:t>
      </w:r>
      <w:r w:rsidRPr="000F20F5">
        <w:t xml:space="preserve">Prioritetna os 3: </w:t>
      </w:r>
      <w:r w:rsidRPr="007B6AB9">
        <w:t>Obrazovanje i cjeloživotno učenje</w:t>
      </w:r>
      <w:r>
        <w:t xml:space="preserve">; </w:t>
      </w:r>
      <w:r w:rsidRPr="000F20F5">
        <w:t xml:space="preserve">Prioritetna os 4: </w:t>
      </w:r>
      <w:r w:rsidRPr="007B6AB9">
        <w:t>Dobro upravljanje</w:t>
      </w:r>
      <w:r>
        <w:t>; Prioritetna os 5</w:t>
      </w:r>
      <w:r w:rsidRPr="000F20F5">
        <w:t>: Tehnička pomoć</w:t>
      </w:r>
      <w:r>
        <w:t>.</w:t>
      </w:r>
    </w:p>
  </w:footnote>
  <w:footnote w:id="12">
    <w:p w14:paraId="0547C831" w14:textId="15E440C6" w:rsidR="0071329B" w:rsidRPr="009D07D6" w:rsidRDefault="0071329B" w:rsidP="00377A79">
      <w:pPr>
        <w:pStyle w:val="FootnoteText"/>
        <w:jc w:val="both"/>
      </w:pPr>
      <w:r w:rsidRPr="000F1DE9">
        <w:rPr>
          <w:rStyle w:val="FootnoteReference"/>
        </w:rPr>
        <w:footnoteRef/>
      </w:r>
      <w:r w:rsidRPr="00B857AE">
        <w:t xml:space="preserve"> </w:t>
      </w:r>
      <w:r w:rsidRPr="009D07D6">
        <w:t xml:space="preserve">Ne obuhvaća mjere </w:t>
      </w:r>
      <w:r w:rsidRPr="006F4085">
        <w:t>1, 2, 10.1, 11</w:t>
      </w:r>
      <w:r w:rsidRPr="009D07D6">
        <w:t>, 13, 14 (IAKS), 18 i 20 – otvoreni postupci dodjele/pozivi.</w:t>
      </w:r>
    </w:p>
  </w:footnote>
  <w:footnote w:id="13">
    <w:p w14:paraId="44B836FA" w14:textId="1B576D9F" w:rsidR="0071329B" w:rsidRPr="007B6AB9" w:rsidRDefault="0071329B" w:rsidP="00377A79">
      <w:pPr>
        <w:jc w:val="both"/>
        <w:rPr>
          <w:bCs/>
          <w:sz w:val="16"/>
          <w:szCs w:val="18"/>
        </w:rPr>
      </w:pPr>
      <w:r w:rsidRPr="001649F4">
        <w:rPr>
          <w:rStyle w:val="FootnoteReference"/>
        </w:rPr>
        <w:footnoteRef/>
      </w:r>
      <w:r w:rsidRPr="00B857AE">
        <w:t xml:space="preserve"> </w:t>
      </w:r>
      <w:r w:rsidRPr="001649F4">
        <w:rPr>
          <w:szCs w:val="18"/>
        </w:rPr>
        <w:t>M 1: Prenošenje znanja i informiranja, M 2: Savjetodavne službe, službe za upravljanje poljoprivrednim gospodarstvom i pomoć poljoprivrednim gospodarstvima, M 3: Sustavi kvalitete za poljoprivredne proizvode i hranu, M 4: Ulaganja u fizičku imovinu, M 5: Obnavljanje poljoprivrednog proizvodnog potencijala narušenog elementarnim nepogodama i katastrofalnim događajima te uvođenje odgovarajućih preventivnih aktivnosti, M 6: Razvoj poljoprivrednih gospodarstava i poslovanja, M 7: Temeljne usluge i obnova sela u ruralnim područjima, M 8: Ulaganja u razvoj šumskih područja i poboljšanje održivosti šuma, M 9: Uspostava proizvođačkih grupa i organizacija, M 10: Poljoprivreda, okoliš i klimatske promjene, M 11: Ekološki uzgoj, M 13: Plaćanja područjima s prirodnim ograničenjima ili ostalim posebnim ograničenjima, M 14: Dobrobit životinja, M 16: Suradnja, M 17: Upravljanje rizicima, M 18: Financiranje dodatnih nacionalnih izravnih plaćanja za Hrvatsku, M 19: LEADER (CLLD), M 20: Tehnička pomoć</w:t>
      </w:r>
      <w:r>
        <w:rPr>
          <w:szCs w:val="18"/>
        </w:rPr>
        <w:t>, M 21:</w:t>
      </w:r>
      <w:r w:rsidRPr="00B857AE">
        <w:t xml:space="preserve"> </w:t>
      </w:r>
      <w:r w:rsidRPr="00DC2A18">
        <w:rPr>
          <w:szCs w:val="18"/>
        </w:rPr>
        <w:t xml:space="preserve">Izvanredna privremena </w:t>
      </w:r>
      <w:r w:rsidRPr="0012095B">
        <w:rPr>
          <w:szCs w:val="18"/>
        </w:rPr>
        <w:t>potpora poljoprivrednicima i MSP-ovima koji su posebno pogođeni krizom uzrokovanom bolešću COVID-19</w:t>
      </w:r>
      <w:r w:rsidR="00254A1F" w:rsidRPr="0012095B">
        <w:rPr>
          <w:szCs w:val="18"/>
        </w:rPr>
        <w:t>, M 22: Izvanredna privremena potpora poljoprivrednicima i MSP-ovima koji su posebno pogođeni učincima invazije Rusije na Ukrajinu</w:t>
      </w:r>
      <w:r w:rsidRPr="0012095B">
        <w:rPr>
          <w:szCs w:val="18"/>
        </w:rPr>
        <w:t>.</w:t>
      </w:r>
    </w:p>
  </w:footnote>
  <w:footnote w:id="14">
    <w:p w14:paraId="6A21EF08" w14:textId="77777777" w:rsidR="0071329B" w:rsidRPr="009453D9" w:rsidRDefault="0071329B" w:rsidP="00F90BA3">
      <w:pPr>
        <w:jc w:val="both"/>
        <w:rPr>
          <w:sz w:val="18"/>
          <w:szCs w:val="18"/>
        </w:rPr>
      </w:pPr>
      <w:r>
        <w:rPr>
          <w:rStyle w:val="FootnoteReference"/>
        </w:rPr>
        <w:footnoteRef/>
      </w:r>
      <w:r w:rsidRPr="00B857AE">
        <w:t xml:space="preserve"> </w:t>
      </w:r>
      <w:r w:rsidRPr="00F323C6">
        <w:rPr>
          <w:szCs w:val="18"/>
        </w:rPr>
        <w:t>Prioritet Unije 1: Poticanje okolišnog održivog, resursno učinkovitog, inovativnog, konkurentnog i na znanju utemeljenog ribarstva, Prioritet Unije 2: Poticanje okolišno održive, resursno učinkovite, inovativne, konkurentne i na znanju utemeljene akvakulture, Prioritet Unije 3: Poticanje provedbe ZRP-a, Prioritet Unije 4: Povećanje zaposlenosti i teritorijalne kohezije, Prioritet Unije 5: Poticanje stavljanja na tržište i prerade, Prioritet Unije 6: Poticanje provedbe integrirane pomorske politike</w:t>
      </w:r>
      <w:r>
        <w:rPr>
          <w:szCs w:val="18"/>
        </w:rPr>
        <w:t>, TP: Tehnička pomoć</w:t>
      </w:r>
      <w:r w:rsidRPr="00F323C6">
        <w:rPr>
          <w:szCs w:val="18"/>
        </w:rPr>
        <w:t>.</w:t>
      </w:r>
    </w:p>
  </w:footnote>
  <w:footnote w:id="15">
    <w:p w14:paraId="32DBFA6C" w14:textId="77777777" w:rsidR="0071329B" w:rsidRPr="00F323C6" w:rsidRDefault="0071329B" w:rsidP="00FA3316">
      <w:pPr>
        <w:jc w:val="both"/>
        <w:rPr>
          <w:sz w:val="18"/>
          <w:szCs w:val="18"/>
        </w:rPr>
      </w:pPr>
      <w:r>
        <w:rPr>
          <w:rStyle w:val="FootnoteReference"/>
        </w:rPr>
        <w:footnoteRef/>
      </w:r>
      <w:r w:rsidRPr="00B857AE">
        <w:t xml:space="preserve"> </w:t>
      </w:r>
      <w:r w:rsidRPr="00B02F8D">
        <w:t>MD 1: Nedostatak hrane, MD 2: Nedostatak osnovne materijalne pomoći, TP: Tehnička pomoć.</w:t>
      </w:r>
    </w:p>
  </w:footnote>
  <w:footnote w:id="16">
    <w:p w14:paraId="378C6E7A" w14:textId="77777777" w:rsidR="005A44D5" w:rsidRPr="007C518D" w:rsidRDefault="005A44D5" w:rsidP="005A44D5">
      <w:pPr>
        <w:pStyle w:val="FootnoteText"/>
        <w:jc w:val="both"/>
      </w:pPr>
      <w:r w:rsidRPr="007C518D">
        <w:rPr>
          <w:rStyle w:val="FootnoteReference"/>
        </w:rPr>
        <w:footnoteRef/>
      </w:r>
      <w:r w:rsidRPr="007C518D">
        <w:t xml:space="preserve"> U skladu s propisima EU-a, države članice dužne su OLAF</w:t>
      </w:r>
      <w:r>
        <w:t>-u</w:t>
      </w:r>
      <w:r w:rsidRPr="007C518D">
        <w:t xml:space="preserve"> prijaviti nepravilnosti koje imaju sljedeća obilježja: nepravilan iznos troška (koji se odnosi na sredstva Europske unije) jednak je ili veći od 10.000 </w:t>
      </w:r>
      <w:r>
        <w:t>eura</w:t>
      </w:r>
      <w:r w:rsidRPr="007C518D">
        <w:t xml:space="preserve"> te je odobren za isplatu </w:t>
      </w:r>
      <w:r>
        <w:t>Korisnik</w:t>
      </w:r>
      <w:r w:rsidRPr="007C518D">
        <w:t>u i Tijelo za ovjeravanje ga je ovjerilo Europskoj komisiji (uključen je u Izjavu o izdacima koja je podnesena Europskoj komisiji). U slučajevima sumnje na prijevaru, nepravilan iznos ne mora biti ovjeren Europskoj komisiji. Nepravilnosti se prijavljuju OLAF-u putem elektroničkog sustava za izvještavanje o nepravilnostima (</w:t>
      </w:r>
      <w:r w:rsidRPr="007C518D">
        <w:rPr>
          <w:i/>
        </w:rPr>
        <w:t>Irregularity Management System, IMS</w:t>
      </w:r>
      <w:r w:rsidRPr="007C518D">
        <w:t>).</w:t>
      </w:r>
    </w:p>
  </w:footnote>
  <w:footnote w:id="17">
    <w:p w14:paraId="2177073A" w14:textId="77777777" w:rsidR="005A44D5" w:rsidRPr="00A70905" w:rsidRDefault="005A44D5" w:rsidP="005A44D5">
      <w:pPr>
        <w:pStyle w:val="FootnoteText"/>
        <w:jc w:val="both"/>
      </w:pPr>
      <w:r w:rsidRPr="007C518D">
        <w:rPr>
          <w:rStyle w:val="FootnoteReference"/>
        </w:rPr>
        <w:footnoteRef/>
      </w:r>
      <w:r w:rsidRPr="007C518D">
        <w:t xml:space="preserve"> Navedeni podaci ne uključuju prijavljene nepravilnosti koji se odnose na Europski fond za jamstva u poljoprivredi s obzirom da taj fond nije uključen u Europske strukturne i investicijske fondove u smislu Uredbe br. 1303/2013.</w:t>
      </w:r>
    </w:p>
  </w:footnote>
  <w:footnote w:id="18">
    <w:p w14:paraId="6E5D0BCB" w14:textId="77777777" w:rsidR="005A44D5" w:rsidRPr="00B23ED0" w:rsidRDefault="005A44D5" w:rsidP="005A44D5">
      <w:pPr>
        <w:pStyle w:val="Footer"/>
        <w:jc w:val="both"/>
      </w:pPr>
      <w:r>
        <w:rPr>
          <w:rStyle w:val="FootnoteReference"/>
        </w:rPr>
        <w:footnoteRef/>
      </w:r>
      <w:r>
        <w:t xml:space="preserve"> </w:t>
      </w:r>
      <w:r w:rsidRPr="00B23ED0">
        <w:t xml:space="preserve">Slučaj nepravilnosti smatra se zatvorenim ako je donesena odluka da se ranije utvrđena nepravilnost više ne smatra nepravilnošću ili su provedene sve korektivne mjere i svi neprihvatljivi izdaci su vraćeni Europskoj komisiji / izuzeti iz Izjave o izdacima. </w:t>
      </w:r>
      <w:r w:rsidRPr="00B23ED0">
        <w:rPr>
          <w:color w:val="000000"/>
        </w:rPr>
        <w:t>Iznos povrata računa se samo za zatvorene slučajeve nepravilnosti jer je iznos povrata kod otvorenih slučajeva podložan čestim promjenama zbog toga što korisnici nepravilan iznos mogu vraćati u obrocima.</w:t>
      </w:r>
    </w:p>
  </w:footnote>
  <w:footnote w:id="19">
    <w:p w14:paraId="05F6009D" w14:textId="77777777" w:rsidR="006F73B9" w:rsidRDefault="006F73B9" w:rsidP="006F73B9">
      <w:pPr>
        <w:pStyle w:val="FootnoteText"/>
        <w:jc w:val="both"/>
      </w:pPr>
      <w:r>
        <w:rPr>
          <w:rStyle w:val="FootnoteReference"/>
        </w:rPr>
        <w:footnoteRef/>
      </w:r>
      <w:r>
        <w:t xml:space="preserve"> </w:t>
      </w:r>
      <w:r w:rsidRPr="00A41CE5">
        <w:rPr>
          <w:b/>
        </w:rPr>
        <w:t>Informacijski sustav visokih učilišta (ISVU)</w:t>
      </w:r>
      <w:r>
        <w:t xml:space="preserve"> je </w:t>
      </w:r>
      <w:r w:rsidRPr="00DA31AE">
        <w:t>složeni mrežno orijentirani sustav koji putem više modula podržava standardne aktivnosti svakog visokog učilišta, od upisa studenata na visoko učilište, preko prijavljivanja ispita i unosa ocjena na ispitu, do provođenja završetka studija te izdavanje raznih dokumenata (potvrda o upisu i završetku studija, diploma, svjedodžbi i dopunskih isprava o studiju) i izradu izvještaja.</w:t>
      </w:r>
      <w:r>
        <w:t xml:space="preserve"> </w:t>
      </w:r>
      <w:r w:rsidRPr="00DA31AE">
        <w:t>Korisnici usluge su studenti, nastavnici i djelatnici visokih učilišta i drugih ustanova iz sustava znanosti i visokog obrazovanja u Republici Hrvatskoj.</w:t>
      </w:r>
    </w:p>
  </w:footnote>
  <w:footnote w:id="20">
    <w:p w14:paraId="49822FF2" w14:textId="77777777" w:rsidR="006F73B9" w:rsidRDefault="006F73B9" w:rsidP="006F73B9">
      <w:pPr>
        <w:pStyle w:val="FootnoteText"/>
        <w:jc w:val="both"/>
      </w:pPr>
      <w:r>
        <w:rPr>
          <w:rStyle w:val="FootnoteReference"/>
        </w:rPr>
        <w:footnoteRef/>
      </w:r>
      <w:r>
        <w:t xml:space="preserve"> UREDBA (EU) br. 1308/2013 EUROPSKOG PARLAMENTA I VIJEĆA od 17. prosinca 2013. o uspostavljanju zajedničke organizacije tržišta poljoprivrednih proizvoda i stavljanju izvan snage uredbi Vijeća (EEZ) br. 922/72, (EEZ) br. 234/79, (EZ) br. 1037/2001 i (EZ) br. 1234/2007</w:t>
      </w:r>
    </w:p>
  </w:footnote>
  <w:footnote w:id="21">
    <w:p w14:paraId="22763780" w14:textId="77777777" w:rsidR="006F73B9" w:rsidRDefault="006F73B9" w:rsidP="006F73B9">
      <w:pPr>
        <w:pStyle w:val="FootnoteText"/>
        <w:jc w:val="both"/>
      </w:pPr>
      <w:r>
        <w:rPr>
          <w:rStyle w:val="FootnoteReference"/>
        </w:rPr>
        <w:footnoteRef/>
      </w:r>
      <w:r>
        <w:t xml:space="preserve"> AKORD - </w:t>
      </w:r>
      <w:r w:rsidRPr="001D50B5">
        <w:t>nacionalni sustav identifikacije zemljišnih parcela, odnosno evidencija uporabe poljoprivrednog zemljišta u Republici Hrvatskoj</w:t>
      </w:r>
      <w:r>
        <w:t>.</w:t>
      </w:r>
    </w:p>
  </w:footnote>
  <w:footnote w:id="22">
    <w:p w14:paraId="2C3BE226" w14:textId="77777777" w:rsidR="006F73B9" w:rsidRDefault="006F73B9" w:rsidP="006F73B9">
      <w:pPr>
        <w:pStyle w:val="FootnoteText"/>
        <w:jc w:val="both"/>
      </w:pPr>
      <w:r>
        <w:rPr>
          <w:rStyle w:val="FootnoteReference"/>
        </w:rPr>
        <w:footnoteRef/>
      </w:r>
      <w:r>
        <w:t xml:space="preserve"> </w:t>
      </w:r>
      <w:r w:rsidRPr="00DA6B3C">
        <w:t>Upisnik poljoprivrednika je baza podataka koja sadrži podatke o poljoprivrednim gospodarstvima i njihovim resursima.</w:t>
      </w:r>
    </w:p>
  </w:footnote>
  <w:footnote w:id="23">
    <w:p w14:paraId="3AA71206" w14:textId="77777777" w:rsidR="0071329B" w:rsidRPr="00D15A30" w:rsidRDefault="0071329B" w:rsidP="0075127C">
      <w:pPr>
        <w:pStyle w:val="FootnoteText"/>
        <w:jc w:val="both"/>
      </w:pPr>
      <w:r>
        <w:rPr>
          <w:rStyle w:val="FootnoteReference"/>
        </w:rPr>
        <w:footnoteRef/>
      </w:r>
      <w:r>
        <w:t xml:space="preserve"> </w:t>
      </w:r>
      <w:r w:rsidRPr="00A046A3">
        <w:t>Prioritetna os 11: Jačanje oporavka od krize u kontekstu pandemije COVID-19 i priprema za zeleni, digitalni i otporni oporavak gospodarstva</w:t>
      </w:r>
      <w:r>
        <w:t>.</w:t>
      </w:r>
    </w:p>
  </w:footnote>
  <w:footnote w:id="24">
    <w:p w14:paraId="6572D959" w14:textId="3736CEF2" w:rsidR="00B1568E" w:rsidRDefault="00B1568E" w:rsidP="00B1568E">
      <w:pPr>
        <w:pStyle w:val="FootnoteText"/>
      </w:pPr>
      <w:r>
        <w:rPr>
          <w:rStyle w:val="FootnoteReference"/>
        </w:rPr>
        <w:footnoteRef/>
      </w:r>
      <w:r>
        <w:t xml:space="preserve"> Funkcija u financijskom razdoblju 2014.</w:t>
      </w:r>
      <w:r w:rsidR="000F59CF">
        <w:t xml:space="preserve"> – </w:t>
      </w:r>
      <w:r>
        <w:t>2020.</w:t>
      </w:r>
    </w:p>
  </w:footnote>
  <w:footnote w:id="25">
    <w:p w14:paraId="02091057" w14:textId="2A2DD5CD" w:rsidR="00B1568E" w:rsidRDefault="00B1568E" w:rsidP="00B1568E">
      <w:pPr>
        <w:pStyle w:val="FootnoteText"/>
      </w:pPr>
      <w:r>
        <w:rPr>
          <w:rStyle w:val="FootnoteReference"/>
        </w:rPr>
        <w:footnoteRef/>
      </w:r>
      <w:r>
        <w:t xml:space="preserve"> Funkcija u financijskom razdoblju 2021.</w:t>
      </w:r>
      <w:r w:rsidR="000F59CF">
        <w:t xml:space="preserve"> – </w:t>
      </w:r>
      <w:r>
        <w:t xml:space="preserve">2027. </w:t>
      </w:r>
    </w:p>
  </w:footnote>
  <w:footnote w:id="26">
    <w:p w14:paraId="30C48763" w14:textId="77777777" w:rsidR="00B1568E" w:rsidRPr="00FD6463" w:rsidRDefault="00B1568E" w:rsidP="00B1568E">
      <w:pPr>
        <w:spacing w:before="120" w:after="120"/>
        <w:jc w:val="both"/>
        <w:rPr>
          <w:sz w:val="18"/>
          <w:szCs w:val="18"/>
        </w:rPr>
      </w:pPr>
      <w:r w:rsidRPr="00FD6463">
        <w:rPr>
          <w:rStyle w:val="FootnoteReference"/>
          <w:sz w:val="18"/>
          <w:szCs w:val="18"/>
        </w:rPr>
        <w:footnoteRef/>
      </w:r>
      <w:r w:rsidRPr="00FD6463">
        <w:rPr>
          <w:sz w:val="18"/>
          <w:szCs w:val="18"/>
        </w:rPr>
        <w:t xml:space="preserve"> Jedan manji dio aktivnosti je proveden već do kraja 2022.g. dok će drugi, veći dio aktivnosti, koje su u statusu u tijeku provedbe krenuti s realizacijom u drugoj polovici 2023.godine. Dio aktivnosti će se provoditi kontinuirano tijekom cijelog programskog razdoblja.</w:t>
      </w:r>
    </w:p>
    <w:p w14:paraId="7E8ABA21" w14:textId="77777777" w:rsidR="00B1568E" w:rsidRPr="00FD6463" w:rsidRDefault="00B1568E" w:rsidP="00B1568E">
      <w:pPr>
        <w:spacing w:before="120" w:after="120"/>
        <w:jc w:val="both"/>
        <w:rPr>
          <w:sz w:val="18"/>
          <w:szCs w:val="18"/>
        </w:rPr>
      </w:pPr>
    </w:p>
    <w:p w14:paraId="2B137AAD" w14:textId="77777777" w:rsidR="00B1568E" w:rsidRDefault="00B1568E" w:rsidP="00B1568E">
      <w:pPr>
        <w:spacing w:before="120" w:after="120"/>
        <w:jc w:val="both"/>
        <w:rPr>
          <w:sz w:val="24"/>
          <w:szCs w:val="24"/>
        </w:rPr>
      </w:pPr>
    </w:p>
    <w:p w14:paraId="25560DE6" w14:textId="77777777" w:rsidR="00B1568E" w:rsidRDefault="00B1568E" w:rsidP="00B1568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E8CA0" w14:textId="77777777" w:rsidR="0071329B" w:rsidRPr="004500A0" w:rsidRDefault="0071329B" w:rsidP="00EE46D3">
    <w:pPr>
      <w:pStyle w:val="Header"/>
      <w:jc w:val="center"/>
      <w:rPr>
        <w:rFonts w:ascii="Lucida Sans Unicode" w:hAnsi="Lucida Sans Unicode" w:cs="Lucida Sans Unicode"/>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0153"/>
    <w:multiLevelType w:val="hybridMultilevel"/>
    <w:tmpl w:val="18480700"/>
    <w:name w:val="WW8Num42222"/>
    <w:lvl w:ilvl="0" w:tplc="00000002">
      <w:start w:val="1"/>
      <w:numFmt w:val="bullet"/>
      <w:lvlText w:val=""/>
      <w:lvlJc w:val="left"/>
      <w:pPr>
        <w:tabs>
          <w:tab w:val="num" w:pos="-1144"/>
        </w:tabs>
        <w:ind w:left="-1144" w:hanging="360"/>
      </w:pPr>
      <w:rPr>
        <w:rFonts w:ascii="Symbol" w:hAnsi="Symbol"/>
      </w:rPr>
    </w:lvl>
    <w:lvl w:ilvl="1" w:tplc="041A0003" w:tentative="1">
      <w:start w:val="1"/>
      <w:numFmt w:val="bullet"/>
      <w:lvlText w:val="o"/>
      <w:lvlJc w:val="left"/>
      <w:pPr>
        <w:tabs>
          <w:tab w:val="num" w:pos="-424"/>
        </w:tabs>
        <w:ind w:left="-424" w:hanging="360"/>
      </w:pPr>
      <w:rPr>
        <w:rFonts w:ascii="Courier New" w:hAnsi="Courier New" w:cs="Cambria" w:hint="default"/>
      </w:rPr>
    </w:lvl>
    <w:lvl w:ilvl="2" w:tplc="041A0005" w:tentative="1">
      <w:start w:val="1"/>
      <w:numFmt w:val="bullet"/>
      <w:lvlText w:val=""/>
      <w:lvlJc w:val="left"/>
      <w:pPr>
        <w:tabs>
          <w:tab w:val="num" w:pos="296"/>
        </w:tabs>
        <w:ind w:left="296" w:hanging="360"/>
      </w:pPr>
      <w:rPr>
        <w:rFonts w:ascii="Wingdings" w:hAnsi="Wingdings" w:hint="default"/>
      </w:rPr>
    </w:lvl>
    <w:lvl w:ilvl="3" w:tplc="041A0001" w:tentative="1">
      <w:start w:val="1"/>
      <w:numFmt w:val="bullet"/>
      <w:lvlText w:val=""/>
      <w:lvlJc w:val="left"/>
      <w:pPr>
        <w:tabs>
          <w:tab w:val="num" w:pos="1016"/>
        </w:tabs>
        <w:ind w:left="1016" w:hanging="360"/>
      </w:pPr>
      <w:rPr>
        <w:rFonts w:ascii="Symbol" w:hAnsi="Symbol" w:hint="default"/>
      </w:rPr>
    </w:lvl>
    <w:lvl w:ilvl="4" w:tplc="041A0003" w:tentative="1">
      <w:start w:val="1"/>
      <w:numFmt w:val="bullet"/>
      <w:lvlText w:val="o"/>
      <w:lvlJc w:val="left"/>
      <w:pPr>
        <w:tabs>
          <w:tab w:val="num" w:pos="1736"/>
        </w:tabs>
        <w:ind w:left="1736" w:hanging="360"/>
      </w:pPr>
      <w:rPr>
        <w:rFonts w:ascii="Courier New" w:hAnsi="Courier New" w:cs="Cambria" w:hint="default"/>
      </w:rPr>
    </w:lvl>
    <w:lvl w:ilvl="5" w:tplc="041A0005" w:tentative="1">
      <w:start w:val="1"/>
      <w:numFmt w:val="bullet"/>
      <w:lvlText w:val=""/>
      <w:lvlJc w:val="left"/>
      <w:pPr>
        <w:tabs>
          <w:tab w:val="num" w:pos="2456"/>
        </w:tabs>
        <w:ind w:left="2456" w:hanging="360"/>
      </w:pPr>
      <w:rPr>
        <w:rFonts w:ascii="Wingdings" w:hAnsi="Wingdings" w:hint="default"/>
      </w:rPr>
    </w:lvl>
    <w:lvl w:ilvl="6" w:tplc="041A0001" w:tentative="1">
      <w:start w:val="1"/>
      <w:numFmt w:val="bullet"/>
      <w:lvlText w:val=""/>
      <w:lvlJc w:val="left"/>
      <w:pPr>
        <w:tabs>
          <w:tab w:val="num" w:pos="3176"/>
        </w:tabs>
        <w:ind w:left="3176" w:hanging="360"/>
      </w:pPr>
      <w:rPr>
        <w:rFonts w:ascii="Symbol" w:hAnsi="Symbol" w:hint="default"/>
      </w:rPr>
    </w:lvl>
    <w:lvl w:ilvl="7" w:tplc="041A0003" w:tentative="1">
      <w:start w:val="1"/>
      <w:numFmt w:val="bullet"/>
      <w:lvlText w:val="o"/>
      <w:lvlJc w:val="left"/>
      <w:pPr>
        <w:tabs>
          <w:tab w:val="num" w:pos="3896"/>
        </w:tabs>
        <w:ind w:left="3896" w:hanging="360"/>
      </w:pPr>
      <w:rPr>
        <w:rFonts w:ascii="Courier New" w:hAnsi="Courier New" w:cs="Cambria" w:hint="default"/>
      </w:rPr>
    </w:lvl>
    <w:lvl w:ilvl="8" w:tplc="041A0005" w:tentative="1">
      <w:start w:val="1"/>
      <w:numFmt w:val="bullet"/>
      <w:lvlText w:val=""/>
      <w:lvlJc w:val="left"/>
      <w:pPr>
        <w:tabs>
          <w:tab w:val="num" w:pos="4616"/>
        </w:tabs>
        <w:ind w:left="4616" w:hanging="360"/>
      </w:pPr>
      <w:rPr>
        <w:rFonts w:ascii="Wingdings" w:hAnsi="Wingdings" w:hint="default"/>
      </w:rPr>
    </w:lvl>
  </w:abstractNum>
  <w:abstractNum w:abstractNumId="1" w15:restartNumberingAfterBreak="0">
    <w:nsid w:val="02E956D9"/>
    <w:multiLevelType w:val="hybridMultilevel"/>
    <w:tmpl w:val="FFFFFFFF"/>
    <w:lvl w:ilvl="0" w:tplc="156C0FAE">
      <w:start w:val="1"/>
      <w:numFmt w:val="bullet"/>
      <w:lvlText w:val=""/>
      <w:lvlJc w:val="left"/>
      <w:pPr>
        <w:ind w:left="720" w:hanging="360"/>
      </w:pPr>
      <w:rPr>
        <w:rFonts w:ascii="Symbol" w:hAnsi="Symbol" w:hint="default"/>
      </w:rPr>
    </w:lvl>
    <w:lvl w:ilvl="1" w:tplc="C39E09C0">
      <w:start w:val="1"/>
      <w:numFmt w:val="bullet"/>
      <w:lvlText w:val="o"/>
      <w:lvlJc w:val="left"/>
      <w:pPr>
        <w:ind w:left="1440" w:hanging="360"/>
      </w:pPr>
      <w:rPr>
        <w:rFonts w:ascii="Courier New" w:hAnsi="Courier New" w:hint="default"/>
      </w:rPr>
    </w:lvl>
    <w:lvl w:ilvl="2" w:tplc="8F703C78">
      <w:start w:val="1"/>
      <w:numFmt w:val="bullet"/>
      <w:lvlText w:val=""/>
      <w:lvlJc w:val="left"/>
      <w:pPr>
        <w:ind w:left="2160" w:hanging="360"/>
      </w:pPr>
      <w:rPr>
        <w:rFonts w:ascii="Wingdings" w:hAnsi="Wingdings" w:hint="default"/>
      </w:rPr>
    </w:lvl>
    <w:lvl w:ilvl="3" w:tplc="426EDE1A">
      <w:start w:val="1"/>
      <w:numFmt w:val="bullet"/>
      <w:lvlText w:val=""/>
      <w:lvlJc w:val="left"/>
      <w:pPr>
        <w:ind w:left="2880" w:hanging="360"/>
      </w:pPr>
      <w:rPr>
        <w:rFonts w:ascii="Symbol" w:hAnsi="Symbol" w:hint="default"/>
      </w:rPr>
    </w:lvl>
    <w:lvl w:ilvl="4" w:tplc="4274D286">
      <w:start w:val="1"/>
      <w:numFmt w:val="bullet"/>
      <w:lvlText w:val="o"/>
      <w:lvlJc w:val="left"/>
      <w:pPr>
        <w:ind w:left="3600" w:hanging="360"/>
      </w:pPr>
      <w:rPr>
        <w:rFonts w:ascii="Courier New" w:hAnsi="Courier New" w:hint="default"/>
      </w:rPr>
    </w:lvl>
    <w:lvl w:ilvl="5" w:tplc="076C06EE">
      <w:start w:val="1"/>
      <w:numFmt w:val="bullet"/>
      <w:lvlText w:val=""/>
      <w:lvlJc w:val="left"/>
      <w:pPr>
        <w:ind w:left="4320" w:hanging="360"/>
      </w:pPr>
      <w:rPr>
        <w:rFonts w:ascii="Wingdings" w:hAnsi="Wingdings" w:hint="default"/>
      </w:rPr>
    </w:lvl>
    <w:lvl w:ilvl="6" w:tplc="1FC63052">
      <w:start w:val="1"/>
      <w:numFmt w:val="bullet"/>
      <w:lvlText w:val=""/>
      <w:lvlJc w:val="left"/>
      <w:pPr>
        <w:ind w:left="5040" w:hanging="360"/>
      </w:pPr>
      <w:rPr>
        <w:rFonts w:ascii="Symbol" w:hAnsi="Symbol" w:hint="default"/>
      </w:rPr>
    </w:lvl>
    <w:lvl w:ilvl="7" w:tplc="4584520E">
      <w:start w:val="1"/>
      <w:numFmt w:val="bullet"/>
      <w:lvlText w:val="o"/>
      <w:lvlJc w:val="left"/>
      <w:pPr>
        <w:ind w:left="5760" w:hanging="360"/>
      </w:pPr>
      <w:rPr>
        <w:rFonts w:ascii="Courier New" w:hAnsi="Courier New" w:hint="default"/>
      </w:rPr>
    </w:lvl>
    <w:lvl w:ilvl="8" w:tplc="6B6C7470">
      <w:start w:val="1"/>
      <w:numFmt w:val="bullet"/>
      <w:lvlText w:val=""/>
      <w:lvlJc w:val="left"/>
      <w:pPr>
        <w:ind w:left="6480" w:hanging="360"/>
      </w:pPr>
      <w:rPr>
        <w:rFonts w:ascii="Wingdings" w:hAnsi="Wingdings" w:hint="default"/>
      </w:rPr>
    </w:lvl>
  </w:abstractNum>
  <w:abstractNum w:abstractNumId="2" w15:restartNumberingAfterBreak="0">
    <w:nsid w:val="09F06905"/>
    <w:multiLevelType w:val="hybridMultilevel"/>
    <w:tmpl w:val="61CC4E1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60339B"/>
    <w:multiLevelType w:val="hybridMultilevel"/>
    <w:tmpl w:val="AE14A3E8"/>
    <w:lvl w:ilvl="0" w:tplc="89CE17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C7770CB"/>
    <w:multiLevelType w:val="hybridMultilevel"/>
    <w:tmpl w:val="E22AF0AE"/>
    <w:lvl w:ilvl="0" w:tplc="89CE17AC">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5" w15:restartNumberingAfterBreak="0">
    <w:nsid w:val="0D66234B"/>
    <w:multiLevelType w:val="hybridMultilevel"/>
    <w:tmpl w:val="43020556"/>
    <w:lvl w:ilvl="0" w:tplc="89CE17AC">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6" w15:restartNumberingAfterBreak="0">
    <w:nsid w:val="11773513"/>
    <w:multiLevelType w:val="hybridMultilevel"/>
    <w:tmpl w:val="BEA09988"/>
    <w:lvl w:ilvl="0" w:tplc="9B3CBFD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31954D4"/>
    <w:multiLevelType w:val="hybridMultilevel"/>
    <w:tmpl w:val="FB06B6CC"/>
    <w:lvl w:ilvl="0" w:tplc="D9ECC1EC">
      <w:start w:val="1"/>
      <w:numFmt w:val="bullet"/>
      <w:lvlText w:val=""/>
      <w:lvlJc w:val="left"/>
      <w:pPr>
        <w:ind w:left="720" w:hanging="360"/>
      </w:pPr>
      <w:rPr>
        <w:rFonts w:ascii="Symbol" w:hAnsi="Symbol"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9533DAB"/>
    <w:multiLevelType w:val="hybridMultilevel"/>
    <w:tmpl w:val="05F26B30"/>
    <w:lvl w:ilvl="0" w:tplc="D9ECC1EC">
      <w:start w:val="1"/>
      <w:numFmt w:val="bullet"/>
      <w:lvlText w:val=""/>
      <w:lvlJc w:val="left"/>
      <w:pPr>
        <w:ind w:left="720" w:hanging="360"/>
      </w:pPr>
      <w:rPr>
        <w:rFonts w:ascii="Symbol" w:hAnsi="Symbol"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E2827AB"/>
    <w:multiLevelType w:val="hybridMultilevel"/>
    <w:tmpl w:val="0366DFD4"/>
    <w:lvl w:ilvl="0" w:tplc="D9ECC1EC">
      <w:start w:val="1"/>
      <w:numFmt w:val="bullet"/>
      <w:lvlText w:val=""/>
      <w:lvlJc w:val="left"/>
      <w:pPr>
        <w:ind w:left="720" w:hanging="360"/>
      </w:pPr>
      <w:rPr>
        <w:rFonts w:ascii="Symbol" w:hAnsi="Symbol"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F17710E"/>
    <w:multiLevelType w:val="hybridMultilevel"/>
    <w:tmpl w:val="D75EDAA8"/>
    <w:lvl w:ilvl="0" w:tplc="05EA4BC2">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00D4ADE"/>
    <w:multiLevelType w:val="hybridMultilevel"/>
    <w:tmpl w:val="E1DAE354"/>
    <w:lvl w:ilvl="0" w:tplc="3B2A3D66">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4B4362A"/>
    <w:multiLevelType w:val="hybridMultilevel"/>
    <w:tmpl w:val="91E81CD6"/>
    <w:lvl w:ilvl="0" w:tplc="71C4CB44">
      <w:start w:val="1"/>
      <w:numFmt w:val="bullet"/>
      <w:lvlText w:val="o"/>
      <w:lvlJc w:val="left"/>
      <w:pPr>
        <w:ind w:left="720" w:hanging="360"/>
      </w:pPr>
      <w:rPr>
        <w:rFonts w:ascii="Courier New" w:hAnsi="Courier New"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7CD166E"/>
    <w:multiLevelType w:val="hybridMultilevel"/>
    <w:tmpl w:val="A1549134"/>
    <w:lvl w:ilvl="0" w:tplc="D9ECC1EC">
      <w:start w:val="1"/>
      <w:numFmt w:val="bullet"/>
      <w:lvlText w:val=""/>
      <w:lvlJc w:val="left"/>
      <w:pPr>
        <w:ind w:left="720" w:hanging="360"/>
      </w:pPr>
      <w:rPr>
        <w:rFonts w:ascii="Symbol" w:hAnsi="Symbol"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8823F31"/>
    <w:multiLevelType w:val="hybridMultilevel"/>
    <w:tmpl w:val="1C1A58A4"/>
    <w:lvl w:ilvl="0" w:tplc="D9ECC1EC">
      <w:start w:val="1"/>
      <w:numFmt w:val="bullet"/>
      <w:lvlText w:val=""/>
      <w:lvlJc w:val="left"/>
      <w:pPr>
        <w:ind w:left="720" w:hanging="360"/>
      </w:pPr>
      <w:rPr>
        <w:rFonts w:ascii="Symbol" w:hAnsi="Symbol"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9B0701E"/>
    <w:multiLevelType w:val="hybridMultilevel"/>
    <w:tmpl w:val="23CC91B4"/>
    <w:lvl w:ilvl="0" w:tplc="9B3CBFD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C4D52B2"/>
    <w:multiLevelType w:val="hybridMultilevel"/>
    <w:tmpl w:val="7304E936"/>
    <w:lvl w:ilvl="0" w:tplc="89CE17AC">
      <w:start w:val="1"/>
      <w:numFmt w:val="bullet"/>
      <w:lvlText w:val=""/>
      <w:lvlJc w:val="left"/>
      <w:pPr>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327E45F7"/>
    <w:multiLevelType w:val="hybridMultilevel"/>
    <w:tmpl w:val="E3663DA4"/>
    <w:lvl w:ilvl="0" w:tplc="F04C3D72">
      <w:start w:val="1"/>
      <w:numFmt w:val="bullet"/>
      <w:lvlText w:val=""/>
      <w:lvlJc w:val="left"/>
      <w:pPr>
        <w:ind w:left="1440" w:hanging="360"/>
      </w:pPr>
      <w:rPr>
        <w:rFonts w:ascii="Wingdings" w:hAnsi="Wingdings" w:hint="default"/>
        <w:sz w:val="20"/>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8" w15:restartNumberingAfterBreak="0">
    <w:nsid w:val="35C05138"/>
    <w:multiLevelType w:val="hybridMultilevel"/>
    <w:tmpl w:val="510496C6"/>
    <w:lvl w:ilvl="0" w:tplc="89CE17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5D01826"/>
    <w:multiLevelType w:val="multilevel"/>
    <w:tmpl w:val="041A001F"/>
    <w:styleLink w:val="111111"/>
    <w:lvl w:ilvl="0">
      <w:start w:val="1"/>
      <w:numFmt w:val="decimal"/>
      <w:pStyle w:val="Heading1"/>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954207"/>
    <w:multiLevelType w:val="hybridMultilevel"/>
    <w:tmpl w:val="A0CC30DC"/>
    <w:lvl w:ilvl="0" w:tplc="2EDE626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6503B3B"/>
    <w:multiLevelType w:val="hybridMultilevel"/>
    <w:tmpl w:val="04FEDA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9A575BE"/>
    <w:multiLevelType w:val="hybridMultilevel"/>
    <w:tmpl w:val="70EA3228"/>
    <w:lvl w:ilvl="0" w:tplc="D9ECC1EC">
      <w:start w:val="1"/>
      <w:numFmt w:val="bullet"/>
      <w:lvlText w:val=""/>
      <w:lvlJc w:val="left"/>
      <w:pPr>
        <w:ind w:left="720" w:hanging="360"/>
      </w:pPr>
      <w:rPr>
        <w:rFonts w:ascii="Symbol" w:hAnsi="Symbol"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00C2F85"/>
    <w:multiLevelType w:val="hybridMultilevel"/>
    <w:tmpl w:val="E07218C0"/>
    <w:lvl w:ilvl="0" w:tplc="89CE17AC">
      <w:start w:val="1"/>
      <w:numFmt w:val="bullet"/>
      <w:lvlText w:val=""/>
      <w:lvlJc w:val="left"/>
      <w:pPr>
        <w:ind w:left="720" w:hanging="360"/>
      </w:pPr>
      <w:rPr>
        <w:rFonts w:ascii="Symbol" w:hAnsi="Symbol" w:hint="default"/>
      </w:rPr>
    </w:lvl>
    <w:lvl w:ilvl="1" w:tplc="E368B2AA">
      <w:start w:val="1"/>
      <w:numFmt w:val="bullet"/>
      <w:lvlText w:val="o"/>
      <w:lvlJc w:val="left"/>
      <w:pPr>
        <w:ind w:left="1440" w:hanging="360"/>
      </w:pPr>
      <w:rPr>
        <w:rFonts w:ascii="Courier New" w:hAnsi="Courier New" w:hint="default"/>
      </w:rPr>
    </w:lvl>
    <w:lvl w:ilvl="2" w:tplc="D2383062">
      <w:start w:val="1"/>
      <w:numFmt w:val="bullet"/>
      <w:lvlText w:val=""/>
      <w:lvlJc w:val="left"/>
      <w:pPr>
        <w:ind w:left="2160" w:hanging="360"/>
      </w:pPr>
      <w:rPr>
        <w:rFonts w:ascii="Wingdings" w:hAnsi="Wingdings" w:hint="default"/>
      </w:rPr>
    </w:lvl>
    <w:lvl w:ilvl="3" w:tplc="8CFE6140">
      <w:start w:val="1"/>
      <w:numFmt w:val="bullet"/>
      <w:lvlText w:val=""/>
      <w:lvlJc w:val="left"/>
      <w:pPr>
        <w:ind w:left="2880" w:hanging="360"/>
      </w:pPr>
      <w:rPr>
        <w:rFonts w:ascii="Symbol" w:hAnsi="Symbol" w:hint="default"/>
      </w:rPr>
    </w:lvl>
    <w:lvl w:ilvl="4" w:tplc="36D033A0">
      <w:start w:val="1"/>
      <w:numFmt w:val="bullet"/>
      <w:lvlText w:val="o"/>
      <w:lvlJc w:val="left"/>
      <w:pPr>
        <w:ind w:left="3600" w:hanging="360"/>
      </w:pPr>
      <w:rPr>
        <w:rFonts w:ascii="Courier New" w:hAnsi="Courier New" w:hint="default"/>
      </w:rPr>
    </w:lvl>
    <w:lvl w:ilvl="5" w:tplc="F4F27E42">
      <w:start w:val="1"/>
      <w:numFmt w:val="bullet"/>
      <w:lvlText w:val=""/>
      <w:lvlJc w:val="left"/>
      <w:pPr>
        <w:ind w:left="4320" w:hanging="360"/>
      </w:pPr>
      <w:rPr>
        <w:rFonts w:ascii="Wingdings" w:hAnsi="Wingdings" w:hint="default"/>
      </w:rPr>
    </w:lvl>
    <w:lvl w:ilvl="6" w:tplc="201EA28C">
      <w:start w:val="1"/>
      <w:numFmt w:val="bullet"/>
      <w:lvlText w:val=""/>
      <w:lvlJc w:val="left"/>
      <w:pPr>
        <w:ind w:left="5040" w:hanging="360"/>
      </w:pPr>
      <w:rPr>
        <w:rFonts w:ascii="Symbol" w:hAnsi="Symbol" w:hint="default"/>
      </w:rPr>
    </w:lvl>
    <w:lvl w:ilvl="7" w:tplc="75303E5C">
      <w:start w:val="1"/>
      <w:numFmt w:val="bullet"/>
      <w:lvlText w:val="o"/>
      <w:lvlJc w:val="left"/>
      <w:pPr>
        <w:ind w:left="5760" w:hanging="360"/>
      </w:pPr>
      <w:rPr>
        <w:rFonts w:ascii="Courier New" w:hAnsi="Courier New" w:hint="default"/>
      </w:rPr>
    </w:lvl>
    <w:lvl w:ilvl="8" w:tplc="B18CEC58">
      <w:start w:val="1"/>
      <w:numFmt w:val="bullet"/>
      <w:lvlText w:val=""/>
      <w:lvlJc w:val="left"/>
      <w:pPr>
        <w:ind w:left="6480" w:hanging="360"/>
      </w:pPr>
      <w:rPr>
        <w:rFonts w:ascii="Wingdings" w:hAnsi="Wingdings" w:hint="default"/>
      </w:rPr>
    </w:lvl>
  </w:abstractNum>
  <w:abstractNum w:abstractNumId="24" w15:restartNumberingAfterBreak="0">
    <w:nsid w:val="56E84370"/>
    <w:multiLevelType w:val="hybridMultilevel"/>
    <w:tmpl w:val="DD9432C0"/>
    <w:lvl w:ilvl="0" w:tplc="71C4CB44">
      <w:start w:val="1"/>
      <w:numFmt w:val="bullet"/>
      <w:lvlText w:val="o"/>
      <w:lvlJc w:val="left"/>
      <w:pPr>
        <w:ind w:left="720" w:hanging="360"/>
      </w:pPr>
      <w:rPr>
        <w:rFonts w:ascii="Courier New" w:hAnsi="Courier New"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D764FF3"/>
    <w:multiLevelType w:val="hybridMultilevel"/>
    <w:tmpl w:val="C3205028"/>
    <w:lvl w:ilvl="0" w:tplc="9B3CBFD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DCE6637"/>
    <w:multiLevelType w:val="hybridMultilevel"/>
    <w:tmpl w:val="44A840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F3A79AC"/>
    <w:multiLevelType w:val="hybridMultilevel"/>
    <w:tmpl w:val="FB1E7AC0"/>
    <w:lvl w:ilvl="0" w:tplc="89CE17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10C5796"/>
    <w:multiLevelType w:val="multilevel"/>
    <w:tmpl w:val="6BCE45F2"/>
    <w:lvl w:ilvl="0">
      <w:start w:val="1"/>
      <w:numFmt w:val="decimal"/>
      <w:pStyle w:val="naslov1"/>
      <w:lvlText w:val="%1."/>
      <w:lvlJc w:val="left"/>
      <w:pPr>
        <w:tabs>
          <w:tab w:val="num" w:pos="502"/>
        </w:tabs>
        <w:ind w:left="502" w:hanging="360"/>
      </w:pPr>
      <w:rPr>
        <w:rFonts w:hint="default"/>
      </w:rPr>
    </w:lvl>
    <w:lvl w:ilvl="1">
      <w:start w:val="1"/>
      <w:numFmt w:val="decimal"/>
      <w:pStyle w:val="naslov2"/>
      <w:isLgl/>
      <w:lvlText w:val="%1.%2"/>
      <w:lvlJc w:val="left"/>
      <w:pPr>
        <w:tabs>
          <w:tab w:val="num" w:pos="900"/>
        </w:tabs>
        <w:ind w:left="900" w:hanging="36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9" w15:restartNumberingAfterBreak="0">
    <w:nsid w:val="66161704"/>
    <w:multiLevelType w:val="multilevel"/>
    <w:tmpl w:val="041A001F"/>
    <w:numStyleLink w:val="111111"/>
  </w:abstractNum>
  <w:abstractNum w:abstractNumId="30" w15:restartNumberingAfterBreak="0">
    <w:nsid w:val="674E6DA1"/>
    <w:multiLevelType w:val="hybridMultilevel"/>
    <w:tmpl w:val="009A6FE0"/>
    <w:lvl w:ilvl="0" w:tplc="71C4CB44">
      <w:start w:val="1"/>
      <w:numFmt w:val="bullet"/>
      <w:lvlText w:val="o"/>
      <w:lvlJc w:val="left"/>
      <w:pPr>
        <w:ind w:left="720" w:hanging="360"/>
      </w:pPr>
      <w:rPr>
        <w:rFonts w:ascii="Courier New" w:hAnsi="Courier New"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94A02AD"/>
    <w:multiLevelType w:val="hybridMultilevel"/>
    <w:tmpl w:val="B240D708"/>
    <w:lvl w:ilvl="0" w:tplc="71C4CB44">
      <w:start w:val="1"/>
      <w:numFmt w:val="bullet"/>
      <w:lvlText w:val="o"/>
      <w:lvlJc w:val="left"/>
      <w:pPr>
        <w:ind w:left="720" w:hanging="360"/>
      </w:pPr>
      <w:rPr>
        <w:rFonts w:ascii="Courier New" w:hAnsi="Courier New" w:hint="default"/>
        <w:sz w:val="16"/>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D470836"/>
    <w:multiLevelType w:val="hybridMultilevel"/>
    <w:tmpl w:val="61BAB980"/>
    <w:lvl w:ilvl="0" w:tplc="71C4CB44">
      <w:start w:val="1"/>
      <w:numFmt w:val="bullet"/>
      <w:lvlText w:val="o"/>
      <w:lvlJc w:val="left"/>
      <w:pPr>
        <w:ind w:left="720" w:hanging="360"/>
      </w:pPr>
      <w:rPr>
        <w:rFonts w:ascii="Courier New" w:hAnsi="Courier New"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E9D55C4"/>
    <w:multiLevelType w:val="hybridMultilevel"/>
    <w:tmpl w:val="29E0EE0E"/>
    <w:lvl w:ilvl="0" w:tplc="71C4CB44">
      <w:start w:val="1"/>
      <w:numFmt w:val="bullet"/>
      <w:lvlText w:val="o"/>
      <w:lvlJc w:val="left"/>
      <w:pPr>
        <w:ind w:left="720" w:hanging="360"/>
      </w:pPr>
      <w:rPr>
        <w:rFonts w:ascii="Courier New" w:hAnsi="Courier New"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EAE484C"/>
    <w:multiLevelType w:val="hybridMultilevel"/>
    <w:tmpl w:val="889C4962"/>
    <w:lvl w:ilvl="0" w:tplc="71C4CB44">
      <w:start w:val="1"/>
      <w:numFmt w:val="bullet"/>
      <w:lvlText w:val="o"/>
      <w:lvlJc w:val="left"/>
      <w:pPr>
        <w:ind w:left="720" w:hanging="360"/>
      </w:pPr>
      <w:rPr>
        <w:rFonts w:ascii="Courier New" w:hAnsi="Courier New"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FD464E1"/>
    <w:multiLevelType w:val="hybridMultilevel"/>
    <w:tmpl w:val="AC5CE236"/>
    <w:lvl w:ilvl="0" w:tplc="041A0003">
      <w:start w:val="1"/>
      <w:numFmt w:val="bullet"/>
      <w:lvlText w:val="o"/>
      <w:lvlJc w:val="left"/>
      <w:pPr>
        <w:ind w:left="720" w:hanging="360"/>
      </w:pPr>
      <w:rPr>
        <w:rFonts w:ascii="Courier New" w:hAnsi="Courier New" w:cs="Courier New"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5D948BA"/>
    <w:multiLevelType w:val="hybridMultilevel"/>
    <w:tmpl w:val="A9547B36"/>
    <w:lvl w:ilvl="0" w:tplc="D9ECC1EC">
      <w:start w:val="1"/>
      <w:numFmt w:val="bullet"/>
      <w:lvlText w:val=""/>
      <w:lvlJc w:val="left"/>
      <w:pPr>
        <w:ind w:left="720" w:hanging="360"/>
      </w:pPr>
      <w:rPr>
        <w:rFonts w:ascii="Symbol" w:hAnsi="Symbol"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8E52C41"/>
    <w:multiLevelType w:val="hybridMultilevel"/>
    <w:tmpl w:val="E8D0FFF4"/>
    <w:lvl w:ilvl="0" w:tplc="D9ECC1EC">
      <w:start w:val="1"/>
      <w:numFmt w:val="bullet"/>
      <w:lvlText w:val=""/>
      <w:lvlJc w:val="left"/>
      <w:pPr>
        <w:ind w:left="720" w:hanging="360"/>
      </w:pPr>
      <w:rPr>
        <w:rFonts w:ascii="Symbol" w:hAnsi="Symbol"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BE95D80"/>
    <w:multiLevelType w:val="hybridMultilevel"/>
    <w:tmpl w:val="7BE95D80"/>
    <w:lvl w:ilvl="0" w:tplc="B6962C2C">
      <w:start w:val="1"/>
      <w:numFmt w:val="bullet"/>
      <w:lvlText w:val=""/>
      <w:lvlJc w:val="left"/>
      <w:pPr>
        <w:ind w:left="720" w:hanging="360"/>
      </w:pPr>
      <w:rPr>
        <w:rFonts w:ascii="Symbol" w:hAnsi="Symbol"/>
      </w:rPr>
    </w:lvl>
    <w:lvl w:ilvl="1" w:tplc="0B72878C">
      <w:start w:val="1"/>
      <w:numFmt w:val="bullet"/>
      <w:lvlText w:val="o"/>
      <w:lvlJc w:val="left"/>
      <w:pPr>
        <w:tabs>
          <w:tab w:val="num" w:pos="1440"/>
        </w:tabs>
        <w:ind w:left="1440" w:hanging="360"/>
      </w:pPr>
      <w:rPr>
        <w:rFonts w:ascii="Courier New" w:hAnsi="Courier New"/>
      </w:rPr>
    </w:lvl>
    <w:lvl w:ilvl="2" w:tplc="A0B015AA">
      <w:start w:val="1"/>
      <w:numFmt w:val="bullet"/>
      <w:lvlText w:val=""/>
      <w:lvlJc w:val="left"/>
      <w:pPr>
        <w:tabs>
          <w:tab w:val="num" w:pos="2160"/>
        </w:tabs>
        <w:ind w:left="2160" w:hanging="360"/>
      </w:pPr>
      <w:rPr>
        <w:rFonts w:ascii="Wingdings" w:hAnsi="Wingdings"/>
      </w:rPr>
    </w:lvl>
    <w:lvl w:ilvl="3" w:tplc="86DE8F90">
      <w:start w:val="1"/>
      <w:numFmt w:val="bullet"/>
      <w:lvlText w:val=""/>
      <w:lvlJc w:val="left"/>
      <w:pPr>
        <w:tabs>
          <w:tab w:val="num" w:pos="2880"/>
        </w:tabs>
        <w:ind w:left="2880" w:hanging="360"/>
      </w:pPr>
      <w:rPr>
        <w:rFonts w:ascii="Symbol" w:hAnsi="Symbol"/>
      </w:rPr>
    </w:lvl>
    <w:lvl w:ilvl="4" w:tplc="F684B0D0">
      <w:start w:val="1"/>
      <w:numFmt w:val="bullet"/>
      <w:lvlText w:val="o"/>
      <w:lvlJc w:val="left"/>
      <w:pPr>
        <w:tabs>
          <w:tab w:val="num" w:pos="3600"/>
        </w:tabs>
        <w:ind w:left="3600" w:hanging="360"/>
      </w:pPr>
      <w:rPr>
        <w:rFonts w:ascii="Courier New" w:hAnsi="Courier New"/>
      </w:rPr>
    </w:lvl>
    <w:lvl w:ilvl="5" w:tplc="BD8C4C18">
      <w:start w:val="1"/>
      <w:numFmt w:val="bullet"/>
      <w:lvlText w:val=""/>
      <w:lvlJc w:val="left"/>
      <w:pPr>
        <w:tabs>
          <w:tab w:val="num" w:pos="4320"/>
        </w:tabs>
        <w:ind w:left="4320" w:hanging="360"/>
      </w:pPr>
      <w:rPr>
        <w:rFonts w:ascii="Wingdings" w:hAnsi="Wingdings"/>
      </w:rPr>
    </w:lvl>
    <w:lvl w:ilvl="6" w:tplc="932C82EA">
      <w:start w:val="1"/>
      <w:numFmt w:val="bullet"/>
      <w:lvlText w:val=""/>
      <w:lvlJc w:val="left"/>
      <w:pPr>
        <w:tabs>
          <w:tab w:val="num" w:pos="5040"/>
        </w:tabs>
        <w:ind w:left="5040" w:hanging="360"/>
      </w:pPr>
      <w:rPr>
        <w:rFonts w:ascii="Symbol" w:hAnsi="Symbol"/>
      </w:rPr>
    </w:lvl>
    <w:lvl w:ilvl="7" w:tplc="AED831A6">
      <w:start w:val="1"/>
      <w:numFmt w:val="bullet"/>
      <w:lvlText w:val="o"/>
      <w:lvlJc w:val="left"/>
      <w:pPr>
        <w:tabs>
          <w:tab w:val="num" w:pos="5760"/>
        </w:tabs>
        <w:ind w:left="5760" w:hanging="360"/>
      </w:pPr>
      <w:rPr>
        <w:rFonts w:ascii="Courier New" w:hAnsi="Courier New"/>
      </w:rPr>
    </w:lvl>
    <w:lvl w:ilvl="8" w:tplc="0EF07B02">
      <w:start w:val="1"/>
      <w:numFmt w:val="bullet"/>
      <w:lvlText w:val=""/>
      <w:lvlJc w:val="left"/>
      <w:pPr>
        <w:tabs>
          <w:tab w:val="num" w:pos="6480"/>
        </w:tabs>
        <w:ind w:left="6480" w:hanging="360"/>
      </w:pPr>
      <w:rPr>
        <w:rFonts w:ascii="Wingdings" w:hAnsi="Wingdings"/>
      </w:rPr>
    </w:lvl>
  </w:abstractNum>
  <w:num w:numId="1">
    <w:abstractNumId w:val="28"/>
  </w:num>
  <w:num w:numId="2">
    <w:abstractNumId w:val="19"/>
  </w:num>
  <w:num w:numId="3">
    <w:abstractNumId w:val="29"/>
    <w:lvlOverride w:ilvl="0">
      <w:lvl w:ilvl="0">
        <w:start w:val="1"/>
        <w:numFmt w:val="decimal"/>
        <w:pStyle w:val="Heading1"/>
        <w:lvlText w:val="%1."/>
        <w:lvlJc w:val="left"/>
        <w:pPr>
          <w:ind w:left="360" w:hanging="360"/>
        </w:pPr>
      </w:lvl>
    </w:lvlOverride>
    <w:lvlOverride w:ilvl="1">
      <w:lvl w:ilvl="1">
        <w:start w:val="1"/>
        <w:numFmt w:val="decimal"/>
        <w:lvlText w:val="%1.%2."/>
        <w:lvlJc w:val="left"/>
        <w:pPr>
          <w:ind w:left="71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abstractNumId w:val="3"/>
  </w:num>
  <w:num w:numId="5">
    <w:abstractNumId w:val="18"/>
  </w:num>
  <w:num w:numId="6">
    <w:abstractNumId w:val="27"/>
  </w:num>
  <w:num w:numId="7">
    <w:abstractNumId w:val="29"/>
    <w:lvlOverride w:ilvl="0">
      <w:lvl w:ilvl="0">
        <w:start w:val="1"/>
        <w:numFmt w:val="decimal"/>
        <w:pStyle w:val="Heading1"/>
        <w:lvlText w:val="%1."/>
        <w:lvlJc w:val="left"/>
        <w:pPr>
          <w:ind w:left="360" w:hanging="360"/>
        </w:pPr>
      </w:lvl>
    </w:lvlOverride>
    <w:lvlOverride w:ilvl="1">
      <w:lvl w:ilvl="1">
        <w:start w:val="1"/>
        <w:numFmt w:val="decimal"/>
        <w:lvlText w:val="%1.%2."/>
        <w:lvlJc w:val="left"/>
        <w:pPr>
          <w:ind w:left="71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8">
    <w:abstractNumId w:val="29"/>
    <w:lvlOverride w:ilvl="0">
      <w:lvl w:ilvl="0">
        <w:start w:val="1"/>
        <w:numFmt w:val="decimal"/>
        <w:pStyle w:val="Heading1"/>
        <w:lvlText w:val="%1."/>
        <w:lvlJc w:val="left"/>
        <w:pPr>
          <w:ind w:left="360" w:hanging="360"/>
        </w:pPr>
      </w:lvl>
    </w:lvlOverride>
    <w:lvlOverride w:ilvl="1">
      <w:lvl w:ilvl="1">
        <w:start w:val="1"/>
        <w:numFmt w:val="decimal"/>
        <w:lvlText w:val="%1.%2."/>
        <w:lvlJc w:val="left"/>
        <w:pPr>
          <w:ind w:left="71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
    <w:abstractNumId w:val="29"/>
    <w:lvlOverride w:ilvl="0">
      <w:lvl w:ilvl="0">
        <w:start w:val="1"/>
        <w:numFmt w:val="decimal"/>
        <w:pStyle w:val="Heading1"/>
        <w:lvlText w:val="%1."/>
        <w:lvlJc w:val="left"/>
        <w:pPr>
          <w:ind w:left="360" w:hanging="360"/>
        </w:pPr>
        <w:rPr>
          <w:rFonts w:hint="default"/>
        </w:rPr>
      </w:lvl>
    </w:lvlOverride>
    <w:lvlOverride w:ilvl="1">
      <w:lvl w:ilvl="1">
        <w:start w:val="1"/>
        <w:numFmt w:val="decimal"/>
        <w:lvlText w:val="%1.%2."/>
        <w:lvlJc w:val="left"/>
        <w:pPr>
          <w:ind w:left="716"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23"/>
  </w:num>
  <w:num w:numId="11">
    <w:abstractNumId w:val="10"/>
  </w:num>
  <w:num w:numId="12">
    <w:abstractNumId w:val="1"/>
  </w:num>
  <w:num w:numId="13">
    <w:abstractNumId w:val="5"/>
  </w:num>
  <w:num w:numId="14">
    <w:abstractNumId w:val="4"/>
  </w:num>
  <w:num w:numId="15">
    <w:abstractNumId w:val="29"/>
    <w:lvlOverride w:ilvl="0">
      <w:lvl w:ilvl="0">
        <w:start w:val="1"/>
        <w:numFmt w:val="decimal"/>
        <w:pStyle w:val="Heading1"/>
        <w:lvlText w:val="%1."/>
        <w:lvlJc w:val="left"/>
        <w:pPr>
          <w:ind w:left="360" w:hanging="360"/>
        </w:pPr>
      </w:lvl>
    </w:lvlOverride>
    <w:lvlOverride w:ilvl="1">
      <w:lvl w:ilvl="1">
        <w:start w:val="1"/>
        <w:numFmt w:val="decimal"/>
        <w:lvlText w:val="%1.%2."/>
        <w:lvlJc w:val="left"/>
        <w:pPr>
          <w:ind w:left="71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38"/>
  </w:num>
  <w:num w:numId="17">
    <w:abstractNumId w:val="11"/>
  </w:num>
  <w:num w:numId="18">
    <w:abstractNumId w:val="20"/>
  </w:num>
  <w:num w:numId="19">
    <w:abstractNumId w:val="16"/>
  </w:num>
  <w:num w:numId="20">
    <w:abstractNumId w:val="21"/>
  </w:num>
  <w:num w:numId="21">
    <w:abstractNumId w:val="26"/>
  </w:num>
  <w:num w:numId="22">
    <w:abstractNumId w:val="8"/>
  </w:num>
  <w:num w:numId="23">
    <w:abstractNumId w:val="7"/>
  </w:num>
  <w:num w:numId="24">
    <w:abstractNumId w:val="30"/>
  </w:num>
  <w:num w:numId="25">
    <w:abstractNumId w:val="31"/>
  </w:num>
  <w:num w:numId="26">
    <w:abstractNumId w:val="12"/>
  </w:num>
  <w:num w:numId="27">
    <w:abstractNumId w:val="36"/>
  </w:num>
  <w:num w:numId="28">
    <w:abstractNumId w:val="24"/>
  </w:num>
  <w:num w:numId="29">
    <w:abstractNumId w:val="37"/>
  </w:num>
  <w:num w:numId="30">
    <w:abstractNumId w:val="32"/>
  </w:num>
  <w:num w:numId="31">
    <w:abstractNumId w:val="2"/>
  </w:num>
  <w:num w:numId="32">
    <w:abstractNumId w:val="22"/>
  </w:num>
  <w:num w:numId="33">
    <w:abstractNumId w:val="35"/>
  </w:num>
  <w:num w:numId="34">
    <w:abstractNumId w:val="14"/>
  </w:num>
  <w:num w:numId="35">
    <w:abstractNumId w:val="33"/>
  </w:num>
  <w:num w:numId="36">
    <w:abstractNumId w:val="17"/>
  </w:num>
  <w:num w:numId="37">
    <w:abstractNumId w:val="9"/>
  </w:num>
  <w:num w:numId="38">
    <w:abstractNumId w:val="34"/>
  </w:num>
  <w:num w:numId="39">
    <w:abstractNumId w:val="13"/>
  </w:num>
  <w:num w:numId="40">
    <w:abstractNumId w:val="29"/>
    <w:lvlOverride w:ilvl="0">
      <w:lvl w:ilvl="0">
        <w:start w:val="1"/>
        <w:numFmt w:val="decimal"/>
        <w:pStyle w:val="Heading1"/>
        <w:lvlText w:val="%1."/>
        <w:lvlJc w:val="left"/>
        <w:pPr>
          <w:ind w:left="360" w:hanging="360"/>
        </w:pPr>
      </w:lvl>
    </w:lvlOverride>
    <w:lvlOverride w:ilvl="1">
      <w:lvl w:ilvl="1">
        <w:start w:val="1"/>
        <w:numFmt w:val="decimal"/>
        <w:lvlText w:val="%1.%2."/>
        <w:lvlJc w:val="left"/>
        <w:pPr>
          <w:ind w:left="71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1">
    <w:abstractNumId w:val="25"/>
  </w:num>
  <w:num w:numId="42">
    <w:abstractNumId w:val="6"/>
  </w:num>
  <w:num w:numId="43">
    <w:abstractNumId w:val="15"/>
  </w:num>
  <w:num w:numId="44">
    <w:abstractNumId w:val="0"/>
  </w:num>
  <w:num w:numId="45">
    <w:abstractNumId w:val="29"/>
    <w:lvlOverride w:ilvl="0">
      <w:lvl w:ilvl="0">
        <w:start w:val="1"/>
        <w:numFmt w:val="decimal"/>
        <w:pStyle w:val="Heading1"/>
        <w:lvlText w:val="%1."/>
        <w:lvlJc w:val="left"/>
        <w:pPr>
          <w:ind w:left="360" w:hanging="360"/>
        </w:pPr>
      </w:lvl>
    </w:lvlOverride>
    <w:lvlOverride w:ilvl="1">
      <w:lvl w:ilvl="1">
        <w:start w:val="1"/>
        <w:numFmt w:val="decimal"/>
        <w:lvlText w:val="%1.%2."/>
        <w:lvlJc w:val="left"/>
        <w:pPr>
          <w:ind w:left="71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6A7"/>
    <w:rsid w:val="00000039"/>
    <w:rsid w:val="000007CC"/>
    <w:rsid w:val="00000F2A"/>
    <w:rsid w:val="00000FC1"/>
    <w:rsid w:val="0000100B"/>
    <w:rsid w:val="0000165A"/>
    <w:rsid w:val="00001784"/>
    <w:rsid w:val="00001B61"/>
    <w:rsid w:val="0000277C"/>
    <w:rsid w:val="000027AA"/>
    <w:rsid w:val="00002918"/>
    <w:rsid w:val="00002A4B"/>
    <w:rsid w:val="00003297"/>
    <w:rsid w:val="000033FB"/>
    <w:rsid w:val="0000341F"/>
    <w:rsid w:val="0000358A"/>
    <w:rsid w:val="00003D37"/>
    <w:rsid w:val="0000402C"/>
    <w:rsid w:val="0000433B"/>
    <w:rsid w:val="00004D34"/>
    <w:rsid w:val="00004DAF"/>
    <w:rsid w:val="00004FA6"/>
    <w:rsid w:val="00005561"/>
    <w:rsid w:val="000055E9"/>
    <w:rsid w:val="00005616"/>
    <w:rsid w:val="000056BC"/>
    <w:rsid w:val="00005A34"/>
    <w:rsid w:val="00005C05"/>
    <w:rsid w:val="00005DAF"/>
    <w:rsid w:val="00005EB3"/>
    <w:rsid w:val="00005F5F"/>
    <w:rsid w:val="00006091"/>
    <w:rsid w:val="000061A6"/>
    <w:rsid w:val="000068CD"/>
    <w:rsid w:val="00006ACC"/>
    <w:rsid w:val="00006B28"/>
    <w:rsid w:val="00006E5C"/>
    <w:rsid w:val="00007005"/>
    <w:rsid w:val="000073A3"/>
    <w:rsid w:val="000074BC"/>
    <w:rsid w:val="000076C3"/>
    <w:rsid w:val="0000782B"/>
    <w:rsid w:val="00007947"/>
    <w:rsid w:val="00007CF2"/>
    <w:rsid w:val="00007D5C"/>
    <w:rsid w:val="00007F32"/>
    <w:rsid w:val="0001041D"/>
    <w:rsid w:val="00010432"/>
    <w:rsid w:val="000104AC"/>
    <w:rsid w:val="000108CF"/>
    <w:rsid w:val="000108D6"/>
    <w:rsid w:val="00010C48"/>
    <w:rsid w:val="00010C4A"/>
    <w:rsid w:val="00010F58"/>
    <w:rsid w:val="00010F68"/>
    <w:rsid w:val="00010FD8"/>
    <w:rsid w:val="00011108"/>
    <w:rsid w:val="00011AB8"/>
    <w:rsid w:val="0001204B"/>
    <w:rsid w:val="000123EF"/>
    <w:rsid w:val="00012401"/>
    <w:rsid w:val="00012439"/>
    <w:rsid w:val="000127F6"/>
    <w:rsid w:val="00012A9A"/>
    <w:rsid w:val="00012D35"/>
    <w:rsid w:val="00012D4C"/>
    <w:rsid w:val="00012DDD"/>
    <w:rsid w:val="00012E17"/>
    <w:rsid w:val="00012F33"/>
    <w:rsid w:val="00012F7A"/>
    <w:rsid w:val="00013381"/>
    <w:rsid w:val="00013A72"/>
    <w:rsid w:val="00013B05"/>
    <w:rsid w:val="00013B8C"/>
    <w:rsid w:val="000141C6"/>
    <w:rsid w:val="000141F9"/>
    <w:rsid w:val="00014297"/>
    <w:rsid w:val="000142E6"/>
    <w:rsid w:val="000144FA"/>
    <w:rsid w:val="000149F5"/>
    <w:rsid w:val="00014ECE"/>
    <w:rsid w:val="00014EE8"/>
    <w:rsid w:val="00014EEE"/>
    <w:rsid w:val="0001531C"/>
    <w:rsid w:val="0001546A"/>
    <w:rsid w:val="00015626"/>
    <w:rsid w:val="000157D1"/>
    <w:rsid w:val="00015831"/>
    <w:rsid w:val="0001623B"/>
    <w:rsid w:val="000164BA"/>
    <w:rsid w:val="00016632"/>
    <w:rsid w:val="0001687B"/>
    <w:rsid w:val="00016A2D"/>
    <w:rsid w:val="00016A66"/>
    <w:rsid w:val="00016E8C"/>
    <w:rsid w:val="00017310"/>
    <w:rsid w:val="00017318"/>
    <w:rsid w:val="000177C5"/>
    <w:rsid w:val="00017BB4"/>
    <w:rsid w:val="00017C84"/>
    <w:rsid w:val="00017FEE"/>
    <w:rsid w:val="0002028E"/>
    <w:rsid w:val="00020706"/>
    <w:rsid w:val="0002082E"/>
    <w:rsid w:val="00020A6C"/>
    <w:rsid w:val="00020DE6"/>
    <w:rsid w:val="00020DF8"/>
    <w:rsid w:val="00020F30"/>
    <w:rsid w:val="00020F7F"/>
    <w:rsid w:val="00021023"/>
    <w:rsid w:val="000210F4"/>
    <w:rsid w:val="000211DD"/>
    <w:rsid w:val="0002126A"/>
    <w:rsid w:val="000215A6"/>
    <w:rsid w:val="000215BC"/>
    <w:rsid w:val="00021B76"/>
    <w:rsid w:val="00021F91"/>
    <w:rsid w:val="00022083"/>
    <w:rsid w:val="00022524"/>
    <w:rsid w:val="00022874"/>
    <w:rsid w:val="00022917"/>
    <w:rsid w:val="00022943"/>
    <w:rsid w:val="00022B1B"/>
    <w:rsid w:val="00022BA7"/>
    <w:rsid w:val="00022EB4"/>
    <w:rsid w:val="0002314F"/>
    <w:rsid w:val="00023228"/>
    <w:rsid w:val="00023637"/>
    <w:rsid w:val="0002366F"/>
    <w:rsid w:val="000236DA"/>
    <w:rsid w:val="00023758"/>
    <w:rsid w:val="00023A78"/>
    <w:rsid w:val="00023DA0"/>
    <w:rsid w:val="00023DEB"/>
    <w:rsid w:val="00023E97"/>
    <w:rsid w:val="00023F8E"/>
    <w:rsid w:val="00024216"/>
    <w:rsid w:val="000242C3"/>
    <w:rsid w:val="000244D2"/>
    <w:rsid w:val="000245F2"/>
    <w:rsid w:val="00024623"/>
    <w:rsid w:val="0002469C"/>
    <w:rsid w:val="000248A2"/>
    <w:rsid w:val="000248D6"/>
    <w:rsid w:val="0002498F"/>
    <w:rsid w:val="00024C2A"/>
    <w:rsid w:val="00024F42"/>
    <w:rsid w:val="00025132"/>
    <w:rsid w:val="000252E3"/>
    <w:rsid w:val="00025540"/>
    <w:rsid w:val="000256DB"/>
    <w:rsid w:val="000257C2"/>
    <w:rsid w:val="00026000"/>
    <w:rsid w:val="00026033"/>
    <w:rsid w:val="00026401"/>
    <w:rsid w:val="000264EC"/>
    <w:rsid w:val="000264F6"/>
    <w:rsid w:val="0002668E"/>
    <w:rsid w:val="00026A60"/>
    <w:rsid w:val="00026D8E"/>
    <w:rsid w:val="00027437"/>
    <w:rsid w:val="0002758A"/>
    <w:rsid w:val="000275EE"/>
    <w:rsid w:val="00027902"/>
    <w:rsid w:val="00027B12"/>
    <w:rsid w:val="00027C77"/>
    <w:rsid w:val="00030004"/>
    <w:rsid w:val="00030009"/>
    <w:rsid w:val="00030028"/>
    <w:rsid w:val="00030173"/>
    <w:rsid w:val="000301FD"/>
    <w:rsid w:val="0003041E"/>
    <w:rsid w:val="00030437"/>
    <w:rsid w:val="00030566"/>
    <w:rsid w:val="000308CA"/>
    <w:rsid w:val="00030E1B"/>
    <w:rsid w:val="00030F61"/>
    <w:rsid w:val="00030F81"/>
    <w:rsid w:val="000311B0"/>
    <w:rsid w:val="00031324"/>
    <w:rsid w:val="0003170F"/>
    <w:rsid w:val="00031996"/>
    <w:rsid w:val="000320A8"/>
    <w:rsid w:val="0003281D"/>
    <w:rsid w:val="0003297D"/>
    <w:rsid w:val="00032AD1"/>
    <w:rsid w:val="0003331B"/>
    <w:rsid w:val="00033B38"/>
    <w:rsid w:val="00033CC8"/>
    <w:rsid w:val="000345CB"/>
    <w:rsid w:val="0003486B"/>
    <w:rsid w:val="00034875"/>
    <w:rsid w:val="00034921"/>
    <w:rsid w:val="00034C0A"/>
    <w:rsid w:val="00034E5D"/>
    <w:rsid w:val="00034F37"/>
    <w:rsid w:val="0003516A"/>
    <w:rsid w:val="000351E8"/>
    <w:rsid w:val="000352FA"/>
    <w:rsid w:val="000353AE"/>
    <w:rsid w:val="00035585"/>
    <w:rsid w:val="000356D3"/>
    <w:rsid w:val="00035AB7"/>
    <w:rsid w:val="00035CBA"/>
    <w:rsid w:val="00035E71"/>
    <w:rsid w:val="00035F46"/>
    <w:rsid w:val="000363D4"/>
    <w:rsid w:val="000364F0"/>
    <w:rsid w:val="00036A21"/>
    <w:rsid w:val="00036B0C"/>
    <w:rsid w:val="00036B53"/>
    <w:rsid w:val="00036C03"/>
    <w:rsid w:val="00036D13"/>
    <w:rsid w:val="000371BB"/>
    <w:rsid w:val="00037216"/>
    <w:rsid w:val="0003737D"/>
    <w:rsid w:val="00037755"/>
    <w:rsid w:val="000377AB"/>
    <w:rsid w:val="00037A2D"/>
    <w:rsid w:val="00037A63"/>
    <w:rsid w:val="00037AE2"/>
    <w:rsid w:val="00037B18"/>
    <w:rsid w:val="00037B6D"/>
    <w:rsid w:val="00037CA2"/>
    <w:rsid w:val="00037D51"/>
    <w:rsid w:val="00040227"/>
    <w:rsid w:val="00040A41"/>
    <w:rsid w:val="00040BAB"/>
    <w:rsid w:val="00040EB3"/>
    <w:rsid w:val="00040F3A"/>
    <w:rsid w:val="00040F3F"/>
    <w:rsid w:val="000410BA"/>
    <w:rsid w:val="00041105"/>
    <w:rsid w:val="000415B9"/>
    <w:rsid w:val="0004166C"/>
    <w:rsid w:val="0004186F"/>
    <w:rsid w:val="00041987"/>
    <w:rsid w:val="0004199E"/>
    <w:rsid w:val="00041C10"/>
    <w:rsid w:val="00041EE5"/>
    <w:rsid w:val="0004227E"/>
    <w:rsid w:val="00042316"/>
    <w:rsid w:val="0004231E"/>
    <w:rsid w:val="0004267A"/>
    <w:rsid w:val="000426F8"/>
    <w:rsid w:val="000427D0"/>
    <w:rsid w:val="00042C41"/>
    <w:rsid w:val="00042E1E"/>
    <w:rsid w:val="00042F4D"/>
    <w:rsid w:val="000436E6"/>
    <w:rsid w:val="00043815"/>
    <w:rsid w:val="000438F4"/>
    <w:rsid w:val="0004391F"/>
    <w:rsid w:val="00043B1C"/>
    <w:rsid w:val="00043CCD"/>
    <w:rsid w:val="00043DC8"/>
    <w:rsid w:val="00043E98"/>
    <w:rsid w:val="00044C07"/>
    <w:rsid w:val="00044EDB"/>
    <w:rsid w:val="00044EFA"/>
    <w:rsid w:val="000450B8"/>
    <w:rsid w:val="000458B7"/>
    <w:rsid w:val="00045944"/>
    <w:rsid w:val="000459A0"/>
    <w:rsid w:val="00045A15"/>
    <w:rsid w:val="00045AAC"/>
    <w:rsid w:val="00045B03"/>
    <w:rsid w:val="00045B3D"/>
    <w:rsid w:val="00045B50"/>
    <w:rsid w:val="00045EE8"/>
    <w:rsid w:val="00045F64"/>
    <w:rsid w:val="00046158"/>
    <w:rsid w:val="0004627D"/>
    <w:rsid w:val="000462B1"/>
    <w:rsid w:val="00046583"/>
    <w:rsid w:val="000468A0"/>
    <w:rsid w:val="00046917"/>
    <w:rsid w:val="0004697A"/>
    <w:rsid w:val="00046AC4"/>
    <w:rsid w:val="00046C63"/>
    <w:rsid w:val="00046E70"/>
    <w:rsid w:val="00047507"/>
    <w:rsid w:val="00047576"/>
    <w:rsid w:val="000477A6"/>
    <w:rsid w:val="00047C71"/>
    <w:rsid w:val="00047D19"/>
    <w:rsid w:val="00047F7B"/>
    <w:rsid w:val="00050010"/>
    <w:rsid w:val="0005005B"/>
    <w:rsid w:val="00050133"/>
    <w:rsid w:val="000501E5"/>
    <w:rsid w:val="00050433"/>
    <w:rsid w:val="00050506"/>
    <w:rsid w:val="00050A46"/>
    <w:rsid w:val="00050AE6"/>
    <w:rsid w:val="00050AEF"/>
    <w:rsid w:val="00050B29"/>
    <w:rsid w:val="00050B85"/>
    <w:rsid w:val="00050D80"/>
    <w:rsid w:val="00050F03"/>
    <w:rsid w:val="00050F8E"/>
    <w:rsid w:val="000510B3"/>
    <w:rsid w:val="00051145"/>
    <w:rsid w:val="00051164"/>
    <w:rsid w:val="00051540"/>
    <w:rsid w:val="00051610"/>
    <w:rsid w:val="0005162C"/>
    <w:rsid w:val="0005196E"/>
    <w:rsid w:val="00051EF0"/>
    <w:rsid w:val="00052072"/>
    <w:rsid w:val="000520F0"/>
    <w:rsid w:val="000522C2"/>
    <w:rsid w:val="00052467"/>
    <w:rsid w:val="00052521"/>
    <w:rsid w:val="00052695"/>
    <w:rsid w:val="000527DB"/>
    <w:rsid w:val="00052B7F"/>
    <w:rsid w:val="00052E25"/>
    <w:rsid w:val="00053125"/>
    <w:rsid w:val="000531A8"/>
    <w:rsid w:val="00053401"/>
    <w:rsid w:val="00053453"/>
    <w:rsid w:val="00053468"/>
    <w:rsid w:val="00053A5E"/>
    <w:rsid w:val="00053CF6"/>
    <w:rsid w:val="00054188"/>
    <w:rsid w:val="00054420"/>
    <w:rsid w:val="000545B5"/>
    <w:rsid w:val="00054D2A"/>
    <w:rsid w:val="00054D79"/>
    <w:rsid w:val="00054EA7"/>
    <w:rsid w:val="00055078"/>
    <w:rsid w:val="00055208"/>
    <w:rsid w:val="0005526B"/>
    <w:rsid w:val="00055442"/>
    <w:rsid w:val="0005548C"/>
    <w:rsid w:val="000555BD"/>
    <w:rsid w:val="00055739"/>
    <w:rsid w:val="000558F5"/>
    <w:rsid w:val="00055948"/>
    <w:rsid w:val="000559C6"/>
    <w:rsid w:val="00055B97"/>
    <w:rsid w:val="00055BB3"/>
    <w:rsid w:val="00055D78"/>
    <w:rsid w:val="00055E58"/>
    <w:rsid w:val="00056176"/>
    <w:rsid w:val="0005617F"/>
    <w:rsid w:val="00056310"/>
    <w:rsid w:val="000567BA"/>
    <w:rsid w:val="00056A3C"/>
    <w:rsid w:val="00056C0F"/>
    <w:rsid w:val="0005702F"/>
    <w:rsid w:val="00057753"/>
    <w:rsid w:val="000577FD"/>
    <w:rsid w:val="00057B94"/>
    <w:rsid w:val="00057DC8"/>
    <w:rsid w:val="0006005F"/>
    <w:rsid w:val="000603E6"/>
    <w:rsid w:val="00060676"/>
    <w:rsid w:val="00060715"/>
    <w:rsid w:val="00060C0D"/>
    <w:rsid w:val="00060E64"/>
    <w:rsid w:val="000612D6"/>
    <w:rsid w:val="000613E1"/>
    <w:rsid w:val="00061617"/>
    <w:rsid w:val="0006163F"/>
    <w:rsid w:val="00061892"/>
    <w:rsid w:val="000618B2"/>
    <w:rsid w:val="00061914"/>
    <w:rsid w:val="00061C66"/>
    <w:rsid w:val="00061CBD"/>
    <w:rsid w:val="00061CCC"/>
    <w:rsid w:val="00061E67"/>
    <w:rsid w:val="00061EE8"/>
    <w:rsid w:val="00061F14"/>
    <w:rsid w:val="00062171"/>
    <w:rsid w:val="000624F5"/>
    <w:rsid w:val="00062716"/>
    <w:rsid w:val="00062CF0"/>
    <w:rsid w:val="00062D92"/>
    <w:rsid w:val="00062E60"/>
    <w:rsid w:val="00062E7F"/>
    <w:rsid w:val="00063210"/>
    <w:rsid w:val="0006330C"/>
    <w:rsid w:val="00063418"/>
    <w:rsid w:val="000634F3"/>
    <w:rsid w:val="000635F3"/>
    <w:rsid w:val="0006369F"/>
    <w:rsid w:val="00063D1A"/>
    <w:rsid w:val="000640C9"/>
    <w:rsid w:val="000642C3"/>
    <w:rsid w:val="000645E0"/>
    <w:rsid w:val="000645EF"/>
    <w:rsid w:val="00064784"/>
    <w:rsid w:val="00064879"/>
    <w:rsid w:val="00064AC7"/>
    <w:rsid w:val="00064AF4"/>
    <w:rsid w:val="00064C9B"/>
    <w:rsid w:val="00065003"/>
    <w:rsid w:val="00065273"/>
    <w:rsid w:val="000652DA"/>
    <w:rsid w:val="000656AE"/>
    <w:rsid w:val="000659A5"/>
    <w:rsid w:val="0006614C"/>
    <w:rsid w:val="000666BF"/>
    <w:rsid w:val="00066721"/>
    <w:rsid w:val="00066ACE"/>
    <w:rsid w:val="00066B4C"/>
    <w:rsid w:val="00066E6C"/>
    <w:rsid w:val="00067494"/>
    <w:rsid w:val="0006761D"/>
    <w:rsid w:val="00067C93"/>
    <w:rsid w:val="00067DE6"/>
    <w:rsid w:val="00067F4E"/>
    <w:rsid w:val="00067FA6"/>
    <w:rsid w:val="00070237"/>
    <w:rsid w:val="00070312"/>
    <w:rsid w:val="00070647"/>
    <w:rsid w:val="000708B6"/>
    <w:rsid w:val="00070A73"/>
    <w:rsid w:val="00070AB8"/>
    <w:rsid w:val="00070AFC"/>
    <w:rsid w:val="00070D8C"/>
    <w:rsid w:val="00071161"/>
    <w:rsid w:val="0007127D"/>
    <w:rsid w:val="00071450"/>
    <w:rsid w:val="000716AE"/>
    <w:rsid w:val="0007176A"/>
    <w:rsid w:val="000717BF"/>
    <w:rsid w:val="00071837"/>
    <w:rsid w:val="000722C0"/>
    <w:rsid w:val="00072385"/>
    <w:rsid w:val="00072827"/>
    <w:rsid w:val="00072851"/>
    <w:rsid w:val="000728AD"/>
    <w:rsid w:val="000728F6"/>
    <w:rsid w:val="00072BC6"/>
    <w:rsid w:val="00072F0E"/>
    <w:rsid w:val="00073139"/>
    <w:rsid w:val="00073147"/>
    <w:rsid w:val="00073164"/>
    <w:rsid w:val="00073185"/>
    <w:rsid w:val="000731A3"/>
    <w:rsid w:val="00073275"/>
    <w:rsid w:val="000733DC"/>
    <w:rsid w:val="00073632"/>
    <w:rsid w:val="00073814"/>
    <w:rsid w:val="00073B10"/>
    <w:rsid w:val="00073EBE"/>
    <w:rsid w:val="0007400B"/>
    <w:rsid w:val="000740B3"/>
    <w:rsid w:val="000740EA"/>
    <w:rsid w:val="0007445C"/>
    <w:rsid w:val="00074C84"/>
    <w:rsid w:val="00074F60"/>
    <w:rsid w:val="00075461"/>
    <w:rsid w:val="00075708"/>
    <w:rsid w:val="000758F4"/>
    <w:rsid w:val="00075A23"/>
    <w:rsid w:val="00075EBD"/>
    <w:rsid w:val="0007611E"/>
    <w:rsid w:val="000762D4"/>
    <w:rsid w:val="0007664D"/>
    <w:rsid w:val="000766BA"/>
    <w:rsid w:val="00076CE8"/>
    <w:rsid w:val="00076FC8"/>
    <w:rsid w:val="00077170"/>
    <w:rsid w:val="0007725E"/>
    <w:rsid w:val="0007731D"/>
    <w:rsid w:val="00077B86"/>
    <w:rsid w:val="00077B8D"/>
    <w:rsid w:val="00077CDA"/>
    <w:rsid w:val="00077D34"/>
    <w:rsid w:val="00077F2B"/>
    <w:rsid w:val="000801D2"/>
    <w:rsid w:val="00080435"/>
    <w:rsid w:val="00080B3F"/>
    <w:rsid w:val="00080BF1"/>
    <w:rsid w:val="00080C75"/>
    <w:rsid w:val="00080CB3"/>
    <w:rsid w:val="00080FD0"/>
    <w:rsid w:val="00081164"/>
    <w:rsid w:val="0008146C"/>
    <w:rsid w:val="000815B6"/>
    <w:rsid w:val="000816B9"/>
    <w:rsid w:val="000817C1"/>
    <w:rsid w:val="00081823"/>
    <w:rsid w:val="000818C8"/>
    <w:rsid w:val="000819AB"/>
    <w:rsid w:val="000819C8"/>
    <w:rsid w:val="00081AD7"/>
    <w:rsid w:val="00081CF1"/>
    <w:rsid w:val="0008224C"/>
    <w:rsid w:val="000824A5"/>
    <w:rsid w:val="0008278F"/>
    <w:rsid w:val="0008290E"/>
    <w:rsid w:val="00082DC5"/>
    <w:rsid w:val="000831C1"/>
    <w:rsid w:val="00083254"/>
    <w:rsid w:val="000832F8"/>
    <w:rsid w:val="000833DC"/>
    <w:rsid w:val="00083567"/>
    <w:rsid w:val="000835B1"/>
    <w:rsid w:val="00083A21"/>
    <w:rsid w:val="00083ADF"/>
    <w:rsid w:val="00083B2A"/>
    <w:rsid w:val="00083DF3"/>
    <w:rsid w:val="00083F71"/>
    <w:rsid w:val="0008412A"/>
    <w:rsid w:val="00084649"/>
    <w:rsid w:val="0008480F"/>
    <w:rsid w:val="0008483F"/>
    <w:rsid w:val="00084866"/>
    <w:rsid w:val="00084BEA"/>
    <w:rsid w:val="00084C7B"/>
    <w:rsid w:val="00084D4A"/>
    <w:rsid w:val="00084FA0"/>
    <w:rsid w:val="0008539D"/>
    <w:rsid w:val="00085455"/>
    <w:rsid w:val="000854A4"/>
    <w:rsid w:val="00085525"/>
    <w:rsid w:val="00085670"/>
    <w:rsid w:val="00085685"/>
    <w:rsid w:val="0008580C"/>
    <w:rsid w:val="00085AFA"/>
    <w:rsid w:val="00085D31"/>
    <w:rsid w:val="00085F3A"/>
    <w:rsid w:val="00085F6A"/>
    <w:rsid w:val="0008606D"/>
    <w:rsid w:val="0008610F"/>
    <w:rsid w:val="0008628B"/>
    <w:rsid w:val="0008651B"/>
    <w:rsid w:val="0008687A"/>
    <w:rsid w:val="0008693E"/>
    <w:rsid w:val="00086B21"/>
    <w:rsid w:val="00086D1E"/>
    <w:rsid w:val="00086E7E"/>
    <w:rsid w:val="00086EDB"/>
    <w:rsid w:val="00087098"/>
    <w:rsid w:val="000871F3"/>
    <w:rsid w:val="0008744E"/>
    <w:rsid w:val="00087493"/>
    <w:rsid w:val="000874D1"/>
    <w:rsid w:val="0008760E"/>
    <w:rsid w:val="000878F7"/>
    <w:rsid w:val="0008799D"/>
    <w:rsid w:val="00087B0B"/>
    <w:rsid w:val="00087D32"/>
    <w:rsid w:val="00087E21"/>
    <w:rsid w:val="00090A08"/>
    <w:rsid w:val="00090B04"/>
    <w:rsid w:val="00090ED3"/>
    <w:rsid w:val="00091140"/>
    <w:rsid w:val="000912C1"/>
    <w:rsid w:val="000914BF"/>
    <w:rsid w:val="00091771"/>
    <w:rsid w:val="000918B2"/>
    <w:rsid w:val="000919DB"/>
    <w:rsid w:val="00091A80"/>
    <w:rsid w:val="0009202C"/>
    <w:rsid w:val="0009234C"/>
    <w:rsid w:val="000924C6"/>
    <w:rsid w:val="0009268A"/>
    <w:rsid w:val="00092719"/>
    <w:rsid w:val="0009296C"/>
    <w:rsid w:val="00092A0C"/>
    <w:rsid w:val="00092A18"/>
    <w:rsid w:val="00092A70"/>
    <w:rsid w:val="00092CEE"/>
    <w:rsid w:val="00092F05"/>
    <w:rsid w:val="000930EC"/>
    <w:rsid w:val="000935C4"/>
    <w:rsid w:val="00093750"/>
    <w:rsid w:val="0009377B"/>
    <w:rsid w:val="00093B87"/>
    <w:rsid w:val="00093BA2"/>
    <w:rsid w:val="00093C32"/>
    <w:rsid w:val="00093CB7"/>
    <w:rsid w:val="00093DF4"/>
    <w:rsid w:val="00093EE2"/>
    <w:rsid w:val="00093F00"/>
    <w:rsid w:val="000943A6"/>
    <w:rsid w:val="0009444F"/>
    <w:rsid w:val="00094612"/>
    <w:rsid w:val="0009498C"/>
    <w:rsid w:val="00094A71"/>
    <w:rsid w:val="00094A96"/>
    <w:rsid w:val="00094DD7"/>
    <w:rsid w:val="00095084"/>
    <w:rsid w:val="000950A8"/>
    <w:rsid w:val="00095334"/>
    <w:rsid w:val="000953BC"/>
    <w:rsid w:val="0009546E"/>
    <w:rsid w:val="0009558E"/>
    <w:rsid w:val="00095604"/>
    <w:rsid w:val="00095614"/>
    <w:rsid w:val="00095967"/>
    <w:rsid w:val="0009599A"/>
    <w:rsid w:val="00095C22"/>
    <w:rsid w:val="00095D15"/>
    <w:rsid w:val="00096121"/>
    <w:rsid w:val="000962C3"/>
    <w:rsid w:val="00096396"/>
    <w:rsid w:val="000964E1"/>
    <w:rsid w:val="0009669B"/>
    <w:rsid w:val="000966BA"/>
    <w:rsid w:val="00096741"/>
    <w:rsid w:val="000969AF"/>
    <w:rsid w:val="00096BCD"/>
    <w:rsid w:val="00096DF1"/>
    <w:rsid w:val="0009712D"/>
    <w:rsid w:val="00097227"/>
    <w:rsid w:val="00097320"/>
    <w:rsid w:val="000977E7"/>
    <w:rsid w:val="000A0045"/>
    <w:rsid w:val="000A00B0"/>
    <w:rsid w:val="000A0864"/>
    <w:rsid w:val="000A0BBA"/>
    <w:rsid w:val="000A0C55"/>
    <w:rsid w:val="000A1345"/>
    <w:rsid w:val="000A1370"/>
    <w:rsid w:val="000A151F"/>
    <w:rsid w:val="000A1853"/>
    <w:rsid w:val="000A192E"/>
    <w:rsid w:val="000A1958"/>
    <w:rsid w:val="000A19EA"/>
    <w:rsid w:val="000A1B1E"/>
    <w:rsid w:val="000A2385"/>
    <w:rsid w:val="000A23CD"/>
    <w:rsid w:val="000A2B59"/>
    <w:rsid w:val="000A2F8B"/>
    <w:rsid w:val="000A3075"/>
    <w:rsid w:val="000A33E0"/>
    <w:rsid w:val="000A34DA"/>
    <w:rsid w:val="000A3569"/>
    <w:rsid w:val="000A3818"/>
    <w:rsid w:val="000A3A22"/>
    <w:rsid w:val="000A3B5C"/>
    <w:rsid w:val="000A3BFC"/>
    <w:rsid w:val="000A3D94"/>
    <w:rsid w:val="000A40A9"/>
    <w:rsid w:val="000A40E0"/>
    <w:rsid w:val="000A4297"/>
    <w:rsid w:val="000A42B9"/>
    <w:rsid w:val="000A43CE"/>
    <w:rsid w:val="000A43D3"/>
    <w:rsid w:val="000A45C7"/>
    <w:rsid w:val="000A4994"/>
    <w:rsid w:val="000A4A01"/>
    <w:rsid w:val="000A4A2D"/>
    <w:rsid w:val="000A4C0A"/>
    <w:rsid w:val="000A4F66"/>
    <w:rsid w:val="000A5044"/>
    <w:rsid w:val="000A51E9"/>
    <w:rsid w:val="000A5236"/>
    <w:rsid w:val="000A5280"/>
    <w:rsid w:val="000A537A"/>
    <w:rsid w:val="000A541C"/>
    <w:rsid w:val="000A55DA"/>
    <w:rsid w:val="000A571D"/>
    <w:rsid w:val="000A5BFC"/>
    <w:rsid w:val="000A5D5F"/>
    <w:rsid w:val="000A6058"/>
    <w:rsid w:val="000A62DE"/>
    <w:rsid w:val="000A6314"/>
    <w:rsid w:val="000A683C"/>
    <w:rsid w:val="000A6B90"/>
    <w:rsid w:val="000A6EA8"/>
    <w:rsid w:val="000A6FD2"/>
    <w:rsid w:val="000A7584"/>
    <w:rsid w:val="000A7658"/>
    <w:rsid w:val="000A767B"/>
    <w:rsid w:val="000A7693"/>
    <w:rsid w:val="000A7743"/>
    <w:rsid w:val="000A7D88"/>
    <w:rsid w:val="000B045A"/>
    <w:rsid w:val="000B0726"/>
    <w:rsid w:val="000B0780"/>
    <w:rsid w:val="000B1000"/>
    <w:rsid w:val="000B1062"/>
    <w:rsid w:val="000B135D"/>
    <w:rsid w:val="000B1483"/>
    <w:rsid w:val="000B149B"/>
    <w:rsid w:val="000B18F8"/>
    <w:rsid w:val="000B1906"/>
    <w:rsid w:val="000B1BA4"/>
    <w:rsid w:val="000B1F25"/>
    <w:rsid w:val="000B25D6"/>
    <w:rsid w:val="000B2747"/>
    <w:rsid w:val="000B287F"/>
    <w:rsid w:val="000B2910"/>
    <w:rsid w:val="000B2B8A"/>
    <w:rsid w:val="000B2BFB"/>
    <w:rsid w:val="000B3014"/>
    <w:rsid w:val="000B328F"/>
    <w:rsid w:val="000B356D"/>
    <w:rsid w:val="000B3615"/>
    <w:rsid w:val="000B390E"/>
    <w:rsid w:val="000B3C56"/>
    <w:rsid w:val="000B40BD"/>
    <w:rsid w:val="000B46DE"/>
    <w:rsid w:val="000B47EA"/>
    <w:rsid w:val="000B4B3E"/>
    <w:rsid w:val="000B4DCB"/>
    <w:rsid w:val="000B4DFD"/>
    <w:rsid w:val="000B4F48"/>
    <w:rsid w:val="000B4F54"/>
    <w:rsid w:val="000B53E7"/>
    <w:rsid w:val="000B5563"/>
    <w:rsid w:val="000B55C7"/>
    <w:rsid w:val="000B5971"/>
    <w:rsid w:val="000B5CDA"/>
    <w:rsid w:val="000B5DE2"/>
    <w:rsid w:val="000B5F8F"/>
    <w:rsid w:val="000B61A3"/>
    <w:rsid w:val="000B68F1"/>
    <w:rsid w:val="000B6A18"/>
    <w:rsid w:val="000B6ACA"/>
    <w:rsid w:val="000B6B07"/>
    <w:rsid w:val="000B6E59"/>
    <w:rsid w:val="000B6E66"/>
    <w:rsid w:val="000B6F58"/>
    <w:rsid w:val="000B7031"/>
    <w:rsid w:val="000B74A5"/>
    <w:rsid w:val="000B7796"/>
    <w:rsid w:val="000B7C82"/>
    <w:rsid w:val="000B7CF2"/>
    <w:rsid w:val="000B7EBB"/>
    <w:rsid w:val="000C006E"/>
    <w:rsid w:val="000C021B"/>
    <w:rsid w:val="000C0651"/>
    <w:rsid w:val="000C08C2"/>
    <w:rsid w:val="000C10B4"/>
    <w:rsid w:val="000C1458"/>
    <w:rsid w:val="000C14F0"/>
    <w:rsid w:val="000C1677"/>
    <w:rsid w:val="000C1679"/>
    <w:rsid w:val="000C1B6C"/>
    <w:rsid w:val="000C1CD6"/>
    <w:rsid w:val="000C1D78"/>
    <w:rsid w:val="000C1FC8"/>
    <w:rsid w:val="000C201A"/>
    <w:rsid w:val="000C20DA"/>
    <w:rsid w:val="000C220D"/>
    <w:rsid w:val="000C24FE"/>
    <w:rsid w:val="000C29C2"/>
    <w:rsid w:val="000C2DF9"/>
    <w:rsid w:val="000C2E4C"/>
    <w:rsid w:val="000C30E3"/>
    <w:rsid w:val="000C31CF"/>
    <w:rsid w:val="000C34C8"/>
    <w:rsid w:val="000C3825"/>
    <w:rsid w:val="000C3874"/>
    <w:rsid w:val="000C3A1F"/>
    <w:rsid w:val="000C3E94"/>
    <w:rsid w:val="000C3F54"/>
    <w:rsid w:val="000C4279"/>
    <w:rsid w:val="000C434A"/>
    <w:rsid w:val="000C4538"/>
    <w:rsid w:val="000C4775"/>
    <w:rsid w:val="000C4816"/>
    <w:rsid w:val="000C49AD"/>
    <w:rsid w:val="000C4A0F"/>
    <w:rsid w:val="000C4DE9"/>
    <w:rsid w:val="000C4DEE"/>
    <w:rsid w:val="000C5258"/>
    <w:rsid w:val="000C5333"/>
    <w:rsid w:val="000C5443"/>
    <w:rsid w:val="000C567F"/>
    <w:rsid w:val="000C5773"/>
    <w:rsid w:val="000C5AEE"/>
    <w:rsid w:val="000C6156"/>
    <w:rsid w:val="000C62A2"/>
    <w:rsid w:val="000C63F9"/>
    <w:rsid w:val="000C6486"/>
    <w:rsid w:val="000C6814"/>
    <w:rsid w:val="000C692B"/>
    <w:rsid w:val="000C6A05"/>
    <w:rsid w:val="000C6D31"/>
    <w:rsid w:val="000C70F4"/>
    <w:rsid w:val="000C7115"/>
    <w:rsid w:val="000C75E5"/>
    <w:rsid w:val="000C772A"/>
    <w:rsid w:val="000C77CA"/>
    <w:rsid w:val="000C7C49"/>
    <w:rsid w:val="000C7E41"/>
    <w:rsid w:val="000C7F68"/>
    <w:rsid w:val="000C7FA0"/>
    <w:rsid w:val="000D003F"/>
    <w:rsid w:val="000D00F7"/>
    <w:rsid w:val="000D045C"/>
    <w:rsid w:val="000D05A7"/>
    <w:rsid w:val="000D0844"/>
    <w:rsid w:val="000D0866"/>
    <w:rsid w:val="000D0A61"/>
    <w:rsid w:val="000D0B1C"/>
    <w:rsid w:val="000D0BB7"/>
    <w:rsid w:val="000D0DDA"/>
    <w:rsid w:val="000D0E4E"/>
    <w:rsid w:val="000D1536"/>
    <w:rsid w:val="000D1862"/>
    <w:rsid w:val="000D1B2A"/>
    <w:rsid w:val="000D1DF8"/>
    <w:rsid w:val="000D1E27"/>
    <w:rsid w:val="000D2342"/>
    <w:rsid w:val="000D25F1"/>
    <w:rsid w:val="000D26F8"/>
    <w:rsid w:val="000D284F"/>
    <w:rsid w:val="000D29CE"/>
    <w:rsid w:val="000D29F8"/>
    <w:rsid w:val="000D2B27"/>
    <w:rsid w:val="000D335A"/>
    <w:rsid w:val="000D3428"/>
    <w:rsid w:val="000D3BBF"/>
    <w:rsid w:val="000D3DFB"/>
    <w:rsid w:val="000D42F0"/>
    <w:rsid w:val="000D4322"/>
    <w:rsid w:val="000D448B"/>
    <w:rsid w:val="000D46D8"/>
    <w:rsid w:val="000D4BB1"/>
    <w:rsid w:val="000D4FFF"/>
    <w:rsid w:val="000D5491"/>
    <w:rsid w:val="000D55FB"/>
    <w:rsid w:val="000D56B3"/>
    <w:rsid w:val="000D56ED"/>
    <w:rsid w:val="000D5B27"/>
    <w:rsid w:val="000D5BF3"/>
    <w:rsid w:val="000D5D05"/>
    <w:rsid w:val="000D5D09"/>
    <w:rsid w:val="000D5F5E"/>
    <w:rsid w:val="000D5F7B"/>
    <w:rsid w:val="000D6067"/>
    <w:rsid w:val="000D638A"/>
    <w:rsid w:val="000D6547"/>
    <w:rsid w:val="000D654E"/>
    <w:rsid w:val="000D69D7"/>
    <w:rsid w:val="000D73AF"/>
    <w:rsid w:val="000D7668"/>
    <w:rsid w:val="000D7674"/>
    <w:rsid w:val="000D7675"/>
    <w:rsid w:val="000D76C4"/>
    <w:rsid w:val="000D7965"/>
    <w:rsid w:val="000D7A36"/>
    <w:rsid w:val="000D7DE5"/>
    <w:rsid w:val="000D7E4B"/>
    <w:rsid w:val="000D7F46"/>
    <w:rsid w:val="000E0029"/>
    <w:rsid w:val="000E0393"/>
    <w:rsid w:val="000E03AC"/>
    <w:rsid w:val="000E0494"/>
    <w:rsid w:val="000E0658"/>
    <w:rsid w:val="000E0887"/>
    <w:rsid w:val="000E090E"/>
    <w:rsid w:val="000E095E"/>
    <w:rsid w:val="000E0AB5"/>
    <w:rsid w:val="000E0C64"/>
    <w:rsid w:val="000E0EDD"/>
    <w:rsid w:val="000E12C5"/>
    <w:rsid w:val="000E1320"/>
    <w:rsid w:val="000E134D"/>
    <w:rsid w:val="000E1478"/>
    <w:rsid w:val="000E17FA"/>
    <w:rsid w:val="000E1841"/>
    <w:rsid w:val="000E1AD7"/>
    <w:rsid w:val="000E1AED"/>
    <w:rsid w:val="000E1BC8"/>
    <w:rsid w:val="000E220A"/>
    <w:rsid w:val="000E2365"/>
    <w:rsid w:val="000E286F"/>
    <w:rsid w:val="000E29B4"/>
    <w:rsid w:val="000E2A33"/>
    <w:rsid w:val="000E2C53"/>
    <w:rsid w:val="000E2E05"/>
    <w:rsid w:val="000E30B9"/>
    <w:rsid w:val="000E3749"/>
    <w:rsid w:val="000E383E"/>
    <w:rsid w:val="000E394E"/>
    <w:rsid w:val="000E3A2C"/>
    <w:rsid w:val="000E3C47"/>
    <w:rsid w:val="000E3D16"/>
    <w:rsid w:val="000E41EC"/>
    <w:rsid w:val="000E458F"/>
    <w:rsid w:val="000E47BE"/>
    <w:rsid w:val="000E49D9"/>
    <w:rsid w:val="000E4F52"/>
    <w:rsid w:val="000E5544"/>
    <w:rsid w:val="000E55C5"/>
    <w:rsid w:val="000E56F2"/>
    <w:rsid w:val="000E5719"/>
    <w:rsid w:val="000E5B6A"/>
    <w:rsid w:val="000E5EB3"/>
    <w:rsid w:val="000E6700"/>
    <w:rsid w:val="000E696B"/>
    <w:rsid w:val="000E6E52"/>
    <w:rsid w:val="000E7011"/>
    <w:rsid w:val="000E7107"/>
    <w:rsid w:val="000E71FA"/>
    <w:rsid w:val="000E72D2"/>
    <w:rsid w:val="000E76D5"/>
    <w:rsid w:val="000E784E"/>
    <w:rsid w:val="000E7890"/>
    <w:rsid w:val="000E7FB1"/>
    <w:rsid w:val="000F004A"/>
    <w:rsid w:val="000F01A1"/>
    <w:rsid w:val="000F06DD"/>
    <w:rsid w:val="000F0719"/>
    <w:rsid w:val="000F0806"/>
    <w:rsid w:val="000F082E"/>
    <w:rsid w:val="000F0C68"/>
    <w:rsid w:val="000F0EB1"/>
    <w:rsid w:val="000F1544"/>
    <w:rsid w:val="000F1AFF"/>
    <w:rsid w:val="000F1C59"/>
    <w:rsid w:val="000F1DBD"/>
    <w:rsid w:val="000F1DE9"/>
    <w:rsid w:val="000F202B"/>
    <w:rsid w:val="000F20F5"/>
    <w:rsid w:val="000F20FB"/>
    <w:rsid w:val="000F2120"/>
    <w:rsid w:val="000F2229"/>
    <w:rsid w:val="000F2B96"/>
    <w:rsid w:val="000F2B9B"/>
    <w:rsid w:val="000F32FF"/>
    <w:rsid w:val="000F336E"/>
    <w:rsid w:val="000F3727"/>
    <w:rsid w:val="000F37E3"/>
    <w:rsid w:val="000F38E4"/>
    <w:rsid w:val="000F3A4F"/>
    <w:rsid w:val="000F3B10"/>
    <w:rsid w:val="000F3D6D"/>
    <w:rsid w:val="000F41BD"/>
    <w:rsid w:val="000F455E"/>
    <w:rsid w:val="000F479A"/>
    <w:rsid w:val="000F4A89"/>
    <w:rsid w:val="000F4AC0"/>
    <w:rsid w:val="000F4AE3"/>
    <w:rsid w:val="000F4C5B"/>
    <w:rsid w:val="000F4E4A"/>
    <w:rsid w:val="000F4ED9"/>
    <w:rsid w:val="000F561F"/>
    <w:rsid w:val="000F5742"/>
    <w:rsid w:val="000F59CF"/>
    <w:rsid w:val="000F5BB9"/>
    <w:rsid w:val="000F5DCC"/>
    <w:rsid w:val="000F5EEF"/>
    <w:rsid w:val="000F62B9"/>
    <w:rsid w:val="000F643D"/>
    <w:rsid w:val="000F64B7"/>
    <w:rsid w:val="000F6726"/>
    <w:rsid w:val="000F675C"/>
    <w:rsid w:val="000F6B4C"/>
    <w:rsid w:val="000F6F2C"/>
    <w:rsid w:val="000F700E"/>
    <w:rsid w:val="000F7041"/>
    <w:rsid w:val="000F7389"/>
    <w:rsid w:val="000F74EE"/>
    <w:rsid w:val="000F775E"/>
    <w:rsid w:val="000F7DC9"/>
    <w:rsid w:val="000F7E9E"/>
    <w:rsid w:val="000F7F6D"/>
    <w:rsid w:val="00100002"/>
    <w:rsid w:val="00100263"/>
    <w:rsid w:val="00100312"/>
    <w:rsid w:val="0010038D"/>
    <w:rsid w:val="001008B4"/>
    <w:rsid w:val="001008C6"/>
    <w:rsid w:val="001008E1"/>
    <w:rsid w:val="00100A16"/>
    <w:rsid w:val="00100B2D"/>
    <w:rsid w:val="00100FBD"/>
    <w:rsid w:val="00101473"/>
    <w:rsid w:val="00101677"/>
    <w:rsid w:val="001016DF"/>
    <w:rsid w:val="001019B9"/>
    <w:rsid w:val="00101B1B"/>
    <w:rsid w:val="00101BCD"/>
    <w:rsid w:val="00101BF0"/>
    <w:rsid w:val="00101EE0"/>
    <w:rsid w:val="001020AC"/>
    <w:rsid w:val="00102702"/>
    <w:rsid w:val="00102AC9"/>
    <w:rsid w:val="00103071"/>
    <w:rsid w:val="0010313F"/>
    <w:rsid w:val="001033D8"/>
    <w:rsid w:val="00103605"/>
    <w:rsid w:val="00103885"/>
    <w:rsid w:val="0010394B"/>
    <w:rsid w:val="001039D7"/>
    <w:rsid w:val="00103EE1"/>
    <w:rsid w:val="00104078"/>
    <w:rsid w:val="001045B7"/>
    <w:rsid w:val="00104740"/>
    <w:rsid w:val="0010482C"/>
    <w:rsid w:val="00104CD3"/>
    <w:rsid w:val="00104DDD"/>
    <w:rsid w:val="001050DE"/>
    <w:rsid w:val="00105421"/>
    <w:rsid w:val="001056A6"/>
    <w:rsid w:val="001056B5"/>
    <w:rsid w:val="00105BBD"/>
    <w:rsid w:val="00105C6B"/>
    <w:rsid w:val="00105D56"/>
    <w:rsid w:val="00105D9E"/>
    <w:rsid w:val="00105E7E"/>
    <w:rsid w:val="0010648B"/>
    <w:rsid w:val="0010649F"/>
    <w:rsid w:val="00106B87"/>
    <w:rsid w:val="00106C51"/>
    <w:rsid w:val="00107280"/>
    <w:rsid w:val="00107338"/>
    <w:rsid w:val="001074AA"/>
    <w:rsid w:val="0010779C"/>
    <w:rsid w:val="001077A8"/>
    <w:rsid w:val="00110584"/>
    <w:rsid w:val="00110648"/>
    <w:rsid w:val="0011067E"/>
    <w:rsid w:val="00110785"/>
    <w:rsid w:val="0011083C"/>
    <w:rsid w:val="00110913"/>
    <w:rsid w:val="00110927"/>
    <w:rsid w:val="00110A47"/>
    <w:rsid w:val="00110A64"/>
    <w:rsid w:val="00110B49"/>
    <w:rsid w:val="00110B58"/>
    <w:rsid w:val="00110EDB"/>
    <w:rsid w:val="001110AF"/>
    <w:rsid w:val="00111117"/>
    <w:rsid w:val="0011123C"/>
    <w:rsid w:val="001113DC"/>
    <w:rsid w:val="0011199F"/>
    <w:rsid w:val="00111A66"/>
    <w:rsid w:val="00111EB1"/>
    <w:rsid w:val="00112341"/>
    <w:rsid w:val="0011241C"/>
    <w:rsid w:val="0011254F"/>
    <w:rsid w:val="00112903"/>
    <w:rsid w:val="00112DD8"/>
    <w:rsid w:val="001135D8"/>
    <w:rsid w:val="00113937"/>
    <w:rsid w:val="001139E1"/>
    <w:rsid w:val="00113BDF"/>
    <w:rsid w:val="00113CFA"/>
    <w:rsid w:val="00113DC7"/>
    <w:rsid w:val="00113EAE"/>
    <w:rsid w:val="00114018"/>
    <w:rsid w:val="00114583"/>
    <w:rsid w:val="001145F0"/>
    <w:rsid w:val="00114955"/>
    <w:rsid w:val="00114A7E"/>
    <w:rsid w:val="00114BC0"/>
    <w:rsid w:val="00114CD7"/>
    <w:rsid w:val="001151FE"/>
    <w:rsid w:val="00115965"/>
    <w:rsid w:val="00115A87"/>
    <w:rsid w:val="00115B0B"/>
    <w:rsid w:val="00115B27"/>
    <w:rsid w:val="00115BC3"/>
    <w:rsid w:val="00115F5E"/>
    <w:rsid w:val="00116030"/>
    <w:rsid w:val="00116243"/>
    <w:rsid w:val="001163A5"/>
    <w:rsid w:val="0011641C"/>
    <w:rsid w:val="00116745"/>
    <w:rsid w:val="00116A45"/>
    <w:rsid w:val="00116B90"/>
    <w:rsid w:val="00116C02"/>
    <w:rsid w:val="0011732D"/>
    <w:rsid w:val="00117447"/>
    <w:rsid w:val="00117C9B"/>
    <w:rsid w:val="00120271"/>
    <w:rsid w:val="001202AB"/>
    <w:rsid w:val="00120349"/>
    <w:rsid w:val="00120708"/>
    <w:rsid w:val="0012095B"/>
    <w:rsid w:val="00120AD6"/>
    <w:rsid w:val="00120B7E"/>
    <w:rsid w:val="00120D4A"/>
    <w:rsid w:val="00120E3A"/>
    <w:rsid w:val="001210F6"/>
    <w:rsid w:val="00121302"/>
    <w:rsid w:val="001214BE"/>
    <w:rsid w:val="00121686"/>
    <w:rsid w:val="001217C4"/>
    <w:rsid w:val="0012196A"/>
    <w:rsid w:val="0012196B"/>
    <w:rsid w:val="00121A80"/>
    <w:rsid w:val="00121B64"/>
    <w:rsid w:val="00121BF7"/>
    <w:rsid w:val="00121C93"/>
    <w:rsid w:val="00121F30"/>
    <w:rsid w:val="001220F3"/>
    <w:rsid w:val="00122177"/>
    <w:rsid w:val="0012234F"/>
    <w:rsid w:val="0012244E"/>
    <w:rsid w:val="001224E8"/>
    <w:rsid w:val="00122D53"/>
    <w:rsid w:val="00122F09"/>
    <w:rsid w:val="00122F94"/>
    <w:rsid w:val="001233D0"/>
    <w:rsid w:val="0012352E"/>
    <w:rsid w:val="001238E9"/>
    <w:rsid w:val="001239EA"/>
    <w:rsid w:val="00123B16"/>
    <w:rsid w:val="00124082"/>
    <w:rsid w:val="001241E7"/>
    <w:rsid w:val="001245BF"/>
    <w:rsid w:val="00124AB2"/>
    <w:rsid w:val="00124B7E"/>
    <w:rsid w:val="00124D04"/>
    <w:rsid w:val="0012502D"/>
    <w:rsid w:val="0012533F"/>
    <w:rsid w:val="001253D3"/>
    <w:rsid w:val="00125912"/>
    <w:rsid w:val="0012593F"/>
    <w:rsid w:val="00125C7B"/>
    <w:rsid w:val="00125CDB"/>
    <w:rsid w:val="00125D7D"/>
    <w:rsid w:val="00125E0C"/>
    <w:rsid w:val="00125E3A"/>
    <w:rsid w:val="00126159"/>
    <w:rsid w:val="00126F22"/>
    <w:rsid w:val="0012700E"/>
    <w:rsid w:val="00127072"/>
    <w:rsid w:val="0012709E"/>
    <w:rsid w:val="001272E1"/>
    <w:rsid w:val="00127423"/>
    <w:rsid w:val="00127482"/>
    <w:rsid w:val="001279D0"/>
    <w:rsid w:val="00127C23"/>
    <w:rsid w:val="00127D5A"/>
    <w:rsid w:val="00127F62"/>
    <w:rsid w:val="00127F93"/>
    <w:rsid w:val="00127FA1"/>
    <w:rsid w:val="001301BA"/>
    <w:rsid w:val="001303F3"/>
    <w:rsid w:val="0013072A"/>
    <w:rsid w:val="0013079D"/>
    <w:rsid w:val="00130C71"/>
    <w:rsid w:val="00130ED6"/>
    <w:rsid w:val="00130F1A"/>
    <w:rsid w:val="00130FAB"/>
    <w:rsid w:val="0013118C"/>
    <w:rsid w:val="00131458"/>
    <w:rsid w:val="001315F7"/>
    <w:rsid w:val="001316FE"/>
    <w:rsid w:val="001318F1"/>
    <w:rsid w:val="00131AC4"/>
    <w:rsid w:val="00131FC3"/>
    <w:rsid w:val="00132335"/>
    <w:rsid w:val="00132398"/>
    <w:rsid w:val="0013263D"/>
    <w:rsid w:val="00132AF1"/>
    <w:rsid w:val="00132D95"/>
    <w:rsid w:val="00132E72"/>
    <w:rsid w:val="00132FE3"/>
    <w:rsid w:val="001331D9"/>
    <w:rsid w:val="001338FB"/>
    <w:rsid w:val="00133A18"/>
    <w:rsid w:val="00133A64"/>
    <w:rsid w:val="00133F32"/>
    <w:rsid w:val="001345F3"/>
    <w:rsid w:val="00134684"/>
    <w:rsid w:val="0013475B"/>
    <w:rsid w:val="00134A9A"/>
    <w:rsid w:val="00134BA6"/>
    <w:rsid w:val="00134EF1"/>
    <w:rsid w:val="0013531E"/>
    <w:rsid w:val="001356CA"/>
    <w:rsid w:val="0013595A"/>
    <w:rsid w:val="001359BD"/>
    <w:rsid w:val="001359DC"/>
    <w:rsid w:val="00135D49"/>
    <w:rsid w:val="001361C8"/>
    <w:rsid w:val="0013641F"/>
    <w:rsid w:val="001364E1"/>
    <w:rsid w:val="00136572"/>
    <w:rsid w:val="001367E0"/>
    <w:rsid w:val="0013693B"/>
    <w:rsid w:val="00136B96"/>
    <w:rsid w:val="00136DD7"/>
    <w:rsid w:val="0013721E"/>
    <w:rsid w:val="001374AA"/>
    <w:rsid w:val="001374D3"/>
    <w:rsid w:val="001375BD"/>
    <w:rsid w:val="001378EB"/>
    <w:rsid w:val="00137F4A"/>
    <w:rsid w:val="001409CB"/>
    <w:rsid w:val="0014111E"/>
    <w:rsid w:val="0014130C"/>
    <w:rsid w:val="0014152F"/>
    <w:rsid w:val="0014154C"/>
    <w:rsid w:val="00141950"/>
    <w:rsid w:val="00141973"/>
    <w:rsid w:val="00141B6B"/>
    <w:rsid w:val="00141BDB"/>
    <w:rsid w:val="00141ECE"/>
    <w:rsid w:val="00141FFD"/>
    <w:rsid w:val="00142A4D"/>
    <w:rsid w:val="00142AD5"/>
    <w:rsid w:val="00142FB6"/>
    <w:rsid w:val="0014304A"/>
    <w:rsid w:val="00143620"/>
    <w:rsid w:val="0014376D"/>
    <w:rsid w:val="00143781"/>
    <w:rsid w:val="0014387C"/>
    <w:rsid w:val="00143CC6"/>
    <w:rsid w:val="00143E8D"/>
    <w:rsid w:val="00143F18"/>
    <w:rsid w:val="00143F2F"/>
    <w:rsid w:val="00143F46"/>
    <w:rsid w:val="001444D2"/>
    <w:rsid w:val="001445E4"/>
    <w:rsid w:val="001445FC"/>
    <w:rsid w:val="00144618"/>
    <w:rsid w:val="0014472A"/>
    <w:rsid w:val="00144796"/>
    <w:rsid w:val="00144A8A"/>
    <w:rsid w:val="00144BA1"/>
    <w:rsid w:val="00144BCB"/>
    <w:rsid w:val="00144CBE"/>
    <w:rsid w:val="00145488"/>
    <w:rsid w:val="001454FB"/>
    <w:rsid w:val="001456A6"/>
    <w:rsid w:val="0014604F"/>
    <w:rsid w:val="001460E4"/>
    <w:rsid w:val="001461F1"/>
    <w:rsid w:val="00146427"/>
    <w:rsid w:val="0014667B"/>
    <w:rsid w:val="0014671A"/>
    <w:rsid w:val="0014686E"/>
    <w:rsid w:val="00146902"/>
    <w:rsid w:val="00146A36"/>
    <w:rsid w:val="00146D1E"/>
    <w:rsid w:val="00146E37"/>
    <w:rsid w:val="001470F9"/>
    <w:rsid w:val="0014779F"/>
    <w:rsid w:val="00147ABA"/>
    <w:rsid w:val="00147ACD"/>
    <w:rsid w:val="00147C19"/>
    <w:rsid w:val="00147F5E"/>
    <w:rsid w:val="001502F8"/>
    <w:rsid w:val="001505F5"/>
    <w:rsid w:val="0015071B"/>
    <w:rsid w:val="001508DD"/>
    <w:rsid w:val="001508DE"/>
    <w:rsid w:val="00150EA5"/>
    <w:rsid w:val="001514CB"/>
    <w:rsid w:val="0015177F"/>
    <w:rsid w:val="001517CB"/>
    <w:rsid w:val="001518B6"/>
    <w:rsid w:val="00151A0D"/>
    <w:rsid w:val="00151CCB"/>
    <w:rsid w:val="00152115"/>
    <w:rsid w:val="001522E3"/>
    <w:rsid w:val="0015242D"/>
    <w:rsid w:val="001527E3"/>
    <w:rsid w:val="001528AF"/>
    <w:rsid w:val="001529AA"/>
    <w:rsid w:val="00152A45"/>
    <w:rsid w:val="00152DC3"/>
    <w:rsid w:val="00152EF0"/>
    <w:rsid w:val="001532A5"/>
    <w:rsid w:val="00153828"/>
    <w:rsid w:val="00153B33"/>
    <w:rsid w:val="00153D09"/>
    <w:rsid w:val="00153EE3"/>
    <w:rsid w:val="00153F07"/>
    <w:rsid w:val="001540DD"/>
    <w:rsid w:val="001545D8"/>
    <w:rsid w:val="0015470B"/>
    <w:rsid w:val="00154732"/>
    <w:rsid w:val="0015499B"/>
    <w:rsid w:val="00154B30"/>
    <w:rsid w:val="00154F80"/>
    <w:rsid w:val="001550A4"/>
    <w:rsid w:val="001554F7"/>
    <w:rsid w:val="00155639"/>
    <w:rsid w:val="00155E21"/>
    <w:rsid w:val="00155FBB"/>
    <w:rsid w:val="0015649A"/>
    <w:rsid w:val="001567E3"/>
    <w:rsid w:val="0015691D"/>
    <w:rsid w:val="00156CAA"/>
    <w:rsid w:val="00157147"/>
    <w:rsid w:val="0015735D"/>
    <w:rsid w:val="00157601"/>
    <w:rsid w:val="00157623"/>
    <w:rsid w:val="00157961"/>
    <w:rsid w:val="00157D07"/>
    <w:rsid w:val="00157F7D"/>
    <w:rsid w:val="00160115"/>
    <w:rsid w:val="00160716"/>
    <w:rsid w:val="00160AA8"/>
    <w:rsid w:val="00160CC2"/>
    <w:rsid w:val="00160D3F"/>
    <w:rsid w:val="00160DE4"/>
    <w:rsid w:val="00160FB5"/>
    <w:rsid w:val="00161016"/>
    <w:rsid w:val="00161394"/>
    <w:rsid w:val="00161538"/>
    <w:rsid w:val="00161609"/>
    <w:rsid w:val="001616D6"/>
    <w:rsid w:val="00161824"/>
    <w:rsid w:val="00161C0C"/>
    <w:rsid w:val="00162062"/>
    <w:rsid w:val="001621C6"/>
    <w:rsid w:val="00162500"/>
    <w:rsid w:val="00162756"/>
    <w:rsid w:val="001627C8"/>
    <w:rsid w:val="00162882"/>
    <w:rsid w:val="0016290E"/>
    <w:rsid w:val="00162B81"/>
    <w:rsid w:val="00162D2A"/>
    <w:rsid w:val="00162DFE"/>
    <w:rsid w:val="00162F5D"/>
    <w:rsid w:val="0016314B"/>
    <w:rsid w:val="0016347F"/>
    <w:rsid w:val="00163649"/>
    <w:rsid w:val="00163C46"/>
    <w:rsid w:val="00163DE7"/>
    <w:rsid w:val="001640D7"/>
    <w:rsid w:val="0016421C"/>
    <w:rsid w:val="00164488"/>
    <w:rsid w:val="00164752"/>
    <w:rsid w:val="00164834"/>
    <w:rsid w:val="00164884"/>
    <w:rsid w:val="001649F4"/>
    <w:rsid w:val="00164DE6"/>
    <w:rsid w:val="00165146"/>
    <w:rsid w:val="0016517B"/>
    <w:rsid w:val="00165256"/>
    <w:rsid w:val="001653B4"/>
    <w:rsid w:val="00165553"/>
    <w:rsid w:val="0016593C"/>
    <w:rsid w:val="00165BD3"/>
    <w:rsid w:val="00165F2E"/>
    <w:rsid w:val="0016621E"/>
    <w:rsid w:val="00166323"/>
    <w:rsid w:val="00166591"/>
    <w:rsid w:val="001665FA"/>
    <w:rsid w:val="00166709"/>
    <w:rsid w:val="00166782"/>
    <w:rsid w:val="0016679A"/>
    <w:rsid w:val="00166834"/>
    <w:rsid w:val="00166852"/>
    <w:rsid w:val="00166CBD"/>
    <w:rsid w:val="00166DE6"/>
    <w:rsid w:val="00166FD5"/>
    <w:rsid w:val="00167073"/>
    <w:rsid w:val="0016741F"/>
    <w:rsid w:val="0016780B"/>
    <w:rsid w:val="00167BC5"/>
    <w:rsid w:val="00167C8E"/>
    <w:rsid w:val="00167EE6"/>
    <w:rsid w:val="00167FA2"/>
    <w:rsid w:val="001700D2"/>
    <w:rsid w:val="00170246"/>
    <w:rsid w:val="0017053A"/>
    <w:rsid w:val="001705C2"/>
    <w:rsid w:val="00170791"/>
    <w:rsid w:val="001709B2"/>
    <w:rsid w:val="00170B62"/>
    <w:rsid w:val="00170E2D"/>
    <w:rsid w:val="00170EDF"/>
    <w:rsid w:val="00170FED"/>
    <w:rsid w:val="00171014"/>
    <w:rsid w:val="00171149"/>
    <w:rsid w:val="00171177"/>
    <w:rsid w:val="001716B4"/>
    <w:rsid w:val="00171A5D"/>
    <w:rsid w:val="00171F3B"/>
    <w:rsid w:val="001721F8"/>
    <w:rsid w:val="00172521"/>
    <w:rsid w:val="00172D13"/>
    <w:rsid w:val="0017302D"/>
    <w:rsid w:val="0017307A"/>
    <w:rsid w:val="001731B2"/>
    <w:rsid w:val="001731E4"/>
    <w:rsid w:val="00173298"/>
    <w:rsid w:val="0017331E"/>
    <w:rsid w:val="00173335"/>
    <w:rsid w:val="001735F4"/>
    <w:rsid w:val="001735F8"/>
    <w:rsid w:val="00173654"/>
    <w:rsid w:val="00173A36"/>
    <w:rsid w:val="00173AE4"/>
    <w:rsid w:val="00173E84"/>
    <w:rsid w:val="00173ED4"/>
    <w:rsid w:val="00173F87"/>
    <w:rsid w:val="001741A6"/>
    <w:rsid w:val="001744C5"/>
    <w:rsid w:val="0017471D"/>
    <w:rsid w:val="001749A0"/>
    <w:rsid w:val="00174D6A"/>
    <w:rsid w:val="00174DD8"/>
    <w:rsid w:val="00174F1F"/>
    <w:rsid w:val="001754B4"/>
    <w:rsid w:val="001754EA"/>
    <w:rsid w:val="001759D7"/>
    <w:rsid w:val="00175F11"/>
    <w:rsid w:val="0017698C"/>
    <w:rsid w:val="00176B2B"/>
    <w:rsid w:val="00176B8A"/>
    <w:rsid w:val="00176C1E"/>
    <w:rsid w:val="00176FDF"/>
    <w:rsid w:val="00177B3D"/>
    <w:rsid w:val="00177D05"/>
    <w:rsid w:val="00177DD5"/>
    <w:rsid w:val="00177FE4"/>
    <w:rsid w:val="00180248"/>
    <w:rsid w:val="001803B0"/>
    <w:rsid w:val="00180743"/>
    <w:rsid w:val="001809A5"/>
    <w:rsid w:val="00180A35"/>
    <w:rsid w:val="00180C67"/>
    <w:rsid w:val="00180DD7"/>
    <w:rsid w:val="00180E25"/>
    <w:rsid w:val="0018110D"/>
    <w:rsid w:val="0018119B"/>
    <w:rsid w:val="0018121D"/>
    <w:rsid w:val="00181728"/>
    <w:rsid w:val="00181A3F"/>
    <w:rsid w:val="00181FC4"/>
    <w:rsid w:val="001829E9"/>
    <w:rsid w:val="00182D0E"/>
    <w:rsid w:val="00183189"/>
    <w:rsid w:val="00183667"/>
    <w:rsid w:val="0018397B"/>
    <w:rsid w:val="0018399C"/>
    <w:rsid w:val="00183D2B"/>
    <w:rsid w:val="00183FAD"/>
    <w:rsid w:val="00184454"/>
    <w:rsid w:val="00184951"/>
    <w:rsid w:val="001849C2"/>
    <w:rsid w:val="001849DB"/>
    <w:rsid w:val="00184A39"/>
    <w:rsid w:val="00184A93"/>
    <w:rsid w:val="00184E67"/>
    <w:rsid w:val="00184E80"/>
    <w:rsid w:val="00184FDF"/>
    <w:rsid w:val="00185009"/>
    <w:rsid w:val="0018516C"/>
    <w:rsid w:val="001853A4"/>
    <w:rsid w:val="00185551"/>
    <w:rsid w:val="001855A3"/>
    <w:rsid w:val="00185753"/>
    <w:rsid w:val="00185EE0"/>
    <w:rsid w:val="0018604E"/>
    <w:rsid w:val="001862F2"/>
    <w:rsid w:val="001865F5"/>
    <w:rsid w:val="0018674B"/>
    <w:rsid w:val="001868AB"/>
    <w:rsid w:val="0018691F"/>
    <w:rsid w:val="00186A86"/>
    <w:rsid w:val="00186B25"/>
    <w:rsid w:val="00186BA5"/>
    <w:rsid w:val="00186BD7"/>
    <w:rsid w:val="00186CE7"/>
    <w:rsid w:val="00186E58"/>
    <w:rsid w:val="00187022"/>
    <w:rsid w:val="0018706B"/>
    <w:rsid w:val="0018723C"/>
    <w:rsid w:val="00187336"/>
    <w:rsid w:val="001877A4"/>
    <w:rsid w:val="00187B49"/>
    <w:rsid w:val="00187CE3"/>
    <w:rsid w:val="00187F3F"/>
    <w:rsid w:val="0019006C"/>
    <w:rsid w:val="0019010D"/>
    <w:rsid w:val="001905FD"/>
    <w:rsid w:val="001907E5"/>
    <w:rsid w:val="001907E6"/>
    <w:rsid w:val="0019099B"/>
    <w:rsid w:val="00190AF5"/>
    <w:rsid w:val="001913A7"/>
    <w:rsid w:val="001917E3"/>
    <w:rsid w:val="001918C7"/>
    <w:rsid w:val="00191C97"/>
    <w:rsid w:val="0019204F"/>
    <w:rsid w:val="0019214E"/>
    <w:rsid w:val="00192426"/>
    <w:rsid w:val="00192428"/>
    <w:rsid w:val="001924C2"/>
    <w:rsid w:val="00192671"/>
    <w:rsid w:val="001928C3"/>
    <w:rsid w:val="00192D2B"/>
    <w:rsid w:val="00193104"/>
    <w:rsid w:val="00193142"/>
    <w:rsid w:val="00193911"/>
    <w:rsid w:val="00193B88"/>
    <w:rsid w:val="00193C83"/>
    <w:rsid w:val="00193D4E"/>
    <w:rsid w:val="00194A50"/>
    <w:rsid w:val="0019514A"/>
    <w:rsid w:val="0019529E"/>
    <w:rsid w:val="00195370"/>
    <w:rsid w:val="00195552"/>
    <w:rsid w:val="001955DA"/>
    <w:rsid w:val="00195865"/>
    <w:rsid w:val="00195BEF"/>
    <w:rsid w:val="00195C93"/>
    <w:rsid w:val="00195D2E"/>
    <w:rsid w:val="00195E86"/>
    <w:rsid w:val="00196069"/>
    <w:rsid w:val="00196308"/>
    <w:rsid w:val="00196363"/>
    <w:rsid w:val="00196A2A"/>
    <w:rsid w:val="00196A4F"/>
    <w:rsid w:val="00196BF5"/>
    <w:rsid w:val="00196D39"/>
    <w:rsid w:val="00196F0C"/>
    <w:rsid w:val="00196F48"/>
    <w:rsid w:val="00197125"/>
    <w:rsid w:val="0019767D"/>
    <w:rsid w:val="001976A7"/>
    <w:rsid w:val="001977C2"/>
    <w:rsid w:val="0019793F"/>
    <w:rsid w:val="00197B9E"/>
    <w:rsid w:val="00197BD8"/>
    <w:rsid w:val="00197C86"/>
    <w:rsid w:val="00197CFB"/>
    <w:rsid w:val="00197EDE"/>
    <w:rsid w:val="001A0071"/>
    <w:rsid w:val="001A0078"/>
    <w:rsid w:val="001A044A"/>
    <w:rsid w:val="001A052B"/>
    <w:rsid w:val="001A053F"/>
    <w:rsid w:val="001A0B1D"/>
    <w:rsid w:val="001A10A3"/>
    <w:rsid w:val="001A14AC"/>
    <w:rsid w:val="001A186A"/>
    <w:rsid w:val="001A1941"/>
    <w:rsid w:val="001A1C50"/>
    <w:rsid w:val="001A2271"/>
    <w:rsid w:val="001A234C"/>
    <w:rsid w:val="001A26E0"/>
    <w:rsid w:val="001A2AD5"/>
    <w:rsid w:val="001A2B3E"/>
    <w:rsid w:val="001A2EDC"/>
    <w:rsid w:val="001A2F19"/>
    <w:rsid w:val="001A30CE"/>
    <w:rsid w:val="001A3147"/>
    <w:rsid w:val="001A331B"/>
    <w:rsid w:val="001A3344"/>
    <w:rsid w:val="001A3AFC"/>
    <w:rsid w:val="001A3CA2"/>
    <w:rsid w:val="001A3CBC"/>
    <w:rsid w:val="001A3E93"/>
    <w:rsid w:val="001A3FC8"/>
    <w:rsid w:val="001A407C"/>
    <w:rsid w:val="001A412B"/>
    <w:rsid w:val="001A4234"/>
    <w:rsid w:val="001A4259"/>
    <w:rsid w:val="001A45E6"/>
    <w:rsid w:val="001A4792"/>
    <w:rsid w:val="001A479A"/>
    <w:rsid w:val="001A4AAA"/>
    <w:rsid w:val="001A4B45"/>
    <w:rsid w:val="001A4C46"/>
    <w:rsid w:val="001A4EA1"/>
    <w:rsid w:val="001A5179"/>
    <w:rsid w:val="001A543A"/>
    <w:rsid w:val="001A56F8"/>
    <w:rsid w:val="001A57AF"/>
    <w:rsid w:val="001A5C29"/>
    <w:rsid w:val="001A5DAD"/>
    <w:rsid w:val="001A5F9C"/>
    <w:rsid w:val="001A60A2"/>
    <w:rsid w:val="001A60AC"/>
    <w:rsid w:val="001A619D"/>
    <w:rsid w:val="001A63B1"/>
    <w:rsid w:val="001A6717"/>
    <w:rsid w:val="001A6756"/>
    <w:rsid w:val="001A6A60"/>
    <w:rsid w:val="001A6DAC"/>
    <w:rsid w:val="001A6FE8"/>
    <w:rsid w:val="001A6FF6"/>
    <w:rsid w:val="001A737C"/>
    <w:rsid w:val="001A790A"/>
    <w:rsid w:val="001A7AED"/>
    <w:rsid w:val="001A7B5D"/>
    <w:rsid w:val="001A7BDE"/>
    <w:rsid w:val="001A7F7A"/>
    <w:rsid w:val="001A7FD8"/>
    <w:rsid w:val="001B00D2"/>
    <w:rsid w:val="001B028F"/>
    <w:rsid w:val="001B042E"/>
    <w:rsid w:val="001B065E"/>
    <w:rsid w:val="001B0C39"/>
    <w:rsid w:val="001B0CE1"/>
    <w:rsid w:val="001B11A7"/>
    <w:rsid w:val="001B11CE"/>
    <w:rsid w:val="001B1529"/>
    <w:rsid w:val="001B1562"/>
    <w:rsid w:val="001B157C"/>
    <w:rsid w:val="001B16B7"/>
    <w:rsid w:val="001B1BF3"/>
    <w:rsid w:val="001B20C0"/>
    <w:rsid w:val="001B2426"/>
    <w:rsid w:val="001B2922"/>
    <w:rsid w:val="001B2AF7"/>
    <w:rsid w:val="001B31CE"/>
    <w:rsid w:val="001B31FC"/>
    <w:rsid w:val="001B33BC"/>
    <w:rsid w:val="001B357F"/>
    <w:rsid w:val="001B3853"/>
    <w:rsid w:val="001B3AB6"/>
    <w:rsid w:val="001B3B16"/>
    <w:rsid w:val="001B3B58"/>
    <w:rsid w:val="001B3BE3"/>
    <w:rsid w:val="001B3EBF"/>
    <w:rsid w:val="001B4102"/>
    <w:rsid w:val="001B4430"/>
    <w:rsid w:val="001B4E3D"/>
    <w:rsid w:val="001B5207"/>
    <w:rsid w:val="001B5322"/>
    <w:rsid w:val="001B5372"/>
    <w:rsid w:val="001B54D6"/>
    <w:rsid w:val="001B5814"/>
    <w:rsid w:val="001B58B1"/>
    <w:rsid w:val="001B5A3C"/>
    <w:rsid w:val="001B5A4A"/>
    <w:rsid w:val="001B5C17"/>
    <w:rsid w:val="001B5E26"/>
    <w:rsid w:val="001B5FED"/>
    <w:rsid w:val="001B616A"/>
    <w:rsid w:val="001B6213"/>
    <w:rsid w:val="001B655B"/>
    <w:rsid w:val="001B65FD"/>
    <w:rsid w:val="001B6633"/>
    <w:rsid w:val="001B6ABD"/>
    <w:rsid w:val="001B6C29"/>
    <w:rsid w:val="001B6EE3"/>
    <w:rsid w:val="001B70CB"/>
    <w:rsid w:val="001B733C"/>
    <w:rsid w:val="001B73A3"/>
    <w:rsid w:val="001B73F4"/>
    <w:rsid w:val="001B7DB4"/>
    <w:rsid w:val="001B7F8C"/>
    <w:rsid w:val="001C00D7"/>
    <w:rsid w:val="001C0265"/>
    <w:rsid w:val="001C03AF"/>
    <w:rsid w:val="001C0482"/>
    <w:rsid w:val="001C049D"/>
    <w:rsid w:val="001C04BE"/>
    <w:rsid w:val="001C0C3A"/>
    <w:rsid w:val="001C11C0"/>
    <w:rsid w:val="001C11E1"/>
    <w:rsid w:val="001C1395"/>
    <w:rsid w:val="001C14C5"/>
    <w:rsid w:val="001C1553"/>
    <w:rsid w:val="001C16A3"/>
    <w:rsid w:val="001C1911"/>
    <w:rsid w:val="001C1E87"/>
    <w:rsid w:val="001C1FC2"/>
    <w:rsid w:val="001C2373"/>
    <w:rsid w:val="001C2414"/>
    <w:rsid w:val="001C2972"/>
    <w:rsid w:val="001C29DC"/>
    <w:rsid w:val="001C2A06"/>
    <w:rsid w:val="001C337E"/>
    <w:rsid w:val="001C3462"/>
    <w:rsid w:val="001C34D8"/>
    <w:rsid w:val="001C3570"/>
    <w:rsid w:val="001C3626"/>
    <w:rsid w:val="001C3679"/>
    <w:rsid w:val="001C36E1"/>
    <w:rsid w:val="001C3DA5"/>
    <w:rsid w:val="001C3F7E"/>
    <w:rsid w:val="001C3F8E"/>
    <w:rsid w:val="001C4011"/>
    <w:rsid w:val="001C4027"/>
    <w:rsid w:val="001C40A2"/>
    <w:rsid w:val="001C426A"/>
    <w:rsid w:val="001C4475"/>
    <w:rsid w:val="001C4807"/>
    <w:rsid w:val="001C489C"/>
    <w:rsid w:val="001C4AC8"/>
    <w:rsid w:val="001C4CB4"/>
    <w:rsid w:val="001C4E9B"/>
    <w:rsid w:val="001C51A0"/>
    <w:rsid w:val="001C56C9"/>
    <w:rsid w:val="001C583B"/>
    <w:rsid w:val="001C594A"/>
    <w:rsid w:val="001C5A24"/>
    <w:rsid w:val="001C5B2E"/>
    <w:rsid w:val="001C5B7E"/>
    <w:rsid w:val="001C5BC3"/>
    <w:rsid w:val="001C5F83"/>
    <w:rsid w:val="001C624A"/>
    <w:rsid w:val="001C62FC"/>
    <w:rsid w:val="001C63BD"/>
    <w:rsid w:val="001C641B"/>
    <w:rsid w:val="001C6426"/>
    <w:rsid w:val="001C6709"/>
    <w:rsid w:val="001C6BDA"/>
    <w:rsid w:val="001C6C66"/>
    <w:rsid w:val="001C6C74"/>
    <w:rsid w:val="001C722E"/>
    <w:rsid w:val="001C74CA"/>
    <w:rsid w:val="001C74E4"/>
    <w:rsid w:val="001C781A"/>
    <w:rsid w:val="001C7B61"/>
    <w:rsid w:val="001C7BFD"/>
    <w:rsid w:val="001C7F81"/>
    <w:rsid w:val="001D0204"/>
    <w:rsid w:val="001D0481"/>
    <w:rsid w:val="001D0556"/>
    <w:rsid w:val="001D055B"/>
    <w:rsid w:val="001D07CD"/>
    <w:rsid w:val="001D0C58"/>
    <w:rsid w:val="001D0CDC"/>
    <w:rsid w:val="001D0D21"/>
    <w:rsid w:val="001D1056"/>
    <w:rsid w:val="001D109E"/>
    <w:rsid w:val="001D1437"/>
    <w:rsid w:val="001D1514"/>
    <w:rsid w:val="001D16C1"/>
    <w:rsid w:val="001D198C"/>
    <w:rsid w:val="001D1CA0"/>
    <w:rsid w:val="001D1D20"/>
    <w:rsid w:val="001D202C"/>
    <w:rsid w:val="001D24A1"/>
    <w:rsid w:val="001D2718"/>
    <w:rsid w:val="001D27FA"/>
    <w:rsid w:val="001D28E7"/>
    <w:rsid w:val="001D2BDF"/>
    <w:rsid w:val="001D2CB5"/>
    <w:rsid w:val="001D3351"/>
    <w:rsid w:val="001D344D"/>
    <w:rsid w:val="001D34D7"/>
    <w:rsid w:val="001D35CC"/>
    <w:rsid w:val="001D378A"/>
    <w:rsid w:val="001D387A"/>
    <w:rsid w:val="001D393D"/>
    <w:rsid w:val="001D3F43"/>
    <w:rsid w:val="001D3F55"/>
    <w:rsid w:val="001D4171"/>
    <w:rsid w:val="001D4622"/>
    <w:rsid w:val="001D48F0"/>
    <w:rsid w:val="001D4BB7"/>
    <w:rsid w:val="001D4D30"/>
    <w:rsid w:val="001D4F6C"/>
    <w:rsid w:val="001D55D5"/>
    <w:rsid w:val="001D580D"/>
    <w:rsid w:val="001D59C4"/>
    <w:rsid w:val="001D5A92"/>
    <w:rsid w:val="001D5AC5"/>
    <w:rsid w:val="001D5D7E"/>
    <w:rsid w:val="001D5DCC"/>
    <w:rsid w:val="001D5FE9"/>
    <w:rsid w:val="001D663B"/>
    <w:rsid w:val="001D6A3B"/>
    <w:rsid w:val="001D7279"/>
    <w:rsid w:val="001D7546"/>
    <w:rsid w:val="001D768E"/>
    <w:rsid w:val="001D7787"/>
    <w:rsid w:val="001D7AEE"/>
    <w:rsid w:val="001D7B1E"/>
    <w:rsid w:val="001D7D05"/>
    <w:rsid w:val="001D7F2F"/>
    <w:rsid w:val="001E00B8"/>
    <w:rsid w:val="001E02D8"/>
    <w:rsid w:val="001E04FB"/>
    <w:rsid w:val="001E0698"/>
    <w:rsid w:val="001E08DC"/>
    <w:rsid w:val="001E09B3"/>
    <w:rsid w:val="001E0C25"/>
    <w:rsid w:val="001E0E10"/>
    <w:rsid w:val="001E116F"/>
    <w:rsid w:val="001E1473"/>
    <w:rsid w:val="001E174D"/>
    <w:rsid w:val="001E1A2E"/>
    <w:rsid w:val="001E1A62"/>
    <w:rsid w:val="001E1BDE"/>
    <w:rsid w:val="001E1BFA"/>
    <w:rsid w:val="001E1C8F"/>
    <w:rsid w:val="001E1CAB"/>
    <w:rsid w:val="001E1CC6"/>
    <w:rsid w:val="001E2847"/>
    <w:rsid w:val="001E2AF0"/>
    <w:rsid w:val="001E2C0D"/>
    <w:rsid w:val="001E2D76"/>
    <w:rsid w:val="001E2EBE"/>
    <w:rsid w:val="001E32EB"/>
    <w:rsid w:val="001E337B"/>
    <w:rsid w:val="001E342C"/>
    <w:rsid w:val="001E34C8"/>
    <w:rsid w:val="001E3517"/>
    <w:rsid w:val="001E3608"/>
    <w:rsid w:val="001E385E"/>
    <w:rsid w:val="001E3C0D"/>
    <w:rsid w:val="001E3C21"/>
    <w:rsid w:val="001E3C33"/>
    <w:rsid w:val="001E3C64"/>
    <w:rsid w:val="001E3FFD"/>
    <w:rsid w:val="001E416B"/>
    <w:rsid w:val="001E42A4"/>
    <w:rsid w:val="001E4447"/>
    <w:rsid w:val="001E44A2"/>
    <w:rsid w:val="001E46D9"/>
    <w:rsid w:val="001E46DE"/>
    <w:rsid w:val="001E4900"/>
    <w:rsid w:val="001E493D"/>
    <w:rsid w:val="001E4C6F"/>
    <w:rsid w:val="001E4D53"/>
    <w:rsid w:val="001E4E77"/>
    <w:rsid w:val="001E4FF9"/>
    <w:rsid w:val="001E5561"/>
    <w:rsid w:val="001E56B9"/>
    <w:rsid w:val="001E56FF"/>
    <w:rsid w:val="001E5716"/>
    <w:rsid w:val="001E60F2"/>
    <w:rsid w:val="001E6264"/>
    <w:rsid w:val="001E62BD"/>
    <w:rsid w:val="001E64C2"/>
    <w:rsid w:val="001E6A31"/>
    <w:rsid w:val="001E6CF6"/>
    <w:rsid w:val="001E7227"/>
    <w:rsid w:val="001E72C2"/>
    <w:rsid w:val="001E7458"/>
    <w:rsid w:val="001E76C8"/>
    <w:rsid w:val="001E7796"/>
    <w:rsid w:val="001E7997"/>
    <w:rsid w:val="001F0068"/>
    <w:rsid w:val="001F021B"/>
    <w:rsid w:val="001F0571"/>
    <w:rsid w:val="001F05EE"/>
    <w:rsid w:val="001F0915"/>
    <w:rsid w:val="001F093F"/>
    <w:rsid w:val="001F0955"/>
    <w:rsid w:val="001F152E"/>
    <w:rsid w:val="001F1732"/>
    <w:rsid w:val="001F1DD8"/>
    <w:rsid w:val="001F1FBD"/>
    <w:rsid w:val="001F210D"/>
    <w:rsid w:val="001F2442"/>
    <w:rsid w:val="001F2554"/>
    <w:rsid w:val="001F2826"/>
    <w:rsid w:val="001F2A29"/>
    <w:rsid w:val="001F2AC7"/>
    <w:rsid w:val="001F2BAF"/>
    <w:rsid w:val="001F2D04"/>
    <w:rsid w:val="001F2DA9"/>
    <w:rsid w:val="001F3005"/>
    <w:rsid w:val="001F31C0"/>
    <w:rsid w:val="001F3222"/>
    <w:rsid w:val="001F3243"/>
    <w:rsid w:val="001F335A"/>
    <w:rsid w:val="001F3481"/>
    <w:rsid w:val="001F372D"/>
    <w:rsid w:val="001F3D3F"/>
    <w:rsid w:val="001F3FD8"/>
    <w:rsid w:val="001F3FFF"/>
    <w:rsid w:val="001F436B"/>
    <w:rsid w:val="001F4577"/>
    <w:rsid w:val="001F45DA"/>
    <w:rsid w:val="001F4815"/>
    <w:rsid w:val="001F4817"/>
    <w:rsid w:val="001F4923"/>
    <w:rsid w:val="001F4D0D"/>
    <w:rsid w:val="001F4EF0"/>
    <w:rsid w:val="001F503D"/>
    <w:rsid w:val="001F514A"/>
    <w:rsid w:val="001F538F"/>
    <w:rsid w:val="001F549D"/>
    <w:rsid w:val="001F55E0"/>
    <w:rsid w:val="001F5789"/>
    <w:rsid w:val="001F5831"/>
    <w:rsid w:val="001F5875"/>
    <w:rsid w:val="001F5924"/>
    <w:rsid w:val="001F59DF"/>
    <w:rsid w:val="001F5A5D"/>
    <w:rsid w:val="001F5EA7"/>
    <w:rsid w:val="001F659E"/>
    <w:rsid w:val="001F69FD"/>
    <w:rsid w:val="001F6EEA"/>
    <w:rsid w:val="001F77D0"/>
    <w:rsid w:val="001F7836"/>
    <w:rsid w:val="001F7992"/>
    <w:rsid w:val="001F7AF0"/>
    <w:rsid w:val="001F7C50"/>
    <w:rsid w:val="001F7D08"/>
    <w:rsid w:val="002000B3"/>
    <w:rsid w:val="00200230"/>
    <w:rsid w:val="00200A90"/>
    <w:rsid w:val="00200CD1"/>
    <w:rsid w:val="00200EA8"/>
    <w:rsid w:val="00201249"/>
    <w:rsid w:val="0020134A"/>
    <w:rsid w:val="0020134D"/>
    <w:rsid w:val="0020172E"/>
    <w:rsid w:val="00201885"/>
    <w:rsid w:val="00201CA8"/>
    <w:rsid w:val="00201E68"/>
    <w:rsid w:val="00201FE1"/>
    <w:rsid w:val="00202117"/>
    <w:rsid w:val="002021D9"/>
    <w:rsid w:val="0020233C"/>
    <w:rsid w:val="00202AA4"/>
    <w:rsid w:val="00202DF1"/>
    <w:rsid w:val="00202E05"/>
    <w:rsid w:val="0020304D"/>
    <w:rsid w:val="00203200"/>
    <w:rsid w:val="00203211"/>
    <w:rsid w:val="0020339D"/>
    <w:rsid w:val="0020383A"/>
    <w:rsid w:val="00203A40"/>
    <w:rsid w:val="00203EAB"/>
    <w:rsid w:val="0020463C"/>
    <w:rsid w:val="00204832"/>
    <w:rsid w:val="00204A41"/>
    <w:rsid w:val="00204D15"/>
    <w:rsid w:val="00204DDF"/>
    <w:rsid w:val="00204E23"/>
    <w:rsid w:val="0020509C"/>
    <w:rsid w:val="0020512A"/>
    <w:rsid w:val="0020514B"/>
    <w:rsid w:val="002053DA"/>
    <w:rsid w:val="00205704"/>
    <w:rsid w:val="002057AF"/>
    <w:rsid w:val="002059EA"/>
    <w:rsid w:val="00205BE1"/>
    <w:rsid w:val="00205E35"/>
    <w:rsid w:val="00205E3B"/>
    <w:rsid w:val="00205FA1"/>
    <w:rsid w:val="00206326"/>
    <w:rsid w:val="002063A0"/>
    <w:rsid w:val="00206694"/>
    <w:rsid w:val="00206B56"/>
    <w:rsid w:val="00206C5B"/>
    <w:rsid w:val="00206D0D"/>
    <w:rsid w:val="00206D7A"/>
    <w:rsid w:val="002071E5"/>
    <w:rsid w:val="002071EA"/>
    <w:rsid w:val="002074DA"/>
    <w:rsid w:val="0020755D"/>
    <w:rsid w:val="002075D3"/>
    <w:rsid w:val="002075EF"/>
    <w:rsid w:val="00207974"/>
    <w:rsid w:val="00207A11"/>
    <w:rsid w:val="00207E50"/>
    <w:rsid w:val="00210043"/>
    <w:rsid w:val="00210143"/>
    <w:rsid w:val="00210216"/>
    <w:rsid w:val="0021042F"/>
    <w:rsid w:val="00210524"/>
    <w:rsid w:val="0021052D"/>
    <w:rsid w:val="002105F9"/>
    <w:rsid w:val="00210975"/>
    <w:rsid w:val="00210B9C"/>
    <w:rsid w:val="00210BCD"/>
    <w:rsid w:val="00210D1F"/>
    <w:rsid w:val="00210D6E"/>
    <w:rsid w:val="00211365"/>
    <w:rsid w:val="0021186A"/>
    <w:rsid w:val="00211A1D"/>
    <w:rsid w:val="00211D43"/>
    <w:rsid w:val="00211E76"/>
    <w:rsid w:val="0021229F"/>
    <w:rsid w:val="002123CE"/>
    <w:rsid w:val="00212845"/>
    <w:rsid w:val="0021295B"/>
    <w:rsid w:val="00212968"/>
    <w:rsid w:val="00212EBD"/>
    <w:rsid w:val="00212EED"/>
    <w:rsid w:val="002132EF"/>
    <w:rsid w:val="002133EF"/>
    <w:rsid w:val="0021347B"/>
    <w:rsid w:val="002137C7"/>
    <w:rsid w:val="00213987"/>
    <w:rsid w:val="00213B54"/>
    <w:rsid w:val="0021402A"/>
    <w:rsid w:val="002140E4"/>
    <w:rsid w:val="00214BBD"/>
    <w:rsid w:val="00215067"/>
    <w:rsid w:val="00215080"/>
    <w:rsid w:val="00215465"/>
    <w:rsid w:val="0021558D"/>
    <w:rsid w:val="00215AFC"/>
    <w:rsid w:val="00215D14"/>
    <w:rsid w:val="002160EB"/>
    <w:rsid w:val="00216271"/>
    <w:rsid w:val="002164AE"/>
    <w:rsid w:val="00216673"/>
    <w:rsid w:val="00217069"/>
    <w:rsid w:val="0021707E"/>
    <w:rsid w:val="00217397"/>
    <w:rsid w:val="002175DE"/>
    <w:rsid w:val="002175FC"/>
    <w:rsid w:val="002176A9"/>
    <w:rsid w:val="0021794D"/>
    <w:rsid w:val="00217BA7"/>
    <w:rsid w:val="00217C16"/>
    <w:rsid w:val="00217CFB"/>
    <w:rsid w:val="00217D9B"/>
    <w:rsid w:val="00217FC2"/>
    <w:rsid w:val="00220022"/>
    <w:rsid w:val="00220289"/>
    <w:rsid w:val="00220451"/>
    <w:rsid w:val="002205BA"/>
    <w:rsid w:val="002208A2"/>
    <w:rsid w:val="00220BB8"/>
    <w:rsid w:val="00220EDE"/>
    <w:rsid w:val="00220F38"/>
    <w:rsid w:val="00221343"/>
    <w:rsid w:val="002213E9"/>
    <w:rsid w:val="002215BC"/>
    <w:rsid w:val="00221708"/>
    <w:rsid w:val="002218E8"/>
    <w:rsid w:val="002218EB"/>
    <w:rsid w:val="002219BD"/>
    <w:rsid w:val="0022207D"/>
    <w:rsid w:val="002220EE"/>
    <w:rsid w:val="002224E2"/>
    <w:rsid w:val="002226B3"/>
    <w:rsid w:val="00222A26"/>
    <w:rsid w:val="00222A3F"/>
    <w:rsid w:val="00222B33"/>
    <w:rsid w:val="00222B8D"/>
    <w:rsid w:val="00222BD9"/>
    <w:rsid w:val="00222DE9"/>
    <w:rsid w:val="00222EC7"/>
    <w:rsid w:val="002230A1"/>
    <w:rsid w:val="00223100"/>
    <w:rsid w:val="0022312D"/>
    <w:rsid w:val="002232C1"/>
    <w:rsid w:val="00223301"/>
    <w:rsid w:val="0022339C"/>
    <w:rsid w:val="0022385A"/>
    <w:rsid w:val="00224057"/>
    <w:rsid w:val="002240AD"/>
    <w:rsid w:val="00224587"/>
    <w:rsid w:val="002245EA"/>
    <w:rsid w:val="002246E8"/>
    <w:rsid w:val="002249EA"/>
    <w:rsid w:val="00224BF5"/>
    <w:rsid w:val="00224FF4"/>
    <w:rsid w:val="002253D2"/>
    <w:rsid w:val="00225536"/>
    <w:rsid w:val="00225784"/>
    <w:rsid w:val="002257A4"/>
    <w:rsid w:val="00225A17"/>
    <w:rsid w:val="00225B03"/>
    <w:rsid w:val="00225B3D"/>
    <w:rsid w:val="00225BC3"/>
    <w:rsid w:val="00225C3B"/>
    <w:rsid w:val="00225C7B"/>
    <w:rsid w:val="00225C9B"/>
    <w:rsid w:val="00225D41"/>
    <w:rsid w:val="00225E18"/>
    <w:rsid w:val="00225E1C"/>
    <w:rsid w:val="00225EB0"/>
    <w:rsid w:val="00226276"/>
    <w:rsid w:val="0022631A"/>
    <w:rsid w:val="0022661F"/>
    <w:rsid w:val="0022664D"/>
    <w:rsid w:val="002266D0"/>
    <w:rsid w:val="00226CDE"/>
    <w:rsid w:val="00226CE8"/>
    <w:rsid w:val="00226D88"/>
    <w:rsid w:val="00226F2C"/>
    <w:rsid w:val="00227059"/>
    <w:rsid w:val="00227215"/>
    <w:rsid w:val="002273F6"/>
    <w:rsid w:val="00227407"/>
    <w:rsid w:val="00227757"/>
    <w:rsid w:val="0022786A"/>
    <w:rsid w:val="00227B41"/>
    <w:rsid w:val="00227DCF"/>
    <w:rsid w:val="00227F2D"/>
    <w:rsid w:val="0023017F"/>
    <w:rsid w:val="00230183"/>
    <w:rsid w:val="002305BA"/>
    <w:rsid w:val="002307CD"/>
    <w:rsid w:val="0023091B"/>
    <w:rsid w:val="00230E8D"/>
    <w:rsid w:val="00231381"/>
    <w:rsid w:val="002315C2"/>
    <w:rsid w:val="00231614"/>
    <w:rsid w:val="00231735"/>
    <w:rsid w:val="00231916"/>
    <w:rsid w:val="00231CA9"/>
    <w:rsid w:val="00231EF6"/>
    <w:rsid w:val="002320FD"/>
    <w:rsid w:val="002324D5"/>
    <w:rsid w:val="002327A8"/>
    <w:rsid w:val="0023286C"/>
    <w:rsid w:val="002328E8"/>
    <w:rsid w:val="00232991"/>
    <w:rsid w:val="00232C12"/>
    <w:rsid w:val="00232CDD"/>
    <w:rsid w:val="00232DBB"/>
    <w:rsid w:val="0023304C"/>
    <w:rsid w:val="00233189"/>
    <w:rsid w:val="00233238"/>
    <w:rsid w:val="0023356B"/>
    <w:rsid w:val="00233581"/>
    <w:rsid w:val="0023370C"/>
    <w:rsid w:val="00233BFA"/>
    <w:rsid w:val="00233C63"/>
    <w:rsid w:val="00233D41"/>
    <w:rsid w:val="00233DB3"/>
    <w:rsid w:val="00233EDC"/>
    <w:rsid w:val="002341A4"/>
    <w:rsid w:val="0023462E"/>
    <w:rsid w:val="00234B66"/>
    <w:rsid w:val="00234C90"/>
    <w:rsid w:val="00234F4F"/>
    <w:rsid w:val="00235249"/>
    <w:rsid w:val="0023531C"/>
    <w:rsid w:val="002357F3"/>
    <w:rsid w:val="0023580F"/>
    <w:rsid w:val="002359FC"/>
    <w:rsid w:val="00235A74"/>
    <w:rsid w:val="00235A93"/>
    <w:rsid w:val="00235D4A"/>
    <w:rsid w:val="00235D9E"/>
    <w:rsid w:val="00236335"/>
    <w:rsid w:val="002366AA"/>
    <w:rsid w:val="002367C8"/>
    <w:rsid w:val="00236C19"/>
    <w:rsid w:val="00236D36"/>
    <w:rsid w:val="00236EFE"/>
    <w:rsid w:val="00237471"/>
    <w:rsid w:val="0023765E"/>
    <w:rsid w:val="002379AC"/>
    <w:rsid w:val="00237A7B"/>
    <w:rsid w:val="00237E17"/>
    <w:rsid w:val="00237EE8"/>
    <w:rsid w:val="0024014C"/>
    <w:rsid w:val="002401E1"/>
    <w:rsid w:val="0024021E"/>
    <w:rsid w:val="00240364"/>
    <w:rsid w:val="002404E7"/>
    <w:rsid w:val="002405A2"/>
    <w:rsid w:val="00240646"/>
    <w:rsid w:val="002407F3"/>
    <w:rsid w:val="002409A6"/>
    <w:rsid w:val="00240A14"/>
    <w:rsid w:val="00240B87"/>
    <w:rsid w:val="00240CEE"/>
    <w:rsid w:val="00240D86"/>
    <w:rsid w:val="002411C4"/>
    <w:rsid w:val="00241824"/>
    <w:rsid w:val="002418E8"/>
    <w:rsid w:val="00241AFA"/>
    <w:rsid w:val="00241F05"/>
    <w:rsid w:val="002421B8"/>
    <w:rsid w:val="002421F1"/>
    <w:rsid w:val="0024253F"/>
    <w:rsid w:val="002426C6"/>
    <w:rsid w:val="0024275A"/>
    <w:rsid w:val="002427B5"/>
    <w:rsid w:val="002427F7"/>
    <w:rsid w:val="0024293E"/>
    <w:rsid w:val="00242D3E"/>
    <w:rsid w:val="002430DB"/>
    <w:rsid w:val="0024316B"/>
    <w:rsid w:val="002431BD"/>
    <w:rsid w:val="002431CC"/>
    <w:rsid w:val="00243611"/>
    <w:rsid w:val="00243BAD"/>
    <w:rsid w:val="00244082"/>
    <w:rsid w:val="00244128"/>
    <w:rsid w:val="00244268"/>
    <w:rsid w:val="00244716"/>
    <w:rsid w:val="00244906"/>
    <w:rsid w:val="00244A87"/>
    <w:rsid w:val="00244B97"/>
    <w:rsid w:val="00244BE4"/>
    <w:rsid w:val="00244CE7"/>
    <w:rsid w:val="00244E68"/>
    <w:rsid w:val="00244F2E"/>
    <w:rsid w:val="00245210"/>
    <w:rsid w:val="002455FE"/>
    <w:rsid w:val="002456F2"/>
    <w:rsid w:val="00245817"/>
    <w:rsid w:val="00245D65"/>
    <w:rsid w:val="00245F56"/>
    <w:rsid w:val="0024645F"/>
    <w:rsid w:val="002465DC"/>
    <w:rsid w:val="00246622"/>
    <w:rsid w:val="0024674A"/>
    <w:rsid w:val="00247426"/>
    <w:rsid w:val="002474ED"/>
    <w:rsid w:val="00247769"/>
    <w:rsid w:val="002478C4"/>
    <w:rsid w:val="00247A28"/>
    <w:rsid w:val="00247A63"/>
    <w:rsid w:val="00247AF9"/>
    <w:rsid w:val="00247BD0"/>
    <w:rsid w:val="00250073"/>
    <w:rsid w:val="00250148"/>
    <w:rsid w:val="002501AA"/>
    <w:rsid w:val="00250529"/>
    <w:rsid w:val="00250BD5"/>
    <w:rsid w:val="00250D93"/>
    <w:rsid w:val="00250FFF"/>
    <w:rsid w:val="00251091"/>
    <w:rsid w:val="00251302"/>
    <w:rsid w:val="00251AEE"/>
    <w:rsid w:val="00251E44"/>
    <w:rsid w:val="00251E93"/>
    <w:rsid w:val="00252066"/>
    <w:rsid w:val="0025209A"/>
    <w:rsid w:val="00252431"/>
    <w:rsid w:val="002526D8"/>
    <w:rsid w:val="0025280C"/>
    <w:rsid w:val="0025284D"/>
    <w:rsid w:val="002528DE"/>
    <w:rsid w:val="00252AD5"/>
    <w:rsid w:val="00252C5C"/>
    <w:rsid w:val="00252F0A"/>
    <w:rsid w:val="002530EB"/>
    <w:rsid w:val="00253121"/>
    <w:rsid w:val="0025342C"/>
    <w:rsid w:val="0025374B"/>
    <w:rsid w:val="00253C50"/>
    <w:rsid w:val="00253E60"/>
    <w:rsid w:val="00253EAB"/>
    <w:rsid w:val="00254044"/>
    <w:rsid w:val="00254167"/>
    <w:rsid w:val="0025435A"/>
    <w:rsid w:val="0025445A"/>
    <w:rsid w:val="00254679"/>
    <w:rsid w:val="002547A9"/>
    <w:rsid w:val="00254A1F"/>
    <w:rsid w:val="00254B1E"/>
    <w:rsid w:val="00254E1D"/>
    <w:rsid w:val="002551E3"/>
    <w:rsid w:val="002553C8"/>
    <w:rsid w:val="0025541B"/>
    <w:rsid w:val="0025544C"/>
    <w:rsid w:val="00255953"/>
    <w:rsid w:val="002559E6"/>
    <w:rsid w:val="00255A9B"/>
    <w:rsid w:val="00255ADC"/>
    <w:rsid w:val="00255CE0"/>
    <w:rsid w:val="00255D8A"/>
    <w:rsid w:val="00255EF0"/>
    <w:rsid w:val="002560B8"/>
    <w:rsid w:val="00256654"/>
    <w:rsid w:val="00256696"/>
    <w:rsid w:val="00256ACC"/>
    <w:rsid w:val="00257298"/>
    <w:rsid w:val="00257401"/>
    <w:rsid w:val="002574D3"/>
    <w:rsid w:val="0025756C"/>
    <w:rsid w:val="00257818"/>
    <w:rsid w:val="00257858"/>
    <w:rsid w:val="00257874"/>
    <w:rsid w:val="00257913"/>
    <w:rsid w:val="002579E9"/>
    <w:rsid w:val="00257AB0"/>
    <w:rsid w:val="00257B4B"/>
    <w:rsid w:val="00257B63"/>
    <w:rsid w:val="00257BA8"/>
    <w:rsid w:val="00257CD0"/>
    <w:rsid w:val="0026018B"/>
    <w:rsid w:val="00260288"/>
    <w:rsid w:val="002602B3"/>
    <w:rsid w:val="00260302"/>
    <w:rsid w:val="00260393"/>
    <w:rsid w:val="002603C2"/>
    <w:rsid w:val="002604F1"/>
    <w:rsid w:val="00260675"/>
    <w:rsid w:val="0026074C"/>
    <w:rsid w:val="00260815"/>
    <w:rsid w:val="00260956"/>
    <w:rsid w:val="0026098E"/>
    <w:rsid w:val="002609CC"/>
    <w:rsid w:val="00260C7E"/>
    <w:rsid w:val="00261019"/>
    <w:rsid w:val="00261208"/>
    <w:rsid w:val="0026131F"/>
    <w:rsid w:val="002615F0"/>
    <w:rsid w:val="0026164F"/>
    <w:rsid w:val="00261767"/>
    <w:rsid w:val="002618FC"/>
    <w:rsid w:val="00261B68"/>
    <w:rsid w:val="00261D7D"/>
    <w:rsid w:val="002620E6"/>
    <w:rsid w:val="002621C5"/>
    <w:rsid w:val="002626C0"/>
    <w:rsid w:val="00262818"/>
    <w:rsid w:val="002628DD"/>
    <w:rsid w:val="00262CD0"/>
    <w:rsid w:val="0026332C"/>
    <w:rsid w:val="0026351A"/>
    <w:rsid w:val="00263B5D"/>
    <w:rsid w:val="00263CB1"/>
    <w:rsid w:val="00263F80"/>
    <w:rsid w:val="00264159"/>
    <w:rsid w:val="002641C6"/>
    <w:rsid w:val="00264580"/>
    <w:rsid w:val="00264727"/>
    <w:rsid w:val="0026485E"/>
    <w:rsid w:val="002648EC"/>
    <w:rsid w:val="00264A29"/>
    <w:rsid w:val="00264A6A"/>
    <w:rsid w:val="00264CC9"/>
    <w:rsid w:val="00264EED"/>
    <w:rsid w:val="00265171"/>
    <w:rsid w:val="00265220"/>
    <w:rsid w:val="00265330"/>
    <w:rsid w:val="00265506"/>
    <w:rsid w:val="002658DB"/>
    <w:rsid w:val="00265989"/>
    <w:rsid w:val="00265A92"/>
    <w:rsid w:val="00265D4B"/>
    <w:rsid w:val="00265FE3"/>
    <w:rsid w:val="00266492"/>
    <w:rsid w:val="00267259"/>
    <w:rsid w:val="0026755D"/>
    <w:rsid w:val="0026776E"/>
    <w:rsid w:val="002677F7"/>
    <w:rsid w:val="00267D5E"/>
    <w:rsid w:val="00270119"/>
    <w:rsid w:val="00270276"/>
    <w:rsid w:val="00270299"/>
    <w:rsid w:val="002705FA"/>
    <w:rsid w:val="00270821"/>
    <w:rsid w:val="00270A1F"/>
    <w:rsid w:val="00270DAC"/>
    <w:rsid w:val="00270E1D"/>
    <w:rsid w:val="00270ED4"/>
    <w:rsid w:val="00270FE7"/>
    <w:rsid w:val="0027115E"/>
    <w:rsid w:val="002716AF"/>
    <w:rsid w:val="0027178B"/>
    <w:rsid w:val="0027185F"/>
    <w:rsid w:val="00271972"/>
    <w:rsid w:val="00271AC0"/>
    <w:rsid w:val="00271B81"/>
    <w:rsid w:val="00271E4B"/>
    <w:rsid w:val="002720C7"/>
    <w:rsid w:val="002723E3"/>
    <w:rsid w:val="002724CA"/>
    <w:rsid w:val="002729C0"/>
    <w:rsid w:val="00272C0C"/>
    <w:rsid w:val="0027310A"/>
    <w:rsid w:val="0027332D"/>
    <w:rsid w:val="002734E3"/>
    <w:rsid w:val="00273705"/>
    <w:rsid w:val="0027379C"/>
    <w:rsid w:val="002742B9"/>
    <w:rsid w:val="0027459A"/>
    <w:rsid w:val="002749BD"/>
    <w:rsid w:val="00274B8D"/>
    <w:rsid w:val="00274CC5"/>
    <w:rsid w:val="0027529D"/>
    <w:rsid w:val="00275306"/>
    <w:rsid w:val="00275370"/>
    <w:rsid w:val="00275475"/>
    <w:rsid w:val="00275599"/>
    <w:rsid w:val="00275878"/>
    <w:rsid w:val="00275E74"/>
    <w:rsid w:val="0027636D"/>
    <w:rsid w:val="00276490"/>
    <w:rsid w:val="002764D7"/>
    <w:rsid w:val="00276644"/>
    <w:rsid w:val="002766E3"/>
    <w:rsid w:val="00276BC7"/>
    <w:rsid w:val="00276D00"/>
    <w:rsid w:val="00276DAA"/>
    <w:rsid w:val="00276DB2"/>
    <w:rsid w:val="00276DC9"/>
    <w:rsid w:val="00276FCA"/>
    <w:rsid w:val="00277126"/>
    <w:rsid w:val="002771CB"/>
    <w:rsid w:val="0027795E"/>
    <w:rsid w:val="00277B2B"/>
    <w:rsid w:val="00277C16"/>
    <w:rsid w:val="00277CA9"/>
    <w:rsid w:val="00277DF2"/>
    <w:rsid w:val="00277ED6"/>
    <w:rsid w:val="00280162"/>
    <w:rsid w:val="0028047D"/>
    <w:rsid w:val="002804AF"/>
    <w:rsid w:val="0028054E"/>
    <w:rsid w:val="0028060D"/>
    <w:rsid w:val="002806C8"/>
    <w:rsid w:val="002806F1"/>
    <w:rsid w:val="00280A8A"/>
    <w:rsid w:val="00280AED"/>
    <w:rsid w:val="00280DD6"/>
    <w:rsid w:val="00280E23"/>
    <w:rsid w:val="00281600"/>
    <w:rsid w:val="00281737"/>
    <w:rsid w:val="00281787"/>
    <w:rsid w:val="00281867"/>
    <w:rsid w:val="00281879"/>
    <w:rsid w:val="0028192B"/>
    <w:rsid w:val="00281A9A"/>
    <w:rsid w:val="00281B36"/>
    <w:rsid w:val="00281CDC"/>
    <w:rsid w:val="00281D1E"/>
    <w:rsid w:val="00281FBA"/>
    <w:rsid w:val="002820FB"/>
    <w:rsid w:val="002823AB"/>
    <w:rsid w:val="002824B8"/>
    <w:rsid w:val="00282955"/>
    <w:rsid w:val="00282C85"/>
    <w:rsid w:val="00282CED"/>
    <w:rsid w:val="002830AC"/>
    <w:rsid w:val="002831C6"/>
    <w:rsid w:val="0028322C"/>
    <w:rsid w:val="00283481"/>
    <w:rsid w:val="002834B3"/>
    <w:rsid w:val="002834C4"/>
    <w:rsid w:val="0028362A"/>
    <w:rsid w:val="002838C7"/>
    <w:rsid w:val="00283A2E"/>
    <w:rsid w:val="00283C9E"/>
    <w:rsid w:val="00283D8E"/>
    <w:rsid w:val="00284091"/>
    <w:rsid w:val="0028426F"/>
    <w:rsid w:val="002845CE"/>
    <w:rsid w:val="002845FD"/>
    <w:rsid w:val="00284CDB"/>
    <w:rsid w:val="00284DA2"/>
    <w:rsid w:val="00284E00"/>
    <w:rsid w:val="002852BB"/>
    <w:rsid w:val="00285322"/>
    <w:rsid w:val="0028549F"/>
    <w:rsid w:val="002854D1"/>
    <w:rsid w:val="002854D6"/>
    <w:rsid w:val="002856A3"/>
    <w:rsid w:val="00285818"/>
    <w:rsid w:val="00285A06"/>
    <w:rsid w:val="00285BF7"/>
    <w:rsid w:val="00285F4C"/>
    <w:rsid w:val="00286087"/>
    <w:rsid w:val="00286240"/>
    <w:rsid w:val="002862E1"/>
    <w:rsid w:val="00286331"/>
    <w:rsid w:val="002864A0"/>
    <w:rsid w:val="002865AA"/>
    <w:rsid w:val="00286618"/>
    <w:rsid w:val="00286A4E"/>
    <w:rsid w:val="00286D52"/>
    <w:rsid w:val="00286F92"/>
    <w:rsid w:val="00286FF8"/>
    <w:rsid w:val="00287017"/>
    <w:rsid w:val="002870C5"/>
    <w:rsid w:val="00287345"/>
    <w:rsid w:val="00287975"/>
    <w:rsid w:val="00287C46"/>
    <w:rsid w:val="00287CA0"/>
    <w:rsid w:val="00287EC9"/>
    <w:rsid w:val="00287FB6"/>
    <w:rsid w:val="002900B8"/>
    <w:rsid w:val="002901DD"/>
    <w:rsid w:val="0029037B"/>
    <w:rsid w:val="00290460"/>
    <w:rsid w:val="002905AC"/>
    <w:rsid w:val="002906A4"/>
    <w:rsid w:val="00290829"/>
    <w:rsid w:val="00290A71"/>
    <w:rsid w:val="00290CBD"/>
    <w:rsid w:val="0029164E"/>
    <w:rsid w:val="0029209B"/>
    <w:rsid w:val="00292323"/>
    <w:rsid w:val="002924FB"/>
    <w:rsid w:val="0029281D"/>
    <w:rsid w:val="00292A69"/>
    <w:rsid w:val="00292FAA"/>
    <w:rsid w:val="00293215"/>
    <w:rsid w:val="0029329D"/>
    <w:rsid w:val="00293402"/>
    <w:rsid w:val="002939A7"/>
    <w:rsid w:val="00293CE4"/>
    <w:rsid w:val="00293D70"/>
    <w:rsid w:val="00293E7E"/>
    <w:rsid w:val="00293FC4"/>
    <w:rsid w:val="00294106"/>
    <w:rsid w:val="00294112"/>
    <w:rsid w:val="0029430F"/>
    <w:rsid w:val="00294335"/>
    <w:rsid w:val="002943CB"/>
    <w:rsid w:val="0029443D"/>
    <w:rsid w:val="00294606"/>
    <w:rsid w:val="00294AB2"/>
    <w:rsid w:val="00294E69"/>
    <w:rsid w:val="00294F01"/>
    <w:rsid w:val="00295160"/>
    <w:rsid w:val="002952CC"/>
    <w:rsid w:val="002953FF"/>
    <w:rsid w:val="0029545E"/>
    <w:rsid w:val="0029567D"/>
    <w:rsid w:val="0029589D"/>
    <w:rsid w:val="00295D05"/>
    <w:rsid w:val="00295D3D"/>
    <w:rsid w:val="002960B8"/>
    <w:rsid w:val="002962F9"/>
    <w:rsid w:val="00296427"/>
    <w:rsid w:val="0029645B"/>
    <w:rsid w:val="002964B5"/>
    <w:rsid w:val="0029660F"/>
    <w:rsid w:val="0029685A"/>
    <w:rsid w:val="0029690E"/>
    <w:rsid w:val="00296ADA"/>
    <w:rsid w:val="00296F6A"/>
    <w:rsid w:val="00297283"/>
    <w:rsid w:val="00297549"/>
    <w:rsid w:val="002977C1"/>
    <w:rsid w:val="00297F95"/>
    <w:rsid w:val="002A0289"/>
    <w:rsid w:val="002A031C"/>
    <w:rsid w:val="002A0472"/>
    <w:rsid w:val="002A0666"/>
    <w:rsid w:val="002A082D"/>
    <w:rsid w:val="002A0C6C"/>
    <w:rsid w:val="002A0F28"/>
    <w:rsid w:val="002A102B"/>
    <w:rsid w:val="002A11E9"/>
    <w:rsid w:val="002A15D5"/>
    <w:rsid w:val="002A1816"/>
    <w:rsid w:val="002A1B3E"/>
    <w:rsid w:val="002A1D4F"/>
    <w:rsid w:val="002A1EB6"/>
    <w:rsid w:val="002A1EEB"/>
    <w:rsid w:val="002A1F97"/>
    <w:rsid w:val="002A214D"/>
    <w:rsid w:val="002A22B8"/>
    <w:rsid w:val="002A25FA"/>
    <w:rsid w:val="002A298F"/>
    <w:rsid w:val="002A2CDD"/>
    <w:rsid w:val="002A2D32"/>
    <w:rsid w:val="002A2D38"/>
    <w:rsid w:val="002A2DCD"/>
    <w:rsid w:val="002A3075"/>
    <w:rsid w:val="002A312E"/>
    <w:rsid w:val="002A344B"/>
    <w:rsid w:val="002A3726"/>
    <w:rsid w:val="002A3753"/>
    <w:rsid w:val="002A3B07"/>
    <w:rsid w:val="002A3CCF"/>
    <w:rsid w:val="002A3E66"/>
    <w:rsid w:val="002A3FBA"/>
    <w:rsid w:val="002A3FF2"/>
    <w:rsid w:val="002A435A"/>
    <w:rsid w:val="002A479B"/>
    <w:rsid w:val="002A4DE6"/>
    <w:rsid w:val="002A4ED9"/>
    <w:rsid w:val="002A4F89"/>
    <w:rsid w:val="002A522E"/>
    <w:rsid w:val="002A524E"/>
    <w:rsid w:val="002A546D"/>
    <w:rsid w:val="002A5593"/>
    <w:rsid w:val="002A5938"/>
    <w:rsid w:val="002A59B3"/>
    <w:rsid w:val="002A5BE8"/>
    <w:rsid w:val="002A5BFF"/>
    <w:rsid w:val="002A5E88"/>
    <w:rsid w:val="002A5EC3"/>
    <w:rsid w:val="002A611B"/>
    <w:rsid w:val="002A6137"/>
    <w:rsid w:val="002A6171"/>
    <w:rsid w:val="002A619C"/>
    <w:rsid w:val="002A6233"/>
    <w:rsid w:val="002A6375"/>
    <w:rsid w:val="002A648F"/>
    <w:rsid w:val="002A69E5"/>
    <w:rsid w:val="002A6C25"/>
    <w:rsid w:val="002A6DF7"/>
    <w:rsid w:val="002A7358"/>
    <w:rsid w:val="002A737A"/>
    <w:rsid w:val="002A76E7"/>
    <w:rsid w:val="002A782F"/>
    <w:rsid w:val="002A7937"/>
    <w:rsid w:val="002A793F"/>
    <w:rsid w:val="002A7BBB"/>
    <w:rsid w:val="002A7ED8"/>
    <w:rsid w:val="002B0222"/>
    <w:rsid w:val="002B041C"/>
    <w:rsid w:val="002B04FA"/>
    <w:rsid w:val="002B05D7"/>
    <w:rsid w:val="002B0792"/>
    <w:rsid w:val="002B091C"/>
    <w:rsid w:val="002B09CA"/>
    <w:rsid w:val="002B0DD6"/>
    <w:rsid w:val="002B1060"/>
    <w:rsid w:val="002B1165"/>
    <w:rsid w:val="002B13A7"/>
    <w:rsid w:val="002B14FA"/>
    <w:rsid w:val="002B181B"/>
    <w:rsid w:val="002B1A20"/>
    <w:rsid w:val="002B1A65"/>
    <w:rsid w:val="002B1AC2"/>
    <w:rsid w:val="002B1C39"/>
    <w:rsid w:val="002B2423"/>
    <w:rsid w:val="002B254F"/>
    <w:rsid w:val="002B2794"/>
    <w:rsid w:val="002B282B"/>
    <w:rsid w:val="002B297E"/>
    <w:rsid w:val="002B2B70"/>
    <w:rsid w:val="002B2B83"/>
    <w:rsid w:val="002B2D3C"/>
    <w:rsid w:val="002B3004"/>
    <w:rsid w:val="002B301C"/>
    <w:rsid w:val="002B315E"/>
    <w:rsid w:val="002B31D7"/>
    <w:rsid w:val="002B3695"/>
    <w:rsid w:val="002B39DB"/>
    <w:rsid w:val="002B3A4D"/>
    <w:rsid w:val="002B3E19"/>
    <w:rsid w:val="002B4083"/>
    <w:rsid w:val="002B423C"/>
    <w:rsid w:val="002B4348"/>
    <w:rsid w:val="002B45AE"/>
    <w:rsid w:val="002B4C4C"/>
    <w:rsid w:val="002B533C"/>
    <w:rsid w:val="002B553D"/>
    <w:rsid w:val="002B56D6"/>
    <w:rsid w:val="002B574A"/>
    <w:rsid w:val="002B5846"/>
    <w:rsid w:val="002B5987"/>
    <w:rsid w:val="002B59A6"/>
    <w:rsid w:val="002B5A92"/>
    <w:rsid w:val="002B5E99"/>
    <w:rsid w:val="002B605E"/>
    <w:rsid w:val="002B636D"/>
    <w:rsid w:val="002B63B3"/>
    <w:rsid w:val="002B63EB"/>
    <w:rsid w:val="002B6616"/>
    <w:rsid w:val="002B681C"/>
    <w:rsid w:val="002B6A4A"/>
    <w:rsid w:val="002B6A62"/>
    <w:rsid w:val="002B6C31"/>
    <w:rsid w:val="002B6D07"/>
    <w:rsid w:val="002B6F2A"/>
    <w:rsid w:val="002B745E"/>
    <w:rsid w:val="002B7689"/>
    <w:rsid w:val="002B771B"/>
    <w:rsid w:val="002B78DC"/>
    <w:rsid w:val="002B79E3"/>
    <w:rsid w:val="002B79F1"/>
    <w:rsid w:val="002B7C35"/>
    <w:rsid w:val="002C0066"/>
    <w:rsid w:val="002C0348"/>
    <w:rsid w:val="002C05F7"/>
    <w:rsid w:val="002C089A"/>
    <w:rsid w:val="002C099E"/>
    <w:rsid w:val="002C09A5"/>
    <w:rsid w:val="002C0BEE"/>
    <w:rsid w:val="002C0C8B"/>
    <w:rsid w:val="002C0E31"/>
    <w:rsid w:val="002C1064"/>
    <w:rsid w:val="002C14F1"/>
    <w:rsid w:val="002C1512"/>
    <w:rsid w:val="002C15E9"/>
    <w:rsid w:val="002C172B"/>
    <w:rsid w:val="002C175A"/>
    <w:rsid w:val="002C17A8"/>
    <w:rsid w:val="002C17F5"/>
    <w:rsid w:val="002C1A84"/>
    <w:rsid w:val="002C1CC4"/>
    <w:rsid w:val="002C21F3"/>
    <w:rsid w:val="002C2288"/>
    <w:rsid w:val="002C237F"/>
    <w:rsid w:val="002C24EC"/>
    <w:rsid w:val="002C2549"/>
    <w:rsid w:val="002C25E0"/>
    <w:rsid w:val="002C2775"/>
    <w:rsid w:val="002C27BE"/>
    <w:rsid w:val="002C2866"/>
    <w:rsid w:val="002C2A3B"/>
    <w:rsid w:val="002C2E2B"/>
    <w:rsid w:val="002C2E81"/>
    <w:rsid w:val="002C346C"/>
    <w:rsid w:val="002C35C7"/>
    <w:rsid w:val="002C36F8"/>
    <w:rsid w:val="002C43C7"/>
    <w:rsid w:val="002C43F8"/>
    <w:rsid w:val="002C4447"/>
    <w:rsid w:val="002C4527"/>
    <w:rsid w:val="002C469B"/>
    <w:rsid w:val="002C495E"/>
    <w:rsid w:val="002C4A34"/>
    <w:rsid w:val="002C4B29"/>
    <w:rsid w:val="002C4B68"/>
    <w:rsid w:val="002C5235"/>
    <w:rsid w:val="002C557C"/>
    <w:rsid w:val="002C55A2"/>
    <w:rsid w:val="002C5699"/>
    <w:rsid w:val="002C573A"/>
    <w:rsid w:val="002C5C30"/>
    <w:rsid w:val="002C5EDF"/>
    <w:rsid w:val="002C61D5"/>
    <w:rsid w:val="002C6348"/>
    <w:rsid w:val="002C6458"/>
    <w:rsid w:val="002C64EC"/>
    <w:rsid w:val="002C6532"/>
    <w:rsid w:val="002C697F"/>
    <w:rsid w:val="002C6B1D"/>
    <w:rsid w:val="002C6D1B"/>
    <w:rsid w:val="002C71EE"/>
    <w:rsid w:val="002C7210"/>
    <w:rsid w:val="002C727C"/>
    <w:rsid w:val="002C7486"/>
    <w:rsid w:val="002C768F"/>
    <w:rsid w:val="002C794A"/>
    <w:rsid w:val="002C7991"/>
    <w:rsid w:val="002C7BB7"/>
    <w:rsid w:val="002D0BA6"/>
    <w:rsid w:val="002D10DA"/>
    <w:rsid w:val="002D11C3"/>
    <w:rsid w:val="002D1290"/>
    <w:rsid w:val="002D14F5"/>
    <w:rsid w:val="002D16AE"/>
    <w:rsid w:val="002D1BD4"/>
    <w:rsid w:val="002D1E8F"/>
    <w:rsid w:val="002D1EE1"/>
    <w:rsid w:val="002D1F19"/>
    <w:rsid w:val="002D2346"/>
    <w:rsid w:val="002D237F"/>
    <w:rsid w:val="002D25E0"/>
    <w:rsid w:val="002D281A"/>
    <w:rsid w:val="002D2847"/>
    <w:rsid w:val="002D300F"/>
    <w:rsid w:val="002D30EA"/>
    <w:rsid w:val="002D31E9"/>
    <w:rsid w:val="002D3362"/>
    <w:rsid w:val="002D3471"/>
    <w:rsid w:val="002D3654"/>
    <w:rsid w:val="002D369B"/>
    <w:rsid w:val="002D3755"/>
    <w:rsid w:val="002D37CF"/>
    <w:rsid w:val="002D3A8E"/>
    <w:rsid w:val="002D3BB8"/>
    <w:rsid w:val="002D3C56"/>
    <w:rsid w:val="002D3CD5"/>
    <w:rsid w:val="002D429F"/>
    <w:rsid w:val="002D42FA"/>
    <w:rsid w:val="002D43DE"/>
    <w:rsid w:val="002D46F8"/>
    <w:rsid w:val="002D4851"/>
    <w:rsid w:val="002D4C12"/>
    <w:rsid w:val="002D4D4D"/>
    <w:rsid w:val="002D509B"/>
    <w:rsid w:val="002D5482"/>
    <w:rsid w:val="002D5500"/>
    <w:rsid w:val="002D5A84"/>
    <w:rsid w:val="002D5A96"/>
    <w:rsid w:val="002D5C46"/>
    <w:rsid w:val="002D5D9A"/>
    <w:rsid w:val="002D61A0"/>
    <w:rsid w:val="002D642C"/>
    <w:rsid w:val="002D65C6"/>
    <w:rsid w:val="002D6719"/>
    <w:rsid w:val="002D6854"/>
    <w:rsid w:val="002D6AD9"/>
    <w:rsid w:val="002D6B6A"/>
    <w:rsid w:val="002D6DB7"/>
    <w:rsid w:val="002D706A"/>
    <w:rsid w:val="002D758B"/>
    <w:rsid w:val="002D787C"/>
    <w:rsid w:val="002D79EC"/>
    <w:rsid w:val="002D7A07"/>
    <w:rsid w:val="002D7DED"/>
    <w:rsid w:val="002D7E72"/>
    <w:rsid w:val="002E00C1"/>
    <w:rsid w:val="002E016F"/>
    <w:rsid w:val="002E07DA"/>
    <w:rsid w:val="002E09E0"/>
    <w:rsid w:val="002E0ADB"/>
    <w:rsid w:val="002E0C3B"/>
    <w:rsid w:val="002E0E4E"/>
    <w:rsid w:val="002E0EA5"/>
    <w:rsid w:val="002E0FD7"/>
    <w:rsid w:val="002E1508"/>
    <w:rsid w:val="002E156F"/>
    <w:rsid w:val="002E198A"/>
    <w:rsid w:val="002E19CB"/>
    <w:rsid w:val="002E1A63"/>
    <w:rsid w:val="002E222F"/>
    <w:rsid w:val="002E23C5"/>
    <w:rsid w:val="002E23F1"/>
    <w:rsid w:val="002E27C9"/>
    <w:rsid w:val="002E28CA"/>
    <w:rsid w:val="002E2C57"/>
    <w:rsid w:val="002E2E8C"/>
    <w:rsid w:val="002E2F89"/>
    <w:rsid w:val="002E31B3"/>
    <w:rsid w:val="002E3311"/>
    <w:rsid w:val="002E3AD7"/>
    <w:rsid w:val="002E3B68"/>
    <w:rsid w:val="002E3EE3"/>
    <w:rsid w:val="002E3F09"/>
    <w:rsid w:val="002E3F61"/>
    <w:rsid w:val="002E425D"/>
    <w:rsid w:val="002E45BF"/>
    <w:rsid w:val="002E4AED"/>
    <w:rsid w:val="002E4C44"/>
    <w:rsid w:val="002E4CB6"/>
    <w:rsid w:val="002E5105"/>
    <w:rsid w:val="002E5117"/>
    <w:rsid w:val="002E5386"/>
    <w:rsid w:val="002E5797"/>
    <w:rsid w:val="002E5A02"/>
    <w:rsid w:val="002E5D0E"/>
    <w:rsid w:val="002E5EAF"/>
    <w:rsid w:val="002E609F"/>
    <w:rsid w:val="002E65D2"/>
    <w:rsid w:val="002E6BCA"/>
    <w:rsid w:val="002E6CDD"/>
    <w:rsid w:val="002E6E38"/>
    <w:rsid w:val="002E7102"/>
    <w:rsid w:val="002E7679"/>
    <w:rsid w:val="002E7B2A"/>
    <w:rsid w:val="002E7B67"/>
    <w:rsid w:val="002E7FAB"/>
    <w:rsid w:val="002F0143"/>
    <w:rsid w:val="002F0193"/>
    <w:rsid w:val="002F01BB"/>
    <w:rsid w:val="002F044C"/>
    <w:rsid w:val="002F076A"/>
    <w:rsid w:val="002F0783"/>
    <w:rsid w:val="002F090A"/>
    <w:rsid w:val="002F0931"/>
    <w:rsid w:val="002F0967"/>
    <w:rsid w:val="002F0F5B"/>
    <w:rsid w:val="002F13ED"/>
    <w:rsid w:val="002F142B"/>
    <w:rsid w:val="002F16C5"/>
    <w:rsid w:val="002F1864"/>
    <w:rsid w:val="002F1C68"/>
    <w:rsid w:val="002F1E14"/>
    <w:rsid w:val="002F23E7"/>
    <w:rsid w:val="002F2514"/>
    <w:rsid w:val="002F27C2"/>
    <w:rsid w:val="002F28D3"/>
    <w:rsid w:val="002F3088"/>
    <w:rsid w:val="002F3261"/>
    <w:rsid w:val="002F3808"/>
    <w:rsid w:val="002F38E7"/>
    <w:rsid w:val="002F3A93"/>
    <w:rsid w:val="002F3C88"/>
    <w:rsid w:val="002F3D26"/>
    <w:rsid w:val="002F3D99"/>
    <w:rsid w:val="002F3DE9"/>
    <w:rsid w:val="002F3E93"/>
    <w:rsid w:val="002F4058"/>
    <w:rsid w:val="002F41BB"/>
    <w:rsid w:val="002F424E"/>
    <w:rsid w:val="002F4732"/>
    <w:rsid w:val="002F48B7"/>
    <w:rsid w:val="002F4D60"/>
    <w:rsid w:val="002F4F13"/>
    <w:rsid w:val="002F5128"/>
    <w:rsid w:val="002F5484"/>
    <w:rsid w:val="002F5A5C"/>
    <w:rsid w:val="002F5CD9"/>
    <w:rsid w:val="002F5D9A"/>
    <w:rsid w:val="002F5FB7"/>
    <w:rsid w:val="002F626F"/>
    <w:rsid w:val="002F62AB"/>
    <w:rsid w:val="002F6411"/>
    <w:rsid w:val="002F6B29"/>
    <w:rsid w:val="002F6DC5"/>
    <w:rsid w:val="002F7541"/>
    <w:rsid w:val="002F75DE"/>
    <w:rsid w:val="002F7626"/>
    <w:rsid w:val="002F79D3"/>
    <w:rsid w:val="002F7D99"/>
    <w:rsid w:val="002F7DB7"/>
    <w:rsid w:val="00300002"/>
    <w:rsid w:val="00300371"/>
    <w:rsid w:val="003003A5"/>
    <w:rsid w:val="003004DC"/>
    <w:rsid w:val="00300809"/>
    <w:rsid w:val="00301483"/>
    <w:rsid w:val="003014A3"/>
    <w:rsid w:val="00301528"/>
    <w:rsid w:val="003016A2"/>
    <w:rsid w:val="003016E4"/>
    <w:rsid w:val="003017F7"/>
    <w:rsid w:val="00301B2C"/>
    <w:rsid w:val="00301B4A"/>
    <w:rsid w:val="00301BDC"/>
    <w:rsid w:val="00301E6F"/>
    <w:rsid w:val="00302224"/>
    <w:rsid w:val="0030223D"/>
    <w:rsid w:val="00302346"/>
    <w:rsid w:val="00302423"/>
    <w:rsid w:val="00302677"/>
    <w:rsid w:val="003027A6"/>
    <w:rsid w:val="00302F25"/>
    <w:rsid w:val="0030328D"/>
    <w:rsid w:val="003035D7"/>
    <w:rsid w:val="003035F9"/>
    <w:rsid w:val="0030398D"/>
    <w:rsid w:val="00303B8A"/>
    <w:rsid w:val="00303EE3"/>
    <w:rsid w:val="00303FA4"/>
    <w:rsid w:val="003045F5"/>
    <w:rsid w:val="00304723"/>
    <w:rsid w:val="00304A14"/>
    <w:rsid w:val="00304AC7"/>
    <w:rsid w:val="00304BFF"/>
    <w:rsid w:val="00304F62"/>
    <w:rsid w:val="00304F9B"/>
    <w:rsid w:val="0030528E"/>
    <w:rsid w:val="0030542C"/>
    <w:rsid w:val="00305642"/>
    <w:rsid w:val="003056D1"/>
    <w:rsid w:val="00305738"/>
    <w:rsid w:val="00305852"/>
    <w:rsid w:val="00305A9F"/>
    <w:rsid w:val="00305C29"/>
    <w:rsid w:val="00305CD3"/>
    <w:rsid w:val="00305FF5"/>
    <w:rsid w:val="003061F7"/>
    <w:rsid w:val="00306500"/>
    <w:rsid w:val="0030657F"/>
    <w:rsid w:val="003066B1"/>
    <w:rsid w:val="0030690B"/>
    <w:rsid w:val="0030698B"/>
    <w:rsid w:val="00306CEE"/>
    <w:rsid w:val="00307192"/>
    <w:rsid w:val="003071A1"/>
    <w:rsid w:val="00307426"/>
    <w:rsid w:val="003075AE"/>
    <w:rsid w:val="00307706"/>
    <w:rsid w:val="0030774C"/>
    <w:rsid w:val="00307853"/>
    <w:rsid w:val="00307895"/>
    <w:rsid w:val="00307BA5"/>
    <w:rsid w:val="00307E0F"/>
    <w:rsid w:val="00310055"/>
    <w:rsid w:val="003105CB"/>
    <w:rsid w:val="003105E2"/>
    <w:rsid w:val="003106CC"/>
    <w:rsid w:val="003108BB"/>
    <w:rsid w:val="00310A2F"/>
    <w:rsid w:val="00310FA2"/>
    <w:rsid w:val="00311119"/>
    <w:rsid w:val="00311212"/>
    <w:rsid w:val="00311354"/>
    <w:rsid w:val="00311490"/>
    <w:rsid w:val="00311577"/>
    <w:rsid w:val="0031157D"/>
    <w:rsid w:val="00311734"/>
    <w:rsid w:val="00311CE5"/>
    <w:rsid w:val="00311DD4"/>
    <w:rsid w:val="00312087"/>
    <w:rsid w:val="00312286"/>
    <w:rsid w:val="00312361"/>
    <w:rsid w:val="0031239A"/>
    <w:rsid w:val="003123DB"/>
    <w:rsid w:val="0031262D"/>
    <w:rsid w:val="0031269E"/>
    <w:rsid w:val="00312F81"/>
    <w:rsid w:val="00312FD1"/>
    <w:rsid w:val="0031334E"/>
    <w:rsid w:val="0031335C"/>
    <w:rsid w:val="003134C6"/>
    <w:rsid w:val="0031383C"/>
    <w:rsid w:val="00313A9D"/>
    <w:rsid w:val="00313ECE"/>
    <w:rsid w:val="003142DB"/>
    <w:rsid w:val="0031470F"/>
    <w:rsid w:val="00314C2F"/>
    <w:rsid w:val="00314D89"/>
    <w:rsid w:val="00315193"/>
    <w:rsid w:val="003151EA"/>
    <w:rsid w:val="003155C9"/>
    <w:rsid w:val="003156A1"/>
    <w:rsid w:val="003156D0"/>
    <w:rsid w:val="00315786"/>
    <w:rsid w:val="0031585E"/>
    <w:rsid w:val="003159B7"/>
    <w:rsid w:val="00315E73"/>
    <w:rsid w:val="0031648D"/>
    <w:rsid w:val="00316743"/>
    <w:rsid w:val="003168F1"/>
    <w:rsid w:val="00316B0B"/>
    <w:rsid w:val="00316EE8"/>
    <w:rsid w:val="00316F71"/>
    <w:rsid w:val="003170E8"/>
    <w:rsid w:val="003174B7"/>
    <w:rsid w:val="003176F2"/>
    <w:rsid w:val="00317B5A"/>
    <w:rsid w:val="00317B9F"/>
    <w:rsid w:val="00317C4C"/>
    <w:rsid w:val="00317D18"/>
    <w:rsid w:val="00317D7F"/>
    <w:rsid w:val="00317D83"/>
    <w:rsid w:val="00317DB2"/>
    <w:rsid w:val="00317F53"/>
    <w:rsid w:val="00320380"/>
    <w:rsid w:val="00320613"/>
    <w:rsid w:val="0032089C"/>
    <w:rsid w:val="00320916"/>
    <w:rsid w:val="00320DC2"/>
    <w:rsid w:val="00320E12"/>
    <w:rsid w:val="00320E65"/>
    <w:rsid w:val="00320FBC"/>
    <w:rsid w:val="00321028"/>
    <w:rsid w:val="00321280"/>
    <w:rsid w:val="00321614"/>
    <w:rsid w:val="0032166A"/>
    <w:rsid w:val="0032195F"/>
    <w:rsid w:val="00321BFB"/>
    <w:rsid w:val="00321D37"/>
    <w:rsid w:val="00321DA3"/>
    <w:rsid w:val="00321E1B"/>
    <w:rsid w:val="00321F3B"/>
    <w:rsid w:val="00321FF5"/>
    <w:rsid w:val="003224BA"/>
    <w:rsid w:val="003225CA"/>
    <w:rsid w:val="00322722"/>
    <w:rsid w:val="00322939"/>
    <w:rsid w:val="00322A7E"/>
    <w:rsid w:val="00322ABF"/>
    <w:rsid w:val="0032336C"/>
    <w:rsid w:val="00323449"/>
    <w:rsid w:val="00323AB7"/>
    <w:rsid w:val="00323BF4"/>
    <w:rsid w:val="00323C4C"/>
    <w:rsid w:val="00323D0C"/>
    <w:rsid w:val="00324679"/>
    <w:rsid w:val="00324A9B"/>
    <w:rsid w:val="00324B13"/>
    <w:rsid w:val="00324C24"/>
    <w:rsid w:val="00324F18"/>
    <w:rsid w:val="003253E7"/>
    <w:rsid w:val="00325584"/>
    <w:rsid w:val="00325719"/>
    <w:rsid w:val="00325C72"/>
    <w:rsid w:val="003261E9"/>
    <w:rsid w:val="0032659F"/>
    <w:rsid w:val="00326627"/>
    <w:rsid w:val="00326686"/>
    <w:rsid w:val="003269F3"/>
    <w:rsid w:val="00326ED6"/>
    <w:rsid w:val="0032714E"/>
    <w:rsid w:val="003273EB"/>
    <w:rsid w:val="003278DD"/>
    <w:rsid w:val="003278F2"/>
    <w:rsid w:val="00327925"/>
    <w:rsid w:val="003279D9"/>
    <w:rsid w:val="00327B15"/>
    <w:rsid w:val="00327B20"/>
    <w:rsid w:val="00327D79"/>
    <w:rsid w:val="003301AC"/>
    <w:rsid w:val="0033075D"/>
    <w:rsid w:val="003307DE"/>
    <w:rsid w:val="00330B58"/>
    <w:rsid w:val="00330CCA"/>
    <w:rsid w:val="00330E96"/>
    <w:rsid w:val="00330F6B"/>
    <w:rsid w:val="00331309"/>
    <w:rsid w:val="00331518"/>
    <w:rsid w:val="00331658"/>
    <w:rsid w:val="00331714"/>
    <w:rsid w:val="00331997"/>
    <w:rsid w:val="003319BB"/>
    <w:rsid w:val="00331CC2"/>
    <w:rsid w:val="0033237F"/>
    <w:rsid w:val="0033238B"/>
    <w:rsid w:val="00332522"/>
    <w:rsid w:val="003325A4"/>
    <w:rsid w:val="00332AB5"/>
    <w:rsid w:val="00332C2D"/>
    <w:rsid w:val="00332C72"/>
    <w:rsid w:val="003334B6"/>
    <w:rsid w:val="00333594"/>
    <w:rsid w:val="00333651"/>
    <w:rsid w:val="003336E0"/>
    <w:rsid w:val="00333976"/>
    <w:rsid w:val="00333ACA"/>
    <w:rsid w:val="00334006"/>
    <w:rsid w:val="0033418B"/>
    <w:rsid w:val="00334401"/>
    <w:rsid w:val="0033482F"/>
    <w:rsid w:val="0033485D"/>
    <w:rsid w:val="003349A2"/>
    <w:rsid w:val="00334E4E"/>
    <w:rsid w:val="00334F45"/>
    <w:rsid w:val="00334FAB"/>
    <w:rsid w:val="0033504A"/>
    <w:rsid w:val="00335089"/>
    <w:rsid w:val="003354C4"/>
    <w:rsid w:val="00335815"/>
    <w:rsid w:val="003358E9"/>
    <w:rsid w:val="00335ADC"/>
    <w:rsid w:val="00335D63"/>
    <w:rsid w:val="00336147"/>
    <w:rsid w:val="00336241"/>
    <w:rsid w:val="003363B4"/>
    <w:rsid w:val="00336571"/>
    <w:rsid w:val="003366BF"/>
    <w:rsid w:val="00336AE7"/>
    <w:rsid w:val="00336CB9"/>
    <w:rsid w:val="00336D0B"/>
    <w:rsid w:val="00336EFE"/>
    <w:rsid w:val="003370CF"/>
    <w:rsid w:val="003371A2"/>
    <w:rsid w:val="003371B2"/>
    <w:rsid w:val="003372ED"/>
    <w:rsid w:val="003402AA"/>
    <w:rsid w:val="00340626"/>
    <w:rsid w:val="00340D79"/>
    <w:rsid w:val="003410AA"/>
    <w:rsid w:val="0034143E"/>
    <w:rsid w:val="00341644"/>
    <w:rsid w:val="00341B0F"/>
    <w:rsid w:val="00341D50"/>
    <w:rsid w:val="00341F87"/>
    <w:rsid w:val="00342121"/>
    <w:rsid w:val="003421E7"/>
    <w:rsid w:val="0034234B"/>
    <w:rsid w:val="0034248F"/>
    <w:rsid w:val="00342516"/>
    <w:rsid w:val="00342923"/>
    <w:rsid w:val="00342A28"/>
    <w:rsid w:val="00342B37"/>
    <w:rsid w:val="00342B7C"/>
    <w:rsid w:val="00342CC8"/>
    <w:rsid w:val="00342D08"/>
    <w:rsid w:val="00342FC7"/>
    <w:rsid w:val="00342FE4"/>
    <w:rsid w:val="003436EA"/>
    <w:rsid w:val="003436FD"/>
    <w:rsid w:val="00343805"/>
    <w:rsid w:val="003438C7"/>
    <w:rsid w:val="00343C02"/>
    <w:rsid w:val="00343C4B"/>
    <w:rsid w:val="00343E32"/>
    <w:rsid w:val="0034442D"/>
    <w:rsid w:val="003445D0"/>
    <w:rsid w:val="00344732"/>
    <w:rsid w:val="00344E05"/>
    <w:rsid w:val="003451B2"/>
    <w:rsid w:val="00345634"/>
    <w:rsid w:val="0034567D"/>
    <w:rsid w:val="00345822"/>
    <w:rsid w:val="003459EE"/>
    <w:rsid w:val="00345D24"/>
    <w:rsid w:val="00345E4D"/>
    <w:rsid w:val="00346145"/>
    <w:rsid w:val="0034635F"/>
    <w:rsid w:val="003464DB"/>
    <w:rsid w:val="0034657F"/>
    <w:rsid w:val="0034658A"/>
    <w:rsid w:val="00346987"/>
    <w:rsid w:val="00346AA7"/>
    <w:rsid w:val="00346D8F"/>
    <w:rsid w:val="00346F29"/>
    <w:rsid w:val="00346F46"/>
    <w:rsid w:val="003470EA"/>
    <w:rsid w:val="0034722D"/>
    <w:rsid w:val="0034743C"/>
    <w:rsid w:val="003475BB"/>
    <w:rsid w:val="00347A20"/>
    <w:rsid w:val="00347C51"/>
    <w:rsid w:val="00347C8B"/>
    <w:rsid w:val="00347ED7"/>
    <w:rsid w:val="003500F8"/>
    <w:rsid w:val="0035020A"/>
    <w:rsid w:val="0035046B"/>
    <w:rsid w:val="003505F6"/>
    <w:rsid w:val="00350818"/>
    <w:rsid w:val="003508DA"/>
    <w:rsid w:val="00350B9A"/>
    <w:rsid w:val="00350D01"/>
    <w:rsid w:val="00350FF8"/>
    <w:rsid w:val="003510F9"/>
    <w:rsid w:val="003511ED"/>
    <w:rsid w:val="003511FC"/>
    <w:rsid w:val="0035170C"/>
    <w:rsid w:val="00351782"/>
    <w:rsid w:val="00351D17"/>
    <w:rsid w:val="00351E5D"/>
    <w:rsid w:val="00351E87"/>
    <w:rsid w:val="0035202C"/>
    <w:rsid w:val="003521CB"/>
    <w:rsid w:val="003524AF"/>
    <w:rsid w:val="00352645"/>
    <w:rsid w:val="003528CF"/>
    <w:rsid w:val="00352A03"/>
    <w:rsid w:val="00352B13"/>
    <w:rsid w:val="00352CBC"/>
    <w:rsid w:val="00352E88"/>
    <w:rsid w:val="00352EA6"/>
    <w:rsid w:val="00353191"/>
    <w:rsid w:val="003533E3"/>
    <w:rsid w:val="0035349D"/>
    <w:rsid w:val="00353763"/>
    <w:rsid w:val="00353844"/>
    <w:rsid w:val="00353BC3"/>
    <w:rsid w:val="00353DA6"/>
    <w:rsid w:val="00353E54"/>
    <w:rsid w:val="00354469"/>
    <w:rsid w:val="0035461B"/>
    <w:rsid w:val="003547CB"/>
    <w:rsid w:val="00354965"/>
    <w:rsid w:val="00355052"/>
    <w:rsid w:val="00355205"/>
    <w:rsid w:val="00355212"/>
    <w:rsid w:val="003552BE"/>
    <w:rsid w:val="003555F6"/>
    <w:rsid w:val="0035574E"/>
    <w:rsid w:val="003557EF"/>
    <w:rsid w:val="003558D2"/>
    <w:rsid w:val="00355AA2"/>
    <w:rsid w:val="00355DCA"/>
    <w:rsid w:val="003560CA"/>
    <w:rsid w:val="0035619D"/>
    <w:rsid w:val="003567DB"/>
    <w:rsid w:val="00356E9A"/>
    <w:rsid w:val="00356FAA"/>
    <w:rsid w:val="003571A5"/>
    <w:rsid w:val="003571DF"/>
    <w:rsid w:val="0035756E"/>
    <w:rsid w:val="0035778C"/>
    <w:rsid w:val="00357989"/>
    <w:rsid w:val="00357BE0"/>
    <w:rsid w:val="0036001E"/>
    <w:rsid w:val="00360024"/>
    <w:rsid w:val="00360207"/>
    <w:rsid w:val="0036053D"/>
    <w:rsid w:val="00360792"/>
    <w:rsid w:val="003608D4"/>
    <w:rsid w:val="00360BD8"/>
    <w:rsid w:val="00360C2F"/>
    <w:rsid w:val="00360DFD"/>
    <w:rsid w:val="00361001"/>
    <w:rsid w:val="00361188"/>
    <w:rsid w:val="0036157C"/>
    <w:rsid w:val="00361798"/>
    <w:rsid w:val="003618C5"/>
    <w:rsid w:val="00361DD5"/>
    <w:rsid w:val="0036203B"/>
    <w:rsid w:val="003620A9"/>
    <w:rsid w:val="0036211E"/>
    <w:rsid w:val="00362215"/>
    <w:rsid w:val="003627DC"/>
    <w:rsid w:val="003627EE"/>
    <w:rsid w:val="0036289E"/>
    <w:rsid w:val="00362DE8"/>
    <w:rsid w:val="0036305C"/>
    <w:rsid w:val="0036373C"/>
    <w:rsid w:val="00363764"/>
    <w:rsid w:val="00363BDC"/>
    <w:rsid w:val="00363C3D"/>
    <w:rsid w:val="00363C8D"/>
    <w:rsid w:val="00363CE9"/>
    <w:rsid w:val="0036411A"/>
    <w:rsid w:val="003643A6"/>
    <w:rsid w:val="0036441D"/>
    <w:rsid w:val="00364542"/>
    <w:rsid w:val="00364607"/>
    <w:rsid w:val="0036473A"/>
    <w:rsid w:val="0036486E"/>
    <w:rsid w:val="003648BC"/>
    <w:rsid w:val="00364ABB"/>
    <w:rsid w:val="00364ABE"/>
    <w:rsid w:val="00364B55"/>
    <w:rsid w:val="00364BCC"/>
    <w:rsid w:val="00364C72"/>
    <w:rsid w:val="00364D0B"/>
    <w:rsid w:val="00364DBD"/>
    <w:rsid w:val="00364FF3"/>
    <w:rsid w:val="00365125"/>
    <w:rsid w:val="00365261"/>
    <w:rsid w:val="003652E9"/>
    <w:rsid w:val="00365397"/>
    <w:rsid w:val="003653D6"/>
    <w:rsid w:val="003658CC"/>
    <w:rsid w:val="00365912"/>
    <w:rsid w:val="00365A6B"/>
    <w:rsid w:val="00365AC5"/>
    <w:rsid w:val="00365BAE"/>
    <w:rsid w:val="00365D1F"/>
    <w:rsid w:val="00365DBE"/>
    <w:rsid w:val="00366008"/>
    <w:rsid w:val="003660F7"/>
    <w:rsid w:val="00366652"/>
    <w:rsid w:val="00366C23"/>
    <w:rsid w:val="00366E26"/>
    <w:rsid w:val="003670AC"/>
    <w:rsid w:val="0036720E"/>
    <w:rsid w:val="00367554"/>
    <w:rsid w:val="003679D7"/>
    <w:rsid w:val="003679E9"/>
    <w:rsid w:val="00367C2D"/>
    <w:rsid w:val="00367C34"/>
    <w:rsid w:val="00367CF6"/>
    <w:rsid w:val="00367E1C"/>
    <w:rsid w:val="003708AF"/>
    <w:rsid w:val="0037099A"/>
    <w:rsid w:val="0037099E"/>
    <w:rsid w:val="003709C2"/>
    <w:rsid w:val="00370A8E"/>
    <w:rsid w:val="00370B8B"/>
    <w:rsid w:val="00370D01"/>
    <w:rsid w:val="00370DDB"/>
    <w:rsid w:val="0037127D"/>
    <w:rsid w:val="00371285"/>
    <w:rsid w:val="0037151F"/>
    <w:rsid w:val="00371654"/>
    <w:rsid w:val="0037191E"/>
    <w:rsid w:val="00371A9C"/>
    <w:rsid w:val="00372203"/>
    <w:rsid w:val="003723D7"/>
    <w:rsid w:val="0037247F"/>
    <w:rsid w:val="0037268E"/>
    <w:rsid w:val="003726A8"/>
    <w:rsid w:val="003729EA"/>
    <w:rsid w:val="00372D98"/>
    <w:rsid w:val="00372DB3"/>
    <w:rsid w:val="00372EBA"/>
    <w:rsid w:val="00372EDB"/>
    <w:rsid w:val="00372F26"/>
    <w:rsid w:val="00373731"/>
    <w:rsid w:val="003738F3"/>
    <w:rsid w:val="00373A84"/>
    <w:rsid w:val="00373D38"/>
    <w:rsid w:val="00373E0E"/>
    <w:rsid w:val="00373FA5"/>
    <w:rsid w:val="00374693"/>
    <w:rsid w:val="00374747"/>
    <w:rsid w:val="0037494A"/>
    <w:rsid w:val="00374954"/>
    <w:rsid w:val="00374988"/>
    <w:rsid w:val="00374AD0"/>
    <w:rsid w:val="00374AEC"/>
    <w:rsid w:val="00374BCC"/>
    <w:rsid w:val="00375006"/>
    <w:rsid w:val="003756C4"/>
    <w:rsid w:val="003758DB"/>
    <w:rsid w:val="003759FC"/>
    <w:rsid w:val="00375C66"/>
    <w:rsid w:val="0037609C"/>
    <w:rsid w:val="00376453"/>
    <w:rsid w:val="00376590"/>
    <w:rsid w:val="003765DB"/>
    <w:rsid w:val="00376A54"/>
    <w:rsid w:val="00376C38"/>
    <w:rsid w:val="00376D6D"/>
    <w:rsid w:val="0037700A"/>
    <w:rsid w:val="00377239"/>
    <w:rsid w:val="003773C3"/>
    <w:rsid w:val="003776FF"/>
    <w:rsid w:val="0037784A"/>
    <w:rsid w:val="00377971"/>
    <w:rsid w:val="00377A79"/>
    <w:rsid w:val="00377B02"/>
    <w:rsid w:val="00377B28"/>
    <w:rsid w:val="00377B9F"/>
    <w:rsid w:val="003800AC"/>
    <w:rsid w:val="00380377"/>
    <w:rsid w:val="003806C2"/>
    <w:rsid w:val="003807D2"/>
    <w:rsid w:val="00380C3E"/>
    <w:rsid w:val="00380C5D"/>
    <w:rsid w:val="00380DD1"/>
    <w:rsid w:val="00380EF7"/>
    <w:rsid w:val="00380F08"/>
    <w:rsid w:val="00380F62"/>
    <w:rsid w:val="003812A3"/>
    <w:rsid w:val="003812CC"/>
    <w:rsid w:val="003814B9"/>
    <w:rsid w:val="003817CF"/>
    <w:rsid w:val="00381917"/>
    <w:rsid w:val="0038198A"/>
    <w:rsid w:val="00381A2C"/>
    <w:rsid w:val="00381AE7"/>
    <w:rsid w:val="00381AF9"/>
    <w:rsid w:val="00381BC5"/>
    <w:rsid w:val="0038201D"/>
    <w:rsid w:val="003821E4"/>
    <w:rsid w:val="003827BA"/>
    <w:rsid w:val="00382B16"/>
    <w:rsid w:val="00382E92"/>
    <w:rsid w:val="003831F6"/>
    <w:rsid w:val="003832D4"/>
    <w:rsid w:val="0038351F"/>
    <w:rsid w:val="003839F2"/>
    <w:rsid w:val="00384246"/>
    <w:rsid w:val="00384566"/>
    <w:rsid w:val="003847DB"/>
    <w:rsid w:val="003849C3"/>
    <w:rsid w:val="00384D00"/>
    <w:rsid w:val="00384E10"/>
    <w:rsid w:val="00384F6F"/>
    <w:rsid w:val="00385256"/>
    <w:rsid w:val="00385572"/>
    <w:rsid w:val="0038557D"/>
    <w:rsid w:val="00385656"/>
    <w:rsid w:val="00385689"/>
    <w:rsid w:val="003856A2"/>
    <w:rsid w:val="00385C80"/>
    <w:rsid w:val="00385EC5"/>
    <w:rsid w:val="0038602C"/>
    <w:rsid w:val="003862B4"/>
    <w:rsid w:val="0038655E"/>
    <w:rsid w:val="0038666F"/>
    <w:rsid w:val="00386678"/>
    <w:rsid w:val="00386728"/>
    <w:rsid w:val="003867D2"/>
    <w:rsid w:val="0038688F"/>
    <w:rsid w:val="00386CBC"/>
    <w:rsid w:val="00386D3E"/>
    <w:rsid w:val="00386DBA"/>
    <w:rsid w:val="003873E6"/>
    <w:rsid w:val="003873FC"/>
    <w:rsid w:val="003874CD"/>
    <w:rsid w:val="0038767F"/>
    <w:rsid w:val="0038781A"/>
    <w:rsid w:val="0038796D"/>
    <w:rsid w:val="0038798B"/>
    <w:rsid w:val="0039002E"/>
    <w:rsid w:val="003901AC"/>
    <w:rsid w:val="003902F3"/>
    <w:rsid w:val="003903CA"/>
    <w:rsid w:val="00390428"/>
    <w:rsid w:val="003905A1"/>
    <w:rsid w:val="0039061E"/>
    <w:rsid w:val="003906B2"/>
    <w:rsid w:val="003906CC"/>
    <w:rsid w:val="003909C6"/>
    <w:rsid w:val="00390ABB"/>
    <w:rsid w:val="00390D1D"/>
    <w:rsid w:val="00390D59"/>
    <w:rsid w:val="00390D6F"/>
    <w:rsid w:val="00390EDA"/>
    <w:rsid w:val="00391539"/>
    <w:rsid w:val="0039162F"/>
    <w:rsid w:val="00391643"/>
    <w:rsid w:val="00391814"/>
    <w:rsid w:val="003918A3"/>
    <w:rsid w:val="00391A40"/>
    <w:rsid w:val="00391F50"/>
    <w:rsid w:val="00392156"/>
    <w:rsid w:val="00392256"/>
    <w:rsid w:val="00392346"/>
    <w:rsid w:val="0039276B"/>
    <w:rsid w:val="00392847"/>
    <w:rsid w:val="00392A1D"/>
    <w:rsid w:val="00392CC4"/>
    <w:rsid w:val="00392DD3"/>
    <w:rsid w:val="00392F7E"/>
    <w:rsid w:val="00393092"/>
    <w:rsid w:val="003931A0"/>
    <w:rsid w:val="0039327A"/>
    <w:rsid w:val="00393A01"/>
    <w:rsid w:val="00393A0A"/>
    <w:rsid w:val="00393E89"/>
    <w:rsid w:val="00393F34"/>
    <w:rsid w:val="00393FC1"/>
    <w:rsid w:val="003941B5"/>
    <w:rsid w:val="003941C5"/>
    <w:rsid w:val="00394262"/>
    <w:rsid w:val="0039479D"/>
    <w:rsid w:val="0039490D"/>
    <w:rsid w:val="003949E5"/>
    <w:rsid w:val="00394AA4"/>
    <w:rsid w:val="00394BBA"/>
    <w:rsid w:val="00394CB1"/>
    <w:rsid w:val="00394E22"/>
    <w:rsid w:val="00394E50"/>
    <w:rsid w:val="003954AF"/>
    <w:rsid w:val="003959E6"/>
    <w:rsid w:val="00395C0C"/>
    <w:rsid w:val="00395CF0"/>
    <w:rsid w:val="003960D6"/>
    <w:rsid w:val="0039626B"/>
    <w:rsid w:val="003963BD"/>
    <w:rsid w:val="0039662A"/>
    <w:rsid w:val="00396A4B"/>
    <w:rsid w:val="00396A50"/>
    <w:rsid w:val="00396AA9"/>
    <w:rsid w:val="00396D5E"/>
    <w:rsid w:val="00396F47"/>
    <w:rsid w:val="00397318"/>
    <w:rsid w:val="00397397"/>
    <w:rsid w:val="0039743B"/>
    <w:rsid w:val="00397675"/>
    <w:rsid w:val="003979E9"/>
    <w:rsid w:val="003979EB"/>
    <w:rsid w:val="00397B71"/>
    <w:rsid w:val="00397BC1"/>
    <w:rsid w:val="00397C00"/>
    <w:rsid w:val="00397DF1"/>
    <w:rsid w:val="00397F67"/>
    <w:rsid w:val="00397F83"/>
    <w:rsid w:val="003A04E6"/>
    <w:rsid w:val="003A0509"/>
    <w:rsid w:val="003A0B1A"/>
    <w:rsid w:val="003A0CBF"/>
    <w:rsid w:val="003A0E42"/>
    <w:rsid w:val="003A0F80"/>
    <w:rsid w:val="003A1280"/>
    <w:rsid w:val="003A131D"/>
    <w:rsid w:val="003A1420"/>
    <w:rsid w:val="003A1636"/>
    <w:rsid w:val="003A1826"/>
    <w:rsid w:val="003A194B"/>
    <w:rsid w:val="003A1F21"/>
    <w:rsid w:val="003A20D1"/>
    <w:rsid w:val="003A214D"/>
    <w:rsid w:val="003A21F9"/>
    <w:rsid w:val="003A22B4"/>
    <w:rsid w:val="003A233F"/>
    <w:rsid w:val="003A26B7"/>
    <w:rsid w:val="003A28A0"/>
    <w:rsid w:val="003A2A2E"/>
    <w:rsid w:val="003A2A7A"/>
    <w:rsid w:val="003A2C57"/>
    <w:rsid w:val="003A2C88"/>
    <w:rsid w:val="003A2D2C"/>
    <w:rsid w:val="003A330A"/>
    <w:rsid w:val="003A348D"/>
    <w:rsid w:val="003A353D"/>
    <w:rsid w:val="003A37C4"/>
    <w:rsid w:val="003A3842"/>
    <w:rsid w:val="003A3B68"/>
    <w:rsid w:val="003A3C6B"/>
    <w:rsid w:val="003A41DD"/>
    <w:rsid w:val="003A435F"/>
    <w:rsid w:val="003A47FA"/>
    <w:rsid w:val="003A482C"/>
    <w:rsid w:val="003A4E16"/>
    <w:rsid w:val="003A4EA9"/>
    <w:rsid w:val="003A4EB1"/>
    <w:rsid w:val="003A51B2"/>
    <w:rsid w:val="003A5314"/>
    <w:rsid w:val="003A53A2"/>
    <w:rsid w:val="003A53A3"/>
    <w:rsid w:val="003A5413"/>
    <w:rsid w:val="003A5427"/>
    <w:rsid w:val="003A5627"/>
    <w:rsid w:val="003A5DB3"/>
    <w:rsid w:val="003A5DDE"/>
    <w:rsid w:val="003A5F19"/>
    <w:rsid w:val="003A6188"/>
    <w:rsid w:val="003A63A5"/>
    <w:rsid w:val="003A64F0"/>
    <w:rsid w:val="003A68BF"/>
    <w:rsid w:val="003A6D89"/>
    <w:rsid w:val="003A6F47"/>
    <w:rsid w:val="003A7369"/>
    <w:rsid w:val="003A74B9"/>
    <w:rsid w:val="003A75BA"/>
    <w:rsid w:val="003A794A"/>
    <w:rsid w:val="003A7A50"/>
    <w:rsid w:val="003A7BE5"/>
    <w:rsid w:val="003A7C61"/>
    <w:rsid w:val="003A7D02"/>
    <w:rsid w:val="003A7E01"/>
    <w:rsid w:val="003B0099"/>
    <w:rsid w:val="003B02F4"/>
    <w:rsid w:val="003B0564"/>
    <w:rsid w:val="003B057D"/>
    <w:rsid w:val="003B07D5"/>
    <w:rsid w:val="003B0812"/>
    <w:rsid w:val="003B10FD"/>
    <w:rsid w:val="003B1293"/>
    <w:rsid w:val="003B129D"/>
    <w:rsid w:val="003B1583"/>
    <w:rsid w:val="003B15A4"/>
    <w:rsid w:val="003B16E9"/>
    <w:rsid w:val="003B1768"/>
    <w:rsid w:val="003B187B"/>
    <w:rsid w:val="003B1A62"/>
    <w:rsid w:val="003B1EBA"/>
    <w:rsid w:val="003B1FCE"/>
    <w:rsid w:val="003B20FE"/>
    <w:rsid w:val="003B24E6"/>
    <w:rsid w:val="003B2912"/>
    <w:rsid w:val="003B2928"/>
    <w:rsid w:val="003B29A0"/>
    <w:rsid w:val="003B2AFA"/>
    <w:rsid w:val="003B3066"/>
    <w:rsid w:val="003B30C8"/>
    <w:rsid w:val="003B31EF"/>
    <w:rsid w:val="003B3513"/>
    <w:rsid w:val="003B35C6"/>
    <w:rsid w:val="003B361C"/>
    <w:rsid w:val="003B3716"/>
    <w:rsid w:val="003B3BAC"/>
    <w:rsid w:val="003B3CAD"/>
    <w:rsid w:val="003B3FCF"/>
    <w:rsid w:val="003B409F"/>
    <w:rsid w:val="003B418E"/>
    <w:rsid w:val="003B4329"/>
    <w:rsid w:val="003B4501"/>
    <w:rsid w:val="003B455A"/>
    <w:rsid w:val="003B461A"/>
    <w:rsid w:val="003B474B"/>
    <w:rsid w:val="003B47D2"/>
    <w:rsid w:val="003B4913"/>
    <w:rsid w:val="003B4A56"/>
    <w:rsid w:val="003B4AEE"/>
    <w:rsid w:val="003B4C25"/>
    <w:rsid w:val="003B4CC7"/>
    <w:rsid w:val="003B5064"/>
    <w:rsid w:val="003B57BD"/>
    <w:rsid w:val="003B585A"/>
    <w:rsid w:val="003B5A20"/>
    <w:rsid w:val="003B5A4D"/>
    <w:rsid w:val="003B5C44"/>
    <w:rsid w:val="003B5C50"/>
    <w:rsid w:val="003B5DBA"/>
    <w:rsid w:val="003B5E48"/>
    <w:rsid w:val="003B61A7"/>
    <w:rsid w:val="003B6224"/>
    <w:rsid w:val="003B6306"/>
    <w:rsid w:val="003B687D"/>
    <w:rsid w:val="003B6940"/>
    <w:rsid w:val="003B694B"/>
    <w:rsid w:val="003B696F"/>
    <w:rsid w:val="003B69D9"/>
    <w:rsid w:val="003B6ACB"/>
    <w:rsid w:val="003B7076"/>
    <w:rsid w:val="003B729F"/>
    <w:rsid w:val="003B7370"/>
    <w:rsid w:val="003B7503"/>
    <w:rsid w:val="003B77AA"/>
    <w:rsid w:val="003B7DAD"/>
    <w:rsid w:val="003B7E54"/>
    <w:rsid w:val="003C0036"/>
    <w:rsid w:val="003C00D3"/>
    <w:rsid w:val="003C01B9"/>
    <w:rsid w:val="003C03B3"/>
    <w:rsid w:val="003C05DA"/>
    <w:rsid w:val="003C067A"/>
    <w:rsid w:val="003C072B"/>
    <w:rsid w:val="003C0777"/>
    <w:rsid w:val="003C08F2"/>
    <w:rsid w:val="003C0AA0"/>
    <w:rsid w:val="003C0ACA"/>
    <w:rsid w:val="003C0AF4"/>
    <w:rsid w:val="003C0CE5"/>
    <w:rsid w:val="003C10CE"/>
    <w:rsid w:val="003C1887"/>
    <w:rsid w:val="003C1B22"/>
    <w:rsid w:val="003C1C10"/>
    <w:rsid w:val="003C1E49"/>
    <w:rsid w:val="003C1EE4"/>
    <w:rsid w:val="003C1FDB"/>
    <w:rsid w:val="003C2091"/>
    <w:rsid w:val="003C24B1"/>
    <w:rsid w:val="003C2558"/>
    <w:rsid w:val="003C26BD"/>
    <w:rsid w:val="003C29CA"/>
    <w:rsid w:val="003C2A02"/>
    <w:rsid w:val="003C3129"/>
    <w:rsid w:val="003C3242"/>
    <w:rsid w:val="003C3786"/>
    <w:rsid w:val="003C3D03"/>
    <w:rsid w:val="003C40DF"/>
    <w:rsid w:val="003C41FA"/>
    <w:rsid w:val="003C43B1"/>
    <w:rsid w:val="003C4B43"/>
    <w:rsid w:val="003C4B78"/>
    <w:rsid w:val="003C5029"/>
    <w:rsid w:val="003C54BB"/>
    <w:rsid w:val="003C5A2F"/>
    <w:rsid w:val="003C5BE5"/>
    <w:rsid w:val="003C5E41"/>
    <w:rsid w:val="003C63C6"/>
    <w:rsid w:val="003C67DE"/>
    <w:rsid w:val="003C6A89"/>
    <w:rsid w:val="003C6C79"/>
    <w:rsid w:val="003C6CF2"/>
    <w:rsid w:val="003C6E0C"/>
    <w:rsid w:val="003C6E3B"/>
    <w:rsid w:val="003C7177"/>
    <w:rsid w:val="003C7752"/>
    <w:rsid w:val="003C7898"/>
    <w:rsid w:val="003C7AFB"/>
    <w:rsid w:val="003C7B0B"/>
    <w:rsid w:val="003C7B95"/>
    <w:rsid w:val="003D0147"/>
    <w:rsid w:val="003D016A"/>
    <w:rsid w:val="003D04E2"/>
    <w:rsid w:val="003D09AA"/>
    <w:rsid w:val="003D0A7C"/>
    <w:rsid w:val="003D0E71"/>
    <w:rsid w:val="003D0FD0"/>
    <w:rsid w:val="003D101F"/>
    <w:rsid w:val="003D106B"/>
    <w:rsid w:val="003D15F1"/>
    <w:rsid w:val="003D17FD"/>
    <w:rsid w:val="003D18A4"/>
    <w:rsid w:val="003D196F"/>
    <w:rsid w:val="003D1B64"/>
    <w:rsid w:val="003D1E51"/>
    <w:rsid w:val="003D2176"/>
    <w:rsid w:val="003D21B4"/>
    <w:rsid w:val="003D2461"/>
    <w:rsid w:val="003D27B6"/>
    <w:rsid w:val="003D282D"/>
    <w:rsid w:val="003D289D"/>
    <w:rsid w:val="003D29DF"/>
    <w:rsid w:val="003D2B4A"/>
    <w:rsid w:val="003D3313"/>
    <w:rsid w:val="003D3703"/>
    <w:rsid w:val="003D3739"/>
    <w:rsid w:val="003D37AE"/>
    <w:rsid w:val="003D37D1"/>
    <w:rsid w:val="003D3C98"/>
    <w:rsid w:val="003D3D15"/>
    <w:rsid w:val="003D3EDB"/>
    <w:rsid w:val="003D4180"/>
    <w:rsid w:val="003D43BE"/>
    <w:rsid w:val="003D43F0"/>
    <w:rsid w:val="003D4466"/>
    <w:rsid w:val="003D4A7F"/>
    <w:rsid w:val="003D4DC3"/>
    <w:rsid w:val="003D4E70"/>
    <w:rsid w:val="003D52BE"/>
    <w:rsid w:val="003D570E"/>
    <w:rsid w:val="003D5846"/>
    <w:rsid w:val="003D587A"/>
    <w:rsid w:val="003D58DA"/>
    <w:rsid w:val="003D5C8D"/>
    <w:rsid w:val="003D6160"/>
    <w:rsid w:val="003D618F"/>
    <w:rsid w:val="003D625B"/>
    <w:rsid w:val="003D632B"/>
    <w:rsid w:val="003D66CA"/>
    <w:rsid w:val="003D69FF"/>
    <w:rsid w:val="003D6E44"/>
    <w:rsid w:val="003D6EAC"/>
    <w:rsid w:val="003D7036"/>
    <w:rsid w:val="003D70AA"/>
    <w:rsid w:val="003D72ED"/>
    <w:rsid w:val="003D771A"/>
    <w:rsid w:val="003D785B"/>
    <w:rsid w:val="003D789D"/>
    <w:rsid w:val="003D7A4A"/>
    <w:rsid w:val="003D7B1D"/>
    <w:rsid w:val="003D7D09"/>
    <w:rsid w:val="003D7F5E"/>
    <w:rsid w:val="003E019C"/>
    <w:rsid w:val="003E02A7"/>
    <w:rsid w:val="003E02BA"/>
    <w:rsid w:val="003E0366"/>
    <w:rsid w:val="003E046F"/>
    <w:rsid w:val="003E064A"/>
    <w:rsid w:val="003E0AF8"/>
    <w:rsid w:val="003E0CF8"/>
    <w:rsid w:val="003E0D5F"/>
    <w:rsid w:val="003E12C0"/>
    <w:rsid w:val="003E14E0"/>
    <w:rsid w:val="003E1ABD"/>
    <w:rsid w:val="003E2421"/>
    <w:rsid w:val="003E247F"/>
    <w:rsid w:val="003E29C4"/>
    <w:rsid w:val="003E2EEB"/>
    <w:rsid w:val="003E33C4"/>
    <w:rsid w:val="003E3741"/>
    <w:rsid w:val="003E3A1C"/>
    <w:rsid w:val="003E3A30"/>
    <w:rsid w:val="003E3A8C"/>
    <w:rsid w:val="003E3B56"/>
    <w:rsid w:val="003E3C2D"/>
    <w:rsid w:val="003E3E00"/>
    <w:rsid w:val="003E4386"/>
    <w:rsid w:val="003E447D"/>
    <w:rsid w:val="003E44BA"/>
    <w:rsid w:val="003E4629"/>
    <w:rsid w:val="003E4993"/>
    <w:rsid w:val="003E49EE"/>
    <w:rsid w:val="003E5022"/>
    <w:rsid w:val="003E519A"/>
    <w:rsid w:val="003E53CA"/>
    <w:rsid w:val="003E549C"/>
    <w:rsid w:val="003E585B"/>
    <w:rsid w:val="003E5D5A"/>
    <w:rsid w:val="003E5FA6"/>
    <w:rsid w:val="003E5FBB"/>
    <w:rsid w:val="003E5FCE"/>
    <w:rsid w:val="003E60A7"/>
    <w:rsid w:val="003E615C"/>
    <w:rsid w:val="003E61C8"/>
    <w:rsid w:val="003E665E"/>
    <w:rsid w:val="003E681E"/>
    <w:rsid w:val="003E6AE2"/>
    <w:rsid w:val="003E6B0A"/>
    <w:rsid w:val="003E6CCA"/>
    <w:rsid w:val="003E6F9A"/>
    <w:rsid w:val="003E7565"/>
    <w:rsid w:val="003E7714"/>
    <w:rsid w:val="003E7C54"/>
    <w:rsid w:val="003E7E76"/>
    <w:rsid w:val="003E7ED1"/>
    <w:rsid w:val="003E7FC5"/>
    <w:rsid w:val="003F00E3"/>
    <w:rsid w:val="003F022E"/>
    <w:rsid w:val="003F0469"/>
    <w:rsid w:val="003F04EA"/>
    <w:rsid w:val="003F04FC"/>
    <w:rsid w:val="003F0525"/>
    <w:rsid w:val="003F064D"/>
    <w:rsid w:val="003F06ED"/>
    <w:rsid w:val="003F0703"/>
    <w:rsid w:val="003F09A3"/>
    <w:rsid w:val="003F0A76"/>
    <w:rsid w:val="003F1042"/>
    <w:rsid w:val="003F11CF"/>
    <w:rsid w:val="003F1343"/>
    <w:rsid w:val="003F1482"/>
    <w:rsid w:val="003F155F"/>
    <w:rsid w:val="003F19DA"/>
    <w:rsid w:val="003F21AA"/>
    <w:rsid w:val="003F229A"/>
    <w:rsid w:val="003F278E"/>
    <w:rsid w:val="003F27CF"/>
    <w:rsid w:val="003F28AE"/>
    <w:rsid w:val="003F2993"/>
    <w:rsid w:val="003F29D7"/>
    <w:rsid w:val="003F326E"/>
    <w:rsid w:val="003F3275"/>
    <w:rsid w:val="003F3362"/>
    <w:rsid w:val="003F3683"/>
    <w:rsid w:val="003F3EE0"/>
    <w:rsid w:val="003F40C3"/>
    <w:rsid w:val="003F46C8"/>
    <w:rsid w:val="003F4917"/>
    <w:rsid w:val="003F4D8F"/>
    <w:rsid w:val="003F4DC2"/>
    <w:rsid w:val="003F51B7"/>
    <w:rsid w:val="003F5234"/>
    <w:rsid w:val="003F5264"/>
    <w:rsid w:val="003F52DB"/>
    <w:rsid w:val="003F54F2"/>
    <w:rsid w:val="003F54FF"/>
    <w:rsid w:val="003F55F5"/>
    <w:rsid w:val="003F5BF2"/>
    <w:rsid w:val="003F6926"/>
    <w:rsid w:val="003F6A6E"/>
    <w:rsid w:val="003F6ABD"/>
    <w:rsid w:val="003F6C10"/>
    <w:rsid w:val="003F6CFD"/>
    <w:rsid w:val="003F6DD2"/>
    <w:rsid w:val="003F6E43"/>
    <w:rsid w:val="003F6E55"/>
    <w:rsid w:val="003F6F5B"/>
    <w:rsid w:val="003F7D26"/>
    <w:rsid w:val="003F7DFE"/>
    <w:rsid w:val="003F7E4B"/>
    <w:rsid w:val="003F7FEB"/>
    <w:rsid w:val="00400547"/>
    <w:rsid w:val="004007A7"/>
    <w:rsid w:val="0040086F"/>
    <w:rsid w:val="004008EC"/>
    <w:rsid w:val="00400A6E"/>
    <w:rsid w:val="00400CBB"/>
    <w:rsid w:val="00401135"/>
    <w:rsid w:val="0040127E"/>
    <w:rsid w:val="00401380"/>
    <w:rsid w:val="004013C3"/>
    <w:rsid w:val="00401441"/>
    <w:rsid w:val="0040167E"/>
    <w:rsid w:val="004016A9"/>
    <w:rsid w:val="004016BD"/>
    <w:rsid w:val="00401772"/>
    <w:rsid w:val="00401961"/>
    <w:rsid w:val="00401DBA"/>
    <w:rsid w:val="00402239"/>
    <w:rsid w:val="0040233B"/>
    <w:rsid w:val="004027EE"/>
    <w:rsid w:val="004027FC"/>
    <w:rsid w:val="0040292F"/>
    <w:rsid w:val="00402936"/>
    <w:rsid w:val="00402AAF"/>
    <w:rsid w:val="00402F92"/>
    <w:rsid w:val="004034BD"/>
    <w:rsid w:val="004038A4"/>
    <w:rsid w:val="004038BD"/>
    <w:rsid w:val="00403B71"/>
    <w:rsid w:val="00403DA7"/>
    <w:rsid w:val="004041EA"/>
    <w:rsid w:val="004042D3"/>
    <w:rsid w:val="00404346"/>
    <w:rsid w:val="004043F4"/>
    <w:rsid w:val="00404418"/>
    <w:rsid w:val="004047FC"/>
    <w:rsid w:val="00404C55"/>
    <w:rsid w:val="00405091"/>
    <w:rsid w:val="004050B9"/>
    <w:rsid w:val="0040513F"/>
    <w:rsid w:val="00405560"/>
    <w:rsid w:val="0040559F"/>
    <w:rsid w:val="00405609"/>
    <w:rsid w:val="00405C1D"/>
    <w:rsid w:val="00405CBD"/>
    <w:rsid w:val="00405F4E"/>
    <w:rsid w:val="0040603A"/>
    <w:rsid w:val="00406164"/>
    <w:rsid w:val="00406676"/>
    <w:rsid w:val="00406937"/>
    <w:rsid w:val="00406AB8"/>
    <w:rsid w:val="00406B7D"/>
    <w:rsid w:val="00406EFE"/>
    <w:rsid w:val="00406F7F"/>
    <w:rsid w:val="004070A2"/>
    <w:rsid w:val="00407111"/>
    <w:rsid w:val="004071FE"/>
    <w:rsid w:val="00407807"/>
    <w:rsid w:val="00407953"/>
    <w:rsid w:val="00407BA1"/>
    <w:rsid w:val="00407BC0"/>
    <w:rsid w:val="00407E1F"/>
    <w:rsid w:val="004100F0"/>
    <w:rsid w:val="00410304"/>
    <w:rsid w:val="004105FB"/>
    <w:rsid w:val="004106BD"/>
    <w:rsid w:val="00410BC5"/>
    <w:rsid w:val="00410C87"/>
    <w:rsid w:val="00410D38"/>
    <w:rsid w:val="00410E49"/>
    <w:rsid w:val="00411047"/>
    <w:rsid w:val="0041122F"/>
    <w:rsid w:val="0041152A"/>
    <w:rsid w:val="00411595"/>
    <w:rsid w:val="00411691"/>
    <w:rsid w:val="0041172C"/>
    <w:rsid w:val="0041178E"/>
    <w:rsid w:val="004118F6"/>
    <w:rsid w:val="00411C59"/>
    <w:rsid w:val="00411C72"/>
    <w:rsid w:val="00411CFE"/>
    <w:rsid w:val="00411F58"/>
    <w:rsid w:val="00412257"/>
    <w:rsid w:val="004122E9"/>
    <w:rsid w:val="004123D2"/>
    <w:rsid w:val="0041264E"/>
    <w:rsid w:val="004128D0"/>
    <w:rsid w:val="0041292D"/>
    <w:rsid w:val="00412B35"/>
    <w:rsid w:val="00412D79"/>
    <w:rsid w:val="00412DDD"/>
    <w:rsid w:val="00412E11"/>
    <w:rsid w:val="004130CE"/>
    <w:rsid w:val="0041355B"/>
    <w:rsid w:val="00413673"/>
    <w:rsid w:val="004137BF"/>
    <w:rsid w:val="0041382F"/>
    <w:rsid w:val="004142CE"/>
    <w:rsid w:val="0041434A"/>
    <w:rsid w:val="0041452F"/>
    <w:rsid w:val="00414571"/>
    <w:rsid w:val="004148A6"/>
    <w:rsid w:val="004149CD"/>
    <w:rsid w:val="00414D60"/>
    <w:rsid w:val="00414D8E"/>
    <w:rsid w:val="00414D97"/>
    <w:rsid w:val="004152F0"/>
    <w:rsid w:val="0041532D"/>
    <w:rsid w:val="00415358"/>
    <w:rsid w:val="004154BE"/>
    <w:rsid w:val="004154DD"/>
    <w:rsid w:val="0041554E"/>
    <w:rsid w:val="00415C44"/>
    <w:rsid w:val="00415D15"/>
    <w:rsid w:val="00415E7F"/>
    <w:rsid w:val="00415F25"/>
    <w:rsid w:val="00415FB1"/>
    <w:rsid w:val="0041628A"/>
    <w:rsid w:val="0041661E"/>
    <w:rsid w:val="00416735"/>
    <w:rsid w:val="00416997"/>
    <w:rsid w:val="00416B48"/>
    <w:rsid w:val="00416C67"/>
    <w:rsid w:val="00416D95"/>
    <w:rsid w:val="00416EE7"/>
    <w:rsid w:val="00416EEF"/>
    <w:rsid w:val="00417091"/>
    <w:rsid w:val="00417577"/>
    <w:rsid w:val="00417C8F"/>
    <w:rsid w:val="00417C94"/>
    <w:rsid w:val="00417E62"/>
    <w:rsid w:val="00417F12"/>
    <w:rsid w:val="00420224"/>
    <w:rsid w:val="00420295"/>
    <w:rsid w:val="004205FA"/>
    <w:rsid w:val="004206B1"/>
    <w:rsid w:val="00420A5A"/>
    <w:rsid w:val="00420A6C"/>
    <w:rsid w:val="00420D2E"/>
    <w:rsid w:val="00420F49"/>
    <w:rsid w:val="004212D7"/>
    <w:rsid w:val="00421482"/>
    <w:rsid w:val="004215C5"/>
    <w:rsid w:val="00421993"/>
    <w:rsid w:val="00421B6F"/>
    <w:rsid w:val="00421BC9"/>
    <w:rsid w:val="00421DBF"/>
    <w:rsid w:val="00421F32"/>
    <w:rsid w:val="00422322"/>
    <w:rsid w:val="004225F3"/>
    <w:rsid w:val="00422693"/>
    <w:rsid w:val="00422755"/>
    <w:rsid w:val="00422A2A"/>
    <w:rsid w:val="00422A2D"/>
    <w:rsid w:val="00422E0A"/>
    <w:rsid w:val="004233BB"/>
    <w:rsid w:val="004233CE"/>
    <w:rsid w:val="00423D18"/>
    <w:rsid w:val="00423E96"/>
    <w:rsid w:val="004243B9"/>
    <w:rsid w:val="004243E1"/>
    <w:rsid w:val="00424535"/>
    <w:rsid w:val="004245A2"/>
    <w:rsid w:val="004245D7"/>
    <w:rsid w:val="00424864"/>
    <w:rsid w:val="004249B1"/>
    <w:rsid w:val="004249BE"/>
    <w:rsid w:val="00424B15"/>
    <w:rsid w:val="00424C2A"/>
    <w:rsid w:val="00424D2D"/>
    <w:rsid w:val="00424F66"/>
    <w:rsid w:val="0042542D"/>
    <w:rsid w:val="004254B2"/>
    <w:rsid w:val="00425655"/>
    <w:rsid w:val="004257C9"/>
    <w:rsid w:val="00425857"/>
    <w:rsid w:val="00425AF1"/>
    <w:rsid w:val="00425BF3"/>
    <w:rsid w:val="00425D11"/>
    <w:rsid w:val="00425FF8"/>
    <w:rsid w:val="00426643"/>
    <w:rsid w:val="004269FB"/>
    <w:rsid w:val="00426AC6"/>
    <w:rsid w:val="00426C99"/>
    <w:rsid w:val="00426DD3"/>
    <w:rsid w:val="00426E41"/>
    <w:rsid w:val="00426EE8"/>
    <w:rsid w:val="00426F11"/>
    <w:rsid w:val="0042703D"/>
    <w:rsid w:val="004273CF"/>
    <w:rsid w:val="00427542"/>
    <w:rsid w:val="0042755C"/>
    <w:rsid w:val="004276B3"/>
    <w:rsid w:val="00427AE0"/>
    <w:rsid w:val="00427B04"/>
    <w:rsid w:val="00427D86"/>
    <w:rsid w:val="00427DB2"/>
    <w:rsid w:val="00430099"/>
    <w:rsid w:val="0043028C"/>
    <w:rsid w:val="004302E7"/>
    <w:rsid w:val="00430365"/>
    <w:rsid w:val="00430655"/>
    <w:rsid w:val="004306A7"/>
    <w:rsid w:val="00430817"/>
    <w:rsid w:val="004308D5"/>
    <w:rsid w:val="004309A6"/>
    <w:rsid w:val="00430A55"/>
    <w:rsid w:val="00430CED"/>
    <w:rsid w:val="00430DDC"/>
    <w:rsid w:val="00430FCA"/>
    <w:rsid w:val="00431071"/>
    <w:rsid w:val="004313F6"/>
    <w:rsid w:val="0043142A"/>
    <w:rsid w:val="004315B8"/>
    <w:rsid w:val="00431A35"/>
    <w:rsid w:val="00431B04"/>
    <w:rsid w:val="00431E69"/>
    <w:rsid w:val="00432070"/>
    <w:rsid w:val="004321BD"/>
    <w:rsid w:val="00432233"/>
    <w:rsid w:val="00432440"/>
    <w:rsid w:val="00432907"/>
    <w:rsid w:val="00432B70"/>
    <w:rsid w:val="00432C09"/>
    <w:rsid w:val="00432C60"/>
    <w:rsid w:val="00432D15"/>
    <w:rsid w:val="00432D76"/>
    <w:rsid w:val="004330B8"/>
    <w:rsid w:val="0043326F"/>
    <w:rsid w:val="00433351"/>
    <w:rsid w:val="0043336E"/>
    <w:rsid w:val="004333FF"/>
    <w:rsid w:val="00433551"/>
    <w:rsid w:val="00433851"/>
    <w:rsid w:val="004338A1"/>
    <w:rsid w:val="00433917"/>
    <w:rsid w:val="00433B07"/>
    <w:rsid w:val="00433BEC"/>
    <w:rsid w:val="00433DBD"/>
    <w:rsid w:val="00433F9B"/>
    <w:rsid w:val="00433FF6"/>
    <w:rsid w:val="00434292"/>
    <w:rsid w:val="004342FD"/>
    <w:rsid w:val="0043430B"/>
    <w:rsid w:val="004344AB"/>
    <w:rsid w:val="00434532"/>
    <w:rsid w:val="00434613"/>
    <w:rsid w:val="00434775"/>
    <w:rsid w:val="004347E4"/>
    <w:rsid w:val="00434809"/>
    <w:rsid w:val="004349DF"/>
    <w:rsid w:val="00434A4C"/>
    <w:rsid w:val="00434B9B"/>
    <w:rsid w:val="00434CDC"/>
    <w:rsid w:val="00434CE3"/>
    <w:rsid w:val="00435212"/>
    <w:rsid w:val="00435355"/>
    <w:rsid w:val="0043546F"/>
    <w:rsid w:val="00435699"/>
    <w:rsid w:val="00435798"/>
    <w:rsid w:val="004358D0"/>
    <w:rsid w:val="00435DF4"/>
    <w:rsid w:val="0043606C"/>
    <w:rsid w:val="00436076"/>
    <w:rsid w:val="004361A6"/>
    <w:rsid w:val="004362F3"/>
    <w:rsid w:val="0043647A"/>
    <w:rsid w:val="00436663"/>
    <w:rsid w:val="004366B1"/>
    <w:rsid w:val="00436ABF"/>
    <w:rsid w:val="00436C44"/>
    <w:rsid w:val="00436D0A"/>
    <w:rsid w:val="00436D33"/>
    <w:rsid w:val="00436DD4"/>
    <w:rsid w:val="00436FDA"/>
    <w:rsid w:val="0043708F"/>
    <w:rsid w:val="00437159"/>
    <w:rsid w:val="004376F3"/>
    <w:rsid w:val="004379B1"/>
    <w:rsid w:val="004379DE"/>
    <w:rsid w:val="00437A02"/>
    <w:rsid w:val="00437C4C"/>
    <w:rsid w:val="00437DA4"/>
    <w:rsid w:val="00437E57"/>
    <w:rsid w:val="004400F0"/>
    <w:rsid w:val="0044013D"/>
    <w:rsid w:val="00440547"/>
    <w:rsid w:val="004407A9"/>
    <w:rsid w:val="00440B89"/>
    <w:rsid w:val="00440E46"/>
    <w:rsid w:val="00440F70"/>
    <w:rsid w:val="00441071"/>
    <w:rsid w:val="00441349"/>
    <w:rsid w:val="0044136D"/>
    <w:rsid w:val="0044144E"/>
    <w:rsid w:val="00441589"/>
    <w:rsid w:val="004417E0"/>
    <w:rsid w:val="004418A6"/>
    <w:rsid w:val="00441B30"/>
    <w:rsid w:val="00441F31"/>
    <w:rsid w:val="00441F90"/>
    <w:rsid w:val="004421EC"/>
    <w:rsid w:val="004424FF"/>
    <w:rsid w:val="00442746"/>
    <w:rsid w:val="004427C1"/>
    <w:rsid w:val="00442908"/>
    <w:rsid w:val="00442A01"/>
    <w:rsid w:val="00442D18"/>
    <w:rsid w:val="00442FCC"/>
    <w:rsid w:val="004430F2"/>
    <w:rsid w:val="004432DD"/>
    <w:rsid w:val="004438B9"/>
    <w:rsid w:val="00443B64"/>
    <w:rsid w:val="00443B66"/>
    <w:rsid w:val="00443C2E"/>
    <w:rsid w:val="00444109"/>
    <w:rsid w:val="004441DA"/>
    <w:rsid w:val="004444EE"/>
    <w:rsid w:val="004445A2"/>
    <w:rsid w:val="004446DE"/>
    <w:rsid w:val="00444846"/>
    <w:rsid w:val="00444A1A"/>
    <w:rsid w:val="00444EEA"/>
    <w:rsid w:val="0044545C"/>
    <w:rsid w:val="004455C5"/>
    <w:rsid w:val="004457D3"/>
    <w:rsid w:val="00445880"/>
    <w:rsid w:val="00445953"/>
    <w:rsid w:val="00445ABD"/>
    <w:rsid w:val="00445D18"/>
    <w:rsid w:val="00445DAE"/>
    <w:rsid w:val="00446052"/>
    <w:rsid w:val="0044642A"/>
    <w:rsid w:val="00446509"/>
    <w:rsid w:val="0044655F"/>
    <w:rsid w:val="004465F0"/>
    <w:rsid w:val="004467BF"/>
    <w:rsid w:val="00446F62"/>
    <w:rsid w:val="00447368"/>
    <w:rsid w:val="00447411"/>
    <w:rsid w:val="0044781B"/>
    <w:rsid w:val="00447D99"/>
    <w:rsid w:val="00447EB1"/>
    <w:rsid w:val="00450063"/>
    <w:rsid w:val="004500A0"/>
    <w:rsid w:val="00450261"/>
    <w:rsid w:val="004503BF"/>
    <w:rsid w:val="004507EB"/>
    <w:rsid w:val="004508D2"/>
    <w:rsid w:val="00450926"/>
    <w:rsid w:val="00450D62"/>
    <w:rsid w:val="00450F2E"/>
    <w:rsid w:val="004516B7"/>
    <w:rsid w:val="00451B57"/>
    <w:rsid w:val="00451EA6"/>
    <w:rsid w:val="00451EC7"/>
    <w:rsid w:val="00451EEF"/>
    <w:rsid w:val="00451F0C"/>
    <w:rsid w:val="00451F42"/>
    <w:rsid w:val="00451F51"/>
    <w:rsid w:val="0045223B"/>
    <w:rsid w:val="004523C6"/>
    <w:rsid w:val="0045258D"/>
    <w:rsid w:val="00452673"/>
    <w:rsid w:val="00452703"/>
    <w:rsid w:val="00452716"/>
    <w:rsid w:val="00452916"/>
    <w:rsid w:val="00452BC9"/>
    <w:rsid w:val="00452E35"/>
    <w:rsid w:val="00452FF2"/>
    <w:rsid w:val="00453027"/>
    <w:rsid w:val="00453273"/>
    <w:rsid w:val="00453CE5"/>
    <w:rsid w:val="00454102"/>
    <w:rsid w:val="00454377"/>
    <w:rsid w:val="004545E1"/>
    <w:rsid w:val="004549BF"/>
    <w:rsid w:val="0045539F"/>
    <w:rsid w:val="004557BC"/>
    <w:rsid w:val="00455BAF"/>
    <w:rsid w:val="00455DF8"/>
    <w:rsid w:val="00455E70"/>
    <w:rsid w:val="00456112"/>
    <w:rsid w:val="00456416"/>
    <w:rsid w:val="004565AA"/>
    <w:rsid w:val="00456646"/>
    <w:rsid w:val="0045690A"/>
    <w:rsid w:val="00456986"/>
    <w:rsid w:val="00456A0C"/>
    <w:rsid w:val="00456AA5"/>
    <w:rsid w:val="00456B2A"/>
    <w:rsid w:val="00456E44"/>
    <w:rsid w:val="00457999"/>
    <w:rsid w:val="0046000A"/>
    <w:rsid w:val="004601CB"/>
    <w:rsid w:val="004602EA"/>
    <w:rsid w:val="004604C2"/>
    <w:rsid w:val="0046058D"/>
    <w:rsid w:val="004607EA"/>
    <w:rsid w:val="004608EA"/>
    <w:rsid w:val="004609A7"/>
    <w:rsid w:val="00460A39"/>
    <w:rsid w:val="00460A4E"/>
    <w:rsid w:val="00460E72"/>
    <w:rsid w:val="00460E81"/>
    <w:rsid w:val="00460EC8"/>
    <w:rsid w:val="004614E5"/>
    <w:rsid w:val="0046151F"/>
    <w:rsid w:val="004615B1"/>
    <w:rsid w:val="00461831"/>
    <w:rsid w:val="004618D4"/>
    <w:rsid w:val="00461FF9"/>
    <w:rsid w:val="0046205D"/>
    <w:rsid w:val="004624AD"/>
    <w:rsid w:val="004629BE"/>
    <w:rsid w:val="00462EF6"/>
    <w:rsid w:val="0046300A"/>
    <w:rsid w:val="004630FA"/>
    <w:rsid w:val="004631AB"/>
    <w:rsid w:val="004631AE"/>
    <w:rsid w:val="00463334"/>
    <w:rsid w:val="004634E5"/>
    <w:rsid w:val="00463652"/>
    <w:rsid w:val="00463799"/>
    <w:rsid w:val="00463A76"/>
    <w:rsid w:val="00463D0F"/>
    <w:rsid w:val="00463F2A"/>
    <w:rsid w:val="00463F6A"/>
    <w:rsid w:val="00464090"/>
    <w:rsid w:val="00464217"/>
    <w:rsid w:val="00464316"/>
    <w:rsid w:val="00464840"/>
    <w:rsid w:val="00464BA3"/>
    <w:rsid w:val="00464C54"/>
    <w:rsid w:val="00464D7F"/>
    <w:rsid w:val="00464F8E"/>
    <w:rsid w:val="00464F94"/>
    <w:rsid w:val="004653EB"/>
    <w:rsid w:val="00465412"/>
    <w:rsid w:val="00465516"/>
    <w:rsid w:val="00465757"/>
    <w:rsid w:val="00465A5B"/>
    <w:rsid w:val="00465F3A"/>
    <w:rsid w:val="004660BC"/>
    <w:rsid w:val="0046642D"/>
    <w:rsid w:val="0046654F"/>
    <w:rsid w:val="00466569"/>
    <w:rsid w:val="00466647"/>
    <w:rsid w:val="00466775"/>
    <w:rsid w:val="004669BA"/>
    <w:rsid w:val="004669FB"/>
    <w:rsid w:val="00466D43"/>
    <w:rsid w:val="00467181"/>
    <w:rsid w:val="00467741"/>
    <w:rsid w:val="004701A6"/>
    <w:rsid w:val="004703AE"/>
    <w:rsid w:val="004704DA"/>
    <w:rsid w:val="0047057A"/>
    <w:rsid w:val="00470980"/>
    <w:rsid w:val="00470C7E"/>
    <w:rsid w:val="00470EA7"/>
    <w:rsid w:val="00470EF8"/>
    <w:rsid w:val="00471405"/>
    <w:rsid w:val="00471FD1"/>
    <w:rsid w:val="0047256B"/>
    <w:rsid w:val="004726B7"/>
    <w:rsid w:val="00472728"/>
    <w:rsid w:val="00472A36"/>
    <w:rsid w:val="00472A70"/>
    <w:rsid w:val="00472D4F"/>
    <w:rsid w:val="00473385"/>
    <w:rsid w:val="0047393E"/>
    <w:rsid w:val="00473E59"/>
    <w:rsid w:val="004746EC"/>
    <w:rsid w:val="004747B2"/>
    <w:rsid w:val="00474894"/>
    <w:rsid w:val="00474A32"/>
    <w:rsid w:val="00474AEA"/>
    <w:rsid w:val="00474DE7"/>
    <w:rsid w:val="00475037"/>
    <w:rsid w:val="004756DC"/>
    <w:rsid w:val="004758BD"/>
    <w:rsid w:val="0047598D"/>
    <w:rsid w:val="00475E59"/>
    <w:rsid w:val="00476225"/>
    <w:rsid w:val="004762DC"/>
    <w:rsid w:val="00476302"/>
    <w:rsid w:val="004764BF"/>
    <w:rsid w:val="004769A8"/>
    <w:rsid w:val="00476A4D"/>
    <w:rsid w:val="00476C86"/>
    <w:rsid w:val="00476D75"/>
    <w:rsid w:val="00476E80"/>
    <w:rsid w:val="00477016"/>
    <w:rsid w:val="0047707E"/>
    <w:rsid w:val="004772C8"/>
    <w:rsid w:val="004772FF"/>
    <w:rsid w:val="00477407"/>
    <w:rsid w:val="004778CE"/>
    <w:rsid w:val="00477BDA"/>
    <w:rsid w:val="00480111"/>
    <w:rsid w:val="0048032D"/>
    <w:rsid w:val="0048062D"/>
    <w:rsid w:val="004807C5"/>
    <w:rsid w:val="00480803"/>
    <w:rsid w:val="0048094A"/>
    <w:rsid w:val="00480BC6"/>
    <w:rsid w:val="00480BD8"/>
    <w:rsid w:val="00480BD9"/>
    <w:rsid w:val="00480CDE"/>
    <w:rsid w:val="00480FC1"/>
    <w:rsid w:val="0048101A"/>
    <w:rsid w:val="004810E7"/>
    <w:rsid w:val="00481169"/>
    <w:rsid w:val="00481261"/>
    <w:rsid w:val="0048147B"/>
    <w:rsid w:val="004816E7"/>
    <w:rsid w:val="004817D5"/>
    <w:rsid w:val="00481800"/>
    <w:rsid w:val="004819AB"/>
    <w:rsid w:val="00481B89"/>
    <w:rsid w:val="00481FD1"/>
    <w:rsid w:val="004821D1"/>
    <w:rsid w:val="004827A0"/>
    <w:rsid w:val="00482A99"/>
    <w:rsid w:val="00482B5D"/>
    <w:rsid w:val="00482C15"/>
    <w:rsid w:val="00482CAB"/>
    <w:rsid w:val="00482FF2"/>
    <w:rsid w:val="0048333F"/>
    <w:rsid w:val="00483831"/>
    <w:rsid w:val="004838F6"/>
    <w:rsid w:val="00483F05"/>
    <w:rsid w:val="004840FF"/>
    <w:rsid w:val="00484295"/>
    <w:rsid w:val="0048432C"/>
    <w:rsid w:val="004843F6"/>
    <w:rsid w:val="00484612"/>
    <w:rsid w:val="00484921"/>
    <w:rsid w:val="00484B94"/>
    <w:rsid w:val="00484F7D"/>
    <w:rsid w:val="0048506C"/>
    <w:rsid w:val="004851BD"/>
    <w:rsid w:val="0048522C"/>
    <w:rsid w:val="004852CC"/>
    <w:rsid w:val="004857C5"/>
    <w:rsid w:val="00485D24"/>
    <w:rsid w:val="00485EBB"/>
    <w:rsid w:val="0048612F"/>
    <w:rsid w:val="004862EC"/>
    <w:rsid w:val="004867AA"/>
    <w:rsid w:val="004868CB"/>
    <w:rsid w:val="00486910"/>
    <w:rsid w:val="00486C46"/>
    <w:rsid w:val="00486CA6"/>
    <w:rsid w:val="00486CDB"/>
    <w:rsid w:val="00486D38"/>
    <w:rsid w:val="00486F95"/>
    <w:rsid w:val="00487057"/>
    <w:rsid w:val="00487254"/>
    <w:rsid w:val="00487427"/>
    <w:rsid w:val="00487555"/>
    <w:rsid w:val="00487586"/>
    <w:rsid w:val="00487965"/>
    <w:rsid w:val="00487AB8"/>
    <w:rsid w:val="00487DC5"/>
    <w:rsid w:val="00487F8E"/>
    <w:rsid w:val="00490238"/>
    <w:rsid w:val="0049042D"/>
    <w:rsid w:val="00490643"/>
    <w:rsid w:val="00490858"/>
    <w:rsid w:val="00490A80"/>
    <w:rsid w:val="00490C20"/>
    <w:rsid w:val="00490CAA"/>
    <w:rsid w:val="00490DE5"/>
    <w:rsid w:val="00490FBB"/>
    <w:rsid w:val="00491093"/>
    <w:rsid w:val="004915BC"/>
    <w:rsid w:val="0049162C"/>
    <w:rsid w:val="00491A12"/>
    <w:rsid w:val="00491A8C"/>
    <w:rsid w:val="00491C89"/>
    <w:rsid w:val="00491FD8"/>
    <w:rsid w:val="0049204E"/>
    <w:rsid w:val="004922D0"/>
    <w:rsid w:val="00492594"/>
    <w:rsid w:val="004925B2"/>
    <w:rsid w:val="00492681"/>
    <w:rsid w:val="00493165"/>
    <w:rsid w:val="004932EC"/>
    <w:rsid w:val="004933FD"/>
    <w:rsid w:val="004936B5"/>
    <w:rsid w:val="00493908"/>
    <w:rsid w:val="00493A89"/>
    <w:rsid w:val="00493C53"/>
    <w:rsid w:val="00493FAA"/>
    <w:rsid w:val="004942F9"/>
    <w:rsid w:val="00494308"/>
    <w:rsid w:val="004947C0"/>
    <w:rsid w:val="00494D17"/>
    <w:rsid w:val="00494DCC"/>
    <w:rsid w:val="00494E2D"/>
    <w:rsid w:val="00495070"/>
    <w:rsid w:val="004951BB"/>
    <w:rsid w:val="004952AC"/>
    <w:rsid w:val="00495574"/>
    <w:rsid w:val="00495B7C"/>
    <w:rsid w:val="00495C40"/>
    <w:rsid w:val="00495FAE"/>
    <w:rsid w:val="0049643A"/>
    <w:rsid w:val="00496A39"/>
    <w:rsid w:val="00496CAA"/>
    <w:rsid w:val="00496F20"/>
    <w:rsid w:val="00496FD1"/>
    <w:rsid w:val="0049716C"/>
    <w:rsid w:val="004975C5"/>
    <w:rsid w:val="00497A3B"/>
    <w:rsid w:val="00497B9E"/>
    <w:rsid w:val="004A01F5"/>
    <w:rsid w:val="004A0615"/>
    <w:rsid w:val="004A07D7"/>
    <w:rsid w:val="004A0C86"/>
    <w:rsid w:val="004A0E63"/>
    <w:rsid w:val="004A1480"/>
    <w:rsid w:val="004A14F9"/>
    <w:rsid w:val="004A17AB"/>
    <w:rsid w:val="004A19B1"/>
    <w:rsid w:val="004A1DA8"/>
    <w:rsid w:val="004A21FC"/>
    <w:rsid w:val="004A2ABD"/>
    <w:rsid w:val="004A2BC3"/>
    <w:rsid w:val="004A2EF3"/>
    <w:rsid w:val="004A3101"/>
    <w:rsid w:val="004A39E3"/>
    <w:rsid w:val="004A3C74"/>
    <w:rsid w:val="004A3F5D"/>
    <w:rsid w:val="004A45E5"/>
    <w:rsid w:val="004A45F6"/>
    <w:rsid w:val="004A480C"/>
    <w:rsid w:val="004A485A"/>
    <w:rsid w:val="004A497A"/>
    <w:rsid w:val="004A4A7C"/>
    <w:rsid w:val="004A4B86"/>
    <w:rsid w:val="004A4DB3"/>
    <w:rsid w:val="004A4E5C"/>
    <w:rsid w:val="004A4EA1"/>
    <w:rsid w:val="004A4EC4"/>
    <w:rsid w:val="004A524D"/>
    <w:rsid w:val="004A52A6"/>
    <w:rsid w:val="004A5850"/>
    <w:rsid w:val="004A58CD"/>
    <w:rsid w:val="004A595F"/>
    <w:rsid w:val="004A59CD"/>
    <w:rsid w:val="004A59F4"/>
    <w:rsid w:val="004A5AC8"/>
    <w:rsid w:val="004A5CAD"/>
    <w:rsid w:val="004A6080"/>
    <w:rsid w:val="004A6294"/>
    <w:rsid w:val="004A6338"/>
    <w:rsid w:val="004A642E"/>
    <w:rsid w:val="004A64D5"/>
    <w:rsid w:val="004A6684"/>
    <w:rsid w:val="004A6D3A"/>
    <w:rsid w:val="004A6D95"/>
    <w:rsid w:val="004A6E33"/>
    <w:rsid w:val="004A6F61"/>
    <w:rsid w:val="004A7538"/>
    <w:rsid w:val="004A75E3"/>
    <w:rsid w:val="004A7730"/>
    <w:rsid w:val="004A7B06"/>
    <w:rsid w:val="004A7CC8"/>
    <w:rsid w:val="004A7CD2"/>
    <w:rsid w:val="004A7F39"/>
    <w:rsid w:val="004B0050"/>
    <w:rsid w:val="004B0145"/>
    <w:rsid w:val="004B0161"/>
    <w:rsid w:val="004B0326"/>
    <w:rsid w:val="004B035D"/>
    <w:rsid w:val="004B05DB"/>
    <w:rsid w:val="004B06F8"/>
    <w:rsid w:val="004B0919"/>
    <w:rsid w:val="004B0A31"/>
    <w:rsid w:val="004B0ADF"/>
    <w:rsid w:val="004B0B72"/>
    <w:rsid w:val="004B0EF3"/>
    <w:rsid w:val="004B0F11"/>
    <w:rsid w:val="004B0FF6"/>
    <w:rsid w:val="004B13F1"/>
    <w:rsid w:val="004B14AB"/>
    <w:rsid w:val="004B17B9"/>
    <w:rsid w:val="004B198A"/>
    <w:rsid w:val="004B1A64"/>
    <w:rsid w:val="004B1FC9"/>
    <w:rsid w:val="004B207A"/>
    <w:rsid w:val="004B20A4"/>
    <w:rsid w:val="004B2144"/>
    <w:rsid w:val="004B2402"/>
    <w:rsid w:val="004B26CE"/>
    <w:rsid w:val="004B2A5C"/>
    <w:rsid w:val="004B2F16"/>
    <w:rsid w:val="004B2F58"/>
    <w:rsid w:val="004B3048"/>
    <w:rsid w:val="004B3062"/>
    <w:rsid w:val="004B316B"/>
    <w:rsid w:val="004B3476"/>
    <w:rsid w:val="004B35D0"/>
    <w:rsid w:val="004B3638"/>
    <w:rsid w:val="004B38A9"/>
    <w:rsid w:val="004B38D3"/>
    <w:rsid w:val="004B3BD2"/>
    <w:rsid w:val="004B3ED6"/>
    <w:rsid w:val="004B3F23"/>
    <w:rsid w:val="004B43AE"/>
    <w:rsid w:val="004B461D"/>
    <w:rsid w:val="004B47D3"/>
    <w:rsid w:val="004B47EF"/>
    <w:rsid w:val="004B4892"/>
    <w:rsid w:val="004B4C6D"/>
    <w:rsid w:val="004B4DCF"/>
    <w:rsid w:val="004B4E01"/>
    <w:rsid w:val="004B4F5A"/>
    <w:rsid w:val="004B51AA"/>
    <w:rsid w:val="004B524B"/>
    <w:rsid w:val="004B52AF"/>
    <w:rsid w:val="004B5341"/>
    <w:rsid w:val="004B5356"/>
    <w:rsid w:val="004B53F1"/>
    <w:rsid w:val="004B5659"/>
    <w:rsid w:val="004B5734"/>
    <w:rsid w:val="004B582E"/>
    <w:rsid w:val="004B5A53"/>
    <w:rsid w:val="004B5DC5"/>
    <w:rsid w:val="004B5EB2"/>
    <w:rsid w:val="004B5F2E"/>
    <w:rsid w:val="004B5FBC"/>
    <w:rsid w:val="004B6057"/>
    <w:rsid w:val="004B60F0"/>
    <w:rsid w:val="004B661B"/>
    <w:rsid w:val="004B6766"/>
    <w:rsid w:val="004B7031"/>
    <w:rsid w:val="004B71D8"/>
    <w:rsid w:val="004B7449"/>
    <w:rsid w:val="004B779D"/>
    <w:rsid w:val="004B7840"/>
    <w:rsid w:val="004B7BE4"/>
    <w:rsid w:val="004B7FE9"/>
    <w:rsid w:val="004C015D"/>
    <w:rsid w:val="004C0320"/>
    <w:rsid w:val="004C033D"/>
    <w:rsid w:val="004C03AC"/>
    <w:rsid w:val="004C06D1"/>
    <w:rsid w:val="004C06ED"/>
    <w:rsid w:val="004C0D61"/>
    <w:rsid w:val="004C0F6E"/>
    <w:rsid w:val="004C1161"/>
    <w:rsid w:val="004C1715"/>
    <w:rsid w:val="004C1716"/>
    <w:rsid w:val="004C1924"/>
    <w:rsid w:val="004C1C40"/>
    <w:rsid w:val="004C1E92"/>
    <w:rsid w:val="004C2016"/>
    <w:rsid w:val="004C2291"/>
    <w:rsid w:val="004C28D5"/>
    <w:rsid w:val="004C295E"/>
    <w:rsid w:val="004C2A69"/>
    <w:rsid w:val="004C2C57"/>
    <w:rsid w:val="004C2E44"/>
    <w:rsid w:val="004C2F50"/>
    <w:rsid w:val="004C306F"/>
    <w:rsid w:val="004C31BC"/>
    <w:rsid w:val="004C3289"/>
    <w:rsid w:val="004C3545"/>
    <w:rsid w:val="004C354F"/>
    <w:rsid w:val="004C3895"/>
    <w:rsid w:val="004C38A5"/>
    <w:rsid w:val="004C3B62"/>
    <w:rsid w:val="004C3CF2"/>
    <w:rsid w:val="004C3EDA"/>
    <w:rsid w:val="004C3FB0"/>
    <w:rsid w:val="004C436E"/>
    <w:rsid w:val="004C4476"/>
    <w:rsid w:val="004C46B9"/>
    <w:rsid w:val="004C485E"/>
    <w:rsid w:val="004C4A77"/>
    <w:rsid w:val="004C4A98"/>
    <w:rsid w:val="004C4B94"/>
    <w:rsid w:val="004C4BC7"/>
    <w:rsid w:val="004C4D88"/>
    <w:rsid w:val="004C4DAE"/>
    <w:rsid w:val="004C4E75"/>
    <w:rsid w:val="004C4F3C"/>
    <w:rsid w:val="004C53B0"/>
    <w:rsid w:val="004C5444"/>
    <w:rsid w:val="004C545D"/>
    <w:rsid w:val="004C554C"/>
    <w:rsid w:val="004C5551"/>
    <w:rsid w:val="004C555C"/>
    <w:rsid w:val="004C561C"/>
    <w:rsid w:val="004C62D4"/>
    <w:rsid w:val="004C6384"/>
    <w:rsid w:val="004C6633"/>
    <w:rsid w:val="004C6698"/>
    <w:rsid w:val="004C68AE"/>
    <w:rsid w:val="004C6A47"/>
    <w:rsid w:val="004C6A76"/>
    <w:rsid w:val="004C6BBB"/>
    <w:rsid w:val="004C6D0C"/>
    <w:rsid w:val="004C6D69"/>
    <w:rsid w:val="004C6DE6"/>
    <w:rsid w:val="004C6FB6"/>
    <w:rsid w:val="004C7193"/>
    <w:rsid w:val="004C75E4"/>
    <w:rsid w:val="004C77C1"/>
    <w:rsid w:val="004C7846"/>
    <w:rsid w:val="004C7A40"/>
    <w:rsid w:val="004C7C29"/>
    <w:rsid w:val="004C7CBF"/>
    <w:rsid w:val="004D0259"/>
    <w:rsid w:val="004D02A0"/>
    <w:rsid w:val="004D02BC"/>
    <w:rsid w:val="004D04E2"/>
    <w:rsid w:val="004D06CC"/>
    <w:rsid w:val="004D08C6"/>
    <w:rsid w:val="004D0A03"/>
    <w:rsid w:val="004D0C80"/>
    <w:rsid w:val="004D0D1B"/>
    <w:rsid w:val="004D0D89"/>
    <w:rsid w:val="004D0DDE"/>
    <w:rsid w:val="004D0FB6"/>
    <w:rsid w:val="004D10B4"/>
    <w:rsid w:val="004D12B3"/>
    <w:rsid w:val="004D1413"/>
    <w:rsid w:val="004D190D"/>
    <w:rsid w:val="004D192A"/>
    <w:rsid w:val="004D196E"/>
    <w:rsid w:val="004D1AD5"/>
    <w:rsid w:val="004D1BE9"/>
    <w:rsid w:val="004D1D1B"/>
    <w:rsid w:val="004D2113"/>
    <w:rsid w:val="004D293C"/>
    <w:rsid w:val="004D2992"/>
    <w:rsid w:val="004D2B85"/>
    <w:rsid w:val="004D2D0F"/>
    <w:rsid w:val="004D31B0"/>
    <w:rsid w:val="004D32A2"/>
    <w:rsid w:val="004D32E7"/>
    <w:rsid w:val="004D32F1"/>
    <w:rsid w:val="004D3607"/>
    <w:rsid w:val="004D363B"/>
    <w:rsid w:val="004D392B"/>
    <w:rsid w:val="004D3B95"/>
    <w:rsid w:val="004D3E17"/>
    <w:rsid w:val="004D4578"/>
    <w:rsid w:val="004D4A5A"/>
    <w:rsid w:val="004D4F39"/>
    <w:rsid w:val="004D521B"/>
    <w:rsid w:val="004D55DD"/>
    <w:rsid w:val="004D57EE"/>
    <w:rsid w:val="004D5811"/>
    <w:rsid w:val="004D596A"/>
    <w:rsid w:val="004D596C"/>
    <w:rsid w:val="004D5AB5"/>
    <w:rsid w:val="004D6089"/>
    <w:rsid w:val="004D6142"/>
    <w:rsid w:val="004D6ACC"/>
    <w:rsid w:val="004D6B3A"/>
    <w:rsid w:val="004D7443"/>
    <w:rsid w:val="004D747D"/>
    <w:rsid w:val="004D75A5"/>
    <w:rsid w:val="004D7646"/>
    <w:rsid w:val="004D7868"/>
    <w:rsid w:val="004D78AC"/>
    <w:rsid w:val="004D7927"/>
    <w:rsid w:val="004D79F0"/>
    <w:rsid w:val="004D7A9B"/>
    <w:rsid w:val="004D7ACE"/>
    <w:rsid w:val="004D7CF7"/>
    <w:rsid w:val="004E03BD"/>
    <w:rsid w:val="004E06B9"/>
    <w:rsid w:val="004E074D"/>
    <w:rsid w:val="004E086B"/>
    <w:rsid w:val="004E110E"/>
    <w:rsid w:val="004E129C"/>
    <w:rsid w:val="004E1620"/>
    <w:rsid w:val="004E190B"/>
    <w:rsid w:val="004E197B"/>
    <w:rsid w:val="004E1B75"/>
    <w:rsid w:val="004E1C9C"/>
    <w:rsid w:val="004E1F02"/>
    <w:rsid w:val="004E228B"/>
    <w:rsid w:val="004E2508"/>
    <w:rsid w:val="004E25CB"/>
    <w:rsid w:val="004E290E"/>
    <w:rsid w:val="004E29E6"/>
    <w:rsid w:val="004E2BD3"/>
    <w:rsid w:val="004E2DB6"/>
    <w:rsid w:val="004E30BC"/>
    <w:rsid w:val="004E30CE"/>
    <w:rsid w:val="004E3108"/>
    <w:rsid w:val="004E3330"/>
    <w:rsid w:val="004E3396"/>
    <w:rsid w:val="004E3666"/>
    <w:rsid w:val="004E3A99"/>
    <w:rsid w:val="004E3B96"/>
    <w:rsid w:val="004E40B3"/>
    <w:rsid w:val="004E40D3"/>
    <w:rsid w:val="004E42B4"/>
    <w:rsid w:val="004E42B9"/>
    <w:rsid w:val="004E43D6"/>
    <w:rsid w:val="004E440A"/>
    <w:rsid w:val="004E473C"/>
    <w:rsid w:val="004E475A"/>
    <w:rsid w:val="004E4B63"/>
    <w:rsid w:val="004E4B8D"/>
    <w:rsid w:val="004E4D6B"/>
    <w:rsid w:val="004E50CC"/>
    <w:rsid w:val="004E5184"/>
    <w:rsid w:val="004E52E2"/>
    <w:rsid w:val="004E5590"/>
    <w:rsid w:val="004E562D"/>
    <w:rsid w:val="004E579A"/>
    <w:rsid w:val="004E5C3E"/>
    <w:rsid w:val="004E61D9"/>
    <w:rsid w:val="004E633F"/>
    <w:rsid w:val="004E6783"/>
    <w:rsid w:val="004E68E1"/>
    <w:rsid w:val="004E69A4"/>
    <w:rsid w:val="004E6B70"/>
    <w:rsid w:val="004E6B9C"/>
    <w:rsid w:val="004E6CA2"/>
    <w:rsid w:val="004E6E6C"/>
    <w:rsid w:val="004E6E7D"/>
    <w:rsid w:val="004E75DF"/>
    <w:rsid w:val="004E763A"/>
    <w:rsid w:val="004E767A"/>
    <w:rsid w:val="004E7AA8"/>
    <w:rsid w:val="004E7D82"/>
    <w:rsid w:val="004E7D92"/>
    <w:rsid w:val="004E7DD0"/>
    <w:rsid w:val="004E7FC6"/>
    <w:rsid w:val="004F0216"/>
    <w:rsid w:val="004F02B4"/>
    <w:rsid w:val="004F0750"/>
    <w:rsid w:val="004F08AD"/>
    <w:rsid w:val="004F0A2B"/>
    <w:rsid w:val="004F0A9A"/>
    <w:rsid w:val="004F0D06"/>
    <w:rsid w:val="004F10AB"/>
    <w:rsid w:val="004F191C"/>
    <w:rsid w:val="004F1A29"/>
    <w:rsid w:val="004F1E1E"/>
    <w:rsid w:val="004F1EC3"/>
    <w:rsid w:val="004F1EEC"/>
    <w:rsid w:val="004F2232"/>
    <w:rsid w:val="004F270D"/>
    <w:rsid w:val="004F27D2"/>
    <w:rsid w:val="004F2A61"/>
    <w:rsid w:val="004F3453"/>
    <w:rsid w:val="004F376A"/>
    <w:rsid w:val="004F3D7D"/>
    <w:rsid w:val="004F4102"/>
    <w:rsid w:val="004F4182"/>
    <w:rsid w:val="004F422D"/>
    <w:rsid w:val="004F4511"/>
    <w:rsid w:val="004F45BF"/>
    <w:rsid w:val="004F4BAD"/>
    <w:rsid w:val="004F4E43"/>
    <w:rsid w:val="004F4E7E"/>
    <w:rsid w:val="004F4F13"/>
    <w:rsid w:val="004F4F34"/>
    <w:rsid w:val="004F4FD0"/>
    <w:rsid w:val="004F502D"/>
    <w:rsid w:val="004F5126"/>
    <w:rsid w:val="004F553F"/>
    <w:rsid w:val="004F5673"/>
    <w:rsid w:val="004F5953"/>
    <w:rsid w:val="004F5F5A"/>
    <w:rsid w:val="004F60A3"/>
    <w:rsid w:val="004F6472"/>
    <w:rsid w:val="004F650A"/>
    <w:rsid w:val="004F657A"/>
    <w:rsid w:val="004F6659"/>
    <w:rsid w:val="004F6963"/>
    <w:rsid w:val="004F6AB1"/>
    <w:rsid w:val="004F709B"/>
    <w:rsid w:val="004F7138"/>
    <w:rsid w:val="004F7152"/>
    <w:rsid w:val="004F7221"/>
    <w:rsid w:val="004F7327"/>
    <w:rsid w:val="004F738F"/>
    <w:rsid w:val="004F75E8"/>
    <w:rsid w:val="004F7BFF"/>
    <w:rsid w:val="00500291"/>
    <w:rsid w:val="00500306"/>
    <w:rsid w:val="0050035C"/>
    <w:rsid w:val="005006A6"/>
    <w:rsid w:val="005008AB"/>
    <w:rsid w:val="0050099F"/>
    <w:rsid w:val="00500C73"/>
    <w:rsid w:val="00500F19"/>
    <w:rsid w:val="0050113F"/>
    <w:rsid w:val="005011C1"/>
    <w:rsid w:val="00501483"/>
    <w:rsid w:val="00501502"/>
    <w:rsid w:val="005015A2"/>
    <w:rsid w:val="005015D1"/>
    <w:rsid w:val="00501719"/>
    <w:rsid w:val="00501832"/>
    <w:rsid w:val="00501F20"/>
    <w:rsid w:val="005023C0"/>
    <w:rsid w:val="00502637"/>
    <w:rsid w:val="00502A91"/>
    <w:rsid w:val="00502EF1"/>
    <w:rsid w:val="00502EF9"/>
    <w:rsid w:val="00502F55"/>
    <w:rsid w:val="00503177"/>
    <w:rsid w:val="00503280"/>
    <w:rsid w:val="0050384F"/>
    <w:rsid w:val="00503879"/>
    <w:rsid w:val="00503936"/>
    <w:rsid w:val="00503974"/>
    <w:rsid w:val="00503AE8"/>
    <w:rsid w:val="00503B22"/>
    <w:rsid w:val="00503C39"/>
    <w:rsid w:val="00503D41"/>
    <w:rsid w:val="00503FAF"/>
    <w:rsid w:val="0050417E"/>
    <w:rsid w:val="00504282"/>
    <w:rsid w:val="005043AC"/>
    <w:rsid w:val="00504633"/>
    <w:rsid w:val="005049C0"/>
    <w:rsid w:val="00504CFE"/>
    <w:rsid w:val="005050FB"/>
    <w:rsid w:val="00505143"/>
    <w:rsid w:val="00505585"/>
    <w:rsid w:val="005056D9"/>
    <w:rsid w:val="00505746"/>
    <w:rsid w:val="00505D26"/>
    <w:rsid w:val="00506220"/>
    <w:rsid w:val="00506255"/>
    <w:rsid w:val="00506952"/>
    <w:rsid w:val="00506BA2"/>
    <w:rsid w:val="00506FAB"/>
    <w:rsid w:val="005075FF"/>
    <w:rsid w:val="005076F9"/>
    <w:rsid w:val="0050771D"/>
    <w:rsid w:val="0050795A"/>
    <w:rsid w:val="0050798E"/>
    <w:rsid w:val="00507A35"/>
    <w:rsid w:val="00507B03"/>
    <w:rsid w:val="00507D0E"/>
    <w:rsid w:val="00507E41"/>
    <w:rsid w:val="005102B1"/>
    <w:rsid w:val="005102D4"/>
    <w:rsid w:val="0051059B"/>
    <w:rsid w:val="0051085E"/>
    <w:rsid w:val="00510976"/>
    <w:rsid w:val="005109A9"/>
    <w:rsid w:val="00510DB5"/>
    <w:rsid w:val="00511011"/>
    <w:rsid w:val="0051108E"/>
    <w:rsid w:val="005110A7"/>
    <w:rsid w:val="005110B4"/>
    <w:rsid w:val="00511A2C"/>
    <w:rsid w:val="00511E32"/>
    <w:rsid w:val="00511F72"/>
    <w:rsid w:val="00512093"/>
    <w:rsid w:val="0051217C"/>
    <w:rsid w:val="005123DD"/>
    <w:rsid w:val="005123FD"/>
    <w:rsid w:val="0051259D"/>
    <w:rsid w:val="0051283D"/>
    <w:rsid w:val="005128FC"/>
    <w:rsid w:val="00512B20"/>
    <w:rsid w:val="00512BE8"/>
    <w:rsid w:val="00512D83"/>
    <w:rsid w:val="00512FBF"/>
    <w:rsid w:val="00513154"/>
    <w:rsid w:val="005131B9"/>
    <w:rsid w:val="0051322F"/>
    <w:rsid w:val="005132A1"/>
    <w:rsid w:val="00513333"/>
    <w:rsid w:val="00513776"/>
    <w:rsid w:val="00513867"/>
    <w:rsid w:val="00513876"/>
    <w:rsid w:val="00513BFA"/>
    <w:rsid w:val="00513D31"/>
    <w:rsid w:val="00513EC0"/>
    <w:rsid w:val="00513F8C"/>
    <w:rsid w:val="00513FE5"/>
    <w:rsid w:val="005144D1"/>
    <w:rsid w:val="00514C0D"/>
    <w:rsid w:val="00514D11"/>
    <w:rsid w:val="005152EE"/>
    <w:rsid w:val="00515621"/>
    <w:rsid w:val="00515636"/>
    <w:rsid w:val="00515AC6"/>
    <w:rsid w:val="00515B10"/>
    <w:rsid w:val="00515B4A"/>
    <w:rsid w:val="00515C21"/>
    <w:rsid w:val="00515F77"/>
    <w:rsid w:val="00516083"/>
    <w:rsid w:val="00516292"/>
    <w:rsid w:val="00516636"/>
    <w:rsid w:val="00516F39"/>
    <w:rsid w:val="00517159"/>
    <w:rsid w:val="005172DC"/>
    <w:rsid w:val="0051734A"/>
    <w:rsid w:val="005175A4"/>
    <w:rsid w:val="00517A5B"/>
    <w:rsid w:val="00517C41"/>
    <w:rsid w:val="00517D43"/>
    <w:rsid w:val="00520450"/>
    <w:rsid w:val="0052066D"/>
    <w:rsid w:val="005207C2"/>
    <w:rsid w:val="005209C4"/>
    <w:rsid w:val="00520C08"/>
    <w:rsid w:val="00520CD5"/>
    <w:rsid w:val="0052100E"/>
    <w:rsid w:val="00521152"/>
    <w:rsid w:val="00521459"/>
    <w:rsid w:val="00521517"/>
    <w:rsid w:val="00521FF9"/>
    <w:rsid w:val="00522128"/>
    <w:rsid w:val="00522581"/>
    <w:rsid w:val="0052285C"/>
    <w:rsid w:val="005229C3"/>
    <w:rsid w:val="00522C06"/>
    <w:rsid w:val="00522F2F"/>
    <w:rsid w:val="00522F64"/>
    <w:rsid w:val="0052305F"/>
    <w:rsid w:val="005233EB"/>
    <w:rsid w:val="00523670"/>
    <w:rsid w:val="00523B21"/>
    <w:rsid w:val="00523D42"/>
    <w:rsid w:val="00523EB8"/>
    <w:rsid w:val="0052455F"/>
    <w:rsid w:val="005248C0"/>
    <w:rsid w:val="005249C2"/>
    <w:rsid w:val="00524A63"/>
    <w:rsid w:val="005250B1"/>
    <w:rsid w:val="00525356"/>
    <w:rsid w:val="0052554B"/>
    <w:rsid w:val="00525665"/>
    <w:rsid w:val="005259FB"/>
    <w:rsid w:val="00525DA2"/>
    <w:rsid w:val="00525EB8"/>
    <w:rsid w:val="005261E1"/>
    <w:rsid w:val="005262BC"/>
    <w:rsid w:val="00526756"/>
    <w:rsid w:val="0052687F"/>
    <w:rsid w:val="00526DD0"/>
    <w:rsid w:val="00526FD3"/>
    <w:rsid w:val="0052752E"/>
    <w:rsid w:val="00527F0E"/>
    <w:rsid w:val="00527FFB"/>
    <w:rsid w:val="0053028E"/>
    <w:rsid w:val="00530312"/>
    <w:rsid w:val="00530343"/>
    <w:rsid w:val="00530416"/>
    <w:rsid w:val="00530427"/>
    <w:rsid w:val="005305FE"/>
    <w:rsid w:val="00530A13"/>
    <w:rsid w:val="00530BF9"/>
    <w:rsid w:val="00530F90"/>
    <w:rsid w:val="0053131B"/>
    <w:rsid w:val="005314CB"/>
    <w:rsid w:val="00531799"/>
    <w:rsid w:val="0053199C"/>
    <w:rsid w:val="005319D3"/>
    <w:rsid w:val="00531C45"/>
    <w:rsid w:val="00531E2A"/>
    <w:rsid w:val="00531E96"/>
    <w:rsid w:val="00531EBF"/>
    <w:rsid w:val="00531F16"/>
    <w:rsid w:val="00532139"/>
    <w:rsid w:val="005325B5"/>
    <w:rsid w:val="005326DD"/>
    <w:rsid w:val="00532923"/>
    <w:rsid w:val="00532AC3"/>
    <w:rsid w:val="005330F3"/>
    <w:rsid w:val="005338E9"/>
    <w:rsid w:val="00533A54"/>
    <w:rsid w:val="00533BF0"/>
    <w:rsid w:val="00533CE7"/>
    <w:rsid w:val="00533FF0"/>
    <w:rsid w:val="00534614"/>
    <w:rsid w:val="005348BF"/>
    <w:rsid w:val="00534B0A"/>
    <w:rsid w:val="00534CBA"/>
    <w:rsid w:val="00534E6D"/>
    <w:rsid w:val="00534E93"/>
    <w:rsid w:val="00535290"/>
    <w:rsid w:val="005353D5"/>
    <w:rsid w:val="00535618"/>
    <w:rsid w:val="005356EC"/>
    <w:rsid w:val="00535952"/>
    <w:rsid w:val="00535968"/>
    <w:rsid w:val="00535AF4"/>
    <w:rsid w:val="00535C0A"/>
    <w:rsid w:val="00535D2D"/>
    <w:rsid w:val="00535F64"/>
    <w:rsid w:val="00536626"/>
    <w:rsid w:val="005368B4"/>
    <w:rsid w:val="00536F01"/>
    <w:rsid w:val="00536F63"/>
    <w:rsid w:val="005374AF"/>
    <w:rsid w:val="005374EE"/>
    <w:rsid w:val="00537801"/>
    <w:rsid w:val="0053781A"/>
    <w:rsid w:val="0053790E"/>
    <w:rsid w:val="00537B81"/>
    <w:rsid w:val="00537C3B"/>
    <w:rsid w:val="00537F4F"/>
    <w:rsid w:val="005400C6"/>
    <w:rsid w:val="005400FA"/>
    <w:rsid w:val="0054036C"/>
    <w:rsid w:val="00540459"/>
    <w:rsid w:val="005406A4"/>
    <w:rsid w:val="00540728"/>
    <w:rsid w:val="00540AB1"/>
    <w:rsid w:val="00540B19"/>
    <w:rsid w:val="00540D77"/>
    <w:rsid w:val="00541341"/>
    <w:rsid w:val="00541727"/>
    <w:rsid w:val="00541741"/>
    <w:rsid w:val="00541CCB"/>
    <w:rsid w:val="0054265A"/>
    <w:rsid w:val="00542707"/>
    <w:rsid w:val="00542886"/>
    <w:rsid w:val="0054291F"/>
    <w:rsid w:val="00542A94"/>
    <w:rsid w:val="00542AA1"/>
    <w:rsid w:val="00543115"/>
    <w:rsid w:val="005433E3"/>
    <w:rsid w:val="0054343D"/>
    <w:rsid w:val="005438BB"/>
    <w:rsid w:val="005439F7"/>
    <w:rsid w:val="00543CA2"/>
    <w:rsid w:val="00543DE4"/>
    <w:rsid w:val="005440D5"/>
    <w:rsid w:val="005448F2"/>
    <w:rsid w:val="00544B57"/>
    <w:rsid w:val="00544CE9"/>
    <w:rsid w:val="0054501D"/>
    <w:rsid w:val="005451C5"/>
    <w:rsid w:val="005456E4"/>
    <w:rsid w:val="0054587B"/>
    <w:rsid w:val="00545BF0"/>
    <w:rsid w:val="00545D4B"/>
    <w:rsid w:val="00545F69"/>
    <w:rsid w:val="005461A5"/>
    <w:rsid w:val="00546C34"/>
    <w:rsid w:val="00546C58"/>
    <w:rsid w:val="00546DE2"/>
    <w:rsid w:val="00547032"/>
    <w:rsid w:val="00547367"/>
    <w:rsid w:val="0054746B"/>
    <w:rsid w:val="00547AB5"/>
    <w:rsid w:val="00547B7F"/>
    <w:rsid w:val="00547F6F"/>
    <w:rsid w:val="00550048"/>
    <w:rsid w:val="00550365"/>
    <w:rsid w:val="00550469"/>
    <w:rsid w:val="0055047C"/>
    <w:rsid w:val="0055054C"/>
    <w:rsid w:val="00550621"/>
    <w:rsid w:val="0055097F"/>
    <w:rsid w:val="00550DB4"/>
    <w:rsid w:val="00550E57"/>
    <w:rsid w:val="00551012"/>
    <w:rsid w:val="0055127B"/>
    <w:rsid w:val="00551333"/>
    <w:rsid w:val="0055157A"/>
    <w:rsid w:val="0055179C"/>
    <w:rsid w:val="00551BB4"/>
    <w:rsid w:val="00551DDB"/>
    <w:rsid w:val="00551F98"/>
    <w:rsid w:val="0055231D"/>
    <w:rsid w:val="00552463"/>
    <w:rsid w:val="005526ED"/>
    <w:rsid w:val="005528F7"/>
    <w:rsid w:val="00552F1B"/>
    <w:rsid w:val="0055300C"/>
    <w:rsid w:val="0055325A"/>
    <w:rsid w:val="00553338"/>
    <w:rsid w:val="00553523"/>
    <w:rsid w:val="00553660"/>
    <w:rsid w:val="0055368C"/>
    <w:rsid w:val="00553747"/>
    <w:rsid w:val="005537CB"/>
    <w:rsid w:val="0055398E"/>
    <w:rsid w:val="005539DE"/>
    <w:rsid w:val="00553A1D"/>
    <w:rsid w:val="00553DE8"/>
    <w:rsid w:val="0055414F"/>
    <w:rsid w:val="005541DF"/>
    <w:rsid w:val="005545DA"/>
    <w:rsid w:val="005546CB"/>
    <w:rsid w:val="00554751"/>
    <w:rsid w:val="0055481C"/>
    <w:rsid w:val="0055484B"/>
    <w:rsid w:val="0055486A"/>
    <w:rsid w:val="00554AAE"/>
    <w:rsid w:val="00554E9A"/>
    <w:rsid w:val="00555018"/>
    <w:rsid w:val="00555048"/>
    <w:rsid w:val="005550E2"/>
    <w:rsid w:val="0055518B"/>
    <w:rsid w:val="00555319"/>
    <w:rsid w:val="005553E8"/>
    <w:rsid w:val="00555873"/>
    <w:rsid w:val="005558C0"/>
    <w:rsid w:val="00555A73"/>
    <w:rsid w:val="00555B59"/>
    <w:rsid w:val="0055617E"/>
    <w:rsid w:val="005568AE"/>
    <w:rsid w:val="00556AD4"/>
    <w:rsid w:val="00556BBA"/>
    <w:rsid w:val="00556CF4"/>
    <w:rsid w:val="0055719A"/>
    <w:rsid w:val="00557626"/>
    <w:rsid w:val="00557628"/>
    <w:rsid w:val="005576CD"/>
    <w:rsid w:val="005579B9"/>
    <w:rsid w:val="005579F1"/>
    <w:rsid w:val="00557A29"/>
    <w:rsid w:val="00557CB7"/>
    <w:rsid w:val="00560042"/>
    <w:rsid w:val="00560573"/>
    <w:rsid w:val="005605C6"/>
    <w:rsid w:val="00560877"/>
    <w:rsid w:val="00560E30"/>
    <w:rsid w:val="00560EAD"/>
    <w:rsid w:val="005610D2"/>
    <w:rsid w:val="005618D2"/>
    <w:rsid w:val="00561A59"/>
    <w:rsid w:val="00561C28"/>
    <w:rsid w:val="00561C5F"/>
    <w:rsid w:val="00561D28"/>
    <w:rsid w:val="00561E93"/>
    <w:rsid w:val="00561EDB"/>
    <w:rsid w:val="00561F6C"/>
    <w:rsid w:val="00561F8D"/>
    <w:rsid w:val="00562048"/>
    <w:rsid w:val="005620BC"/>
    <w:rsid w:val="005625BB"/>
    <w:rsid w:val="00562634"/>
    <w:rsid w:val="00562DA3"/>
    <w:rsid w:val="00562DC9"/>
    <w:rsid w:val="00563160"/>
    <w:rsid w:val="005633DA"/>
    <w:rsid w:val="0056341A"/>
    <w:rsid w:val="00563897"/>
    <w:rsid w:val="005638A7"/>
    <w:rsid w:val="00563979"/>
    <w:rsid w:val="00563AE6"/>
    <w:rsid w:val="00563B9E"/>
    <w:rsid w:val="00563BAD"/>
    <w:rsid w:val="00563BD2"/>
    <w:rsid w:val="00563F1F"/>
    <w:rsid w:val="00563F78"/>
    <w:rsid w:val="005641EE"/>
    <w:rsid w:val="00564495"/>
    <w:rsid w:val="005644A9"/>
    <w:rsid w:val="0056452C"/>
    <w:rsid w:val="0056455E"/>
    <w:rsid w:val="005645A9"/>
    <w:rsid w:val="00564720"/>
    <w:rsid w:val="005648D2"/>
    <w:rsid w:val="00564FC8"/>
    <w:rsid w:val="005650F4"/>
    <w:rsid w:val="005653E5"/>
    <w:rsid w:val="005655A6"/>
    <w:rsid w:val="0056567D"/>
    <w:rsid w:val="0056586E"/>
    <w:rsid w:val="005659AC"/>
    <w:rsid w:val="005659EC"/>
    <w:rsid w:val="00565A14"/>
    <w:rsid w:val="00565B0F"/>
    <w:rsid w:val="00565EEB"/>
    <w:rsid w:val="005661AD"/>
    <w:rsid w:val="005668F9"/>
    <w:rsid w:val="00566BE1"/>
    <w:rsid w:val="00566C0F"/>
    <w:rsid w:val="00566E40"/>
    <w:rsid w:val="005671B1"/>
    <w:rsid w:val="00567299"/>
    <w:rsid w:val="00567415"/>
    <w:rsid w:val="005674C5"/>
    <w:rsid w:val="00567779"/>
    <w:rsid w:val="005679A2"/>
    <w:rsid w:val="00567CE8"/>
    <w:rsid w:val="00567F0C"/>
    <w:rsid w:val="005700D0"/>
    <w:rsid w:val="005709FA"/>
    <w:rsid w:val="00570A49"/>
    <w:rsid w:val="00570C99"/>
    <w:rsid w:val="00571143"/>
    <w:rsid w:val="0057118F"/>
    <w:rsid w:val="005711AD"/>
    <w:rsid w:val="005714A1"/>
    <w:rsid w:val="00571CDA"/>
    <w:rsid w:val="00571EDD"/>
    <w:rsid w:val="00571F02"/>
    <w:rsid w:val="005727F5"/>
    <w:rsid w:val="00572C68"/>
    <w:rsid w:val="00572DEA"/>
    <w:rsid w:val="00572EB2"/>
    <w:rsid w:val="005730B4"/>
    <w:rsid w:val="005734B7"/>
    <w:rsid w:val="005735E6"/>
    <w:rsid w:val="0057393B"/>
    <w:rsid w:val="005739D9"/>
    <w:rsid w:val="00573FA9"/>
    <w:rsid w:val="00574159"/>
    <w:rsid w:val="00574501"/>
    <w:rsid w:val="005745B6"/>
    <w:rsid w:val="00574B81"/>
    <w:rsid w:val="00574B91"/>
    <w:rsid w:val="00574C80"/>
    <w:rsid w:val="005750BE"/>
    <w:rsid w:val="005752BC"/>
    <w:rsid w:val="00575426"/>
    <w:rsid w:val="005754B8"/>
    <w:rsid w:val="00575500"/>
    <w:rsid w:val="00575564"/>
    <w:rsid w:val="0057560C"/>
    <w:rsid w:val="00575C15"/>
    <w:rsid w:val="00575C1A"/>
    <w:rsid w:val="00575FD4"/>
    <w:rsid w:val="00576093"/>
    <w:rsid w:val="0057623C"/>
    <w:rsid w:val="0057631D"/>
    <w:rsid w:val="0057679C"/>
    <w:rsid w:val="005769B5"/>
    <w:rsid w:val="00576A98"/>
    <w:rsid w:val="00576B8F"/>
    <w:rsid w:val="00576BC7"/>
    <w:rsid w:val="00576C4C"/>
    <w:rsid w:val="00576D1E"/>
    <w:rsid w:val="00576E3B"/>
    <w:rsid w:val="00576EFF"/>
    <w:rsid w:val="00577065"/>
    <w:rsid w:val="005777D1"/>
    <w:rsid w:val="00577D57"/>
    <w:rsid w:val="00577F96"/>
    <w:rsid w:val="00577F9D"/>
    <w:rsid w:val="00580067"/>
    <w:rsid w:val="005801A3"/>
    <w:rsid w:val="005804C2"/>
    <w:rsid w:val="005804EF"/>
    <w:rsid w:val="005806F3"/>
    <w:rsid w:val="0058114D"/>
    <w:rsid w:val="005812F1"/>
    <w:rsid w:val="00581436"/>
    <w:rsid w:val="00581526"/>
    <w:rsid w:val="005815CD"/>
    <w:rsid w:val="00581988"/>
    <w:rsid w:val="005819AE"/>
    <w:rsid w:val="005820E8"/>
    <w:rsid w:val="005822BF"/>
    <w:rsid w:val="005823F0"/>
    <w:rsid w:val="00582555"/>
    <w:rsid w:val="00582602"/>
    <w:rsid w:val="00582990"/>
    <w:rsid w:val="00582A64"/>
    <w:rsid w:val="00582A7A"/>
    <w:rsid w:val="00582B2B"/>
    <w:rsid w:val="00582B76"/>
    <w:rsid w:val="00582F40"/>
    <w:rsid w:val="0058373F"/>
    <w:rsid w:val="00583964"/>
    <w:rsid w:val="00583D92"/>
    <w:rsid w:val="00583E94"/>
    <w:rsid w:val="00583EC8"/>
    <w:rsid w:val="00583F9C"/>
    <w:rsid w:val="0058408B"/>
    <w:rsid w:val="00584405"/>
    <w:rsid w:val="0058461B"/>
    <w:rsid w:val="005846CD"/>
    <w:rsid w:val="00584D40"/>
    <w:rsid w:val="00584F16"/>
    <w:rsid w:val="0058500D"/>
    <w:rsid w:val="00585058"/>
    <w:rsid w:val="005851CB"/>
    <w:rsid w:val="00585232"/>
    <w:rsid w:val="00585378"/>
    <w:rsid w:val="005857B3"/>
    <w:rsid w:val="00585847"/>
    <w:rsid w:val="00585856"/>
    <w:rsid w:val="00585AD0"/>
    <w:rsid w:val="00586B46"/>
    <w:rsid w:val="00586D63"/>
    <w:rsid w:val="00586E0A"/>
    <w:rsid w:val="005870DF"/>
    <w:rsid w:val="005873F9"/>
    <w:rsid w:val="00587A39"/>
    <w:rsid w:val="00587BE3"/>
    <w:rsid w:val="00587C97"/>
    <w:rsid w:val="00587D54"/>
    <w:rsid w:val="0059024A"/>
    <w:rsid w:val="005909F2"/>
    <w:rsid w:val="00590AE7"/>
    <w:rsid w:val="00590E5F"/>
    <w:rsid w:val="00590FDE"/>
    <w:rsid w:val="00591192"/>
    <w:rsid w:val="005911C2"/>
    <w:rsid w:val="00591A76"/>
    <w:rsid w:val="00591DB5"/>
    <w:rsid w:val="005920C9"/>
    <w:rsid w:val="00592491"/>
    <w:rsid w:val="00592EAF"/>
    <w:rsid w:val="00592EDB"/>
    <w:rsid w:val="00593163"/>
    <w:rsid w:val="0059350E"/>
    <w:rsid w:val="005938E6"/>
    <w:rsid w:val="00593983"/>
    <w:rsid w:val="00593A61"/>
    <w:rsid w:val="00593ACC"/>
    <w:rsid w:val="00593B0A"/>
    <w:rsid w:val="00593C74"/>
    <w:rsid w:val="00593D95"/>
    <w:rsid w:val="00593DFC"/>
    <w:rsid w:val="00593E07"/>
    <w:rsid w:val="005945C4"/>
    <w:rsid w:val="005948BA"/>
    <w:rsid w:val="00594B89"/>
    <w:rsid w:val="00594BEE"/>
    <w:rsid w:val="00594CBF"/>
    <w:rsid w:val="00594DE0"/>
    <w:rsid w:val="00594EC6"/>
    <w:rsid w:val="005952A6"/>
    <w:rsid w:val="00595340"/>
    <w:rsid w:val="005953F1"/>
    <w:rsid w:val="00595418"/>
    <w:rsid w:val="00595612"/>
    <w:rsid w:val="00595872"/>
    <w:rsid w:val="005958E6"/>
    <w:rsid w:val="005958F2"/>
    <w:rsid w:val="00595ACC"/>
    <w:rsid w:val="00595E11"/>
    <w:rsid w:val="00595EA3"/>
    <w:rsid w:val="0059627A"/>
    <w:rsid w:val="00596436"/>
    <w:rsid w:val="00596CD2"/>
    <w:rsid w:val="005971A1"/>
    <w:rsid w:val="00597339"/>
    <w:rsid w:val="00597416"/>
    <w:rsid w:val="0059787D"/>
    <w:rsid w:val="005A0432"/>
    <w:rsid w:val="005A075C"/>
    <w:rsid w:val="005A0914"/>
    <w:rsid w:val="005A097A"/>
    <w:rsid w:val="005A0A2F"/>
    <w:rsid w:val="005A0CBD"/>
    <w:rsid w:val="005A108E"/>
    <w:rsid w:val="005A119A"/>
    <w:rsid w:val="005A14E2"/>
    <w:rsid w:val="005A1D54"/>
    <w:rsid w:val="005A1D68"/>
    <w:rsid w:val="005A2651"/>
    <w:rsid w:val="005A2B98"/>
    <w:rsid w:val="005A2CDD"/>
    <w:rsid w:val="005A3194"/>
    <w:rsid w:val="005A33BB"/>
    <w:rsid w:val="005A34EC"/>
    <w:rsid w:val="005A351E"/>
    <w:rsid w:val="005A3680"/>
    <w:rsid w:val="005A387C"/>
    <w:rsid w:val="005A3986"/>
    <w:rsid w:val="005A3A80"/>
    <w:rsid w:val="005A3B02"/>
    <w:rsid w:val="005A3BA2"/>
    <w:rsid w:val="005A44D5"/>
    <w:rsid w:val="005A489D"/>
    <w:rsid w:val="005A4959"/>
    <w:rsid w:val="005A49DF"/>
    <w:rsid w:val="005A4AAA"/>
    <w:rsid w:val="005A4FE0"/>
    <w:rsid w:val="005A546B"/>
    <w:rsid w:val="005A575C"/>
    <w:rsid w:val="005A57A6"/>
    <w:rsid w:val="005A601F"/>
    <w:rsid w:val="005A6122"/>
    <w:rsid w:val="005A6C2C"/>
    <w:rsid w:val="005A6CCD"/>
    <w:rsid w:val="005A73BD"/>
    <w:rsid w:val="005A7532"/>
    <w:rsid w:val="005A75FA"/>
    <w:rsid w:val="005A77E2"/>
    <w:rsid w:val="005A7991"/>
    <w:rsid w:val="005A7B12"/>
    <w:rsid w:val="005B0017"/>
    <w:rsid w:val="005B0187"/>
    <w:rsid w:val="005B07B4"/>
    <w:rsid w:val="005B090C"/>
    <w:rsid w:val="005B0CEF"/>
    <w:rsid w:val="005B0DB6"/>
    <w:rsid w:val="005B1147"/>
    <w:rsid w:val="005B123A"/>
    <w:rsid w:val="005B13AA"/>
    <w:rsid w:val="005B152B"/>
    <w:rsid w:val="005B1B0B"/>
    <w:rsid w:val="005B1BFF"/>
    <w:rsid w:val="005B1C21"/>
    <w:rsid w:val="005B20F6"/>
    <w:rsid w:val="005B28EB"/>
    <w:rsid w:val="005B298E"/>
    <w:rsid w:val="005B2AF0"/>
    <w:rsid w:val="005B2B86"/>
    <w:rsid w:val="005B2DE4"/>
    <w:rsid w:val="005B3069"/>
    <w:rsid w:val="005B3608"/>
    <w:rsid w:val="005B3A1A"/>
    <w:rsid w:val="005B3F57"/>
    <w:rsid w:val="005B4250"/>
    <w:rsid w:val="005B44B2"/>
    <w:rsid w:val="005B46EA"/>
    <w:rsid w:val="005B4761"/>
    <w:rsid w:val="005B47DB"/>
    <w:rsid w:val="005B4A23"/>
    <w:rsid w:val="005B4BAE"/>
    <w:rsid w:val="005B4CEE"/>
    <w:rsid w:val="005B4CF4"/>
    <w:rsid w:val="005B4DA7"/>
    <w:rsid w:val="005B4DB3"/>
    <w:rsid w:val="005B4F3A"/>
    <w:rsid w:val="005B50C4"/>
    <w:rsid w:val="005B57C5"/>
    <w:rsid w:val="005B587F"/>
    <w:rsid w:val="005B59D1"/>
    <w:rsid w:val="005B5C9B"/>
    <w:rsid w:val="005B5D9C"/>
    <w:rsid w:val="005B5E02"/>
    <w:rsid w:val="005B5EF3"/>
    <w:rsid w:val="005B628E"/>
    <w:rsid w:val="005B647F"/>
    <w:rsid w:val="005B65BF"/>
    <w:rsid w:val="005B66CE"/>
    <w:rsid w:val="005B69A2"/>
    <w:rsid w:val="005B69BD"/>
    <w:rsid w:val="005B6DF5"/>
    <w:rsid w:val="005B7177"/>
    <w:rsid w:val="005B76BC"/>
    <w:rsid w:val="005B7954"/>
    <w:rsid w:val="005B7B34"/>
    <w:rsid w:val="005B7EA1"/>
    <w:rsid w:val="005B7EA7"/>
    <w:rsid w:val="005C00CD"/>
    <w:rsid w:val="005C0508"/>
    <w:rsid w:val="005C077D"/>
    <w:rsid w:val="005C085C"/>
    <w:rsid w:val="005C0BAE"/>
    <w:rsid w:val="005C0FBC"/>
    <w:rsid w:val="005C13E0"/>
    <w:rsid w:val="005C15C6"/>
    <w:rsid w:val="005C17E9"/>
    <w:rsid w:val="005C18A9"/>
    <w:rsid w:val="005C18C0"/>
    <w:rsid w:val="005C193F"/>
    <w:rsid w:val="005C1C09"/>
    <w:rsid w:val="005C2186"/>
    <w:rsid w:val="005C21A0"/>
    <w:rsid w:val="005C226F"/>
    <w:rsid w:val="005C2765"/>
    <w:rsid w:val="005C27E0"/>
    <w:rsid w:val="005C2881"/>
    <w:rsid w:val="005C2BC3"/>
    <w:rsid w:val="005C2D35"/>
    <w:rsid w:val="005C2FFA"/>
    <w:rsid w:val="005C31E0"/>
    <w:rsid w:val="005C340D"/>
    <w:rsid w:val="005C3BA4"/>
    <w:rsid w:val="005C3FBC"/>
    <w:rsid w:val="005C45E3"/>
    <w:rsid w:val="005C4663"/>
    <w:rsid w:val="005C4734"/>
    <w:rsid w:val="005C4C31"/>
    <w:rsid w:val="005C4CAE"/>
    <w:rsid w:val="005C500F"/>
    <w:rsid w:val="005C549B"/>
    <w:rsid w:val="005C5A64"/>
    <w:rsid w:val="005C5D31"/>
    <w:rsid w:val="005C60BC"/>
    <w:rsid w:val="005C62D2"/>
    <w:rsid w:val="005C69FA"/>
    <w:rsid w:val="005C6AF9"/>
    <w:rsid w:val="005C6B17"/>
    <w:rsid w:val="005C6C18"/>
    <w:rsid w:val="005C6EB6"/>
    <w:rsid w:val="005C73ED"/>
    <w:rsid w:val="005C7757"/>
    <w:rsid w:val="005C7A4F"/>
    <w:rsid w:val="005D0FFC"/>
    <w:rsid w:val="005D1034"/>
    <w:rsid w:val="005D1359"/>
    <w:rsid w:val="005D153E"/>
    <w:rsid w:val="005D18FD"/>
    <w:rsid w:val="005D1BC9"/>
    <w:rsid w:val="005D2020"/>
    <w:rsid w:val="005D204A"/>
    <w:rsid w:val="005D21BB"/>
    <w:rsid w:val="005D2532"/>
    <w:rsid w:val="005D29B9"/>
    <w:rsid w:val="005D2B92"/>
    <w:rsid w:val="005D2BBA"/>
    <w:rsid w:val="005D2C4C"/>
    <w:rsid w:val="005D3087"/>
    <w:rsid w:val="005D3095"/>
    <w:rsid w:val="005D31C1"/>
    <w:rsid w:val="005D3219"/>
    <w:rsid w:val="005D33D4"/>
    <w:rsid w:val="005D392F"/>
    <w:rsid w:val="005D3A76"/>
    <w:rsid w:val="005D3BC9"/>
    <w:rsid w:val="005D433D"/>
    <w:rsid w:val="005D4642"/>
    <w:rsid w:val="005D46C3"/>
    <w:rsid w:val="005D4967"/>
    <w:rsid w:val="005D4AA1"/>
    <w:rsid w:val="005D4DA5"/>
    <w:rsid w:val="005D4E04"/>
    <w:rsid w:val="005D508A"/>
    <w:rsid w:val="005D561A"/>
    <w:rsid w:val="005D56AD"/>
    <w:rsid w:val="005D576E"/>
    <w:rsid w:val="005D57B9"/>
    <w:rsid w:val="005D5803"/>
    <w:rsid w:val="005D5AA6"/>
    <w:rsid w:val="005D5D28"/>
    <w:rsid w:val="005D5FEC"/>
    <w:rsid w:val="005D6182"/>
    <w:rsid w:val="005D65B6"/>
    <w:rsid w:val="005D67BB"/>
    <w:rsid w:val="005D681B"/>
    <w:rsid w:val="005D6828"/>
    <w:rsid w:val="005D6857"/>
    <w:rsid w:val="005D6A1E"/>
    <w:rsid w:val="005D6B27"/>
    <w:rsid w:val="005D6C19"/>
    <w:rsid w:val="005D7050"/>
    <w:rsid w:val="005D7318"/>
    <w:rsid w:val="005D7747"/>
    <w:rsid w:val="005D7AB6"/>
    <w:rsid w:val="005D7C57"/>
    <w:rsid w:val="005D7E3B"/>
    <w:rsid w:val="005E0337"/>
    <w:rsid w:val="005E0AEE"/>
    <w:rsid w:val="005E0C0E"/>
    <w:rsid w:val="005E0C21"/>
    <w:rsid w:val="005E0C4E"/>
    <w:rsid w:val="005E0CCB"/>
    <w:rsid w:val="005E0E07"/>
    <w:rsid w:val="005E12AE"/>
    <w:rsid w:val="005E1305"/>
    <w:rsid w:val="005E13F5"/>
    <w:rsid w:val="005E1614"/>
    <w:rsid w:val="005E1876"/>
    <w:rsid w:val="005E1E60"/>
    <w:rsid w:val="005E20D9"/>
    <w:rsid w:val="005E215E"/>
    <w:rsid w:val="005E258B"/>
    <w:rsid w:val="005E272A"/>
    <w:rsid w:val="005E27A5"/>
    <w:rsid w:val="005E29CA"/>
    <w:rsid w:val="005E2A00"/>
    <w:rsid w:val="005E2B47"/>
    <w:rsid w:val="005E2E82"/>
    <w:rsid w:val="005E2EEA"/>
    <w:rsid w:val="005E2FBB"/>
    <w:rsid w:val="005E3079"/>
    <w:rsid w:val="005E33FD"/>
    <w:rsid w:val="005E3685"/>
    <w:rsid w:val="005E36B3"/>
    <w:rsid w:val="005E3725"/>
    <w:rsid w:val="005E3858"/>
    <w:rsid w:val="005E3AE2"/>
    <w:rsid w:val="005E3B7F"/>
    <w:rsid w:val="005E3CD6"/>
    <w:rsid w:val="005E3DEA"/>
    <w:rsid w:val="005E3EAB"/>
    <w:rsid w:val="005E405B"/>
    <w:rsid w:val="005E4627"/>
    <w:rsid w:val="005E462B"/>
    <w:rsid w:val="005E485D"/>
    <w:rsid w:val="005E49B9"/>
    <w:rsid w:val="005E4E35"/>
    <w:rsid w:val="005E5073"/>
    <w:rsid w:val="005E51BB"/>
    <w:rsid w:val="005E51F2"/>
    <w:rsid w:val="005E51F5"/>
    <w:rsid w:val="005E521D"/>
    <w:rsid w:val="005E5234"/>
    <w:rsid w:val="005E5256"/>
    <w:rsid w:val="005E53BA"/>
    <w:rsid w:val="005E5442"/>
    <w:rsid w:val="005E56E4"/>
    <w:rsid w:val="005E5936"/>
    <w:rsid w:val="005E6208"/>
    <w:rsid w:val="005E6607"/>
    <w:rsid w:val="005E6E46"/>
    <w:rsid w:val="005E6F4A"/>
    <w:rsid w:val="005E6F5E"/>
    <w:rsid w:val="005E72EA"/>
    <w:rsid w:val="005E7606"/>
    <w:rsid w:val="005E766F"/>
    <w:rsid w:val="005E7836"/>
    <w:rsid w:val="005E7987"/>
    <w:rsid w:val="005E7BB3"/>
    <w:rsid w:val="005E7CBA"/>
    <w:rsid w:val="005E7CD4"/>
    <w:rsid w:val="005E7E84"/>
    <w:rsid w:val="005E7FB8"/>
    <w:rsid w:val="005F0BF2"/>
    <w:rsid w:val="005F0D14"/>
    <w:rsid w:val="005F0D21"/>
    <w:rsid w:val="005F0E8D"/>
    <w:rsid w:val="005F1006"/>
    <w:rsid w:val="005F1013"/>
    <w:rsid w:val="005F123E"/>
    <w:rsid w:val="005F1266"/>
    <w:rsid w:val="005F13B2"/>
    <w:rsid w:val="005F157C"/>
    <w:rsid w:val="005F1714"/>
    <w:rsid w:val="005F19BC"/>
    <w:rsid w:val="005F1A87"/>
    <w:rsid w:val="005F1AD1"/>
    <w:rsid w:val="005F22C5"/>
    <w:rsid w:val="005F22D9"/>
    <w:rsid w:val="005F2323"/>
    <w:rsid w:val="005F24BC"/>
    <w:rsid w:val="005F24C5"/>
    <w:rsid w:val="005F27EC"/>
    <w:rsid w:val="005F2E60"/>
    <w:rsid w:val="005F3069"/>
    <w:rsid w:val="005F3286"/>
    <w:rsid w:val="005F3533"/>
    <w:rsid w:val="005F3561"/>
    <w:rsid w:val="005F3702"/>
    <w:rsid w:val="005F3A6E"/>
    <w:rsid w:val="005F3D4B"/>
    <w:rsid w:val="005F4448"/>
    <w:rsid w:val="005F4574"/>
    <w:rsid w:val="005F49C4"/>
    <w:rsid w:val="005F4B09"/>
    <w:rsid w:val="005F4C5E"/>
    <w:rsid w:val="005F4DB7"/>
    <w:rsid w:val="005F4ED3"/>
    <w:rsid w:val="005F4EF9"/>
    <w:rsid w:val="005F5411"/>
    <w:rsid w:val="005F56A1"/>
    <w:rsid w:val="005F5A76"/>
    <w:rsid w:val="005F5B72"/>
    <w:rsid w:val="005F5C33"/>
    <w:rsid w:val="005F6249"/>
    <w:rsid w:val="005F6451"/>
    <w:rsid w:val="005F6768"/>
    <w:rsid w:val="005F683E"/>
    <w:rsid w:val="005F6B8C"/>
    <w:rsid w:val="005F6D47"/>
    <w:rsid w:val="005F6D94"/>
    <w:rsid w:val="005F6E78"/>
    <w:rsid w:val="005F7124"/>
    <w:rsid w:val="005F738F"/>
    <w:rsid w:val="005F756C"/>
    <w:rsid w:val="005F7748"/>
    <w:rsid w:val="005F7831"/>
    <w:rsid w:val="005F7A06"/>
    <w:rsid w:val="005F7CF9"/>
    <w:rsid w:val="005F7EB9"/>
    <w:rsid w:val="005F7FC6"/>
    <w:rsid w:val="006000F8"/>
    <w:rsid w:val="0060014B"/>
    <w:rsid w:val="006004E4"/>
    <w:rsid w:val="0060060F"/>
    <w:rsid w:val="006007C1"/>
    <w:rsid w:val="00600960"/>
    <w:rsid w:val="00600962"/>
    <w:rsid w:val="00600B38"/>
    <w:rsid w:val="00600BCD"/>
    <w:rsid w:val="00600C81"/>
    <w:rsid w:val="00600ECE"/>
    <w:rsid w:val="0060112B"/>
    <w:rsid w:val="00601377"/>
    <w:rsid w:val="00601783"/>
    <w:rsid w:val="00601A9C"/>
    <w:rsid w:val="00601AC4"/>
    <w:rsid w:val="00601B74"/>
    <w:rsid w:val="00601BD0"/>
    <w:rsid w:val="00601DEA"/>
    <w:rsid w:val="00601F0E"/>
    <w:rsid w:val="006020E9"/>
    <w:rsid w:val="00602C8A"/>
    <w:rsid w:val="00602DAC"/>
    <w:rsid w:val="00602EF8"/>
    <w:rsid w:val="00602F72"/>
    <w:rsid w:val="006030B9"/>
    <w:rsid w:val="006031C6"/>
    <w:rsid w:val="006035C3"/>
    <w:rsid w:val="006036A3"/>
    <w:rsid w:val="00603C16"/>
    <w:rsid w:val="00603E7F"/>
    <w:rsid w:val="00603FA9"/>
    <w:rsid w:val="00604158"/>
    <w:rsid w:val="0060418F"/>
    <w:rsid w:val="00604581"/>
    <w:rsid w:val="0060459F"/>
    <w:rsid w:val="00604640"/>
    <w:rsid w:val="00604B15"/>
    <w:rsid w:val="00604B1D"/>
    <w:rsid w:val="00604D2F"/>
    <w:rsid w:val="00604E31"/>
    <w:rsid w:val="0060570A"/>
    <w:rsid w:val="00605717"/>
    <w:rsid w:val="00605738"/>
    <w:rsid w:val="00605E22"/>
    <w:rsid w:val="00605FF8"/>
    <w:rsid w:val="006061E0"/>
    <w:rsid w:val="006066AA"/>
    <w:rsid w:val="00606ADA"/>
    <w:rsid w:val="00606B98"/>
    <w:rsid w:val="00606BF6"/>
    <w:rsid w:val="00606D71"/>
    <w:rsid w:val="00606F96"/>
    <w:rsid w:val="0060721E"/>
    <w:rsid w:val="0060750A"/>
    <w:rsid w:val="00607983"/>
    <w:rsid w:val="00607B1E"/>
    <w:rsid w:val="00607D36"/>
    <w:rsid w:val="00607DD1"/>
    <w:rsid w:val="00607E5B"/>
    <w:rsid w:val="00610019"/>
    <w:rsid w:val="0061049D"/>
    <w:rsid w:val="006104C1"/>
    <w:rsid w:val="00610536"/>
    <w:rsid w:val="00610730"/>
    <w:rsid w:val="00610879"/>
    <w:rsid w:val="006108CB"/>
    <w:rsid w:val="0061098D"/>
    <w:rsid w:val="00610999"/>
    <w:rsid w:val="00610CA2"/>
    <w:rsid w:val="00610F64"/>
    <w:rsid w:val="006112CE"/>
    <w:rsid w:val="00611391"/>
    <w:rsid w:val="006114AD"/>
    <w:rsid w:val="006114BC"/>
    <w:rsid w:val="00611709"/>
    <w:rsid w:val="00611BFE"/>
    <w:rsid w:val="00611DC0"/>
    <w:rsid w:val="00612604"/>
    <w:rsid w:val="00612896"/>
    <w:rsid w:val="006128D2"/>
    <w:rsid w:val="006129BA"/>
    <w:rsid w:val="00612F30"/>
    <w:rsid w:val="00612F31"/>
    <w:rsid w:val="006138ED"/>
    <w:rsid w:val="00613919"/>
    <w:rsid w:val="00613C41"/>
    <w:rsid w:val="00613D01"/>
    <w:rsid w:val="00613D11"/>
    <w:rsid w:val="00614459"/>
    <w:rsid w:val="0061446F"/>
    <w:rsid w:val="00614794"/>
    <w:rsid w:val="00614941"/>
    <w:rsid w:val="00614B7F"/>
    <w:rsid w:val="00615332"/>
    <w:rsid w:val="00615397"/>
    <w:rsid w:val="0061562D"/>
    <w:rsid w:val="00615666"/>
    <w:rsid w:val="006156F9"/>
    <w:rsid w:val="006157D7"/>
    <w:rsid w:val="006158A2"/>
    <w:rsid w:val="006158A3"/>
    <w:rsid w:val="00615921"/>
    <w:rsid w:val="00615CC1"/>
    <w:rsid w:val="00615D05"/>
    <w:rsid w:val="00615DE4"/>
    <w:rsid w:val="00615F69"/>
    <w:rsid w:val="00615F98"/>
    <w:rsid w:val="00616192"/>
    <w:rsid w:val="0061648C"/>
    <w:rsid w:val="00616805"/>
    <w:rsid w:val="0061691B"/>
    <w:rsid w:val="00616992"/>
    <w:rsid w:val="006169B7"/>
    <w:rsid w:val="00616A77"/>
    <w:rsid w:val="00616AF6"/>
    <w:rsid w:val="00616BC8"/>
    <w:rsid w:val="006170CC"/>
    <w:rsid w:val="0061725A"/>
    <w:rsid w:val="00617376"/>
    <w:rsid w:val="006173D1"/>
    <w:rsid w:val="006175DB"/>
    <w:rsid w:val="00617AE5"/>
    <w:rsid w:val="00617B3A"/>
    <w:rsid w:val="00617B6C"/>
    <w:rsid w:val="00617B89"/>
    <w:rsid w:val="00617D23"/>
    <w:rsid w:val="00620168"/>
    <w:rsid w:val="00620364"/>
    <w:rsid w:val="006203DA"/>
    <w:rsid w:val="00620445"/>
    <w:rsid w:val="006204D6"/>
    <w:rsid w:val="00620559"/>
    <w:rsid w:val="006206EA"/>
    <w:rsid w:val="00620BFB"/>
    <w:rsid w:val="00620C08"/>
    <w:rsid w:val="00620EED"/>
    <w:rsid w:val="00620FD8"/>
    <w:rsid w:val="0062149D"/>
    <w:rsid w:val="00621981"/>
    <w:rsid w:val="00621B23"/>
    <w:rsid w:val="00621C7B"/>
    <w:rsid w:val="006222C5"/>
    <w:rsid w:val="00622599"/>
    <w:rsid w:val="00622B84"/>
    <w:rsid w:val="00622C73"/>
    <w:rsid w:val="00623149"/>
    <w:rsid w:val="00623205"/>
    <w:rsid w:val="00623303"/>
    <w:rsid w:val="0062351E"/>
    <w:rsid w:val="006236E3"/>
    <w:rsid w:val="0062386E"/>
    <w:rsid w:val="00623A15"/>
    <w:rsid w:val="00623A5D"/>
    <w:rsid w:val="00623DF9"/>
    <w:rsid w:val="00624181"/>
    <w:rsid w:val="006241B9"/>
    <w:rsid w:val="00624642"/>
    <w:rsid w:val="0062467F"/>
    <w:rsid w:val="00624881"/>
    <w:rsid w:val="00624BCC"/>
    <w:rsid w:val="00624DB7"/>
    <w:rsid w:val="00624E0A"/>
    <w:rsid w:val="0062530D"/>
    <w:rsid w:val="00625345"/>
    <w:rsid w:val="00625517"/>
    <w:rsid w:val="00625804"/>
    <w:rsid w:val="0062583E"/>
    <w:rsid w:val="00625A0F"/>
    <w:rsid w:val="00625A84"/>
    <w:rsid w:val="00625B22"/>
    <w:rsid w:val="00625E2E"/>
    <w:rsid w:val="006268B4"/>
    <w:rsid w:val="006269DF"/>
    <w:rsid w:val="006269EA"/>
    <w:rsid w:val="00626A2D"/>
    <w:rsid w:val="00626CA1"/>
    <w:rsid w:val="00626D3D"/>
    <w:rsid w:val="006272A9"/>
    <w:rsid w:val="006275F5"/>
    <w:rsid w:val="006301DF"/>
    <w:rsid w:val="00630211"/>
    <w:rsid w:val="006304B8"/>
    <w:rsid w:val="00630646"/>
    <w:rsid w:val="0063085F"/>
    <w:rsid w:val="0063090E"/>
    <w:rsid w:val="00630FE7"/>
    <w:rsid w:val="006310AA"/>
    <w:rsid w:val="00631630"/>
    <w:rsid w:val="0063191F"/>
    <w:rsid w:val="0063198C"/>
    <w:rsid w:val="00631BD7"/>
    <w:rsid w:val="00631C34"/>
    <w:rsid w:val="00631EC8"/>
    <w:rsid w:val="00631FA2"/>
    <w:rsid w:val="006322CE"/>
    <w:rsid w:val="00632308"/>
    <w:rsid w:val="0063241F"/>
    <w:rsid w:val="00632706"/>
    <w:rsid w:val="00632AF1"/>
    <w:rsid w:val="00632CF2"/>
    <w:rsid w:val="00632E29"/>
    <w:rsid w:val="00632F69"/>
    <w:rsid w:val="006330AF"/>
    <w:rsid w:val="006332CE"/>
    <w:rsid w:val="006335DF"/>
    <w:rsid w:val="006336AD"/>
    <w:rsid w:val="006336EF"/>
    <w:rsid w:val="006337AA"/>
    <w:rsid w:val="00633EC5"/>
    <w:rsid w:val="00634551"/>
    <w:rsid w:val="00634750"/>
    <w:rsid w:val="006349F3"/>
    <w:rsid w:val="00634CB2"/>
    <w:rsid w:val="00634D42"/>
    <w:rsid w:val="00634E53"/>
    <w:rsid w:val="00634F72"/>
    <w:rsid w:val="0063503E"/>
    <w:rsid w:val="00635077"/>
    <w:rsid w:val="0063510B"/>
    <w:rsid w:val="00635194"/>
    <w:rsid w:val="006358CD"/>
    <w:rsid w:val="00635D98"/>
    <w:rsid w:val="00635DF5"/>
    <w:rsid w:val="00635E2B"/>
    <w:rsid w:val="00635E46"/>
    <w:rsid w:val="00635EE5"/>
    <w:rsid w:val="006360CD"/>
    <w:rsid w:val="00636113"/>
    <w:rsid w:val="00636278"/>
    <w:rsid w:val="006367F2"/>
    <w:rsid w:val="00636847"/>
    <w:rsid w:val="006368BB"/>
    <w:rsid w:val="00636D6B"/>
    <w:rsid w:val="00636EA6"/>
    <w:rsid w:val="0063720F"/>
    <w:rsid w:val="00637220"/>
    <w:rsid w:val="0063785E"/>
    <w:rsid w:val="00637D42"/>
    <w:rsid w:val="00637DCF"/>
    <w:rsid w:val="00637E72"/>
    <w:rsid w:val="00637FF0"/>
    <w:rsid w:val="0064002F"/>
    <w:rsid w:val="006400DB"/>
    <w:rsid w:val="00640166"/>
    <w:rsid w:val="00640658"/>
    <w:rsid w:val="0064081F"/>
    <w:rsid w:val="00640B43"/>
    <w:rsid w:val="00640B50"/>
    <w:rsid w:val="00640DEA"/>
    <w:rsid w:val="00640E3C"/>
    <w:rsid w:val="00640E77"/>
    <w:rsid w:val="0064141C"/>
    <w:rsid w:val="0064150C"/>
    <w:rsid w:val="00641789"/>
    <w:rsid w:val="0064198B"/>
    <w:rsid w:val="00641D2E"/>
    <w:rsid w:val="00641D34"/>
    <w:rsid w:val="00641F94"/>
    <w:rsid w:val="00642644"/>
    <w:rsid w:val="00642921"/>
    <w:rsid w:val="00642E2B"/>
    <w:rsid w:val="006432B0"/>
    <w:rsid w:val="0064337D"/>
    <w:rsid w:val="0064339C"/>
    <w:rsid w:val="006433B3"/>
    <w:rsid w:val="006433D7"/>
    <w:rsid w:val="006434E7"/>
    <w:rsid w:val="00643514"/>
    <w:rsid w:val="006437B6"/>
    <w:rsid w:val="006438C7"/>
    <w:rsid w:val="00644074"/>
    <w:rsid w:val="0064447C"/>
    <w:rsid w:val="006444A4"/>
    <w:rsid w:val="00644935"/>
    <w:rsid w:val="00644C2C"/>
    <w:rsid w:val="00644C56"/>
    <w:rsid w:val="00644D14"/>
    <w:rsid w:val="00644FA2"/>
    <w:rsid w:val="0064504F"/>
    <w:rsid w:val="00645118"/>
    <w:rsid w:val="0064524D"/>
    <w:rsid w:val="0064548C"/>
    <w:rsid w:val="00645912"/>
    <w:rsid w:val="006459E5"/>
    <w:rsid w:val="00645E19"/>
    <w:rsid w:val="00645F3B"/>
    <w:rsid w:val="00645F5E"/>
    <w:rsid w:val="00645FE6"/>
    <w:rsid w:val="00645FF1"/>
    <w:rsid w:val="00646215"/>
    <w:rsid w:val="006467DD"/>
    <w:rsid w:val="00646805"/>
    <w:rsid w:val="00646820"/>
    <w:rsid w:val="0064691F"/>
    <w:rsid w:val="00646948"/>
    <w:rsid w:val="00646AA2"/>
    <w:rsid w:val="00646CD4"/>
    <w:rsid w:val="00646DB8"/>
    <w:rsid w:val="00646F9B"/>
    <w:rsid w:val="00647127"/>
    <w:rsid w:val="006471D3"/>
    <w:rsid w:val="0064735D"/>
    <w:rsid w:val="00647523"/>
    <w:rsid w:val="00647951"/>
    <w:rsid w:val="00647A3E"/>
    <w:rsid w:val="00647AA4"/>
    <w:rsid w:val="00647B7D"/>
    <w:rsid w:val="00647C6D"/>
    <w:rsid w:val="00647EB3"/>
    <w:rsid w:val="00647FFB"/>
    <w:rsid w:val="0065018A"/>
    <w:rsid w:val="00650244"/>
    <w:rsid w:val="006504FE"/>
    <w:rsid w:val="00650639"/>
    <w:rsid w:val="00650762"/>
    <w:rsid w:val="006507AD"/>
    <w:rsid w:val="0065094A"/>
    <w:rsid w:val="00650BAD"/>
    <w:rsid w:val="00650F8C"/>
    <w:rsid w:val="00651314"/>
    <w:rsid w:val="00651480"/>
    <w:rsid w:val="0065155A"/>
    <w:rsid w:val="006515DC"/>
    <w:rsid w:val="006519A6"/>
    <w:rsid w:val="00651E03"/>
    <w:rsid w:val="00651E3C"/>
    <w:rsid w:val="00651E98"/>
    <w:rsid w:val="00651ECC"/>
    <w:rsid w:val="006523DA"/>
    <w:rsid w:val="006526EB"/>
    <w:rsid w:val="0065276A"/>
    <w:rsid w:val="0065280C"/>
    <w:rsid w:val="00652A71"/>
    <w:rsid w:val="00652B88"/>
    <w:rsid w:val="00652E94"/>
    <w:rsid w:val="00653334"/>
    <w:rsid w:val="0065340A"/>
    <w:rsid w:val="00653753"/>
    <w:rsid w:val="00653871"/>
    <w:rsid w:val="00653881"/>
    <w:rsid w:val="00653D63"/>
    <w:rsid w:val="00653D9C"/>
    <w:rsid w:val="00653E78"/>
    <w:rsid w:val="00654137"/>
    <w:rsid w:val="006548B0"/>
    <w:rsid w:val="00654A06"/>
    <w:rsid w:val="00654F8E"/>
    <w:rsid w:val="0065526D"/>
    <w:rsid w:val="00655400"/>
    <w:rsid w:val="00655588"/>
    <w:rsid w:val="006555D6"/>
    <w:rsid w:val="006559E9"/>
    <w:rsid w:val="00655A05"/>
    <w:rsid w:val="00655C30"/>
    <w:rsid w:val="00655DC1"/>
    <w:rsid w:val="00655F00"/>
    <w:rsid w:val="006561CB"/>
    <w:rsid w:val="006565B8"/>
    <w:rsid w:val="006566A7"/>
    <w:rsid w:val="00656803"/>
    <w:rsid w:val="0065684C"/>
    <w:rsid w:val="0065686F"/>
    <w:rsid w:val="00656C5F"/>
    <w:rsid w:val="00656D2C"/>
    <w:rsid w:val="00656FB7"/>
    <w:rsid w:val="00657091"/>
    <w:rsid w:val="00657199"/>
    <w:rsid w:val="00657439"/>
    <w:rsid w:val="00657954"/>
    <w:rsid w:val="006579E6"/>
    <w:rsid w:val="00657E5A"/>
    <w:rsid w:val="00657FD8"/>
    <w:rsid w:val="006600E6"/>
    <w:rsid w:val="0066019E"/>
    <w:rsid w:val="00660557"/>
    <w:rsid w:val="006605BF"/>
    <w:rsid w:val="00660914"/>
    <w:rsid w:val="00660CC3"/>
    <w:rsid w:val="00660EA3"/>
    <w:rsid w:val="00661103"/>
    <w:rsid w:val="00661109"/>
    <w:rsid w:val="00661232"/>
    <w:rsid w:val="006612B6"/>
    <w:rsid w:val="006612EF"/>
    <w:rsid w:val="0066148E"/>
    <w:rsid w:val="006614FA"/>
    <w:rsid w:val="006615C3"/>
    <w:rsid w:val="00661832"/>
    <w:rsid w:val="00661B6E"/>
    <w:rsid w:val="00661D69"/>
    <w:rsid w:val="00661EA6"/>
    <w:rsid w:val="0066201E"/>
    <w:rsid w:val="006620A2"/>
    <w:rsid w:val="00662571"/>
    <w:rsid w:val="006625BF"/>
    <w:rsid w:val="00662615"/>
    <w:rsid w:val="0066273A"/>
    <w:rsid w:val="006629AB"/>
    <w:rsid w:val="006629C1"/>
    <w:rsid w:val="00662B3F"/>
    <w:rsid w:val="00662D79"/>
    <w:rsid w:val="0066302F"/>
    <w:rsid w:val="0066316F"/>
    <w:rsid w:val="0066319C"/>
    <w:rsid w:val="006634E4"/>
    <w:rsid w:val="0066352F"/>
    <w:rsid w:val="00663715"/>
    <w:rsid w:val="00663731"/>
    <w:rsid w:val="0066397C"/>
    <w:rsid w:val="00663A99"/>
    <w:rsid w:val="00663F23"/>
    <w:rsid w:val="006644D5"/>
    <w:rsid w:val="00664B92"/>
    <w:rsid w:val="00664FCE"/>
    <w:rsid w:val="0066510F"/>
    <w:rsid w:val="006651E0"/>
    <w:rsid w:val="00665358"/>
    <w:rsid w:val="00665380"/>
    <w:rsid w:val="006655D0"/>
    <w:rsid w:val="006657BB"/>
    <w:rsid w:val="006658F4"/>
    <w:rsid w:val="00665ABA"/>
    <w:rsid w:val="00665D6C"/>
    <w:rsid w:val="00665DCF"/>
    <w:rsid w:val="0066601D"/>
    <w:rsid w:val="006660D8"/>
    <w:rsid w:val="006661E5"/>
    <w:rsid w:val="00666211"/>
    <w:rsid w:val="00666294"/>
    <w:rsid w:val="00666363"/>
    <w:rsid w:val="006664BD"/>
    <w:rsid w:val="0066654D"/>
    <w:rsid w:val="0066699C"/>
    <w:rsid w:val="00666A63"/>
    <w:rsid w:val="00666C61"/>
    <w:rsid w:val="00666CB8"/>
    <w:rsid w:val="0066718D"/>
    <w:rsid w:val="0066734B"/>
    <w:rsid w:val="006677D1"/>
    <w:rsid w:val="0066794A"/>
    <w:rsid w:val="00667A24"/>
    <w:rsid w:val="00667AAA"/>
    <w:rsid w:val="00667B4B"/>
    <w:rsid w:val="00667B56"/>
    <w:rsid w:val="00667D5C"/>
    <w:rsid w:val="00670033"/>
    <w:rsid w:val="0067032F"/>
    <w:rsid w:val="00670492"/>
    <w:rsid w:val="006708EC"/>
    <w:rsid w:val="00670A9A"/>
    <w:rsid w:val="00670AA3"/>
    <w:rsid w:val="00670F05"/>
    <w:rsid w:val="00670F5A"/>
    <w:rsid w:val="00671468"/>
    <w:rsid w:val="006714C0"/>
    <w:rsid w:val="0067182B"/>
    <w:rsid w:val="00671947"/>
    <w:rsid w:val="00671961"/>
    <w:rsid w:val="00671B59"/>
    <w:rsid w:val="006720CD"/>
    <w:rsid w:val="00672139"/>
    <w:rsid w:val="00672312"/>
    <w:rsid w:val="006725C3"/>
    <w:rsid w:val="00672BE0"/>
    <w:rsid w:val="00672C23"/>
    <w:rsid w:val="00672D0C"/>
    <w:rsid w:val="00672FA6"/>
    <w:rsid w:val="006733DD"/>
    <w:rsid w:val="0067376A"/>
    <w:rsid w:val="00673912"/>
    <w:rsid w:val="00673B88"/>
    <w:rsid w:val="00673F83"/>
    <w:rsid w:val="00673F96"/>
    <w:rsid w:val="0067401B"/>
    <w:rsid w:val="00674116"/>
    <w:rsid w:val="0067427F"/>
    <w:rsid w:val="0067439B"/>
    <w:rsid w:val="00674582"/>
    <w:rsid w:val="006746BA"/>
    <w:rsid w:val="006749D7"/>
    <w:rsid w:val="00674BB9"/>
    <w:rsid w:val="00675219"/>
    <w:rsid w:val="006752B6"/>
    <w:rsid w:val="00675366"/>
    <w:rsid w:val="006753EB"/>
    <w:rsid w:val="006755D1"/>
    <w:rsid w:val="006758FF"/>
    <w:rsid w:val="00675954"/>
    <w:rsid w:val="00675A16"/>
    <w:rsid w:val="006761CB"/>
    <w:rsid w:val="0067626E"/>
    <w:rsid w:val="0067630B"/>
    <w:rsid w:val="00676699"/>
    <w:rsid w:val="006766F9"/>
    <w:rsid w:val="0067688E"/>
    <w:rsid w:val="00676B8D"/>
    <w:rsid w:val="006770FD"/>
    <w:rsid w:val="00677281"/>
    <w:rsid w:val="006777A1"/>
    <w:rsid w:val="00677A7E"/>
    <w:rsid w:val="0068005E"/>
    <w:rsid w:val="0068008F"/>
    <w:rsid w:val="00680502"/>
    <w:rsid w:val="0068054C"/>
    <w:rsid w:val="006806B9"/>
    <w:rsid w:val="00680800"/>
    <w:rsid w:val="00680B93"/>
    <w:rsid w:val="00680BA6"/>
    <w:rsid w:val="00680D0B"/>
    <w:rsid w:val="00680E58"/>
    <w:rsid w:val="00680F52"/>
    <w:rsid w:val="00680F63"/>
    <w:rsid w:val="0068145D"/>
    <w:rsid w:val="006816C8"/>
    <w:rsid w:val="00681A24"/>
    <w:rsid w:val="00681CBA"/>
    <w:rsid w:val="00681D90"/>
    <w:rsid w:val="0068204C"/>
    <w:rsid w:val="00682173"/>
    <w:rsid w:val="00682723"/>
    <w:rsid w:val="00682858"/>
    <w:rsid w:val="006829D6"/>
    <w:rsid w:val="00682B81"/>
    <w:rsid w:val="00682C28"/>
    <w:rsid w:val="00682D0F"/>
    <w:rsid w:val="00682F1E"/>
    <w:rsid w:val="00682FA9"/>
    <w:rsid w:val="0068310C"/>
    <w:rsid w:val="006833F6"/>
    <w:rsid w:val="00683448"/>
    <w:rsid w:val="00683945"/>
    <w:rsid w:val="00683A10"/>
    <w:rsid w:val="00683BCC"/>
    <w:rsid w:val="00683C99"/>
    <w:rsid w:val="00684217"/>
    <w:rsid w:val="00684378"/>
    <w:rsid w:val="00684502"/>
    <w:rsid w:val="00684551"/>
    <w:rsid w:val="00684627"/>
    <w:rsid w:val="00684ADD"/>
    <w:rsid w:val="0068502A"/>
    <w:rsid w:val="00685124"/>
    <w:rsid w:val="00685239"/>
    <w:rsid w:val="006852D1"/>
    <w:rsid w:val="006852DA"/>
    <w:rsid w:val="00685510"/>
    <w:rsid w:val="00685797"/>
    <w:rsid w:val="00685B31"/>
    <w:rsid w:val="00685D5B"/>
    <w:rsid w:val="00685F45"/>
    <w:rsid w:val="00686414"/>
    <w:rsid w:val="0068641D"/>
    <w:rsid w:val="006865AD"/>
    <w:rsid w:val="006866A2"/>
    <w:rsid w:val="006868FE"/>
    <w:rsid w:val="00686C3B"/>
    <w:rsid w:val="00686D0C"/>
    <w:rsid w:val="00686DC2"/>
    <w:rsid w:val="00686EE5"/>
    <w:rsid w:val="00686F16"/>
    <w:rsid w:val="00686FC8"/>
    <w:rsid w:val="006870A0"/>
    <w:rsid w:val="006872D6"/>
    <w:rsid w:val="0068751E"/>
    <w:rsid w:val="006875DC"/>
    <w:rsid w:val="00687AE7"/>
    <w:rsid w:val="00687E79"/>
    <w:rsid w:val="00690271"/>
    <w:rsid w:val="00690301"/>
    <w:rsid w:val="00690716"/>
    <w:rsid w:val="00690758"/>
    <w:rsid w:val="006909AC"/>
    <w:rsid w:val="006909FF"/>
    <w:rsid w:val="00690A72"/>
    <w:rsid w:val="00690FD9"/>
    <w:rsid w:val="00691271"/>
    <w:rsid w:val="006912E8"/>
    <w:rsid w:val="0069139B"/>
    <w:rsid w:val="00691510"/>
    <w:rsid w:val="00691674"/>
    <w:rsid w:val="006916E8"/>
    <w:rsid w:val="0069197B"/>
    <w:rsid w:val="0069220D"/>
    <w:rsid w:val="00692312"/>
    <w:rsid w:val="006927E1"/>
    <w:rsid w:val="00692C7D"/>
    <w:rsid w:val="00693341"/>
    <w:rsid w:val="006934B5"/>
    <w:rsid w:val="00693C9B"/>
    <w:rsid w:val="00694144"/>
    <w:rsid w:val="0069414E"/>
    <w:rsid w:val="0069455B"/>
    <w:rsid w:val="006949E1"/>
    <w:rsid w:val="00694A22"/>
    <w:rsid w:val="00694D6C"/>
    <w:rsid w:val="00694FDD"/>
    <w:rsid w:val="006952BE"/>
    <w:rsid w:val="00695440"/>
    <w:rsid w:val="00695809"/>
    <w:rsid w:val="00695A4D"/>
    <w:rsid w:val="00695CC2"/>
    <w:rsid w:val="00695EED"/>
    <w:rsid w:val="006960B6"/>
    <w:rsid w:val="00696436"/>
    <w:rsid w:val="006966B1"/>
    <w:rsid w:val="0069684C"/>
    <w:rsid w:val="006972A0"/>
    <w:rsid w:val="006972C6"/>
    <w:rsid w:val="00697515"/>
    <w:rsid w:val="006979EB"/>
    <w:rsid w:val="00697D72"/>
    <w:rsid w:val="00697F13"/>
    <w:rsid w:val="006A0189"/>
    <w:rsid w:val="006A01C8"/>
    <w:rsid w:val="006A0324"/>
    <w:rsid w:val="006A034B"/>
    <w:rsid w:val="006A04CD"/>
    <w:rsid w:val="006A0502"/>
    <w:rsid w:val="006A05B8"/>
    <w:rsid w:val="006A0A5B"/>
    <w:rsid w:val="006A0B7F"/>
    <w:rsid w:val="006A0BAA"/>
    <w:rsid w:val="006A13A1"/>
    <w:rsid w:val="006A1420"/>
    <w:rsid w:val="006A1493"/>
    <w:rsid w:val="006A14DF"/>
    <w:rsid w:val="006A1588"/>
    <w:rsid w:val="006A16A3"/>
    <w:rsid w:val="006A1955"/>
    <w:rsid w:val="006A2248"/>
    <w:rsid w:val="006A2355"/>
    <w:rsid w:val="006A23D7"/>
    <w:rsid w:val="006A23F7"/>
    <w:rsid w:val="006A24BE"/>
    <w:rsid w:val="006A2807"/>
    <w:rsid w:val="006A28CC"/>
    <w:rsid w:val="006A2F84"/>
    <w:rsid w:val="006A3006"/>
    <w:rsid w:val="006A312A"/>
    <w:rsid w:val="006A3173"/>
    <w:rsid w:val="006A324E"/>
    <w:rsid w:val="006A33CE"/>
    <w:rsid w:val="006A3530"/>
    <w:rsid w:val="006A3566"/>
    <w:rsid w:val="006A35E1"/>
    <w:rsid w:val="006A394C"/>
    <w:rsid w:val="006A3ACA"/>
    <w:rsid w:val="006A3C52"/>
    <w:rsid w:val="006A3F9E"/>
    <w:rsid w:val="006A4190"/>
    <w:rsid w:val="006A43D2"/>
    <w:rsid w:val="006A458B"/>
    <w:rsid w:val="006A4757"/>
    <w:rsid w:val="006A4772"/>
    <w:rsid w:val="006A4789"/>
    <w:rsid w:val="006A491C"/>
    <w:rsid w:val="006A4988"/>
    <w:rsid w:val="006A49DC"/>
    <w:rsid w:val="006A4A47"/>
    <w:rsid w:val="006A4B98"/>
    <w:rsid w:val="006A4D38"/>
    <w:rsid w:val="006A4DAB"/>
    <w:rsid w:val="006A4DF1"/>
    <w:rsid w:val="006A4E1C"/>
    <w:rsid w:val="006A54F8"/>
    <w:rsid w:val="006A54FB"/>
    <w:rsid w:val="006A56C0"/>
    <w:rsid w:val="006A5912"/>
    <w:rsid w:val="006A5D93"/>
    <w:rsid w:val="006A6536"/>
    <w:rsid w:val="006A6809"/>
    <w:rsid w:val="006A6A24"/>
    <w:rsid w:val="006A6B13"/>
    <w:rsid w:val="006A6CF0"/>
    <w:rsid w:val="006A7036"/>
    <w:rsid w:val="006A72FA"/>
    <w:rsid w:val="006A78E8"/>
    <w:rsid w:val="006A797F"/>
    <w:rsid w:val="006A7B41"/>
    <w:rsid w:val="006A7C46"/>
    <w:rsid w:val="006B0334"/>
    <w:rsid w:val="006B033C"/>
    <w:rsid w:val="006B035A"/>
    <w:rsid w:val="006B05D6"/>
    <w:rsid w:val="006B0614"/>
    <w:rsid w:val="006B0690"/>
    <w:rsid w:val="006B12BF"/>
    <w:rsid w:val="006B196D"/>
    <w:rsid w:val="006B1B53"/>
    <w:rsid w:val="006B1B77"/>
    <w:rsid w:val="006B21C9"/>
    <w:rsid w:val="006B2904"/>
    <w:rsid w:val="006B29F9"/>
    <w:rsid w:val="006B2A8A"/>
    <w:rsid w:val="006B2B2F"/>
    <w:rsid w:val="006B2DA3"/>
    <w:rsid w:val="006B2E2E"/>
    <w:rsid w:val="006B2ECD"/>
    <w:rsid w:val="006B3541"/>
    <w:rsid w:val="006B355E"/>
    <w:rsid w:val="006B36D4"/>
    <w:rsid w:val="006B3F89"/>
    <w:rsid w:val="006B410E"/>
    <w:rsid w:val="006B4110"/>
    <w:rsid w:val="006B435F"/>
    <w:rsid w:val="006B45BB"/>
    <w:rsid w:val="006B4B57"/>
    <w:rsid w:val="006B4D59"/>
    <w:rsid w:val="006B5003"/>
    <w:rsid w:val="006B55E2"/>
    <w:rsid w:val="006B5691"/>
    <w:rsid w:val="006B56E2"/>
    <w:rsid w:val="006B58EF"/>
    <w:rsid w:val="006B5C21"/>
    <w:rsid w:val="006B5E4D"/>
    <w:rsid w:val="006B5FBD"/>
    <w:rsid w:val="006B60E5"/>
    <w:rsid w:val="006B6178"/>
    <w:rsid w:val="006B61B9"/>
    <w:rsid w:val="006B6672"/>
    <w:rsid w:val="006B6731"/>
    <w:rsid w:val="006B6A4D"/>
    <w:rsid w:val="006B6A72"/>
    <w:rsid w:val="006B6D6E"/>
    <w:rsid w:val="006B6DB8"/>
    <w:rsid w:val="006B7202"/>
    <w:rsid w:val="006B7541"/>
    <w:rsid w:val="006B7B45"/>
    <w:rsid w:val="006B7CBB"/>
    <w:rsid w:val="006B7D9A"/>
    <w:rsid w:val="006B7E2D"/>
    <w:rsid w:val="006C077E"/>
    <w:rsid w:val="006C08A1"/>
    <w:rsid w:val="006C0A56"/>
    <w:rsid w:val="006C0D3C"/>
    <w:rsid w:val="006C0F71"/>
    <w:rsid w:val="006C1045"/>
    <w:rsid w:val="006C10E2"/>
    <w:rsid w:val="006C13E3"/>
    <w:rsid w:val="006C1922"/>
    <w:rsid w:val="006C1B58"/>
    <w:rsid w:val="006C1BAA"/>
    <w:rsid w:val="006C1CF1"/>
    <w:rsid w:val="006C1F5E"/>
    <w:rsid w:val="006C1FD3"/>
    <w:rsid w:val="006C23D1"/>
    <w:rsid w:val="006C2936"/>
    <w:rsid w:val="006C2992"/>
    <w:rsid w:val="006C2C09"/>
    <w:rsid w:val="006C2D58"/>
    <w:rsid w:val="006C2D7D"/>
    <w:rsid w:val="006C3004"/>
    <w:rsid w:val="006C3232"/>
    <w:rsid w:val="006C34DC"/>
    <w:rsid w:val="006C3519"/>
    <w:rsid w:val="006C3BBE"/>
    <w:rsid w:val="006C3C84"/>
    <w:rsid w:val="006C3D01"/>
    <w:rsid w:val="006C3ED2"/>
    <w:rsid w:val="006C3ED4"/>
    <w:rsid w:val="006C4316"/>
    <w:rsid w:val="006C43E8"/>
    <w:rsid w:val="006C4697"/>
    <w:rsid w:val="006C48F9"/>
    <w:rsid w:val="006C4B5F"/>
    <w:rsid w:val="006C4F91"/>
    <w:rsid w:val="006C5023"/>
    <w:rsid w:val="006C51DC"/>
    <w:rsid w:val="006C5222"/>
    <w:rsid w:val="006C5305"/>
    <w:rsid w:val="006C535D"/>
    <w:rsid w:val="006C53AD"/>
    <w:rsid w:val="006C53D5"/>
    <w:rsid w:val="006C540A"/>
    <w:rsid w:val="006C56C1"/>
    <w:rsid w:val="006C5B1A"/>
    <w:rsid w:val="006C5F10"/>
    <w:rsid w:val="006C627B"/>
    <w:rsid w:val="006C6474"/>
    <w:rsid w:val="006C686F"/>
    <w:rsid w:val="006C68D6"/>
    <w:rsid w:val="006C6A1D"/>
    <w:rsid w:val="006C6B46"/>
    <w:rsid w:val="006C6CFA"/>
    <w:rsid w:val="006C6D69"/>
    <w:rsid w:val="006C7066"/>
    <w:rsid w:val="006C70B7"/>
    <w:rsid w:val="006C7285"/>
    <w:rsid w:val="006C72B3"/>
    <w:rsid w:val="006C75B1"/>
    <w:rsid w:val="006C77A7"/>
    <w:rsid w:val="006C7999"/>
    <w:rsid w:val="006C7A5E"/>
    <w:rsid w:val="006C7AB9"/>
    <w:rsid w:val="006C7CE1"/>
    <w:rsid w:val="006C7CE7"/>
    <w:rsid w:val="006C7D97"/>
    <w:rsid w:val="006C7EE6"/>
    <w:rsid w:val="006D0203"/>
    <w:rsid w:val="006D035A"/>
    <w:rsid w:val="006D05E9"/>
    <w:rsid w:val="006D080D"/>
    <w:rsid w:val="006D0875"/>
    <w:rsid w:val="006D0964"/>
    <w:rsid w:val="006D09AB"/>
    <w:rsid w:val="006D0A73"/>
    <w:rsid w:val="006D0B4E"/>
    <w:rsid w:val="006D0D47"/>
    <w:rsid w:val="006D0F50"/>
    <w:rsid w:val="006D11E7"/>
    <w:rsid w:val="006D1B92"/>
    <w:rsid w:val="006D1B96"/>
    <w:rsid w:val="006D1CA2"/>
    <w:rsid w:val="006D1D3A"/>
    <w:rsid w:val="006D1EA0"/>
    <w:rsid w:val="006D205B"/>
    <w:rsid w:val="006D2271"/>
    <w:rsid w:val="006D26C9"/>
    <w:rsid w:val="006D2A6D"/>
    <w:rsid w:val="006D2E54"/>
    <w:rsid w:val="006D2ED6"/>
    <w:rsid w:val="006D2F63"/>
    <w:rsid w:val="006D32D4"/>
    <w:rsid w:val="006D34C8"/>
    <w:rsid w:val="006D36A1"/>
    <w:rsid w:val="006D36FB"/>
    <w:rsid w:val="006D37D8"/>
    <w:rsid w:val="006D3A62"/>
    <w:rsid w:val="006D3B81"/>
    <w:rsid w:val="006D3C32"/>
    <w:rsid w:val="006D3E47"/>
    <w:rsid w:val="006D408F"/>
    <w:rsid w:val="006D45DA"/>
    <w:rsid w:val="006D464C"/>
    <w:rsid w:val="006D48B5"/>
    <w:rsid w:val="006D4B8F"/>
    <w:rsid w:val="006D51EC"/>
    <w:rsid w:val="006D524F"/>
    <w:rsid w:val="006D5394"/>
    <w:rsid w:val="006D5440"/>
    <w:rsid w:val="006D5B40"/>
    <w:rsid w:val="006D61E8"/>
    <w:rsid w:val="006D6421"/>
    <w:rsid w:val="006D661C"/>
    <w:rsid w:val="006D684F"/>
    <w:rsid w:val="006D6854"/>
    <w:rsid w:val="006D68B0"/>
    <w:rsid w:val="006D6988"/>
    <w:rsid w:val="006D6C05"/>
    <w:rsid w:val="006D7347"/>
    <w:rsid w:val="006D7431"/>
    <w:rsid w:val="006D7482"/>
    <w:rsid w:val="006D759A"/>
    <w:rsid w:val="006D768D"/>
    <w:rsid w:val="006D77C9"/>
    <w:rsid w:val="006D7877"/>
    <w:rsid w:val="006D78A2"/>
    <w:rsid w:val="006D7BD3"/>
    <w:rsid w:val="006D7D3F"/>
    <w:rsid w:val="006D7D8D"/>
    <w:rsid w:val="006E005C"/>
    <w:rsid w:val="006E0076"/>
    <w:rsid w:val="006E0081"/>
    <w:rsid w:val="006E00AA"/>
    <w:rsid w:val="006E0184"/>
    <w:rsid w:val="006E03B1"/>
    <w:rsid w:val="006E04CE"/>
    <w:rsid w:val="006E0584"/>
    <w:rsid w:val="006E0C0C"/>
    <w:rsid w:val="006E14F9"/>
    <w:rsid w:val="006E153D"/>
    <w:rsid w:val="006E1B23"/>
    <w:rsid w:val="006E1E8D"/>
    <w:rsid w:val="006E2139"/>
    <w:rsid w:val="006E24A5"/>
    <w:rsid w:val="006E2536"/>
    <w:rsid w:val="006E25CD"/>
    <w:rsid w:val="006E25E2"/>
    <w:rsid w:val="006E2814"/>
    <w:rsid w:val="006E2893"/>
    <w:rsid w:val="006E2936"/>
    <w:rsid w:val="006E2A1A"/>
    <w:rsid w:val="006E2DA7"/>
    <w:rsid w:val="006E3237"/>
    <w:rsid w:val="006E3340"/>
    <w:rsid w:val="006E35D6"/>
    <w:rsid w:val="006E35E2"/>
    <w:rsid w:val="006E3A68"/>
    <w:rsid w:val="006E3B01"/>
    <w:rsid w:val="006E3BC2"/>
    <w:rsid w:val="006E3D79"/>
    <w:rsid w:val="006E45DD"/>
    <w:rsid w:val="006E46AE"/>
    <w:rsid w:val="006E46D0"/>
    <w:rsid w:val="006E47F7"/>
    <w:rsid w:val="006E4895"/>
    <w:rsid w:val="006E4AA5"/>
    <w:rsid w:val="006E4D78"/>
    <w:rsid w:val="006E4D82"/>
    <w:rsid w:val="006E501F"/>
    <w:rsid w:val="006E5535"/>
    <w:rsid w:val="006E5573"/>
    <w:rsid w:val="006E5A6F"/>
    <w:rsid w:val="006E5AD8"/>
    <w:rsid w:val="006E5ADA"/>
    <w:rsid w:val="006E5B12"/>
    <w:rsid w:val="006E5F31"/>
    <w:rsid w:val="006E5FB1"/>
    <w:rsid w:val="006E62FC"/>
    <w:rsid w:val="006E630B"/>
    <w:rsid w:val="006E6543"/>
    <w:rsid w:val="006E6581"/>
    <w:rsid w:val="006E680F"/>
    <w:rsid w:val="006E6AD9"/>
    <w:rsid w:val="006E6D0C"/>
    <w:rsid w:val="006E6FC6"/>
    <w:rsid w:val="006E750E"/>
    <w:rsid w:val="006E7777"/>
    <w:rsid w:val="006E7872"/>
    <w:rsid w:val="006E7B27"/>
    <w:rsid w:val="006E7C57"/>
    <w:rsid w:val="006E7D25"/>
    <w:rsid w:val="006E7D81"/>
    <w:rsid w:val="006F0056"/>
    <w:rsid w:val="006F03EC"/>
    <w:rsid w:val="006F043A"/>
    <w:rsid w:val="006F0B09"/>
    <w:rsid w:val="006F0C01"/>
    <w:rsid w:val="006F116A"/>
    <w:rsid w:val="006F135F"/>
    <w:rsid w:val="006F1707"/>
    <w:rsid w:val="006F173C"/>
    <w:rsid w:val="006F1C4C"/>
    <w:rsid w:val="006F1FEA"/>
    <w:rsid w:val="006F22CB"/>
    <w:rsid w:val="006F2458"/>
    <w:rsid w:val="006F2A93"/>
    <w:rsid w:val="006F2D00"/>
    <w:rsid w:val="006F2F6C"/>
    <w:rsid w:val="006F3459"/>
    <w:rsid w:val="006F3499"/>
    <w:rsid w:val="006F3560"/>
    <w:rsid w:val="006F3642"/>
    <w:rsid w:val="006F376A"/>
    <w:rsid w:val="006F3802"/>
    <w:rsid w:val="006F3836"/>
    <w:rsid w:val="006F3F0C"/>
    <w:rsid w:val="006F3F66"/>
    <w:rsid w:val="006F3FC6"/>
    <w:rsid w:val="006F4085"/>
    <w:rsid w:val="006F418B"/>
    <w:rsid w:val="006F41B4"/>
    <w:rsid w:val="006F4221"/>
    <w:rsid w:val="006F4AA3"/>
    <w:rsid w:val="006F4BAC"/>
    <w:rsid w:val="006F4DF8"/>
    <w:rsid w:val="006F5285"/>
    <w:rsid w:val="006F5741"/>
    <w:rsid w:val="006F58E3"/>
    <w:rsid w:val="006F5B58"/>
    <w:rsid w:val="006F604C"/>
    <w:rsid w:val="006F622A"/>
    <w:rsid w:val="006F6446"/>
    <w:rsid w:val="006F656C"/>
    <w:rsid w:val="006F667A"/>
    <w:rsid w:val="006F66CD"/>
    <w:rsid w:val="006F6764"/>
    <w:rsid w:val="006F695A"/>
    <w:rsid w:val="006F6CE3"/>
    <w:rsid w:val="006F6DA6"/>
    <w:rsid w:val="006F70F7"/>
    <w:rsid w:val="006F73B9"/>
    <w:rsid w:val="006F76C7"/>
    <w:rsid w:val="006F78B4"/>
    <w:rsid w:val="006F78F4"/>
    <w:rsid w:val="00700057"/>
    <w:rsid w:val="007001B6"/>
    <w:rsid w:val="007001E1"/>
    <w:rsid w:val="00700279"/>
    <w:rsid w:val="007004F2"/>
    <w:rsid w:val="00700962"/>
    <w:rsid w:val="00700972"/>
    <w:rsid w:val="007009D2"/>
    <w:rsid w:val="00700A37"/>
    <w:rsid w:val="0070110D"/>
    <w:rsid w:val="007012B4"/>
    <w:rsid w:val="00701624"/>
    <w:rsid w:val="00702437"/>
    <w:rsid w:val="007029A4"/>
    <w:rsid w:val="00702E4A"/>
    <w:rsid w:val="00702F76"/>
    <w:rsid w:val="00702F84"/>
    <w:rsid w:val="007031A5"/>
    <w:rsid w:val="007038D4"/>
    <w:rsid w:val="00703961"/>
    <w:rsid w:val="007044C3"/>
    <w:rsid w:val="00704592"/>
    <w:rsid w:val="00704755"/>
    <w:rsid w:val="00704B2A"/>
    <w:rsid w:val="00704E80"/>
    <w:rsid w:val="00705040"/>
    <w:rsid w:val="007050F9"/>
    <w:rsid w:val="00705188"/>
    <w:rsid w:val="0070552C"/>
    <w:rsid w:val="007056C2"/>
    <w:rsid w:val="00705717"/>
    <w:rsid w:val="00705BD4"/>
    <w:rsid w:val="00706375"/>
    <w:rsid w:val="007064A4"/>
    <w:rsid w:val="007064AD"/>
    <w:rsid w:val="007065EF"/>
    <w:rsid w:val="00706A34"/>
    <w:rsid w:val="00706B39"/>
    <w:rsid w:val="00706CF8"/>
    <w:rsid w:val="00706CFE"/>
    <w:rsid w:val="00706D66"/>
    <w:rsid w:val="007071F8"/>
    <w:rsid w:val="00707474"/>
    <w:rsid w:val="0070786F"/>
    <w:rsid w:val="00707D46"/>
    <w:rsid w:val="00707FA4"/>
    <w:rsid w:val="0071012B"/>
    <w:rsid w:val="007101AF"/>
    <w:rsid w:val="007101D1"/>
    <w:rsid w:val="00710808"/>
    <w:rsid w:val="007109A7"/>
    <w:rsid w:val="00710A31"/>
    <w:rsid w:val="00710B92"/>
    <w:rsid w:val="00710C2C"/>
    <w:rsid w:val="00710F21"/>
    <w:rsid w:val="0071102D"/>
    <w:rsid w:val="0071152D"/>
    <w:rsid w:val="00711BCF"/>
    <w:rsid w:val="00711D80"/>
    <w:rsid w:val="00711E86"/>
    <w:rsid w:val="0071211B"/>
    <w:rsid w:val="007124D6"/>
    <w:rsid w:val="007127F2"/>
    <w:rsid w:val="007127FD"/>
    <w:rsid w:val="00712A1F"/>
    <w:rsid w:val="00712E3B"/>
    <w:rsid w:val="0071305D"/>
    <w:rsid w:val="0071329B"/>
    <w:rsid w:val="00713585"/>
    <w:rsid w:val="00713A13"/>
    <w:rsid w:val="00713B8C"/>
    <w:rsid w:val="00713E57"/>
    <w:rsid w:val="00714002"/>
    <w:rsid w:val="0071404B"/>
    <w:rsid w:val="007140AC"/>
    <w:rsid w:val="00714875"/>
    <w:rsid w:val="007149EE"/>
    <w:rsid w:val="00714E8D"/>
    <w:rsid w:val="00715253"/>
    <w:rsid w:val="0071538B"/>
    <w:rsid w:val="007153FA"/>
    <w:rsid w:val="0071557B"/>
    <w:rsid w:val="007156BC"/>
    <w:rsid w:val="00715D2D"/>
    <w:rsid w:val="00715FEC"/>
    <w:rsid w:val="00716078"/>
    <w:rsid w:val="007163B3"/>
    <w:rsid w:val="0071644D"/>
    <w:rsid w:val="00716517"/>
    <w:rsid w:val="00716586"/>
    <w:rsid w:val="007169EF"/>
    <w:rsid w:val="00716AC3"/>
    <w:rsid w:val="00716F5E"/>
    <w:rsid w:val="00716F72"/>
    <w:rsid w:val="0071719A"/>
    <w:rsid w:val="0071719D"/>
    <w:rsid w:val="00717553"/>
    <w:rsid w:val="0071773D"/>
    <w:rsid w:val="0071783E"/>
    <w:rsid w:val="007178BF"/>
    <w:rsid w:val="0072038F"/>
    <w:rsid w:val="007203FF"/>
    <w:rsid w:val="0072050E"/>
    <w:rsid w:val="00720512"/>
    <w:rsid w:val="00720673"/>
    <w:rsid w:val="007206F1"/>
    <w:rsid w:val="0072082B"/>
    <w:rsid w:val="00720BE1"/>
    <w:rsid w:val="00720D51"/>
    <w:rsid w:val="00720E5D"/>
    <w:rsid w:val="00720F64"/>
    <w:rsid w:val="007211AF"/>
    <w:rsid w:val="007212BB"/>
    <w:rsid w:val="007212C7"/>
    <w:rsid w:val="007212FB"/>
    <w:rsid w:val="007214CB"/>
    <w:rsid w:val="007214D8"/>
    <w:rsid w:val="0072155D"/>
    <w:rsid w:val="0072175A"/>
    <w:rsid w:val="00721D08"/>
    <w:rsid w:val="00722694"/>
    <w:rsid w:val="00722B3B"/>
    <w:rsid w:val="00722BE2"/>
    <w:rsid w:val="00722E06"/>
    <w:rsid w:val="00722E3B"/>
    <w:rsid w:val="00722F6A"/>
    <w:rsid w:val="0072321C"/>
    <w:rsid w:val="00723410"/>
    <w:rsid w:val="00723614"/>
    <w:rsid w:val="00723BEE"/>
    <w:rsid w:val="00723D29"/>
    <w:rsid w:val="00723DC5"/>
    <w:rsid w:val="00723EE7"/>
    <w:rsid w:val="00723F3A"/>
    <w:rsid w:val="00723FE0"/>
    <w:rsid w:val="00724079"/>
    <w:rsid w:val="007240D4"/>
    <w:rsid w:val="0072418B"/>
    <w:rsid w:val="007241B7"/>
    <w:rsid w:val="007242D6"/>
    <w:rsid w:val="00724559"/>
    <w:rsid w:val="00724824"/>
    <w:rsid w:val="0072487D"/>
    <w:rsid w:val="007248D0"/>
    <w:rsid w:val="00724A96"/>
    <w:rsid w:val="00724DD1"/>
    <w:rsid w:val="00724E3D"/>
    <w:rsid w:val="00725321"/>
    <w:rsid w:val="00725427"/>
    <w:rsid w:val="0072549C"/>
    <w:rsid w:val="00725A6A"/>
    <w:rsid w:val="00725AF1"/>
    <w:rsid w:val="00725DE4"/>
    <w:rsid w:val="00725FB2"/>
    <w:rsid w:val="00726086"/>
    <w:rsid w:val="00726087"/>
    <w:rsid w:val="007264CB"/>
    <w:rsid w:val="00726965"/>
    <w:rsid w:val="00726B03"/>
    <w:rsid w:val="00726D7B"/>
    <w:rsid w:val="00726EC7"/>
    <w:rsid w:val="00726F81"/>
    <w:rsid w:val="00726FB4"/>
    <w:rsid w:val="007277D9"/>
    <w:rsid w:val="00727A4B"/>
    <w:rsid w:val="00727E1B"/>
    <w:rsid w:val="00727EA9"/>
    <w:rsid w:val="007302BB"/>
    <w:rsid w:val="007305B6"/>
    <w:rsid w:val="00730742"/>
    <w:rsid w:val="00730986"/>
    <w:rsid w:val="007309D8"/>
    <w:rsid w:val="00730AD5"/>
    <w:rsid w:val="00730B2B"/>
    <w:rsid w:val="00730BE0"/>
    <w:rsid w:val="00731065"/>
    <w:rsid w:val="00731075"/>
    <w:rsid w:val="00731190"/>
    <w:rsid w:val="007311B4"/>
    <w:rsid w:val="0073120C"/>
    <w:rsid w:val="00731308"/>
    <w:rsid w:val="007316A2"/>
    <w:rsid w:val="007317DB"/>
    <w:rsid w:val="0073197E"/>
    <w:rsid w:val="00731BB5"/>
    <w:rsid w:val="00731DE6"/>
    <w:rsid w:val="00731F0B"/>
    <w:rsid w:val="00731FFC"/>
    <w:rsid w:val="00732084"/>
    <w:rsid w:val="00732300"/>
    <w:rsid w:val="00732473"/>
    <w:rsid w:val="00732920"/>
    <w:rsid w:val="00732D88"/>
    <w:rsid w:val="00732E76"/>
    <w:rsid w:val="0073304F"/>
    <w:rsid w:val="00733189"/>
    <w:rsid w:val="00733499"/>
    <w:rsid w:val="0073369C"/>
    <w:rsid w:val="007337EF"/>
    <w:rsid w:val="007338A8"/>
    <w:rsid w:val="00733B13"/>
    <w:rsid w:val="00733F95"/>
    <w:rsid w:val="00734142"/>
    <w:rsid w:val="00734210"/>
    <w:rsid w:val="00734223"/>
    <w:rsid w:val="0073427A"/>
    <w:rsid w:val="0073434D"/>
    <w:rsid w:val="00734646"/>
    <w:rsid w:val="007347DB"/>
    <w:rsid w:val="007348F2"/>
    <w:rsid w:val="007349C5"/>
    <w:rsid w:val="00734ACB"/>
    <w:rsid w:val="00734B59"/>
    <w:rsid w:val="00734B84"/>
    <w:rsid w:val="00734DD5"/>
    <w:rsid w:val="0073512E"/>
    <w:rsid w:val="007351EC"/>
    <w:rsid w:val="0073551E"/>
    <w:rsid w:val="0073560B"/>
    <w:rsid w:val="0073563B"/>
    <w:rsid w:val="007356BD"/>
    <w:rsid w:val="007358B1"/>
    <w:rsid w:val="00735D39"/>
    <w:rsid w:val="00736576"/>
    <w:rsid w:val="00736C2B"/>
    <w:rsid w:val="00737112"/>
    <w:rsid w:val="007373E2"/>
    <w:rsid w:val="00737ADF"/>
    <w:rsid w:val="00737B2E"/>
    <w:rsid w:val="00737C41"/>
    <w:rsid w:val="00737C75"/>
    <w:rsid w:val="00737CC6"/>
    <w:rsid w:val="00737E1E"/>
    <w:rsid w:val="00740091"/>
    <w:rsid w:val="00740363"/>
    <w:rsid w:val="00740546"/>
    <w:rsid w:val="0074062D"/>
    <w:rsid w:val="0074090D"/>
    <w:rsid w:val="00740946"/>
    <w:rsid w:val="00740AAF"/>
    <w:rsid w:val="0074114E"/>
    <w:rsid w:val="007411C3"/>
    <w:rsid w:val="007413D3"/>
    <w:rsid w:val="0074173E"/>
    <w:rsid w:val="00741A1F"/>
    <w:rsid w:val="00741C11"/>
    <w:rsid w:val="00741C1C"/>
    <w:rsid w:val="00741C5E"/>
    <w:rsid w:val="0074204F"/>
    <w:rsid w:val="0074210C"/>
    <w:rsid w:val="00742252"/>
    <w:rsid w:val="00742317"/>
    <w:rsid w:val="00742795"/>
    <w:rsid w:val="00742C6A"/>
    <w:rsid w:val="00742CDC"/>
    <w:rsid w:val="0074350B"/>
    <w:rsid w:val="0074354F"/>
    <w:rsid w:val="007437A4"/>
    <w:rsid w:val="00743E4C"/>
    <w:rsid w:val="00743F72"/>
    <w:rsid w:val="00744336"/>
    <w:rsid w:val="00744344"/>
    <w:rsid w:val="0074475C"/>
    <w:rsid w:val="00744888"/>
    <w:rsid w:val="007449FA"/>
    <w:rsid w:val="00744E05"/>
    <w:rsid w:val="00744EA1"/>
    <w:rsid w:val="00744F0D"/>
    <w:rsid w:val="007451DF"/>
    <w:rsid w:val="007458BC"/>
    <w:rsid w:val="00745974"/>
    <w:rsid w:val="007459D6"/>
    <w:rsid w:val="00745B1A"/>
    <w:rsid w:val="00745C23"/>
    <w:rsid w:val="00745CCC"/>
    <w:rsid w:val="00745E27"/>
    <w:rsid w:val="0074630F"/>
    <w:rsid w:val="007465A2"/>
    <w:rsid w:val="007466FF"/>
    <w:rsid w:val="007468B2"/>
    <w:rsid w:val="00746900"/>
    <w:rsid w:val="00746951"/>
    <w:rsid w:val="0074699A"/>
    <w:rsid w:val="00746A40"/>
    <w:rsid w:val="00746A96"/>
    <w:rsid w:val="00746B06"/>
    <w:rsid w:val="00746F35"/>
    <w:rsid w:val="0074712E"/>
    <w:rsid w:val="0074716D"/>
    <w:rsid w:val="007472CF"/>
    <w:rsid w:val="007472EB"/>
    <w:rsid w:val="007476D4"/>
    <w:rsid w:val="007477E4"/>
    <w:rsid w:val="00747A10"/>
    <w:rsid w:val="00750054"/>
    <w:rsid w:val="007500AB"/>
    <w:rsid w:val="007505B5"/>
    <w:rsid w:val="00750A42"/>
    <w:rsid w:val="00750E9F"/>
    <w:rsid w:val="00750EBA"/>
    <w:rsid w:val="00750FB6"/>
    <w:rsid w:val="00750FBE"/>
    <w:rsid w:val="0075106C"/>
    <w:rsid w:val="0075124E"/>
    <w:rsid w:val="0075127C"/>
    <w:rsid w:val="007512FB"/>
    <w:rsid w:val="00751311"/>
    <w:rsid w:val="0075160D"/>
    <w:rsid w:val="007516B4"/>
    <w:rsid w:val="007516C8"/>
    <w:rsid w:val="00751BB4"/>
    <w:rsid w:val="00751CC6"/>
    <w:rsid w:val="00751D41"/>
    <w:rsid w:val="00751DC8"/>
    <w:rsid w:val="0075275F"/>
    <w:rsid w:val="00752825"/>
    <w:rsid w:val="00752871"/>
    <w:rsid w:val="0075339F"/>
    <w:rsid w:val="00753A68"/>
    <w:rsid w:val="00753D31"/>
    <w:rsid w:val="00753F1B"/>
    <w:rsid w:val="0075404E"/>
    <w:rsid w:val="00754084"/>
    <w:rsid w:val="00754200"/>
    <w:rsid w:val="00754362"/>
    <w:rsid w:val="0075458E"/>
    <w:rsid w:val="0075472D"/>
    <w:rsid w:val="00754CBC"/>
    <w:rsid w:val="00754DCB"/>
    <w:rsid w:val="007552CA"/>
    <w:rsid w:val="00755621"/>
    <w:rsid w:val="00755D24"/>
    <w:rsid w:val="00756426"/>
    <w:rsid w:val="007564BA"/>
    <w:rsid w:val="00756911"/>
    <w:rsid w:val="007569C4"/>
    <w:rsid w:val="00756A41"/>
    <w:rsid w:val="00756BCD"/>
    <w:rsid w:val="00756D43"/>
    <w:rsid w:val="00756EE1"/>
    <w:rsid w:val="00757279"/>
    <w:rsid w:val="007572B8"/>
    <w:rsid w:val="007572C6"/>
    <w:rsid w:val="007576B7"/>
    <w:rsid w:val="00757B98"/>
    <w:rsid w:val="00760241"/>
    <w:rsid w:val="0076031A"/>
    <w:rsid w:val="0076072E"/>
    <w:rsid w:val="007609B8"/>
    <w:rsid w:val="00760B92"/>
    <w:rsid w:val="0076116B"/>
    <w:rsid w:val="007618AD"/>
    <w:rsid w:val="00761961"/>
    <w:rsid w:val="00761E11"/>
    <w:rsid w:val="00761EF1"/>
    <w:rsid w:val="007622B8"/>
    <w:rsid w:val="007623C1"/>
    <w:rsid w:val="00762421"/>
    <w:rsid w:val="00762425"/>
    <w:rsid w:val="00762565"/>
    <w:rsid w:val="00762770"/>
    <w:rsid w:val="007627C6"/>
    <w:rsid w:val="00762840"/>
    <w:rsid w:val="00762DD1"/>
    <w:rsid w:val="00762FFF"/>
    <w:rsid w:val="00763680"/>
    <w:rsid w:val="007639EE"/>
    <w:rsid w:val="00763A6E"/>
    <w:rsid w:val="00763ABE"/>
    <w:rsid w:val="00763B77"/>
    <w:rsid w:val="00763B8C"/>
    <w:rsid w:val="00763F47"/>
    <w:rsid w:val="00764097"/>
    <w:rsid w:val="00764513"/>
    <w:rsid w:val="007646F4"/>
    <w:rsid w:val="007647DF"/>
    <w:rsid w:val="00764863"/>
    <w:rsid w:val="00764C5C"/>
    <w:rsid w:val="00764CB5"/>
    <w:rsid w:val="00764D3A"/>
    <w:rsid w:val="00764F88"/>
    <w:rsid w:val="007652BB"/>
    <w:rsid w:val="007653A6"/>
    <w:rsid w:val="00765790"/>
    <w:rsid w:val="00765CAC"/>
    <w:rsid w:val="00765FE7"/>
    <w:rsid w:val="007665DB"/>
    <w:rsid w:val="007666CE"/>
    <w:rsid w:val="007667C7"/>
    <w:rsid w:val="00766A43"/>
    <w:rsid w:val="00766BA8"/>
    <w:rsid w:val="00766C9F"/>
    <w:rsid w:val="00766F8C"/>
    <w:rsid w:val="007671A3"/>
    <w:rsid w:val="007675BB"/>
    <w:rsid w:val="00767727"/>
    <w:rsid w:val="00767857"/>
    <w:rsid w:val="00767A51"/>
    <w:rsid w:val="00767B76"/>
    <w:rsid w:val="00767F0A"/>
    <w:rsid w:val="00767F52"/>
    <w:rsid w:val="0077003A"/>
    <w:rsid w:val="00770316"/>
    <w:rsid w:val="0077095F"/>
    <w:rsid w:val="00770C25"/>
    <w:rsid w:val="00770E64"/>
    <w:rsid w:val="007710DC"/>
    <w:rsid w:val="007712BB"/>
    <w:rsid w:val="007713A7"/>
    <w:rsid w:val="0077146D"/>
    <w:rsid w:val="007714B0"/>
    <w:rsid w:val="0077175C"/>
    <w:rsid w:val="0077202F"/>
    <w:rsid w:val="007720D1"/>
    <w:rsid w:val="007723AA"/>
    <w:rsid w:val="007723ED"/>
    <w:rsid w:val="007724CE"/>
    <w:rsid w:val="0077267F"/>
    <w:rsid w:val="007727F9"/>
    <w:rsid w:val="00772965"/>
    <w:rsid w:val="00772AEA"/>
    <w:rsid w:val="00772B72"/>
    <w:rsid w:val="00772D41"/>
    <w:rsid w:val="007730ED"/>
    <w:rsid w:val="0077326F"/>
    <w:rsid w:val="0077335D"/>
    <w:rsid w:val="007735A0"/>
    <w:rsid w:val="007737F2"/>
    <w:rsid w:val="00773BA8"/>
    <w:rsid w:val="00773C7F"/>
    <w:rsid w:val="00773E0E"/>
    <w:rsid w:val="00773EB2"/>
    <w:rsid w:val="00773F40"/>
    <w:rsid w:val="00774322"/>
    <w:rsid w:val="0077492B"/>
    <w:rsid w:val="00774B03"/>
    <w:rsid w:val="00774BC6"/>
    <w:rsid w:val="00774C92"/>
    <w:rsid w:val="00774D10"/>
    <w:rsid w:val="00774E54"/>
    <w:rsid w:val="00775502"/>
    <w:rsid w:val="00775532"/>
    <w:rsid w:val="007755A0"/>
    <w:rsid w:val="007755C4"/>
    <w:rsid w:val="007755F9"/>
    <w:rsid w:val="007757F5"/>
    <w:rsid w:val="0077587B"/>
    <w:rsid w:val="0077598F"/>
    <w:rsid w:val="00775C0D"/>
    <w:rsid w:val="00775DE6"/>
    <w:rsid w:val="00775EFD"/>
    <w:rsid w:val="00775F73"/>
    <w:rsid w:val="00775F7F"/>
    <w:rsid w:val="0077608B"/>
    <w:rsid w:val="007760F1"/>
    <w:rsid w:val="00776680"/>
    <w:rsid w:val="00776A6B"/>
    <w:rsid w:val="007771AF"/>
    <w:rsid w:val="00777401"/>
    <w:rsid w:val="00777751"/>
    <w:rsid w:val="00777885"/>
    <w:rsid w:val="007778B1"/>
    <w:rsid w:val="00777955"/>
    <w:rsid w:val="00777C98"/>
    <w:rsid w:val="007800FC"/>
    <w:rsid w:val="0078034F"/>
    <w:rsid w:val="00780386"/>
    <w:rsid w:val="00780645"/>
    <w:rsid w:val="00780E18"/>
    <w:rsid w:val="00780FF5"/>
    <w:rsid w:val="0078132C"/>
    <w:rsid w:val="00781507"/>
    <w:rsid w:val="0078160B"/>
    <w:rsid w:val="007816AE"/>
    <w:rsid w:val="007818E2"/>
    <w:rsid w:val="00781B0F"/>
    <w:rsid w:val="00781B99"/>
    <w:rsid w:val="00781FD4"/>
    <w:rsid w:val="0078266D"/>
    <w:rsid w:val="00782982"/>
    <w:rsid w:val="00782BEB"/>
    <w:rsid w:val="00782EF1"/>
    <w:rsid w:val="00782F6D"/>
    <w:rsid w:val="00783480"/>
    <w:rsid w:val="007834BB"/>
    <w:rsid w:val="00783503"/>
    <w:rsid w:val="007835BC"/>
    <w:rsid w:val="00783C39"/>
    <w:rsid w:val="00783D59"/>
    <w:rsid w:val="00783DC3"/>
    <w:rsid w:val="00783E37"/>
    <w:rsid w:val="00783EBF"/>
    <w:rsid w:val="00783F62"/>
    <w:rsid w:val="00783FD6"/>
    <w:rsid w:val="007840E3"/>
    <w:rsid w:val="0078422B"/>
    <w:rsid w:val="0078423A"/>
    <w:rsid w:val="00784801"/>
    <w:rsid w:val="00784DCE"/>
    <w:rsid w:val="00784DFC"/>
    <w:rsid w:val="007857E8"/>
    <w:rsid w:val="007858FC"/>
    <w:rsid w:val="00785952"/>
    <w:rsid w:val="0078596B"/>
    <w:rsid w:val="00785D68"/>
    <w:rsid w:val="00785E26"/>
    <w:rsid w:val="0078615B"/>
    <w:rsid w:val="007863A5"/>
    <w:rsid w:val="00786694"/>
    <w:rsid w:val="00786A31"/>
    <w:rsid w:val="00786EF1"/>
    <w:rsid w:val="00786F85"/>
    <w:rsid w:val="00786FD0"/>
    <w:rsid w:val="007872F6"/>
    <w:rsid w:val="00787391"/>
    <w:rsid w:val="00787A07"/>
    <w:rsid w:val="00787D0C"/>
    <w:rsid w:val="007904C0"/>
    <w:rsid w:val="00790526"/>
    <w:rsid w:val="0079076D"/>
    <w:rsid w:val="00790854"/>
    <w:rsid w:val="00790C74"/>
    <w:rsid w:val="00790F34"/>
    <w:rsid w:val="0079119C"/>
    <w:rsid w:val="007916C4"/>
    <w:rsid w:val="00791932"/>
    <w:rsid w:val="007919CE"/>
    <w:rsid w:val="00791A25"/>
    <w:rsid w:val="00791A75"/>
    <w:rsid w:val="00791AFF"/>
    <w:rsid w:val="00792203"/>
    <w:rsid w:val="007922F1"/>
    <w:rsid w:val="007923AE"/>
    <w:rsid w:val="007929DE"/>
    <w:rsid w:val="00792B3B"/>
    <w:rsid w:val="00792DA6"/>
    <w:rsid w:val="00792E9B"/>
    <w:rsid w:val="00793089"/>
    <w:rsid w:val="0079328B"/>
    <w:rsid w:val="007934FE"/>
    <w:rsid w:val="007938CB"/>
    <w:rsid w:val="00793A49"/>
    <w:rsid w:val="00793E36"/>
    <w:rsid w:val="00793FDE"/>
    <w:rsid w:val="00794256"/>
    <w:rsid w:val="0079462E"/>
    <w:rsid w:val="00794782"/>
    <w:rsid w:val="00794A2C"/>
    <w:rsid w:val="00794B47"/>
    <w:rsid w:val="00794CC3"/>
    <w:rsid w:val="00794D57"/>
    <w:rsid w:val="007952E6"/>
    <w:rsid w:val="00795420"/>
    <w:rsid w:val="00795A4D"/>
    <w:rsid w:val="00795C76"/>
    <w:rsid w:val="00795FC5"/>
    <w:rsid w:val="00795FDB"/>
    <w:rsid w:val="00796005"/>
    <w:rsid w:val="00796115"/>
    <w:rsid w:val="00796183"/>
    <w:rsid w:val="00796204"/>
    <w:rsid w:val="00796299"/>
    <w:rsid w:val="007963D0"/>
    <w:rsid w:val="00796889"/>
    <w:rsid w:val="007969E7"/>
    <w:rsid w:val="00796A83"/>
    <w:rsid w:val="00796C3E"/>
    <w:rsid w:val="00796C9A"/>
    <w:rsid w:val="00796EF1"/>
    <w:rsid w:val="00796F17"/>
    <w:rsid w:val="007975C3"/>
    <w:rsid w:val="0079764F"/>
    <w:rsid w:val="0079798F"/>
    <w:rsid w:val="00797A4D"/>
    <w:rsid w:val="00797BCE"/>
    <w:rsid w:val="00797FD5"/>
    <w:rsid w:val="007A020F"/>
    <w:rsid w:val="007A025D"/>
    <w:rsid w:val="007A0540"/>
    <w:rsid w:val="007A0821"/>
    <w:rsid w:val="007A0892"/>
    <w:rsid w:val="007A0A34"/>
    <w:rsid w:val="007A0C38"/>
    <w:rsid w:val="007A0F4F"/>
    <w:rsid w:val="007A10C6"/>
    <w:rsid w:val="007A1245"/>
    <w:rsid w:val="007A1491"/>
    <w:rsid w:val="007A1DB9"/>
    <w:rsid w:val="007A203F"/>
    <w:rsid w:val="007A2538"/>
    <w:rsid w:val="007A26A1"/>
    <w:rsid w:val="007A280D"/>
    <w:rsid w:val="007A292F"/>
    <w:rsid w:val="007A2BC9"/>
    <w:rsid w:val="007A2F21"/>
    <w:rsid w:val="007A315E"/>
    <w:rsid w:val="007A3237"/>
    <w:rsid w:val="007A3988"/>
    <w:rsid w:val="007A3D5F"/>
    <w:rsid w:val="007A4502"/>
    <w:rsid w:val="007A45F2"/>
    <w:rsid w:val="007A4644"/>
    <w:rsid w:val="007A488A"/>
    <w:rsid w:val="007A4C2B"/>
    <w:rsid w:val="007A4EF6"/>
    <w:rsid w:val="007A5040"/>
    <w:rsid w:val="007A5273"/>
    <w:rsid w:val="007A52A6"/>
    <w:rsid w:val="007A555F"/>
    <w:rsid w:val="007A559D"/>
    <w:rsid w:val="007A55F4"/>
    <w:rsid w:val="007A56F7"/>
    <w:rsid w:val="007A5760"/>
    <w:rsid w:val="007A57A3"/>
    <w:rsid w:val="007A5836"/>
    <w:rsid w:val="007A5878"/>
    <w:rsid w:val="007A593A"/>
    <w:rsid w:val="007A59EB"/>
    <w:rsid w:val="007A5A0F"/>
    <w:rsid w:val="007A5C3A"/>
    <w:rsid w:val="007A5D37"/>
    <w:rsid w:val="007A6103"/>
    <w:rsid w:val="007A6236"/>
    <w:rsid w:val="007A6658"/>
    <w:rsid w:val="007A6671"/>
    <w:rsid w:val="007A66FC"/>
    <w:rsid w:val="007A67C8"/>
    <w:rsid w:val="007A6A79"/>
    <w:rsid w:val="007A6C18"/>
    <w:rsid w:val="007A6FFF"/>
    <w:rsid w:val="007A7466"/>
    <w:rsid w:val="007A7472"/>
    <w:rsid w:val="007A76C1"/>
    <w:rsid w:val="007A7A80"/>
    <w:rsid w:val="007A7D8A"/>
    <w:rsid w:val="007A7F18"/>
    <w:rsid w:val="007B0140"/>
    <w:rsid w:val="007B01ED"/>
    <w:rsid w:val="007B01FE"/>
    <w:rsid w:val="007B0452"/>
    <w:rsid w:val="007B07B7"/>
    <w:rsid w:val="007B0A8D"/>
    <w:rsid w:val="007B0E27"/>
    <w:rsid w:val="007B1021"/>
    <w:rsid w:val="007B14D2"/>
    <w:rsid w:val="007B15E1"/>
    <w:rsid w:val="007B15FC"/>
    <w:rsid w:val="007B1C5A"/>
    <w:rsid w:val="007B1CAB"/>
    <w:rsid w:val="007B1FD6"/>
    <w:rsid w:val="007B2446"/>
    <w:rsid w:val="007B2563"/>
    <w:rsid w:val="007B2B36"/>
    <w:rsid w:val="007B2EFC"/>
    <w:rsid w:val="007B3499"/>
    <w:rsid w:val="007B35FC"/>
    <w:rsid w:val="007B3739"/>
    <w:rsid w:val="007B3788"/>
    <w:rsid w:val="007B3A7F"/>
    <w:rsid w:val="007B3D84"/>
    <w:rsid w:val="007B3EE4"/>
    <w:rsid w:val="007B3FE1"/>
    <w:rsid w:val="007B42F2"/>
    <w:rsid w:val="007B4759"/>
    <w:rsid w:val="007B489F"/>
    <w:rsid w:val="007B48AD"/>
    <w:rsid w:val="007B48BC"/>
    <w:rsid w:val="007B5102"/>
    <w:rsid w:val="007B515E"/>
    <w:rsid w:val="007B530F"/>
    <w:rsid w:val="007B5634"/>
    <w:rsid w:val="007B59F3"/>
    <w:rsid w:val="007B5A31"/>
    <w:rsid w:val="007B5DCB"/>
    <w:rsid w:val="007B6609"/>
    <w:rsid w:val="007B66D7"/>
    <w:rsid w:val="007B67B5"/>
    <w:rsid w:val="007B684E"/>
    <w:rsid w:val="007B692A"/>
    <w:rsid w:val="007B6949"/>
    <w:rsid w:val="007B69F5"/>
    <w:rsid w:val="007B6A25"/>
    <w:rsid w:val="007B6AB9"/>
    <w:rsid w:val="007B6C7F"/>
    <w:rsid w:val="007B6D1A"/>
    <w:rsid w:val="007B7190"/>
    <w:rsid w:val="007B72CE"/>
    <w:rsid w:val="007B76CE"/>
    <w:rsid w:val="007B7775"/>
    <w:rsid w:val="007B7B72"/>
    <w:rsid w:val="007B7D64"/>
    <w:rsid w:val="007B7FA9"/>
    <w:rsid w:val="007C01C3"/>
    <w:rsid w:val="007C037B"/>
    <w:rsid w:val="007C0453"/>
    <w:rsid w:val="007C0663"/>
    <w:rsid w:val="007C084F"/>
    <w:rsid w:val="007C0A23"/>
    <w:rsid w:val="007C0EAB"/>
    <w:rsid w:val="007C0F88"/>
    <w:rsid w:val="007C12F5"/>
    <w:rsid w:val="007C1478"/>
    <w:rsid w:val="007C1846"/>
    <w:rsid w:val="007C18B7"/>
    <w:rsid w:val="007C1DE6"/>
    <w:rsid w:val="007C1F5E"/>
    <w:rsid w:val="007C276A"/>
    <w:rsid w:val="007C2D36"/>
    <w:rsid w:val="007C3162"/>
    <w:rsid w:val="007C3189"/>
    <w:rsid w:val="007C32F1"/>
    <w:rsid w:val="007C3492"/>
    <w:rsid w:val="007C3517"/>
    <w:rsid w:val="007C35F0"/>
    <w:rsid w:val="007C368C"/>
    <w:rsid w:val="007C376C"/>
    <w:rsid w:val="007C3870"/>
    <w:rsid w:val="007C3A2A"/>
    <w:rsid w:val="007C482B"/>
    <w:rsid w:val="007C49AA"/>
    <w:rsid w:val="007C4A57"/>
    <w:rsid w:val="007C4AC2"/>
    <w:rsid w:val="007C4D9A"/>
    <w:rsid w:val="007C4DAA"/>
    <w:rsid w:val="007C4FB8"/>
    <w:rsid w:val="007C5162"/>
    <w:rsid w:val="007C518D"/>
    <w:rsid w:val="007C5260"/>
    <w:rsid w:val="007C5371"/>
    <w:rsid w:val="007C53EA"/>
    <w:rsid w:val="007C5485"/>
    <w:rsid w:val="007C54A6"/>
    <w:rsid w:val="007C5BC6"/>
    <w:rsid w:val="007C5C28"/>
    <w:rsid w:val="007C5D4B"/>
    <w:rsid w:val="007C5D97"/>
    <w:rsid w:val="007C5F57"/>
    <w:rsid w:val="007C5F79"/>
    <w:rsid w:val="007C5FC3"/>
    <w:rsid w:val="007C614F"/>
    <w:rsid w:val="007C6211"/>
    <w:rsid w:val="007C62DF"/>
    <w:rsid w:val="007C659C"/>
    <w:rsid w:val="007C6809"/>
    <w:rsid w:val="007C68F5"/>
    <w:rsid w:val="007C6947"/>
    <w:rsid w:val="007C6BAB"/>
    <w:rsid w:val="007C6C0C"/>
    <w:rsid w:val="007C6CDC"/>
    <w:rsid w:val="007C6E81"/>
    <w:rsid w:val="007C7505"/>
    <w:rsid w:val="007C7818"/>
    <w:rsid w:val="007C78E8"/>
    <w:rsid w:val="007C79A8"/>
    <w:rsid w:val="007C79C3"/>
    <w:rsid w:val="007C7D62"/>
    <w:rsid w:val="007C7F40"/>
    <w:rsid w:val="007D0254"/>
    <w:rsid w:val="007D027C"/>
    <w:rsid w:val="007D0308"/>
    <w:rsid w:val="007D0473"/>
    <w:rsid w:val="007D04D3"/>
    <w:rsid w:val="007D05FE"/>
    <w:rsid w:val="007D06D1"/>
    <w:rsid w:val="007D0843"/>
    <w:rsid w:val="007D09BA"/>
    <w:rsid w:val="007D0A7E"/>
    <w:rsid w:val="007D0DA6"/>
    <w:rsid w:val="007D0E5E"/>
    <w:rsid w:val="007D11AF"/>
    <w:rsid w:val="007D16FD"/>
    <w:rsid w:val="007D172C"/>
    <w:rsid w:val="007D1CB1"/>
    <w:rsid w:val="007D1D3D"/>
    <w:rsid w:val="007D1FA7"/>
    <w:rsid w:val="007D2213"/>
    <w:rsid w:val="007D254D"/>
    <w:rsid w:val="007D276C"/>
    <w:rsid w:val="007D2ABC"/>
    <w:rsid w:val="007D34AE"/>
    <w:rsid w:val="007D363E"/>
    <w:rsid w:val="007D397C"/>
    <w:rsid w:val="007D3E27"/>
    <w:rsid w:val="007D3EDE"/>
    <w:rsid w:val="007D3F28"/>
    <w:rsid w:val="007D4097"/>
    <w:rsid w:val="007D44AA"/>
    <w:rsid w:val="007D455B"/>
    <w:rsid w:val="007D4827"/>
    <w:rsid w:val="007D4C67"/>
    <w:rsid w:val="007D4DC3"/>
    <w:rsid w:val="007D4E8A"/>
    <w:rsid w:val="007D4F93"/>
    <w:rsid w:val="007D4FAE"/>
    <w:rsid w:val="007D500A"/>
    <w:rsid w:val="007D527C"/>
    <w:rsid w:val="007D57F6"/>
    <w:rsid w:val="007D5A31"/>
    <w:rsid w:val="007D5B43"/>
    <w:rsid w:val="007D5B59"/>
    <w:rsid w:val="007D5C25"/>
    <w:rsid w:val="007D5F9B"/>
    <w:rsid w:val="007D6388"/>
    <w:rsid w:val="007D66A3"/>
    <w:rsid w:val="007D6757"/>
    <w:rsid w:val="007D715F"/>
    <w:rsid w:val="007D79A7"/>
    <w:rsid w:val="007D79CA"/>
    <w:rsid w:val="007E0B7C"/>
    <w:rsid w:val="007E0D10"/>
    <w:rsid w:val="007E0EE4"/>
    <w:rsid w:val="007E0F6A"/>
    <w:rsid w:val="007E10EC"/>
    <w:rsid w:val="007E118B"/>
    <w:rsid w:val="007E133A"/>
    <w:rsid w:val="007E1376"/>
    <w:rsid w:val="007E145F"/>
    <w:rsid w:val="007E1824"/>
    <w:rsid w:val="007E1981"/>
    <w:rsid w:val="007E1B9B"/>
    <w:rsid w:val="007E1C8D"/>
    <w:rsid w:val="007E2876"/>
    <w:rsid w:val="007E287F"/>
    <w:rsid w:val="007E2BAE"/>
    <w:rsid w:val="007E2C67"/>
    <w:rsid w:val="007E30BC"/>
    <w:rsid w:val="007E3382"/>
    <w:rsid w:val="007E339D"/>
    <w:rsid w:val="007E3AAC"/>
    <w:rsid w:val="007E3CDD"/>
    <w:rsid w:val="007E3DF9"/>
    <w:rsid w:val="007E3EFB"/>
    <w:rsid w:val="007E4526"/>
    <w:rsid w:val="007E452E"/>
    <w:rsid w:val="007E4567"/>
    <w:rsid w:val="007E480A"/>
    <w:rsid w:val="007E481F"/>
    <w:rsid w:val="007E4869"/>
    <w:rsid w:val="007E49B5"/>
    <w:rsid w:val="007E4BBD"/>
    <w:rsid w:val="007E4BF4"/>
    <w:rsid w:val="007E4CD5"/>
    <w:rsid w:val="007E4DC7"/>
    <w:rsid w:val="007E4E6F"/>
    <w:rsid w:val="007E5246"/>
    <w:rsid w:val="007E5819"/>
    <w:rsid w:val="007E598C"/>
    <w:rsid w:val="007E5E4D"/>
    <w:rsid w:val="007E5F39"/>
    <w:rsid w:val="007E6870"/>
    <w:rsid w:val="007E69D6"/>
    <w:rsid w:val="007E6CA4"/>
    <w:rsid w:val="007E6FE9"/>
    <w:rsid w:val="007E6FED"/>
    <w:rsid w:val="007E727C"/>
    <w:rsid w:val="007E742B"/>
    <w:rsid w:val="007E7544"/>
    <w:rsid w:val="007E7573"/>
    <w:rsid w:val="007E76C6"/>
    <w:rsid w:val="007E774C"/>
    <w:rsid w:val="007E77A1"/>
    <w:rsid w:val="007E7C1F"/>
    <w:rsid w:val="007E7F2A"/>
    <w:rsid w:val="007E7F36"/>
    <w:rsid w:val="007E7F6D"/>
    <w:rsid w:val="007E7FF6"/>
    <w:rsid w:val="007F016E"/>
    <w:rsid w:val="007F02A8"/>
    <w:rsid w:val="007F042F"/>
    <w:rsid w:val="007F0437"/>
    <w:rsid w:val="007F0488"/>
    <w:rsid w:val="007F04A0"/>
    <w:rsid w:val="007F0508"/>
    <w:rsid w:val="007F0B25"/>
    <w:rsid w:val="007F0BA0"/>
    <w:rsid w:val="007F0CB1"/>
    <w:rsid w:val="007F0D1A"/>
    <w:rsid w:val="007F0FA4"/>
    <w:rsid w:val="007F132B"/>
    <w:rsid w:val="007F1432"/>
    <w:rsid w:val="007F1646"/>
    <w:rsid w:val="007F1820"/>
    <w:rsid w:val="007F18BB"/>
    <w:rsid w:val="007F199A"/>
    <w:rsid w:val="007F1B88"/>
    <w:rsid w:val="007F1D8D"/>
    <w:rsid w:val="007F1E01"/>
    <w:rsid w:val="007F1E3C"/>
    <w:rsid w:val="007F1FFD"/>
    <w:rsid w:val="007F212E"/>
    <w:rsid w:val="007F266C"/>
    <w:rsid w:val="007F29D0"/>
    <w:rsid w:val="007F2B15"/>
    <w:rsid w:val="007F2C97"/>
    <w:rsid w:val="007F2CC2"/>
    <w:rsid w:val="007F2E22"/>
    <w:rsid w:val="007F2FD2"/>
    <w:rsid w:val="007F2FF9"/>
    <w:rsid w:val="007F33B9"/>
    <w:rsid w:val="007F3E02"/>
    <w:rsid w:val="007F415F"/>
    <w:rsid w:val="007F43DE"/>
    <w:rsid w:val="007F447A"/>
    <w:rsid w:val="007F44D5"/>
    <w:rsid w:val="007F4556"/>
    <w:rsid w:val="007F47A2"/>
    <w:rsid w:val="007F48CC"/>
    <w:rsid w:val="007F49DC"/>
    <w:rsid w:val="007F4B27"/>
    <w:rsid w:val="007F51B1"/>
    <w:rsid w:val="007F545A"/>
    <w:rsid w:val="007F5629"/>
    <w:rsid w:val="007F5702"/>
    <w:rsid w:val="007F58CC"/>
    <w:rsid w:val="007F5B40"/>
    <w:rsid w:val="007F5EAD"/>
    <w:rsid w:val="007F60A1"/>
    <w:rsid w:val="007F644B"/>
    <w:rsid w:val="007F67D7"/>
    <w:rsid w:val="007F68CD"/>
    <w:rsid w:val="007F6AD3"/>
    <w:rsid w:val="007F6D05"/>
    <w:rsid w:val="007F6D28"/>
    <w:rsid w:val="007F6FFF"/>
    <w:rsid w:val="007F70D7"/>
    <w:rsid w:val="007F71AE"/>
    <w:rsid w:val="007F71CA"/>
    <w:rsid w:val="007F74BC"/>
    <w:rsid w:val="007F78A6"/>
    <w:rsid w:val="007F7BBD"/>
    <w:rsid w:val="007F7DA9"/>
    <w:rsid w:val="007F7E19"/>
    <w:rsid w:val="007F7E80"/>
    <w:rsid w:val="008002EF"/>
    <w:rsid w:val="008005E7"/>
    <w:rsid w:val="0080097F"/>
    <w:rsid w:val="00800A66"/>
    <w:rsid w:val="00800BF3"/>
    <w:rsid w:val="00800FEE"/>
    <w:rsid w:val="008012AA"/>
    <w:rsid w:val="0080148C"/>
    <w:rsid w:val="008016D1"/>
    <w:rsid w:val="00801778"/>
    <w:rsid w:val="00801D7B"/>
    <w:rsid w:val="008020C0"/>
    <w:rsid w:val="008026BB"/>
    <w:rsid w:val="00803622"/>
    <w:rsid w:val="00803645"/>
    <w:rsid w:val="00803E03"/>
    <w:rsid w:val="008041F9"/>
    <w:rsid w:val="008043F6"/>
    <w:rsid w:val="008044B7"/>
    <w:rsid w:val="00804786"/>
    <w:rsid w:val="00804B9A"/>
    <w:rsid w:val="00805093"/>
    <w:rsid w:val="008057CA"/>
    <w:rsid w:val="008067A3"/>
    <w:rsid w:val="008067E5"/>
    <w:rsid w:val="00806846"/>
    <w:rsid w:val="00806C49"/>
    <w:rsid w:val="00806F2F"/>
    <w:rsid w:val="00806FDB"/>
    <w:rsid w:val="0080773B"/>
    <w:rsid w:val="008079D7"/>
    <w:rsid w:val="00807B6E"/>
    <w:rsid w:val="00807E1C"/>
    <w:rsid w:val="00807F2E"/>
    <w:rsid w:val="00807F63"/>
    <w:rsid w:val="008105B0"/>
    <w:rsid w:val="008106B8"/>
    <w:rsid w:val="008106E3"/>
    <w:rsid w:val="00810B5A"/>
    <w:rsid w:val="00810DBB"/>
    <w:rsid w:val="00810DEE"/>
    <w:rsid w:val="00810E8A"/>
    <w:rsid w:val="00811112"/>
    <w:rsid w:val="00811715"/>
    <w:rsid w:val="00811787"/>
    <w:rsid w:val="008118B8"/>
    <w:rsid w:val="008118EB"/>
    <w:rsid w:val="00811B24"/>
    <w:rsid w:val="00811D7C"/>
    <w:rsid w:val="00811EBA"/>
    <w:rsid w:val="008122BD"/>
    <w:rsid w:val="0081245C"/>
    <w:rsid w:val="00812A36"/>
    <w:rsid w:val="00812C26"/>
    <w:rsid w:val="00812C92"/>
    <w:rsid w:val="00812D49"/>
    <w:rsid w:val="00812EE6"/>
    <w:rsid w:val="008130BD"/>
    <w:rsid w:val="00813123"/>
    <w:rsid w:val="0081346F"/>
    <w:rsid w:val="0081388F"/>
    <w:rsid w:val="00813CB5"/>
    <w:rsid w:val="00813E07"/>
    <w:rsid w:val="00813E45"/>
    <w:rsid w:val="0081413A"/>
    <w:rsid w:val="008141F0"/>
    <w:rsid w:val="0081451D"/>
    <w:rsid w:val="008146BC"/>
    <w:rsid w:val="008146E4"/>
    <w:rsid w:val="0081478A"/>
    <w:rsid w:val="00814884"/>
    <w:rsid w:val="008148A7"/>
    <w:rsid w:val="008148E1"/>
    <w:rsid w:val="00814C3B"/>
    <w:rsid w:val="00814D0B"/>
    <w:rsid w:val="00814D21"/>
    <w:rsid w:val="00815206"/>
    <w:rsid w:val="00815313"/>
    <w:rsid w:val="0081536C"/>
    <w:rsid w:val="00815B38"/>
    <w:rsid w:val="00815DCF"/>
    <w:rsid w:val="008162B8"/>
    <w:rsid w:val="008162E9"/>
    <w:rsid w:val="008164C8"/>
    <w:rsid w:val="00816881"/>
    <w:rsid w:val="00816A6C"/>
    <w:rsid w:val="00817267"/>
    <w:rsid w:val="0081726F"/>
    <w:rsid w:val="00817286"/>
    <w:rsid w:val="008173E4"/>
    <w:rsid w:val="00817AB9"/>
    <w:rsid w:val="00817D9E"/>
    <w:rsid w:val="0082009F"/>
    <w:rsid w:val="00820274"/>
    <w:rsid w:val="008203ED"/>
    <w:rsid w:val="00820468"/>
    <w:rsid w:val="00820690"/>
    <w:rsid w:val="0082090A"/>
    <w:rsid w:val="00820ABD"/>
    <w:rsid w:val="00820CE5"/>
    <w:rsid w:val="00820CED"/>
    <w:rsid w:val="00820D78"/>
    <w:rsid w:val="008214A4"/>
    <w:rsid w:val="008218B0"/>
    <w:rsid w:val="00821B37"/>
    <w:rsid w:val="00821B7C"/>
    <w:rsid w:val="00821D3F"/>
    <w:rsid w:val="00821FED"/>
    <w:rsid w:val="0082230A"/>
    <w:rsid w:val="0082274F"/>
    <w:rsid w:val="008228DF"/>
    <w:rsid w:val="00822AB2"/>
    <w:rsid w:val="00822E66"/>
    <w:rsid w:val="00822F4A"/>
    <w:rsid w:val="00823130"/>
    <w:rsid w:val="008233B9"/>
    <w:rsid w:val="008235BF"/>
    <w:rsid w:val="0082361F"/>
    <w:rsid w:val="008236C5"/>
    <w:rsid w:val="008239D7"/>
    <w:rsid w:val="00823AE6"/>
    <w:rsid w:val="00823B3B"/>
    <w:rsid w:val="00823C0E"/>
    <w:rsid w:val="00823D20"/>
    <w:rsid w:val="00823EF7"/>
    <w:rsid w:val="00824258"/>
    <w:rsid w:val="00824398"/>
    <w:rsid w:val="008244E4"/>
    <w:rsid w:val="0082452F"/>
    <w:rsid w:val="00824848"/>
    <w:rsid w:val="00824937"/>
    <w:rsid w:val="00824986"/>
    <w:rsid w:val="00824D43"/>
    <w:rsid w:val="00824DEC"/>
    <w:rsid w:val="00824F05"/>
    <w:rsid w:val="00824F7F"/>
    <w:rsid w:val="00824F81"/>
    <w:rsid w:val="008250C1"/>
    <w:rsid w:val="008250E6"/>
    <w:rsid w:val="008253F8"/>
    <w:rsid w:val="00825435"/>
    <w:rsid w:val="0082573B"/>
    <w:rsid w:val="00825B1A"/>
    <w:rsid w:val="00825B74"/>
    <w:rsid w:val="00825FD6"/>
    <w:rsid w:val="0082622E"/>
    <w:rsid w:val="00826742"/>
    <w:rsid w:val="00826837"/>
    <w:rsid w:val="00826846"/>
    <w:rsid w:val="00826933"/>
    <w:rsid w:val="008269FF"/>
    <w:rsid w:val="0082703D"/>
    <w:rsid w:val="0082710E"/>
    <w:rsid w:val="00827526"/>
    <w:rsid w:val="00827732"/>
    <w:rsid w:val="00827758"/>
    <w:rsid w:val="008278B7"/>
    <w:rsid w:val="00827964"/>
    <w:rsid w:val="00827D02"/>
    <w:rsid w:val="00827E2C"/>
    <w:rsid w:val="008302A6"/>
    <w:rsid w:val="0083038B"/>
    <w:rsid w:val="0083041F"/>
    <w:rsid w:val="00830666"/>
    <w:rsid w:val="0083077C"/>
    <w:rsid w:val="00830824"/>
    <w:rsid w:val="0083089A"/>
    <w:rsid w:val="008309BB"/>
    <w:rsid w:val="00830A0D"/>
    <w:rsid w:val="00830A50"/>
    <w:rsid w:val="00831053"/>
    <w:rsid w:val="00831140"/>
    <w:rsid w:val="00831225"/>
    <w:rsid w:val="008313D0"/>
    <w:rsid w:val="008317B2"/>
    <w:rsid w:val="00831825"/>
    <w:rsid w:val="0083192D"/>
    <w:rsid w:val="00831A3D"/>
    <w:rsid w:val="00831BF2"/>
    <w:rsid w:val="00831E43"/>
    <w:rsid w:val="0083200A"/>
    <w:rsid w:val="00832539"/>
    <w:rsid w:val="00832776"/>
    <w:rsid w:val="00832D3D"/>
    <w:rsid w:val="00832E7F"/>
    <w:rsid w:val="008330EB"/>
    <w:rsid w:val="008332E0"/>
    <w:rsid w:val="00833385"/>
    <w:rsid w:val="008333EB"/>
    <w:rsid w:val="0083341B"/>
    <w:rsid w:val="00833942"/>
    <w:rsid w:val="008339A1"/>
    <w:rsid w:val="00833A4A"/>
    <w:rsid w:val="00833EDB"/>
    <w:rsid w:val="00834100"/>
    <w:rsid w:val="008342E2"/>
    <w:rsid w:val="008342EF"/>
    <w:rsid w:val="008343BA"/>
    <w:rsid w:val="0083461F"/>
    <w:rsid w:val="00834A19"/>
    <w:rsid w:val="00835053"/>
    <w:rsid w:val="00835320"/>
    <w:rsid w:val="00835434"/>
    <w:rsid w:val="00835652"/>
    <w:rsid w:val="00835937"/>
    <w:rsid w:val="00835BC9"/>
    <w:rsid w:val="00835C31"/>
    <w:rsid w:val="00835D19"/>
    <w:rsid w:val="0083614F"/>
    <w:rsid w:val="00836204"/>
    <w:rsid w:val="00836288"/>
    <w:rsid w:val="0083682D"/>
    <w:rsid w:val="008369DC"/>
    <w:rsid w:val="00836A92"/>
    <w:rsid w:val="00836AED"/>
    <w:rsid w:val="00836B4A"/>
    <w:rsid w:val="0083720E"/>
    <w:rsid w:val="00837503"/>
    <w:rsid w:val="00837664"/>
    <w:rsid w:val="008377B7"/>
    <w:rsid w:val="00837868"/>
    <w:rsid w:val="008379AF"/>
    <w:rsid w:val="00837A8F"/>
    <w:rsid w:val="00837B4C"/>
    <w:rsid w:val="00837C08"/>
    <w:rsid w:val="00837C55"/>
    <w:rsid w:val="00837F82"/>
    <w:rsid w:val="00840575"/>
    <w:rsid w:val="00840702"/>
    <w:rsid w:val="0084085B"/>
    <w:rsid w:val="00840ADD"/>
    <w:rsid w:val="00840B31"/>
    <w:rsid w:val="00840C48"/>
    <w:rsid w:val="00841058"/>
    <w:rsid w:val="0084115C"/>
    <w:rsid w:val="008416CC"/>
    <w:rsid w:val="00841885"/>
    <w:rsid w:val="00841BC5"/>
    <w:rsid w:val="00841DCB"/>
    <w:rsid w:val="00841DCC"/>
    <w:rsid w:val="0084222B"/>
    <w:rsid w:val="008422C0"/>
    <w:rsid w:val="00842358"/>
    <w:rsid w:val="00842569"/>
    <w:rsid w:val="0084258E"/>
    <w:rsid w:val="0084260A"/>
    <w:rsid w:val="00842A83"/>
    <w:rsid w:val="00842ADB"/>
    <w:rsid w:val="00842D9E"/>
    <w:rsid w:val="00843009"/>
    <w:rsid w:val="0084365E"/>
    <w:rsid w:val="008436B0"/>
    <w:rsid w:val="00843BCB"/>
    <w:rsid w:val="00844445"/>
    <w:rsid w:val="00844496"/>
    <w:rsid w:val="008444CF"/>
    <w:rsid w:val="00844A0B"/>
    <w:rsid w:val="00844AA8"/>
    <w:rsid w:val="00844B16"/>
    <w:rsid w:val="00844D57"/>
    <w:rsid w:val="00844F5A"/>
    <w:rsid w:val="008450DA"/>
    <w:rsid w:val="008453D4"/>
    <w:rsid w:val="008457FD"/>
    <w:rsid w:val="00845ADD"/>
    <w:rsid w:val="00845B61"/>
    <w:rsid w:val="00846043"/>
    <w:rsid w:val="00846254"/>
    <w:rsid w:val="00846356"/>
    <w:rsid w:val="00846373"/>
    <w:rsid w:val="0084661F"/>
    <w:rsid w:val="0084683B"/>
    <w:rsid w:val="0084692B"/>
    <w:rsid w:val="00846A18"/>
    <w:rsid w:val="00846AF3"/>
    <w:rsid w:val="00846B2A"/>
    <w:rsid w:val="00846BFE"/>
    <w:rsid w:val="00846E54"/>
    <w:rsid w:val="00846F8D"/>
    <w:rsid w:val="0084700B"/>
    <w:rsid w:val="0084705E"/>
    <w:rsid w:val="008475D0"/>
    <w:rsid w:val="00847701"/>
    <w:rsid w:val="00847859"/>
    <w:rsid w:val="00847D01"/>
    <w:rsid w:val="00847F50"/>
    <w:rsid w:val="00847F80"/>
    <w:rsid w:val="00847F8B"/>
    <w:rsid w:val="00847F91"/>
    <w:rsid w:val="0085008E"/>
    <w:rsid w:val="008500B8"/>
    <w:rsid w:val="00850170"/>
    <w:rsid w:val="0085058A"/>
    <w:rsid w:val="00850667"/>
    <w:rsid w:val="00850C04"/>
    <w:rsid w:val="00850D2C"/>
    <w:rsid w:val="00851037"/>
    <w:rsid w:val="00851362"/>
    <w:rsid w:val="008514B8"/>
    <w:rsid w:val="0085169F"/>
    <w:rsid w:val="0085175D"/>
    <w:rsid w:val="0085177E"/>
    <w:rsid w:val="0085181F"/>
    <w:rsid w:val="00851857"/>
    <w:rsid w:val="00851BA0"/>
    <w:rsid w:val="00851C96"/>
    <w:rsid w:val="00851D19"/>
    <w:rsid w:val="00851F53"/>
    <w:rsid w:val="00852397"/>
    <w:rsid w:val="008523A7"/>
    <w:rsid w:val="008524BE"/>
    <w:rsid w:val="008525C2"/>
    <w:rsid w:val="008527DD"/>
    <w:rsid w:val="00852A97"/>
    <w:rsid w:val="00852DAE"/>
    <w:rsid w:val="00852DFA"/>
    <w:rsid w:val="0085303A"/>
    <w:rsid w:val="0085372D"/>
    <w:rsid w:val="00853BB0"/>
    <w:rsid w:val="008542A1"/>
    <w:rsid w:val="00854556"/>
    <w:rsid w:val="00854B2C"/>
    <w:rsid w:val="00854B5B"/>
    <w:rsid w:val="00854B78"/>
    <w:rsid w:val="00854E41"/>
    <w:rsid w:val="008554FB"/>
    <w:rsid w:val="008556E0"/>
    <w:rsid w:val="0085588B"/>
    <w:rsid w:val="008558A3"/>
    <w:rsid w:val="00855A7F"/>
    <w:rsid w:val="00855CE7"/>
    <w:rsid w:val="00855E6B"/>
    <w:rsid w:val="00856097"/>
    <w:rsid w:val="0085629B"/>
    <w:rsid w:val="008568DB"/>
    <w:rsid w:val="008569E3"/>
    <w:rsid w:val="00856EB8"/>
    <w:rsid w:val="00856F2A"/>
    <w:rsid w:val="00857173"/>
    <w:rsid w:val="008572B2"/>
    <w:rsid w:val="008576F3"/>
    <w:rsid w:val="00857760"/>
    <w:rsid w:val="008579AA"/>
    <w:rsid w:val="00857D8B"/>
    <w:rsid w:val="00857F4D"/>
    <w:rsid w:val="008600C8"/>
    <w:rsid w:val="008602B9"/>
    <w:rsid w:val="008604DB"/>
    <w:rsid w:val="00860575"/>
    <w:rsid w:val="00860591"/>
    <w:rsid w:val="00860620"/>
    <w:rsid w:val="00860B31"/>
    <w:rsid w:val="00860C06"/>
    <w:rsid w:val="00860CA1"/>
    <w:rsid w:val="00860CDD"/>
    <w:rsid w:val="00860F37"/>
    <w:rsid w:val="00861242"/>
    <w:rsid w:val="00861567"/>
    <w:rsid w:val="0086176C"/>
    <w:rsid w:val="00861A88"/>
    <w:rsid w:val="00861D0E"/>
    <w:rsid w:val="00861D8B"/>
    <w:rsid w:val="0086205C"/>
    <w:rsid w:val="008620EB"/>
    <w:rsid w:val="00862156"/>
    <w:rsid w:val="00862492"/>
    <w:rsid w:val="008626F9"/>
    <w:rsid w:val="0086287E"/>
    <w:rsid w:val="00862E05"/>
    <w:rsid w:val="00862F68"/>
    <w:rsid w:val="00863043"/>
    <w:rsid w:val="00863252"/>
    <w:rsid w:val="00863298"/>
    <w:rsid w:val="008633C3"/>
    <w:rsid w:val="00863686"/>
    <w:rsid w:val="00863AC8"/>
    <w:rsid w:val="00863B4E"/>
    <w:rsid w:val="00863C55"/>
    <w:rsid w:val="00863D2D"/>
    <w:rsid w:val="00864076"/>
    <w:rsid w:val="0086439B"/>
    <w:rsid w:val="00864594"/>
    <w:rsid w:val="0086487F"/>
    <w:rsid w:val="00864880"/>
    <w:rsid w:val="00864954"/>
    <w:rsid w:val="00864BB0"/>
    <w:rsid w:val="00864C2F"/>
    <w:rsid w:val="00864D9C"/>
    <w:rsid w:val="00864FC2"/>
    <w:rsid w:val="008650B3"/>
    <w:rsid w:val="008657B2"/>
    <w:rsid w:val="00865CB3"/>
    <w:rsid w:val="00865D9B"/>
    <w:rsid w:val="008662BE"/>
    <w:rsid w:val="00866617"/>
    <w:rsid w:val="008667F1"/>
    <w:rsid w:val="0086684F"/>
    <w:rsid w:val="00866AAD"/>
    <w:rsid w:val="00866BAB"/>
    <w:rsid w:val="00866D9D"/>
    <w:rsid w:val="00867172"/>
    <w:rsid w:val="008675D2"/>
    <w:rsid w:val="008676CD"/>
    <w:rsid w:val="008677B2"/>
    <w:rsid w:val="0086790F"/>
    <w:rsid w:val="00867D47"/>
    <w:rsid w:val="00867E59"/>
    <w:rsid w:val="00867ED4"/>
    <w:rsid w:val="0087030E"/>
    <w:rsid w:val="008703AF"/>
    <w:rsid w:val="008708C1"/>
    <w:rsid w:val="0087097D"/>
    <w:rsid w:val="00870A7C"/>
    <w:rsid w:val="00870B9E"/>
    <w:rsid w:val="0087106E"/>
    <w:rsid w:val="008715E2"/>
    <w:rsid w:val="00871875"/>
    <w:rsid w:val="00871876"/>
    <w:rsid w:val="008718BD"/>
    <w:rsid w:val="008719FC"/>
    <w:rsid w:val="00871A7D"/>
    <w:rsid w:val="00871CCF"/>
    <w:rsid w:val="00871D2C"/>
    <w:rsid w:val="00872040"/>
    <w:rsid w:val="0087216F"/>
    <w:rsid w:val="00872528"/>
    <w:rsid w:val="008725B2"/>
    <w:rsid w:val="008726E5"/>
    <w:rsid w:val="00872917"/>
    <w:rsid w:val="00872BEC"/>
    <w:rsid w:val="00872C05"/>
    <w:rsid w:val="00872D46"/>
    <w:rsid w:val="00872DD6"/>
    <w:rsid w:val="00872F16"/>
    <w:rsid w:val="0087322B"/>
    <w:rsid w:val="008735A5"/>
    <w:rsid w:val="0087378D"/>
    <w:rsid w:val="00873EAF"/>
    <w:rsid w:val="00873FF4"/>
    <w:rsid w:val="0087407B"/>
    <w:rsid w:val="00874103"/>
    <w:rsid w:val="00874239"/>
    <w:rsid w:val="00874581"/>
    <w:rsid w:val="008746B9"/>
    <w:rsid w:val="00874981"/>
    <w:rsid w:val="00874A03"/>
    <w:rsid w:val="00874C26"/>
    <w:rsid w:val="00874CD3"/>
    <w:rsid w:val="00874D34"/>
    <w:rsid w:val="00875099"/>
    <w:rsid w:val="008752AC"/>
    <w:rsid w:val="008752B4"/>
    <w:rsid w:val="00875500"/>
    <w:rsid w:val="00875527"/>
    <w:rsid w:val="008755D4"/>
    <w:rsid w:val="00875911"/>
    <w:rsid w:val="00875FED"/>
    <w:rsid w:val="00876210"/>
    <w:rsid w:val="0087642B"/>
    <w:rsid w:val="0087663A"/>
    <w:rsid w:val="0087663E"/>
    <w:rsid w:val="008766CA"/>
    <w:rsid w:val="0087678A"/>
    <w:rsid w:val="008767FE"/>
    <w:rsid w:val="00876AC6"/>
    <w:rsid w:val="00876F5B"/>
    <w:rsid w:val="00877185"/>
    <w:rsid w:val="00877660"/>
    <w:rsid w:val="0087769A"/>
    <w:rsid w:val="00877A08"/>
    <w:rsid w:val="00877A3F"/>
    <w:rsid w:val="00877D76"/>
    <w:rsid w:val="00877F97"/>
    <w:rsid w:val="00877FAC"/>
    <w:rsid w:val="00880041"/>
    <w:rsid w:val="008801A0"/>
    <w:rsid w:val="008803C7"/>
    <w:rsid w:val="0088040E"/>
    <w:rsid w:val="008807E2"/>
    <w:rsid w:val="00880881"/>
    <w:rsid w:val="00880BCF"/>
    <w:rsid w:val="00880FFD"/>
    <w:rsid w:val="00881020"/>
    <w:rsid w:val="008810ED"/>
    <w:rsid w:val="008812E5"/>
    <w:rsid w:val="008813D6"/>
    <w:rsid w:val="008814D1"/>
    <w:rsid w:val="008815CC"/>
    <w:rsid w:val="008815DB"/>
    <w:rsid w:val="00881705"/>
    <w:rsid w:val="00881C45"/>
    <w:rsid w:val="00881E11"/>
    <w:rsid w:val="00881E43"/>
    <w:rsid w:val="00881EC6"/>
    <w:rsid w:val="008820BB"/>
    <w:rsid w:val="0088231A"/>
    <w:rsid w:val="008825DF"/>
    <w:rsid w:val="00882641"/>
    <w:rsid w:val="00882C1B"/>
    <w:rsid w:val="00882D9B"/>
    <w:rsid w:val="00882DCD"/>
    <w:rsid w:val="0088344E"/>
    <w:rsid w:val="0088348C"/>
    <w:rsid w:val="00883606"/>
    <w:rsid w:val="00883690"/>
    <w:rsid w:val="008836AF"/>
    <w:rsid w:val="00883872"/>
    <w:rsid w:val="0088398F"/>
    <w:rsid w:val="00883A57"/>
    <w:rsid w:val="00883EFF"/>
    <w:rsid w:val="008841B6"/>
    <w:rsid w:val="00884711"/>
    <w:rsid w:val="008848FB"/>
    <w:rsid w:val="00884F9B"/>
    <w:rsid w:val="00885202"/>
    <w:rsid w:val="00885451"/>
    <w:rsid w:val="008857BB"/>
    <w:rsid w:val="00885909"/>
    <w:rsid w:val="00885A68"/>
    <w:rsid w:val="00885B7E"/>
    <w:rsid w:val="00885D06"/>
    <w:rsid w:val="008860EC"/>
    <w:rsid w:val="008861DE"/>
    <w:rsid w:val="00886472"/>
    <w:rsid w:val="008868ED"/>
    <w:rsid w:val="00886979"/>
    <w:rsid w:val="00886A90"/>
    <w:rsid w:val="00886B2E"/>
    <w:rsid w:val="00886CA2"/>
    <w:rsid w:val="00886CF7"/>
    <w:rsid w:val="00886E47"/>
    <w:rsid w:val="00886F61"/>
    <w:rsid w:val="00886FDC"/>
    <w:rsid w:val="00886FFE"/>
    <w:rsid w:val="0088739A"/>
    <w:rsid w:val="00887402"/>
    <w:rsid w:val="008874AC"/>
    <w:rsid w:val="0088758B"/>
    <w:rsid w:val="008878FA"/>
    <w:rsid w:val="00887AF2"/>
    <w:rsid w:val="00887D35"/>
    <w:rsid w:val="00887F72"/>
    <w:rsid w:val="00887FAF"/>
    <w:rsid w:val="008901AF"/>
    <w:rsid w:val="008905F7"/>
    <w:rsid w:val="008907D8"/>
    <w:rsid w:val="00890804"/>
    <w:rsid w:val="00890A28"/>
    <w:rsid w:val="00890F38"/>
    <w:rsid w:val="00891436"/>
    <w:rsid w:val="008916B7"/>
    <w:rsid w:val="00891728"/>
    <w:rsid w:val="00891762"/>
    <w:rsid w:val="008917F4"/>
    <w:rsid w:val="00891A4D"/>
    <w:rsid w:val="00891A7A"/>
    <w:rsid w:val="00891C6A"/>
    <w:rsid w:val="00891D56"/>
    <w:rsid w:val="00891DF0"/>
    <w:rsid w:val="00891F60"/>
    <w:rsid w:val="00892010"/>
    <w:rsid w:val="00892279"/>
    <w:rsid w:val="008923F2"/>
    <w:rsid w:val="008926E1"/>
    <w:rsid w:val="0089286C"/>
    <w:rsid w:val="00892BE0"/>
    <w:rsid w:val="00892CF8"/>
    <w:rsid w:val="00892E7E"/>
    <w:rsid w:val="0089329C"/>
    <w:rsid w:val="0089342A"/>
    <w:rsid w:val="00893472"/>
    <w:rsid w:val="008935F1"/>
    <w:rsid w:val="00893AF4"/>
    <w:rsid w:val="00893B76"/>
    <w:rsid w:val="00893BBA"/>
    <w:rsid w:val="00893C2E"/>
    <w:rsid w:val="00893F5F"/>
    <w:rsid w:val="00894079"/>
    <w:rsid w:val="00894082"/>
    <w:rsid w:val="008948C5"/>
    <w:rsid w:val="008949D6"/>
    <w:rsid w:val="00894CFE"/>
    <w:rsid w:val="00894FD7"/>
    <w:rsid w:val="008951EC"/>
    <w:rsid w:val="0089535D"/>
    <w:rsid w:val="0089542A"/>
    <w:rsid w:val="00895456"/>
    <w:rsid w:val="008955F1"/>
    <w:rsid w:val="008957D6"/>
    <w:rsid w:val="0089583A"/>
    <w:rsid w:val="0089588C"/>
    <w:rsid w:val="00895A48"/>
    <w:rsid w:val="00895AA4"/>
    <w:rsid w:val="00895B5B"/>
    <w:rsid w:val="00895C00"/>
    <w:rsid w:val="00895CF6"/>
    <w:rsid w:val="00895DF7"/>
    <w:rsid w:val="00895EAD"/>
    <w:rsid w:val="00896177"/>
    <w:rsid w:val="008965CE"/>
    <w:rsid w:val="008965E2"/>
    <w:rsid w:val="008968C1"/>
    <w:rsid w:val="00896A75"/>
    <w:rsid w:val="00896CD2"/>
    <w:rsid w:val="00896E58"/>
    <w:rsid w:val="00896ECD"/>
    <w:rsid w:val="008971A2"/>
    <w:rsid w:val="008972EA"/>
    <w:rsid w:val="0089749F"/>
    <w:rsid w:val="00897674"/>
    <w:rsid w:val="0089778A"/>
    <w:rsid w:val="0089789A"/>
    <w:rsid w:val="0089789C"/>
    <w:rsid w:val="00897DC6"/>
    <w:rsid w:val="00897EE0"/>
    <w:rsid w:val="00897EF6"/>
    <w:rsid w:val="008A041E"/>
    <w:rsid w:val="008A0699"/>
    <w:rsid w:val="008A07CF"/>
    <w:rsid w:val="008A0853"/>
    <w:rsid w:val="008A0AF7"/>
    <w:rsid w:val="008A0E68"/>
    <w:rsid w:val="008A0E77"/>
    <w:rsid w:val="008A11A9"/>
    <w:rsid w:val="008A11ED"/>
    <w:rsid w:val="008A13F1"/>
    <w:rsid w:val="008A1546"/>
    <w:rsid w:val="008A175D"/>
    <w:rsid w:val="008A1A88"/>
    <w:rsid w:val="008A1B20"/>
    <w:rsid w:val="008A1D4C"/>
    <w:rsid w:val="008A218E"/>
    <w:rsid w:val="008A229F"/>
    <w:rsid w:val="008A238C"/>
    <w:rsid w:val="008A24E2"/>
    <w:rsid w:val="008A24E7"/>
    <w:rsid w:val="008A2677"/>
    <w:rsid w:val="008A275B"/>
    <w:rsid w:val="008A2A22"/>
    <w:rsid w:val="008A2DE8"/>
    <w:rsid w:val="008A2F96"/>
    <w:rsid w:val="008A30EC"/>
    <w:rsid w:val="008A328E"/>
    <w:rsid w:val="008A37A5"/>
    <w:rsid w:val="008A37A8"/>
    <w:rsid w:val="008A3983"/>
    <w:rsid w:val="008A39F1"/>
    <w:rsid w:val="008A3BD3"/>
    <w:rsid w:val="008A4106"/>
    <w:rsid w:val="008A41BE"/>
    <w:rsid w:val="008A4203"/>
    <w:rsid w:val="008A426C"/>
    <w:rsid w:val="008A42B2"/>
    <w:rsid w:val="008A47B4"/>
    <w:rsid w:val="008A4956"/>
    <w:rsid w:val="008A4AEA"/>
    <w:rsid w:val="008A4CCF"/>
    <w:rsid w:val="008A506C"/>
    <w:rsid w:val="008A5155"/>
    <w:rsid w:val="008A5366"/>
    <w:rsid w:val="008A5476"/>
    <w:rsid w:val="008A5518"/>
    <w:rsid w:val="008A559C"/>
    <w:rsid w:val="008A5658"/>
    <w:rsid w:val="008A596D"/>
    <w:rsid w:val="008A5AC6"/>
    <w:rsid w:val="008A5C39"/>
    <w:rsid w:val="008A5E28"/>
    <w:rsid w:val="008A5FCD"/>
    <w:rsid w:val="008A6264"/>
    <w:rsid w:val="008A62CB"/>
    <w:rsid w:val="008A6782"/>
    <w:rsid w:val="008A68E1"/>
    <w:rsid w:val="008A6D0A"/>
    <w:rsid w:val="008A6EB8"/>
    <w:rsid w:val="008A7B44"/>
    <w:rsid w:val="008B00B9"/>
    <w:rsid w:val="008B04B4"/>
    <w:rsid w:val="008B09E7"/>
    <w:rsid w:val="008B0B62"/>
    <w:rsid w:val="008B0D94"/>
    <w:rsid w:val="008B0E8E"/>
    <w:rsid w:val="008B0FE1"/>
    <w:rsid w:val="008B158C"/>
    <w:rsid w:val="008B192D"/>
    <w:rsid w:val="008B19F9"/>
    <w:rsid w:val="008B1B2A"/>
    <w:rsid w:val="008B1F3A"/>
    <w:rsid w:val="008B20F1"/>
    <w:rsid w:val="008B22DD"/>
    <w:rsid w:val="008B26C7"/>
    <w:rsid w:val="008B28B4"/>
    <w:rsid w:val="008B28D7"/>
    <w:rsid w:val="008B2AED"/>
    <w:rsid w:val="008B2FD5"/>
    <w:rsid w:val="008B3152"/>
    <w:rsid w:val="008B323A"/>
    <w:rsid w:val="008B361E"/>
    <w:rsid w:val="008B41F8"/>
    <w:rsid w:val="008B4251"/>
    <w:rsid w:val="008B4256"/>
    <w:rsid w:val="008B4472"/>
    <w:rsid w:val="008B4585"/>
    <w:rsid w:val="008B4899"/>
    <w:rsid w:val="008B4910"/>
    <w:rsid w:val="008B4A19"/>
    <w:rsid w:val="008B4F1F"/>
    <w:rsid w:val="008B52AC"/>
    <w:rsid w:val="008B52B0"/>
    <w:rsid w:val="008B539E"/>
    <w:rsid w:val="008B54AE"/>
    <w:rsid w:val="008B5B16"/>
    <w:rsid w:val="008B5F76"/>
    <w:rsid w:val="008B6229"/>
    <w:rsid w:val="008B6264"/>
    <w:rsid w:val="008B6358"/>
    <w:rsid w:val="008B65CE"/>
    <w:rsid w:val="008B65EE"/>
    <w:rsid w:val="008B6973"/>
    <w:rsid w:val="008B69C1"/>
    <w:rsid w:val="008B6EE3"/>
    <w:rsid w:val="008B799A"/>
    <w:rsid w:val="008B7E90"/>
    <w:rsid w:val="008C0404"/>
    <w:rsid w:val="008C04A5"/>
    <w:rsid w:val="008C05CE"/>
    <w:rsid w:val="008C06BC"/>
    <w:rsid w:val="008C090A"/>
    <w:rsid w:val="008C0E4C"/>
    <w:rsid w:val="008C105A"/>
    <w:rsid w:val="008C14C0"/>
    <w:rsid w:val="008C16F4"/>
    <w:rsid w:val="008C179D"/>
    <w:rsid w:val="008C1806"/>
    <w:rsid w:val="008C1D67"/>
    <w:rsid w:val="008C2025"/>
    <w:rsid w:val="008C217F"/>
    <w:rsid w:val="008C219A"/>
    <w:rsid w:val="008C21A3"/>
    <w:rsid w:val="008C2254"/>
    <w:rsid w:val="008C22AF"/>
    <w:rsid w:val="008C2398"/>
    <w:rsid w:val="008C2465"/>
    <w:rsid w:val="008C2474"/>
    <w:rsid w:val="008C2625"/>
    <w:rsid w:val="008C267A"/>
    <w:rsid w:val="008C2719"/>
    <w:rsid w:val="008C281A"/>
    <w:rsid w:val="008C2ADE"/>
    <w:rsid w:val="008C2CC3"/>
    <w:rsid w:val="008C2DC4"/>
    <w:rsid w:val="008C2ED0"/>
    <w:rsid w:val="008C2FB2"/>
    <w:rsid w:val="008C3607"/>
    <w:rsid w:val="008C39AD"/>
    <w:rsid w:val="008C3C4E"/>
    <w:rsid w:val="008C3C63"/>
    <w:rsid w:val="008C3EA1"/>
    <w:rsid w:val="008C4441"/>
    <w:rsid w:val="008C4ED0"/>
    <w:rsid w:val="008C4F8D"/>
    <w:rsid w:val="008C5304"/>
    <w:rsid w:val="008C579B"/>
    <w:rsid w:val="008C5996"/>
    <w:rsid w:val="008C5CC3"/>
    <w:rsid w:val="008C60CF"/>
    <w:rsid w:val="008C6374"/>
    <w:rsid w:val="008C63F6"/>
    <w:rsid w:val="008C6601"/>
    <w:rsid w:val="008C669B"/>
    <w:rsid w:val="008C67B1"/>
    <w:rsid w:val="008C6973"/>
    <w:rsid w:val="008C6D48"/>
    <w:rsid w:val="008C6F74"/>
    <w:rsid w:val="008C728C"/>
    <w:rsid w:val="008C7348"/>
    <w:rsid w:val="008C776D"/>
    <w:rsid w:val="008C7973"/>
    <w:rsid w:val="008C7B5B"/>
    <w:rsid w:val="008C7DA5"/>
    <w:rsid w:val="008D0249"/>
    <w:rsid w:val="008D028C"/>
    <w:rsid w:val="008D04AE"/>
    <w:rsid w:val="008D085A"/>
    <w:rsid w:val="008D0A0B"/>
    <w:rsid w:val="008D0B21"/>
    <w:rsid w:val="008D0B80"/>
    <w:rsid w:val="008D0E1E"/>
    <w:rsid w:val="008D0FA8"/>
    <w:rsid w:val="008D0FDF"/>
    <w:rsid w:val="008D1B0F"/>
    <w:rsid w:val="008D2011"/>
    <w:rsid w:val="008D228E"/>
    <w:rsid w:val="008D2322"/>
    <w:rsid w:val="008D27E0"/>
    <w:rsid w:val="008D2E11"/>
    <w:rsid w:val="008D2F7F"/>
    <w:rsid w:val="008D3087"/>
    <w:rsid w:val="008D3530"/>
    <w:rsid w:val="008D364A"/>
    <w:rsid w:val="008D3720"/>
    <w:rsid w:val="008D373A"/>
    <w:rsid w:val="008D397F"/>
    <w:rsid w:val="008D3ABB"/>
    <w:rsid w:val="008D3BC8"/>
    <w:rsid w:val="008D3D26"/>
    <w:rsid w:val="008D3D93"/>
    <w:rsid w:val="008D3E02"/>
    <w:rsid w:val="008D3E98"/>
    <w:rsid w:val="008D4386"/>
    <w:rsid w:val="008D4578"/>
    <w:rsid w:val="008D47D7"/>
    <w:rsid w:val="008D496B"/>
    <w:rsid w:val="008D4CD4"/>
    <w:rsid w:val="008D4DD5"/>
    <w:rsid w:val="008D4F37"/>
    <w:rsid w:val="008D50E4"/>
    <w:rsid w:val="008D5251"/>
    <w:rsid w:val="008D52FF"/>
    <w:rsid w:val="008D540E"/>
    <w:rsid w:val="008D5438"/>
    <w:rsid w:val="008D54B4"/>
    <w:rsid w:val="008D5645"/>
    <w:rsid w:val="008D58A9"/>
    <w:rsid w:val="008D5995"/>
    <w:rsid w:val="008D5AFC"/>
    <w:rsid w:val="008D5B5E"/>
    <w:rsid w:val="008D5D26"/>
    <w:rsid w:val="008D5DBD"/>
    <w:rsid w:val="008D5F9E"/>
    <w:rsid w:val="008D64FD"/>
    <w:rsid w:val="008D650C"/>
    <w:rsid w:val="008D652A"/>
    <w:rsid w:val="008D6639"/>
    <w:rsid w:val="008D6928"/>
    <w:rsid w:val="008D693B"/>
    <w:rsid w:val="008D6942"/>
    <w:rsid w:val="008D6982"/>
    <w:rsid w:val="008D6B07"/>
    <w:rsid w:val="008D6BE3"/>
    <w:rsid w:val="008D7214"/>
    <w:rsid w:val="008D76CA"/>
    <w:rsid w:val="008D7B98"/>
    <w:rsid w:val="008D7BAB"/>
    <w:rsid w:val="008D7F39"/>
    <w:rsid w:val="008D7F5C"/>
    <w:rsid w:val="008E00D7"/>
    <w:rsid w:val="008E0101"/>
    <w:rsid w:val="008E03ED"/>
    <w:rsid w:val="008E0A40"/>
    <w:rsid w:val="008E0C3C"/>
    <w:rsid w:val="008E0CC0"/>
    <w:rsid w:val="008E1402"/>
    <w:rsid w:val="008E18C2"/>
    <w:rsid w:val="008E1A39"/>
    <w:rsid w:val="008E1EE0"/>
    <w:rsid w:val="008E1EFF"/>
    <w:rsid w:val="008E22AF"/>
    <w:rsid w:val="008E232D"/>
    <w:rsid w:val="008E278F"/>
    <w:rsid w:val="008E2D59"/>
    <w:rsid w:val="008E2F76"/>
    <w:rsid w:val="008E3491"/>
    <w:rsid w:val="008E3994"/>
    <w:rsid w:val="008E3A49"/>
    <w:rsid w:val="008E3F32"/>
    <w:rsid w:val="008E40CD"/>
    <w:rsid w:val="008E4194"/>
    <w:rsid w:val="008E41BD"/>
    <w:rsid w:val="008E489F"/>
    <w:rsid w:val="008E48F6"/>
    <w:rsid w:val="008E4A90"/>
    <w:rsid w:val="008E4B6A"/>
    <w:rsid w:val="008E5141"/>
    <w:rsid w:val="008E527E"/>
    <w:rsid w:val="008E5390"/>
    <w:rsid w:val="008E563F"/>
    <w:rsid w:val="008E5738"/>
    <w:rsid w:val="008E57BC"/>
    <w:rsid w:val="008E58DE"/>
    <w:rsid w:val="008E59B2"/>
    <w:rsid w:val="008E5A84"/>
    <w:rsid w:val="008E5EAA"/>
    <w:rsid w:val="008E5EBB"/>
    <w:rsid w:val="008E727C"/>
    <w:rsid w:val="008E75FB"/>
    <w:rsid w:val="008E76E0"/>
    <w:rsid w:val="008E78A9"/>
    <w:rsid w:val="008E7960"/>
    <w:rsid w:val="008E7CCC"/>
    <w:rsid w:val="008E7E2E"/>
    <w:rsid w:val="008F017F"/>
    <w:rsid w:val="008F0352"/>
    <w:rsid w:val="008F03AF"/>
    <w:rsid w:val="008F05BD"/>
    <w:rsid w:val="008F0AFD"/>
    <w:rsid w:val="008F0BB7"/>
    <w:rsid w:val="008F0D2F"/>
    <w:rsid w:val="008F1053"/>
    <w:rsid w:val="008F133B"/>
    <w:rsid w:val="008F13F5"/>
    <w:rsid w:val="008F1519"/>
    <w:rsid w:val="008F163B"/>
    <w:rsid w:val="008F1698"/>
    <w:rsid w:val="008F17AB"/>
    <w:rsid w:val="008F1890"/>
    <w:rsid w:val="008F1BDF"/>
    <w:rsid w:val="008F1DDD"/>
    <w:rsid w:val="008F1DE3"/>
    <w:rsid w:val="008F1F9B"/>
    <w:rsid w:val="008F220E"/>
    <w:rsid w:val="008F2237"/>
    <w:rsid w:val="008F26F6"/>
    <w:rsid w:val="008F2825"/>
    <w:rsid w:val="008F2866"/>
    <w:rsid w:val="008F2A55"/>
    <w:rsid w:val="008F2B9D"/>
    <w:rsid w:val="008F30D4"/>
    <w:rsid w:val="008F322E"/>
    <w:rsid w:val="008F33E3"/>
    <w:rsid w:val="008F3549"/>
    <w:rsid w:val="008F36B6"/>
    <w:rsid w:val="008F3726"/>
    <w:rsid w:val="008F3A37"/>
    <w:rsid w:val="008F3AA1"/>
    <w:rsid w:val="008F3F73"/>
    <w:rsid w:val="008F403D"/>
    <w:rsid w:val="008F44D9"/>
    <w:rsid w:val="008F46DE"/>
    <w:rsid w:val="008F4AEB"/>
    <w:rsid w:val="008F4CE0"/>
    <w:rsid w:val="008F4DBD"/>
    <w:rsid w:val="008F4DE3"/>
    <w:rsid w:val="008F4EDF"/>
    <w:rsid w:val="008F50E1"/>
    <w:rsid w:val="008F51F9"/>
    <w:rsid w:val="008F5610"/>
    <w:rsid w:val="008F569E"/>
    <w:rsid w:val="008F579D"/>
    <w:rsid w:val="008F58DD"/>
    <w:rsid w:val="008F5A50"/>
    <w:rsid w:val="008F6016"/>
    <w:rsid w:val="008F60A2"/>
    <w:rsid w:val="008F60D9"/>
    <w:rsid w:val="008F60DD"/>
    <w:rsid w:val="008F6342"/>
    <w:rsid w:val="008F667D"/>
    <w:rsid w:val="008F70D5"/>
    <w:rsid w:val="008F7143"/>
    <w:rsid w:val="008F7A6A"/>
    <w:rsid w:val="008F7B9F"/>
    <w:rsid w:val="00900012"/>
    <w:rsid w:val="009000ED"/>
    <w:rsid w:val="0090019B"/>
    <w:rsid w:val="0090035F"/>
    <w:rsid w:val="00900491"/>
    <w:rsid w:val="0090058B"/>
    <w:rsid w:val="0090065E"/>
    <w:rsid w:val="00900CBA"/>
    <w:rsid w:val="00901013"/>
    <w:rsid w:val="00901034"/>
    <w:rsid w:val="009011D4"/>
    <w:rsid w:val="00901255"/>
    <w:rsid w:val="009012B9"/>
    <w:rsid w:val="009012BE"/>
    <w:rsid w:val="009014FB"/>
    <w:rsid w:val="0090151F"/>
    <w:rsid w:val="0090195D"/>
    <w:rsid w:val="00901B57"/>
    <w:rsid w:val="00901BC2"/>
    <w:rsid w:val="00901D95"/>
    <w:rsid w:val="00901DC3"/>
    <w:rsid w:val="00901DE5"/>
    <w:rsid w:val="00901E10"/>
    <w:rsid w:val="00901EE3"/>
    <w:rsid w:val="009028E1"/>
    <w:rsid w:val="00902AB3"/>
    <w:rsid w:val="00902B06"/>
    <w:rsid w:val="00902B93"/>
    <w:rsid w:val="00902C00"/>
    <w:rsid w:val="00902C4D"/>
    <w:rsid w:val="00902CC8"/>
    <w:rsid w:val="00902CE1"/>
    <w:rsid w:val="00902CE6"/>
    <w:rsid w:val="0090309F"/>
    <w:rsid w:val="009034A7"/>
    <w:rsid w:val="009034B0"/>
    <w:rsid w:val="0090350E"/>
    <w:rsid w:val="0090382E"/>
    <w:rsid w:val="00903939"/>
    <w:rsid w:val="00903B44"/>
    <w:rsid w:val="00904037"/>
    <w:rsid w:val="00904222"/>
    <w:rsid w:val="00904594"/>
    <w:rsid w:val="0090466F"/>
    <w:rsid w:val="00904A71"/>
    <w:rsid w:val="00904AAB"/>
    <w:rsid w:val="00904E49"/>
    <w:rsid w:val="00905146"/>
    <w:rsid w:val="009055CA"/>
    <w:rsid w:val="00905C5A"/>
    <w:rsid w:val="00905D69"/>
    <w:rsid w:val="00905F6F"/>
    <w:rsid w:val="0090615D"/>
    <w:rsid w:val="0090622A"/>
    <w:rsid w:val="009062B8"/>
    <w:rsid w:val="009062BC"/>
    <w:rsid w:val="0090660E"/>
    <w:rsid w:val="0090663D"/>
    <w:rsid w:val="00906908"/>
    <w:rsid w:val="00906DCD"/>
    <w:rsid w:val="00906FAD"/>
    <w:rsid w:val="0090727F"/>
    <w:rsid w:val="00907497"/>
    <w:rsid w:val="009076EB"/>
    <w:rsid w:val="009078B3"/>
    <w:rsid w:val="00907A99"/>
    <w:rsid w:val="00907BE2"/>
    <w:rsid w:val="00907BF3"/>
    <w:rsid w:val="00907E2A"/>
    <w:rsid w:val="00907E3D"/>
    <w:rsid w:val="009102D5"/>
    <w:rsid w:val="00910893"/>
    <w:rsid w:val="009108C6"/>
    <w:rsid w:val="00910AED"/>
    <w:rsid w:val="00910E08"/>
    <w:rsid w:val="009110CE"/>
    <w:rsid w:val="00911419"/>
    <w:rsid w:val="0091148B"/>
    <w:rsid w:val="009116C9"/>
    <w:rsid w:val="00911A28"/>
    <w:rsid w:val="00911B13"/>
    <w:rsid w:val="00911D6E"/>
    <w:rsid w:val="00911E82"/>
    <w:rsid w:val="00912267"/>
    <w:rsid w:val="0091248F"/>
    <w:rsid w:val="00912584"/>
    <w:rsid w:val="009125BE"/>
    <w:rsid w:val="0091280B"/>
    <w:rsid w:val="00912923"/>
    <w:rsid w:val="00912D1E"/>
    <w:rsid w:val="00912FFC"/>
    <w:rsid w:val="00913325"/>
    <w:rsid w:val="00913369"/>
    <w:rsid w:val="009134AE"/>
    <w:rsid w:val="00913C29"/>
    <w:rsid w:val="009140CD"/>
    <w:rsid w:val="009141E6"/>
    <w:rsid w:val="009146AE"/>
    <w:rsid w:val="00914739"/>
    <w:rsid w:val="00914748"/>
    <w:rsid w:val="0091477D"/>
    <w:rsid w:val="00914B80"/>
    <w:rsid w:val="00914C25"/>
    <w:rsid w:val="00914FBC"/>
    <w:rsid w:val="009150BD"/>
    <w:rsid w:val="00915EF3"/>
    <w:rsid w:val="00915F3A"/>
    <w:rsid w:val="00915FE3"/>
    <w:rsid w:val="00916118"/>
    <w:rsid w:val="0091676F"/>
    <w:rsid w:val="00916858"/>
    <w:rsid w:val="00916AAF"/>
    <w:rsid w:val="00916B77"/>
    <w:rsid w:val="00917064"/>
    <w:rsid w:val="00917496"/>
    <w:rsid w:val="0091757D"/>
    <w:rsid w:val="00917837"/>
    <w:rsid w:val="0091794D"/>
    <w:rsid w:val="00917A07"/>
    <w:rsid w:val="00917B05"/>
    <w:rsid w:val="009201DF"/>
    <w:rsid w:val="00920486"/>
    <w:rsid w:val="00920514"/>
    <w:rsid w:val="0092065E"/>
    <w:rsid w:val="0092088E"/>
    <w:rsid w:val="00920CCC"/>
    <w:rsid w:val="00920EF3"/>
    <w:rsid w:val="00920F22"/>
    <w:rsid w:val="00920FA3"/>
    <w:rsid w:val="0092110F"/>
    <w:rsid w:val="0092150E"/>
    <w:rsid w:val="00921661"/>
    <w:rsid w:val="00921843"/>
    <w:rsid w:val="00922101"/>
    <w:rsid w:val="0092257F"/>
    <w:rsid w:val="0092266A"/>
    <w:rsid w:val="0092297A"/>
    <w:rsid w:val="009229A3"/>
    <w:rsid w:val="00922A6E"/>
    <w:rsid w:val="009235BA"/>
    <w:rsid w:val="00923658"/>
    <w:rsid w:val="00923813"/>
    <w:rsid w:val="0092396D"/>
    <w:rsid w:val="00923C09"/>
    <w:rsid w:val="00923E92"/>
    <w:rsid w:val="00924366"/>
    <w:rsid w:val="009246DD"/>
    <w:rsid w:val="00924978"/>
    <w:rsid w:val="00924A24"/>
    <w:rsid w:val="00924B30"/>
    <w:rsid w:val="00924C88"/>
    <w:rsid w:val="0092585E"/>
    <w:rsid w:val="00925B2B"/>
    <w:rsid w:val="00925CE9"/>
    <w:rsid w:val="00926067"/>
    <w:rsid w:val="00926508"/>
    <w:rsid w:val="00926693"/>
    <w:rsid w:val="00926720"/>
    <w:rsid w:val="0092686B"/>
    <w:rsid w:val="009268CA"/>
    <w:rsid w:val="00926957"/>
    <w:rsid w:val="009269A6"/>
    <w:rsid w:val="009269F3"/>
    <w:rsid w:val="00926D26"/>
    <w:rsid w:val="00926E59"/>
    <w:rsid w:val="009275DC"/>
    <w:rsid w:val="0092763B"/>
    <w:rsid w:val="009277F4"/>
    <w:rsid w:val="00927B0B"/>
    <w:rsid w:val="00927BBB"/>
    <w:rsid w:val="00927F42"/>
    <w:rsid w:val="00930168"/>
    <w:rsid w:val="009305CB"/>
    <w:rsid w:val="009306B3"/>
    <w:rsid w:val="0093081D"/>
    <w:rsid w:val="00930873"/>
    <w:rsid w:val="00930C04"/>
    <w:rsid w:val="0093121D"/>
    <w:rsid w:val="009319E7"/>
    <w:rsid w:val="00931D63"/>
    <w:rsid w:val="00931F38"/>
    <w:rsid w:val="0093212B"/>
    <w:rsid w:val="00932141"/>
    <w:rsid w:val="009323FB"/>
    <w:rsid w:val="0093245E"/>
    <w:rsid w:val="00932980"/>
    <w:rsid w:val="00932BEF"/>
    <w:rsid w:val="00932DB1"/>
    <w:rsid w:val="00932EFF"/>
    <w:rsid w:val="00932F54"/>
    <w:rsid w:val="00933186"/>
    <w:rsid w:val="00933240"/>
    <w:rsid w:val="0093349F"/>
    <w:rsid w:val="0093355D"/>
    <w:rsid w:val="009336AA"/>
    <w:rsid w:val="009337A6"/>
    <w:rsid w:val="009337ED"/>
    <w:rsid w:val="00933B6C"/>
    <w:rsid w:val="009341DF"/>
    <w:rsid w:val="009341E9"/>
    <w:rsid w:val="0093420C"/>
    <w:rsid w:val="00934603"/>
    <w:rsid w:val="009348C4"/>
    <w:rsid w:val="00934CA4"/>
    <w:rsid w:val="00934F98"/>
    <w:rsid w:val="00935061"/>
    <w:rsid w:val="009353EA"/>
    <w:rsid w:val="00935705"/>
    <w:rsid w:val="009357C0"/>
    <w:rsid w:val="00935A05"/>
    <w:rsid w:val="00935BFE"/>
    <w:rsid w:val="00935C4A"/>
    <w:rsid w:val="00935CFF"/>
    <w:rsid w:val="009360D3"/>
    <w:rsid w:val="0093651D"/>
    <w:rsid w:val="009366D9"/>
    <w:rsid w:val="00936749"/>
    <w:rsid w:val="00936AB6"/>
    <w:rsid w:val="00936CF5"/>
    <w:rsid w:val="00936FBA"/>
    <w:rsid w:val="0093707C"/>
    <w:rsid w:val="009372B5"/>
    <w:rsid w:val="00937420"/>
    <w:rsid w:val="00937E1C"/>
    <w:rsid w:val="00937F6C"/>
    <w:rsid w:val="00940049"/>
    <w:rsid w:val="0094036C"/>
    <w:rsid w:val="009403D6"/>
    <w:rsid w:val="00940601"/>
    <w:rsid w:val="00940646"/>
    <w:rsid w:val="00940661"/>
    <w:rsid w:val="009406F2"/>
    <w:rsid w:val="00940743"/>
    <w:rsid w:val="00940BF1"/>
    <w:rsid w:val="00940C1F"/>
    <w:rsid w:val="00940D1B"/>
    <w:rsid w:val="00940EAA"/>
    <w:rsid w:val="009415CD"/>
    <w:rsid w:val="00941BA0"/>
    <w:rsid w:val="00941DB8"/>
    <w:rsid w:val="00941E26"/>
    <w:rsid w:val="00941FC2"/>
    <w:rsid w:val="00942438"/>
    <w:rsid w:val="009424D7"/>
    <w:rsid w:val="00942631"/>
    <w:rsid w:val="00942A19"/>
    <w:rsid w:val="00942ABE"/>
    <w:rsid w:val="00942AD8"/>
    <w:rsid w:val="00942B19"/>
    <w:rsid w:val="00942C9C"/>
    <w:rsid w:val="00943220"/>
    <w:rsid w:val="0094327F"/>
    <w:rsid w:val="00943766"/>
    <w:rsid w:val="009438AE"/>
    <w:rsid w:val="00943B17"/>
    <w:rsid w:val="00943BFE"/>
    <w:rsid w:val="00943C31"/>
    <w:rsid w:val="00943CF9"/>
    <w:rsid w:val="00943DFD"/>
    <w:rsid w:val="0094485D"/>
    <w:rsid w:val="009448E1"/>
    <w:rsid w:val="00944C5B"/>
    <w:rsid w:val="00945002"/>
    <w:rsid w:val="009452BD"/>
    <w:rsid w:val="009453D9"/>
    <w:rsid w:val="00945536"/>
    <w:rsid w:val="00945757"/>
    <w:rsid w:val="00945802"/>
    <w:rsid w:val="00945821"/>
    <w:rsid w:val="00945AB6"/>
    <w:rsid w:val="00945BFA"/>
    <w:rsid w:val="00945C7D"/>
    <w:rsid w:val="00945E39"/>
    <w:rsid w:val="009460AA"/>
    <w:rsid w:val="0094625B"/>
    <w:rsid w:val="00946504"/>
    <w:rsid w:val="00946838"/>
    <w:rsid w:val="00946B94"/>
    <w:rsid w:val="00946BDC"/>
    <w:rsid w:val="00946E7E"/>
    <w:rsid w:val="009470E0"/>
    <w:rsid w:val="0094737C"/>
    <w:rsid w:val="00947400"/>
    <w:rsid w:val="00947883"/>
    <w:rsid w:val="00947A37"/>
    <w:rsid w:val="00947B7B"/>
    <w:rsid w:val="00947B8A"/>
    <w:rsid w:val="00947E01"/>
    <w:rsid w:val="00947E5C"/>
    <w:rsid w:val="009500D8"/>
    <w:rsid w:val="009502C8"/>
    <w:rsid w:val="00950C8E"/>
    <w:rsid w:val="009517A7"/>
    <w:rsid w:val="009519A9"/>
    <w:rsid w:val="00951B5A"/>
    <w:rsid w:val="0095210D"/>
    <w:rsid w:val="00952111"/>
    <w:rsid w:val="009523DA"/>
    <w:rsid w:val="009529E7"/>
    <w:rsid w:val="00952A91"/>
    <w:rsid w:val="00952CD0"/>
    <w:rsid w:val="00952DD6"/>
    <w:rsid w:val="00953491"/>
    <w:rsid w:val="009535AB"/>
    <w:rsid w:val="009537C4"/>
    <w:rsid w:val="009538C2"/>
    <w:rsid w:val="009538E9"/>
    <w:rsid w:val="00953F43"/>
    <w:rsid w:val="009540F9"/>
    <w:rsid w:val="00954122"/>
    <w:rsid w:val="009547AA"/>
    <w:rsid w:val="0095485A"/>
    <w:rsid w:val="0095499B"/>
    <w:rsid w:val="00954A8C"/>
    <w:rsid w:val="00954B85"/>
    <w:rsid w:val="00954CEB"/>
    <w:rsid w:val="00954CF5"/>
    <w:rsid w:val="00954CF6"/>
    <w:rsid w:val="0095559E"/>
    <w:rsid w:val="009555F0"/>
    <w:rsid w:val="0095584A"/>
    <w:rsid w:val="009559F3"/>
    <w:rsid w:val="00955C9E"/>
    <w:rsid w:val="00955D18"/>
    <w:rsid w:val="00955EF3"/>
    <w:rsid w:val="0095608B"/>
    <w:rsid w:val="0095626E"/>
    <w:rsid w:val="009562A1"/>
    <w:rsid w:val="009564EE"/>
    <w:rsid w:val="0095651B"/>
    <w:rsid w:val="00956730"/>
    <w:rsid w:val="00956788"/>
    <w:rsid w:val="00956BC3"/>
    <w:rsid w:val="00956CDE"/>
    <w:rsid w:val="00957100"/>
    <w:rsid w:val="009572EA"/>
    <w:rsid w:val="009573CF"/>
    <w:rsid w:val="0095771D"/>
    <w:rsid w:val="00957A34"/>
    <w:rsid w:val="00957C02"/>
    <w:rsid w:val="00957C23"/>
    <w:rsid w:val="00957EDE"/>
    <w:rsid w:val="00957FB4"/>
    <w:rsid w:val="009602B5"/>
    <w:rsid w:val="0096084A"/>
    <w:rsid w:val="00960992"/>
    <w:rsid w:val="00960A34"/>
    <w:rsid w:val="00960A6A"/>
    <w:rsid w:val="00960E40"/>
    <w:rsid w:val="00961611"/>
    <w:rsid w:val="00961758"/>
    <w:rsid w:val="00961C82"/>
    <w:rsid w:val="00961F24"/>
    <w:rsid w:val="00961F8E"/>
    <w:rsid w:val="00962067"/>
    <w:rsid w:val="00962A76"/>
    <w:rsid w:val="00962F8F"/>
    <w:rsid w:val="0096303D"/>
    <w:rsid w:val="00963327"/>
    <w:rsid w:val="00963633"/>
    <w:rsid w:val="00963FE8"/>
    <w:rsid w:val="00964075"/>
    <w:rsid w:val="009641FF"/>
    <w:rsid w:val="009645B9"/>
    <w:rsid w:val="009649F3"/>
    <w:rsid w:val="00964EF8"/>
    <w:rsid w:val="00964FAA"/>
    <w:rsid w:val="009657F9"/>
    <w:rsid w:val="00965937"/>
    <w:rsid w:val="00965A61"/>
    <w:rsid w:val="00965A74"/>
    <w:rsid w:val="00965B3D"/>
    <w:rsid w:val="00965C3F"/>
    <w:rsid w:val="0096609F"/>
    <w:rsid w:val="0096636C"/>
    <w:rsid w:val="00966461"/>
    <w:rsid w:val="0096652C"/>
    <w:rsid w:val="009665F1"/>
    <w:rsid w:val="00966747"/>
    <w:rsid w:val="009668DB"/>
    <w:rsid w:val="00966ABC"/>
    <w:rsid w:val="00966F18"/>
    <w:rsid w:val="0096753B"/>
    <w:rsid w:val="0096753E"/>
    <w:rsid w:val="0096756D"/>
    <w:rsid w:val="00967A4D"/>
    <w:rsid w:val="0097040A"/>
    <w:rsid w:val="0097045B"/>
    <w:rsid w:val="0097055C"/>
    <w:rsid w:val="009705F0"/>
    <w:rsid w:val="009707AC"/>
    <w:rsid w:val="00970869"/>
    <w:rsid w:val="00970C82"/>
    <w:rsid w:val="00970E54"/>
    <w:rsid w:val="00970E8A"/>
    <w:rsid w:val="00970FE2"/>
    <w:rsid w:val="009711D0"/>
    <w:rsid w:val="00971376"/>
    <w:rsid w:val="009715E2"/>
    <w:rsid w:val="0097185E"/>
    <w:rsid w:val="009718F5"/>
    <w:rsid w:val="0097194B"/>
    <w:rsid w:val="00971BEA"/>
    <w:rsid w:val="00971C68"/>
    <w:rsid w:val="00971EB4"/>
    <w:rsid w:val="00972064"/>
    <w:rsid w:val="0097216B"/>
    <w:rsid w:val="00972312"/>
    <w:rsid w:val="00972477"/>
    <w:rsid w:val="00972521"/>
    <w:rsid w:val="00972604"/>
    <w:rsid w:val="00972640"/>
    <w:rsid w:val="009729CA"/>
    <w:rsid w:val="00972C1F"/>
    <w:rsid w:val="00972E8A"/>
    <w:rsid w:val="009730F1"/>
    <w:rsid w:val="009734AA"/>
    <w:rsid w:val="00973AE4"/>
    <w:rsid w:val="009748F1"/>
    <w:rsid w:val="00974A38"/>
    <w:rsid w:val="00974C64"/>
    <w:rsid w:val="00974C78"/>
    <w:rsid w:val="00974C94"/>
    <w:rsid w:val="00974C9E"/>
    <w:rsid w:val="00974D5F"/>
    <w:rsid w:val="00974D7F"/>
    <w:rsid w:val="00974DCE"/>
    <w:rsid w:val="00974E53"/>
    <w:rsid w:val="0097514C"/>
    <w:rsid w:val="009751BE"/>
    <w:rsid w:val="00975A16"/>
    <w:rsid w:val="00975CC7"/>
    <w:rsid w:val="00975F7E"/>
    <w:rsid w:val="00976176"/>
    <w:rsid w:val="009762C3"/>
    <w:rsid w:val="00976426"/>
    <w:rsid w:val="009764DD"/>
    <w:rsid w:val="0097667E"/>
    <w:rsid w:val="0097671E"/>
    <w:rsid w:val="0097693A"/>
    <w:rsid w:val="00976F0B"/>
    <w:rsid w:val="009771F6"/>
    <w:rsid w:val="00977249"/>
    <w:rsid w:val="0097726A"/>
    <w:rsid w:val="009772A0"/>
    <w:rsid w:val="009773C0"/>
    <w:rsid w:val="009773C2"/>
    <w:rsid w:val="0097742D"/>
    <w:rsid w:val="00977695"/>
    <w:rsid w:val="00977C88"/>
    <w:rsid w:val="00977E94"/>
    <w:rsid w:val="0098019A"/>
    <w:rsid w:val="009801C4"/>
    <w:rsid w:val="009802F6"/>
    <w:rsid w:val="009803E3"/>
    <w:rsid w:val="009803EF"/>
    <w:rsid w:val="00980481"/>
    <w:rsid w:val="009804CC"/>
    <w:rsid w:val="00980588"/>
    <w:rsid w:val="00980A4B"/>
    <w:rsid w:val="00980A4C"/>
    <w:rsid w:val="00980B3E"/>
    <w:rsid w:val="00980BDE"/>
    <w:rsid w:val="00980C8B"/>
    <w:rsid w:val="00980FA2"/>
    <w:rsid w:val="0098107B"/>
    <w:rsid w:val="009811AF"/>
    <w:rsid w:val="0098156F"/>
    <w:rsid w:val="00981693"/>
    <w:rsid w:val="009818C3"/>
    <w:rsid w:val="00981DEF"/>
    <w:rsid w:val="00981E33"/>
    <w:rsid w:val="00981EA7"/>
    <w:rsid w:val="00982195"/>
    <w:rsid w:val="009825B0"/>
    <w:rsid w:val="00983103"/>
    <w:rsid w:val="009831BF"/>
    <w:rsid w:val="00983305"/>
    <w:rsid w:val="009836DC"/>
    <w:rsid w:val="00983861"/>
    <w:rsid w:val="0098395D"/>
    <w:rsid w:val="00983E12"/>
    <w:rsid w:val="00983E50"/>
    <w:rsid w:val="00983ED9"/>
    <w:rsid w:val="0098405E"/>
    <w:rsid w:val="009840B6"/>
    <w:rsid w:val="0098430E"/>
    <w:rsid w:val="00984323"/>
    <w:rsid w:val="0098459F"/>
    <w:rsid w:val="00984692"/>
    <w:rsid w:val="009846A9"/>
    <w:rsid w:val="00985061"/>
    <w:rsid w:val="009850B3"/>
    <w:rsid w:val="00985121"/>
    <w:rsid w:val="00985210"/>
    <w:rsid w:val="009852C9"/>
    <w:rsid w:val="009852E7"/>
    <w:rsid w:val="00985A1D"/>
    <w:rsid w:val="00985A37"/>
    <w:rsid w:val="00985A3A"/>
    <w:rsid w:val="00985AAE"/>
    <w:rsid w:val="00985BF9"/>
    <w:rsid w:val="00985CDA"/>
    <w:rsid w:val="00985F24"/>
    <w:rsid w:val="00986101"/>
    <w:rsid w:val="00986146"/>
    <w:rsid w:val="0098615C"/>
    <w:rsid w:val="0098646E"/>
    <w:rsid w:val="00987013"/>
    <w:rsid w:val="0098757B"/>
    <w:rsid w:val="00987732"/>
    <w:rsid w:val="00987817"/>
    <w:rsid w:val="009879D9"/>
    <w:rsid w:val="00990248"/>
    <w:rsid w:val="009904A3"/>
    <w:rsid w:val="00990DBA"/>
    <w:rsid w:val="00990F65"/>
    <w:rsid w:val="00991114"/>
    <w:rsid w:val="00991299"/>
    <w:rsid w:val="009912CA"/>
    <w:rsid w:val="0099195D"/>
    <w:rsid w:val="00991C64"/>
    <w:rsid w:val="00991F68"/>
    <w:rsid w:val="009921BB"/>
    <w:rsid w:val="00992719"/>
    <w:rsid w:val="00992C3C"/>
    <w:rsid w:val="00993026"/>
    <w:rsid w:val="00993912"/>
    <w:rsid w:val="0099393C"/>
    <w:rsid w:val="009941BE"/>
    <w:rsid w:val="00994461"/>
    <w:rsid w:val="00994FE6"/>
    <w:rsid w:val="0099505F"/>
    <w:rsid w:val="009953A8"/>
    <w:rsid w:val="009953EE"/>
    <w:rsid w:val="009957F3"/>
    <w:rsid w:val="00995821"/>
    <w:rsid w:val="00995934"/>
    <w:rsid w:val="00995CEF"/>
    <w:rsid w:val="00995D60"/>
    <w:rsid w:val="00995F78"/>
    <w:rsid w:val="009962BE"/>
    <w:rsid w:val="009963AF"/>
    <w:rsid w:val="009964BF"/>
    <w:rsid w:val="00996929"/>
    <w:rsid w:val="009971C3"/>
    <w:rsid w:val="00997345"/>
    <w:rsid w:val="00997E1C"/>
    <w:rsid w:val="00997F3A"/>
    <w:rsid w:val="00997FEF"/>
    <w:rsid w:val="009A04B4"/>
    <w:rsid w:val="009A0734"/>
    <w:rsid w:val="009A125F"/>
    <w:rsid w:val="009A13EE"/>
    <w:rsid w:val="009A152E"/>
    <w:rsid w:val="009A172A"/>
    <w:rsid w:val="009A1844"/>
    <w:rsid w:val="009A1A26"/>
    <w:rsid w:val="009A1EE9"/>
    <w:rsid w:val="009A206B"/>
    <w:rsid w:val="009A2353"/>
    <w:rsid w:val="009A243E"/>
    <w:rsid w:val="009A253B"/>
    <w:rsid w:val="009A2848"/>
    <w:rsid w:val="009A28AE"/>
    <w:rsid w:val="009A2B32"/>
    <w:rsid w:val="009A2B75"/>
    <w:rsid w:val="009A2D6E"/>
    <w:rsid w:val="009A32CE"/>
    <w:rsid w:val="009A339A"/>
    <w:rsid w:val="009A351E"/>
    <w:rsid w:val="009A35CF"/>
    <w:rsid w:val="009A36F2"/>
    <w:rsid w:val="009A388A"/>
    <w:rsid w:val="009A3A71"/>
    <w:rsid w:val="009A3AEF"/>
    <w:rsid w:val="009A3DB8"/>
    <w:rsid w:val="009A3E76"/>
    <w:rsid w:val="009A3ED8"/>
    <w:rsid w:val="009A3F6B"/>
    <w:rsid w:val="009A40BC"/>
    <w:rsid w:val="009A458E"/>
    <w:rsid w:val="009A45CD"/>
    <w:rsid w:val="009A472E"/>
    <w:rsid w:val="009A498D"/>
    <w:rsid w:val="009A4A2B"/>
    <w:rsid w:val="009A4A80"/>
    <w:rsid w:val="009A4BAE"/>
    <w:rsid w:val="009A4DCE"/>
    <w:rsid w:val="009A4EBD"/>
    <w:rsid w:val="009A5798"/>
    <w:rsid w:val="009A585F"/>
    <w:rsid w:val="009A58BE"/>
    <w:rsid w:val="009A5962"/>
    <w:rsid w:val="009A599B"/>
    <w:rsid w:val="009A59C4"/>
    <w:rsid w:val="009A5B9F"/>
    <w:rsid w:val="009A5BB1"/>
    <w:rsid w:val="009A5BDE"/>
    <w:rsid w:val="009A5DAF"/>
    <w:rsid w:val="009A5FB7"/>
    <w:rsid w:val="009A6453"/>
    <w:rsid w:val="009A6475"/>
    <w:rsid w:val="009A6694"/>
    <w:rsid w:val="009A674C"/>
    <w:rsid w:val="009A6A56"/>
    <w:rsid w:val="009A6D80"/>
    <w:rsid w:val="009A6F1E"/>
    <w:rsid w:val="009A6FBE"/>
    <w:rsid w:val="009A7202"/>
    <w:rsid w:val="009A767C"/>
    <w:rsid w:val="009A77A8"/>
    <w:rsid w:val="009A7C1D"/>
    <w:rsid w:val="009A7C5C"/>
    <w:rsid w:val="009A7C6E"/>
    <w:rsid w:val="009A7E3A"/>
    <w:rsid w:val="009A7F26"/>
    <w:rsid w:val="009A7F9B"/>
    <w:rsid w:val="009B004A"/>
    <w:rsid w:val="009B0326"/>
    <w:rsid w:val="009B06F5"/>
    <w:rsid w:val="009B08EE"/>
    <w:rsid w:val="009B09C3"/>
    <w:rsid w:val="009B1113"/>
    <w:rsid w:val="009B12E9"/>
    <w:rsid w:val="009B15A5"/>
    <w:rsid w:val="009B1899"/>
    <w:rsid w:val="009B1B99"/>
    <w:rsid w:val="009B1D59"/>
    <w:rsid w:val="009B200D"/>
    <w:rsid w:val="009B270A"/>
    <w:rsid w:val="009B294E"/>
    <w:rsid w:val="009B2B38"/>
    <w:rsid w:val="009B2D69"/>
    <w:rsid w:val="009B2DC3"/>
    <w:rsid w:val="009B2EEC"/>
    <w:rsid w:val="009B32EE"/>
    <w:rsid w:val="009B35FD"/>
    <w:rsid w:val="009B3683"/>
    <w:rsid w:val="009B36B6"/>
    <w:rsid w:val="009B37E7"/>
    <w:rsid w:val="009B3891"/>
    <w:rsid w:val="009B4040"/>
    <w:rsid w:val="009B4434"/>
    <w:rsid w:val="009B4AC7"/>
    <w:rsid w:val="009B4C07"/>
    <w:rsid w:val="009B4C32"/>
    <w:rsid w:val="009B4DF6"/>
    <w:rsid w:val="009B4E14"/>
    <w:rsid w:val="009B510F"/>
    <w:rsid w:val="009B5751"/>
    <w:rsid w:val="009B5A88"/>
    <w:rsid w:val="009B5B62"/>
    <w:rsid w:val="009B5D65"/>
    <w:rsid w:val="009B5E4F"/>
    <w:rsid w:val="009B61A2"/>
    <w:rsid w:val="009B6202"/>
    <w:rsid w:val="009B622E"/>
    <w:rsid w:val="009B62B5"/>
    <w:rsid w:val="009B64EE"/>
    <w:rsid w:val="009B65BC"/>
    <w:rsid w:val="009B674D"/>
    <w:rsid w:val="009B69A9"/>
    <w:rsid w:val="009B6BF0"/>
    <w:rsid w:val="009B7117"/>
    <w:rsid w:val="009B73C6"/>
    <w:rsid w:val="009B7507"/>
    <w:rsid w:val="009B7761"/>
    <w:rsid w:val="009B7852"/>
    <w:rsid w:val="009B79E0"/>
    <w:rsid w:val="009B7C80"/>
    <w:rsid w:val="009C0013"/>
    <w:rsid w:val="009C01B6"/>
    <w:rsid w:val="009C025C"/>
    <w:rsid w:val="009C02EB"/>
    <w:rsid w:val="009C02EF"/>
    <w:rsid w:val="009C0349"/>
    <w:rsid w:val="009C04DA"/>
    <w:rsid w:val="009C0620"/>
    <w:rsid w:val="009C072C"/>
    <w:rsid w:val="009C07AE"/>
    <w:rsid w:val="009C0C3B"/>
    <w:rsid w:val="009C0EF5"/>
    <w:rsid w:val="009C0FBE"/>
    <w:rsid w:val="009C10D0"/>
    <w:rsid w:val="009C11CF"/>
    <w:rsid w:val="009C1596"/>
    <w:rsid w:val="009C15D9"/>
    <w:rsid w:val="009C192B"/>
    <w:rsid w:val="009C1E9E"/>
    <w:rsid w:val="009C25AF"/>
    <w:rsid w:val="009C2909"/>
    <w:rsid w:val="009C2929"/>
    <w:rsid w:val="009C2C3E"/>
    <w:rsid w:val="009C2CB9"/>
    <w:rsid w:val="009C2D62"/>
    <w:rsid w:val="009C2DF1"/>
    <w:rsid w:val="009C2E1D"/>
    <w:rsid w:val="009C2E43"/>
    <w:rsid w:val="009C3085"/>
    <w:rsid w:val="009C31EF"/>
    <w:rsid w:val="009C336B"/>
    <w:rsid w:val="009C3681"/>
    <w:rsid w:val="009C3B16"/>
    <w:rsid w:val="009C3D75"/>
    <w:rsid w:val="009C3E6D"/>
    <w:rsid w:val="009C3E90"/>
    <w:rsid w:val="009C40A2"/>
    <w:rsid w:val="009C4187"/>
    <w:rsid w:val="009C4328"/>
    <w:rsid w:val="009C4483"/>
    <w:rsid w:val="009C44E1"/>
    <w:rsid w:val="009C45BA"/>
    <w:rsid w:val="009C4746"/>
    <w:rsid w:val="009C482C"/>
    <w:rsid w:val="009C48F6"/>
    <w:rsid w:val="009C49B2"/>
    <w:rsid w:val="009C49F7"/>
    <w:rsid w:val="009C4ACA"/>
    <w:rsid w:val="009C4D18"/>
    <w:rsid w:val="009C4D50"/>
    <w:rsid w:val="009C500B"/>
    <w:rsid w:val="009C5AF0"/>
    <w:rsid w:val="009C5D3A"/>
    <w:rsid w:val="009C5EE5"/>
    <w:rsid w:val="009C60DA"/>
    <w:rsid w:val="009C61A6"/>
    <w:rsid w:val="009C64B1"/>
    <w:rsid w:val="009C67E5"/>
    <w:rsid w:val="009C68E4"/>
    <w:rsid w:val="009C6AB5"/>
    <w:rsid w:val="009C6AF4"/>
    <w:rsid w:val="009C6B10"/>
    <w:rsid w:val="009C6D64"/>
    <w:rsid w:val="009C70CD"/>
    <w:rsid w:val="009C71D5"/>
    <w:rsid w:val="009C7218"/>
    <w:rsid w:val="009C72C4"/>
    <w:rsid w:val="009C758E"/>
    <w:rsid w:val="009C7B51"/>
    <w:rsid w:val="009C7C45"/>
    <w:rsid w:val="009D016C"/>
    <w:rsid w:val="009D0350"/>
    <w:rsid w:val="009D0787"/>
    <w:rsid w:val="009D07D6"/>
    <w:rsid w:val="009D0AF2"/>
    <w:rsid w:val="009D0CB9"/>
    <w:rsid w:val="009D0CDB"/>
    <w:rsid w:val="009D0DF4"/>
    <w:rsid w:val="009D0FDA"/>
    <w:rsid w:val="009D114E"/>
    <w:rsid w:val="009D1546"/>
    <w:rsid w:val="009D199B"/>
    <w:rsid w:val="009D1B66"/>
    <w:rsid w:val="009D1B72"/>
    <w:rsid w:val="009D1B7F"/>
    <w:rsid w:val="009D1CDE"/>
    <w:rsid w:val="009D1DCC"/>
    <w:rsid w:val="009D21D0"/>
    <w:rsid w:val="009D21F4"/>
    <w:rsid w:val="009D2313"/>
    <w:rsid w:val="009D2A57"/>
    <w:rsid w:val="009D2B94"/>
    <w:rsid w:val="009D2CB5"/>
    <w:rsid w:val="009D2DDB"/>
    <w:rsid w:val="009D32D1"/>
    <w:rsid w:val="009D37BA"/>
    <w:rsid w:val="009D41C2"/>
    <w:rsid w:val="009D41C9"/>
    <w:rsid w:val="009D45FB"/>
    <w:rsid w:val="009D485C"/>
    <w:rsid w:val="009D499E"/>
    <w:rsid w:val="009D4A7A"/>
    <w:rsid w:val="009D4A88"/>
    <w:rsid w:val="009D5061"/>
    <w:rsid w:val="009D5077"/>
    <w:rsid w:val="009D526E"/>
    <w:rsid w:val="009D530C"/>
    <w:rsid w:val="009D5365"/>
    <w:rsid w:val="009D568E"/>
    <w:rsid w:val="009D5C4D"/>
    <w:rsid w:val="009D5EF4"/>
    <w:rsid w:val="009D6188"/>
    <w:rsid w:val="009D6234"/>
    <w:rsid w:val="009D64AB"/>
    <w:rsid w:val="009D6749"/>
    <w:rsid w:val="009D6897"/>
    <w:rsid w:val="009D6D2A"/>
    <w:rsid w:val="009D6EA4"/>
    <w:rsid w:val="009D7003"/>
    <w:rsid w:val="009D7019"/>
    <w:rsid w:val="009D7328"/>
    <w:rsid w:val="009D73B1"/>
    <w:rsid w:val="009D7551"/>
    <w:rsid w:val="009D7908"/>
    <w:rsid w:val="009D7936"/>
    <w:rsid w:val="009D7A1E"/>
    <w:rsid w:val="009D7C92"/>
    <w:rsid w:val="009D7E6A"/>
    <w:rsid w:val="009D7F7B"/>
    <w:rsid w:val="009D7F9F"/>
    <w:rsid w:val="009E04CD"/>
    <w:rsid w:val="009E08E9"/>
    <w:rsid w:val="009E0A10"/>
    <w:rsid w:val="009E0A39"/>
    <w:rsid w:val="009E0FBD"/>
    <w:rsid w:val="009E0FEE"/>
    <w:rsid w:val="009E1182"/>
    <w:rsid w:val="009E12E8"/>
    <w:rsid w:val="009E12F3"/>
    <w:rsid w:val="009E1877"/>
    <w:rsid w:val="009E18F7"/>
    <w:rsid w:val="009E1901"/>
    <w:rsid w:val="009E1925"/>
    <w:rsid w:val="009E1A4D"/>
    <w:rsid w:val="009E1AAF"/>
    <w:rsid w:val="009E1F32"/>
    <w:rsid w:val="009E225C"/>
    <w:rsid w:val="009E286B"/>
    <w:rsid w:val="009E2985"/>
    <w:rsid w:val="009E2B65"/>
    <w:rsid w:val="009E2E31"/>
    <w:rsid w:val="009E30DB"/>
    <w:rsid w:val="009E3343"/>
    <w:rsid w:val="009E3531"/>
    <w:rsid w:val="009E35CE"/>
    <w:rsid w:val="009E36D4"/>
    <w:rsid w:val="009E3EE2"/>
    <w:rsid w:val="009E41CF"/>
    <w:rsid w:val="009E4342"/>
    <w:rsid w:val="009E453C"/>
    <w:rsid w:val="009E45EA"/>
    <w:rsid w:val="009E4653"/>
    <w:rsid w:val="009E46EB"/>
    <w:rsid w:val="009E4C51"/>
    <w:rsid w:val="009E4CDC"/>
    <w:rsid w:val="009E4E9C"/>
    <w:rsid w:val="009E514B"/>
    <w:rsid w:val="009E533F"/>
    <w:rsid w:val="009E565C"/>
    <w:rsid w:val="009E6BCC"/>
    <w:rsid w:val="009E6EF5"/>
    <w:rsid w:val="009E7058"/>
    <w:rsid w:val="009E748A"/>
    <w:rsid w:val="009E754D"/>
    <w:rsid w:val="009E7A66"/>
    <w:rsid w:val="009E7AF7"/>
    <w:rsid w:val="009E7E54"/>
    <w:rsid w:val="009E7F02"/>
    <w:rsid w:val="009E7F79"/>
    <w:rsid w:val="009F01BF"/>
    <w:rsid w:val="009F0244"/>
    <w:rsid w:val="009F05E0"/>
    <w:rsid w:val="009F0617"/>
    <w:rsid w:val="009F09CC"/>
    <w:rsid w:val="009F0B24"/>
    <w:rsid w:val="009F0B8D"/>
    <w:rsid w:val="009F0DE9"/>
    <w:rsid w:val="009F1048"/>
    <w:rsid w:val="009F1062"/>
    <w:rsid w:val="009F1357"/>
    <w:rsid w:val="009F1533"/>
    <w:rsid w:val="009F15B1"/>
    <w:rsid w:val="009F1813"/>
    <w:rsid w:val="009F1C1F"/>
    <w:rsid w:val="009F1DF1"/>
    <w:rsid w:val="009F2037"/>
    <w:rsid w:val="009F216A"/>
    <w:rsid w:val="009F22BA"/>
    <w:rsid w:val="009F2376"/>
    <w:rsid w:val="009F23C8"/>
    <w:rsid w:val="009F249B"/>
    <w:rsid w:val="009F24D1"/>
    <w:rsid w:val="009F25D8"/>
    <w:rsid w:val="009F2634"/>
    <w:rsid w:val="009F2742"/>
    <w:rsid w:val="009F27EC"/>
    <w:rsid w:val="009F2DD5"/>
    <w:rsid w:val="009F2F06"/>
    <w:rsid w:val="009F32E2"/>
    <w:rsid w:val="009F3471"/>
    <w:rsid w:val="009F3AD5"/>
    <w:rsid w:val="009F3E3A"/>
    <w:rsid w:val="009F4229"/>
    <w:rsid w:val="009F4265"/>
    <w:rsid w:val="009F4453"/>
    <w:rsid w:val="009F476D"/>
    <w:rsid w:val="009F4A93"/>
    <w:rsid w:val="009F4B1A"/>
    <w:rsid w:val="009F4B39"/>
    <w:rsid w:val="009F4B82"/>
    <w:rsid w:val="009F4C77"/>
    <w:rsid w:val="009F4D78"/>
    <w:rsid w:val="009F4FA8"/>
    <w:rsid w:val="009F546C"/>
    <w:rsid w:val="009F5555"/>
    <w:rsid w:val="009F5855"/>
    <w:rsid w:val="009F5E64"/>
    <w:rsid w:val="009F60FE"/>
    <w:rsid w:val="009F68CE"/>
    <w:rsid w:val="009F6951"/>
    <w:rsid w:val="009F6B3C"/>
    <w:rsid w:val="009F6B82"/>
    <w:rsid w:val="009F6D1A"/>
    <w:rsid w:val="009F71F5"/>
    <w:rsid w:val="009F7400"/>
    <w:rsid w:val="009F781C"/>
    <w:rsid w:val="009F792F"/>
    <w:rsid w:val="009F798B"/>
    <w:rsid w:val="009F7B45"/>
    <w:rsid w:val="009F7BB7"/>
    <w:rsid w:val="009F7BF4"/>
    <w:rsid w:val="009F7F96"/>
    <w:rsid w:val="00A002EF"/>
    <w:rsid w:val="00A00825"/>
    <w:rsid w:val="00A00CCD"/>
    <w:rsid w:val="00A00F8D"/>
    <w:rsid w:val="00A014E5"/>
    <w:rsid w:val="00A015AD"/>
    <w:rsid w:val="00A015EC"/>
    <w:rsid w:val="00A018F1"/>
    <w:rsid w:val="00A018F9"/>
    <w:rsid w:val="00A01D6D"/>
    <w:rsid w:val="00A01DB7"/>
    <w:rsid w:val="00A02394"/>
    <w:rsid w:val="00A024D8"/>
    <w:rsid w:val="00A025CB"/>
    <w:rsid w:val="00A027B0"/>
    <w:rsid w:val="00A029EC"/>
    <w:rsid w:val="00A02A8F"/>
    <w:rsid w:val="00A02F4D"/>
    <w:rsid w:val="00A033A5"/>
    <w:rsid w:val="00A03656"/>
    <w:rsid w:val="00A0373C"/>
    <w:rsid w:val="00A0378E"/>
    <w:rsid w:val="00A03BEB"/>
    <w:rsid w:val="00A03DAF"/>
    <w:rsid w:val="00A041F4"/>
    <w:rsid w:val="00A04224"/>
    <w:rsid w:val="00A04302"/>
    <w:rsid w:val="00A0470E"/>
    <w:rsid w:val="00A0489C"/>
    <w:rsid w:val="00A048EA"/>
    <w:rsid w:val="00A04F36"/>
    <w:rsid w:val="00A05063"/>
    <w:rsid w:val="00A0537B"/>
    <w:rsid w:val="00A05B0D"/>
    <w:rsid w:val="00A05BEA"/>
    <w:rsid w:val="00A05C85"/>
    <w:rsid w:val="00A05D80"/>
    <w:rsid w:val="00A0601B"/>
    <w:rsid w:val="00A060C5"/>
    <w:rsid w:val="00A0614D"/>
    <w:rsid w:val="00A06205"/>
    <w:rsid w:val="00A06392"/>
    <w:rsid w:val="00A06748"/>
    <w:rsid w:val="00A067A7"/>
    <w:rsid w:val="00A06BDD"/>
    <w:rsid w:val="00A06D94"/>
    <w:rsid w:val="00A0737A"/>
    <w:rsid w:val="00A073AF"/>
    <w:rsid w:val="00A074A9"/>
    <w:rsid w:val="00A074FC"/>
    <w:rsid w:val="00A0753B"/>
    <w:rsid w:val="00A07770"/>
    <w:rsid w:val="00A0782C"/>
    <w:rsid w:val="00A07BEE"/>
    <w:rsid w:val="00A07C80"/>
    <w:rsid w:val="00A102E6"/>
    <w:rsid w:val="00A1032C"/>
    <w:rsid w:val="00A1043B"/>
    <w:rsid w:val="00A10557"/>
    <w:rsid w:val="00A10C6E"/>
    <w:rsid w:val="00A111E7"/>
    <w:rsid w:val="00A11203"/>
    <w:rsid w:val="00A11678"/>
    <w:rsid w:val="00A11727"/>
    <w:rsid w:val="00A11D3C"/>
    <w:rsid w:val="00A11DAA"/>
    <w:rsid w:val="00A12014"/>
    <w:rsid w:val="00A123F4"/>
    <w:rsid w:val="00A12438"/>
    <w:rsid w:val="00A12BF1"/>
    <w:rsid w:val="00A12F0A"/>
    <w:rsid w:val="00A12F4C"/>
    <w:rsid w:val="00A13008"/>
    <w:rsid w:val="00A1312E"/>
    <w:rsid w:val="00A1316C"/>
    <w:rsid w:val="00A1323F"/>
    <w:rsid w:val="00A135CA"/>
    <w:rsid w:val="00A1391F"/>
    <w:rsid w:val="00A140D3"/>
    <w:rsid w:val="00A14112"/>
    <w:rsid w:val="00A141BD"/>
    <w:rsid w:val="00A14520"/>
    <w:rsid w:val="00A1458C"/>
    <w:rsid w:val="00A14779"/>
    <w:rsid w:val="00A14EC6"/>
    <w:rsid w:val="00A15121"/>
    <w:rsid w:val="00A1523B"/>
    <w:rsid w:val="00A153B6"/>
    <w:rsid w:val="00A15578"/>
    <w:rsid w:val="00A155B7"/>
    <w:rsid w:val="00A15D7F"/>
    <w:rsid w:val="00A15DB4"/>
    <w:rsid w:val="00A15E3B"/>
    <w:rsid w:val="00A161B3"/>
    <w:rsid w:val="00A162E1"/>
    <w:rsid w:val="00A163D0"/>
    <w:rsid w:val="00A16430"/>
    <w:rsid w:val="00A166C0"/>
    <w:rsid w:val="00A16836"/>
    <w:rsid w:val="00A16857"/>
    <w:rsid w:val="00A16979"/>
    <w:rsid w:val="00A16DFE"/>
    <w:rsid w:val="00A16F67"/>
    <w:rsid w:val="00A171AF"/>
    <w:rsid w:val="00A177E3"/>
    <w:rsid w:val="00A1780A"/>
    <w:rsid w:val="00A17A2A"/>
    <w:rsid w:val="00A17B7F"/>
    <w:rsid w:val="00A17D6E"/>
    <w:rsid w:val="00A17F77"/>
    <w:rsid w:val="00A17FBC"/>
    <w:rsid w:val="00A17FFD"/>
    <w:rsid w:val="00A20100"/>
    <w:rsid w:val="00A2041F"/>
    <w:rsid w:val="00A206D0"/>
    <w:rsid w:val="00A20DE3"/>
    <w:rsid w:val="00A20E42"/>
    <w:rsid w:val="00A20F63"/>
    <w:rsid w:val="00A21089"/>
    <w:rsid w:val="00A2142F"/>
    <w:rsid w:val="00A2187D"/>
    <w:rsid w:val="00A2190A"/>
    <w:rsid w:val="00A21DD9"/>
    <w:rsid w:val="00A22162"/>
    <w:rsid w:val="00A22312"/>
    <w:rsid w:val="00A223DB"/>
    <w:rsid w:val="00A2281E"/>
    <w:rsid w:val="00A22967"/>
    <w:rsid w:val="00A22D2A"/>
    <w:rsid w:val="00A22D2C"/>
    <w:rsid w:val="00A22DF2"/>
    <w:rsid w:val="00A22E16"/>
    <w:rsid w:val="00A2318D"/>
    <w:rsid w:val="00A233F6"/>
    <w:rsid w:val="00A23773"/>
    <w:rsid w:val="00A23C11"/>
    <w:rsid w:val="00A23C86"/>
    <w:rsid w:val="00A23D1F"/>
    <w:rsid w:val="00A23EDD"/>
    <w:rsid w:val="00A2406B"/>
    <w:rsid w:val="00A241E3"/>
    <w:rsid w:val="00A245F9"/>
    <w:rsid w:val="00A248B3"/>
    <w:rsid w:val="00A24E94"/>
    <w:rsid w:val="00A25E09"/>
    <w:rsid w:val="00A25E34"/>
    <w:rsid w:val="00A2609E"/>
    <w:rsid w:val="00A26281"/>
    <w:rsid w:val="00A2652F"/>
    <w:rsid w:val="00A26531"/>
    <w:rsid w:val="00A26A23"/>
    <w:rsid w:val="00A26C08"/>
    <w:rsid w:val="00A26C8A"/>
    <w:rsid w:val="00A26DFC"/>
    <w:rsid w:val="00A27250"/>
    <w:rsid w:val="00A2744E"/>
    <w:rsid w:val="00A2768A"/>
    <w:rsid w:val="00A27883"/>
    <w:rsid w:val="00A2795D"/>
    <w:rsid w:val="00A27B16"/>
    <w:rsid w:val="00A27D23"/>
    <w:rsid w:val="00A301AA"/>
    <w:rsid w:val="00A30567"/>
    <w:rsid w:val="00A30798"/>
    <w:rsid w:val="00A307A4"/>
    <w:rsid w:val="00A30E28"/>
    <w:rsid w:val="00A31768"/>
    <w:rsid w:val="00A3186D"/>
    <w:rsid w:val="00A31BCA"/>
    <w:rsid w:val="00A31C9B"/>
    <w:rsid w:val="00A31E0E"/>
    <w:rsid w:val="00A320BB"/>
    <w:rsid w:val="00A3227E"/>
    <w:rsid w:val="00A324BC"/>
    <w:rsid w:val="00A32847"/>
    <w:rsid w:val="00A32879"/>
    <w:rsid w:val="00A32BB5"/>
    <w:rsid w:val="00A32DA7"/>
    <w:rsid w:val="00A32E31"/>
    <w:rsid w:val="00A32F49"/>
    <w:rsid w:val="00A32F76"/>
    <w:rsid w:val="00A331C7"/>
    <w:rsid w:val="00A332F3"/>
    <w:rsid w:val="00A3354E"/>
    <w:rsid w:val="00A33555"/>
    <w:rsid w:val="00A3368B"/>
    <w:rsid w:val="00A3375F"/>
    <w:rsid w:val="00A33B83"/>
    <w:rsid w:val="00A33B99"/>
    <w:rsid w:val="00A33DB1"/>
    <w:rsid w:val="00A33DF8"/>
    <w:rsid w:val="00A34189"/>
    <w:rsid w:val="00A34457"/>
    <w:rsid w:val="00A34692"/>
    <w:rsid w:val="00A347CA"/>
    <w:rsid w:val="00A348BA"/>
    <w:rsid w:val="00A349B9"/>
    <w:rsid w:val="00A34AA6"/>
    <w:rsid w:val="00A34B89"/>
    <w:rsid w:val="00A34C96"/>
    <w:rsid w:val="00A34F5D"/>
    <w:rsid w:val="00A34FBC"/>
    <w:rsid w:val="00A360DC"/>
    <w:rsid w:val="00A361EC"/>
    <w:rsid w:val="00A3652E"/>
    <w:rsid w:val="00A365E6"/>
    <w:rsid w:val="00A36648"/>
    <w:rsid w:val="00A3735E"/>
    <w:rsid w:val="00A37448"/>
    <w:rsid w:val="00A37669"/>
    <w:rsid w:val="00A37BE4"/>
    <w:rsid w:val="00A37DAB"/>
    <w:rsid w:val="00A37E71"/>
    <w:rsid w:val="00A37EF3"/>
    <w:rsid w:val="00A40033"/>
    <w:rsid w:val="00A40091"/>
    <w:rsid w:val="00A401EE"/>
    <w:rsid w:val="00A40284"/>
    <w:rsid w:val="00A402D7"/>
    <w:rsid w:val="00A4038D"/>
    <w:rsid w:val="00A40452"/>
    <w:rsid w:val="00A40751"/>
    <w:rsid w:val="00A40AAB"/>
    <w:rsid w:val="00A40FDA"/>
    <w:rsid w:val="00A415A8"/>
    <w:rsid w:val="00A4170A"/>
    <w:rsid w:val="00A418D3"/>
    <w:rsid w:val="00A41995"/>
    <w:rsid w:val="00A41A7B"/>
    <w:rsid w:val="00A41E86"/>
    <w:rsid w:val="00A42000"/>
    <w:rsid w:val="00A4216C"/>
    <w:rsid w:val="00A42318"/>
    <w:rsid w:val="00A4231F"/>
    <w:rsid w:val="00A4252D"/>
    <w:rsid w:val="00A425FB"/>
    <w:rsid w:val="00A42764"/>
    <w:rsid w:val="00A42AB4"/>
    <w:rsid w:val="00A42C1A"/>
    <w:rsid w:val="00A42EE3"/>
    <w:rsid w:val="00A431E1"/>
    <w:rsid w:val="00A433B7"/>
    <w:rsid w:val="00A43B48"/>
    <w:rsid w:val="00A44229"/>
    <w:rsid w:val="00A44563"/>
    <w:rsid w:val="00A445AA"/>
    <w:rsid w:val="00A445EA"/>
    <w:rsid w:val="00A447A3"/>
    <w:rsid w:val="00A44921"/>
    <w:rsid w:val="00A44960"/>
    <w:rsid w:val="00A44AE6"/>
    <w:rsid w:val="00A44C57"/>
    <w:rsid w:val="00A453BF"/>
    <w:rsid w:val="00A4545D"/>
    <w:rsid w:val="00A454D1"/>
    <w:rsid w:val="00A45724"/>
    <w:rsid w:val="00A45864"/>
    <w:rsid w:val="00A45990"/>
    <w:rsid w:val="00A45999"/>
    <w:rsid w:val="00A459AF"/>
    <w:rsid w:val="00A45C81"/>
    <w:rsid w:val="00A4609F"/>
    <w:rsid w:val="00A460D2"/>
    <w:rsid w:val="00A460E5"/>
    <w:rsid w:val="00A46551"/>
    <w:rsid w:val="00A46758"/>
    <w:rsid w:val="00A4696D"/>
    <w:rsid w:val="00A46A7D"/>
    <w:rsid w:val="00A46BA8"/>
    <w:rsid w:val="00A46E93"/>
    <w:rsid w:val="00A47038"/>
    <w:rsid w:val="00A4709A"/>
    <w:rsid w:val="00A47102"/>
    <w:rsid w:val="00A4710D"/>
    <w:rsid w:val="00A47113"/>
    <w:rsid w:val="00A474AD"/>
    <w:rsid w:val="00A477A4"/>
    <w:rsid w:val="00A4789B"/>
    <w:rsid w:val="00A479EC"/>
    <w:rsid w:val="00A47D6D"/>
    <w:rsid w:val="00A47E97"/>
    <w:rsid w:val="00A47F5E"/>
    <w:rsid w:val="00A50191"/>
    <w:rsid w:val="00A502ED"/>
    <w:rsid w:val="00A504FE"/>
    <w:rsid w:val="00A505D8"/>
    <w:rsid w:val="00A50640"/>
    <w:rsid w:val="00A50B94"/>
    <w:rsid w:val="00A50C76"/>
    <w:rsid w:val="00A51211"/>
    <w:rsid w:val="00A5137B"/>
    <w:rsid w:val="00A5151C"/>
    <w:rsid w:val="00A51530"/>
    <w:rsid w:val="00A5169D"/>
    <w:rsid w:val="00A516C5"/>
    <w:rsid w:val="00A5183E"/>
    <w:rsid w:val="00A51890"/>
    <w:rsid w:val="00A51A65"/>
    <w:rsid w:val="00A52151"/>
    <w:rsid w:val="00A52246"/>
    <w:rsid w:val="00A52285"/>
    <w:rsid w:val="00A52AC8"/>
    <w:rsid w:val="00A52B3B"/>
    <w:rsid w:val="00A52C4D"/>
    <w:rsid w:val="00A52CD2"/>
    <w:rsid w:val="00A53478"/>
    <w:rsid w:val="00A53541"/>
    <w:rsid w:val="00A53793"/>
    <w:rsid w:val="00A53872"/>
    <w:rsid w:val="00A54114"/>
    <w:rsid w:val="00A54592"/>
    <w:rsid w:val="00A545CE"/>
    <w:rsid w:val="00A54819"/>
    <w:rsid w:val="00A548F9"/>
    <w:rsid w:val="00A549E2"/>
    <w:rsid w:val="00A54B52"/>
    <w:rsid w:val="00A55389"/>
    <w:rsid w:val="00A556DD"/>
    <w:rsid w:val="00A5594E"/>
    <w:rsid w:val="00A55E41"/>
    <w:rsid w:val="00A55F92"/>
    <w:rsid w:val="00A560AB"/>
    <w:rsid w:val="00A565CE"/>
    <w:rsid w:val="00A565F0"/>
    <w:rsid w:val="00A5668C"/>
    <w:rsid w:val="00A567B9"/>
    <w:rsid w:val="00A56AAD"/>
    <w:rsid w:val="00A56F7E"/>
    <w:rsid w:val="00A56FD4"/>
    <w:rsid w:val="00A57760"/>
    <w:rsid w:val="00A57BB5"/>
    <w:rsid w:val="00A57DF9"/>
    <w:rsid w:val="00A57E1B"/>
    <w:rsid w:val="00A57E22"/>
    <w:rsid w:val="00A6028C"/>
    <w:rsid w:val="00A6042B"/>
    <w:rsid w:val="00A605CA"/>
    <w:rsid w:val="00A605EC"/>
    <w:rsid w:val="00A606D5"/>
    <w:rsid w:val="00A6079B"/>
    <w:rsid w:val="00A607BA"/>
    <w:rsid w:val="00A60EC1"/>
    <w:rsid w:val="00A612ED"/>
    <w:rsid w:val="00A61393"/>
    <w:rsid w:val="00A613E0"/>
    <w:rsid w:val="00A6168E"/>
    <w:rsid w:val="00A616A7"/>
    <w:rsid w:val="00A617D5"/>
    <w:rsid w:val="00A61834"/>
    <w:rsid w:val="00A61BA3"/>
    <w:rsid w:val="00A61BE2"/>
    <w:rsid w:val="00A6202E"/>
    <w:rsid w:val="00A62383"/>
    <w:rsid w:val="00A623C3"/>
    <w:rsid w:val="00A62975"/>
    <w:rsid w:val="00A62A7B"/>
    <w:rsid w:val="00A62AD7"/>
    <w:rsid w:val="00A62F35"/>
    <w:rsid w:val="00A63154"/>
    <w:rsid w:val="00A63167"/>
    <w:rsid w:val="00A63306"/>
    <w:rsid w:val="00A63449"/>
    <w:rsid w:val="00A63711"/>
    <w:rsid w:val="00A637FB"/>
    <w:rsid w:val="00A63B89"/>
    <w:rsid w:val="00A63D8C"/>
    <w:rsid w:val="00A63DD9"/>
    <w:rsid w:val="00A64B56"/>
    <w:rsid w:val="00A64C87"/>
    <w:rsid w:val="00A64F43"/>
    <w:rsid w:val="00A6552A"/>
    <w:rsid w:val="00A65AE2"/>
    <w:rsid w:val="00A65BE2"/>
    <w:rsid w:val="00A65D0D"/>
    <w:rsid w:val="00A66435"/>
    <w:rsid w:val="00A6653C"/>
    <w:rsid w:val="00A66770"/>
    <w:rsid w:val="00A66A08"/>
    <w:rsid w:val="00A66AB8"/>
    <w:rsid w:val="00A66AD6"/>
    <w:rsid w:val="00A66B5E"/>
    <w:rsid w:val="00A67481"/>
    <w:rsid w:val="00A67583"/>
    <w:rsid w:val="00A67BBD"/>
    <w:rsid w:val="00A704B2"/>
    <w:rsid w:val="00A70AC6"/>
    <w:rsid w:val="00A70B76"/>
    <w:rsid w:val="00A712B0"/>
    <w:rsid w:val="00A71559"/>
    <w:rsid w:val="00A7158F"/>
    <w:rsid w:val="00A71869"/>
    <w:rsid w:val="00A71D3C"/>
    <w:rsid w:val="00A71E09"/>
    <w:rsid w:val="00A71F2A"/>
    <w:rsid w:val="00A71F90"/>
    <w:rsid w:val="00A7203C"/>
    <w:rsid w:val="00A72080"/>
    <w:rsid w:val="00A720AD"/>
    <w:rsid w:val="00A724A1"/>
    <w:rsid w:val="00A72517"/>
    <w:rsid w:val="00A72B84"/>
    <w:rsid w:val="00A72CE0"/>
    <w:rsid w:val="00A72D91"/>
    <w:rsid w:val="00A72F77"/>
    <w:rsid w:val="00A73081"/>
    <w:rsid w:val="00A73220"/>
    <w:rsid w:val="00A73271"/>
    <w:rsid w:val="00A7397E"/>
    <w:rsid w:val="00A73983"/>
    <w:rsid w:val="00A73A1E"/>
    <w:rsid w:val="00A742F6"/>
    <w:rsid w:val="00A7442B"/>
    <w:rsid w:val="00A745EF"/>
    <w:rsid w:val="00A746BF"/>
    <w:rsid w:val="00A749F0"/>
    <w:rsid w:val="00A74AB8"/>
    <w:rsid w:val="00A74C21"/>
    <w:rsid w:val="00A74C6F"/>
    <w:rsid w:val="00A7517F"/>
    <w:rsid w:val="00A753E3"/>
    <w:rsid w:val="00A75418"/>
    <w:rsid w:val="00A75688"/>
    <w:rsid w:val="00A7585F"/>
    <w:rsid w:val="00A75C2A"/>
    <w:rsid w:val="00A75FDC"/>
    <w:rsid w:val="00A76761"/>
    <w:rsid w:val="00A76A9D"/>
    <w:rsid w:val="00A76AD3"/>
    <w:rsid w:val="00A76BC4"/>
    <w:rsid w:val="00A76DF3"/>
    <w:rsid w:val="00A76F7A"/>
    <w:rsid w:val="00A77473"/>
    <w:rsid w:val="00A77615"/>
    <w:rsid w:val="00A77765"/>
    <w:rsid w:val="00A77C8F"/>
    <w:rsid w:val="00A77C9C"/>
    <w:rsid w:val="00A77F61"/>
    <w:rsid w:val="00A80453"/>
    <w:rsid w:val="00A80618"/>
    <w:rsid w:val="00A8076C"/>
    <w:rsid w:val="00A8089C"/>
    <w:rsid w:val="00A80AE6"/>
    <w:rsid w:val="00A80C9A"/>
    <w:rsid w:val="00A80CC2"/>
    <w:rsid w:val="00A80D83"/>
    <w:rsid w:val="00A811D3"/>
    <w:rsid w:val="00A812C9"/>
    <w:rsid w:val="00A81527"/>
    <w:rsid w:val="00A816D1"/>
    <w:rsid w:val="00A81825"/>
    <w:rsid w:val="00A8189B"/>
    <w:rsid w:val="00A81A28"/>
    <w:rsid w:val="00A81CB6"/>
    <w:rsid w:val="00A81D3D"/>
    <w:rsid w:val="00A81DAF"/>
    <w:rsid w:val="00A81DFE"/>
    <w:rsid w:val="00A8209C"/>
    <w:rsid w:val="00A8276B"/>
    <w:rsid w:val="00A828EB"/>
    <w:rsid w:val="00A82B97"/>
    <w:rsid w:val="00A82F28"/>
    <w:rsid w:val="00A8342E"/>
    <w:rsid w:val="00A8343C"/>
    <w:rsid w:val="00A8384A"/>
    <w:rsid w:val="00A838B1"/>
    <w:rsid w:val="00A83B6C"/>
    <w:rsid w:val="00A8405B"/>
    <w:rsid w:val="00A8423F"/>
    <w:rsid w:val="00A8428F"/>
    <w:rsid w:val="00A84407"/>
    <w:rsid w:val="00A848C9"/>
    <w:rsid w:val="00A848F5"/>
    <w:rsid w:val="00A84ECA"/>
    <w:rsid w:val="00A85118"/>
    <w:rsid w:val="00A85158"/>
    <w:rsid w:val="00A853A6"/>
    <w:rsid w:val="00A8542A"/>
    <w:rsid w:val="00A8559D"/>
    <w:rsid w:val="00A85738"/>
    <w:rsid w:val="00A85798"/>
    <w:rsid w:val="00A85B7C"/>
    <w:rsid w:val="00A85E58"/>
    <w:rsid w:val="00A86455"/>
    <w:rsid w:val="00A864BC"/>
    <w:rsid w:val="00A864C6"/>
    <w:rsid w:val="00A86505"/>
    <w:rsid w:val="00A86582"/>
    <w:rsid w:val="00A866D3"/>
    <w:rsid w:val="00A86889"/>
    <w:rsid w:val="00A86C11"/>
    <w:rsid w:val="00A86EA2"/>
    <w:rsid w:val="00A8707B"/>
    <w:rsid w:val="00A871DF"/>
    <w:rsid w:val="00A87B56"/>
    <w:rsid w:val="00A87DDE"/>
    <w:rsid w:val="00A87E30"/>
    <w:rsid w:val="00A87EE9"/>
    <w:rsid w:val="00A87F61"/>
    <w:rsid w:val="00A90062"/>
    <w:rsid w:val="00A9007A"/>
    <w:rsid w:val="00A90121"/>
    <w:rsid w:val="00A9030B"/>
    <w:rsid w:val="00A906C9"/>
    <w:rsid w:val="00A90DCB"/>
    <w:rsid w:val="00A90E3D"/>
    <w:rsid w:val="00A90E6A"/>
    <w:rsid w:val="00A9100E"/>
    <w:rsid w:val="00A912AD"/>
    <w:rsid w:val="00A91393"/>
    <w:rsid w:val="00A91496"/>
    <w:rsid w:val="00A914FF"/>
    <w:rsid w:val="00A919C6"/>
    <w:rsid w:val="00A919FE"/>
    <w:rsid w:val="00A91A00"/>
    <w:rsid w:val="00A91A88"/>
    <w:rsid w:val="00A91B55"/>
    <w:rsid w:val="00A91D15"/>
    <w:rsid w:val="00A92438"/>
    <w:rsid w:val="00A929B0"/>
    <w:rsid w:val="00A92A1B"/>
    <w:rsid w:val="00A92A3C"/>
    <w:rsid w:val="00A92AFD"/>
    <w:rsid w:val="00A92BB6"/>
    <w:rsid w:val="00A92C48"/>
    <w:rsid w:val="00A92CA2"/>
    <w:rsid w:val="00A9319D"/>
    <w:rsid w:val="00A93284"/>
    <w:rsid w:val="00A934F8"/>
    <w:rsid w:val="00A935CA"/>
    <w:rsid w:val="00A93753"/>
    <w:rsid w:val="00A939B0"/>
    <w:rsid w:val="00A939C6"/>
    <w:rsid w:val="00A941E0"/>
    <w:rsid w:val="00A94258"/>
    <w:rsid w:val="00A94396"/>
    <w:rsid w:val="00A943E9"/>
    <w:rsid w:val="00A943EE"/>
    <w:rsid w:val="00A94660"/>
    <w:rsid w:val="00A94860"/>
    <w:rsid w:val="00A94A48"/>
    <w:rsid w:val="00A94C5F"/>
    <w:rsid w:val="00A94D04"/>
    <w:rsid w:val="00A94F65"/>
    <w:rsid w:val="00A95364"/>
    <w:rsid w:val="00A956EF"/>
    <w:rsid w:val="00A95803"/>
    <w:rsid w:val="00A95B52"/>
    <w:rsid w:val="00A95E2C"/>
    <w:rsid w:val="00A96019"/>
    <w:rsid w:val="00A9619E"/>
    <w:rsid w:val="00A9634D"/>
    <w:rsid w:val="00A963FB"/>
    <w:rsid w:val="00A968E3"/>
    <w:rsid w:val="00A96ABA"/>
    <w:rsid w:val="00A96D24"/>
    <w:rsid w:val="00A96FD0"/>
    <w:rsid w:val="00A96FF7"/>
    <w:rsid w:val="00A97214"/>
    <w:rsid w:val="00A97602"/>
    <w:rsid w:val="00A977D3"/>
    <w:rsid w:val="00A97A1A"/>
    <w:rsid w:val="00A97BDD"/>
    <w:rsid w:val="00A97DDC"/>
    <w:rsid w:val="00A97F1B"/>
    <w:rsid w:val="00AA0269"/>
    <w:rsid w:val="00AA03F5"/>
    <w:rsid w:val="00AA0A85"/>
    <w:rsid w:val="00AA0C1A"/>
    <w:rsid w:val="00AA1136"/>
    <w:rsid w:val="00AA1384"/>
    <w:rsid w:val="00AA150A"/>
    <w:rsid w:val="00AA16CC"/>
    <w:rsid w:val="00AA1774"/>
    <w:rsid w:val="00AA199C"/>
    <w:rsid w:val="00AA1BA5"/>
    <w:rsid w:val="00AA207C"/>
    <w:rsid w:val="00AA20A5"/>
    <w:rsid w:val="00AA24B0"/>
    <w:rsid w:val="00AA25EF"/>
    <w:rsid w:val="00AA2864"/>
    <w:rsid w:val="00AA306D"/>
    <w:rsid w:val="00AA36D0"/>
    <w:rsid w:val="00AA38CE"/>
    <w:rsid w:val="00AA3B90"/>
    <w:rsid w:val="00AA3BA5"/>
    <w:rsid w:val="00AA3E21"/>
    <w:rsid w:val="00AA4239"/>
    <w:rsid w:val="00AA429B"/>
    <w:rsid w:val="00AA4424"/>
    <w:rsid w:val="00AA447F"/>
    <w:rsid w:val="00AA4647"/>
    <w:rsid w:val="00AA46E8"/>
    <w:rsid w:val="00AA46F6"/>
    <w:rsid w:val="00AA4820"/>
    <w:rsid w:val="00AA4A03"/>
    <w:rsid w:val="00AA4C26"/>
    <w:rsid w:val="00AA4C5E"/>
    <w:rsid w:val="00AA4D3B"/>
    <w:rsid w:val="00AA4DDD"/>
    <w:rsid w:val="00AA4DF4"/>
    <w:rsid w:val="00AA5183"/>
    <w:rsid w:val="00AA52CA"/>
    <w:rsid w:val="00AA53A2"/>
    <w:rsid w:val="00AA53FA"/>
    <w:rsid w:val="00AA5581"/>
    <w:rsid w:val="00AA5A43"/>
    <w:rsid w:val="00AA5B7F"/>
    <w:rsid w:val="00AA5DF3"/>
    <w:rsid w:val="00AA61B5"/>
    <w:rsid w:val="00AA67DA"/>
    <w:rsid w:val="00AA6900"/>
    <w:rsid w:val="00AA69E5"/>
    <w:rsid w:val="00AA6A86"/>
    <w:rsid w:val="00AA6A96"/>
    <w:rsid w:val="00AA6E83"/>
    <w:rsid w:val="00AA6F7C"/>
    <w:rsid w:val="00AA739C"/>
    <w:rsid w:val="00AA75EF"/>
    <w:rsid w:val="00AA7763"/>
    <w:rsid w:val="00AA79E0"/>
    <w:rsid w:val="00AA7CE9"/>
    <w:rsid w:val="00AA7D06"/>
    <w:rsid w:val="00AA7FDA"/>
    <w:rsid w:val="00AB0032"/>
    <w:rsid w:val="00AB04F8"/>
    <w:rsid w:val="00AB09BF"/>
    <w:rsid w:val="00AB0DB3"/>
    <w:rsid w:val="00AB0F8A"/>
    <w:rsid w:val="00AB1378"/>
    <w:rsid w:val="00AB1382"/>
    <w:rsid w:val="00AB14C9"/>
    <w:rsid w:val="00AB1584"/>
    <w:rsid w:val="00AB1C6E"/>
    <w:rsid w:val="00AB1CAC"/>
    <w:rsid w:val="00AB1D96"/>
    <w:rsid w:val="00AB1DD9"/>
    <w:rsid w:val="00AB2127"/>
    <w:rsid w:val="00AB2475"/>
    <w:rsid w:val="00AB2745"/>
    <w:rsid w:val="00AB27E7"/>
    <w:rsid w:val="00AB280E"/>
    <w:rsid w:val="00AB28C7"/>
    <w:rsid w:val="00AB296E"/>
    <w:rsid w:val="00AB2994"/>
    <w:rsid w:val="00AB2B5C"/>
    <w:rsid w:val="00AB3177"/>
    <w:rsid w:val="00AB380E"/>
    <w:rsid w:val="00AB3891"/>
    <w:rsid w:val="00AB39F1"/>
    <w:rsid w:val="00AB3C08"/>
    <w:rsid w:val="00AB3C76"/>
    <w:rsid w:val="00AB3D1E"/>
    <w:rsid w:val="00AB3DE4"/>
    <w:rsid w:val="00AB3EA1"/>
    <w:rsid w:val="00AB4077"/>
    <w:rsid w:val="00AB4285"/>
    <w:rsid w:val="00AB449D"/>
    <w:rsid w:val="00AB4729"/>
    <w:rsid w:val="00AB48E5"/>
    <w:rsid w:val="00AB4A71"/>
    <w:rsid w:val="00AB5043"/>
    <w:rsid w:val="00AB523F"/>
    <w:rsid w:val="00AB5882"/>
    <w:rsid w:val="00AB5959"/>
    <w:rsid w:val="00AB5B05"/>
    <w:rsid w:val="00AB5BD7"/>
    <w:rsid w:val="00AB5C32"/>
    <w:rsid w:val="00AB5C3C"/>
    <w:rsid w:val="00AB5C59"/>
    <w:rsid w:val="00AB6379"/>
    <w:rsid w:val="00AB637F"/>
    <w:rsid w:val="00AB6816"/>
    <w:rsid w:val="00AB6A36"/>
    <w:rsid w:val="00AB6C7B"/>
    <w:rsid w:val="00AB6FDD"/>
    <w:rsid w:val="00AB717B"/>
    <w:rsid w:val="00AB729B"/>
    <w:rsid w:val="00AB7485"/>
    <w:rsid w:val="00AB793C"/>
    <w:rsid w:val="00AB7ADC"/>
    <w:rsid w:val="00AB7C0F"/>
    <w:rsid w:val="00AB7DBC"/>
    <w:rsid w:val="00AB7EF9"/>
    <w:rsid w:val="00AB7F05"/>
    <w:rsid w:val="00AC0056"/>
    <w:rsid w:val="00AC03C3"/>
    <w:rsid w:val="00AC059C"/>
    <w:rsid w:val="00AC0956"/>
    <w:rsid w:val="00AC0B97"/>
    <w:rsid w:val="00AC0C3B"/>
    <w:rsid w:val="00AC0CF2"/>
    <w:rsid w:val="00AC10C0"/>
    <w:rsid w:val="00AC11F2"/>
    <w:rsid w:val="00AC121C"/>
    <w:rsid w:val="00AC1650"/>
    <w:rsid w:val="00AC1705"/>
    <w:rsid w:val="00AC17F2"/>
    <w:rsid w:val="00AC1B56"/>
    <w:rsid w:val="00AC1B92"/>
    <w:rsid w:val="00AC1BF9"/>
    <w:rsid w:val="00AC1F61"/>
    <w:rsid w:val="00AC2210"/>
    <w:rsid w:val="00AC246D"/>
    <w:rsid w:val="00AC248A"/>
    <w:rsid w:val="00AC2589"/>
    <w:rsid w:val="00AC277B"/>
    <w:rsid w:val="00AC2B59"/>
    <w:rsid w:val="00AC2CE7"/>
    <w:rsid w:val="00AC2D2F"/>
    <w:rsid w:val="00AC2DD0"/>
    <w:rsid w:val="00AC3036"/>
    <w:rsid w:val="00AC31F2"/>
    <w:rsid w:val="00AC3657"/>
    <w:rsid w:val="00AC3863"/>
    <w:rsid w:val="00AC3AAB"/>
    <w:rsid w:val="00AC42C5"/>
    <w:rsid w:val="00AC43AA"/>
    <w:rsid w:val="00AC4431"/>
    <w:rsid w:val="00AC4448"/>
    <w:rsid w:val="00AC4640"/>
    <w:rsid w:val="00AC4832"/>
    <w:rsid w:val="00AC502F"/>
    <w:rsid w:val="00AC51D4"/>
    <w:rsid w:val="00AC5334"/>
    <w:rsid w:val="00AC5527"/>
    <w:rsid w:val="00AC56A5"/>
    <w:rsid w:val="00AC56CD"/>
    <w:rsid w:val="00AC57B6"/>
    <w:rsid w:val="00AC5800"/>
    <w:rsid w:val="00AC58FA"/>
    <w:rsid w:val="00AC5DC5"/>
    <w:rsid w:val="00AC5E8A"/>
    <w:rsid w:val="00AC5F4A"/>
    <w:rsid w:val="00AC6510"/>
    <w:rsid w:val="00AC6617"/>
    <w:rsid w:val="00AC6799"/>
    <w:rsid w:val="00AC6982"/>
    <w:rsid w:val="00AC7216"/>
    <w:rsid w:val="00AC7381"/>
    <w:rsid w:val="00AC7425"/>
    <w:rsid w:val="00AC7717"/>
    <w:rsid w:val="00AC7A68"/>
    <w:rsid w:val="00AC7C63"/>
    <w:rsid w:val="00AC7CFD"/>
    <w:rsid w:val="00AC7E57"/>
    <w:rsid w:val="00AC7F2F"/>
    <w:rsid w:val="00AD034C"/>
    <w:rsid w:val="00AD03CD"/>
    <w:rsid w:val="00AD0533"/>
    <w:rsid w:val="00AD0720"/>
    <w:rsid w:val="00AD0858"/>
    <w:rsid w:val="00AD0B35"/>
    <w:rsid w:val="00AD0B55"/>
    <w:rsid w:val="00AD0D79"/>
    <w:rsid w:val="00AD105C"/>
    <w:rsid w:val="00AD1418"/>
    <w:rsid w:val="00AD1563"/>
    <w:rsid w:val="00AD171F"/>
    <w:rsid w:val="00AD1783"/>
    <w:rsid w:val="00AD17A7"/>
    <w:rsid w:val="00AD1B34"/>
    <w:rsid w:val="00AD1F76"/>
    <w:rsid w:val="00AD1F85"/>
    <w:rsid w:val="00AD2050"/>
    <w:rsid w:val="00AD291E"/>
    <w:rsid w:val="00AD2B94"/>
    <w:rsid w:val="00AD2EFD"/>
    <w:rsid w:val="00AD3F1C"/>
    <w:rsid w:val="00AD3F5A"/>
    <w:rsid w:val="00AD40E0"/>
    <w:rsid w:val="00AD43E3"/>
    <w:rsid w:val="00AD46A5"/>
    <w:rsid w:val="00AD484D"/>
    <w:rsid w:val="00AD4924"/>
    <w:rsid w:val="00AD4936"/>
    <w:rsid w:val="00AD4AA5"/>
    <w:rsid w:val="00AD4B3E"/>
    <w:rsid w:val="00AD5069"/>
    <w:rsid w:val="00AD51E1"/>
    <w:rsid w:val="00AD5369"/>
    <w:rsid w:val="00AD54AA"/>
    <w:rsid w:val="00AD5556"/>
    <w:rsid w:val="00AD562D"/>
    <w:rsid w:val="00AD567A"/>
    <w:rsid w:val="00AD59ED"/>
    <w:rsid w:val="00AD5A05"/>
    <w:rsid w:val="00AD5BB4"/>
    <w:rsid w:val="00AD60F1"/>
    <w:rsid w:val="00AD627C"/>
    <w:rsid w:val="00AD62E5"/>
    <w:rsid w:val="00AD6477"/>
    <w:rsid w:val="00AD6B25"/>
    <w:rsid w:val="00AD6EBF"/>
    <w:rsid w:val="00AD710C"/>
    <w:rsid w:val="00AD7111"/>
    <w:rsid w:val="00AD71DE"/>
    <w:rsid w:val="00AD7266"/>
    <w:rsid w:val="00AD73C8"/>
    <w:rsid w:val="00AD74AF"/>
    <w:rsid w:val="00AD789B"/>
    <w:rsid w:val="00AE00E7"/>
    <w:rsid w:val="00AE01EA"/>
    <w:rsid w:val="00AE0310"/>
    <w:rsid w:val="00AE0374"/>
    <w:rsid w:val="00AE037C"/>
    <w:rsid w:val="00AE0428"/>
    <w:rsid w:val="00AE0590"/>
    <w:rsid w:val="00AE0926"/>
    <w:rsid w:val="00AE09DC"/>
    <w:rsid w:val="00AE0C15"/>
    <w:rsid w:val="00AE0E9D"/>
    <w:rsid w:val="00AE0F8C"/>
    <w:rsid w:val="00AE12A4"/>
    <w:rsid w:val="00AE146E"/>
    <w:rsid w:val="00AE173A"/>
    <w:rsid w:val="00AE19E0"/>
    <w:rsid w:val="00AE1BAE"/>
    <w:rsid w:val="00AE1CE3"/>
    <w:rsid w:val="00AE1D7E"/>
    <w:rsid w:val="00AE1DD0"/>
    <w:rsid w:val="00AE1E98"/>
    <w:rsid w:val="00AE2163"/>
    <w:rsid w:val="00AE21C3"/>
    <w:rsid w:val="00AE24D4"/>
    <w:rsid w:val="00AE251C"/>
    <w:rsid w:val="00AE2853"/>
    <w:rsid w:val="00AE29EF"/>
    <w:rsid w:val="00AE2C64"/>
    <w:rsid w:val="00AE2FFB"/>
    <w:rsid w:val="00AE3558"/>
    <w:rsid w:val="00AE361B"/>
    <w:rsid w:val="00AE387B"/>
    <w:rsid w:val="00AE3AE3"/>
    <w:rsid w:val="00AE3DB3"/>
    <w:rsid w:val="00AE3EB7"/>
    <w:rsid w:val="00AE3EBD"/>
    <w:rsid w:val="00AE407F"/>
    <w:rsid w:val="00AE4285"/>
    <w:rsid w:val="00AE4392"/>
    <w:rsid w:val="00AE44FD"/>
    <w:rsid w:val="00AE4695"/>
    <w:rsid w:val="00AE4752"/>
    <w:rsid w:val="00AE478C"/>
    <w:rsid w:val="00AE4811"/>
    <w:rsid w:val="00AE492D"/>
    <w:rsid w:val="00AE498B"/>
    <w:rsid w:val="00AE4A05"/>
    <w:rsid w:val="00AE4BE7"/>
    <w:rsid w:val="00AE4D77"/>
    <w:rsid w:val="00AE4E8F"/>
    <w:rsid w:val="00AE545D"/>
    <w:rsid w:val="00AE5508"/>
    <w:rsid w:val="00AE5CE6"/>
    <w:rsid w:val="00AE5EBE"/>
    <w:rsid w:val="00AE5F55"/>
    <w:rsid w:val="00AE5F5E"/>
    <w:rsid w:val="00AE5FF8"/>
    <w:rsid w:val="00AE63B2"/>
    <w:rsid w:val="00AE64D8"/>
    <w:rsid w:val="00AE692C"/>
    <w:rsid w:val="00AE6CE5"/>
    <w:rsid w:val="00AE706C"/>
    <w:rsid w:val="00AE7443"/>
    <w:rsid w:val="00AE79B6"/>
    <w:rsid w:val="00AE7C29"/>
    <w:rsid w:val="00AE7C36"/>
    <w:rsid w:val="00AE7CA4"/>
    <w:rsid w:val="00AE7EE7"/>
    <w:rsid w:val="00AF0033"/>
    <w:rsid w:val="00AF0047"/>
    <w:rsid w:val="00AF00EE"/>
    <w:rsid w:val="00AF00F2"/>
    <w:rsid w:val="00AF011F"/>
    <w:rsid w:val="00AF025F"/>
    <w:rsid w:val="00AF042A"/>
    <w:rsid w:val="00AF06BE"/>
    <w:rsid w:val="00AF0BAF"/>
    <w:rsid w:val="00AF0E65"/>
    <w:rsid w:val="00AF0E7F"/>
    <w:rsid w:val="00AF0EFC"/>
    <w:rsid w:val="00AF11AA"/>
    <w:rsid w:val="00AF11CB"/>
    <w:rsid w:val="00AF17DC"/>
    <w:rsid w:val="00AF1939"/>
    <w:rsid w:val="00AF19A5"/>
    <w:rsid w:val="00AF1A6A"/>
    <w:rsid w:val="00AF1E80"/>
    <w:rsid w:val="00AF1FB2"/>
    <w:rsid w:val="00AF2006"/>
    <w:rsid w:val="00AF2087"/>
    <w:rsid w:val="00AF2547"/>
    <w:rsid w:val="00AF268B"/>
    <w:rsid w:val="00AF276E"/>
    <w:rsid w:val="00AF2A65"/>
    <w:rsid w:val="00AF2B3F"/>
    <w:rsid w:val="00AF2DB6"/>
    <w:rsid w:val="00AF33BE"/>
    <w:rsid w:val="00AF3809"/>
    <w:rsid w:val="00AF39AE"/>
    <w:rsid w:val="00AF3B1B"/>
    <w:rsid w:val="00AF3E03"/>
    <w:rsid w:val="00AF40BE"/>
    <w:rsid w:val="00AF412A"/>
    <w:rsid w:val="00AF43CC"/>
    <w:rsid w:val="00AF4828"/>
    <w:rsid w:val="00AF4921"/>
    <w:rsid w:val="00AF4A84"/>
    <w:rsid w:val="00AF4A9E"/>
    <w:rsid w:val="00AF4D23"/>
    <w:rsid w:val="00AF503B"/>
    <w:rsid w:val="00AF512F"/>
    <w:rsid w:val="00AF5297"/>
    <w:rsid w:val="00AF5468"/>
    <w:rsid w:val="00AF5509"/>
    <w:rsid w:val="00AF5822"/>
    <w:rsid w:val="00AF5F1F"/>
    <w:rsid w:val="00AF61EE"/>
    <w:rsid w:val="00AF6520"/>
    <w:rsid w:val="00AF6AA3"/>
    <w:rsid w:val="00AF6CA2"/>
    <w:rsid w:val="00AF6D3C"/>
    <w:rsid w:val="00AF6D64"/>
    <w:rsid w:val="00AF7095"/>
    <w:rsid w:val="00AF7098"/>
    <w:rsid w:val="00AF70B8"/>
    <w:rsid w:val="00AF712F"/>
    <w:rsid w:val="00AF77F0"/>
    <w:rsid w:val="00AF7D14"/>
    <w:rsid w:val="00AF7D8C"/>
    <w:rsid w:val="00B003DA"/>
    <w:rsid w:val="00B003E8"/>
    <w:rsid w:val="00B00970"/>
    <w:rsid w:val="00B00A79"/>
    <w:rsid w:val="00B00F04"/>
    <w:rsid w:val="00B00FAC"/>
    <w:rsid w:val="00B011FD"/>
    <w:rsid w:val="00B0132C"/>
    <w:rsid w:val="00B01913"/>
    <w:rsid w:val="00B01BD0"/>
    <w:rsid w:val="00B01C2D"/>
    <w:rsid w:val="00B01D87"/>
    <w:rsid w:val="00B01EF4"/>
    <w:rsid w:val="00B02198"/>
    <w:rsid w:val="00B02697"/>
    <w:rsid w:val="00B0277E"/>
    <w:rsid w:val="00B0284A"/>
    <w:rsid w:val="00B02F8D"/>
    <w:rsid w:val="00B0300B"/>
    <w:rsid w:val="00B030CD"/>
    <w:rsid w:val="00B031CA"/>
    <w:rsid w:val="00B031CF"/>
    <w:rsid w:val="00B03218"/>
    <w:rsid w:val="00B03259"/>
    <w:rsid w:val="00B032A5"/>
    <w:rsid w:val="00B0356C"/>
    <w:rsid w:val="00B03686"/>
    <w:rsid w:val="00B0395A"/>
    <w:rsid w:val="00B03F72"/>
    <w:rsid w:val="00B040C3"/>
    <w:rsid w:val="00B047D2"/>
    <w:rsid w:val="00B0486B"/>
    <w:rsid w:val="00B04992"/>
    <w:rsid w:val="00B0499A"/>
    <w:rsid w:val="00B04A82"/>
    <w:rsid w:val="00B05385"/>
    <w:rsid w:val="00B054EA"/>
    <w:rsid w:val="00B05CD5"/>
    <w:rsid w:val="00B05F0B"/>
    <w:rsid w:val="00B0647D"/>
    <w:rsid w:val="00B065E2"/>
    <w:rsid w:val="00B06604"/>
    <w:rsid w:val="00B06DE1"/>
    <w:rsid w:val="00B06E5A"/>
    <w:rsid w:val="00B06F35"/>
    <w:rsid w:val="00B06FD3"/>
    <w:rsid w:val="00B0710E"/>
    <w:rsid w:val="00B0720D"/>
    <w:rsid w:val="00B073B4"/>
    <w:rsid w:val="00B0747C"/>
    <w:rsid w:val="00B0749A"/>
    <w:rsid w:val="00B07542"/>
    <w:rsid w:val="00B077ED"/>
    <w:rsid w:val="00B07A80"/>
    <w:rsid w:val="00B07E1E"/>
    <w:rsid w:val="00B1002B"/>
    <w:rsid w:val="00B10145"/>
    <w:rsid w:val="00B1022C"/>
    <w:rsid w:val="00B10653"/>
    <w:rsid w:val="00B1085D"/>
    <w:rsid w:val="00B108FF"/>
    <w:rsid w:val="00B10932"/>
    <w:rsid w:val="00B10A4B"/>
    <w:rsid w:val="00B10ABD"/>
    <w:rsid w:val="00B10C0A"/>
    <w:rsid w:val="00B10C2E"/>
    <w:rsid w:val="00B10E2F"/>
    <w:rsid w:val="00B110F3"/>
    <w:rsid w:val="00B11251"/>
    <w:rsid w:val="00B112CE"/>
    <w:rsid w:val="00B11878"/>
    <w:rsid w:val="00B11AEC"/>
    <w:rsid w:val="00B11B73"/>
    <w:rsid w:val="00B11BEA"/>
    <w:rsid w:val="00B11C2A"/>
    <w:rsid w:val="00B11D1D"/>
    <w:rsid w:val="00B12127"/>
    <w:rsid w:val="00B121B6"/>
    <w:rsid w:val="00B12418"/>
    <w:rsid w:val="00B1267D"/>
    <w:rsid w:val="00B12ACB"/>
    <w:rsid w:val="00B12B76"/>
    <w:rsid w:val="00B12D7F"/>
    <w:rsid w:val="00B12E30"/>
    <w:rsid w:val="00B12F9C"/>
    <w:rsid w:val="00B1308B"/>
    <w:rsid w:val="00B1314C"/>
    <w:rsid w:val="00B1314F"/>
    <w:rsid w:val="00B13475"/>
    <w:rsid w:val="00B13817"/>
    <w:rsid w:val="00B139AA"/>
    <w:rsid w:val="00B139FB"/>
    <w:rsid w:val="00B13A9D"/>
    <w:rsid w:val="00B14412"/>
    <w:rsid w:val="00B14560"/>
    <w:rsid w:val="00B1457C"/>
    <w:rsid w:val="00B148C5"/>
    <w:rsid w:val="00B14A1B"/>
    <w:rsid w:val="00B14E7F"/>
    <w:rsid w:val="00B14FEA"/>
    <w:rsid w:val="00B15136"/>
    <w:rsid w:val="00B15360"/>
    <w:rsid w:val="00B153B4"/>
    <w:rsid w:val="00B1568E"/>
    <w:rsid w:val="00B15799"/>
    <w:rsid w:val="00B157BE"/>
    <w:rsid w:val="00B158BC"/>
    <w:rsid w:val="00B15A76"/>
    <w:rsid w:val="00B15E01"/>
    <w:rsid w:val="00B15FB5"/>
    <w:rsid w:val="00B1639F"/>
    <w:rsid w:val="00B1643B"/>
    <w:rsid w:val="00B16726"/>
    <w:rsid w:val="00B16760"/>
    <w:rsid w:val="00B16EB0"/>
    <w:rsid w:val="00B16FC3"/>
    <w:rsid w:val="00B17094"/>
    <w:rsid w:val="00B170B7"/>
    <w:rsid w:val="00B170D8"/>
    <w:rsid w:val="00B171BB"/>
    <w:rsid w:val="00B17206"/>
    <w:rsid w:val="00B1739D"/>
    <w:rsid w:val="00B17A63"/>
    <w:rsid w:val="00B17DD8"/>
    <w:rsid w:val="00B17DF5"/>
    <w:rsid w:val="00B17FDC"/>
    <w:rsid w:val="00B2004D"/>
    <w:rsid w:val="00B200CD"/>
    <w:rsid w:val="00B20222"/>
    <w:rsid w:val="00B20792"/>
    <w:rsid w:val="00B20B4B"/>
    <w:rsid w:val="00B20C76"/>
    <w:rsid w:val="00B20DFA"/>
    <w:rsid w:val="00B20F6C"/>
    <w:rsid w:val="00B210FB"/>
    <w:rsid w:val="00B215BB"/>
    <w:rsid w:val="00B216AF"/>
    <w:rsid w:val="00B21833"/>
    <w:rsid w:val="00B21886"/>
    <w:rsid w:val="00B22402"/>
    <w:rsid w:val="00B224A7"/>
    <w:rsid w:val="00B22618"/>
    <w:rsid w:val="00B22B5B"/>
    <w:rsid w:val="00B22BA3"/>
    <w:rsid w:val="00B22E57"/>
    <w:rsid w:val="00B230EB"/>
    <w:rsid w:val="00B2342F"/>
    <w:rsid w:val="00B2391A"/>
    <w:rsid w:val="00B23BE1"/>
    <w:rsid w:val="00B23EBE"/>
    <w:rsid w:val="00B23ED0"/>
    <w:rsid w:val="00B240BF"/>
    <w:rsid w:val="00B24649"/>
    <w:rsid w:val="00B24762"/>
    <w:rsid w:val="00B24A47"/>
    <w:rsid w:val="00B24A4D"/>
    <w:rsid w:val="00B24B7D"/>
    <w:rsid w:val="00B24C35"/>
    <w:rsid w:val="00B24D9A"/>
    <w:rsid w:val="00B24E1F"/>
    <w:rsid w:val="00B24F09"/>
    <w:rsid w:val="00B24F18"/>
    <w:rsid w:val="00B25415"/>
    <w:rsid w:val="00B25453"/>
    <w:rsid w:val="00B2558C"/>
    <w:rsid w:val="00B25730"/>
    <w:rsid w:val="00B2589B"/>
    <w:rsid w:val="00B25C52"/>
    <w:rsid w:val="00B25F69"/>
    <w:rsid w:val="00B260C4"/>
    <w:rsid w:val="00B26109"/>
    <w:rsid w:val="00B2612B"/>
    <w:rsid w:val="00B2612C"/>
    <w:rsid w:val="00B2646B"/>
    <w:rsid w:val="00B266FB"/>
    <w:rsid w:val="00B26834"/>
    <w:rsid w:val="00B26874"/>
    <w:rsid w:val="00B269D6"/>
    <w:rsid w:val="00B26B66"/>
    <w:rsid w:val="00B26B8C"/>
    <w:rsid w:val="00B26BED"/>
    <w:rsid w:val="00B26C38"/>
    <w:rsid w:val="00B26E3F"/>
    <w:rsid w:val="00B26E85"/>
    <w:rsid w:val="00B26F4A"/>
    <w:rsid w:val="00B27581"/>
    <w:rsid w:val="00B27782"/>
    <w:rsid w:val="00B27861"/>
    <w:rsid w:val="00B279A9"/>
    <w:rsid w:val="00B27A48"/>
    <w:rsid w:val="00B27E9F"/>
    <w:rsid w:val="00B301DA"/>
    <w:rsid w:val="00B3029B"/>
    <w:rsid w:val="00B30422"/>
    <w:rsid w:val="00B3043A"/>
    <w:rsid w:val="00B304DC"/>
    <w:rsid w:val="00B30555"/>
    <w:rsid w:val="00B30660"/>
    <w:rsid w:val="00B308B9"/>
    <w:rsid w:val="00B30B51"/>
    <w:rsid w:val="00B30BFA"/>
    <w:rsid w:val="00B30D1B"/>
    <w:rsid w:val="00B30DAB"/>
    <w:rsid w:val="00B31090"/>
    <w:rsid w:val="00B310E5"/>
    <w:rsid w:val="00B31164"/>
    <w:rsid w:val="00B313FC"/>
    <w:rsid w:val="00B31719"/>
    <w:rsid w:val="00B319D2"/>
    <w:rsid w:val="00B31A1B"/>
    <w:rsid w:val="00B31A28"/>
    <w:rsid w:val="00B31AC2"/>
    <w:rsid w:val="00B31BFD"/>
    <w:rsid w:val="00B3207D"/>
    <w:rsid w:val="00B320F1"/>
    <w:rsid w:val="00B322A7"/>
    <w:rsid w:val="00B3288F"/>
    <w:rsid w:val="00B329A0"/>
    <w:rsid w:val="00B32A1D"/>
    <w:rsid w:val="00B32BD3"/>
    <w:rsid w:val="00B32CF4"/>
    <w:rsid w:val="00B32EA6"/>
    <w:rsid w:val="00B33340"/>
    <w:rsid w:val="00B334B6"/>
    <w:rsid w:val="00B33531"/>
    <w:rsid w:val="00B3373E"/>
    <w:rsid w:val="00B337F5"/>
    <w:rsid w:val="00B33AD3"/>
    <w:rsid w:val="00B33E8F"/>
    <w:rsid w:val="00B33E9B"/>
    <w:rsid w:val="00B33F41"/>
    <w:rsid w:val="00B33FCC"/>
    <w:rsid w:val="00B3405F"/>
    <w:rsid w:val="00B340F8"/>
    <w:rsid w:val="00B34176"/>
    <w:rsid w:val="00B341E7"/>
    <w:rsid w:val="00B343E1"/>
    <w:rsid w:val="00B3489E"/>
    <w:rsid w:val="00B34E5F"/>
    <w:rsid w:val="00B350CD"/>
    <w:rsid w:val="00B356AD"/>
    <w:rsid w:val="00B35B2E"/>
    <w:rsid w:val="00B35F06"/>
    <w:rsid w:val="00B3606C"/>
    <w:rsid w:val="00B36366"/>
    <w:rsid w:val="00B3680F"/>
    <w:rsid w:val="00B368D5"/>
    <w:rsid w:val="00B371F8"/>
    <w:rsid w:val="00B37B16"/>
    <w:rsid w:val="00B37C3B"/>
    <w:rsid w:val="00B37D71"/>
    <w:rsid w:val="00B37D99"/>
    <w:rsid w:val="00B37DA2"/>
    <w:rsid w:val="00B37DDE"/>
    <w:rsid w:val="00B37DEE"/>
    <w:rsid w:val="00B40096"/>
    <w:rsid w:val="00B401B4"/>
    <w:rsid w:val="00B40211"/>
    <w:rsid w:val="00B4029C"/>
    <w:rsid w:val="00B403AF"/>
    <w:rsid w:val="00B40648"/>
    <w:rsid w:val="00B40712"/>
    <w:rsid w:val="00B407A9"/>
    <w:rsid w:val="00B4080D"/>
    <w:rsid w:val="00B4080F"/>
    <w:rsid w:val="00B4085A"/>
    <w:rsid w:val="00B40C72"/>
    <w:rsid w:val="00B40E41"/>
    <w:rsid w:val="00B40E56"/>
    <w:rsid w:val="00B4120B"/>
    <w:rsid w:val="00B41446"/>
    <w:rsid w:val="00B41624"/>
    <w:rsid w:val="00B4164D"/>
    <w:rsid w:val="00B4170D"/>
    <w:rsid w:val="00B4189F"/>
    <w:rsid w:val="00B41D60"/>
    <w:rsid w:val="00B42605"/>
    <w:rsid w:val="00B42808"/>
    <w:rsid w:val="00B428C1"/>
    <w:rsid w:val="00B428ED"/>
    <w:rsid w:val="00B42A70"/>
    <w:rsid w:val="00B42B08"/>
    <w:rsid w:val="00B42B68"/>
    <w:rsid w:val="00B42DDF"/>
    <w:rsid w:val="00B42EA2"/>
    <w:rsid w:val="00B4311D"/>
    <w:rsid w:val="00B4313A"/>
    <w:rsid w:val="00B431C1"/>
    <w:rsid w:val="00B432AB"/>
    <w:rsid w:val="00B43E45"/>
    <w:rsid w:val="00B442A8"/>
    <w:rsid w:val="00B4433F"/>
    <w:rsid w:val="00B44539"/>
    <w:rsid w:val="00B445DA"/>
    <w:rsid w:val="00B44720"/>
    <w:rsid w:val="00B450A5"/>
    <w:rsid w:val="00B4516D"/>
    <w:rsid w:val="00B45957"/>
    <w:rsid w:val="00B459E2"/>
    <w:rsid w:val="00B45D42"/>
    <w:rsid w:val="00B45D85"/>
    <w:rsid w:val="00B45EAD"/>
    <w:rsid w:val="00B46082"/>
    <w:rsid w:val="00B460AC"/>
    <w:rsid w:val="00B46749"/>
    <w:rsid w:val="00B469C7"/>
    <w:rsid w:val="00B46CFB"/>
    <w:rsid w:val="00B46F9C"/>
    <w:rsid w:val="00B47229"/>
    <w:rsid w:val="00B47530"/>
    <w:rsid w:val="00B476F5"/>
    <w:rsid w:val="00B47B9B"/>
    <w:rsid w:val="00B47EBB"/>
    <w:rsid w:val="00B47EFA"/>
    <w:rsid w:val="00B5014D"/>
    <w:rsid w:val="00B501BD"/>
    <w:rsid w:val="00B5036D"/>
    <w:rsid w:val="00B503CF"/>
    <w:rsid w:val="00B506A3"/>
    <w:rsid w:val="00B5075F"/>
    <w:rsid w:val="00B50A39"/>
    <w:rsid w:val="00B50A83"/>
    <w:rsid w:val="00B50D83"/>
    <w:rsid w:val="00B50E20"/>
    <w:rsid w:val="00B50E73"/>
    <w:rsid w:val="00B50F25"/>
    <w:rsid w:val="00B51224"/>
    <w:rsid w:val="00B51274"/>
    <w:rsid w:val="00B513C6"/>
    <w:rsid w:val="00B513E7"/>
    <w:rsid w:val="00B51432"/>
    <w:rsid w:val="00B51440"/>
    <w:rsid w:val="00B51539"/>
    <w:rsid w:val="00B51A9F"/>
    <w:rsid w:val="00B51AE4"/>
    <w:rsid w:val="00B51E8E"/>
    <w:rsid w:val="00B51FFC"/>
    <w:rsid w:val="00B521D9"/>
    <w:rsid w:val="00B52641"/>
    <w:rsid w:val="00B527EC"/>
    <w:rsid w:val="00B52AB1"/>
    <w:rsid w:val="00B52B4C"/>
    <w:rsid w:val="00B52D49"/>
    <w:rsid w:val="00B52EF3"/>
    <w:rsid w:val="00B5302D"/>
    <w:rsid w:val="00B53081"/>
    <w:rsid w:val="00B53170"/>
    <w:rsid w:val="00B5325C"/>
    <w:rsid w:val="00B53365"/>
    <w:rsid w:val="00B5355E"/>
    <w:rsid w:val="00B53712"/>
    <w:rsid w:val="00B53CD7"/>
    <w:rsid w:val="00B53D34"/>
    <w:rsid w:val="00B53E06"/>
    <w:rsid w:val="00B53E0C"/>
    <w:rsid w:val="00B53F20"/>
    <w:rsid w:val="00B5428A"/>
    <w:rsid w:val="00B542C1"/>
    <w:rsid w:val="00B542E1"/>
    <w:rsid w:val="00B545B8"/>
    <w:rsid w:val="00B5470E"/>
    <w:rsid w:val="00B548DE"/>
    <w:rsid w:val="00B549B1"/>
    <w:rsid w:val="00B54B4C"/>
    <w:rsid w:val="00B54B5F"/>
    <w:rsid w:val="00B54C6C"/>
    <w:rsid w:val="00B54D00"/>
    <w:rsid w:val="00B54DB9"/>
    <w:rsid w:val="00B54E69"/>
    <w:rsid w:val="00B5540D"/>
    <w:rsid w:val="00B55602"/>
    <w:rsid w:val="00B557D0"/>
    <w:rsid w:val="00B55BDF"/>
    <w:rsid w:val="00B55BE9"/>
    <w:rsid w:val="00B55D85"/>
    <w:rsid w:val="00B55D87"/>
    <w:rsid w:val="00B55E69"/>
    <w:rsid w:val="00B56068"/>
    <w:rsid w:val="00B561C7"/>
    <w:rsid w:val="00B564B8"/>
    <w:rsid w:val="00B56724"/>
    <w:rsid w:val="00B56996"/>
    <w:rsid w:val="00B56A47"/>
    <w:rsid w:val="00B56CF0"/>
    <w:rsid w:val="00B5710C"/>
    <w:rsid w:val="00B571CA"/>
    <w:rsid w:val="00B573D9"/>
    <w:rsid w:val="00B57957"/>
    <w:rsid w:val="00B57A43"/>
    <w:rsid w:val="00B57A8E"/>
    <w:rsid w:val="00B57DD8"/>
    <w:rsid w:val="00B57F00"/>
    <w:rsid w:val="00B600A1"/>
    <w:rsid w:val="00B603A4"/>
    <w:rsid w:val="00B603C2"/>
    <w:rsid w:val="00B607D7"/>
    <w:rsid w:val="00B60886"/>
    <w:rsid w:val="00B609B8"/>
    <w:rsid w:val="00B60A46"/>
    <w:rsid w:val="00B60B62"/>
    <w:rsid w:val="00B60CB9"/>
    <w:rsid w:val="00B612FC"/>
    <w:rsid w:val="00B614FE"/>
    <w:rsid w:val="00B6159F"/>
    <w:rsid w:val="00B6166C"/>
    <w:rsid w:val="00B6179B"/>
    <w:rsid w:val="00B618C2"/>
    <w:rsid w:val="00B61955"/>
    <w:rsid w:val="00B61A15"/>
    <w:rsid w:val="00B61AC9"/>
    <w:rsid w:val="00B61E88"/>
    <w:rsid w:val="00B62490"/>
    <w:rsid w:val="00B62505"/>
    <w:rsid w:val="00B6254D"/>
    <w:rsid w:val="00B625D4"/>
    <w:rsid w:val="00B626CA"/>
    <w:rsid w:val="00B627D0"/>
    <w:rsid w:val="00B62D9F"/>
    <w:rsid w:val="00B6306B"/>
    <w:rsid w:val="00B63241"/>
    <w:rsid w:val="00B63348"/>
    <w:rsid w:val="00B63428"/>
    <w:rsid w:val="00B6373F"/>
    <w:rsid w:val="00B637A4"/>
    <w:rsid w:val="00B63CB9"/>
    <w:rsid w:val="00B63E7B"/>
    <w:rsid w:val="00B64212"/>
    <w:rsid w:val="00B64242"/>
    <w:rsid w:val="00B644D8"/>
    <w:rsid w:val="00B64565"/>
    <w:rsid w:val="00B64597"/>
    <w:rsid w:val="00B64943"/>
    <w:rsid w:val="00B64A8B"/>
    <w:rsid w:val="00B64BA1"/>
    <w:rsid w:val="00B64C6B"/>
    <w:rsid w:val="00B64D6A"/>
    <w:rsid w:val="00B651CD"/>
    <w:rsid w:val="00B6536A"/>
    <w:rsid w:val="00B65464"/>
    <w:rsid w:val="00B655C7"/>
    <w:rsid w:val="00B655DE"/>
    <w:rsid w:val="00B65790"/>
    <w:rsid w:val="00B65839"/>
    <w:rsid w:val="00B65C09"/>
    <w:rsid w:val="00B65CE5"/>
    <w:rsid w:val="00B65E77"/>
    <w:rsid w:val="00B663DF"/>
    <w:rsid w:val="00B665FF"/>
    <w:rsid w:val="00B6663D"/>
    <w:rsid w:val="00B66762"/>
    <w:rsid w:val="00B667F5"/>
    <w:rsid w:val="00B66B99"/>
    <w:rsid w:val="00B6701F"/>
    <w:rsid w:val="00B671FB"/>
    <w:rsid w:val="00B678A9"/>
    <w:rsid w:val="00B67A2A"/>
    <w:rsid w:val="00B67A3A"/>
    <w:rsid w:val="00B67C75"/>
    <w:rsid w:val="00B67DCB"/>
    <w:rsid w:val="00B67F38"/>
    <w:rsid w:val="00B705E6"/>
    <w:rsid w:val="00B7097C"/>
    <w:rsid w:val="00B70980"/>
    <w:rsid w:val="00B70B9D"/>
    <w:rsid w:val="00B71545"/>
    <w:rsid w:val="00B7193A"/>
    <w:rsid w:val="00B71970"/>
    <w:rsid w:val="00B719FD"/>
    <w:rsid w:val="00B71BC8"/>
    <w:rsid w:val="00B72330"/>
    <w:rsid w:val="00B73409"/>
    <w:rsid w:val="00B738EC"/>
    <w:rsid w:val="00B73AB0"/>
    <w:rsid w:val="00B73B54"/>
    <w:rsid w:val="00B74045"/>
    <w:rsid w:val="00B74269"/>
    <w:rsid w:val="00B74353"/>
    <w:rsid w:val="00B744BE"/>
    <w:rsid w:val="00B74535"/>
    <w:rsid w:val="00B7473B"/>
    <w:rsid w:val="00B74C86"/>
    <w:rsid w:val="00B74D18"/>
    <w:rsid w:val="00B74D75"/>
    <w:rsid w:val="00B74DC7"/>
    <w:rsid w:val="00B75120"/>
    <w:rsid w:val="00B75348"/>
    <w:rsid w:val="00B754AA"/>
    <w:rsid w:val="00B755C7"/>
    <w:rsid w:val="00B75678"/>
    <w:rsid w:val="00B7573B"/>
    <w:rsid w:val="00B75FD6"/>
    <w:rsid w:val="00B76013"/>
    <w:rsid w:val="00B761BD"/>
    <w:rsid w:val="00B7676B"/>
    <w:rsid w:val="00B76B5E"/>
    <w:rsid w:val="00B76E7C"/>
    <w:rsid w:val="00B76F72"/>
    <w:rsid w:val="00B76FCE"/>
    <w:rsid w:val="00B77065"/>
    <w:rsid w:val="00B7719B"/>
    <w:rsid w:val="00B771B6"/>
    <w:rsid w:val="00B776B6"/>
    <w:rsid w:val="00B77891"/>
    <w:rsid w:val="00B77905"/>
    <w:rsid w:val="00B779F9"/>
    <w:rsid w:val="00B77C68"/>
    <w:rsid w:val="00B77E4F"/>
    <w:rsid w:val="00B77FBC"/>
    <w:rsid w:val="00B80311"/>
    <w:rsid w:val="00B8039C"/>
    <w:rsid w:val="00B807E1"/>
    <w:rsid w:val="00B808B5"/>
    <w:rsid w:val="00B80A7D"/>
    <w:rsid w:val="00B80C38"/>
    <w:rsid w:val="00B812CD"/>
    <w:rsid w:val="00B81394"/>
    <w:rsid w:val="00B816FE"/>
    <w:rsid w:val="00B81A9A"/>
    <w:rsid w:val="00B81B86"/>
    <w:rsid w:val="00B81CD4"/>
    <w:rsid w:val="00B81E10"/>
    <w:rsid w:val="00B82054"/>
    <w:rsid w:val="00B822F9"/>
    <w:rsid w:val="00B824B8"/>
    <w:rsid w:val="00B8252B"/>
    <w:rsid w:val="00B8276C"/>
    <w:rsid w:val="00B829A8"/>
    <w:rsid w:val="00B82BAB"/>
    <w:rsid w:val="00B82BE8"/>
    <w:rsid w:val="00B82EBF"/>
    <w:rsid w:val="00B830D4"/>
    <w:rsid w:val="00B83466"/>
    <w:rsid w:val="00B834B9"/>
    <w:rsid w:val="00B83632"/>
    <w:rsid w:val="00B83A0A"/>
    <w:rsid w:val="00B83A4B"/>
    <w:rsid w:val="00B83B3A"/>
    <w:rsid w:val="00B83FB8"/>
    <w:rsid w:val="00B83FFD"/>
    <w:rsid w:val="00B84400"/>
    <w:rsid w:val="00B8484B"/>
    <w:rsid w:val="00B8490B"/>
    <w:rsid w:val="00B84E69"/>
    <w:rsid w:val="00B8570B"/>
    <w:rsid w:val="00B857A2"/>
    <w:rsid w:val="00B857AE"/>
    <w:rsid w:val="00B85AB2"/>
    <w:rsid w:val="00B85BA3"/>
    <w:rsid w:val="00B85CF8"/>
    <w:rsid w:val="00B85ED4"/>
    <w:rsid w:val="00B860B5"/>
    <w:rsid w:val="00B866E8"/>
    <w:rsid w:val="00B86993"/>
    <w:rsid w:val="00B86EE3"/>
    <w:rsid w:val="00B870FA"/>
    <w:rsid w:val="00B874C1"/>
    <w:rsid w:val="00B87816"/>
    <w:rsid w:val="00B87F36"/>
    <w:rsid w:val="00B87F81"/>
    <w:rsid w:val="00B9000C"/>
    <w:rsid w:val="00B9012E"/>
    <w:rsid w:val="00B90581"/>
    <w:rsid w:val="00B905AA"/>
    <w:rsid w:val="00B9089C"/>
    <w:rsid w:val="00B90908"/>
    <w:rsid w:val="00B90EC2"/>
    <w:rsid w:val="00B911E9"/>
    <w:rsid w:val="00B91429"/>
    <w:rsid w:val="00B9150F"/>
    <w:rsid w:val="00B915B2"/>
    <w:rsid w:val="00B91807"/>
    <w:rsid w:val="00B91870"/>
    <w:rsid w:val="00B91B03"/>
    <w:rsid w:val="00B91CE7"/>
    <w:rsid w:val="00B926F5"/>
    <w:rsid w:val="00B926F9"/>
    <w:rsid w:val="00B92C09"/>
    <w:rsid w:val="00B92FBD"/>
    <w:rsid w:val="00B9300E"/>
    <w:rsid w:val="00B934E3"/>
    <w:rsid w:val="00B93556"/>
    <w:rsid w:val="00B936C0"/>
    <w:rsid w:val="00B936EA"/>
    <w:rsid w:val="00B939F8"/>
    <w:rsid w:val="00B93C0C"/>
    <w:rsid w:val="00B93CC0"/>
    <w:rsid w:val="00B9404A"/>
    <w:rsid w:val="00B94167"/>
    <w:rsid w:val="00B94360"/>
    <w:rsid w:val="00B94391"/>
    <w:rsid w:val="00B94480"/>
    <w:rsid w:val="00B946CA"/>
    <w:rsid w:val="00B947D1"/>
    <w:rsid w:val="00B947D6"/>
    <w:rsid w:val="00B94AA8"/>
    <w:rsid w:val="00B94B31"/>
    <w:rsid w:val="00B94C20"/>
    <w:rsid w:val="00B94C64"/>
    <w:rsid w:val="00B95146"/>
    <w:rsid w:val="00B95602"/>
    <w:rsid w:val="00B956EB"/>
    <w:rsid w:val="00B958D5"/>
    <w:rsid w:val="00B95905"/>
    <w:rsid w:val="00B95B6D"/>
    <w:rsid w:val="00B9611F"/>
    <w:rsid w:val="00B961E7"/>
    <w:rsid w:val="00B96A80"/>
    <w:rsid w:val="00B96B13"/>
    <w:rsid w:val="00B96C19"/>
    <w:rsid w:val="00B96CBB"/>
    <w:rsid w:val="00B96E45"/>
    <w:rsid w:val="00B96F0B"/>
    <w:rsid w:val="00B96F4A"/>
    <w:rsid w:val="00B96F51"/>
    <w:rsid w:val="00B97099"/>
    <w:rsid w:val="00B975CA"/>
    <w:rsid w:val="00B97B33"/>
    <w:rsid w:val="00B97C14"/>
    <w:rsid w:val="00B97F75"/>
    <w:rsid w:val="00BA020B"/>
    <w:rsid w:val="00BA03D8"/>
    <w:rsid w:val="00BA080D"/>
    <w:rsid w:val="00BA098E"/>
    <w:rsid w:val="00BA0B29"/>
    <w:rsid w:val="00BA0ECA"/>
    <w:rsid w:val="00BA1258"/>
    <w:rsid w:val="00BA150F"/>
    <w:rsid w:val="00BA1911"/>
    <w:rsid w:val="00BA1AA5"/>
    <w:rsid w:val="00BA1AD9"/>
    <w:rsid w:val="00BA1FD2"/>
    <w:rsid w:val="00BA2057"/>
    <w:rsid w:val="00BA22C7"/>
    <w:rsid w:val="00BA231F"/>
    <w:rsid w:val="00BA2368"/>
    <w:rsid w:val="00BA248B"/>
    <w:rsid w:val="00BA268C"/>
    <w:rsid w:val="00BA286A"/>
    <w:rsid w:val="00BA2907"/>
    <w:rsid w:val="00BA299F"/>
    <w:rsid w:val="00BA2EF4"/>
    <w:rsid w:val="00BA2FCC"/>
    <w:rsid w:val="00BA3089"/>
    <w:rsid w:val="00BA30A8"/>
    <w:rsid w:val="00BA3121"/>
    <w:rsid w:val="00BA31D9"/>
    <w:rsid w:val="00BA3271"/>
    <w:rsid w:val="00BA351C"/>
    <w:rsid w:val="00BA37B3"/>
    <w:rsid w:val="00BA3848"/>
    <w:rsid w:val="00BA3BC9"/>
    <w:rsid w:val="00BA3C8F"/>
    <w:rsid w:val="00BA3E18"/>
    <w:rsid w:val="00BA3EE8"/>
    <w:rsid w:val="00BA3FEE"/>
    <w:rsid w:val="00BA42E5"/>
    <w:rsid w:val="00BA4305"/>
    <w:rsid w:val="00BA44B0"/>
    <w:rsid w:val="00BA4679"/>
    <w:rsid w:val="00BA4687"/>
    <w:rsid w:val="00BA470D"/>
    <w:rsid w:val="00BA47CA"/>
    <w:rsid w:val="00BA4811"/>
    <w:rsid w:val="00BA4AC2"/>
    <w:rsid w:val="00BA4AE4"/>
    <w:rsid w:val="00BA4C41"/>
    <w:rsid w:val="00BA4C58"/>
    <w:rsid w:val="00BA4D76"/>
    <w:rsid w:val="00BA51C3"/>
    <w:rsid w:val="00BA52C5"/>
    <w:rsid w:val="00BA5437"/>
    <w:rsid w:val="00BA563D"/>
    <w:rsid w:val="00BA5672"/>
    <w:rsid w:val="00BA5818"/>
    <w:rsid w:val="00BA5909"/>
    <w:rsid w:val="00BA5A59"/>
    <w:rsid w:val="00BA5A75"/>
    <w:rsid w:val="00BA5D0E"/>
    <w:rsid w:val="00BA5EE8"/>
    <w:rsid w:val="00BA6555"/>
    <w:rsid w:val="00BA67B0"/>
    <w:rsid w:val="00BA6B57"/>
    <w:rsid w:val="00BA6B76"/>
    <w:rsid w:val="00BA6E81"/>
    <w:rsid w:val="00BA7158"/>
    <w:rsid w:val="00BA7784"/>
    <w:rsid w:val="00BA7C18"/>
    <w:rsid w:val="00BA7CF2"/>
    <w:rsid w:val="00BB0024"/>
    <w:rsid w:val="00BB01E7"/>
    <w:rsid w:val="00BB08D5"/>
    <w:rsid w:val="00BB0B64"/>
    <w:rsid w:val="00BB0FFD"/>
    <w:rsid w:val="00BB137E"/>
    <w:rsid w:val="00BB180E"/>
    <w:rsid w:val="00BB18C9"/>
    <w:rsid w:val="00BB19F3"/>
    <w:rsid w:val="00BB1A4B"/>
    <w:rsid w:val="00BB1D78"/>
    <w:rsid w:val="00BB2196"/>
    <w:rsid w:val="00BB2312"/>
    <w:rsid w:val="00BB2444"/>
    <w:rsid w:val="00BB280E"/>
    <w:rsid w:val="00BB2AA4"/>
    <w:rsid w:val="00BB2AFA"/>
    <w:rsid w:val="00BB2AFB"/>
    <w:rsid w:val="00BB2B9E"/>
    <w:rsid w:val="00BB2DD1"/>
    <w:rsid w:val="00BB2E2F"/>
    <w:rsid w:val="00BB30DF"/>
    <w:rsid w:val="00BB31C2"/>
    <w:rsid w:val="00BB341B"/>
    <w:rsid w:val="00BB3616"/>
    <w:rsid w:val="00BB379B"/>
    <w:rsid w:val="00BB3A3D"/>
    <w:rsid w:val="00BB3B51"/>
    <w:rsid w:val="00BB4143"/>
    <w:rsid w:val="00BB433C"/>
    <w:rsid w:val="00BB44B4"/>
    <w:rsid w:val="00BB4537"/>
    <w:rsid w:val="00BB4576"/>
    <w:rsid w:val="00BB4754"/>
    <w:rsid w:val="00BB48D0"/>
    <w:rsid w:val="00BB4F3E"/>
    <w:rsid w:val="00BB54F9"/>
    <w:rsid w:val="00BB574E"/>
    <w:rsid w:val="00BB5961"/>
    <w:rsid w:val="00BB5AA1"/>
    <w:rsid w:val="00BB5BC2"/>
    <w:rsid w:val="00BB5E8A"/>
    <w:rsid w:val="00BB60B0"/>
    <w:rsid w:val="00BB613F"/>
    <w:rsid w:val="00BB67B0"/>
    <w:rsid w:val="00BB68E9"/>
    <w:rsid w:val="00BB6A2B"/>
    <w:rsid w:val="00BB6BBA"/>
    <w:rsid w:val="00BB6D62"/>
    <w:rsid w:val="00BB6E5D"/>
    <w:rsid w:val="00BB6EC3"/>
    <w:rsid w:val="00BB6F74"/>
    <w:rsid w:val="00BB7163"/>
    <w:rsid w:val="00BB72B3"/>
    <w:rsid w:val="00BB74D6"/>
    <w:rsid w:val="00BB7953"/>
    <w:rsid w:val="00BB7DA4"/>
    <w:rsid w:val="00BB7FE3"/>
    <w:rsid w:val="00BC0008"/>
    <w:rsid w:val="00BC0173"/>
    <w:rsid w:val="00BC02D6"/>
    <w:rsid w:val="00BC04A3"/>
    <w:rsid w:val="00BC076F"/>
    <w:rsid w:val="00BC09F4"/>
    <w:rsid w:val="00BC0BCA"/>
    <w:rsid w:val="00BC0E1E"/>
    <w:rsid w:val="00BC1219"/>
    <w:rsid w:val="00BC1422"/>
    <w:rsid w:val="00BC145F"/>
    <w:rsid w:val="00BC14E7"/>
    <w:rsid w:val="00BC16C3"/>
    <w:rsid w:val="00BC1A6C"/>
    <w:rsid w:val="00BC1CDD"/>
    <w:rsid w:val="00BC1D24"/>
    <w:rsid w:val="00BC1D6D"/>
    <w:rsid w:val="00BC21DC"/>
    <w:rsid w:val="00BC21E9"/>
    <w:rsid w:val="00BC24D7"/>
    <w:rsid w:val="00BC262E"/>
    <w:rsid w:val="00BC26AF"/>
    <w:rsid w:val="00BC29C5"/>
    <w:rsid w:val="00BC2EC6"/>
    <w:rsid w:val="00BC30AD"/>
    <w:rsid w:val="00BC3512"/>
    <w:rsid w:val="00BC3639"/>
    <w:rsid w:val="00BC3D59"/>
    <w:rsid w:val="00BC3DAD"/>
    <w:rsid w:val="00BC3FC9"/>
    <w:rsid w:val="00BC4610"/>
    <w:rsid w:val="00BC4985"/>
    <w:rsid w:val="00BC49B8"/>
    <w:rsid w:val="00BC4AF8"/>
    <w:rsid w:val="00BC50C2"/>
    <w:rsid w:val="00BC51AE"/>
    <w:rsid w:val="00BC5214"/>
    <w:rsid w:val="00BC5362"/>
    <w:rsid w:val="00BC5772"/>
    <w:rsid w:val="00BC5B56"/>
    <w:rsid w:val="00BC5B84"/>
    <w:rsid w:val="00BC5E9B"/>
    <w:rsid w:val="00BC5FDA"/>
    <w:rsid w:val="00BC6180"/>
    <w:rsid w:val="00BC61F4"/>
    <w:rsid w:val="00BC6459"/>
    <w:rsid w:val="00BC6673"/>
    <w:rsid w:val="00BC6702"/>
    <w:rsid w:val="00BC6A3E"/>
    <w:rsid w:val="00BC6C90"/>
    <w:rsid w:val="00BC6E5B"/>
    <w:rsid w:val="00BC6F04"/>
    <w:rsid w:val="00BC700D"/>
    <w:rsid w:val="00BC7066"/>
    <w:rsid w:val="00BC7187"/>
    <w:rsid w:val="00BC73D0"/>
    <w:rsid w:val="00BC75ED"/>
    <w:rsid w:val="00BC7618"/>
    <w:rsid w:val="00BC765D"/>
    <w:rsid w:val="00BC7694"/>
    <w:rsid w:val="00BC7A40"/>
    <w:rsid w:val="00BC7C0B"/>
    <w:rsid w:val="00BC7F4A"/>
    <w:rsid w:val="00BC7FDF"/>
    <w:rsid w:val="00BD00E2"/>
    <w:rsid w:val="00BD0248"/>
    <w:rsid w:val="00BD07EE"/>
    <w:rsid w:val="00BD08F5"/>
    <w:rsid w:val="00BD0D81"/>
    <w:rsid w:val="00BD0F12"/>
    <w:rsid w:val="00BD11D6"/>
    <w:rsid w:val="00BD1812"/>
    <w:rsid w:val="00BD1849"/>
    <w:rsid w:val="00BD19C6"/>
    <w:rsid w:val="00BD1A3E"/>
    <w:rsid w:val="00BD1BD8"/>
    <w:rsid w:val="00BD23E0"/>
    <w:rsid w:val="00BD2ACB"/>
    <w:rsid w:val="00BD3141"/>
    <w:rsid w:val="00BD3243"/>
    <w:rsid w:val="00BD32B2"/>
    <w:rsid w:val="00BD351B"/>
    <w:rsid w:val="00BD3586"/>
    <w:rsid w:val="00BD365B"/>
    <w:rsid w:val="00BD382A"/>
    <w:rsid w:val="00BD39E1"/>
    <w:rsid w:val="00BD3A43"/>
    <w:rsid w:val="00BD427A"/>
    <w:rsid w:val="00BD4497"/>
    <w:rsid w:val="00BD44D3"/>
    <w:rsid w:val="00BD45F2"/>
    <w:rsid w:val="00BD4735"/>
    <w:rsid w:val="00BD4C7F"/>
    <w:rsid w:val="00BD4F41"/>
    <w:rsid w:val="00BD4FBB"/>
    <w:rsid w:val="00BD51BB"/>
    <w:rsid w:val="00BD53D3"/>
    <w:rsid w:val="00BD5A50"/>
    <w:rsid w:val="00BD5BD6"/>
    <w:rsid w:val="00BD5BFD"/>
    <w:rsid w:val="00BD5D9C"/>
    <w:rsid w:val="00BD5DD8"/>
    <w:rsid w:val="00BD5F93"/>
    <w:rsid w:val="00BD64D9"/>
    <w:rsid w:val="00BD64DE"/>
    <w:rsid w:val="00BD6634"/>
    <w:rsid w:val="00BD6835"/>
    <w:rsid w:val="00BD6907"/>
    <w:rsid w:val="00BD6AFB"/>
    <w:rsid w:val="00BD6B76"/>
    <w:rsid w:val="00BD6D51"/>
    <w:rsid w:val="00BD6D64"/>
    <w:rsid w:val="00BD6DAC"/>
    <w:rsid w:val="00BD6DCD"/>
    <w:rsid w:val="00BD6DE2"/>
    <w:rsid w:val="00BD6EA8"/>
    <w:rsid w:val="00BD7060"/>
    <w:rsid w:val="00BD7146"/>
    <w:rsid w:val="00BD71B0"/>
    <w:rsid w:val="00BD71BC"/>
    <w:rsid w:val="00BD724C"/>
    <w:rsid w:val="00BD74BF"/>
    <w:rsid w:val="00BD76AB"/>
    <w:rsid w:val="00BD779D"/>
    <w:rsid w:val="00BD779F"/>
    <w:rsid w:val="00BD7931"/>
    <w:rsid w:val="00BE02DE"/>
    <w:rsid w:val="00BE03C1"/>
    <w:rsid w:val="00BE0782"/>
    <w:rsid w:val="00BE0A15"/>
    <w:rsid w:val="00BE0BBD"/>
    <w:rsid w:val="00BE0DCF"/>
    <w:rsid w:val="00BE0E4A"/>
    <w:rsid w:val="00BE11D4"/>
    <w:rsid w:val="00BE130B"/>
    <w:rsid w:val="00BE13A3"/>
    <w:rsid w:val="00BE15D6"/>
    <w:rsid w:val="00BE1624"/>
    <w:rsid w:val="00BE172A"/>
    <w:rsid w:val="00BE1786"/>
    <w:rsid w:val="00BE17D8"/>
    <w:rsid w:val="00BE1932"/>
    <w:rsid w:val="00BE19D8"/>
    <w:rsid w:val="00BE22D5"/>
    <w:rsid w:val="00BE2497"/>
    <w:rsid w:val="00BE24A7"/>
    <w:rsid w:val="00BE24E2"/>
    <w:rsid w:val="00BE2B75"/>
    <w:rsid w:val="00BE2D65"/>
    <w:rsid w:val="00BE3593"/>
    <w:rsid w:val="00BE38F5"/>
    <w:rsid w:val="00BE39CA"/>
    <w:rsid w:val="00BE3BD7"/>
    <w:rsid w:val="00BE3D60"/>
    <w:rsid w:val="00BE4105"/>
    <w:rsid w:val="00BE4164"/>
    <w:rsid w:val="00BE44A4"/>
    <w:rsid w:val="00BE459E"/>
    <w:rsid w:val="00BE4677"/>
    <w:rsid w:val="00BE48BB"/>
    <w:rsid w:val="00BE492C"/>
    <w:rsid w:val="00BE4976"/>
    <w:rsid w:val="00BE4A70"/>
    <w:rsid w:val="00BE4BA6"/>
    <w:rsid w:val="00BE4D1A"/>
    <w:rsid w:val="00BE4D2E"/>
    <w:rsid w:val="00BE5089"/>
    <w:rsid w:val="00BE51F6"/>
    <w:rsid w:val="00BE54DF"/>
    <w:rsid w:val="00BE5560"/>
    <w:rsid w:val="00BE56C7"/>
    <w:rsid w:val="00BE58C6"/>
    <w:rsid w:val="00BE5B85"/>
    <w:rsid w:val="00BE5BCA"/>
    <w:rsid w:val="00BE5D00"/>
    <w:rsid w:val="00BE5E17"/>
    <w:rsid w:val="00BE5F5E"/>
    <w:rsid w:val="00BE608B"/>
    <w:rsid w:val="00BE61E9"/>
    <w:rsid w:val="00BE6224"/>
    <w:rsid w:val="00BE6C3C"/>
    <w:rsid w:val="00BE7196"/>
    <w:rsid w:val="00BE7348"/>
    <w:rsid w:val="00BE7354"/>
    <w:rsid w:val="00BE7E5C"/>
    <w:rsid w:val="00BE7E62"/>
    <w:rsid w:val="00BF017C"/>
    <w:rsid w:val="00BF0774"/>
    <w:rsid w:val="00BF0A54"/>
    <w:rsid w:val="00BF0AD3"/>
    <w:rsid w:val="00BF0B2C"/>
    <w:rsid w:val="00BF0FAD"/>
    <w:rsid w:val="00BF12BF"/>
    <w:rsid w:val="00BF133E"/>
    <w:rsid w:val="00BF13D1"/>
    <w:rsid w:val="00BF1486"/>
    <w:rsid w:val="00BF18D9"/>
    <w:rsid w:val="00BF1986"/>
    <w:rsid w:val="00BF1A21"/>
    <w:rsid w:val="00BF1A5E"/>
    <w:rsid w:val="00BF1AB7"/>
    <w:rsid w:val="00BF1AF6"/>
    <w:rsid w:val="00BF1AF8"/>
    <w:rsid w:val="00BF1D3F"/>
    <w:rsid w:val="00BF1D69"/>
    <w:rsid w:val="00BF1F0B"/>
    <w:rsid w:val="00BF1FFE"/>
    <w:rsid w:val="00BF23F6"/>
    <w:rsid w:val="00BF23FE"/>
    <w:rsid w:val="00BF25B6"/>
    <w:rsid w:val="00BF27ED"/>
    <w:rsid w:val="00BF3033"/>
    <w:rsid w:val="00BF33AF"/>
    <w:rsid w:val="00BF364D"/>
    <w:rsid w:val="00BF3718"/>
    <w:rsid w:val="00BF3ADC"/>
    <w:rsid w:val="00BF3D86"/>
    <w:rsid w:val="00BF3E4C"/>
    <w:rsid w:val="00BF3ECD"/>
    <w:rsid w:val="00BF3F37"/>
    <w:rsid w:val="00BF4327"/>
    <w:rsid w:val="00BF43D9"/>
    <w:rsid w:val="00BF48DE"/>
    <w:rsid w:val="00BF495D"/>
    <w:rsid w:val="00BF4C63"/>
    <w:rsid w:val="00BF4D2B"/>
    <w:rsid w:val="00BF5131"/>
    <w:rsid w:val="00BF525F"/>
    <w:rsid w:val="00BF548F"/>
    <w:rsid w:val="00BF5642"/>
    <w:rsid w:val="00BF574A"/>
    <w:rsid w:val="00BF59DC"/>
    <w:rsid w:val="00BF5E2F"/>
    <w:rsid w:val="00BF5E74"/>
    <w:rsid w:val="00BF5FD6"/>
    <w:rsid w:val="00BF6003"/>
    <w:rsid w:val="00BF6174"/>
    <w:rsid w:val="00BF6283"/>
    <w:rsid w:val="00BF6BA5"/>
    <w:rsid w:val="00BF70CA"/>
    <w:rsid w:val="00BF7795"/>
    <w:rsid w:val="00BF7BCE"/>
    <w:rsid w:val="00BF7C3D"/>
    <w:rsid w:val="00BF7DD0"/>
    <w:rsid w:val="00C003E9"/>
    <w:rsid w:val="00C006A6"/>
    <w:rsid w:val="00C00727"/>
    <w:rsid w:val="00C008C4"/>
    <w:rsid w:val="00C009E2"/>
    <w:rsid w:val="00C00A8E"/>
    <w:rsid w:val="00C00AF3"/>
    <w:rsid w:val="00C00C9F"/>
    <w:rsid w:val="00C00F03"/>
    <w:rsid w:val="00C01000"/>
    <w:rsid w:val="00C0101B"/>
    <w:rsid w:val="00C010BB"/>
    <w:rsid w:val="00C01525"/>
    <w:rsid w:val="00C0192B"/>
    <w:rsid w:val="00C019D5"/>
    <w:rsid w:val="00C01B86"/>
    <w:rsid w:val="00C01E06"/>
    <w:rsid w:val="00C01F8D"/>
    <w:rsid w:val="00C021B6"/>
    <w:rsid w:val="00C02292"/>
    <w:rsid w:val="00C022FA"/>
    <w:rsid w:val="00C02326"/>
    <w:rsid w:val="00C0234A"/>
    <w:rsid w:val="00C0278B"/>
    <w:rsid w:val="00C02C01"/>
    <w:rsid w:val="00C032C8"/>
    <w:rsid w:val="00C0331C"/>
    <w:rsid w:val="00C0332B"/>
    <w:rsid w:val="00C03376"/>
    <w:rsid w:val="00C03505"/>
    <w:rsid w:val="00C03651"/>
    <w:rsid w:val="00C03E1D"/>
    <w:rsid w:val="00C03F29"/>
    <w:rsid w:val="00C042C6"/>
    <w:rsid w:val="00C04D6A"/>
    <w:rsid w:val="00C04DEA"/>
    <w:rsid w:val="00C04EDF"/>
    <w:rsid w:val="00C051AC"/>
    <w:rsid w:val="00C052DE"/>
    <w:rsid w:val="00C0546D"/>
    <w:rsid w:val="00C05577"/>
    <w:rsid w:val="00C055D2"/>
    <w:rsid w:val="00C0561A"/>
    <w:rsid w:val="00C05759"/>
    <w:rsid w:val="00C059C3"/>
    <w:rsid w:val="00C05AF3"/>
    <w:rsid w:val="00C05D5E"/>
    <w:rsid w:val="00C05F16"/>
    <w:rsid w:val="00C06110"/>
    <w:rsid w:val="00C0662B"/>
    <w:rsid w:val="00C0687E"/>
    <w:rsid w:val="00C0690A"/>
    <w:rsid w:val="00C06B17"/>
    <w:rsid w:val="00C06C90"/>
    <w:rsid w:val="00C06EF1"/>
    <w:rsid w:val="00C0711F"/>
    <w:rsid w:val="00C0741C"/>
    <w:rsid w:val="00C07461"/>
    <w:rsid w:val="00C075B6"/>
    <w:rsid w:val="00C076C3"/>
    <w:rsid w:val="00C0774E"/>
    <w:rsid w:val="00C07C90"/>
    <w:rsid w:val="00C07CB9"/>
    <w:rsid w:val="00C07D32"/>
    <w:rsid w:val="00C07D6C"/>
    <w:rsid w:val="00C100F0"/>
    <w:rsid w:val="00C104CF"/>
    <w:rsid w:val="00C10783"/>
    <w:rsid w:val="00C10986"/>
    <w:rsid w:val="00C10A35"/>
    <w:rsid w:val="00C10D08"/>
    <w:rsid w:val="00C11151"/>
    <w:rsid w:val="00C11906"/>
    <w:rsid w:val="00C119ED"/>
    <w:rsid w:val="00C11A0B"/>
    <w:rsid w:val="00C120FD"/>
    <w:rsid w:val="00C12100"/>
    <w:rsid w:val="00C12414"/>
    <w:rsid w:val="00C124E1"/>
    <w:rsid w:val="00C12607"/>
    <w:rsid w:val="00C12CF8"/>
    <w:rsid w:val="00C134E0"/>
    <w:rsid w:val="00C13774"/>
    <w:rsid w:val="00C138F9"/>
    <w:rsid w:val="00C13A12"/>
    <w:rsid w:val="00C13A3B"/>
    <w:rsid w:val="00C13F2F"/>
    <w:rsid w:val="00C13FEF"/>
    <w:rsid w:val="00C14172"/>
    <w:rsid w:val="00C14409"/>
    <w:rsid w:val="00C146E2"/>
    <w:rsid w:val="00C147C1"/>
    <w:rsid w:val="00C14893"/>
    <w:rsid w:val="00C14BD5"/>
    <w:rsid w:val="00C14E65"/>
    <w:rsid w:val="00C15051"/>
    <w:rsid w:val="00C15221"/>
    <w:rsid w:val="00C15599"/>
    <w:rsid w:val="00C155BF"/>
    <w:rsid w:val="00C1585B"/>
    <w:rsid w:val="00C15D9A"/>
    <w:rsid w:val="00C15D9E"/>
    <w:rsid w:val="00C15E89"/>
    <w:rsid w:val="00C15F9E"/>
    <w:rsid w:val="00C16587"/>
    <w:rsid w:val="00C16719"/>
    <w:rsid w:val="00C168B0"/>
    <w:rsid w:val="00C16920"/>
    <w:rsid w:val="00C16AF8"/>
    <w:rsid w:val="00C16FBA"/>
    <w:rsid w:val="00C1714B"/>
    <w:rsid w:val="00C1732A"/>
    <w:rsid w:val="00C17363"/>
    <w:rsid w:val="00C173E5"/>
    <w:rsid w:val="00C17622"/>
    <w:rsid w:val="00C176F8"/>
    <w:rsid w:val="00C179F2"/>
    <w:rsid w:val="00C17BAE"/>
    <w:rsid w:val="00C17C00"/>
    <w:rsid w:val="00C17D17"/>
    <w:rsid w:val="00C17ECC"/>
    <w:rsid w:val="00C17F3B"/>
    <w:rsid w:val="00C2039F"/>
    <w:rsid w:val="00C206DD"/>
    <w:rsid w:val="00C20CED"/>
    <w:rsid w:val="00C20D64"/>
    <w:rsid w:val="00C21184"/>
    <w:rsid w:val="00C211D7"/>
    <w:rsid w:val="00C21281"/>
    <w:rsid w:val="00C212DF"/>
    <w:rsid w:val="00C212E3"/>
    <w:rsid w:val="00C214D8"/>
    <w:rsid w:val="00C21CBB"/>
    <w:rsid w:val="00C21CBE"/>
    <w:rsid w:val="00C2213A"/>
    <w:rsid w:val="00C221D7"/>
    <w:rsid w:val="00C22267"/>
    <w:rsid w:val="00C22373"/>
    <w:rsid w:val="00C226D9"/>
    <w:rsid w:val="00C2275E"/>
    <w:rsid w:val="00C22C15"/>
    <w:rsid w:val="00C22C39"/>
    <w:rsid w:val="00C22E36"/>
    <w:rsid w:val="00C22F46"/>
    <w:rsid w:val="00C2338E"/>
    <w:rsid w:val="00C234BC"/>
    <w:rsid w:val="00C2381C"/>
    <w:rsid w:val="00C239E2"/>
    <w:rsid w:val="00C23C19"/>
    <w:rsid w:val="00C23C4E"/>
    <w:rsid w:val="00C23C56"/>
    <w:rsid w:val="00C23C5E"/>
    <w:rsid w:val="00C23D59"/>
    <w:rsid w:val="00C23F6B"/>
    <w:rsid w:val="00C24DA3"/>
    <w:rsid w:val="00C2500E"/>
    <w:rsid w:val="00C25126"/>
    <w:rsid w:val="00C25504"/>
    <w:rsid w:val="00C255E6"/>
    <w:rsid w:val="00C2581C"/>
    <w:rsid w:val="00C25832"/>
    <w:rsid w:val="00C25871"/>
    <w:rsid w:val="00C2596E"/>
    <w:rsid w:val="00C25A0C"/>
    <w:rsid w:val="00C26606"/>
    <w:rsid w:val="00C26669"/>
    <w:rsid w:val="00C266F1"/>
    <w:rsid w:val="00C269F5"/>
    <w:rsid w:val="00C26ABF"/>
    <w:rsid w:val="00C27026"/>
    <w:rsid w:val="00C2703C"/>
    <w:rsid w:val="00C271E5"/>
    <w:rsid w:val="00C2762C"/>
    <w:rsid w:val="00C27AED"/>
    <w:rsid w:val="00C300B0"/>
    <w:rsid w:val="00C30244"/>
    <w:rsid w:val="00C307D0"/>
    <w:rsid w:val="00C3082C"/>
    <w:rsid w:val="00C308F1"/>
    <w:rsid w:val="00C30A12"/>
    <w:rsid w:val="00C30E3E"/>
    <w:rsid w:val="00C30F28"/>
    <w:rsid w:val="00C30F74"/>
    <w:rsid w:val="00C31037"/>
    <w:rsid w:val="00C312A1"/>
    <w:rsid w:val="00C312EB"/>
    <w:rsid w:val="00C31314"/>
    <w:rsid w:val="00C31DC1"/>
    <w:rsid w:val="00C31F5B"/>
    <w:rsid w:val="00C31F9D"/>
    <w:rsid w:val="00C3222F"/>
    <w:rsid w:val="00C32441"/>
    <w:rsid w:val="00C3296F"/>
    <w:rsid w:val="00C32A79"/>
    <w:rsid w:val="00C32C17"/>
    <w:rsid w:val="00C32E4F"/>
    <w:rsid w:val="00C331F7"/>
    <w:rsid w:val="00C33507"/>
    <w:rsid w:val="00C3363A"/>
    <w:rsid w:val="00C33704"/>
    <w:rsid w:val="00C341F0"/>
    <w:rsid w:val="00C34229"/>
    <w:rsid w:val="00C34483"/>
    <w:rsid w:val="00C34582"/>
    <w:rsid w:val="00C34A06"/>
    <w:rsid w:val="00C34B0C"/>
    <w:rsid w:val="00C34EAC"/>
    <w:rsid w:val="00C35139"/>
    <w:rsid w:val="00C3538B"/>
    <w:rsid w:val="00C35477"/>
    <w:rsid w:val="00C3587B"/>
    <w:rsid w:val="00C35937"/>
    <w:rsid w:val="00C35DA0"/>
    <w:rsid w:val="00C35DFA"/>
    <w:rsid w:val="00C35EEB"/>
    <w:rsid w:val="00C35F8D"/>
    <w:rsid w:val="00C36083"/>
    <w:rsid w:val="00C360B8"/>
    <w:rsid w:val="00C36233"/>
    <w:rsid w:val="00C36346"/>
    <w:rsid w:val="00C3668E"/>
    <w:rsid w:val="00C3686C"/>
    <w:rsid w:val="00C368FA"/>
    <w:rsid w:val="00C36C02"/>
    <w:rsid w:val="00C36DC5"/>
    <w:rsid w:val="00C36E4A"/>
    <w:rsid w:val="00C3715C"/>
    <w:rsid w:val="00C3715D"/>
    <w:rsid w:val="00C3737A"/>
    <w:rsid w:val="00C37647"/>
    <w:rsid w:val="00C37850"/>
    <w:rsid w:val="00C37D67"/>
    <w:rsid w:val="00C37E26"/>
    <w:rsid w:val="00C37F10"/>
    <w:rsid w:val="00C400A8"/>
    <w:rsid w:val="00C40332"/>
    <w:rsid w:val="00C4066B"/>
    <w:rsid w:val="00C406D4"/>
    <w:rsid w:val="00C407AF"/>
    <w:rsid w:val="00C409B2"/>
    <w:rsid w:val="00C409C6"/>
    <w:rsid w:val="00C40DBA"/>
    <w:rsid w:val="00C4113C"/>
    <w:rsid w:val="00C412E5"/>
    <w:rsid w:val="00C412E6"/>
    <w:rsid w:val="00C4132C"/>
    <w:rsid w:val="00C414EE"/>
    <w:rsid w:val="00C41ACF"/>
    <w:rsid w:val="00C41AE8"/>
    <w:rsid w:val="00C41BC2"/>
    <w:rsid w:val="00C41D18"/>
    <w:rsid w:val="00C41DD4"/>
    <w:rsid w:val="00C41ED3"/>
    <w:rsid w:val="00C41FD3"/>
    <w:rsid w:val="00C42034"/>
    <w:rsid w:val="00C4206B"/>
    <w:rsid w:val="00C42161"/>
    <w:rsid w:val="00C42218"/>
    <w:rsid w:val="00C42723"/>
    <w:rsid w:val="00C42895"/>
    <w:rsid w:val="00C428DF"/>
    <w:rsid w:val="00C42EBB"/>
    <w:rsid w:val="00C4329C"/>
    <w:rsid w:val="00C436BE"/>
    <w:rsid w:val="00C437DE"/>
    <w:rsid w:val="00C43A5E"/>
    <w:rsid w:val="00C43A70"/>
    <w:rsid w:val="00C43BA0"/>
    <w:rsid w:val="00C441E1"/>
    <w:rsid w:val="00C444B7"/>
    <w:rsid w:val="00C44564"/>
    <w:rsid w:val="00C44683"/>
    <w:rsid w:val="00C447BA"/>
    <w:rsid w:val="00C44B4C"/>
    <w:rsid w:val="00C44DE0"/>
    <w:rsid w:val="00C44E1E"/>
    <w:rsid w:val="00C450BC"/>
    <w:rsid w:val="00C454B1"/>
    <w:rsid w:val="00C455F6"/>
    <w:rsid w:val="00C4573E"/>
    <w:rsid w:val="00C45B96"/>
    <w:rsid w:val="00C45D78"/>
    <w:rsid w:val="00C45DCB"/>
    <w:rsid w:val="00C45E4C"/>
    <w:rsid w:val="00C45EC5"/>
    <w:rsid w:val="00C45F40"/>
    <w:rsid w:val="00C4604D"/>
    <w:rsid w:val="00C461AE"/>
    <w:rsid w:val="00C4641C"/>
    <w:rsid w:val="00C46B92"/>
    <w:rsid w:val="00C46CC1"/>
    <w:rsid w:val="00C46D00"/>
    <w:rsid w:val="00C473F7"/>
    <w:rsid w:val="00C478F6"/>
    <w:rsid w:val="00C47BCF"/>
    <w:rsid w:val="00C47C28"/>
    <w:rsid w:val="00C47CCF"/>
    <w:rsid w:val="00C47E1E"/>
    <w:rsid w:val="00C47EB7"/>
    <w:rsid w:val="00C47FEA"/>
    <w:rsid w:val="00C5010F"/>
    <w:rsid w:val="00C501A5"/>
    <w:rsid w:val="00C5025E"/>
    <w:rsid w:val="00C50486"/>
    <w:rsid w:val="00C50514"/>
    <w:rsid w:val="00C50776"/>
    <w:rsid w:val="00C50A04"/>
    <w:rsid w:val="00C50E72"/>
    <w:rsid w:val="00C50EC7"/>
    <w:rsid w:val="00C50F9A"/>
    <w:rsid w:val="00C511BA"/>
    <w:rsid w:val="00C515F0"/>
    <w:rsid w:val="00C516B3"/>
    <w:rsid w:val="00C517E5"/>
    <w:rsid w:val="00C517EB"/>
    <w:rsid w:val="00C518CD"/>
    <w:rsid w:val="00C519EE"/>
    <w:rsid w:val="00C51B28"/>
    <w:rsid w:val="00C51B7B"/>
    <w:rsid w:val="00C51BA2"/>
    <w:rsid w:val="00C52210"/>
    <w:rsid w:val="00C5242E"/>
    <w:rsid w:val="00C5243E"/>
    <w:rsid w:val="00C524FB"/>
    <w:rsid w:val="00C52CCE"/>
    <w:rsid w:val="00C52F49"/>
    <w:rsid w:val="00C52F76"/>
    <w:rsid w:val="00C530D7"/>
    <w:rsid w:val="00C530E8"/>
    <w:rsid w:val="00C5337B"/>
    <w:rsid w:val="00C53496"/>
    <w:rsid w:val="00C537B8"/>
    <w:rsid w:val="00C53804"/>
    <w:rsid w:val="00C53FFC"/>
    <w:rsid w:val="00C54312"/>
    <w:rsid w:val="00C54410"/>
    <w:rsid w:val="00C54528"/>
    <w:rsid w:val="00C546FF"/>
    <w:rsid w:val="00C54BD5"/>
    <w:rsid w:val="00C54C27"/>
    <w:rsid w:val="00C54DA6"/>
    <w:rsid w:val="00C54DBC"/>
    <w:rsid w:val="00C550A3"/>
    <w:rsid w:val="00C550D8"/>
    <w:rsid w:val="00C5541E"/>
    <w:rsid w:val="00C55573"/>
    <w:rsid w:val="00C558FD"/>
    <w:rsid w:val="00C55ED8"/>
    <w:rsid w:val="00C55EF0"/>
    <w:rsid w:val="00C55F72"/>
    <w:rsid w:val="00C56261"/>
    <w:rsid w:val="00C563A0"/>
    <w:rsid w:val="00C5650B"/>
    <w:rsid w:val="00C56553"/>
    <w:rsid w:val="00C56938"/>
    <w:rsid w:val="00C56BE9"/>
    <w:rsid w:val="00C56CFE"/>
    <w:rsid w:val="00C56E5C"/>
    <w:rsid w:val="00C56E7D"/>
    <w:rsid w:val="00C570C7"/>
    <w:rsid w:val="00C576F5"/>
    <w:rsid w:val="00C57C96"/>
    <w:rsid w:val="00C57CB0"/>
    <w:rsid w:val="00C57EC1"/>
    <w:rsid w:val="00C602B1"/>
    <w:rsid w:val="00C6079D"/>
    <w:rsid w:val="00C60CD5"/>
    <w:rsid w:val="00C60D0F"/>
    <w:rsid w:val="00C6172F"/>
    <w:rsid w:val="00C61A44"/>
    <w:rsid w:val="00C61B86"/>
    <w:rsid w:val="00C6225F"/>
    <w:rsid w:val="00C62735"/>
    <w:rsid w:val="00C62739"/>
    <w:rsid w:val="00C62746"/>
    <w:rsid w:val="00C6277A"/>
    <w:rsid w:val="00C62821"/>
    <w:rsid w:val="00C6292E"/>
    <w:rsid w:val="00C62ADE"/>
    <w:rsid w:val="00C62B9A"/>
    <w:rsid w:val="00C62D81"/>
    <w:rsid w:val="00C62F65"/>
    <w:rsid w:val="00C6348B"/>
    <w:rsid w:val="00C634C2"/>
    <w:rsid w:val="00C6350A"/>
    <w:rsid w:val="00C63C83"/>
    <w:rsid w:val="00C63F63"/>
    <w:rsid w:val="00C643A2"/>
    <w:rsid w:val="00C64567"/>
    <w:rsid w:val="00C648BC"/>
    <w:rsid w:val="00C6498F"/>
    <w:rsid w:val="00C649BE"/>
    <w:rsid w:val="00C64D10"/>
    <w:rsid w:val="00C651E2"/>
    <w:rsid w:val="00C653D6"/>
    <w:rsid w:val="00C65492"/>
    <w:rsid w:val="00C654A2"/>
    <w:rsid w:val="00C65582"/>
    <w:rsid w:val="00C65647"/>
    <w:rsid w:val="00C65B64"/>
    <w:rsid w:val="00C65F45"/>
    <w:rsid w:val="00C661C2"/>
    <w:rsid w:val="00C66444"/>
    <w:rsid w:val="00C669CA"/>
    <w:rsid w:val="00C66A23"/>
    <w:rsid w:val="00C66A3A"/>
    <w:rsid w:val="00C66BA5"/>
    <w:rsid w:val="00C66D34"/>
    <w:rsid w:val="00C66D37"/>
    <w:rsid w:val="00C66DE2"/>
    <w:rsid w:val="00C66E49"/>
    <w:rsid w:val="00C66E55"/>
    <w:rsid w:val="00C66E60"/>
    <w:rsid w:val="00C67269"/>
    <w:rsid w:val="00C67558"/>
    <w:rsid w:val="00C67724"/>
    <w:rsid w:val="00C67761"/>
    <w:rsid w:val="00C70134"/>
    <w:rsid w:val="00C70298"/>
    <w:rsid w:val="00C7074E"/>
    <w:rsid w:val="00C709F3"/>
    <w:rsid w:val="00C70F1D"/>
    <w:rsid w:val="00C7122E"/>
    <w:rsid w:val="00C719EA"/>
    <w:rsid w:val="00C719EC"/>
    <w:rsid w:val="00C71B46"/>
    <w:rsid w:val="00C71C89"/>
    <w:rsid w:val="00C71D92"/>
    <w:rsid w:val="00C71F45"/>
    <w:rsid w:val="00C71F91"/>
    <w:rsid w:val="00C723A6"/>
    <w:rsid w:val="00C728DD"/>
    <w:rsid w:val="00C729B0"/>
    <w:rsid w:val="00C72A25"/>
    <w:rsid w:val="00C72ADA"/>
    <w:rsid w:val="00C72B7A"/>
    <w:rsid w:val="00C72C0F"/>
    <w:rsid w:val="00C72E1E"/>
    <w:rsid w:val="00C73143"/>
    <w:rsid w:val="00C736BD"/>
    <w:rsid w:val="00C73D37"/>
    <w:rsid w:val="00C73EAD"/>
    <w:rsid w:val="00C73F5F"/>
    <w:rsid w:val="00C73F9B"/>
    <w:rsid w:val="00C741A4"/>
    <w:rsid w:val="00C74347"/>
    <w:rsid w:val="00C746A4"/>
    <w:rsid w:val="00C74898"/>
    <w:rsid w:val="00C748D5"/>
    <w:rsid w:val="00C749CE"/>
    <w:rsid w:val="00C74C25"/>
    <w:rsid w:val="00C74DD3"/>
    <w:rsid w:val="00C75059"/>
    <w:rsid w:val="00C75229"/>
    <w:rsid w:val="00C753B4"/>
    <w:rsid w:val="00C75459"/>
    <w:rsid w:val="00C7564D"/>
    <w:rsid w:val="00C756E8"/>
    <w:rsid w:val="00C758F8"/>
    <w:rsid w:val="00C75A81"/>
    <w:rsid w:val="00C75AE3"/>
    <w:rsid w:val="00C75CFC"/>
    <w:rsid w:val="00C75E1C"/>
    <w:rsid w:val="00C75FBB"/>
    <w:rsid w:val="00C76271"/>
    <w:rsid w:val="00C76407"/>
    <w:rsid w:val="00C76415"/>
    <w:rsid w:val="00C76455"/>
    <w:rsid w:val="00C765CF"/>
    <w:rsid w:val="00C7696C"/>
    <w:rsid w:val="00C76C63"/>
    <w:rsid w:val="00C76E4E"/>
    <w:rsid w:val="00C76FDA"/>
    <w:rsid w:val="00C77020"/>
    <w:rsid w:val="00C775AF"/>
    <w:rsid w:val="00C77792"/>
    <w:rsid w:val="00C777F5"/>
    <w:rsid w:val="00C77AD8"/>
    <w:rsid w:val="00C77AF8"/>
    <w:rsid w:val="00C77CD2"/>
    <w:rsid w:val="00C77D3B"/>
    <w:rsid w:val="00C77DBA"/>
    <w:rsid w:val="00C77E0C"/>
    <w:rsid w:val="00C77E1C"/>
    <w:rsid w:val="00C77E24"/>
    <w:rsid w:val="00C807AC"/>
    <w:rsid w:val="00C808C8"/>
    <w:rsid w:val="00C80996"/>
    <w:rsid w:val="00C80A16"/>
    <w:rsid w:val="00C80C9C"/>
    <w:rsid w:val="00C80DE7"/>
    <w:rsid w:val="00C80E18"/>
    <w:rsid w:val="00C81283"/>
    <w:rsid w:val="00C813C7"/>
    <w:rsid w:val="00C815D6"/>
    <w:rsid w:val="00C816AA"/>
    <w:rsid w:val="00C8184D"/>
    <w:rsid w:val="00C81CC6"/>
    <w:rsid w:val="00C81EED"/>
    <w:rsid w:val="00C82069"/>
    <w:rsid w:val="00C8251C"/>
    <w:rsid w:val="00C82544"/>
    <w:rsid w:val="00C82569"/>
    <w:rsid w:val="00C827B2"/>
    <w:rsid w:val="00C82AA4"/>
    <w:rsid w:val="00C82C8D"/>
    <w:rsid w:val="00C82DA5"/>
    <w:rsid w:val="00C82DDF"/>
    <w:rsid w:val="00C82E39"/>
    <w:rsid w:val="00C82F22"/>
    <w:rsid w:val="00C83092"/>
    <w:rsid w:val="00C830D8"/>
    <w:rsid w:val="00C831BE"/>
    <w:rsid w:val="00C8344E"/>
    <w:rsid w:val="00C838FB"/>
    <w:rsid w:val="00C83E5B"/>
    <w:rsid w:val="00C840CD"/>
    <w:rsid w:val="00C8481D"/>
    <w:rsid w:val="00C84F53"/>
    <w:rsid w:val="00C850F9"/>
    <w:rsid w:val="00C85194"/>
    <w:rsid w:val="00C85298"/>
    <w:rsid w:val="00C85363"/>
    <w:rsid w:val="00C854A9"/>
    <w:rsid w:val="00C8578E"/>
    <w:rsid w:val="00C8583C"/>
    <w:rsid w:val="00C85CA9"/>
    <w:rsid w:val="00C85E33"/>
    <w:rsid w:val="00C8640E"/>
    <w:rsid w:val="00C8659C"/>
    <w:rsid w:val="00C8668A"/>
    <w:rsid w:val="00C866DA"/>
    <w:rsid w:val="00C8670C"/>
    <w:rsid w:val="00C86A8B"/>
    <w:rsid w:val="00C86F04"/>
    <w:rsid w:val="00C874F5"/>
    <w:rsid w:val="00C87594"/>
    <w:rsid w:val="00C8794D"/>
    <w:rsid w:val="00C87B8B"/>
    <w:rsid w:val="00C87C02"/>
    <w:rsid w:val="00C87D34"/>
    <w:rsid w:val="00C87DD9"/>
    <w:rsid w:val="00C87F52"/>
    <w:rsid w:val="00C9006F"/>
    <w:rsid w:val="00C9030F"/>
    <w:rsid w:val="00C903FE"/>
    <w:rsid w:val="00C90493"/>
    <w:rsid w:val="00C90600"/>
    <w:rsid w:val="00C90697"/>
    <w:rsid w:val="00C9096B"/>
    <w:rsid w:val="00C90A9D"/>
    <w:rsid w:val="00C90B4E"/>
    <w:rsid w:val="00C90E90"/>
    <w:rsid w:val="00C91239"/>
    <w:rsid w:val="00C9144D"/>
    <w:rsid w:val="00C9166B"/>
    <w:rsid w:val="00C91893"/>
    <w:rsid w:val="00C91BCE"/>
    <w:rsid w:val="00C9273A"/>
    <w:rsid w:val="00C927D8"/>
    <w:rsid w:val="00C92B31"/>
    <w:rsid w:val="00C9354F"/>
    <w:rsid w:val="00C936EF"/>
    <w:rsid w:val="00C939BE"/>
    <w:rsid w:val="00C93D69"/>
    <w:rsid w:val="00C93FA8"/>
    <w:rsid w:val="00C94218"/>
    <w:rsid w:val="00C94342"/>
    <w:rsid w:val="00C945C8"/>
    <w:rsid w:val="00C94678"/>
    <w:rsid w:val="00C9477D"/>
    <w:rsid w:val="00C949ED"/>
    <w:rsid w:val="00C94AB8"/>
    <w:rsid w:val="00C95005"/>
    <w:rsid w:val="00C95523"/>
    <w:rsid w:val="00C95749"/>
    <w:rsid w:val="00C95887"/>
    <w:rsid w:val="00C959D4"/>
    <w:rsid w:val="00C95ACA"/>
    <w:rsid w:val="00C95B54"/>
    <w:rsid w:val="00C95C83"/>
    <w:rsid w:val="00C95E36"/>
    <w:rsid w:val="00C95F4C"/>
    <w:rsid w:val="00C95FCE"/>
    <w:rsid w:val="00C969BF"/>
    <w:rsid w:val="00C96C04"/>
    <w:rsid w:val="00C96C67"/>
    <w:rsid w:val="00C9735B"/>
    <w:rsid w:val="00C9760B"/>
    <w:rsid w:val="00C97613"/>
    <w:rsid w:val="00C979AD"/>
    <w:rsid w:val="00C97EDF"/>
    <w:rsid w:val="00CA0174"/>
    <w:rsid w:val="00CA0386"/>
    <w:rsid w:val="00CA043B"/>
    <w:rsid w:val="00CA05CD"/>
    <w:rsid w:val="00CA0897"/>
    <w:rsid w:val="00CA131D"/>
    <w:rsid w:val="00CA14F9"/>
    <w:rsid w:val="00CA166D"/>
    <w:rsid w:val="00CA1739"/>
    <w:rsid w:val="00CA1869"/>
    <w:rsid w:val="00CA1946"/>
    <w:rsid w:val="00CA19E0"/>
    <w:rsid w:val="00CA1EB3"/>
    <w:rsid w:val="00CA1FB9"/>
    <w:rsid w:val="00CA204E"/>
    <w:rsid w:val="00CA26AB"/>
    <w:rsid w:val="00CA2705"/>
    <w:rsid w:val="00CA27CB"/>
    <w:rsid w:val="00CA2CFA"/>
    <w:rsid w:val="00CA32B2"/>
    <w:rsid w:val="00CA3C9C"/>
    <w:rsid w:val="00CA41BD"/>
    <w:rsid w:val="00CA4560"/>
    <w:rsid w:val="00CA45D0"/>
    <w:rsid w:val="00CA4AFC"/>
    <w:rsid w:val="00CA4EF3"/>
    <w:rsid w:val="00CA5388"/>
    <w:rsid w:val="00CA590C"/>
    <w:rsid w:val="00CA5DFC"/>
    <w:rsid w:val="00CA5E3F"/>
    <w:rsid w:val="00CA6039"/>
    <w:rsid w:val="00CA623C"/>
    <w:rsid w:val="00CA62A0"/>
    <w:rsid w:val="00CA6396"/>
    <w:rsid w:val="00CA6613"/>
    <w:rsid w:val="00CA6F48"/>
    <w:rsid w:val="00CA70EF"/>
    <w:rsid w:val="00CA7252"/>
    <w:rsid w:val="00CA726C"/>
    <w:rsid w:val="00CA748D"/>
    <w:rsid w:val="00CA75AD"/>
    <w:rsid w:val="00CA76E5"/>
    <w:rsid w:val="00CA777A"/>
    <w:rsid w:val="00CA7AB6"/>
    <w:rsid w:val="00CA7D19"/>
    <w:rsid w:val="00CB000B"/>
    <w:rsid w:val="00CB0367"/>
    <w:rsid w:val="00CB046D"/>
    <w:rsid w:val="00CB04D4"/>
    <w:rsid w:val="00CB08A6"/>
    <w:rsid w:val="00CB0C43"/>
    <w:rsid w:val="00CB0E5A"/>
    <w:rsid w:val="00CB1087"/>
    <w:rsid w:val="00CB157E"/>
    <w:rsid w:val="00CB15A2"/>
    <w:rsid w:val="00CB15C6"/>
    <w:rsid w:val="00CB1617"/>
    <w:rsid w:val="00CB16C1"/>
    <w:rsid w:val="00CB1881"/>
    <w:rsid w:val="00CB1A35"/>
    <w:rsid w:val="00CB1E1F"/>
    <w:rsid w:val="00CB1E49"/>
    <w:rsid w:val="00CB1F4C"/>
    <w:rsid w:val="00CB24CB"/>
    <w:rsid w:val="00CB2698"/>
    <w:rsid w:val="00CB2B6D"/>
    <w:rsid w:val="00CB2BDB"/>
    <w:rsid w:val="00CB2D06"/>
    <w:rsid w:val="00CB2F73"/>
    <w:rsid w:val="00CB2FF7"/>
    <w:rsid w:val="00CB3163"/>
    <w:rsid w:val="00CB31DB"/>
    <w:rsid w:val="00CB356B"/>
    <w:rsid w:val="00CB366D"/>
    <w:rsid w:val="00CB3A25"/>
    <w:rsid w:val="00CB3B28"/>
    <w:rsid w:val="00CB3C5B"/>
    <w:rsid w:val="00CB3DF9"/>
    <w:rsid w:val="00CB3F1B"/>
    <w:rsid w:val="00CB431F"/>
    <w:rsid w:val="00CB47A0"/>
    <w:rsid w:val="00CB495B"/>
    <w:rsid w:val="00CB49BE"/>
    <w:rsid w:val="00CB513E"/>
    <w:rsid w:val="00CB5465"/>
    <w:rsid w:val="00CB56E3"/>
    <w:rsid w:val="00CB5701"/>
    <w:rsid w:val="00CB5750"/>
    <w:rsid w:val="00CB5A5D"/>
    <w:rsid w:val="00CB5BA7"/>
    <w:rsid w:val="00CB5C0B"/>
    <w:rsid w:val="00CB6216"/>
    <w:rsid w:val="00CB645C"/>
    <w:rsid w:val="00CB6596"/>
    <w:rsid w:val="00CB6667"/>
    <w:rsid w:val="00CB66FC"/>
    <w:rsid w:val="00CB688B"/>
    <w:rsid w:val="00CB6F5A"/>
    <w:rsid w:val="00CB6F6A"/>
    <w:rsid w:val="00CB782C"/>
    <w:rsid w:val="00CB7A06"/>
    <w:rsid w:val="00CB7AC6"/>
    <w:rsid w:val="00CB7D46"/>
    <w:rsid w:val="00CB7D53"/>
    <w:rsid w:val="00CB7D70"/>
    <w:rsid w:val="00CB7E1F"/>
    <w:rsid w:val="00CB7E3F"/>
    <w:rsid w:val="00CB7E88"/>
    <w:rsid w:val="00CC031E"/>
    <w:rsid w:val="00CC05A4"/>
    <w:rsid w:val="00CC0C98"/>
    <w:rsid w:val="00CC0CDA"/>
    <w:rsid w:val="00CC0D21"/>
    <w:rsid w:val="00CC14A4"/>
    <w:rsid w:val="00CC1686"/>
    <w:rsid w:val="00CC1D7E"/>
    <w:rsid w:val="00CC1E6B"/>
    <w:rsid w:val="00CC1F91"/>
    <w:rsid w:val="00CC1FC7"/>
    <w:rsid w:val="00CC2108"/>
    <w:rsid w:val="00CC21ED"/>
    <w:rsid w:val="00CC221D"/>
    <w:rsid w:val="00CC2459"/>
    <w:rsid w:val="00CC24A1"/>
    <w:rsid w:val="00CC2626"/>
    <w:rsid w:val="00CC2757"/>
    <w:rsid w:val="00CC2B6C"/>
    <w:rsid w:val="00CC2E7E"/>
    <w:rsid w:val="00CC2EBD"/>
    <w:rsid w:val="00CC3245"/>
    <w:rsid w:val="00CC33CA"/>
    <w:rsid w:val="00CC38C8"/>
    <w:rsid w:val="00CC3970"/>
    <w:rsid w:val="00CC39B3"/>
    <w:rsid w:val="00CC3C50"/>
    <w:rsid w:val="00CC3C8F"/>
    <w:rsid w:val="00CC3F69"/>
    <w:rsid w:val="00CC3F83"/>
    <w:rsid w:val="00CC441A"/>
    <w:rsid w:val="00CC45A3"/>
    <w:rsid w:val="00CC4753"/>
    <w:rsid w:val="00CC47A8"/>
    <w:rsid w:val="00CC4905"/>
    <w:rsid w:val="00CC49E7"/>
    <w:rsid w:val="00CC4A11"/>
    <w:rsid w:val="00CC5055"/>
    <w:rsid w:val="00CC5072"/>
    <w:rsid w:val="00CC554B"/>
    <w:rsid w:val="00CC55DE"/>
    <w:rsid w:val="00CC56FF"/>
    <w:rsid w:val="00CC5D6F"/>
    <w:rsid w:val="00CC61DB"/>
    <w:rsid w:val="00CC6201"/>
    <w:rsid w:val="00CC6246"/>
    <w:rsid w:val="00CC67DB"/>
    <w:rsid w:val="00CC6B88"/>
    <w:rsid w:val="00CC6C27"/>
    <w:rsid w:val="00CC6C5B"/>
    <w:rsid w:val="00CC6CBE"/>
    <w:rsid w:val="00CC6CD2"/>
    <w:rsid w:val="00CC6E43"/>
    <w:rsid w:val="00CC6E75"/>
    <w:rsid w:val="00CC6F88"/>
    <w:rsid w:val="00CC72A0"/>
    <w:rsid w:val="00CC7434"/>
    <w:rsid w:val="00CC76A1"/>
    <w:rsid w:val="00CC7A19"/>
    <w:rsid w:val="00CC7B9B"/>
    <w:rsid w:val="00CD00A8"/>
    <w:rsid w:val="00CD03BB"/>
    <w:rsid w:val="00CD0592"/>
    <w:rsid w:val="00CD0717"/>
    <w:rsid w:val="00CD0B0B"/>
    <w:rsid w:val="00CD0EC6"/>
    <w:rsid w:val="00CD0FE9"/>
    <w:rsid w:val="00CD10D5"/>
    <w:rsid w:val="00CD12BD"/>
    <w:rsid w:val="00CD165C"/>
    <w:rsid w:val="00CD1ED2"/>
    <w:rsid w:val="00CD204C"/>
    <w:rsid w:val="00CD237D"/>
    <w:rsid w:val="00CD2398"/>
    <w:rsid w:val="00CD23AF"/>
    <w:rsid w:val="00CD2693"/>
    <w:rsid w:val="00CD2A89"/>
    <w:rsid w:val="00CD34F9"/>
    <w:rsid w:val="00CD35D5"/>
    <w:rsid w:val="00CD3693"/>
    <w:rsid w:val="00CD36E2"/>
    <w:rsid w:val="00CD3779"/>
    <w:rsid w:val="00CD37B1"/>
    <w:rsid w:val="00CD3BD4"/>
    <w:rsid w:val="00CD3C37"/>
    <w:rsid w:val="00CD3F8C"/>
    <w:rsid w:val="00CD4085"/>
    <w:rsid w:val="00CD40EC"/>
    <w:rsid w:val="00CD4335"/>
    <w:rsid w:val="00CD440A"/>
    <w:rsid w:val="00CD4657"/>
    <w:rsid w:val="00CD48C8"/>
    <w:rsid w:val="00CD4B29"/>
    <w:rsid w:val="00CD4BED"/>
    <w:rsid w:val="00CD4C05"/>
    <w:rsid w:val="00CD4CEE"/>
    <w:rsid w:val="00CD4DB7"/>
    <w:rsid w:val="00CD4FA9"/>
    <w:rsid w:val="00CD50BC"/>
    <w:rsid w:val="00CD5569"/>
    <w:rsid w:val="00CD5580"/>
    <w:rsid w:val="00CD558A"/>
    <w:rsid w:val="00CD5ADB"/>
    <w:rsid w:val="00CD5E3C"/>
    <w:rsid w:val="00CD5E7D"/>
    <w:rsid w:val="00CD5EDC"/>
    <w:rsid w:val="00CD5F2B"/>
    <w:rsid w:val="00CD60F7"/>
    <w:rsid w:val="00CD6190"/>
    <w:rsid w:val="00CD626C"/>
    <w:rsid w:val="00CD6659"/>
    <w:rsid w:val="00CD6999"/>
    <w:rsid w:val="00CD6F51"/>
    <w:rsid w:val="00CD724D"/>
    <w:rsid w:val="00CD73FB"/>
    <w:rsid w:val="00CD7A68"/>
    <w:rsid w:val="00CD7C3A"/>
    <w:rsid w:val="00CD7CEC"/>
    <w:rsid w:val="00CD7DBD"/>
    <w:rsid w:val="00CE0087"/>
    <w:rsid w:val="00CE00B2"/>
    <w:rsid w:val="00CE057C"/>
    <w:rsid w:val="00CE05CA"/>
    <w:rsid w:val="00CE0771"/>
    <w:rsid w:val="00CE09F1"/>
    <w:rsid w:val="00CE0A31"/>
    <w:rsid w:val="00CE0BCB"/>
    <w:rsid w:val="00CE0CCB"/>
    <w:rsid w:val="00CE0D5D"/>
    <w:rsid w:val="00CE0F32"/>
    <w:rsid w:val="00CE0FE2"/>
    <w:rsid w:val="00CE0FF0"/>
    <w:rsid w:val="00CE1897"/>
    <w:rsid w:val="00CE19C2"/>
    <w:rsid w:val="00CE1F12"/>
    <w:rsid w:val="00CE224B"/>
    <w:rsid w:val="00CE2295"/>
    <w:rsid w:val="00CE2432"/>
    <w:rsid w:val="00CE25B3"/>
    <w:rsid w:val="00CE25BD"/>
    <w:rsid w:val="00CE2C07"/>
    <w:rsid w:val="00CE2C33"/>
    <w:rsid w:val="00CE2EC7"/>
    <w:rsid w:val="00CE3573"/>
    <w:rsid w:val="00CE35B3"/>
    <w:rsid w:val="00CE38C6"/>
    <w:rsid w:val="00CE390F"/>
    <w:rsid w:val="00CE3A5F"/>
    <w:rsid w:val="00CE486A"/>
    <w:rsid w:val="00CE4B22"/>
    <w:rsid w:val="00CE4D99"/>
    <w:rsid w:val="00CE4E10"/>
    <w:rsid w:val="00CE4F19"/>
    <w:rsid w:val="00CE4F9B"/>
    <w:rsid w:val="00CE4FAA"/>
    <w:rsid w:val="00CE541F"/>
    <w:rsid w:val="00CE5675"/>
    <w:rsid w:val="00CE5891"/>
    <w:rsid w:val="00CE5A12"/>
    <w:rsid w:val="00CE5B69"/>
    <w:rsid w:val="00CE5D05"/>
    <w:rsid w:val="00CE5DE9"/>
    <w:rsid w:val="00CE5E9C"/>
    <w:rsid w:val="00CE6059"/>
    <w:rsid w:val="00CE63E6"/>
    <w:rsid w:val="00CE6944"/>
    <w:rsid w:val="00CE696E"/>
    <w:rsid w:val="00CE6C6B"/>
    <w:rsid w:val="00CE6DA2"/>
    <w:rsid w:val="00CE6E9F"/>
    <w:rsid w:val="00CE7097"/>
    <w:rsid w:val="00CE72EB"/>
    <w:rsid w:val="00CE769D"/>
    <w:rsid w:val="00CE7AEF"/>
    <w:rsid w:val="00CE7D82"/>
    <w:rsid w:val="00CE7EDE"/>
    <w:rsid w:val="00CE7EF6"/>
    <w:rsid w:val="00CF0095"/>
    <w:rsid w:val="00CF0197"/>
    <w:rsid w:val="00CF02B7"/>
    <w:rsid w:val="00CF042F"/>
    <w:rsid w:val="00CF05BF"/>
    <w:rsid w:val="00CF05DF"/>
    <w:rsid w:val="00CF076C"/>
    <w:rsid w:val="00CF07A0"/>
    <w:rsid w:val="00CF0A56"/>
    <w:rsid w:val="00CF0D72"/>
    <w:rsid w:val="00CF0DEA"/>
    <w:rsid w:val="00CF0F5B"/>
    <w:rsid w:val="00CF1012"/>
    <w:rsid w:val="00CF102B"/>
    <w:rsid w:val="00CF1162"/>
    <w:rsid w:val="00CF141E"/>
    <w:rsid w:val="00CF1E8C"/>
    <w:rsid w:val="00CF1F83"/>
    <w:rsid w:val="00CF1FCB"/>
    <w:rsid w:val="00CF22E8"/>
    <w:rsid w:val="00CF26B9"/>
    <w:rsid w:val="00CF2774"/>
    <w:rsid w:val="00CF2E19"/>
    <w:rsid w:val="00CF2E6A"/>
    <w:rsid w:val="00CF2F70"/>
    <w:rsid w:val="00CF30AA"/>
    <w:rsid w:val="00CF31F6"/>
    <w:rsid w:val="00CF323D"/>
    <w:rsid w:val="00CF3341"/>
    <w:rsid w:val="00CF36A8"/>
    <w:rsid w:val="00CF3722"/>
    <w:rsid w:val="00CF38D4"/>
    <w:rsid w:val="00CF3B7C"/>
    <w:rsid w:val="00CF3BD0"/>
    <w:rsid w:val="00CF3E30"/>
    <w:rsid w:val="00CF42EC"/>
    <w:rsid w:val="00CF4449"/>
    <w:rsid w:val="00CF4453"/>
    <w:rsid w:val="00CF4EC7"/>
    <w:rsid w:val="00CF4FC3"/>
    <w:rsid w:val="00CF5273"/>
    <w:rsid w:val="00CF5457"/>
    <w:rsid w:val="00CF55FA"/>
    <w:rsid w:val="00CF59C9"/>
    <w:rsid w:val="00CF5C1D"/>
    <w:rsid w:val="00CF5D7A"/>
    <w:rsid w:val="00CF5E39"/>
    <w:rsid w:val="00CF6397"/>
    <w:rsid w:val="00CF65C7"/>
    <w:rsid w:val="00CF6980"/>
    <w:rsid w:val="00CF6A81"/>
    <w:rsid w:val="00CF6D99"/>
    <w:rsid w:val="00CF713B"/>
    <w:rsid w:val="00CF71F6"/>
    <w:rsid w:val="00CF767C"/>
    <w:rsid w:val="00CF7826"/>
    <w:rsid w:val="00CF7A3E"/>
    <w:rsid w:val="00CF7A5B"/>
    <w:rsid w:val="00CF7B54"/>
    <w:rsid w:val="00CF7BC4"/>
    <w:rsid w:val="00CF7DED"/>
    <w:rsid w:val="00D005D7"/>
    <w:rsid w:val="00D005E2"/>
    <w:rsid w:val="00D00D09"/>
    <w:rsid w:val="00D00DA7"/>
    <w:rsid w:val="00D00F8C"/>
    <w:rsid w:val="00D01C27"/>
    <w:rsid w:val="00D01D43"/>
    <w:rsid w:val="00D01EB4"/>
    <w:rsid w:val="00D01F30"/>
    <w:rsid w:val="00D0205E"/>
    <w:rsid w:val="00D0214E"/>
    <w:rsid w:val="00D021E3"/>
    <w:rsid w:val="00D02231"/>
    <w:rsid w:val="00D022C8"/>
    <w:rsid w:val="00D02488"/>
    <w:rsid w:val="00D025A4"/>
    <w:rsid w:val="00D02BD0"/>
    <w:rsid w:val="00D02BED"/>
    <w:rsid w:val="00D02ECF"/>
    <w:rsid w:val="00D02FA7"/>
    <w:rsid w:val="00D03173"/>
    <w:rsid w:val="00D0371A"/>
    <w:rsid w:val="00D038E8"/>
    <w:rsid w:val="00D03D9F"/>
    <w:rsid w:val="00D03DA3"/>
    <w:rsid w:val="00D03FF6"/>
    <w:rsid w:val="00D044CC"/>
    <w:rsid w:val="00D044DF"/>
    <w:rsid w:val="00D044E7"/>
    <w:rsid w:val="00D0491E"/>
    <w:rsid w:val="00D049C7"/>
    <w:rsid w:val="00D049FF"/>
    <w:rsid w:val="00D04EDD"/>
    <w:rsid w:val="00D05072"/>
    <w:rsid w:val="00D05311"/>
    <w:rsid w:val="00D0535E"/>
    <w:rsid w:val="00D05877"/>
    <w:rsid w:val="00D05B05"/>
    <w:rsid w:val="00D05B29"/>
    <w:rsid w:val="00D05FD7"/>
    <w:rsid w:val="00D060F7"/>
    <w:rsid w:val="00D062DA"/>
    <w:rsid w:val="00D0634E"/>
    <w:rsid w:val="00D06475"/>
    <w:rsid w:val="00D065CE"/>
    <w:rsid w:val="00D0661F"/>
    <w:rsid w:val="00D068FD"/>
    <w:rsid w:val="00D06A8C"/>
    <w:rsid w:val="00D06F96"/>
    <w:rsid w:val="00D07385"/>
    <w:rsid w:val="00D073B0"/>
    <w:rsid w:val="00D07562"/>
    <w:rsid w:val="00D0783B"/>
    <w:rsid w:val="00D07875"/>
    <w:rsid w:val="00D078E7"/>
    <w:rsid w:val="00D07962"/>
    <w:rsid w:val="00D079B8"/>
    <w:rsid w:val="00D07F57"/>
    <w:rsid w:val="00D07F94"/>
    <w:rsid w:val="00D10726"/>
    <w:rsid w:val="00D10A31"/>
    <w:rsid w:val="00D10B0C"/>
    <w:rsid w:val="00D113C4"/>
    <w:rsid w:val="00D116AB"/>
    <w:rsid w:val="00D11770"/>
    <w:rsid w:val="00D11914"/>
    <w:rsid w:val="00D11A2A"/>
    <w:rsid w:val="00D11C20"/>
    <w:rsid w:val="00D11DB2"/>
    <w:rsid w:val="00D11E7B"/>
    <w:rsid w:val="00D11F1C"/>
    <w:rsid w:val="00D12053"/>
    <w:rsid w:val="00D122EA"/>
    <w:rsid w:val="00D12A57"/>
    <w:rsid w:val="00D12D65"/>
    <w:rsid w:val="00D12E3C"/>
    <w:rsid w:val="00D12F39"/>
    <w:rsid w:val="00D13357"/>
    <w:rsid w:val="00D13540"/>
    <w:rsid w:val="00D13760"/>
    <w:rsid w:val="00D1394B"/>
    <w:rsid w:val="00D13D79"/>
    <w:rsid w:val="00D13D80"/>
    <w:rsid w:val="00D13DCC"/>
    <w:rsid w:val="00D13EEC"/>
    <w:rsid w:val="00D14197"/>
    <w:rsid w:val="00D143C7"/>
    <w:rsid w:val="00D144E9"/>
    <w:rsid w:val="00D145F9"/>
    <w:rsid w:val="00D147AA"/>
    <w:rsid w:val="00D14945"/>
    <w:rsid w:val="00D14BAE"/>
    <w:rsid w:val="00D14EB5"/>
    <w:rsid w:val="00D15053"/>
    <w:rsid w:val="00D15239"/>
    <w:rsid w:val="00D1526E"/>
    <w:rsid w:val="00D15313"/>
    <w:rsid w:val="00D1586E"/>
    <w:rsid w:val="00D15922"/>
    <w:rsid w:val="00D15A30"/>
    <w:rsid w:val="00D15A4A"/>
    <w:rsid w:val="00D15AEE"/>
    <w:rsid w:val="00D15E4A"/>
    <w:rsid w:val="00D16370"/>
    <w:rsid w:val="00D16463"/>
    <w:rsid w:val="00D16496"/>
    <w:rsid w:val="00D165FB"/>
    <w:rsid w:val="00D16716"/>
    <w:rsid w:val="00D16C62"/>
    <w:rsid w:val="00D1725B"/>
    <w:rsid w:val="00D1733B"/>
    <w:rsid w:val="00D17487"/>
    <w:rsid w:val="00D1768F"/>
    <w:rsid w:val="00D177E4"/>
    <w:rsid w:val="00D17827"/>
    <w:rsid w:val="00D17AC6"/>
    <w:rsid w:val="00D17AF0"/>
    <w:rsid w:val="00D17AF4"/>
    <w:rsid w:val="00D207F6"/>
    <w:rsid w:val="00D20887"/>
    <w:rsid w:val="00D20BD6"/>
    <w:rsid w:val="00D20C0C"/>
    <w:rsid w:val="00D20CDC"/>
    <w:rsid w:val="00D20E4B"/>
    <w:rsid w:val="00D20E89"/>
    <w:rsid w:val="00D20F32"/>
    <w:rsid w:val="00D21240"/>
    <w:rsid w:val="00D21751"/>
    <w:rsid w:val="00D217FD"/>
    <w:rsid w:val="00D219AC"/>
    <w:rsid w:val="00D21A33"/>
    <w:rsid w:val="00D22078"/>
    <w:rsid w:val="00D22524"/>
    <w:rsid w:val="00D2260D"/>
    <w:rsid w:val="00D22868"/>
    <w:rsid w:val="00D22882"/>
    <w:rsid w:val="00D22956"/>
    <w:rsid w:val="00D22BDF"/>
    <w:rsid w:val="00D22C55"/>
    <w:rsid w:val="00D22DAB"/>
    <w:rsid w:val="00D22FBE"/>
    <w:rsid w:val="00D23228"/>
    <w:rsid w:val="00D2335C"/>
    <w:rsid w:val="00D23451"/>
    <w:rsid w:val="00D23981"/>
    <w:rsid w:val="00D239B1"/>
    <w:rsid w:val="00D23E23"/>
    <w:rsid w:val="00D24042"/>
    <w:rsid w:val="00D24304"/>
    <w:rsid w:val="00D247AD"/>
    <w:rsid w:val="00D24852"/>
    <w:rsid w:val="00D24ABE"/>
    <w:rsid w:val="00D24C45"/>
    <w:rsid w:val="00D24DD6"/>
    <w:rsid w:val="00D25097"/>
    <w:rsid w:val="00D25098"/>
    <w:rsid w:val="00D2529A"/>
    <w:rsid w:val="00D2547E"/>
    <w:rsid w:val="00D25491"/>
    <w:rsid w:val="00D257D4"/>
    <w:rsid w:val="00D261A8"/>
    <w:rsid w:val="00D2633C"/>
    <w:rsid w:val="00D26421"/>
    <w:rsid w:val="00D268CC"/>
    <w:rsid w:val="00D26C8E"/>
    <w:rsid w:val="00D26D39"/>
    <w:rsid w:val="00D26DB5"/>
    <w:rsid w:val="00D26DF7"/>
    <w:rsid w:val="00D2701A"/>
    <w:rsid w:val="00D27213"/>
    <w:rsid w:val="00D27594"/>
    <w:rsid w:val="00D27C7E"/>
    <w:rsid w:val="00D30353"/>
    <w:rsid w:val="00D303C2"/>
    <w:rsid w:val="00D303DD"/>
    <w:rsid w:val="00D30536"/>
    <w:rsid w:val="00D305CA"/>
    <w:rsid w:val="00D30964"/>
    <w:rsid w:val="00D309A9"/>
    <w:rsid w:val="00D30D2A"/>
    <w:rsid w:val="00D30DA3"/>
    <w:rsid w:val="00D30FF4"/>
    <w:rsid w:val="00D3108E"/>
    <w:rsid w:val="00D31242"/>
    <w:rsid w:val="00D313E6"/>
    <w:rsid w:val="00D313E9"/>
    <w:rsid w:val="00D315CD"/>
    <w:rsid w:val="00D319F5"/>
    <w:rsid w:val="00D31BDC"/>
    <w:rsid w:val="00D31CAC"/>
    <w:rsid w:val="00D31D25"/>
    <w:rsid w:val="00D31D95"/>
    <w:rsid w:val="00D320DE"/>
    <w:rsid w:val="00D3210B"/>
    <w:rsid w:val="00D3223B"/>
    <w:rsid w:val="00D3271C"/>
    <w:rsid w:val="00D3273F"/>
    <w:rsid w:val="00D32975"/>
    <w:rsid w:val="00D32B9B"/>
    <w:rsid w:val="00D32BFA"/>
    <w:rsid w:val="00D33162"/>
    <w:rsid w:val="00D33508"/>
    <w:rsid w:val="00D337BD"/>
    <w:rsid w:val="00D33BC4"/>
    <w:rsid w:val="00D33C3C"/>
    <w:rsid w:val="00D33E61"/>
    <w:rsid w:val="00D33F45"/>
    <w:rsid w:val="00D34278"/>
    <w:rsid w:val="00D3457D"/>
    <w:rsid w:val="00D345D4"/>
    <w:rsid w:val="00D3464D"/>
    <w:rsid w:val="00D3478A"/>
    <w:rsid w:val="00D3487D"/>
    <w:rsid w:val="00D34BC6"/>
    <w:rsid w:val="00D34CA5"/>
    <w:rsid w:val="00D34E4C"/>
    <w:rsid w:val="00D34E95"/>
    <w:rsid w:val="00D35072"/>
    <w:rsid w:val="00D354BC"/>
    <w:rsid w:val="00D35893"/>
    <w:rsid w:val="00D359E3"/>
    <w:rsid w:val="00D362F1"/>
    <w:rsid w:val="00D363EA"/>
    <w:rsid w:val="00D36755"/>
    <w:rsid w:val="00D367B6"/>
    <w:rsid w:val="00D36C05"/>
    <w:rsid w:val="00D36C43"/>
    <w:rsid w:val="00D36E16"/>
    <w:rsid w:val="00D371F4"/>
    <w:rsid w:val="00D37208"/>
    <w:rsid w:val="00D3782F"/>
    <w:rsid w:val="00D37D34"/>
    <w:rsid w:val="00D37D89"/>
    <w:rsid w:val="00D4004D"/>
    <w:rsid w:val="00D40297"/>
    <w:rsid w:val="00D4056B"/>
    <w:rsid w:val="00D405FF"/>
    <w:rsid w:val="00D40614"/>
    <w:rsid w:val="00D40BD6"/>
    <w:rsid w:val="00D40CCF"/>
    <w:rsid w:val="00D40EC6"/>
    <w:rsid w:val="00D41364"/>
    <w:rsid w:val="00D41A03"/>
    <w:rsid w:val="00D41B6B"/>
    <w:rsid w:val="00D41BAB"/>
    <w:rsid w:val="00D422C2"/>
    <w:rsid w:val="00D42632"/>
    <w:rsid w:val="00D429E6"/>
    <w:rsid w:val="00D42BD7"/>
    <w:rsid w:val="00D43786"/>
    <w:rsid w:val="00D437D8"/>
    <w:rsid w:val="00D43977"/>
    <w:rsid w:val="00D43E48"/>
    <w:rsid w:val="00D43E9D"/>
    <w:rsid w:val="00D43F8A"/>
    <w:rsid w:val="00D44013"/>
    <w:rsid w:val="00D442B5"/>
    <w:rsid w:val="00D4446E"/>
    <w:rsid w:val="00D445FF"/>
    <w:rsid w:val="00D44EC2"/>
    <w:rsid w:val="00D44FAA"/>
    <w:rsid w:val="00D4506D"/>
    <w:rsid w:val="00D450D1"/>
    <w:rsid w:val="00D455BF"/>
    <w:rsid w:val="00D455CC"/>
    <w:rsid w:val="00D45FC3"/>
    <w:rsid w:val="00D46238"/>
    <w:rsid w:val="00D46374"/>
    <w:rsid w:val="00D467AF"/>
    <w:rsid w:val="00D46B37"/>
    <w:rsid w:val="00D46BC6"/>
    <w:rsid w:val="00D46F03"/>
    <w:rsid w:val="00D4700B"/>
    <w:rsid w:val="00D4705C"/>
    <w:rsid w:val="00D4709E"/>
    <w:rsid w:val="00D472E5"/>
    <w:rsid w:val="00D4762A"/>
    <w:rsid w:val="00D4778C"/>
    <w:rsid w:val="00D47918"/>
    <w:rsid w:val="00D47C53"/>
    <w:rsid w:val="00D47E46"/>
    <w:rsid w:val="00D47FF3"/>
    <w:rsid w:val="00D50249"/>
    <w:rsid w:val="00D5027D"/>
    <w:rsid w:val="00D50421"/>
    <w:rsid w:val="00D50470"/>
    <w:rsid w:val="00D5053E"/>
    <w:rsid w:val="00D50910"/>
    <w:rsid w:val="00D50AC2"/>
    <w:rsid w:val="00D51384"/>
    <w:rsid w:val="00D5156E"/>
    <w:rsid w:val="00D517E0"/>
    <w:rsid w:val="00D51847"/>
    <w:rsid w:val="00D5191E"/>
    <w:rsid w:val="00D5195C"/>
    <w:rsid w:val="00D51984"/>
    <w:rsid w:val="00D51F63"/>
    <w:rsid w:val="00D51F7E"/>
    <w:rsid w:val="00D51FAC"/>
    <w:rsid w:val="00D52035"/>
    <w:rsid w:val="00D5208A"/>
    <w:rsid w:val="00D520DE"/>
    <w:rsid w:val="00D52609"/>
    <w:rsid w:val="00D529D7"/>
    <w:rsid w:val="00D52B81"/>
    <w:rsid w:val="00D52FC5"/>
    <w:rsid w:val="00D53719"/>
    <w:rsid w:val="00D53AA2"/>
    <w:rsid w:val="00D53AF9"/>
    <w:rsid w:val="00D53E51"/>
    <w:rsid w:val="00D54014"/>
    <w:rsid w:val="00D5418C"/>
    <w:rsid w:val="00D54282"/>
    <w:rsid w:val="00D54560"/>
    <w:rsid w:val="00D54D56"/>
    <w:rsid w:val="00D54E2C"/>
    <w:rsid w:val="00D5549E"/>
    <w:rsid w:val="00D554A9"/>
    <w:rsid w:val="00D554F9"/>
    <w:rsid w:val="00D557D8"/>
    <w:rsid w:val="00D55A80"/>
    <w:rsid w:val="00D55D4C"/>
    <w:rsid w:val="00D55F35"/>
    <w:rsid w:val="00D5602A"/>
    <w:rsid w:val="00D56443"/>
    <w:rsid w:val="00D564ED"/>
    <w:rsid w:val="00D567F8"/>
    <w:rsid w:val="00D569DA"/>
    <w:rsid w:val="00D56AF7"/>
    <w:rsid w:val="00D56BE8"/>
    <w:rsid w:val="00D571FE"/>
    <w:rsid w:val="00D573AA"/>
    <w:rsid w:val="00D5748C"/>
    <w:rsid w:val="00D57551"/>
    <w:rsid w:val="00D57644"/>
    <w:rsid w:val="00D577A8"/>
    <w:rsid w:val="00D5792B"/>
    <w:rsid w:val="00D57AAD"/>
    <w:rsid w:val="00D57DE3"/>
    <w:rsid w:val="00D57F47"/>
    <w:rsid w:val="00D60098"/>
    <w:rsid w:val="00D607D1"/>
    <w:rsid w:val="00D609B3"/>
    <w:rsid w:val="00D609EF"/>
    <w:rsid w:val="00D60CBA"/>
    <w:rsid w:val="00D60CE6"/>
    <w:rsid w:val="00D60E03"/>
    <w:rsid w:val="00D60ED6"/>
    <w:rsid w:val="00D61270"/>
    <w:rsid w:val="00D61790"/>
    <w:rsid w:val="00D61A09"/>
    <w:rsid w:val="00D61E03"/>
    <w:rsid w:val="00D61ED6"/>
    <w:rsid w:val="00D6201E"/>
    <w:rsid w:val="00D6294D"/>
    <w:rsid w:val="00D62957"/>
    <w:rsid w:val="00D62E76"/>
    <w:rsid w:val="00D62F6E"/>
    <w:rsid w:val="00D63025"/>
    <w:rsid w:val="00D630B9"/>
    <w:rsid w:val="00D630EC"/>
    <w:rsid w:val="00D630F2"/>
    <w:rsid w:val="00D63180"/>
    <w:rsid w:val="00D63210"/>
    <w:rsid w:val="00D639C9"/>
    <w:rsid w:val="00D639CF"/>
    <w:rsid w:val="00D63A3E"/>
    <w:rsid w:val="00D63AB1"/>
    <w:rsid w:val="00D645AD"/>
    <w:rsid w:val="00D646DA"/>
    <w:rsid w:val="00D646EE"/>
    <w:rsid w:val="00D64827"/>
    <w:rsid w:val="00D64BE7"/>
    <w:rsid w:val="00D64DA6"/>
    <w:rsid w:val="00D64EE6"/>
    <w:rsid w:val="00D650F2"/>
    <w:rsid w:val="00D65213"/>
    <w:rsid w:val="00D65352"/>
    <w:rsid w:val="00D654D9"/>
    <w:rsid w:val="00D655AD"/>
    <w:rsid w:val="00D65701"/>
    <w:rsid w:val="00D65724"/>
    <w:rsid w:val="00D6572E"/>
    <w:rsid w:val="00D65820"/>
    <w:rsid w:val="00D65871"/>
    <w:rsid w:val="00D6599F"/>
    <w:rsid w:val="00D65D56"/>
    <w:rsid w:val="00D65FB0"/>
    <w:rsid w:val="00D6617E"/>
    <w:rsid w:val="00D661CD"/>
    <w:rsid w:val="00D66221"/>
    <w:rsid w:val="00D669AA"/>
    <w:rsid w:val="00D66DA6"/>
    <w:rsid w:val="00D66EF2"/>
    <w:rsid w:val="00D670FF"/>
    <w:rsid w:val="00D672DD"/>
    <w:rsid w:val="00D67448"/>
    <w:rsid w:val="00D67504"/>
    <w:rsid w:val="00D6793C"/>
    <w:rsid w:val="00D67C98"/>
    <w:rsid w:val="00D67D9C"/>
    <w:rsid w:val="00D67DC0"/>
    <w:rsid w:val="00D7011D"/>
    <w:rsid w:val="00D7033C"/>
    <w:rsid w:val="00D70422"/>
    <w:rsid w:val="00D70518"/>
    <w:rsid w:val="00D70B59"/>
    <w:rsid w:val="00D70BE7"/>
    <w:rsid w:val="00D70F02"/>
    <w:rsid w:val="00D71131"/>
    <w:rsid w:val="00D71448"/>
    <w:rsid w:val="00D7154F"/>
    <w:rsid w:val="00D716BA"/>
    <w:rsid w:val="00D71A00"/>
    <w:rsid w:val="00D71CB5"/>
    <w:rsid w:val="00D71DB2"/>
    <w:rsid w:val="00D71DEF"/>
    <w:rsid w:val="00D71F2B"/>
    <w:rsid w:val="00D72267"/>
    <w:rsid w:val="00D722EB"/>
    <w:rsid w:val="00D7290E"/>
    <w:rsid w:val="00D72989"/>
    <w:rsid w:val="00D72B4E"/>
    <w:rsid w:val="00D72EF8"/>
    <w:rsid w:val="00D73015"/>
    <w:rsid w:val="00D7336A"/>
    <w:rsid w:val="00D733D8"/>
    <w:rsid w:val="00D734EC"/>
    <w:rsid w:val="00D7350F"/>
    <w:rsid w:val="00D735AA"/>
    <w:rsid w:val="00D73778"/>
    <w:rsid w:val="00D73A7A"/>
    <w:rsid w:val="00D73AB6"/>
    <w:rsid w:val="00D73B48"/>
    <w:rsid w:val="00D73E25"/>
    <w:rsid w:val="00D741ED"/>
    <w:rsid w:val="00D7423B"/>
    <w:rsid w:val="00D743FA"/>
    <w:rsid w:val="00D74C0F"/>
    <w:rsid w:val="00D75252"/>
    <w:rsid w:val="00D754B0"/>
    <w:rsid w:val="00D7575D"/>
    <w:rsid w:val="00D75763"/>
    <w:rsid w:val="00D75964"/>
    <w:rsid w:val="00D7598F"/>
    <w:rsid w:val="00D75B21"/>
    <w:rsid w:val="00D75D38"/>
    <w:rsid w:val="00D760CF"/>
    <w:rsid w:val="00D76BF6"/>
    <w:rsid w:val="00D76C35"/>
    <w:rsid w:val="00D76CB5"/>
    <w:rsid w:val="00D76CDA"/>
    <w:rsid w:val="00D76F21"/>
    <w:rsid w:val="00D77094"/>
    <w:rsid w:val="00D771DE"/>
    <w:rsid w:val="00D7732A"/>
    <w:rsid w:val="00D775BE"/>
    <w:rsid w:val="00D776A0"/>
    <w:rsid w:val="00D77891"/>
    <w:rsid w:val="00D77993"/>
    <w:rsid w:val="00D77B9C"/>
    <w:rsid w:val="00D77CF8"/>
    <w:rsid w:val="00D80001"/>
    <w:rsid w:val="00D80137"/>
    <w:rsid w:val="00D8024E"/>
    <w:rsid w:val="00D8056B"/>
    <w:rsid w:val="00D809D7"/>
    <w:rsid w:val="00D80AB8"/>
    <w:rsid w:val="00D80DAF"/>
    <w:rsid w:val="00D80EEF"/>
    <w:rsid w:val="00D812AD"/>
    <w:rsid w:val="00D81399"/>
    <w:rsid w:val="00D81721"/>
    <w:rsid w:val="00D81A03"/>
    <w:rsid w:val="00D81B50"/>
    <w:rsid w:val="00D81C1B"/>
    <w:rsid w:val="00D81C4B"/>
    <w:rsid w:val="00D81D98"/>
    <w:rsid w:val="00D81DA3"/>
    <w:rsid w:val="00D81E49"/>
    <w:rsid w:val="00D81ED5"/>
    <w:rsid w:val="00D8203F"/>
    <w:rsid w:val="00D82214"/>
    <w:rsid w:val="00D827A6"/>
    <w:rsid w:val="00D82B7D"/>
    <w:rsid w:val="00D82EC4"/>
    <w:rsid w:val="00D82F70"/>
    <w:rsid w:val="00D82FC9"/>
    <w:rsid w:val="00D83297"/>
    <w:rsid w:val="00D8390B"/>
    <w:rsid w:val="00D83B9F"/>
    <w:rsid w:val="00D83BDE"/>
    <w:rsid w:val="00D83E97"/>
    <w:rsid w:val="00D83FAE"/>
    <w:rsid w:val="00D8407D"/>
    <w:rsid w:val="00D842FE"/>
    <w:rsid w:val="00D843BD"/>
    <w:rsid w:val="00D84706"/>
    <w:rsid w:val="00D84791"/>
    <w:rsid w:val="00D847CF"/>
    <w:rsid w:val="00D8499C"/>
    <w:rsid w:val="00D84C36"/>
    <w:rsid w:val="00D84EA3"/>
    <w:rsid w:val="00D851D4"/>
    <w:rsid w:val="00D856FE"/>
    <w:rsid w:val="00D85C93"/>
    <w:rsid w:val="00D85FC5"/>
    <w:rsid w:val="00D86145"/>
    <w:rsid w:val="00D861CC"/>
    <w:rsid w:val="00D8639C"/>
    <w:rsid w:val="00D8681E"/>
    <w:rsid w:val="00D86A2E"/>
    <w:rsid w:val="00D86D0B"/>
    <w:rsid w:val="00D86E82"/>
    <w:rsid w:val="00D87528"/>
    <w:rsid w:val="00D8781E"/>
    <w:rsid w:val="00D879D2"/>
    <w:rsid w:val="00D87C83"/>
    <w:rsid w:val="00D87E71"/>
    <w:rsid w:val="00D9007E"/>
    <w:rsid w:val="00D9017A"/>
    <w:rsid w:val="00D903B8"/>
    <w:rsid w:val="00D90493"/>
    <w:rsid w:val="00D904C4"/>
    <w:rsid w:val="00D90533"/>
    <w:rsid w:val="00D90571"/>
    <w:rsid w:val="00D907EB"/>
    <w:rsid w:val="00D90821"/>
    <w:rsid w:val="00D90F52"/>
    <w:rsid w:val="00D90FF0"/>
    <w:rsid w:val="00D91134"/>
    <w:rsid w:val="00D9130F"/>
    <w:rsid w:val="00D913A3"/>
    <w:rsid w:val="00D914BB"/>
    <w:rsid w:val="00D9155B"/>
    <w:rsid w:val="00D91565"/>
    <w:rsid w:val="00D917A3"/>
    <w:rsid w:val="00D926A6"/>
    <w:rsid w:val="00D92AA4"/>
    <w:rsid w:val="00D92ABB"/>
    <w:rsid w:val="00D92B28"/>
    <w:rsid w:val="00D93126"/>
    <w:rsid w:val="00D93677"/>
    <w:rsid w:val="00D93688"/>
    <w:rsid w:val="00D9398F"/>
    <w:rsid w:val="00D93E81"/>
    <w:rsid w:val="00D93F0F"/>
    <w:rsid w:val="00D93FF4"/>
    <w:rsid w:val="00D941B7"/>
    <w:rsid w:val="00D943A5"/>
    <w:rsid w:val="00D9481F"/>
    <w:rsid w:val="00D94C75"/>
    <w:rsid w:val="00D94D4E"/>
    <w:rsid w:val="00D94DDB"/>
    <w:rsid w:val="00D94ECA"/>
    <w:rsid w:val="00D950E3"/>
    <w:rsid w:val="00D9519F"/>
    <w:rsid w:val="00D95354"/>
    <w:rsid w:val="00D95379"/>
    <w:rsid w:val="00D95EEA"/>
    <w:rsid w:val="00D96120"/>
    <w:rsid w:val="00D9693E"/>
    <w:rsid w:val="00D969C7"/>
    <w:rsid w:val="00D96DD4"/>
    <w:rsid w:val="00D96EDA"/>
    <w:rsid w:val="00D96F01"/>
    <w:rsid w:val="00D97497"/>
    <w:rsid w:val="00D975F5"/>
    <w:rsid w:val="00D976DD"/>
    <w:rsid w:val="00D97AC0"/>
    <w:rsid w:val="00D97E35"/>
    <w:rsid w:val="00DA01B4"/>
    <w:rsid w:val="00DA041E"/>
    <w:rsid w:val="00DA0568"/>
    <w:rsid w:val="00DA07BE"/>
    <w:rsid w:val="00DA097C"/>
    <w:rsid w:val="00DA0D62"/>
    <w:rsid w:val="00DA109F"/>
    <w:rsid w:val="00DA2057"/>
    <w:rsid w:val="00DA20F8"/>
    <w:rsid w:val="00DA2227"/>
    <w:rsid w:val="00DA2237"/>
    <w:rsid w:val="00DA2257"/>
    <w:rsid w:val="00DA2B68"/>
    <w:rsid w:val="00DA2B83"/>
    <w:rsid w:val="00DA2C30"/>
    <w:rsid w:val="00DA3060"/>
    <w:rsid w:val="00DA334B"/>
    <w:rsid w:val="00DA36D7"/>
    <w:rsid w:val="00DA3A95"/>
    <w:rsid w:val="00DA3D54"/>
    <w:rsid w:val="00DA3D9E"/>
    <w:rsid w:val="00DA3F6C"/>
    <w:rsid w:val="00DA40E4"/>
    <w:rsid w:val="00DA4196"/>
    <w:rsid w:val="00DA439C"/>
    <w:rsid w:val="00DA4A43"/>
    <w:rsid w:val="00DA4A77"/>
    <w:rsid w:val="00DA4EA8"/>
    <w:rsid w:val="00DA50BE"/>
    <w:rsid w:val="00DA5160"/>
    <w:rsid w:val="00DA5319"/>
    <w:rsid w:val="00DA532F"/>
    <w:rsid w:val="00DA5567"/>
    <w:rsid w:val="00DA5759"/>
    <w:rsid w:val="00DA58DC"/>
    <w:rsid w:val="00DA58E2"/>
    <w:rsid w:val="00DA5A28"/>
    <w:rsid w:val="00DA5AC4"/>
    <w:rsid w:val="00DA5CBD"/>
    <w:rsid w:val="00DA5D2D"/>
    <w:rsid w:val="00DA5EBF"/>
    <w:rsid w:val="00DA6278"/>
    <w:rsid w:val="00DA62AB"/>
    <w:rsid w:val="00DA65B6"/>
    <w:rsid w:val="00DA6773"/>
    <w:rsid w:val="00DA69EF"/>
    <w:rsid w:val="00DA6F5F"/>
    <w:rsid w:val="00DA7226"/>
    <w:rsid w:val="00DA7505"/>
    <w:rsid w:val="00DA76B1"/>
    <w:rsid w:val="00DA76D5"/>
    <w:rsid w:val="00DA7B0D"/>
    <w:rsid w:val="00DA7C26"/>
    <w:rsid w:val="00DA7CFC"/>
    <w:rsid w:val="00DA7FC8"/>
    <w:rsid w:val="00DB0041"/>
    <w:rsid w:val="00DB007F"/>
    <w:rsid w:val="00DB0220"/>
    <w:rsid w:val="00DB03CC"/>
    <w:rsid w:val="00DB03CF"/>
    <w:rsid w:val="00DB047B"/>
    <w:rsid w:val="00DB05A2"/>
    <w:rsid w:val="00DB05DB"/>
    <w:rsid w:val="00DB0828"/>
    <w:rsid w:val="00DB08E9"/>
    <w:rsid w:val="00DB0BF6"/>
    <w:rsid w:val="00DB0C2B"/>
    <w:rsid w:val="00DB102C"/>
    <w:rsid w:val="00DB11B3"/>
    <w:rsid w:val="00DB11D2"/>
    <w:rsid w:val="00DB1238"/>
    <w:rsid w:val="00DB12CC"/>
    <w:rsid w:val="00DB13B2"/>
    <w:rsid w:val="00DB1EAA"/>
    <w:rsid w:val="00DB1F4C"/>
    <w:rsid w:val="00DB2555"/>
    <w:rsid w:val="00DB25E4"/>
    <w:rsid w:val="00DB2851"/>
    <w:rsid w:val="00DB2BF4"/>
    <w:rsid w:val="00DB2C44"/>
    <w:rsid w:val="00DB2D36"/>
    <w:rsid w:val="00DB322A"/>
    <w:rsid w:val="00DB3240"/>
    <w:rsid w:val="00DB3494"/>
    <w:rsid w:val="00DB3582"/>
    <w:rsid w:val="00DB3AAF"/>
    <w:rsid w:val="00DB3CE3"/>
    <w:rsid w:val="00DB42E9"/>
    <w:rsid w:val="00DB48D8"/>
    <w:rsid w:val="00DB4CBD"/>
    <w:rsid w:val="00DB4D22"/>
    <w:rsid w:val="00DB4DED"/>
    <w:rsid w:val="00DB4F79"/>
    <w:rsid w:val="00DB5306"/>
    <w:rsid w:val="00DB589C"/>
    <w:rsid w:val="00DB5C95"/>
    <w:rsid w:val="00DB5D42"/>
    <w:rsid w:val="00DB5FE9"/>
    <w:rsid w:val="00DB6098"/>
    <w:rsid w:val="00DB62CC"/>
    <w:rsid w:val="00DB66A7"/>
    <w:rsid w:val="00DB66F0"/>
    <w:rsid w:val="00DB6716"/>
    <w:rsid w:val="00DB6C4F"/>
    <w:rsid w:val="00DB6E43"/>
    <w:rsid w:val="00DB6EC8"/>
    <w:rsid w:val="00DB6EE8"/>
    <w:rsid w:val="00DB6F05"/>
    <w:rsid w:val="00DB6F86"/>
    <w:rsid w:val="00DB7071"/>
    <w:rsid w:val="00DB70F1"/>
    <w:rsid w:val="00DB74FA"/>
    <w:rsid w:val="00DB7841"/>
    <w:rsid w:val="00DB78C3"/>
    <w:rsid w:val="00DB79EF"/>
    <w:rsid w:val="00DB7B8F"/>
    <w:rsid w:val="00DB7CC4"/>
    <w:rsid w:val="00DB7E65"/>
    <w:rsid w:val="00DB7FC4"/>
    <w:rsid w:val="00DB7FC9"/>
    <w:rsid w:val="00DC029C"/>
    <w:rsid w:val="00DC0518"/>
    <w:rsid w:val="00DC055B"/>
    <w:rsid w:val="00DC0689"/>
    <w:rsid w:val="00DC0732"/>
    <w:rsid w:val="00DC076E"/>
    <w:rsid w:val="00DC079E"/>
    <w:rsid w:val="00DC0939"/>
    <w:rsid w:val="00DC0BDF"/>
    <w:rsid w:val="00DC0EFA"/>
    <w:rsid w:val="00DC1104"/>
    <w:rsid w:val="00DC1603"/>
    <w:rsid w:val="00DC1667"/>
    <w:rsid w:val="00DC17D3"/>
    <w:rsid w:val="00DC1907"/>
    <w:rsid w:val="00DC1AD7"/>
    <w:rsid w:val="00DC1C37"/>
    <w:rsid w:val="00DC1D44"/>
    <w:rsid w:val="00DC1F77"/>
    <w:rsid w:val="00DC2125"/>
    <w:rsid w:val="00DC220A"/>
    <w:rsid w:val="00DC254D"/>
    <w:rsid w:val="00DC275B"/>
    <w:rsid w:val="00DC284A"/>
    <w:rsid w:val="00DC29F5"/>
    <w:rsid w:val="00DC2AF8"/>
    <w:rsid w:val="00DC2B3C"/>
    <w:rsid w:val="00DC2BDA"/>
    <w:rsid w:val="00DC2D7F"/>
    <w:rsid w:val="00DC2E49"/>
    <w:rsid w:val="00DC2E86"/>
    <w:rsid w:val="00DC2FE0"/>
    <w:rsid w:val="00DC328B"/>
    <w:rsid w:val="00DC3613"/>
    <w:rsid w:val="00DC37F4"/>
    <w:rsid w:val="00DC3924"/>
    <w:rsid w:val="00DC3932"/>
    <w:rsid w:val="00DC395D"/>
    <w:rsid w:val="00DC39FE"/>
    <w:rsid w:val="00DC3C73"/>
    <w:rsid w:val="00DC3F14"/>
    <w:rsid w:val="00DC4081"/>
    <w:rsid w:val="00DC4145"/>
    <w:rsid w:val="00DC43B3"/>
    <w:rsid w:val="00DC4A16"/>
    <w:rsid w:val="00DC4B15"/>
    <w:rsid w:val="00DC4D9A"/>
    <w:rsid w:val="00DC4DB6"/>
    <w:rsid w:val="00DC4E80"/>
    <w:rsid w:val="00DC4F01"/>
    <w:rsid w:val="00DC509F"/>
    <w:rsid w:val="00DC5103"/>
    <w:rsid w:val="00DC5A68"/>
    <w:rsid w:val="00DC5B49"/>
    <w:rsid w:val="00DC5E17"/>
    <w:rsid w:val="00DC5EF9"/>
    <w:rsid w:val="00DC5F1C"/>
    <w:rsid w:val="00DC614F"/>
    <w:rsid w:val="00DC6255"/>
    <w:rsid w:val="00DC6575"/>
    <w:rsid w:val="00DC666A"/>
    <w:rsid w:val="00DC6953"/>
    <w:rsid w:val="00DC6BAC"/>
    <w:rsid w:val="00DC6FA3"/>
    <w:rsid w:val="00DC7126"/>
    <w:rsid w:val="00DC7169"/>
    <w:rsid w:val="00DC71F9"/>
    <w:rsid w:val="00DC75B5"/>
    <w:rsid w:val="00DC7659"/>
    <w:rsid w:val="00DC76B9"/>
    <w:rsid w:val="00DC79D4"/>
    <w:rsid w:val="00DC7B97"/>
    <w:rsid w:val="00DD00D4"/>
    <w:rsid w:val="00DD0174"/>
    <w:rsid w:val="00DD0534"/>
    <w:rsid w:val="00DD05A5"/>
    <w:rsid w:val="00DD0664"/>
    <w:rsid w:val="00DD06C7"/>
    <w:rsid w:val="00DD073D"/>
    <w:rsid w:val="00DD084A"/>
    <w:rsid w:val="00DD088D"/>
    <w:rsid w:val="00DD0919"/>
    <w:rsid w:val="00DD09F1"/>
    <w:rsid w:val="00DD0B98"/>
    <w:rsid w:val="00DD0C4A"/>
    <w:rsid w:val="00DD0E0E"/>
    <w:rsid w:val="00DD0FDA"/>
    <w:rsid w:val="00DD116B"/>
    <w:rsid w:val="00DD1B89"/>
    <w:rsid w:val="00DD1D74"/>
    <w:rsid w:val="00DD2560"/>
    <w:rsid w:val="00DD2C82"/>
    <w:rsid w:val="00DD2F34"/>
    <w:rsid w:val="00DD2FE5"/>
    <w:rsid w:val="00DD30CD"/>
    <w:rsid w:val="00DD31F8"/>
    <w:rsid w:val="00DD326F"/>
    <w:rsid w:val="00DD36FC"/>
    <w:rsid w:val="00DD3A9D"/>
    <w:rsid w:val="00DD3B47"/>
    <w:rsid w:val="00DD3C21"/>
    <w:rsid w:val="00DD3CDD"/>
    <w:rsid w:val="00DD3D95"/>
    <w:rsid w:val="00DD3EB8"/>
    <w:rsid w:val="00DD40B3"/>
    <w:rsid w:val="00DD415C"/>
    <w:rsid w:val="00DD4477"/>
    <w:rsid w:val="00DD4A9A"/>
    <w:rsid w:val="00DD4C91"/>
    <w:rsid w:val="00DD4F36"/>
    <w:rsid w:val="00DD51AB"/>
    <w:rsid w:val="00DD5225"/>
    <w:rsid w:val="00DD5236"/>
    <w:rsid w:val="00DD523E"/>
    <w:rsid w:val="00DD5506"/>
    <w:rsid w:val="00DD579C"/>
    <w:rsid w:val="00DD5877"/>
    <w:rsid w:val="00DD58ED"/>
    <w:rsid w:val="00DD5ADA"/>
    <w:rsid w:val="00DD5B09"/>
    <w:rsid w:val="00DD5B13"/>
    <w:rsid w:val="00DD5B21"/>
    <w:rsid w:val="00DD5B4A"/>
    <w:rsid w:val="00DD5BA6"/>
    <w:rsid w:val="00DD5C1A"/>
    <w:rsid w:val="00DD5FA5"/>
    <w:rsid w:val="00DD674C"/>
    <w:rsid w:val="00DD6BB2"/>
    <w:rsid w:val="00DD7058"/>
    <w:rsid w:val="00DD7074"/>
    <w:rsid w:val="00DD73FE"/>
    <w:rsid w:val="00DD778F"/>
    <w:rsid w:val="00DD7CD8"/>
    <w:rsid w:val="00DE00C3"/>
    <w:rsid w:val="00DE017F"/>
    <w:rsid w:val="00DE0540"/>
    <w:rsid w:val="00DE056E"/>
    <w:rsid w:val="00DE084C"/>
    <w:rsid w:val="00DE0981"/>
    <w:rsid w:val="00DE0ADB"/>
    <w:rsid w:val="00DE0B45"/>
    <w:rsid w:val="00DE0BC0"/>
    <w:rsid w:val="00DE0E3D"/>
    <w:rsid w:val="00DE1126"/>
    <w:rsid w:val="00DE12D5"/>
    <w:rsid w:val="00DE2468"/>
    <w:rsid w:val="00DE25A9"/>
    <w:rsid w:val="00DE2823"/>
    <w:rsid w:val="00DE2A3C"/>
    <w:rsid w:val="00DE2C65"/>
    <w:rsid w:val="00DE2DCC"/>
    <w:rsid w:val="00DE2F8A"/>
    <w:rsid w:val="00DE3354"/>
    <w:rsid w:val="00DE3701"/>
    <w:rsid w:val="00DE37CF"/>
    <w:rsid w:val="00DE3A6B"/>
    <w:rsid w:val="00DE3D6F"/>
    <w:rsid w:val="00DE3F2D"/>
    <w:rsid w:val="00DE41CE"/>
    <w:rsid w:val="00DE45C7"/>
    <w:rsid w:val="00DE4BC5"/>
    <w:rsid w:val="00DE4C25"/>
    <w:rsid w:val="00DE4C6C"/>
    <w:rsid w:val="00DE4E35"/>
    <w:rsid w:val="00DE4E6B"/>
    <w:rsid w:val="00DE4F30"/>
    <w:rsid w:val="00DE548F"/>
    <w:rsid w:val="00DE56D5"/>
    <w:rsid w:val="00DE5741"/>
    <w:rsid w:val="00DE57D9"/>
    <w:rsid w:val="00DE59CA"/>
    <w:rsid w:val="00DE5FC3"/>
    <w:rsid w:val="00DE6046"/>
    <w:rsid w:val="00DE6269"/>
    <w:rsid w:val="00DE6405"/>
    <w:rsid w:val="00DE6429"/>
    <w:rsid w:val="00DE6489"/>
    <w:rsid w:val="00DE6502"/>
    <w:rsid w:val="00DE6730"/>
    <w:rsid w:val="00DE69A4"/>
    <w:rsid w:val="00DE6A61"/>
    <w:rsid w:val="00DE6AE4"/>
    <w:rsid w:val="00DE6D38"/>
    <w:rsid w:val="00DE7045"/>
    <w:rsid w:val="00DE7255"/>
    <w:rsid w:val="00DE72AD"/>
    <w:rsid w:val="00DE73BA"/>
    <w:rsid w:val="00DE7614"/>
    <w:rsid w:val="00DE76E1"/>
    <w:rsid w:val="00DE76EE"/>
    <w:rsid w:val="00DE77C4"/>
    <w:rsid w:val="00DE78D1"/>
    <w:rsid w:val="00DE7BD2"/>
    <w:rsid w:val="00DE7C49"/>
    <w:rsid w:val="00DE7D91"/>
    <w:rsid w:val="00DE7DCF"/>
    <w:rsid w:val="00DE7FDC"/>
    <w:rsid w:val="00DF0F55"/>
    <w:rsid w:val="00DF1232"/>
    <w:rsid w:val="00DF13EC"/>
    <w:rsid w:val="00DF16B8"/>
    <w:rsid w:val="00DF1D88"/>
    <w:rsid w:val="00DF1ED1"/>
    <w:rsid w:val="00DF201E"/>
    <w:rsid w:val="00DF2164"/>
    <w:rsid w:val="00DF2269"/>
    <w:rsid w:val="00DF2698"/>
    <w:rsid w:val="00DF2791"/>
    <w:rsid w:val="00DF2A7E"/>
    <w:rsid w:val="00DF2B5B"/>
    <w:rsid w:val="00DF2E87"/>
    <w:rsid w:val="00DF3A02"/>
    <w:rsid w:val="00DF3B7B"/>
    <w:rsid w:val="00DF3BEC"/>
    <w:rsid w:val="00DF3D9B"/>
    <w:rsid w:val="00DF3F97"/>
    <w:rsid w:val="00DF4367"/>
    <w:rsid w:val="00DF43E3"/>
    <w:rsid w:val="00DF450F"/>
    <w:rsid w:val="00DF4BB9"/>
    <w:rsid w:val="00DF4D4B"/>
    <w:rsid w:val="00DF4D78"/>
    <w:rsid w:val="00DF500D"/>
    <w:rsid w:val="00DF5021"/>
    <w:rsid w:val="00DF5566"/>
    <w:rsid w:val="00DF55A5"/>
    <w:rsid w:val="00DF55ED"/>
    <w:rsid w:val="00DF5896"/>
    <w:rsid w:val="00DF59DA"/>
    <w:rsid w:val="00DF63FA"/>
    <w:rsid w:val="00DF6A8F"/>
    <w:rsid w:val="00DF6E01"/>
    <w:rsid w:val="00DF6E14"/>
    <w:rsid w:val="00DF702E"/>
    <w:rsid w:val="00DF72AC"/>
    <w:rsid w:val="00DF7525"/>
    <w:rsid w:val="00DF75D8"/>
    <w:rsid w:val="00DF7849"/>
    <w:rsid w:val="00DF7990"/>
    <w:rsid w:val="00DF7BF1"/>
    <w:rsid w:val="00DF7CBB"/>
    <w:rsid w:val="00DF7E2F"/>
    <w:rsid w:val="00E003C6"/>
    <w:rsid w:val="00E004E6"/>
    <w:rsid w:val="00E00A85"/>
    <w:rsid w:val="00E00D3D"/>
    <w:rsid w:val="00E00D67"/>
    <w:rsid w:val="00E011F3"/>
    <w:rsid w:val="00E0126F"/>
    <w:rsid w:val="00E015FE"/>
    <w:rsid w:val="00E01BEE"/>
    <w:rsid w:val="00E01DCB"/>
    <w:rsid w:val="00E02490"/>
    <w:rsid w:val="00E0276F"/>
    <w:rsid w:val="00E02807"/>
    <w:rsid w:val="00E028FE"/>
    <w:rsid w:val="00E02974"/>
    <w:rsid w:val="00E02CD0"/>
    <w:rsid w:val="00E02F70"/>
    <w:rsid w:val="00E034D7"/>
    <w:rsid w:val="00E03584"/>
    <w:rsid w:val="00E037AC"/>
    <w:rsid w:val="00E0380D"/>
    <w:rsid w:val="00E0397C"/>
    <w:rsid w:val="00E03D0D"/>
    <w:rsid w:val="00E03DC3"/>
    <w:rsid w:val="00E03DCD"/>
    <w:rsid w:val="00E04008"/>
    <w:rsid w:val="00E0407F"/>
    <w:rsid w:val="00E04209"/>
    <w:rsid w:val="00E04345"/>
    <w:rsid w:val="00E045C1"/>
    <w:rsid w:val="00E0470B"/>
    <w:rsid w:val="00E04C47"/>
    <w:rsid w:val="00E04D76"/>
    <w:rsid w:val="00E04EBD"/>
    <w:rsid w:val="00E04FAB"/>
    <w:rsid w:val="00E053CF"/>
    <w:rsid w:val="00E056DC"/>
    <w:rsid w:val="00E0579E"/>
    <w:rsid w:val="00E05B0D"/>
    <w:rsid w:val="00E05B80"/>
    <w:rsid w:val="00E05B9A"/>
    <w:rsid w:val="00E05BBB"/>
    <w:rsid w:val="00E05C84"/>
    <w:rsid w:val="00E05F7A"/>
    <w:rsid w:val="00E05FFA"/>
    <w:rsid w:val="00E06065"/>
    <w:rsid w:val="00E061FA"/>
    <w:rsid w:val="00E06841"/>
    <w:rsid w:val="00E06AA7"/>
    <w:rsid w:val="00E06D15"/>
    <w:rsid w:val="00E06F30"/>
    <w:rsid w:val="00E06F87"/>
    <w:rsid w:val="00E07120"/>
    <w:rsid w:val="00E074FB"/>
    <w:rsid w:val="00E075E0"/>
    <w:rsid w:val="00E07606"/>
    <w:rsid w:val="00E07A77"/>
    <w:rsid w:val="00E07AE7"/>
    <w:rsid w:val="00E07E31"/>
    <w:rsid w:val="00E07ECF"/>
    <w:rsid w:val="00E10027"/>
    <w:rsid w:val="00E102F5"/>
    <w:rsid w:val="00E105F8"/>
    <w:rsid w:val="00E107CB"/>
    <w:rsid w:val="00E107E0"/>
    <w:rsid w:val="00E10A53"/>
    <w:rsid w:val="00E10CCD"/>
    <w:rsid w:val="00E10F40"/>
    <w:rsid w:val="00E11534"/>
    <w:rsid w:val="00E115A4"/>
    <w:rsid w:val="00E115BB"/>
    <w:rsid w:val="00E1172E"/>
    <w:rsid w:val="00E117FD"/>
    <w:rsid w:val="00E11B9B"/>
    <w:rsid w:val="00E11C24"/>
    <w:rsid w:val="00E11C4C"/>
    <w:rsid w:val="00E11CA3"/>
    <w:rsid w:val="00E11DA1"/>
    <w:rsid w:val="00E11EF2"/>
    <w:rsid w:val="00E11F8F"/>
    <w:rsid w:val="00E12109"/>
    <w:rsid w:val="00E12182"/>
    <w:rsid w:val="00E1224B"/>
    <w:rsid w:val="00E12331"/>
    <w:rsid w:val="00E12998"/>
    <w:rsid w:val="00E12A20"/>
    <w:rsid w:val="00E12B79"/>
    <w:rsid w:val="00E12DE8"/>
    <w:rsid w:val="00E12E92"/>
    <w:rsid w:val="00E12F61"/>
    <w:rsid w:val="00E13055"/>
    <w:rsid w:val="00E130D7"/>
    <w:rsid w:val="00E13294"/>
    <w:rsid w:val="00E13456"/>
    <w:rsid w:val="00E1353F"/>
    <w:rsid w:val="00E13547"/>
    <w:rsid w:val="00E137C2"/>
    <w:rsid w:val="00E138E8"/>
    <w:rsid w:val="00E1396A"/>
    <w:rsid w:val="00E13C35"/>
    <w:rsid w:val="00E13C7A"/>
    <w:rsid w:val="00E14562"/>
    <w:rsid w:val="00E1460C"/>
    <w:rsid w:val="00E1462C"/>
    <w:rsid w:val="00E148C6"/>
    <w:rsid w:val="00E149DE"/>
    <w:rsid w:val="00E14A99"/>
    <w:rsid w:val="00E14B88"/>
    <w:rsid w:val="00E14BAD"/>
    <w:rsid w:val="00E14CAD"/>
    <w:rsid w:val="00E14EDF"/>
    <w:rsid w:val="00E14FE3"/>
    <w:rsid w:val="00E1517A"/>
    <w:rsid w:val="00E152CD"/>
    <w:rsid w:val="00E15489"/>
    <w:rsid w:val="00E154F3"/>
    <w:rsid w:val="00E15964"/>
    <w:rsid w:val="00E15B0B"/>
    <w:rsid w:val="00E15C2C"/>
    <w:rsid w:val="00E15E8D"/>
    <w:rsid w:val="00E160F1"/>
    <w:rsid w:val="00E16203"/>
    <w:rsid w:val="00E163B4"/>
    <w:rsid w:val="00E167C6"/>
    <w:rsid w:val="00E16B6F"/>
    <w:rsid w:val="00E16C2D"/>
    <w:rsid w:val="00E16FC2"/>
    <w:rsid w:val="00E17421"/>
    <w:rsid w:val="00E177CD"/>
    <w:rsid w:val="00E17899"/>
    <w:rsid w:val="00E17DF5"/>
    <w:rsid w:val="00E17FF3"/>
    <w:rsid w:val="00E200A4"/>
    <w:rsid w:val="00E200FA"/>
    <w:rsid w:val="00E2018C"/>
    <w:rsid w:val="00E20213"/>
    <w:rsid w:val="00E2036B"/>
    <w:rsid w:val="00E204A3"/>
    <w:rsid w:val="00E207F4"/>
    <w:rsid w:val="00E208D1"/>
    <w:rsid w:val="00E208E7"/>
    <w:rsid w:val="00E2099C"/>
    <w:rsid w:val="00E20A4C"/>
    <w:rsid w:val="00E20B1D"/>
    <w:rsid w:val="00E214DB"/>
    <w:rsid w:val="00E2152B"/>
    <w:rsid w:val="00E217F7"/>
    <w:rsid w:val="00E21889"/>
    <w:rsid w:val="00E21996"/>
    <w:rsid w:val="00E21AE5"/>
    <w:rsid w:val="00E220B7"/>
    <w:rsid w:val="00E22107"/>
    <w:rsid w:val="00E224E0"/>
    <w:rsid w:val="00E22701"/>
    <w:rsid w:val="00E22A83"/>
    <w:rsid w:val="00E231AF"/>
    <w:rsid w:val="00E23407"/>
    <w:rsid w:val="00E2347D"/>
    <w:rsid w:val="00E23692"/>
    <w:rsid w:val="00E237CE"/>
    <w:rsid w:val="00E23E74"/>
    <w:rsid w:val="00E23E90"/>
    <w:rsid w:val="00E24374"/>
    <w:rsid w:val="00E24491"/>
    <w:rsid w:val="00E245B5"/>
    <w:rsid w:val="00E248E5"/>
    <w:rsid w:val="00E249C6"/>
    <w:rsid w:val="00E249D4"/>
    <w:rsid w:val="00E24B22"/>
    <w:rsid w:val="00E24BD4"/>
    <w:rsid w:val="00E24CF9"/>
    <w:rsid w:val="00E24F6C"/>
    <w:rsid w:val="00E252C5"/>
    <w:rsid w:val="00E2558E"/>
    <w:rsid w:val="00E255AE"/>
    <w:rsid w:val="00E2570C"/>
    <w:rsid w:val="00E25B5C"/>
    <w:rsid w:val="00E25CCD"/>
    <w:rsid w:val="00E26297"/>
    <w:rsid w:val="00E262A6"/>
    <w:rsid w:val="00E263B3"/>
    <w:rsid w:val="00E26A44"/>
    <w:rsid w:val="00E26EDD"/>
    <w:rsid w:val="00E2744E"/>
    <w:rsid w:val="00E27799"/>
    <w:rsid w:val="00E27AF3"/>
    <w:rsid w:val="00E27DB6"/>
    <w:rsid w:val="00E27E6A"/>
    <w:rsid w:val="00E27FFD"/>
    <w:rsid w:val="00E2EDB4"/>
    <w:rsid w:val="00E301B5"/>
    <w:rsid w:val="00E3020B"/>
    <w:rsid w:val="00E3032E"/>
    <w:rsid w:val="00E30376"/>
    <w:rsid w:val="00E3050A"/>
    <w:rsid w:val="00E30590"/>
    <w:rsid w:val="00E3066F"/>
    <w:rsid w:val="00E30673"/>
    <w:rsid w:val="00E307E6"/>
    <w:rsid w:val="00E30ADF"/>
    <w:rsid w:val="00E3105F"/>
    <w:rsid w:val="00E31117"/>
    <w:rsid w:val="00E31246"/>
    <w:rsid w:val="00E3131B"/>
    <w:rsid w:val="00E31766"/>
    <w:rsid w:val="00E31904"/>
    <w:rsid w:val="00E31A72"/>
    <w:rsid w:val="00E331F8"/>
    <w:rsid w:val="00E335C7"/>
    <w:rsid w:val="00E33654"/>
    <w:rsid w:val="00E33D88"/>
    <w:rsid w:val="00E33F2E"/>
    <w:rsid w:val="00E34266"/>
    <w:rsid w:val="00E34345"/>
    <w:rsid w:val="00E34368"/>
    <w:rsid w:val="00E346A0"/>
    <w:rsid w:val="00E34970"/>
    <w:rsid w:val="00E34BB6"/>
    <w:rsid w:val="00E3515A"/>
    <w:rsid w:val="00E35193"/>
    <w:rsid w:val="00E353A9"/>
    <w:rsid w:val="00E354EC"/>
    <w:rsid w:val="00E355D3"/>
    <w:rsid w:val="00E3581F"/>
    <w:rsid w:val="00E361D0"/>
    <w:rsid w:val="00E367E5"/>
    <w:rsid w:val="00E369F5"/>
    <w:rsid w:val="00E36C12"/>
    <w:rsid w:val="00E37062"/>
    <w:rsid w:val="00E370DD"/>
    <w:rsid w:val="00E3713F"/>
    <w:rsid w:val="00E371A0"/>
    <w:rsid w:val="00E373B6"/>
    <w:rsid w:val="00E375C7"/>
    <w:rsid w:val="00E378EE"/>
    <w:rsid w:val="00E37979"/>
    <w:rsid w:val="00E3798D"/>
    <w:rsid w:val="00E37B26"/>
    <w:rsid w:val="00E37B3A"/>
    <w:rsid w:val="00E37C2A"/>
    <w:rsid w:val="00E37D87"/>
    <w:rsid w:val="00E37DC8"/>
    <w:rsid w:val="00E37E12"/>
    <w:rsid w:val="00E37EB8"/>
    <w:rsid w:val="00E4015C"/>
    <w:rsid w:val="00E401BC"/>
    <w:rsid w:val="00E409DE"/>
    <w:rsid w:val="00E4165F"/>
    <w:rsid w:val="00E416E6"/>
    <w:rsid w:val="00E416EE"/>
    <w:rsid w:val="00E41709"/>
    <w:rsid w:val="00E41B46"/>
    <w:rsid w:val="00E41B73"/>
    <w:rsid w:val="00E41CDE"/>
    <w:rsid w:val="00E41D6A"/>
    <w:rsid w:val="00E41DE3"/>
    <w:rsid w:val="00E41DFA"/>
    <w:rsid w:val="00E41EA8"/>
    <w:rsid w:val="00E41FBA"/>
    <w:rsid w:val="00E420F4"/>
    <w:rsid w:val="00E42347"/>
    <w:rsid w:val="00E42580"/>
    <w:rsid w:val="00E42E19"/>
    <w:rsid w:val="00E431A6"/>
    <w:rsid w:val="00E43301"/>
    <w:rsid w:val="00E4382B"/>
    <w:rsid w:val="00E439BC"/>
    <w:rsid w:val="00E43ED9"/>
    <w:rsid w:val="00E441C7"/>
    <w:rsid w:val="00E44203"/>
    <w:rsid w:val="00E442BE"/>
    <w:rsid w:val="00E442D3"/>
    <w:rsid w:val="00E4464C"/>
    <w:rsid w:val="00E44986"/>
    <w:rsid w:val="00E44A3E"/>
    <w:rsid w:val="00E44E5B"/>
    <w:rsid w:val="00E4518F"/>
    <w:rsid w:val="00E45447"/>
    <w:rsid w:val="00E45659"/>
    <w:rsid w:val="00E45744"/>
    <w:rsid w:val="00E45AA2"/>
    <w:rsid w:val="00E45C05"/>
    <w:rsid w:val="00E45C7F"/>
    <w:rsid w:val="00E46192"/>
    <w:rsid w:val="00E46276"/>
    <w:rsid w:val="00E46443"/>
    <w:rsid w:val="00E46490"/>
    <w:rsid w:val="00E46700"/>
    <w:rsid w:val="00E46774"/>
    <w:rsid w:val="00E469B3"/>
    <w:rsid w:val="00E46A9F"/>
    <w:rsid w:val="00E470F4"/>
    <w:rsid w:val="00E473CE"/>
    <w:rsid w:val="00E474C3"/>
    <w:rsid w:val="00E476B5"/>
    <w:rsid w:val="00E4772B"/>
    <w:rsid w:val="00E4779B"/>
    <w:rsid w:val="00E47917"/>
    <w:rsid w:val="00E47CC2"/>
    <w:rsid w:val="00E50027"/>
    <w:rsid w:val="00E5010A"/>
    <w:rsid w:val="00E50213"/>
    <w:rsid w:val="00E503E3"/>
    <w:rsid w:val="00E504EF"/>
    <w:rsid w:val="00E507BF"/>
    <w:rsid w:val="00E508A8"/>
    <w:rsid w:val="00E50A0A"/>
    <w:rsid w:val="00E50BDC"/>
    <w:rsid w:val="00E50E5D"/>
    <w:rsid w:val="00E51020"/>
    <w:rsid w:val="00E5118B"/>
    <w:rsid w:val="00E5138E"/>
    <w:rsid w:val="00E518B5"/>
    <w:rsid w:val="00E5192B"/>
    <w:rsid w:val="00E51D7C"/>
    <w:rsid w:val="00E52133"/>
    <w:rsid w:val="00E52151"/>
    <w:rsid w:val="00E52399"/>
    <w:rsid w:val="00E52417"/>
    <w:rsid w:val="00E5251A"/>
    <w:rsid w:val="00E5279D"/>
    <w:rsid w:val="00E52896"/>
    <w:rsid w:val="00E52B92"/>
    <w:rsid w:val="00E52EC2"/>
    <w:rsid w:val="00E52EEC"/>
    <w:rsid w:val="00E532FE"/>
    <w:rsid w:val="00E53717"/>
    <w:rsid w:val="00E53954"/>
    <w:rsid w:val="00E53BE4"/>
    <w:rsid w:val="00E53F65"/>
    <w:rsid w:val="00E5400F"/>
    <w:rsid w:val="00E54196"/>
    <w:rsid w:val="00E54B58"/>
    <w:rsid w:val="00E54BD2"/>
    <w:rsid w:val="00E54D18"/>
    <w:rsid w:val="00E54D94"/>
    <w:rsid w:val="00E54DC2"/>
    <w:rsid w:val="00E54DDC"/>
    <w:rsid w:val="00E54FC5"/>
    <w:rsid w:val="00E55347"/>
    <w:rsid w:val="00E556F2"/>
    <w:rsid w:val="00E5570C"/>
    <w:rsid w:val="00E5624F"/>
    <w:rsid w:val="00E5636A"/>
    <w:rsid w:val="00E564A3"/>
    <w:rsid w:val="00E567A9"/>
    <w:rsid w:val="00E5698F"/>
    <w:rsid w:val="00E56D5E"/>
    <w:rsid w:val="00E56DE5"/>
    <w:rsid w:val="00E56EA4"/>
    <w:rsid w:val="00E57316"/>
    <w:rsid w:val="00E57692"/>
    <w:rsid w:val="00E57699"/>
    <w:rsid w:val="00E57A5E"/>
    <w:rsid w:val="00E57BD6"/>
    <w:rsid w:val="00E57EBA"/>
    <w:rsid w:val="00E60116"/>
    <w:rsid w:val="00E6042C"/>
    <w:rsid w:val="00E604B8"/>
    <w:rsid w:val="00E60773"/>
    <w:rsid w:val="00E6095D"/>
    <w:rsid w:val="00E60A27"/>
    <w:rsid w:val="00E60AC1"/>
    <w:rsid w:val="00E60B74"/>
    <w:rsid w:val="00E60C1A"/>
    <w:rsid w:val="00E613B6"/>
    <w:rsid w:val="00E613E8"/>
    <w:rsid w:val="00E614BC"/>
    <w:rsid w:val="00E61579"/>
    <w:rsid w:val="00E6170A"/>
    <w:rsid w:val="00E61892"/>
    <w:rsid w:val="00E61926"/>
    <w:rsid w:val="00E61999"/>
    <w:rsid w:val="00E619A0"/>
    <w:rsid w:val="00E61ADB"/>
    <w:rsid w:val="00E61D01"/>
    <w:rsid w:val="00E61D67"/>
    <w:rsid w:val="00E6219C"/>
    <w:rsid w:val="00E625A1"/>
    <w:rsid w:val="00E625F3"/>
    <w:rsid w:val="00E6279A"/>
    <w:rsid w:val="00E627A8"/>
    <w:rsid w:val="00E62BE0"/>
    <w:rsid w:val="00E63043"/>
    <w:rsid w:val="00E6311C"/>
    <w:rsid w:val="00E631DB"/>
    <w:rsid w:val="00E63209"/>
    <w:rsid w:val="00E639A4"/>
    <w:rsid w:val="00E63BA6"/>
    <w:rsid w:val="00E63CDC"/>
    <w:rsid w:val="00E63F28"/>
    <w:rsid w:val="00E63F43"/>
    <w:rsid w:val="00E63FD8"/>
    <w:rsid w:val="00E64168"/>
    <w:rsid w:val="00E64211"/>
    <w:rsid w:val="00E6422C"/>
    <w:rsid w:val="00E64C63"/>
    <w:rsid w:val="00E64D13"/>
    <w:rsid w:val="00E64F98"/>
    <w:rsid w:val="00E6508A"/>
    <w:rsid w:val="00E65186"/>
    <w:rsid w:val="00E6552E"/>
    <w:rsid w:val="00E655FA"/>
    <w:rsid w:val="00E65939"/>
    <w:rsid w:val="00E65B0E"/>
    <w:rsid w:val="00E65E47"/>
    <w:rsid w:val="00E65F57"/>
    <w:rsid w:val="00E661FD"/>
    <w:rsid w:val="00E6625B"/>
    <w:rsid w:val="00E66391"/>
    <w:rsid w:val="00E66447"/>
    <w:rsid w:val="00E665DB"/>
    <w:rsid w:val="00E667E1"/>
    <w:rsid w:val="00E66966"/>
    <w:rsid w:val="00E66A9A"/>
    <w:rsid w:val="00E671E5"/>
    <w:rsid w:val="00E672DC"/>
    <w:rsid w:val="00E677AB"/>
    <w:rsid w:val="00E67A6E"/>
    <w:rsid w:val="00E67C8E"/>
    <w:rsid w:val="00E700AB"/>
    <w:rsid w:val="00E7013E"/>
    <w:rsid w:val="00E7038F"/>
    <w:rsid w:val="00E703AC"/>
    <w:rsid w:val="00E70587"/>
    <w:rsid w:val="00E706D4"/>
    <w:rsid w:val="00E7075D"/>
    <w:rsid w:val="00E708BF"/>
    <w:rsid w:val="00E70A17"/>
    <w:rsid w:val="00E70B58"/>
    <w:rsid w:val="00E70BE5"/>
    <w:rsid w:val="00E70D11"/>
    <w:rsid w:val="00E710F6"/>
    <w:rsid w:val="00E711AE"/>
    <w:rsid w:val="00E7130E"/>
    <w:rsid w:val="00E716D9"/>
    <w:rsid w:val="00E71700"/>
    <w:rsid w:val="00E71805"/>
    <w:rsid w:val="00E72B1B"/>
    <w:rsid w:val="00E72D4D"/>
    <w:rsid w:val="00E72D82"/>
    <w:rsid w:val="00E72E1E"/>
    <w:rsid w:val="00E72FEF"/>
    <w:rsid w:val="00E7348D"/>
    <w:rsid w:val="00E734E8"/>
    <w:rsid w:val="00E73BAC"/>
    <w:rsid w:val="00E73BE2"/>
    <w:rsid w:val="00E73C4B"/>
    <w:rsid w:val="00E73D76"/>
    <w:rsid w:val="00E7445A"/>
    <w:rsid w:val="00E74580"/>
    <w:rsid w:val="00E748EA"/>
    <w:rsid w:val="00E7543B"/>
    <w:rsid w:val="00E7584C"/>
    <w:rsid w:val="00E75866"/>
    <w:rsid w:val="00E758AC"/>
    <w:rsid w:val="00E75905"/>
    <w:rsid w:val="00E75953"/>
    <w:rsid w:val="00E75A4A"/>
    <w:rsid w:val="00E75A7A"/>
    <w:rsid w:val="00E75B90"/>
    <w:rsid w:val="00E75D52"/>
    <w:rsid w:val="00E75E84"/>
    <w:rsid w:val="00E75F83"/>
    <w:rsid w:val="00E76191"/>
    <w:rsid w:val="00E76940"/>
    <w:rsid w:val="00E769FB"/>
    <w:rsid w:val="00E76A69"/>
    <w:rsid w:val="00E77312"/>
    <w:rsid w:val="00E77372"/>
    <w:rsid w:val="00E800D4"/>
    <w:rsid w:val="00E80104"/>
    <w:rsid w:val="00E80165"/>
    <w:rsid w:val="00E80938"/>
    <w:rsid w:val="00E80EE8"/>
    <w:rsid w:val="00E81039"/>
    <w:rsid w:val="00E8118C"/>
    <w:rsid w:val="00E813A9"/>
    <w:rsid w:val="00E81483"/>
    <w:rsid w:val="00E818A2"/>
    <w:rsid w:val="00E819B4"/>
    <w:rsid w:val="00E81BB3"/>
    <w:rsid w:val="00E81D00"/>
    <w:rsid w:val="00E81E21"/>
    <w:rsid w:val="00E82445"/>
    <w:rsid w:val="00E827A5"/>
    <w:rsid w:val="00E82878"/>
    <w:rsid w:val="00E82FBA"/>
    <w:rsid w:val="00E82FE1"/>
    <w:rsid w:val="00E8315B"/>
    <w:rsid w:val="00E83DEE"/>
    <w:rsid w:val="00E8401E"/>
    <w:rsid w:val="00E8414D"/>
    <w:rsid w:val="00E8420F"/>
    <w:rsid w:val="00E84323"/>
    <w:rsid w:val="00E84393"/>
    <w:rsid w:val="00E845A2"/>
    <w:rsid w:val="00E845C4"/>
    <w:rsid w:val="00E84B11"/>
    <w:rsid w:val="00E84B2A"/>
    <w:rsid w:val="00E84B6A"/>
    <w:rsid w:val="00E84BA7"/>
    <w:rsid w:val="00E84BAF"/>
    <w:rsid w:val="00E84DD8"/>
    <w:rsid w:val="00E84ECF"/>
    <w:rsid w:val="00E84F7F"/>
    <w:rsid w:val="00E859BE"/>
    <w:rsid w:val="00E85A19"/>
    <w:rsid w:val="00E85A26"/>
    <w:rsid w:val="00E85CFC"/>
    <w:rsid w:val="00E85D89"/>
    <w:rsid w:val="00E85DF5"/>
    <w:rsid w:val="00E85FB8"/>
    <w:rsid w:val="00E862B3"/>
    <w:rsid w:val="00E8667E"/>
    <w:rsid w:val="00E866C8"/>
    <w:rsid w:val="00E86722"/>
    <w:rsid w:val="00E86A62"/>
    <w:rsid w:val="00E86BF7"/>
    <w:rsid w:val="00E86D7F"/>
    <w:rsid w:val="00E87184"/>
    <w:rsid w:val="00E872C1"/>
    <w:rsid w:val="00E87371"/>
    <w:rsid w:val="00E8777A"/>
    <w:rsid w:val="00E87967"/>
    <w:rsid w:val="00E87A4C"/>
    <w:rsid w:val="00E87C9F"/>
    <w:rsid w:val="00E87DC5"/>
    <w:rsid w:val="00E9018C"/>
    <w:rsid w:val="00E907D9"/>
    <w:rsid w:val="00E90ABF"/>
    <w:rsid w:val="00E90BAB"/>
    <w:rsid w:val="00E910EE"/>
    <w:rsid w:val="00E910F5"/>
    <w:rsid w:val="00E9167C"/>
    <w:rsid w:val="00E91722"/>
    <w:rsid w:val="00E9182D"/>
    <w:rsid w:val="00E918C2"/>
    <w:rsid w:val="00E91A6C"/>
    <w:rsid w:val="00E91A96"/>
    <w:rsid w:val="00E91AF0"/>
    <w:rsid w:val="00E91C0D"/>
    <w:rsid w:val="00E91DA8"/>
    <w:rsid w:val="00E91E7D"/>
    <w:rsid w:val="00E92214"/>
    <w:rsid w:val="00E92311"/>
    <w:rsid w:val="00E9242F"/>
    <w:rsid w:val="00E9244E"/>
    <w:rsid w:val="00E9257A"/>
    <w:rsid w:val="00E92756"/>
    <w:rsid w:val="00E92B8B"/>
    <w:rsid w:val="00E92C46"/>
    <w:rsid w:val="00E93234"/>
    <w:rsid w:val="00E933FE"/>
    <w:rsid w:val="00E9340E"/>
    <w:rsid w:val="00E937E2"/>
    <w:rsid w:val="00E93918"/>
    <w:rsid w:val="00E93C04"/>
    <w:rsid w:val="00E93C64"/>
    <w:rsid w:val="00E93E0A"/>
    <w:rsid w:val="00E93E72"/>
    <w:rsid w:val="00E9433D"/>
    <w:rsid w:val="00E944BA"/>
    <w:rsid w:val="00E94697"/>
    <w:rsid w:val="00E949CE"/>
    <w:rsid w:val="00E94A29"/>
    <w:rsid w:val="00E94B40"/>
    <w:rsid w:val="00E94B9E"/>
    <w:rsid w:val="00E94BB3"/>
    <w:rsid w:val="00E94D7A"/>
    <w:rsid w:val="00E951C1"/>
    <w:rsid w:val="00E954D4"/>
    <w:rsid w:val="00E9593C"/>
    <w:rsid w:val="00E95BFC"/>
    <w:rsid w:val="00E95CCA"/>
    <w:rsid w:val="00E95E5A"/>
    <w:rsid w:val="00E96129"/>
    <w:rsid w:val="00E96171"/>
    <w:rsid w:val="00E9637A"/>
    <w:rsid w:val="00E968CD"/>
    <w:rsid w:val="00E96FEE"/>
    <w:rsid w:val="00E97096"/>
    <w:rsid w:val="00E970C1"/>
    <w:rsid w:val="00E971BD"/>
    <w:rsid w:val="00E97427"/>
    <w:rsid w:val="00E97B6F"/>
    <w:rsid w:val="00E97CFC"/>
    <w:rsid w:val="00E97DC9"/>
    <w:rsid w:val="00E97E37"/>
    <w:rsid w:val="00EA0575"/>
    <w:rsid w:val="00EA05CD"/>
    <w:rsid w:val="00EA088B"/>
    <w:rsid w:val="00EA0C44"/>
    <w:rsid w:val="00EA0D42"/>
    <w:rsid w:val="00EA0F94"/>
    <w:rsid w:val="00EA1228"/>
    <w:rsid w:val="00EA17EC"/>
    <w:rsid w:val="00EA187A"/>
    <w:rsid w:val="00EA1EEB"/>
    <w:rsid w:val="00EA202F"/>
    <w:rsid w:val="00EA215F"/>
    <w:rsid w:val="00EA2572"/>
    <w:rsid w:val="00EA2578"/>
    <w:rsid w:val="00EA25A3"/>
    <w:rsid w:val="00EA2BAE"/>
    <w:rsid w:val="00EA2BEF"/>
    <w:rsid w:val="00EA2C3F"/>
    <w:rsid w:val="00EA2C99"/>
    <w:rsid w:val="00EA2D76"/>
    <w:rsid w:val="00EA2DBE"/>
    <w:rsid w:val="00EA2E34"/>
    <w:rsid w:val="00EA2F03"/>
    <w:rsid w:val="00EA2F7B"/>
    <w:rsid w:val="00EA3141"/>
    <w:rsid w:val="00EA3296"/>
    <w:rsid w:val="00EA3587"/>
    <w:rsid w:val="00EA39CD"/>
    <w:rsid w:val="00EA3BDD"/>
    <w:rsid w:val="00EA3D02"/>
    <w:rsid w:val="00EA3DA6"/>
    <w:rsid w:val="00EA4022"/>
    <w:rsid w:val="00EA42C8"/>
    <w:rsid w:val="00EA438E"/>
    <w:rsid w:val="00EA4A0E"/>
    <w:rsid w:val="00EA4BED"/>
    <w:rsid w:val="00EA4C03"/>
    <w:rsid w:val="00EA4DEB"/>
    <w:rsid w:val="00EA520B"/>
    <w:rsid w:val="00EA5268"/>
    <w:rsid w:val="00EA590F"/>
    <w:rsid w:val="00EA59EF"/>
    <w:rsid w:val="00EA60FC"/>
    <w:rsid w:val="00EA65D5"/>
    <w:rsid w:val="00EA66EC"/>
    <w:rsid w:val="00EA6862"/>
    <w:rsid w:val="00EA6943"/>
    <w:rsid w:val="00EA698A"/>
    <w:rsid w:val="00EA6F41"/>
    <w:rsid w:val="00EA70D5"/>
    <w:rsid w:val="00EA7569"/>
    <w:rsid w:val="00EA7A9E"/>
    <w:rsid w:val="00EA7AF6"/>
    <w:rsid w:val="00EA7B9C"/>
    <w:rsid w:val="00EA7C21"/>
    <w:rsid w:val="00EA7C53"/>
    <w:rsid w:val="00EA7F79"/>
    <w:rsid w:val="00EB01A8"/>
    <w:rsid w:val="00EB01E7"/>
    <w:rsid w:val="00EB04B3"/>
    <w:rsid w:val="00EB064E"/>
    <w:rsid w:val="00EB0798"/>
    <w:rsid w:val="00EB0942"/>
    <w:rsid w:val="00EB09E1"/>
    <w:rsid w:val="00EB0A89"/>
    <w:rsid w:val="00EB0B5E"/>
    <w:rsid w:val="00EB0BF3"/>
    <w:rsid w:val="00EB0D30"/>
    <w:rsid w:val="00EB0D55"/>
    <w:rsid w:val="00EB0ED8"/>
    <w:rsid w:val="00EB199E"/>
    <w:rsid w:val="00EB1AA2"/>
    <w:rsid w:val="00EB1C2F"/>
    <w:rsid w:val="00EB1CBB"/>
    <w:rsid w:val="00EB1D7F"/>
    <w:rsid w:val="00EB213C"/>
    <w:rsid w:val="00EB224E"/>
    <w:rsid w:val="00EB24AC"/>
    <w:rsid w:val="00EB25AE"/>
    <w:rsid w:val="00EB2773"/>
    <w:rsid w:val="00EB296F"/>
    <w:rsid w:val="00EB29FC"/>
    <w:rsid w:val="00EB2B00"/>
    <w:rsid w:val="00EB2D8E"/>
    <w:rsid w:val="00EB2EB5"/>
    <w:rsid w:val="00EB32C6"/>
    <w:rsid w:val="00EB333E"/>
    <w:rsid w:val="00EB34DE"/>
    <w:rsid w:val="00EB36C3"/>
    <w:rsid w:val="00EB3772"/>
    <w:rsid w:val="00EB3912"/>
    <w:rsid w:val="00EB3932"/>
    <w:rsid w:val="00EB3A6D"/>
    <w:rsid w:val="00EB3B17"/>
    <w:rsid w:val="00EB40A3"/>
    <w:rsid w:val="00EB41B3"/>
    <w:rsid w:val="00EB43BD"/>
    <w:rsid w:val="00EB48D3"/>
    <w:rsid w:val="00EB4A1A"/>
    <w:rsid w:val="00EB4C9E"/>
    <w:rsid w:val="00EB4FD9"/>
    <w:rsid w:val="00EB52FE"/>
    <w:rsid w:val="00EB5681"/>
    <w:rsid w:val="00EB5799"/>
    <w:rsid w:val="00EB5AC8"/>
    <w:rsid w:val="00EB5B5B"/>
    <w:rsid w:val="00EB5C41"/>
    <w:rsid w:val="00EB622D"/>
    <w:rsid w:val="00EB63D0"/>
    <w:rsid w:val="00EB6593"/>
    <w:rsid w:val="00EB65CC"/>
    <w:rsid w:val="00EB675D"/>
    <w:rsid w:val="00EB6874"/>
    <w:rsid w:val="00EB6881"/>
    <w:rsid w:val="00EB698F"/>
    <w:rsid w:val="00EB6A69"/>
    <w:rsid w:val="00EB6FC2"/>
    <w:rsid w:val="00EB7082"/>
    <w:rsid w:val="00EB75C9"/>
    <w:rsid w:val="00EB7796"/>
    <w:rsid w:val="00EB7823"/>
    <w:rsid w:val="00EB79B2"/>
    <w:rsid w:val="00EB7B96"/>
    <w:rsid w:val="00EB7CDD"/>
    <w:rsid w:val="00EC003E"/>
    <w:rsid w:val="00EC0150"/>
    <w:rsid w:val="00EC015D"/>
    <w:rsid w:val="00EC019A"/>
    <w:rsid w:val="00EC02A5"/>
    <w:rsid w:val="00EC02B2"/>
    <w:rsid w:val="00EC05CF"/>
    <w:rsid w:val="00EC05FC"/>
    <w:rsid w:val="00EC06ED"/>
    <w:rsid w:val="00EC06FC"/>
    <w:rsid w:val="00EC09A7"/>
    <w:rsid w:val="00EC09B3"/>
    <w:rsid w:val="00EC0B1D"/>
    <w:rsid w:val="00EC0E7F"/>
    <w:rsid w:val="00EC1139"/>
    <w:rsid w:val="00EC11FF"/>
    <w:rsid w:val="00EC1258"/>
    <w:rsid w:val="00EC12A4"/>
    <w:rsid w:val="00EC13EE"/>
    <w:rsid w:val="00EC143D"/>
    <w:rsid w:val="00EC1936"/>
    <w:rsid w:val="00EC1A27"/>
    <w:rsid w:val="00EC1BAA"/>
    <w:rsid w:val="00EC1D14"/>
    <w:rsid w:val="00EC1E07"/>
    <w:rsid w:val="00EC2584"/>
    <w:rsid w:val="00EC25F2"/>
    <w:rsid w:val="00EC289A"/>
    <w:rsid w:val="00EC2AB7"/>
    <w:rsid w:val="00EC2F42"/>
    <w:rsid w:val="00EC30F2"/>
    <w:rsid w:val="00EC3203"/>
    <w:rsid w:val="00EC3230"/>
    <w:rsid w:val="00EC324F"/>
    <w:rsid w:val="00EC34A3"/>
    <w:rsid w:val="00EC363A"/>
    <w:rsid w:val="00EC3764"/>
    <w:rsid w:val="00EC402B"/>
    <w:rsid w:val="00EC40FF"/>
    <w:rsid w:val="00EC43B8"/>
    <w:rsid w:val="00EC4430"/>
    <w:rsid w:val="00EC447A"/>
    <w:rsid w:val="00EC4529"/>
    <w:rsid w:val="00EC49D0"/>
    <w:rsid w:val="00EC4AFC"/>
    <w:rsid w:val="00EC4BD1"/>
    <w:rsid w:val="00EC4E75"/>
    <w:rsid w:val="00EC5022"/>
    <w:rsid w:val="00EC5551"/>
    <w:rsid w:val="00EC560F"/>
    <w:rsid w:val="00EC5767"/>
    <w:rsid w:val="00EC587A"/>
    <w:rsid w:val="00EC5906"/>
    <w:rsid w:val="00EC5981"/>
    <w:rsid w:val="00EC5B4B"/>
    <w:rsid w:val="00EC6058"/>
    <w:rsid w:val="00EC61CC"/>
    <w:rsid w:val="00EC6269"/>
    <w:rsid w:val="00EC67C3"/>
    <w:rsid w:val="00EC689C"/>
    <w:rsid w:val="00EC68F5"/>
    <w:rsid w:val="00EC7196"/>
    <w:rsid w:val="00EC72FF"/>
    <w:rsid w:val="00EC73C8"/>
    <w:rsid w:val="00EC76A6"/>
    <w:rsid w:val="00EC7A7D"/>
    <w:rsid w:val="00EC7AAB"/>
    <w:rsid w:val="00EC7B41"/>
    <w:rsid w:val="00ED003B"/>
    <w:rsid w:val="00ED00F3"/>
    <w:rsid w:val="00ED0166"/>
    <w:rsid w:val="00ED016E"/>
    <w:rsid w:val="00ED0191"/>
    <w:rsid w:val="00ED0353"/>
    <w:rsid w:val="00ED03E3"/>
    <w:rsid w:val="00ED0A8F"/>
    <w:rsid w:val="00ED0AB6"/>
    <w:rsid w:val="00ED0C84"/>
    <w:rsid w:val="00ED0CD6"/>
    <w:rsid w:val="00ED0E72"/>
    <w:rsid w:val="00ED0F1C"/>
    <w:rsid w:val="00ED1450"/>
    <w:rsid w:val="00ED1568"/>
    <w:rsid w:val="00ED157C"/>
    <w:rsid w:val="00ED15E8"/>
    <w:rsid w:val="00ED16D2"/>
    <w:rsid w:val="00ED176A"/>
    <w:rsid w:val="00ED1A54"/>
    <w:rsid w:val="00ED1ACE"/>
    <w:rsid w:val="00ED1E86"/>
    <w:rsid w:val="00ED2078"/>
    <w:rsid w:val="00ED22EC"/>
    <w:rsid w:val="00ED23F1"/>
    <w:rsid w:val="00ED2513"/>
    <w:rsid w:val="00ED2635"/>
    <w:rsid w:val="00ED27D8"/>
    <w:rsid w:val="00ED2A8E"/>
    <w:rsid w:val="00ED2B45"/>
    <w:rsid w:val="00ED3058"/>
    <w:rsid w:val="00ED321D"/>
    <w:rsid w:val="00ED3485"/>
    <w:rsid w:val="00ED3B03"/>
    <w:rsid w:val="00ED3D5A"/>
    <w:rsid w:val="00ED3F17"/>
    <w:rsid w:val="00ED3F96"/>
    <w:rsid w:val="00ED4B5E"/>
    <w:rsid w:val="00ED4BFB"/>
    <w:rsid w:val="00ED4D9F"/>
    <w:rsid w:val="00ED4E8C"/>
    <w:rsid w:val="00ED51B9"/>
    <w:rsid w:val="00ED525C"/>
    <w:rsid w:val="00ED54E2"/>
    <w:rsid w:val="00ED56C1"/>
    <w:rsid w:val="00ED589F"/>
    <w:rsid w:val="00ED58F3"/>
    <w:rsid w:val="00ED5A7A"/>
    <w:rsid w:val="00ED5B11"/>
    <w:rsid w:val="00ED5B3A"/>
    <w:rsid w:val="00ED6341"/>
    <w:rsid w:val="00ED6625"/>
    <w:rsid w:val="00ED665E"/>
    <w:rsid w:val="00ED680F"/>
    <w:rsid w:val="00ED7014"/>
    <w:rsid w:val="00ED7158"/>
    <w:rsid w:val="00ED729F"/>
    <w:rsid w:val="00ED7318"/>
    <w:rsid w:val="00ED739C"/>
    <w:rsid w:val="00ED7438"/>
    <w:rsid w:val="00ED7879"/>
    <w:rsid w:val="00ED7ACA"/>
    <w:rsid w:val="00ED7BE4"/>
    <w:rsid w:val="00ED7C8C"/>
    <w:rsid w:val="00ED7CAB"/>
    <w:rsid w:val="00EE0486"/>
    <w:rsid w:val="00EE08BD"/>
    <w:rsid w:val="00EE0D39"/>
    <w:rsid w:val="00EE0EBB"/>
    <w:rsid w:val="00EE0F3F"/>
    <w:rsid w:val="00EE105C"/>
    <w:rsid w:val="00EE1457"/>
    <w:rsid w:val="00EE209E"/>
    <w:rsid w:val="00EE2231"/>
    <w:rsid w:val="00EE2344"/>
    <w:rsid w:val="00EE2501"/>
    <w:rsid w:val="00EE2505"/>
    <w:rsid w:val="00EE2735"/>
    <w:rsid w:val="00EE285B"/>
    <w:rsid w:val="00EE2C97"/>
    <w:rsid w:val="00EE2DFF"/>
    <w:rsid w:val="00EE3034"/>
    <w:rsid w:val="00EE30CE"/>
    <w:rsid w:val="00EE3255"/>
    <w:rsid w:val="00EE344F"/>
    <w:rsid w:val="00EE3765"/>
    <w:rsid w:val="00EE3871"/>
    <w:rsid w:val="00EE3A68"/>
    <w:rsid w:val="00EE3DAD"/>
    <w:rsid w:val="00EE40B2"/>
    <w:rsid w:val="00EE457F"/>
    <w:rsid w:val="00EE46D3"/>
    <w:rsid w:val="00EE484D"/>
    <w:rsid w:val="00EE495C"/>
    <w:rsid w:val="00EE4A5B"/>
    <w:rsid w:val="00EE4C4D"/>
    <w:rsid w:val="00EE4F15"/>
    <w:rsid w:val="00EE4F52"/>
    <w:rsid w:val="00EE5002"/>
    <w:rsid w:val="00EE50A7"/>
    <w:rsid w:val="00EE5111"/>
    <w:rsid w:val="00EE5633"/>
    <w:rsid w:val="00EE58A1"/>
    <w:rsid w:val="00EE5BF1"/>
    <w:rsid w:val="00EE5C52"/>
    <w:rsid w:val="00EE5EF5"/>
    <w:rsid w:val="00EE6038"/>
    <w:rsid w:val="00EE630F"/>
    <w:rsid w:val="00EE63FA"/>
    <w:rsid w:val="00EE6898"/>
    <w:rsid w:val="00EE6D19"/>
    <w:rsid w:val="00EE6E83"/>
    <w:rsid w:val="00EE7179"/>
    <w:rsid w:val="00EE7284"/>
    <w:rsid w:val="00EE7C81"/>
    <w:rsid w:val="00EE7D36"/>
    <w:rsid w:val="00EE7EA4"/>
    <w:rsid w:val="00EF0006"/>
    <w:rsid w:val="00EF03AC"/>
    <w:rsid w:val="00EF0A3D"/>
    <w:rsid w:val="00EF0A6B"/>
    <w:rsid w:val="00EF0B15"/>
    <w:rsid w:val="00EF0CB5"/>
    <w:rsid w:val="00EF0F2A"/>
    <w:rsid w:val="00EF136F"/>
    <w:rsid w:val="00EF1B1E"/>
    <w:rsid w:val="00EF1BC3"/>
    <w:rsid w:val="00EF1DF1"/>
    <w:rsid w:val="00EF1EA0"/>
    <w:rsid w:val="00EF1EF5"/>
    <w:rsid w:val="00EF1F3C"/>
    <w:rsid w:val="00EF1FC2"/>
    <w:rsid w:val="00EF24B2"/>
    <w:rsid w:val="00EF2534"/>
    <w:rsid w:val="00EF2D1F"/>
    <w:rsid w:val="00EF2E94"/>
    <w:rsid w:val="00EF335E"/>
    <w:rsid w:val="00EF35B3"/>
    <w:rsid w:val="00EF393B"/>
    <w:rsid w:val="00EF3986"/>
    <w:rsid w:val="00EF3AA3"/>
    <w:rsid w:val="00EF3DE8"/>
    <w:rsid w:val="00EF4056"/>
    <w:rsid w:val="00EF41CE"/>
    <w:rsid w:val="00EF4447"/>
    <w:rsid w:val="00EF4580"/>
    <w:rsid w:val="00EF4DAE"/>
    <w:rsid w:val="00EF4DBD"/>
    <w:rsid w:val="00EF4E37"/>
    <w:rsid w:val="00EF4E6E"/>
    <w:rsid w:val="00EF4F9E"/>
    <w:rsid w:val="00EF5041"/>
    <w:rsid w:val="00EF51E5"/>
    <w:rsid w:val="00EF5293"/>
    <w:rsid w:val="00EF53A4"/>
    <w:rsid w:val="00EF53CE"/>
    <w:rsid w:val="00EF5433"/>
    <w:rsid w:val="00EF54E6"/>
    <w:rsid w:val="00EF5970"/>
    <w:rsid w:val="00EF5D08"/>
    <w:rsid w:val="00EF6045"/>
    <w:rsid w:val="00EF610B"/>
    <w:rsid w:val="00EF616E"/>
    <w:rsid w:val="00EF6554"/>
    <w:rsid w:val="00EF6900"/>
    <w:rsid w:val="00EF6E66"/>
    <w:rsid w:val="00EF6EE8"/>
    <w:rsid w:val="00EF6FAA"/>
    <w:rsid w:val="00EF7063"/>
    <w:rsid w:val="00EF75A7"/>
    <w:rsid w:val="00EF76EE"/>
    <w:rsid w:val="00EF7882"/>
    <w:rsid w:val="00EF7921"/>
    <w:rsid w:val="00EF7BBB"/>
    <w:rsid w:val="00EF7EFE"/>
    <w:rsid w:val="00F00042"/>
    <w:rsid w:val="00F006BC"/>
    <w:rsid w:val="00F009B1"/>
    <w:rsid w:val="00F00CB6"/>
    <w:rsid w:val="00F00F1A"/>
    <w:rsid w:val="00F014D8"/>
    <w:rsid w:val="00F01872"/>
    <w:rsid w:val="00F01916"/>
    <w:rsid w:val="00F01955"/>
    <w:rsid w:val="00F01A00"/>
    <w:rsid w:val="00F0207F"/>
    <w:rsid w:val="00F022DB"/>
    <w:rsid w:val="00F02350"/>
    <w:rsid w:val="00F023C9"/>
    <w:rsid w:val="00F0241D"/>
    <w:rsid w:val="00F02421"/>
    <w:rsid w:val="00F026A7"/>
    <w:rsid w:val="00F0299E"/>
    <w:rsid w:val="00F029A2"/>
    <w:rsid w:val="00F02BC8"/>
    <w:rsid w:val="00F02C36"/>
    <w:rsid w:val="00F02C6D"/>
    <w:rsid w:val="00F02D98"/>
    <w:rsid w:val="00F02E69"/>
    <w:rsid w:val="00F03368"/>
    <w:rsid w:val="00F035B3"/>
    <w:rsid w:val="00F03787"/>
    <w:rsid w:val="00F03D8A"/>
    <w:rsid w:val="00F043F9"/>
    <w:rsid w:val="00F04414"/>
    <w:rsid w:val="00F0441E"/>
    <w:rsid w:val="00F0468C"/>
    <w:rsid w:val="00F0495B"/>
    <w:rsid w:val="00F049DF"/>
    <w:rsid w:val="00F04A96"/>
    <w:rsid w:val="00F04CF9"/>
    <w:rsid w:val="00F04E5F"/>
    <w:rsid w:val="00F04E6A"/>
    <w:rsid w:val="00F04F3F"/>
    <w:rsid w:val="00F053EA"/>
    <w:rsid w:val="00F054E2"/>
    <w:rsid w:val="00F056BC"/>
    <w:rsid w:val="00F05824"/>
    <w:rsid w:val="00F05980"/>
    <w:rsid w:val="00F05BB3"/>
    <w:rsid w:val="00F064A8"/>
    <w:rsid w:val="00F06A40"/>
    <w:rsid w:val="00F06C4C"/>
    <w:rsid w:val="00F06DF8"/>
    <w:rsid w:val="00F072A5"/>
    <w:rsid w:val="00F073C6"/>
    <w:rsid w:val="00F075E9"/>
    <w:rsid w:val="00F07645"/>
    <w:rsid w:val="00F07962"/>
    <w:rsid w:val="00F07A0A"/>
    <w:rsid w:val="00F07EA7"/>
    <w:rsid w:val="00F1007C"/>
    <w:rsid w:val="00F105C9"/>
    <w:rsid w:val="00F105F2"/>
    <w:rsid w:val="00F10E87"/>
    <w:rsid w:val="00F10FBA"/>
    <w:rsid w:val="00F11132"/>
    <w:rsid w:val="00F11208"/>
    <w:rsid w:val="00F11C8A"/>
    <w:rsid w:val="00F120A9"/>
    <w:rsid w:val="00F1243A"/>
    <w:rsid w:val="00F12501"/>
    <w:rsid w:val="00F1263A"/>
    <w:rsid w:val="00F12A7A"/>
    <w:rsid w:val="00F1318C"/>
    <w:rsid w:val="00F1334D"/>
    <w:rsid w:val="00F133E5"/>
    <w:rsid w:val="00F134F0"/>
    <w:rsid w:val="00F135F2"/>
    <w:rsid w:val="00F135FC"/>
    <w:rsid w:val="00F1371E"/>
    <w:rsid w:val="00F13A14"/>
    <w:rsid w:val="00F13BE9"/>
    <w:rsid w:val="00F13C3D"/>
    <w:rsid w:val="00F14378"/>
    <w:rsid w:val="00F143B3"/>
    <w:rsid w:val="00F143E8"/>
    <w:rsid w:val="00F147C0"/>
    <w:rsid w:val="00F14BC3"/>
    <w:rsid w:val="00F14BFD"/>
    <w:rsid w:val="00F14EBE"/>
    <w:rsid w:val="00F15026"/>
    <w:rsid w:val="00F151ED"/>
    <w:rsid w:val="00F15262"/>
    <w:rsid w:val="00F155EB"/>
    <w:rsid w:val="00F156E9"/>
    <w:rsid w:val="00F15817"/>
    <w:rsid w:val="00F159AE"/>
    <w:rsid w:val="00F15A29"/>
    <w:rsid w:val="00F15CA1"/>
    <w:rsid w:val="00F16053"/>
    <w:rsid w:val="00F160AA"/>
    <w:rsid w:val="00F162A2"/>
    <w:rsid w:val="00F1681F"/>
    <w:rsid w:val="00F168BC"/>
    <w:rsid w:val="00F16A31"/>
    <w:rsid w:val="00F16E35"/>
    <w:rsid w:val="00F16EE0"/>
    <w:rsid w:val="00F16F95"/>
    <w:rsid w:val="00F17053"/>
    <w:rsid w:val="00F171BD"/>
    <w:rsid w:val="00F17343"/>
    <w:rsid w:val="00F17491"/>
    <w:rsid w:val="00F174FD"/>
    <w:rsid w:val="00F175DD"/>
    <w:rsid w:val="00F179CF"/>
    <w:rsid w:val="00F17A5B"/>
    <w:rsid w:val="00F17B32"/>
    <w:rsid w:val="00F17B44"/>
    <w:rsid w:val="00F17BEB"/>
    <w:rsid w:val="00F17CDD"/>
    <w:rsid w:val="00F17DC6"/>
    <w:rsid w:val="00F17F44"/>
    <w:rsid w:val="00F17FA4"/>
    <w:rsid w:val="00F2004B"/>
    <w:rsid w:val="00F202F7"/>
    <w:rsid w:val="00F2059D"/>
    <w:rsid w:val="00F2067D"/>
    <w:rsid w:val="00F20A78"/>
    <w:rsid w:val="00F20CED"/>
    <w:rsid w:val="00F20E12"/>
    <w:rsid w:val="00F2111D"/>
    <w:rsid w:val="00F214EB"/>
    <w:rsid w:val="00F216D4"/>
    <w:rsid w:val="00F21948"/>
    <w:rsid w:val="00F21CB7"/>
    <w:rsid w:val="00F21EB4"/>
    <w:rsid w:val="00F22063"/>
    <w:rsid w:val="00F22415"/>
    <w:rsid w:val="00F2288A"/>
    <w:rsid w:val="00F2296E"/>
    <w:rsid w:val="00F22D52"/>
    <w:rsid w:val="00F22E7C"/>
    <w:rsid w:val="00F2316F"/>
    <w:rsid w:val="00F2398D"/>
    <w:rsid w:val="00F23B97"/>
    <w:rsid w:val="00F23EA4"/>
    <w:rsid w:val="00F24024"/>
    <w:rsid w:val="00F241F2"/>
    <w:rsid w:val="00F242B3"/>
    <w:rsid w:val="00F2434C"/>
    <w:rsid w:val="00F24A74"/>
    <w:rsid w:val="00F24E54"/>
    <w:rsid w:val="00F24EB0"/>
    <w:rsid w:val="00F24FC3"/>
    <w:rsid w:val="00F25013"/>
    <w:rsid w:val="00F2542C"/>
    <w:rsid w:val="00F25824"/>
    <w:rsid w:val="00F25A50"/>
    <w:rsid w:val="00F25C53"/>
    <w:rsid w:val="00F26048"/>
    <w:rsid w:val="00F26207"/>
    <w:rsid w:val="00F26693"/>
    <w:rsid w:val="00F26811"/>
    <w:rsid w:val="00F2684A"/>
    <w:rsid w:val="00F268C7"/>
    <w:rsid w:val="00F26BB5"/>
    <w:rsid w:val="00F26D25"/>
    <w:rsid w:val="00F26F79"/>
    <w:rsid w:val="00F26FE7"/>
    <w:rsid w:val="00F2739F"/>
    <w:rsid w:val="00F2763D"/>
    <w:rsid w:val="00F2798E"/>
    <w:rsid w:val="00F27D7C"/>
    <w:rsid w:val="00F27E7A"/>
    <w:rsid w:val="00F27ECE"/>
    <w:rsid w:val="00F27F34"/>
    <w:rsid w:val="00F27FBB"/>
    <w:rsid w:val="00F301BA"/>
    <w:rsid w:val="00F3048A"/>
    <w:rsid w:val="00F3072D"/>
    <w:rsid w:val="00F30BA9"/>
    <w:rsid w:val="00F30F99"/>
    <w:rsid w:val="00F3129F"/>
    <w:rsid w:val="00F31331"/>
    <w:rsid w:val="00F314E8"/>
    <w:rsid w:val="00F316D9"/>
    <w:rsid w:val="00F31EC9"/>
    <w:rsid w:val="00F3204F"/>
    <w:rsid w:val="00F320A7"/>
    <w:rsid w:val="00F323C6"/>
    <w:rsid w:val="00F325CB"/>
    <w:rsid w:val="00F325CF"/>
    <w:rsid w:val="00F327CA"/>
    <w:rsid w:val="00F328EE"/>
    <w:rsid w:val="00F329C0"/>
    <w:rsid w:val="00F32A76"/>
    <w:rsid w:val="00F32B76"/>
    <w:rsid w:val="00F32C81"/>
    <w:rsid w:val="00F32CCC"/>
    <w:rsid w:val="00F32F10"/>
    <w:rsid w:val="00F331E7"/>
    <w:rsid w:val="00F333F4"/>
    <w:rsid w:val="00F3347A"/>
    <w:rsid w:val="00F33CF6"/>
    <w:rsid w:val="00F33E15"/>
    <w:rsid w:val="00F34164"/>
    <w:rsid w:val="00F34309"/>
    <w:rsid w:val="00F344A4"/>
    <w:rsid w:val="00F344B4"/>
    <w:rsid w:val="00F3451D"/>
    <w:rsid w:val="00F345E9"/>
    <w:rsid w:val="00F34684"/>
    <w:rsid w:val="00F349FA"/>
    <w:rsid w:val="00F34C30"/>
    <w:rsid w:val="00F34F09"/>
    <w:rsid w:val="00F3517C"/>
    <w:rsid w:val="00F3555F"/>
    <w:rsid w:val="00F355A7"/>
    <w:rsid w:val="00F35A99"/>
    <w:rsid w:val="00F35ABC"/>
    <w:rsid w:val="00F35D7B"/>
    <w:rsid w:val="00F365F6"/>
    <w:rsid w:val="00F368B4"/>
    <w:rsid w:val="00F36B3F"/>
    <w:rsid w:val="00F36B4E"/>
    <w:rsid w:val="00F36CAC"/>
    <w:rsid w:val="00F36D17"/>
    <w:rsid w:val="00F3715D"/>
    <w:rsid w:val="00F372B9"/>
    <w:rsid w:val="00F3780B"/>
    <w:rsid w:val="00F37A63"/>
    <w:rsid w:val="00F37BA6"/>
    <w:rsid w:val="00F37D45"/>
    <w:rsid w:val="00F37DA9"/>
    <w:rsid w:val="00F37FD6"/>
    <w:rsid w:val="00F401D3"/>
    <w:rsid w:val="00F4032B"/>
    <w:rsid w:val="00F403CA"/>
    <w:rsid w:val="00F406FD"/>
    <w:rsid w:val="00F40AD7"/>
    <w:rsid w:val="00F40E13"/>
    <w:rsid w:val="00F41333"/>
    <w:rsid w:val="00F416EF"/>
    <w:rsid w:val="00F41A26"/>
    <w:rsid w:val="00F41D1F"/>
    <w:rsid w:val="00F41E1C"/>
    <w:rsid w:val="00F41FFE"/>
    <w:rsid w:val="00F42201"/>
    <w:rsid w:val="00F42328"/>
    <w:rsid w:val="00F42598"/>
    <w:rsid w:val="00F42BFB"/>
    <w:rsid w:val="00F42C5A"/>
    <w:rsid w:val="00F42DC5"/>
    <w:rsid w:val="00F43319"/>
    <w:rsid w:val="00F433D5"/>
    <w:rsid w:val="00F4385B"/>
    <w:rsid w:val="00F43AE3"/>
    <w:rsid w:val="00F43BAF"/>
    <w:rsid w:val="00F43EDE"/>
    <w:rsid w:val="00F44035"/>
    <w:rsid w:val="00F44391"/>
    <w:rsid w:val="00F4461A"/>
    <w:rsid w:val="00F449D4"/>
    <w:rsid w:val="00F44CA6"/>
    <w:rsid w:val="00F44E9A"/>
    <w:rsid w:val="00F451F2"/>
    <w:rsid w:val="00F453A2"/>
    <w:rsid w:val="00F45437"/>
    <w:rsid w:val="00F45570"/>
    <w:rsid w:val="00F455CD"/>
    <w:rsid w:val="00F4568E"/>
    <w:rsid w:val="00F456FF"/>
    <w:rsid w:val="00F45909"/>
    <w:rsid w:val="00F45B2F"/>
    <w:rsid w:val="00F45EC7"/>
    <w:rsid w:val="00F45FA4"/>
    <w:rsid w:val="00F46100"/>
    <w:rsid w:val="00F46170"/>
    <w:rsid w:val="00F464F1"/>
    <w:rsid w:val="00F46604"/>
    <w:rsid w:val="00F467EA"/>
    <w:rsid w:val="00F46851"/>
    <w:rsid w:val="00F4698D"/>
    <w:rsid w:val="00F46A93"/>
    <w:rsid w:val="00F46B7C"/>
    <w:rsid w:val="00F46BDA"/>
    <w:rsid w:val="00F47099"/>
    <w:rsid w:val="00F47545"/>
    <w:rsid w:val="00F475D0"/>
    <w:rsid w:val="00F477D0"/>
    <w:rsid w:val="00F47BC2"/>
    <w:rsid w:val="00F47BD6"/>
    <w:rsid w:val="00F47CC0"/>
    <w:rsid w:val="00F50023"/>
    <w:rsid w:val="00F500B3"/>
    <w:rsid w:val="00F501A0"/>
    <w:rsid w:val="00F50AF9"/>
    <w:rsid w:val="00F50D56"/>
    <w:rsid w:val="00F51000"/>
    <w:rsid w:val="00F5144D"/>
    <w:rsid w:val="00F51476"/>
    <w:rsid w:val="00F515E7"/>
    <w:rsid w:val="00F51653"/>
    <w:rsid w:val="00F51697"/>
    <w:rsid w:val="00F517E7"/>
    <w:rsid w:val="00F51A64"/>
    <w:rsid w:val="00F51C0C"/>
    <w:rsid w:val="00F52652"/>
    <w:rsid w:val="00F52752"/>
    <w:rsid w:val="00F527BD"/>
    <w:rsid w:val="00F5288C"/>
    <w:rsid w:val="00F5288E"/>
    <w:rsid w:val="00F529C8"/>
    <w:rsid w:val="00F52DBE"/>
    <w:rsid w:val="00F52DC3"/>
    <w:rsid w:val="00F531BF"/>
    <w:rsid w:val="00F5328B"/>
    <w:rsid w:val="00F534E4"/>
    <w:rsid w:val="00F53D45"/>
    <w:rsid w:val="00F53D61"/>
    <w:rsid w:val="00F540AD"/>
    <w:rsid w:val="00F54199"/>
    <w:rsid w:val="00F5425D"/>
    <w:rsid w:val="00F542CD"/>
    <w:rsid w:val="00F5479A"/>
    <w:rsid w:val="00F547AE"/>
    <w:rsid w:val="00F547F6"/>
    <w:rsid w:val="00F548F9"/>
    <w:rsid w:val="00F5497E"/>
    <w:rsid w:val="00F54C41"/>
    <w:rsid w:val="00F54FFA"/>
    <w:rsid w:val="00F55314"/>
    <w:rsid w:val="00F555D8"/>
    <w:rsid w:val="00F557A5"/>
    <w:rsid w:val="00F55A90"/>
    <w:rsid w:val="00F5615C"/>
    <w:rsid w:val="00F56610"/>
    <w:rsid w:val="00F566CC"/>
    <w:rsid w:val="00F5676C"/>
    <w:rsid w:val="00F567C2"/>
    <w:rsid w:val="00F56841"/>
    <w:rsid w:val="00F569C8"/>
    <w:rsid w:val="00F56AEA"/>
    <w:rsid w:val="00F56E4F"/>
    <w:rsid w:val="00F56E59"/>
    <w:rsid w:val="00F5743E"/>
    <w:rsid w:val="00F575BD"/>
    <w:rsid w:val="00F575ED"/>
    <w:rsid w:val="00F57BB0"/>
    <w:rsid w:val="00F57DDE"/>
    <w:rsid w:val="00F57FF8"/>
    <w:rsid w:val="00F60073"/>
    <w:rsid w:val="00F600BF"/>
    <w:rsid w:val="00F60376"/>
    <w:rsid w:val="00F6068B"/>
    <w:rsid w:val="00F60E15"/>
    <w:rsid w:val="00F60EA0"/>
    <w:rsid w:val="00F61024"/>
    <w:rsid w:val="00F613C0"/>
    <w:rsid w:val="00F61865"/>
    <w:rsid w:val="00F61B62"/>
    <w:rsid w:val="00F61DC1"/>
    <w:rsid w:val="00F61EB0"/>
    <w:rsid w:val="00F62378"/>
    <w:rsid w:val="00F62663"/>
    <w:rsid w:val="00F62797"/>
    <w:rsid w:val="00F62803"/>
    <w:rsid w:val="00F62D1C"/>
    <w:rsid w:val="00F62DE5"/>
    <w:rsid w:val="00F63173"/>
    <w:rsid w:val="00F633B8"/>
    <w:rsid w:val="00F633BF"/>
    <w:rsid w:val="00F63446"/>
    <w:rsid w:val="00F63666"/>
    <w:rsid w:val="00F636B8"/>
    <w:rsid w:val="00F6375E"/>
    <w:rsid w:val="00F63C08"/>
    <w:rsid w:val="00F63DEB"/>
    <w:rsid w:val="00F64160"/>
    <w:rsid w:val="00F6425A"/>
    <w:rsid w:val="00F643C3"/>
    <w:rsid w:val="00F64497"/>
    <w:rsid w:val="00F64574"/>
    <w:rsid w:val="00F645D0"/>
    <w:rsid w:val="00F646A7"/>
    <w:rsid w:val="00F64738"/>
    <w:rsid w:val="00F64DAF"/>
    <w:rsid w:val="00F65379"/>
    <w:rsid w:val="00F65912"/>
    <w:rsid w:val="00F65F2D"/>
    <w:rsid w:val="00F65FF4"/>
    <w:rsid w:val="00F66107"/>
    <w:rsid w:val="00F6636C"/>
    <w:rsid w:val="00F6683B"/>
    <w:rsid w:val="00F66A6C"/>
    <w:rsid w:val="00F66C5F"/>
    <w:rsid w:val="00F66EBD"/>
    <w:rsid w:val="00F66F8A"/>
    <w:rsid w:val="00F67066"/>
    <w:rsid w:val="00F672B0"/>
    <w:rsid w:val="00F6746A"/>
    <w:rsid w:val="00F6776C"/>
    <w:rsid w:val="00F67AD5"/>
    <w:rsid w:val="00F67D24"/>
    <w:rsid w:val="00F67F5E"/>
    <w:rsid w:val="00F70026"/>
    <w:rsid w:val="00F7038A"/>
    <w:rsid w:val="00F70719"/>
    <w:rsid w:val="00F707BD"/>
    <w:rsid w:val="00F70B71"/>
    <w:rsid w:val="00F70D2D"/>
    <w:rsid w:val="00F70E22"/>
    <w:rsid w:val="00F70F28"/>
    <w:rsid w:val="00F71135"/>
    <w:rsid w:val="00F71157"/>
    <w:rsid w:val="00F711F0"/>
    <w:rsid w:val="00F71390"/>
    <w:rsid w:val="00F7172F"/>
    <w:rsid w:val="00F71740"/>
    <w:rsid w:val="00F717F8"/>
    <w:rsid w:val="00F71991"/>
    <w:rsid w:val="00F71A87"/>
    <w:rsid w:val="00F71B63"/>
    <w:rsid w:val="00F71C50"/>
    <w:rsid w:val="00F71D91"/>
    <w:rsid w:val="00F71DA8"/>
    <w:rsid w:val="00F71E19"/>
    <w:rsid w:val="00F71EF3"/>
    <w:rsid w:val="00F721C5"/>
    <w:rsid w:val="00F7289E"/>
    <w:rsid w:val="00F72AC4"/>
    <w:rsid w:val="00F72D2E"/>
    <w:rsid w:val="00F72E3D"/>
    <w:rsid w:val="00F72E8C"/>
    <w:rsid w:val="00F72FB8"/>
    <w:rsid w:val="00F7334D"/>
    <w:rsid w:val="00F7365B"/>
    <w:rsid w:val="00F73950"/>
    <w:rsid w:val="00F73A48"/>
    <w:rsid w:val="00F73C3E"/>
    <w:rsid w:val="00F73CD0"/>
    <w:rsid w:val="00F74043"/>
    <w:rsid w:val="00F740C9"/>
    <w:rsid w:val="00F745A6"/>
    <w:rsid w:val="00F749AE"/>
    <w:rsid w:val="00F74B52"/>
    <w:rsid w:val="00F74BFA"/>
    <w:rsid w:val="00F74C9D"/>
    <w:rsid w:val="00F74DC7"/>
    <w:rsid w:val="00F750CC"/>
    <w:rsid w:val="00F755C6"/>
    <w:rsid w:val="00F75C0A"/>
    <w:rsid w:val="00F75CD3"/>
    <w:rsid w:val="00F75D39"/>
    <w:rsid w:val="00F75D4E"/>
    <w:rsid w:val="00F76020"/>
    <w:rsid w:val="00F76044"/>
    <w:rsid w:val="00F7623A"/>
    <w:rsid w:val="00F76255"/>
    <w:rsid w:val="00F768CF"/>
    <w:rsid w:val="00F76C74"/>
    <w:rsid w:val="00F76F49"/>
    <w:rsid w:val="00F77024"/>
    <w:rsid w:val="00F77040"/>
    <w:rsid w:val="00F77175"/>
    <w:rsid w:val="00F776FD"/>
    <w:rsid w:val="00F7792C"/>
    <w:rsid w:val="00F77B14"/>
    <w:rsid w:val="00F77BC0"/>
    <w:rsid w:val="00F77CBF"/>
    <w:rsid w:val="00F77E15"/>
    <w:rsid w:val="00F806AF"/>
    <w:rsid w:val="00F80B5E"/>
    <w:rsid w:val="00F80D61"/>
    <w:rsid w:val="00F810E5"/>
    <w:rsid w:val="00F81385"/>
    <w:rsid w:val="00F81569"/>
    <w:rsid w:val="00F81CA1"/>
    <w:rsid w:val="00F81CBE"/>
    <w:rsid w:val="00F81DF4"/>
    <w:rsid w:val="00F81FDC"/>
    <w:rsid w:val="00F8201C"/>
    <w:rsid w:val="00F8209F"/>
    <w:rsid w:val="00F82320"/>
    <w:rsid w:val="00F82AB3"/>
    <w:rsid w:val="00F82C58"/>
    <w:rsid w:val="00F83082"/>
    <w:rsid w:val="00F8319B"/>
    <w:rsid w:val="00F831E8"/>
    <w:rsid w:val="00F837A9"/>
    <w:rsid w:val="00F83A9A"/>
    <w:rsid w:val="00F84308"/>
    <w:rsid w:val="00F84373"/>
    <w:rsid w:val="00F84627"/>
    <w:rsid w:val="00F84B02"/>
    <w:rsid w:val="00F85330"/>
    <w:rsid w:val="00F8547A"/>
    <w:rsid w:val="00F856EA"/>
    <w:rsid w:val="00F85A3F"/>
    <w:rsid w:val="00F85B98"/>
    <w:rsid w:val="00F85BE0"/>
    <w:rsid w:val="00F85F58"/>
    <w:rsid w:val="00F861A3"/>
    <w:rsid w:val="00F86897"/>
    <w:rsid w:val="00F8691A"/>
    <w:rsid w:val="00F86C94"/>
    <w:rsid w:val="00F86E68"/>
    <w:rsid w:val="00F86F67"/>
    <w:rsid w:val="00F8707F"/>
    <w:rsid w:val="00F8730C"/>
    <w:rsid w:val="00F8756C"/>
    <w:rsid w:val="00F87714"/>
    <w:rsid w:val="00F87AF0"/>
    <w:rsid w:val="00F87B62"/>
    <w:rsid w:val="00F90370"/>
    <w:rsid w:val="00F90479"/>
    <w:rsid w:val="00F9057B"/>
    <w:rsid w:val="00F90BA3"/>
    <w:rsid w:val="00F90C52"/>
    <w:rsid w:val="00F90D4C"/>
    <w:rsid w:val="00F910D7"/>
    <w:rsid w:val="00F9114B"/>
    <w:rsid w:val="00F91635"/>
    <w:rsid w:val="00F918E4"/>
    <w:rsid w:val="00F91A9F"/>
    <w:rsid w:val="00F91BA9"/>
    <w:rsid w:val="00F91BAC"/>
    <w:rsid w:val="00F91DAA"/>
    <w:rsid w:val="00F91F64"/>
    <w:rsid w:val="00F92216"/>
    <w:rsid w:val="00F92222"/>
    <w:rsid w:val="00F9228E"/>
    <w:rsid w:val="00F92849"/>
    <w:rsid w:val="00F9294D"/>
    <w:rsid w:val="00F92B54"/>
    <w:rsid w:val="00F92B66"/>
    <w:rsid w:val="00F92FB8"/>
    <w:rsid w:val="00F930D0"/>
    <w:rsid w:val="00F93346"/>
    <w:rsid w:val="00F9341D"/>
    <w:rsid w:val="00F9356E"/>
    <w:rsid w:val="00F93684"/>
    <w:rsid w:val="00F93D3E"/>
    <w:rsid w:val="00F93DD4"/>
    <w:rsid w:val="00F93E04"/>
    <w:rsid w:val="00F9407A"/>
    <w:rsid w:val="00F94450"/>
    <w:rsid w:val="00F945CD"/>
    <w:rsid w:val="00F94937"/>
    <w:rsid w:val="00F94944"/>
    <w:rsid w:val="00F94AB7"/>
    <w:rsid w:val="00F94C3D"/>
    <w:rsid w:val="00F94F6A"/>
    <w:rsid w:val="00F94FF6"/>
    <w:rsid w:val="00F9506F"/>
    <w:rsid w:val="00F9514A"/>
    <w:rsid w:val="00F95932"/>
    <w:rsid w:val="00F95973"/>
    <w:rsid w:val="00F95A45"/>
    <w:rsid w:val="00F95AF0"/>
    <w:rsid w:val="00F95D61"/>
    <w:rsid w:val="00F95D8A"/>
    <w:rsid w:val="00F961E5"/>
    <w:rsid w:val="00F96449"/>
    <w:rsid w:val="00F96528"/>
    <w:rsid w:val="00F966BC"/>
    <w:rsid w:val="00F96797"/>
    <w:rsid w:val="00F969F9"/>
    <w:rsid w:val="00F96A8D"/>
    <w:rsid w:val="00F96BE0"/>
    <w:rsid w:val="00F96CEA"/>
    <w:rsid w:val="00F96D82"/>
    <w:rsid w:val="00F96E92"/>
    <w:rsid w:val="00F96FFB"/>
    <w:rsid w:val="00F97161"/>
    <w:rsid w:val="00F97208"/>
    <w:rsid w:val="00F9732D"/>
    <w:rsid w:val="00F9744F"/>
    <w:rsid w:val="00F97467"/>
    <w:rsid w:val="00F9759B"/>
    <w:rsid w:val="00F97622"/>
    <w:rsid w:val="00F97794"/>
    <w:rsid w:val="00F97917"/>
    <w:rsid w:val="00F97EAC"/>
    <w:rsid w:val="00FA0228"/>
    <w:rsid w:val="00FA0430"/>
    <w:rsid w:val="00FA0518"/>
    <w:rsid w:val="00FA06B7"/>
    <w:rsid w:val="00FA0A46"/>
    <w:rsid w:val="00FA0B11"/>
    <w:rsid w:val="00FA1050"/>
    <w:rsid w:val="00FA11E8"/>
    <w:rsid w:val="00FA13AF"/>
    <w:rsid w:val="00FA13CE"/>
    <w:rsid w:val="00FA1763"/>
    <w:rsid w:val="00FA17CD"/>
    <w:rsid w:val="00FA196A"/>
    <w:rsid w:val="00FA1BE2"/>
    <w:rsid w:val="00FA1E4E"/>
    <w:rsid w:val="00FA2145"/>
    <w:rsid w:val="00FA21E4"/>
    <w:rsid w:val="00FA2202"/>
    <w:rsid w:val="00FA230D"/>
    <w:rsid w:val="00FA2B77"/>
    <w:rsid w:val="00FA2B95"/>
    <w:rsid w:val="00FA2BAC"/>
    <w:rsid w:val="00FA3316"/>
    <w:rsid w:val="00FA3443"/>
    <w:rsid w:val="00FA36D1"/>
    <w:rsid w:val="00FA3AC4"/>
    <w:rsid w:val="00FA3BC0"/>
    <w:rsid w:val="00FA3CC8"/>
    <w:rsid w:val="00FA3E4D"/>
    <w:rsid w:val="00FA41A4"/>
    <w:rsid w:val="00FA4609"/>
    <w:rsid w:val="00FA477B"/>
    <w:rsid w:val="00FA4893"/>
    <w:rsid w:val="00FA489E"/>
    <w:rsid w:val="00FA4D23"/>
    <w:rsid w:val="00FA4E43"/>
    <w:rsid w:val="00FA511D"/>
    <w:rsid w:val="00FA544D"/>
    <w:rsid w:val="00FA5464"/>
    <w:rsid w:val="00FA556E"/>
    <w:rsid w:val="00FA5D30"/>
    <w:rsid w:val="00FA5DBF"/>
    <w:rsid w:val="00FA604C"/>
    <w:rsid w:val="00FA62CA"/>
    <w:rsid w:val="00FA62DA"/>
    <w:rsid w:val="00FA635A"/>
    <w:rsid w:val="00FA63E8"/>
    <w:rsid w:val="00FA663D"/>
    <w:rsid w:val="00FA684D"/>
    <w:rsid w:val="00FA6891"/>
    <w:rsid w:val="00FA6A91"/>
    <w:rsid w:val="00FA6F54"/>
    <w:rsid w:val="00FA6F75"/>
    <w:rsid w:val="00FA6FAC"/>
    <w:rsid w:val="00FA724D"/>
    <w:rsid w:val="00FA76BB"/>
    <w:rsid w:val="00FA7A04"/>
    <w:rsid w:val="00FA7A94"/>
    <w:rsid w:val="00FB02ED"/>
    <w:rsid w:val="00FB02F0"/>
    <w:rsid w:val="00FB04F9"/>
    <w:rsid w:val="00FB066D"/>
    <w:rsid w:val="00FB07AA"/>
    <w:rsid w:val="00FB08DD"/>
    <w:rsid w:val="00FB0CF1"/>
    <w:rsid w:val="00FB0D72"/>
    <w:rsid w:val="00FB0E0A"/>
    <w:rsid w:val="00FB0F43"/>
    <w:rsid w:val="00FB10D2"/>
    <w:rsid w:val="00FB124A"/>
    <w:rsid w:val="00FB16AA"/>
    <w:rsid w:val="00FB1B80"/>
    <w:rsid w:val="00FB1E6E"/>
    <w:rsid w:val="00FB1EC7"/>
    <w:rsid w:val="00FB1FF4"/>
    <w:rsid w:val="00FB20F1"/>
    <w:rsid w:val="00FB21CE"/>
    <w:rsid w:val="00FB2593"/>
    <w:rsid w:val="00FB2B03"/>
    <w:rsid w:val="00FB2C1E"/>
    <w:rsid w:val="00FB2C69"/>
    <w:rsid w:val="00FB2DB0"/>
    <w:rsid w:val="00FB313A"/>
    <w:rsid w:val="00FB3195"/>
    <w:rsid w:val="00FB3299"/>
    <w:rsid w:val="00FB32B5"/>
    <w:rsid w:val="00FB32B9"/>
    <w:rsid w:val="00FB3390"/>
    <w:rsid w:val="00FB351B"/>
    <w:rsid w:val="00FB366B"/>
    <w:rsid w:val="00FB3770"/>
    <w:rsid w:val="00FB3945"/>
    <w:rsid w:val="00FB3BE1"/>
    <w:rsid w:val="00FB3D4F"/>
    <w:rsid w:val="00FB3D50"/>
    <w:rsid w:val="00FB3E17"/>
    <w:rsid w:val="00FB3E9F"/>
    <w:rsid w:val="00FB3EF2"/>
    <w:rsid w:val="00FB403D"/>
    <w:rsid w:val="00FB41E7"/>
    <w:rsid w:val="00FB4215"/>
    <w:rsid w:val="00FB42C9"/>
    <w:rsid w:val="00FB4609"/>
    <w:rsid w:val="00FB489F"/>
    <w:rsid w:val="00FB4C9B"/>
    <w:rsid w:val="00FB4D8D"/>
    <w:rsid w:val="00FB5196"/>
    <w:rsid w:val="00FB546F"/>
    <w:rsid w:val="00FB58AB"/>
    <w:rsid w:val="00FB594F"/>
    <w:rsid w:val="00FB5A1C"/>
    <w:rsid w:val="00FB5A4F"/>
    <w:rsid w:val="00FB5BE8"/>
    <w:rsid w:val="00FB60D5"/>
    <w:rsid w:val="00FB6182"/>
    <w:rsid w:val="00FB6664"/>
    <w:rsid w:val="00FB6665"/>
    <w:rsid w:val="00FB6944"/>
    <w:rsid w:val="00FB69E2"/>
    <w:rsid w:val="00FB6A9C"/>
    <w:rsid w:val="00FB6B16"/>
    <w:rsid w:val="00FB6BD8"/>
    <w:rsid w:val="00FB6D1B"/>
    <w:rsid w:val="00FB70AF"/>
    <w:rsid w:val="00FB750A"/>
    <w:rsid w:val="00FB78CD"/>
    <w:rsid w:val="00FB7A4B"/>
    <w:rsid w:val="00FB7AA6"/>
    <w:rsid w:val="00FB7D2F"/>
    <w:rsid w:val="00FB7EA8"/>
    <w:rsid w:val="00FB7FB4"/>
    <w:rsid w:val="00FC02DA"/>
    <w:rsid w:val="00FC05A0"/>
    <w:rsid w:val="00FC07BD"/>
    <w:rsid w:val="00FC0A7E"/>
    <w:rsid w:val="00FC0A8E"/>
    <w:rsid w:val="00FC0B1A"/>
    <w:rsid w:val="00FC0C33"/>
    <w:rsid w:val="00FC0C85"/>
    <w:rsid w:val="00FC0CCB"/>
    <w:rsid w:val="00FC0E19"/>
    <w:rsid w:val="00FC0FA3"/>
    <w:rsid w:val="00FC12B4"/>
    <w:rsid w:val="00FC12DF"/>
    <w:rsid w:val="00FC1593"/>
    <w:rsid w:val="00FC178C"/>
    <w:rsid w:val="00FC19C2"/>
    <w:rsid w:val="00FC1A0F"/>
    <w:rsid w:val="00FC1BA4"/>
    <w:rsid w:val="00FC1E6A"/>
    <w:rsid w:val="00FC23CA"/>
    <w:rsid w:val="00FC26F5"/>
    <w:rsid w:val="00FC291E"/>
    <w:rsid w:val="00FC2BD0"/>
    <w:rsid w:val="00FC2E98"/>
    <w:rsid w:val="00FC2ECC"/>
    <w:rsid w:val="00FC2F1B"/>
    <w:rsid w:val="00FC3119"/>
    <w:rsid w:val="00FC31A8"/>
    <w:rsid w:val="00FC31C6"/>
    <w:rsid w:val="00FC33CD"/>
    <w:rsid w:val="00FC3618"/>
    <w:rsid w:val="00FC389B"/>
    <w:rsid w:val="00FC3B10"/>
    <w:rsid w:val="00FC4883"/>
    <w:rsid w:val="00FC4989"/>
    <w:rsid w:val="00FC4A71"/>
    <w:rsid w:val="00FC4B57"/>
    <w:rsid w:val="00FC4BD7"/>
    <w:rsid w:val="00FC4BD8"/>
    <w:rsid w:val="00FC4F07"/>
    <w:rsid w:val="00FC530B"/>
    <w:rsid w:val="00FC54F1"/>
    <w:rsid w:val="00FC55AB"/>
    <w:rsid w:val="00FC55BB"/>
    <w:rsid w:val="00FC5F75"/>
    <w:rsid w:val="00FC6278"/>
    <w:rsid w:val="00FC64D9"/>
    <w:rsid w:val="00FC6668"/>
    <w:rsid w:val="00FC6677"/>
    <w:rsid w:val="00FC675C"/>
    <w:rsid w:val="00FC6766"/>
    <w:rsid w:val="00FC682C"/>
    <w:rsid w:val="00FC6920"/>
    <w:rsid w:val="00FC6A8B"/>
    <w:rsid w:val="00FC6DA4"/>
    <w:rsid w:val="00FC6F99"/>
    <w:rsid w:val="00FC7397"/>
    <w:rsid w:val="00FC74A9"/>
    <w:rsid w:val="00FC75A0"/>
    <w:rsid w:val="00FC75F3"/>
    <w:rsid w:val="00FC76C3"/>
    <w:rsid w:val="00FC7C85"/>
    <w:rsid w:val="00FC7C8A"/>
    <w:rsid w:val="00FC7F1C"/>
    <w:rsid w:val="00FD0071"/>
    <w:rsid w:val="00FD028D"/>
    <w:rsid w:val="00FD032D"/>
    <w:rsid w:val="00FD0652"/>
    <w:rsid w:val="00FD086F"/>
    <w:rsid w:val="00FD0951"/>
    <w:rsid w:val="00FD09FB"/>
    <w:rsid w:val="00FD0A35"/>
    <w:rsid w:val="00FD0D74"/>
    <w:rsid w:val="00FD0E67"/>
    <w:rsid w:val="00FD1023"/>
    <w:rsid w:val="00FD1025"/>
    <w:rsid w:val="00FD1072"/>
    <w:rsid w:val="00FD11DF"/>
    <w:rsid w:val="00FD1318"/>
    <w:rsid w:val="00FD14F2"/>
    <w:rsid w:val="00FD1526"/>
    <w:rsid w:val="00FD15A3"/>
    <w:rsid w:val="00FD1759"/>
    <w:rsid w:val="00FD1A3B"/>
    <w:rsid w:val="00FD2059"/>
    <w:rsid w:val="00FD2073"/>
    <w:rsid w:val="00FD20EF"/>
    <w:rsid w:val="00FD266A"/>
    <w:rsid w:val="00FD2A37"/>
    <w:rsid w:val="00FD2AFD"/>
    <w:rsid w:val="00FD2BE3"/>
    <w:rsid w:val="00FD2C36"/>
    <w:rsid w:val="00FD2ED0"/>
    <w:rsid w:val="00FD310D"/>
    <w:rsid w:val="00FD3316"/>
    <w:rsid w:val="00FD340E"/>
    <w:rsid w:val="00FD3612"/>
    <w:rsid w:val="00FD3AAD"/>
    <w:rsid w:val="00FD3B4B"/>
    <w:rsid w:val="00FD3B96"/>
    <w:rsid w:val="00FD40CF"/>
    <w:rsid w:val="00FD46A0"/>
    <w:rsid w:val="00FD4D7E"/>
    <w:rsid w:val="00FD4DA4"/>
    <w:rsid w:val="00FD4DE4"/>
    <w:rsid w:val="00FD4F59"/>
    <w:rsid w:val="00FD525C"/>
    <w:rsid w:val="00FD52E0"/>
    <w:rsid w:val="00FD53BA"/>
    <w:rsid w:val="00FD53CD"/>
    <w:rsid w:val="00FD53F6"/>
    <w:rsid w:val="00FD53FC"/>
    <w:rsid w:val="00FD5600"/>
    <w:rsid w:val="00FD56D8"/>
    <w:rsid w:val="00FD574C"/>
    <w:rsid w:val="00FD589D"/>
    <w:rsid w:val="00FD58B9"/>
    <w:rsid w:val="00FD5979"/>
    <w:rsid w:val="00FD5C8F"/>
    <w:rsid w:val="00FD5C9C"/>
    <w:rsid w:val="00FD5D70"/>
    <w:rsid w:val="00FD5E90"/>
    <w:rsid w:val="00FD6201"/>
    <w:rsid w:val="00FD6259"/>
    <w:rsid w:val="00FD6AE9"/>
    <w:rsid w:val="00FD6AF8"/>
    <w:rsid w:val="00FD6C69"/>
    <w:rsid w:val="00FD701C"/>
    <w:rsid w:val="00FD70C5"/>
    <w:rsid w:val="00FD721C"/>
    <w:rsid w:val="00FD7346"/>
    <w:rsid w:val="00FD73F3"/>
    <w:rsid w:val="00FD754A"/>
    <w:rsid w:val="00FD76FE"/>
    <w:rsid w:val="00FD7BD0"/>
    <w:rsid w:val="00FD7EB2"/>
    <w:rsid w:val="00FE0098"/>
    <w:rsid w:val="00FE0743"/>
    <w:rsid w:val="00FE086F"/>
    <w:rsid w:val="00FE0AF0"/>
    <w:rsid w:val="00FE0E4C"/>
    <w:rsid w:val="00FE0E89"/>
    <w:rsid w:val="00FE0E92"/>
    <w:rsid w:val="00FE0F42"/>
    <w:rsid w:val="00FE1420"/>
    <w:rsid w:val="00FE1501"/>
    <w:rsid w:val="00FE1555"/>
    <w:rsid w:val="00FE162C"/>
    <w:rsid w:val="00FE194D"/>
    <w:rsid w:val="00FE19D2"/>
    <w:rsid w:val="00FE19FC"/>
    <w:rsid w:val="00FE1B63"/>
    <w:rsid w:val="00FE1EA0"/>
    <w:rsid w:val="00FE2001"/>
    <w:rsid w:val="00FE2199"/>
    <w:rsid w:val="00FE2250"/>
    <w:rsid w:val="00FE2486"/>
    <w:rsid w:val="00FE28E1"/>
    <w:rsid w:val="00FE29CE"/>
    <w:rsid w:val="00FE2F24"/>
    <w:rsid w:val="00FE2FC2"/>
    <w:rsid w:val="00FE312A"/>
    <w:rsid w:val="00FE3324"/>
    <w:rsid w:val="00FE33B3"/>
    <w:rsid w:val="00FE3777"/>
    <w:rsid w:val="00FE37D1"/>
    <w:rsid w:val="00FE3824"/>
    <w:rsid w:val="00FE3DBE"/>
    <w:rsid w:val="00FE3E85"/>
    <w:rsid w:val="00FE3F31"/>
    <w:rsid w:val="00FE3FD2"/>
    <w:rsid w:val="00FE4137"/>
    <w:rsid w:val="00FE4447"/>
    <w:rsid w:val="00FE4923"/>
    <w:rsid w:val="00FE49C9"/>
    <w:rsid w:val="00FE4AE2"/>
    <w:rsid w:val="00FE4B2B"/>
    <w:rsid w:val="00FE5370"/>
    <w:rsid w:val="00FE5723"/>
    <w:rsid w:val="00FE5748"/>
    <w:rsid w:val="00FE5BEC"/>
    <w:rsid w:val="00FE5C35"/>
    <w:rsid w:val="00FE6335"/>
    <w:rsid w:val="00FE6969"/>
    <w:rsid w:val="00FE6DDE"/>
    <w:rsid w:val="00FE6E99"/>
    <w:rsid w:val="00FE70CE"/>
    <w:rsid w:val="00FE71FD"/>
    <w:rsid w:val="00FE73C6"/>
    <w:rsid w:val="00FE75BA"/>
    <w:rsid w:val="00FE77CA"/>
    <w:rsid w:val="00FE7B23"/>
    <w:rsid w:val="00FE7D03"/>
    <w:rsid w:val="00FE7FAD"/>
    <w:rsid w:val="00FF0454"/>
    <w:rsid w:val="00FF08CA"/>
    <w:rsid w:val="00FF09D6"/>
    <w:rsid w:val="00FF0B11"/>
    <w:rsid w:val="00FF0BD0"/>
    <w:rsid w:val="00FF0BF6"/>
    <w:rsid w:val="00FF0DD7"/>
    <w:rsid w:val="00FF0F5C"/>
    <w:rsid w:val="00FF12CC"/>
    <w:rsid w:val="00FF1470"/>
    <w:rsid w:val="00FF14CE"/>
    <w:rsid w:val="00FF172C"/>
    <w:rsid w:val="00FF17C5"/>
    <w:rsid w:val="00FF1AEF"/>
    <w:rsid w:val="00FF1C3A"/>
    <w:rsid w:val="00FF1D14"/>
    <w:rsid w:val="00FF1F9D"/>
    <w:rsid w:val="00FF2092"/>
    <w:rsid w:val="00FF21F6"/>
    <w:rsid w:val="00FF222E"/>
    <w:rsid w:val="00FF2500"/>
    <w:rsid w:val="00FF2B4F"/>
    <w:rsid w:val="00FF2F5A"/>
    <w:rsid w:val="00FF36D0"/>
    <w:rsid w:val="00FF394B"/>
    <w:rsid w:val="00FF3D6B"/>
    <w:rsid w:val="00FF3D9A"/>
    <w:rsid w:val="00FF3DFE"/>
    <w:rsid w:val="00FF4202"/>
    <w:rsid w:val="00FF439D"/>
    <w:rsid w:val="00FF4D8D"/>
    <w:rsid w:val="00FF521F"/>
    <w:rsid w:val="00FF5666"/>
    <w:rsid w:val="00FF5A10"/>
    <w:rsid w:val="00FF5A48"/>
    <w:rsid w:val="00FF5C8E"/>
    <w:rsid w:val="00FF5F13"/>
    <w:rsid w:val="00FF6039"/>
    <w:rsid w:val="00FF62B8"/>
    <w:rsid w:val="00FF654A"/>
    <w:rsid w:val="00FF67B2"/>
    <w:rsid w:val="00FF67C4"/>
    <w:rsid w:val="00FF6B6A"/>
    <w:rsid w:val="00FF6C59"/>
    <w:rsid w:val="00FF6EF2"/>
    <w:rsid w:val="00FF6F9F"/>
    <w:rsid w:val="00FF7078"/>
    <w:rsid w:val="00FF7151"/>
    <w:rsid w:val="00FF7221"/>
    <w:rsid w:val="00FF7249"/>
    <w:rsid w:val="00FF7376"/>
    <w:rsid w:val="00FF7A85"/>
    <w:rsid w:val="00FF7B49"/>
    <w:rsid w:val="00FF7B5A"/>
    <w:rsid w:val="00FF7C52"/>
    <w:rsid w:val="00FF7DAE"/>
    <w:rsid w:val="00FF7DEA"/>
    <w:rsid w:val="00FF7FB4"/>
    <w:rsid w:val="01084285"/>
    <w:rsid w:val="012B2210"/>
    <w:rsid w:val="0191435F"/>
    <w:rsid w:val="02771FA4"/>
    <w:rsid w:val="02826124"/>
    <w:rsid w:val="02981F4C"/>
    <w:rsid w:val="030326E5"/>
    <w:rsid w:val="0490E009"/>
    <w:rsid w:val="04DA7FAF"/>
    <w:rsid w:val="051A6CD4"/>
    <w:rsid w:val="05897794"/>
    <w:rsid w:val="05F3B572"/>
    <w:rsid w:val="06ABF863"/>
    <w:rsid w:val="06ED46AD"/>
    <w:rsid w:val="07717214"/>
    <w:rsid w:val="0AA1B3C5"/>
    <w:rsid w:val="0AD6B374"/>
    <w:rsid w:val="0B017492"/>
    <w:rsid w:val="0B31646E"/>
    <w:rsid w:val="0B4B432E"/>
    <w:rsid w:val="0B89D065"/>
    <w:rsid w:val="0BF164B5"/>
    <w:rsid w:val="0C523936"/>
    <w:rsid w:val="0D07C801"/>
    <w:rsid w:val="0D5C077E"/>
    <w:rsid w:val="0D8ADBDD"/>
    <w:rsid w:val="0D9F4E03"/>
    <w:rsid w:val="0EE4E467"/>
    <w:rsid w:val="0F33FB71"/>
    <w:rsid w:val="0F47BBCF"/>
    <w:rsid w:val="1075C9C6"/>
    <w:rsid w:val="1136EFC8"/>
    <w:rsid w:val="134950F8"/>
    <w:rsid w:val="138C47E1"/>
    <w:rsid w:val="13A462EE"/>
    <w:rsid w:val="142F6DAE"/>
    <w:rsid w:val="14A22DB7"/>
    <w:rsid w:val="14EB7F96"/>
    <w:rsid w:val="15600566"/>
    <w:rsid w:val="164CF448"/>
    <w:rsid w:val="164E12AE"/>
    <w:rsid w:val="16DBA68E"/>
    <w:rsid w:val="170D6677"/>
    <w:rsid w:val="17B421ED"/>
    <w:rsid w:val="18507FC6"/>
    <w:rsid w:val="19326614"/>
    <w:rsid w:val="1A9EAF32"/>
    <w:rsid w:val="1AD159D7"/>
    <w:rsid w:val="1AF4C4C4"/>
    <w:rsid w:val="1BF0DFED"/>
    <w:rsid w:val="1C807D85"/>
    <w:rsid w:val="1D2A0792"/>
    <w:rsid w:val="1DD08275"/>
    <w:rsid w:val="1F507DF3"/>
    <w:rsid w:val="20221B49"/>
    <w:rsid w:val="206B0B5F"/>
    <w:rsid w:val="2184E753"/>
    <w:rsid w:val="21993346"/>
    <w:rsid w:val="219EB2CC"/>
    <w:rsid w:val="21EF6E9E"/>
    <w:rsid w:val="22F13BA8"/>
    <w:rsid w:val="22FB278B"/>
    <w:rsid w:val="23D5C221"/>
    <w:rsid w:val="24C1978E"/>
    <w:rsid w:val="24E4C84A"/>
    <w:rsid w:val="25535AAC"/>
    <w:rsid w:val="25719282"/>
    <w:rsid w:val="26263A8D"/>
    <w:rsid w:val="27268B40"/>
    <w:rsid w:val="274176EF"/>
    <w:rsid w:val="275345BB"/>
    <w:rsid w:val="28A4C6E7"/>
    <w:rsid w:val="28A93344"/>
    <w:rsid w:val="28ECFB43"/>
    <w:rsid w:val="293206AF"/>
    <w:rsid w:val="2976D0DB"/>
    <w:rsid w:val="2A03C003"/>
    <w:rsid w:val="2C051DDB"/>
    <w:rsid w:val="2C981DEE"/>
    <w:rsid w:val="2CB4CC98"/>
    <w:rsid w:val="2DA86752"/>
    <w:rsid w:val="2DCDDCF0"/>
    <w:rsid w:val="2E0AF2FB"/>
    <w:rsid w:val="2EC3ED35"/>
    <w:rsid w:val="2F2E377F"/>
    <w:rsid w:val="2F586205"/>
    <w:rsid w:val="2FA60152"/>
    <w:rsid w:val="3218B557"/>
    <w:rsid w:val="33844045"/>
    <w:rsid w:val="3514AD76"/>
    <w:rsid w:val="3547BAB2"/>
    <w:rsid w:val="362CA321"/>
    <w:rsid w:val="36AD67D5"/>
    <w:rsid w:val="36DDF846"/>
    <w:rsid w:val="374FBE08"/>
    <w:rsid w:val="38EB8E69"/>
    <w:rsid w:val="39558686"/>
    <w:rsid w:val="3AE94332"/>
    <w:rsid w:val="3B0E7FE0"/>
    <w:rsid w:val="3C90EB1A"/>
    <w:rsid w:val="3CAA5041"/>
    <w:rsid w:val="3D1FBF5B"/>
    <w:rsid w:val="3D316B78"/>
    <w:rsid w:val="3D38E7B8"/>
    <w:rsid w:val="3D3C57F3"/>
    <w:rsid w:val="3E482F0D"/>
    <w:rsid w:val="3E955708"/>
    <w:rsid w:val="3EBB8FBC"/>
    <w:rsid w:val="3F520D89"/>
    <w:rsid w:val="405037CD"/>
    <w:rsid w:val="4071593A"/>
    <w:rsid w:val="40C69EA6"/>
    <w:rsid w:val="4128FD73"/>
    <w:rsid w:val="42962FAC"/>
    <w:rsid w:val="42F6FA45"/>
    <w:rsid w:val="43D22E9B"/>
    <w:rsid w:val="449812FE"/>
    <w:rsid w:val="44B72D58"/>
    <w:rsid w:val="45E72614"/>
    <w:rsid w:val="4779491B"/>
    <w:rsid w:val="47B64CEB"/>
    <w:rsid w:val="4862DC2E"/>
    <w:rsid w:val="487FDBAB"/>
    <w:rsid w:val="48A63A01"/>
    <w:rsid w:val="49002E9B"/>
    <w:rsid w:val="49663BC9"/>
    <w:rsid w:val="4A0259DF"/>
    <w:rsid w:val="4A0D05CA"/>
    <w:rsid w:val="4A27D24B"/>
    <w:rsid w:val="4A41D88C"/>
    <w:rsid w:val="4B6C24C7"/>
    <w:rsid w:val="4B7E72F7"/>
    <w:rsid w:val="4BA2004A"/>
    <w:rsid w:val="4BC75914"/>
    <w:rsid w:val="4BF17E12"/>
    <w:rsid w:val="4C5E224D"/>
    <w:rsid w:val="4CC87C2D"/>
    <w:rsid w:val="4D7F4102"/>
    <w:rsid w:val="4DC1A30F"/>
    <w:rsid w:val="4EC48062"/>
    <w:rsid w:val="4F855186"/>
    <w:rsid w:val="501F56F2"/>
    <w:rsid w:val="50D5252B"/>
    <w:rsid w:val="50DDF160"/>
    <w:rsid w:val="515D6DA9"/>
    <w:rsid w:val="520BCC40"/>
    <w:rsid w:val="52F93E0A"/>
    <w:rsid w:val="530E163E"/>
    <w:rsid w:val="5356F7B4"/>
    <w:rsid w:val="535AC419"/>
    <w:rsid w:val="53D61F5F"/>
    <w:rsid w:val="565D9A42"/>
    <w:rsid w:val="57825B69"/>
    <w:rsid w:val="579DF382"/>
    <w:rsid w:val="57B65047"/>
    <w:rsid w:val="5832565D"/>
    <w:rsid w:val="58D077E8"/>
    <w:rsid w:val="58EF58A5"/>
    <w:rsid w:val="591C59BB"/>
    <w:rsid w:val="5A1A633E"/>
    <w:rsid w:val="5A5949AB"/>
    <w:rsid w:val="5AFDBE0B"/>
    <w:rsid w:val="5B132DE1"/>
    <w:rsid w:val="5B3296EC"/>
    <w:rsid w:val="5B69F71F"/>
    <w:rsid w:val="5BB82414"/>
    <w:rsid w:val="5D2409AB"/>
    <w:rsid w:val="5E80DBF9"/>
    <w:rsid w:val="5FB3F483"/>
    <w:rsid w:val="6042869F"/>
    <w:rsid w:val="6042B970"/>
    <w:rsid w:val="60770501"/>
    <w:rsid w:val="617F68FA"/>
    <w:rsid w:val="61C75F3A"/>
    <w:rsid w:val="61FC0860"/>
    <w:rsid w:val="6404C18E"/>
    <w:rsid w:val="643CD853"/>
    <w:rsid w:val="6471FE37"/>
    <w:rsid w:val="656F6DE5"/>
    <w:rsid w:val="6611DA11"/>
    <w:rsid w:val="665B4352"/>
    <w:rsid w:val="6785FF2D"/>
    <w:rsid w:val="678855E5"/>
    <w:rsid w:val="682AFED3"/>
    <w:rsid w:val="6918F081"/>
    <w:rsid w:val="6A2E5430"/>
    <w:rsid w:val="6AD7384A"/>
    <w:rsid w:val="6B629F95"/>
    <w:rsid w:val="6BF8E780"/>
    <w:rsid w:val="6C522A62"/>
    <w:rsid w:val="6D5F692D"/>
    <w:rsid w:val="6D8D6DE7"/>
    <w:rsid w:val="6DA529BC"/>
    <w:rsid w:val="6E287476"/>
    <w:rsid w:val="6EC42377"/>
    <w:rsid w:val="708E3C5E"/>
    <w:rsid w:val="70DEA33C"/>
    <w:rsid w:val="70F558D2"/>
    <w:rsid w:val="711C4D39"/>
    <w:rsid w:val="71527077"/>
    <w:rsid w:val="71546C9A"/>
    <w:rsid w:val="71D3189B"/>
    <w:rsid w:val="71F86E16"/>
    <w:rsid w:val="7245BEFA"/>
    <w:rsid w:val="729296D0"/>
    <w:rsid w:val="7368188E"/>
    <w:rsid w:val="742417B3"/>
    <w:rsid w:val="74478F8E"/>
    <w:rsid w:val="74599E8E"/>
    <w:rsid w:val="749ACBFC"/>
    <w:rsid w:val="74FD684A"/>
    <w:rsid w:val="751283F0"/>
    <w:rsid w:val="75D494A7"/>
    <w:rsid w:val="7743987D"/>
    <w:rsid w:val="7782FA9A"/>
    <w:rsid w:val="77B7FF08"/>
    <w:rsid w:val="782F5D1A"/>
    <w:rsid w:val="782FCE60"/>
    <w:rsid w:val="7872F343"/>
    <w:rsid w:val="789AF897"/>
    <w:rsid w:val="78DF68DE"/>
    <w:rsid w:val="7920102A"/>
    <w:rsid w:val="792659E3"/>
    <w:rsid w:val="7A51454F"/>
    <w:rsid w:val="7A7DD4F5"/>
    <w:rsid w:val="7A9DA8B5"/>
    <w:rsid w:val="7AA857C7"/>
    <w:rsid w:val="7B267442"/>
    <w:rsid w:val="7B65C9D9"/>
    <w:rsid w:val="7B7AA12B"/>
    <w:rsid w:val="7D4906C4"/>
    <w:rsid w:val="7D71754E"/>
    <w:rsid w:val="7DEC4CFD"/>
    <w:rsid w:val="7F07BB91"/>
    <w:rsid w:val="7FA87A0B"/>
  </w:rsids>
  <m:mathPr>
    <m:mathFont m:val="Cambria Math"/>
    <m:brkBin m:val="before"/>
    <m:brkBinSub m:val="--"/>
    <m:smallFrac/>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AE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Helvetica"/>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5BC"/>
    <w:rPr>
      <w:rFonts w:ascii="Times New Roman" w:eastAsia="Times New Roman" w:hAnsi="Times New Roman" w:cs="Times New Roman"/>
    </w:rPr>
  </w:style>
  <w:style w:type="paragraph" w:styleId="Heading1">
    <w:name w:val="heading 1"/>
    <w:basedOn w:val="Normal"/>
    <w:next w:val="Normal"/>
    <w:link w:val="Heading1Char"/>
    <w:qFormat/>
    <w:rsid w:val="00960A34"/>
    <w:pPr>
      <w:keepNext/>
      <w:numPr>
        <w:numId w:val="3"/>
      </w:numPr>
      <w:spacing w:after="240"/>
      <w:outlineLvl w:val="0"/>
    </w:pPr>
    <w:rPr>
      <w:b/>
      <w:caps/>
      <w:sz w:val="28"/>
    </w:rPr>
  </w:style>
  <w:style w:type="paragraph" w:styleId="Heading2">
    <w:name w:val="heading 2"/>
    <w:basedOn w:val="Normal"/>
    <w:next w:val="Normal"/>
    <w:link w:val="Heading2Char"/>
    <w:qFormat/>
    <w:rsid w:val="00960A34"/>
    <w:pPr>
      <w:keepNext/>
      <w:spacing w:before="240" w:after="240"/>
      <w:ind w:left="1361" w:hanging="907"/>
      <w:jc w:val="both"/>
      <w:outlineLvl w:val="1"/>
    </w:pPr>
    <w:rPr>
      <w:b/>
      <w:bCs/>
      <w:iCs/>
      <w:sz w:val="24"/>
      <w:szCs w:val="28"/>
    </w:rPr>
  </w:style>
  <w:style w:type="paragraph" w:styleId="Heading3">
    <w:name w:val="heading 3"/>
    <w:basedOn w:val="Normal"/>
    <w:next w:val="Normal"/>
    <w:link w:val="Heading3Char"/>
    <w:uiPriority w:val="9"/>
    <w:qFormat/>
    <w:rsid w:val="00ED525C"/>
    <w:pPr>
      <w:keepNext/>
      <w:spacing w:before="240" w:after="240"/>
      <w:ind w:left="1361" w:hanging="907"/>
      <w:outlineLvl w:val="2"/>
    </w:pPr>
    <w:rPr>
      <w:b/>
      <w:bCs/>
      <w:sz w:val="24"/>
      <w:szCs w:val="26"/>
    </w:rPr>
  </w:style>
  <w:style w:type="paragraph" w:styleId="Heading4">
    <w:name w:val="heading 4"/>
    <w:basedOn w:val="Normal"/>
    <w:next w:val="Normal"/>
    <w:link w:val="Heading4Char"/>
    <w:unhideWhenUsed/>
    <w:qFormat/>
    <w:rsid w:val="003B15A4"/>
    <w:pPr>
      <w:keepNext/>
      <w:keepLines/>
      <w:spacing w:before="40"/>
      <w:outlineLvl w:val="3"/>
    </w:pPr>
    <w:rPr>
      <w:rFonts w:eastAsiaTheme="majorEastAsia" w:cstheme="majorBidi"/>
      <w:iCs/>
      <w:sz w:val="22"/>
    </w:rPr>
  </w:style>
  <w:style w:type="paragraph" w:styleId="Heading5">
    <w:name w:val="heading 5"/>
    <w:basedOn w:val="Normal"/>
    <w:next w:val="Normal"/>
    <w:link w:val="Heading5Char"/>
    <w:semiHidden/>
    <w:unhideWhenUsed/>
    <w:qFormat/>
    <w:rsid w:val="003B15A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3B15A4"/>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3B15A4"/>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3B15A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B15A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60A34"/>
    <w:rPr>
      <w:rFonts w:ascii="Times New Roman" w:eastAsia="Times New Roman" w:hAnsi="Times New Roman" w:cs="Times New Roman"/>
      <w:b/>
      <w:caps/>
      <w:sz w:val="28"/>
    </w:rPr>
  </w:style>
  <w:style w:type="character" w:customStyle="1" w:styleId="Heading2Char">
    <w:name w:val="Heading 2 Char"/>
    <w:link w:val="Heading2"/>
    <w:rsid w:val="00960A34"/>
    <w:rPr>
      <w:rFonts w:ascii="Times New Roman" w:eastAsia="Times New Roman" w:hAnsi="Times New Roman" w:cs="Times New Roman"/>
      <w:b/>
      <w:bCs/>
      <w:iCs/>
      <w:sz w:val="24"/>
      <w:szCs w:val="28"/>
      <w:lang w:val="en-US"/>
    </w:rPr>
  </w:style>
  <w:style w:type="character" w:customStyle="1" w:styleId="Heading3Char">
    <w:name w:val="Heading 3 Char"/>
    <w:link w:val="Heading3"/>
    <w:uiPriority w:val="9"/>
    <w:rsid w:val="00ED525C"/>
    <w:rPr>
      <w:rFonts w:ascii="Times New Roman" w:eastAsia="Times New Roman" w:hAnsi="Times New Roman" w:cs="Times New Roman"/>
      <w:b/>
      <w:bCs/>
      <w:sz w:val="24"/>
      <w:szCs w:val="26"/>
      <w:lang w:val="en-US"/>
    </w:rPr>
  </w:style>
  <w:style w:type="character" w:styleId="CommentReference">
    <w:name w:val="annotation reference"/>
    <w:uiPriority w:val="99"/>
    <w:semiHidden/>
    <w:rsid w:val="00DB66A7"/>
    <w:rPr>
      <w:sz w:val="16"/>
      <w:szCs w:val="16"/>
    </w:rPr>
  </w:style>
  <w:style w:type="paragraph" w:styleId="CommentText">
    <w:name w:val="annotation text"/>
    <w:basedOn w:val="Normal"/>
    <w:link w:val="CommentTextChar"/>
    <w:uiPriority w:val="99"/>
    <w:rsid w:val="00DB66A7"/>
  </w:style>
  <w:style w:type="character" w:customStyle="1" w:styleId="CommentTextChar">
    <w:name w:val="Comment Text Char"/>
    <w:link w:val="CommentText"/>
    <w:uiPriority w:val="99"/>
    <w:rsid w:val="00DB66A7"/>
    <w:rPr>
      <w:rFonts w:ascii="Times New Roman" w:eastAsia="Times New Roman" w:hAnsi="Times New Roman" w:cs="Times New Roman"/>
      <w:sz w:val="20"/>
      <w:szCs w:val="20"/>
      <w:lang w:val="en-US" w:eastAsia="hr-HR"/>
    </w:rPr>
  </w:style>
  <w:style w:type="paragraph" w:styleId="BalloonText">
    <w:name w:val="Balloon Text"/>
    <w:basedOn w:val="Normal"/>
    <w:link w:val="BalloonTextChar"/>
    <w:uiPriority w:val="99"/>
    <w:semiHidden/>
    <w:rsid w:val="00DB66A7"/>
    <w:rPr>
      <w:rFonts w:ascii="Tahoma" w:hAnsi="Tahoma"/>
      <w:sz w:val="16"/>
      <w:szCs w:val="16"/>
    </w:rPr>
  </w:style>
  <w:style w:type="character" w:customStyle="1" w:styleId="BalloonTextChar">
    <w:name w:val="Balloon Text Char"/>
    <w:link w:val="BalloonText"/>
    <w:uiPriority w:val="99"/>
    <w:semiHidden/>
    <w:rsid w:val="00DB66A7"/>
    <w:rPr>
      <w:rFonts w:ascii="Tahoma" w:eastAsia="Times New Roman" w:hAnsi="Tahoma" w:cs="Tahoma"/>
      <w:sz w:val="16"/>
      <w:szCs w:val="16"/>
      <w:lang w:val="en-US" w:eastAsia="hr-HR"/>
    </w:rPr>
  </w:style>
  <w:style w:type="paragraph" w:styleId="CommentSubject">
    <w:name w:val="annotation subject"/>
    <w:basedOn w:val="CommentText"/>
    <w:next w:val="CommentText"/>
    <w:link w:val="CommentSubjectChar"/>
    <w:uiPriority w:val="99"/>
    <w:semiHidden/>
    <w:rsid w:val="00DB66A7"/>
    <w:rPr>
      <w:b/>
      <w:bCs/>
    </w:rPr>
  </w:style>
  <w:style w:type="character" w:customStyle="1" w:styleId="CommentSubjectChar">
    <w:name w:val="Comment Subject Char"/>
    <w:link w:val="CommentSubject"/>
    <w:uiPriority w:val="99"/>
    <w:semiHidden/>
    <w:rsid w:val="00DB66A7"/>
    <w:rPr>
      <w:rFonts w:ascii="Times New Roman" w:eastAsia="Times New Roman" w:hAnsi="Times New Roman" w:cs="Times New Roman"/>
      <w:b/>
      <w:bCs/>
      <w:sz w:val="20"/>
      <w:szCs w:val="20"/>
      <w:lang w:val="en-US" w:eastAsia="hr-HR"/>
    </w:rPr>
  </w:style>
  <w:style w:type="table" w:styleId="TableGrid1">
    <w:name w:val="Table Grid 1"/>
    <w:basedOn w:val="TableNormal"/>
    <w:rsid w:val="00DB66A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Default">
    <w:name w:val="Default"/>
    <w:uiPriority w:val="99"/>
    <w:rsid w:val="00DB66A7"/>
    <w:pPr>
      <w:autoSpaceDE w:val="0"/>
      <w:autoSpaceDN w:val="0"/>
      <w:adjustRightInd w:val="0"/>
    </w:pPr>
    <w:rPr>
      <w:rFonts w:ascii="Verdana" w:eastAsia="Times New Roman" w:hAnsi="Verdana" w:cs="Verdana"/>
      <w:color w:val="000000"/>
      <w:sz w:val="24"/>
      <w:szCs w:val="24"/>
    </w:rPr>
  </w:style>
  <w:style w:type="table" w:styleId="TableGrid">
    <w:name w:val="Table Grid"/>
    <w:basedOn w:val="TableNormal"/>
    <w:uiPriority w:val="39"/>
    <w:rsid w:val="00DB66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B66A7"/>
    <w:rPr>
      <w:rFonts w:ascii="Courier New" w:hAnsi="Courier New"/>
    </w:rPr>
  </w:style>
  <w:style w:type="character" w:customStyle="1" w:styleId="PlainTextChar">
    <w:name w:val="Plain Text Char"/>
    <w:link w:val="PlainText"/>
    <w:uiPriority w:val="99"/>
    <w:rsid w:val="00DB66A7"/>
    <w:rPr>
      <w:rFonts w:ascii="Courier New" w:eastAsia="Times New Roman" w:hAnsi="Courier New" w:cs="Courier New"/>
      <w:sz w:val="20"/>
      <w:szCs w:val="20"/>
      <w:lang w:eastAsia="hr-HR"/>
    </w:rPr>
  </w:style>
  <w:style w:type="paragraph" w:styleId="FootnoteText">
    <w:name w:val="footnote text"/>
    <w:aliases w:val="Text poznámky pod čiarou 007,_Poznámka pod čiarou,Text poznámky pod ciarou 007,_Poznámka pod ciarou,Footnote,Footnotes,Footnotes Char,Footnote Text Char Char,Footnotes Char Char Char Char,Footnotes Char Char Char,Fußnotentextf,Fußnote,fn"/>
    <w:basedOn w:val="Normal"/>
    <w:link w:val="FootnoteTextChar"/>
    <w:rsid w:val="00DB66A7"/>
  </w:style>
  <w:style w:type="character" w:customStyle="1" w:styleId="FootnoteTextChar">
    <w:name w:val="Footnote Text Char"/>
    <w:aliases w:val="Text poznámky pod čiarou 007 Char,_Poznámka pod čiarou Char,Text poznámky pod ciarou 007 Char,_Poznámka pod ciarou Char,Footnote Char,Footnotes Char1,Footnotes Char Char,Footnote Text Char Char Char,Footnotes Char Char Char Char Char"/>
    <w:link w:val="FootnoteText"/>
    <w:rsid w:val="00DB66A7"/>
    <w:rPr>
      <w:rFonts w:ascii="Times New Roman" w:eastAsia="Times New Roman" w:hAnsi="Times New Roman" w:cs="Times New Roman"/>
      <w:sz w:val="20"/>
      <w:szCs w:val="20"/>
      <w:lang w:eastAsia="hr-HR"/>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BVI fnr Char,ftref Char,stylish Char"/>
    <w:link w:val="BVIfnrCarChar1"/>
    <w:rsid w:val="00DB66A7"/>
    <w:rPr>
      <w:vertAlign w:val="superscript"/>
    </w:rPr>
  </w:style>
  <w:style w:type="paragraph" w:customStyle="1" w:styleId="Pa4">
    <w:name w:val="Pa4"/>
    <w:basedOn w:val="Normal"/>
    <w:next w:val="Normal"/>
    <w:rsid w:val="00DB66A7"/>
    <w:pPr>
      <w:autoSpaceDE w:val="0"/>
      <w:autoSpaceDN w:val="0"/>
      <w:adjustRightInd w:val="0"/>
      <w:spacing w:line="241" w:lineRule="atLeast"/>
    </w:pPr>
    <w:rPr>
      <w:rFonts w:ascii="Swis721 Cn BT" w:hAnsi="Swis721 Cn BT"/>
      <w:sz w:val="24"/>
      <w:szCs w:val="24"/>
    </w:rPr>
  </w:style>
  <w:style w:type="paragraph" w:styleId="DocumentMap">
    <w:name w:val="Document Map"/>
    <w:basedOn w:val="Normal"/>
    <w:link w:val="DocumentMapChar"/>
    <w:semiHidden/>
    <w:rsid w:val="00DB66A7"/>
    <w:pPr>
      <w:shd w:val="clear" w:color="auto" w:fill="000080"/>
    </w:pPr>
    <w:rPr>
      <w:rFonts w:ascii="Tahoma" w:hAnsi="Tahoma"/>
    </w:rPr>
  </w:style>
  <w:style w:type="character" w:customStyle="1" w:styleId="DocumentMapChar">
    <w:name w:val="Document Map Char"/>
    <w:link w:val="DocumentMap"/>
    <w:semiHidden/>
    <w:rsid w:val="00DB66A7"/>
    <w:rPr>
      <w:rFonts w:ascii="Tahoma" w:eastAsia="Times New Roman" w:hAnsi="Tahoma" w:cs="Tahoma"/>
      <w:sz w:val="20"/>
      <w:szCs w:val="20"/>
      <w:shd w:val="clear" w:color="auto" w:fill="000080"/>
      <w:lang w:val="en-US" w:eastAsia="hr-HR"/>
    </w:rPr>
  </w:style>
  <w:style w:type="paragraph" w:customStyle="1" w:styleId="CharCharCharChar1CharChar">
    <w:name w:val="Char Char Char Char1 Char Char"/>
    <w:basedOn w:val="Normal"/>
    <w:rsid w:val="00DB66A7"/>
    <w:pPr>
      <w:spacing w:after="160" w:line="240" w:lineRule="exact"/>
    </w:pPr>
    <w:rPr>
      <w:rFonts w:ascii="Tahoma" w:hAnsi="Tahoma"/>
      <w:lang w:eastAsia="en-US"/>
    </w:rPr>
  </w:style>
  <w:style w:type="paragraph" w:styleId="BodyText">
    <w:name w:val="Body Text"/>
    <w:basedOn w:val="Normal"/>
    <w:link w:val="BodyTextChar"/>
    <w:rsid w:val="00DB66A7"/>
    <w:pPr>
      <w:jc w:val="both"/>
    </w:pPr>
    <w:rPr>
      <w:sz w:val="24"/>
      <w:szCs w:val="24"/>
    </w:rPr>
  </w:style>
  <w:style w:type="character" w:customStyle="1" w:styleId="BodyTextChar">
    <w:name w:val="Body Text Char"/>
    <w:link w:val="BodyText"/>
    <w:rsid w:val="00DB66A7"/>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DB66A7"/>
    <w:pPr>
      <w:tabs>
        <w:tab w:val="center" w:pos="4536"/>
        <w:tab w:val="right" w:pos="9072"/>
      </w:tabs>
    </w:pPr>
  </w:style>
  <w:style w:type="character" w:customStyle="1" w:styleId="FooterChar">
    <w:name w:val="Footer Char"/>
    <w:link w:val="Footer"/>
    <w:uiPriority w:val="99"/>
    <w:rsid w:val="00DB66A7"/>
    <w:rPr>
      <w:rFonts w:ascii="Times New Roman" w:eastAsia="Times New Roman" w:hAnsi="Times New Roman" w:cs="Times New Roman"/>
      <w:sz w:val="20"/>
      <w:szCs w:val="20"/>
      <w:lang w:val="en-US" w:eastAsia="hr-HR"/>
    </w:rPr>
  </w:style>
  <w:style w:type="character" w:styleId="PageNumber">
    <w:name w:val="page number"/>
    <w:basedOn w:val="DefaultParagraphFont"/>
    <w:rsid w:val="00DB66A7"/>
  </w:style>
  <w:style w:type="paragraph" w:customStyle="1" w:styleId="CharCharCharCharCharChar1Char">
    <w:name w:val="Char Char Char Char Char Char1 Char"/>
    <w:basedOn w:val="Normal"/>
    <w:rsid w:val="00DB66A7"/>
    <w:pPr>
      <w:spacing w:after="160" w:line="240" w:lineRule="exact"/>
    </w:pPr>
    <w:rPr>
      <w:rFonts w:ascii="Tahoma" w:hAnsi="Tahoma"/>
      <w:lang w:eastAsia="en-US"/>
    </w:rPr>
  </w:style>
  <w:style w:type="paragraph" w:customStyle="1" w:styleId="CharChar1CharChar">
    <w:name w:val="Char Char1 Char Char"/>
    <w:basedOn w:val="Normal"/>
    <w:rsid w:val="00DB66A7"/>
    <w:pPr>
      <w:spacing w:after="160" w:line="240" w:lineRule="exact"/>
    </w:pPr>
    <w:rPr>
      <w:rFonts w:ascii="Tahoma" w:hAnsi="Tahoma"/>
      <w:lang w:eastAsia="en-US"/>
    </w:rPr>
  </w:style>
  <w:style w:type="character" w:styleId="Strong">
    <w:name w:val="Strong"/>
    <w:uiPriority w:val="22"/>
    <w:qFormat/>
    <w:rsid w:val="00DB66A7"/>
    <w:rPr>
      <w:b/>
      <w:bCs/>
    </w:rPr>
  </w:style>
  <w:style w:type="paragraph" w:customStyle="1" w:styleId="CarattereCarattereCarattereCarattereCarattereCarattereCarattereCarattereCarattereCarattereCharChar1CharCharCharChar">
    <w:name w:val="Carattere Carattere Carattere Carattere Carattere Carattere Carattere Carattere Carattere Carattere Char Char1 Char Char Char Char"/>
    <w:basedOn w:val="Normal"/>
    <w:rsid w:val="00DB66A7"/>
    <w:pPr>
      <w:spacing w:after="160" w:line="240" w:lineRule="exact"/>
    </w:pPr>
    <w:rPr>
      <w:rFonts w:ascii="Tahoma" w:hAnsi="Tahoma"/>
      <w:lang w:eastAsia="en-US"/>
    </w:rPr>
  </w:style>
  <w:style w:type="paragraph" w:customStyle="1" w:styleId="CharChar1">
    <w:name w:val="Char Char1"/>
    <w:basedOn w:val="Normal"/>
    <w:rsid w:val="00DB66A7"/>
    <w:pPr>
      <w:spacing w:after="160" w:line="240" w:lineRule="exact"/>
    </w:pPr>
    <w:rPr>
      <w:rFonts w:ascii="Tahoma" w:hAnsi="Tahoma"/>
      <w:lang w:eastAsia="en-US"/>
    </w:rPr>
  </w:style>
  <w:style w:type="paragraph" w:customStyle="1" w:styleId="CharCharCharChar1CharCharCharChar">
    <w:name w:val="Char Char Char Char1 Char Char Char Char"/>
    <w:basedOn w:val="Normal"/>
    <w:rsid w:val="00DB66A7"/>
    <w:pPr>
      <w:spacing w:after="160" w:line="240" w:lineRule="exact"/>
    </w:pPr>
    <w:rPr>
      <w:rFonts w:ascii="Verdana" w:hAnsi="Verdana"/>
      <w:lang w:eastAsia="en-US"/>
    </w:rPr>
  </w:style>
  <w:style w:type="paragraph" w:styleId="Header">
    <w:name w:val="header"/>
    <w:basedOn w:val="Normal"/>
    <w:link w:val="HeaderChar"/>
    <w:uiPriority w:val="99"/>
    <w:rsid w:val="00DB66A7"/>
    <w:pPr>
      <w:tabs>
        <w:tab w:val="center" w:pos="4536"/>
        <w:tab w:val="right" w:pos="9072"/>
      </w:tabs>
    </w:pPr>
  </w:style>
  <w:style w:type="character" w:customStyle="1" w:styleId="HeaderChar">
    <w:name w:val="Header Char"/>
    <w:link w:val="Header"/>
    <w:uiPriority w:val="99"/>
    <w:rsid w:val="00DB66A7"/>
    <w:rPr>
      <w:rFonts w:ascii="Times New Roman" w:eastAsia="Times New Roman" w:hAnsi="Times New Roman" w:cs="Times New Roman"/>
      <w:sz w:val="20"/>
      <w:szCs w:val="20"/>
      <w:lang w:val="en-US" w:eastAsia="hr-HR"/>
    </w:rPr>
  </w:style>
  <w:style w:type="paragraph" w:customStyle="1" w:styleId="naslov1">
    <w:name w:val="naslov 1"/>
    <w:basedOn w:val="Normal"/>
    <w:rsid w:val="00DB66A7"/>
    <w:pPr>
      <w:numPr>
        <w:numId w:val="1"/>
      </w:numPr>
      <w:jc w:val="both"/>
    </w:pPr>
    <w:rPr>
      <w:b/>
      <w:spacing w:val="-2"/>
      <w:sz w:val="24"/>
      <w:szCs w:val="24"/>
      <w:u w:val="single"/>
      <w:lang w:val="en-GB" w:eastAsia="en-US"/>
    </w:rPr>
  </w:style>
  <w:style w:type="paragraph" w:customStyle="1" w:styleId="naslov2">
    <w:name w:val="naslov 2"/>
    <w:basedOn w:val="Normal"/>
    <w:link w:val="naslov2Char"/>
    <w:rsid w:val="00DB66A7"/>
    <w:pPr>
      <w:numPr>
        <w:ilvl w:val="1"/>
        <w:numId w:val="1"/>
      </w:numPr>
      <w:autoSpaceDE w:val="0"/>
      <w:autoSpaceDN w:val="0"/>
      <w:adjustRightInd w:val="0"/>
      <w:jc w:val="both"/>
    </w:pPr>
    <w:rPr>
      <w:b/>
      <w:spacing w:val="-2"/>
      <w:sz w:val="24"/>
      <w:lang w:val="en-GB" w:eastAsia="en-US"/>
    </w:rPr>
  </w:style>
  <w:style w:type="character" w:customStyle="1" w:styleId="FootnoteTextCharCharChar1">
    <w:name w:val="Footnote Text Char Char Char1"/>
    <w:aliases w:val="Fußnote Char1,single space Char1,footnote text Char1,FOOTNOTES Char1,fn Char1,Podrozdział Char1,Footnote Char1,Fußnotentextf Char1,stile 1 Char1,Footnote1 Char1,Footnote2 Char1,Footnote3 Char1,Footnote4 Char1,Footnote6 Char"/>
    <w:semiHidden/>
    <w:rsid w:val="00DB66A7"/>
    <w:rPr>
      <w:rFonts w:eastAsia="SimSun"/>
      <w:lang w:val="en-IE" w:eastAsia="zh-CN"/>
    </w:rPr>
  </w:style>
  <w:style w:type="paragraph" w:customStyle="1" w:styleId="Normalwithspaces">
    <w:name w:val="Normal with spaces"/>
    <w:basedOn w:val="Normal"/>
    <w:link w:val="NormalwithspacesChar"/>
    <w:qFormat/>
    <w:rsid w:val="00DB66A7"/>
    <w:pPr>
      <w:ind w:firstLine="720"/>
      <w:jc w:val="both"/>
    </w:pPr>
    <w:rPr>
      <w:spacing w:val="-2"/>
      <w:sz w:val="24"/>
    </w:rPr>
  </w:style>
  <w:style w:type="character" w:customStyle="1" w:styleId="NormalwithspacesChar">
    <w:name w:val="Normal with spaces Char"/>
    <w:link w:val="Normalwithspaces"/>
    <w:rsid w:val="00DB66A7"/>
    <w:rPr>
      <w:rFonts w:ascii="Times New Roman" w:eastAsia="Times New Roman" w:hAnsi="Times New Roman" w:cs="Times New Roman"/>
      <w:spacing w:val="-2"/>
      <w:sz w:val="24"/>
      <w:szCs w:val="20"/>
      <w:lang w:val="en-US"/>
    </w:rPr>
  </w:style>
  <w:style w:type="paragraph" w:customStyle="1" w:styleId="CharCharCharChar3">
    <w:name w:val="Char Char Char Char3"/>
    <w:basedOn w:val="Normal"/>
    <w:rsid w:val="00DB66A7"/>
    <w:pPr>
      <w:spacing w:after="160" w:line="240" w:lineRule="exact"/>
    </w:pPr>
    <w:rPr>
      <w:rFonts w:ascii="Tahoma" w:hAnsi="Tahoma"/>
      <w:lang w:eastAsia="en-US"/>
    </w:rPr>
  </w:style>
  <w:style w:type="paragraph" w:customStyle="1" w:styleId="Text1">
    <w:name w:val="Text 1"/>
    <w:basedOn w:val="Normal"/>
    <w:rsid w:val="00DB66A7"/>
    <w:pPr>
      <w:spacing w:after="240"/>
      <w:ind w:left="482"/>
      <w:jc w:val="both"/>
    </w:pPr>
    <w:rPr>
      <w:sz w:val="24"/>
      <w:lang w:val="en-GB" w:eastAsia="en-US"/>
    </w:rPr>
  </w:style>
  <w:style w:type="character" w:styleId="Hyperlink">
    <w:name w:val="Hyperlink"/>
    <w:uiPriority w:val="99"/>
    <w:rsid w:val="00DB66A7"/>
    <w:rPr>
      <w:color w:val="0000FF"/>
      <w:u w:val="single"/>
    </w:rPr>
  </w:style>
  <w:style w:type="paragraph" w:customStyle="1" w:styleId="ColorfulList-Accent12">
    <w:name w:val="Colorful List - Accent 12"/>
    <w:basedOn w:val="Normal"/>
    <w:rsid w:val="00DB66A7"/>
    <w:pPr>
      <w:spacing w:after="200" w:line="276" w:lineRule="auto"/>
      <w:ind w:left="720"/>
      <w:contextualSpacing/>
    </w:pPr>
    <w:rPr>
      <w:rFonts w:ascii="Calibri" w:hAnsi="Calibri"/>
      <w:sz w:val="22"/>
      <w:szCs w:val="22"/>
      <w:lang w:eastAsia="en-US"/>
    </w:rPr>
  </w:style>
  <w:style w:type="paragraph" w:styleId="NormalWeb">
    <w:name w:val="Normal (Web)"/>
    <w:basedOn w:val="Normal"/>
    <w:uiPriority w:val="99"/>
    <w:rsid w:val="00DB66A7"/>
    <w:pPr>
      <w:spacing w:before="100" w:beforeAutospacing="1" w:after="100" w:afterAutospacing="1"/>
    </w:pPr>
    <w:rPr>
      <w:sz w:val="24"/>
      <w:szCs w:val="24"/>
    </w:rPr>
  </w:style>
  <w:style w:type="character" w:customStyle="1" w:styleId="hps">
    <w:name w:val="hps"/>
    <w:basedOn w:val="DefaultParagraphFont"/>
    <w:rsid w:val="00DB66A7"/>
  </w:style>
  <w:style w:type="character" w:customStyle="1" w:styleId="naslov2Char">
    <w:name w:val="naslov 2 Char"/>
    <w:link w:val="naslov2"/>
    <w:rsid w:val="00DB66A7"/>
    <w:rPr>
      <w:rFonts w:ascii="Times New Roman" w:eastAsia="Times New Roman" w:hAnsi="Times New Roman" w:cs="Times New Roman"/>
      <w:b/>
      <w:spacing w:val="-2"/>
      <w:sz w:val="24"/>
      <w:lang w:val="en-GB" w:eastAsia="en-US"/>
    </w:rPr>
  </w:style>
  <w:style w:type="paragraph" w:customStyle="1" w:styleId="ColorfulShading-Accent11">
    <w:name w:val="Colorful Shading - Accent 11"/>
    <w:hidden/>
    <w:uiPriority w:val="99"/>
    <w:semiHidden/>
    <w:rsid w:val="00DB66A7"/>
    <w:rPr>
      <w:rFonts w:ascii="Times New Roman" w:eastAsia="Times New Roman" w:hAnsi="Times New Roman" w:cs="Times New Roman"/>
      <w:lang w:val="en-US"/>
    </w:rPr>
  </w:style>
  <w:style w:type="paragraph" w:customStyle="1" w:styleId="ColorfulList-Accent11">
    <w:name w:val="Colorful List - Accent 11"/>
    <w:basedOn w:val="Normal"/>
    <w:qFormat/>
    <w:rsid w:val="00DB66A7"/>
    <w:pPr>
      <w:spacing w:after="200" w:line="276" w:lineRule="auto"/>
      <w:ind w:left="720"/>
      <w:contextualSpacing/>
    </w:pPr>
    <w:rPr>
      <w:rFonts w:ascii="Calibri" w:eastAsia="Calibri" w:hAnsi="Calibri" w:cs="Arial"/>
      <w:sz w:val="22"/>
      <w:szCs w:val="22"/>
      <w:lang w:eastAsia="en-US"/>
    </w:rPr>
  </w:style>
  <w:style w:type="paragraph" w:customStyle="1" w:styleId="t-9-8">
    <w:name w:val="t-9-8"/>
    <w:basedOn w:val="Normal"/>
    <w:rsid w:val="00EE4C4D"/>
    <w:pPr>
      <w:spacing w:before="100" w:beforeAutospacing="1" w:after="100" w:afterAutospacing="1"/>
    </w:pPr>
    <w:rPr>
      <w:sz w:val="24"/>
      <w:szCs w:val="24"/>
      <w:lang w:bidi="ta-IN"/>
    </w:rPr>
  </w:style>
  <w:style w:type="character" w:customStyle="1" w:styleId="A9">
    <w:name w:val="A9"/>
    <w:uiPriority w:val="99"/>
    <w:rsid w:val="00126F22"/>
    <w:rPr>
      <w:rFonts w:cs="Swis721 Cn BT"/>
      <w:color w:val="000000"/>
      <w:sz w:val="18"/>
      <w:szCs w:val="18"/>
    </w:rPr>
  </w:style>
  <w:style w:type="character" w:styleId="Emphasis">
    <w:name w:val="Emphasis"/>
    <w:uiPriority w:val="20"/>
    <w:qFormat/>
    <w:rsid w:val="008B1F3A"/>
    <w:rPr>
      <w:i/>
      <w:iCs/>
    </w:rPr>
  </w:style>
  <w:style w:type="paragraph" w:styleId="ListParagraph">
    <w:name w:val="List Paragraph"/>
    <w:aliases w:val="List Paragraph compact,Normal bullet 2,Paragraphe de liste 2,Reference list,Bullet list,Numbered List,1st level - Bullet List Paragraph,Lettre d'introduction,Paragraph,Bullet EY,List Paragraph11,Normal bullet 21,List L1,L,List Paragraph R"/>
    <w:basedOn w:val="Normal"/>
    <w:link w:val="ListParagraphChar"/>
    <w:uiPriority w:val="34"/>
    <w:qFormat/>
    <w:rsid w:val="00263CB1"/>
    <w:pPr>
      <w:ind w:left="720"/>
      <w:contextualSpacing/>
    </w:pPr>
  </w:style>
  <w:style w:type="paragraph" w:styleId="NoSpacing">
    <w:name w:val="No Spacing"/>
    <w:uiPriority w:val="1"/>
    <w:qFormat/>
    <w:rsid w:val="0088739A"/>
    <w:rPr>
      <w:rFonts w:cs="Times New Roman"/>
      <w:sz w:val="22"/>
      <w:szCs w:val="22"/>
      <w:lang w:eastAsia="en-US"/>
    </w:rPr>
  </w:style>
  <w:style w:type="paragraph" w:styleId="EndnoteText">
    <w:name w:val="endnote text"/>
    <w:basedOn w:val="Normal"/>
    <w:link w:val="EndnoteTextChar"/>
    <w:rsid w:val="00250073"/>
  </w:style>
  <w:style w:type="character" w:customStyle="1" w:styleId="EndnoteTextChar">
    <w:name w:val="Endnote Text Char"/>
    <w:link w:val="EndnoteText"/>
    <w:rsid w:val="00250073"/>
    <w:rPr>
      <w:rFonts w:ascii="Times New Roman" w:eastAsia="Times New Roman" w:hAnsi="Times New Roman" w:cs="Times New Roman"/>
      <w:lang w:val="en-US"/>
    </w:rPr>
  </w:style>
  <w:style w:type="character" w:styleId="EndnoteReference">
    <w:name w:val="endnote reference"/>
    <w:rsid w:val="00250073"/>
    <w:rPr>
      <w:vertAlign w:val="superscript"/>
    </w:rPr>
  </w:style>
  <w:style w:type="paragraph" w:customStyle="1" w:styleId="CharChar11">
    <w:name w:val="Char Char11"/>
    <w:basedOn w:val="Normal"/>
    <w:rsid w:val="00F768CF"/>
    <w:pPr>
      <w:tabs>
        <w:tab w:val="left" w:pos="709"/>
      </w:tabs>
    </w:pPr>
    <w:rPr>
      <w:rFonts w:ascii="Tahoma" w:hAnsi="Tahoma"/>
      <w:sz w:val="24"/>
      <w:szCs w:val="24"/>
      <w:lang w:val="pl-PL" w:eastAsia="pl-PL"/>
    </w:rPr>
  </w:style>
  <w:style w:type="character" w:customStyle="1" w:styleId="longtext">
    <w:name w:val="long_text"/>
    <w:rsid w:val="009962BE"/>
  </w:style>
  <w:style w:type="paragraph" w:styleId="TOC2">
    <w:name w:val="toc 2"/>
    <w:basedOn w:val="Normal"/>
    <w:next w:val="Normal"/>
    <w:autoRedefine/>
    <w:uiPriority w:val="39"/>
    <w:rsid w:val="0045258D"/>
    <w:pPr>
      <w:tabs>
        <w:tab w:val="left" w:pos="454"/>
        <w:tab w:val="left" w:pos="1134"/>
        <w:tab w:val="right" w:leader="dot" w:pos="9072"/>
        <w:tab w:val="right" w:leader="dot" w:pos="10206"/>
      </w:tabs>
      <w:spacing w:before="120"/>
      <w:ind w:left="1134" w:right="454" w:hanging="680"/>
      <w:jc w:val="both"/>
    </w:pPr>
    <w:rPr>
      <w:rFonts w:eastAsia="Calibri"/>
      <w:bCs/>
      <w:noProof/>
      <w:sz w:val="24"/>
      <w:szCs w:val="24"/>
      <w:lang w:eastAsia="en-US"/>
    </w:rPr>
  </w:style>
  <w:style w:type="paragraph" w:styleId="TOC1">
    <w:name w:val="toc 1"/>
    <w:basedOn w:val="Normal"/>
    <w:next w:val="Normal"/>
    <w:autoRedefine/>
    <w:uiPriority w:val="39"/>
    <w:rsid w:val="00640658"/>
    <w:pPr>
      <w:tabs>
        <w:tab w:val="left" w:pos="0"/>
        <w:tab w:val="left" w:pos="658"/>
        <w:tab w:val="right" w:leader="dot" w:pos="9072"/>
      </w:tabs>
      <w:spacing w:before="120"/>
      <w:ind w:left="454" w:right="454" w:hanging="454"/>
      <w:jc w:val="both"/>
    </w:pPr>
    <w:rPr>
      <w:noProof/>
      <w:sz w:val="24"/>
      <w:szCs w:val="24"/>
    </w:rPr>
  </w:style>
  <w:style w:type="paragraph" w:styleId="TOC3">
    <w:name w:val="toc 3"/>
    <w:basedOn w:val="Normal"/>
    <w:next w:val="Normal"/>
    <w:autoRedefine/>
    <w:uiPriority w:val="39"/>
    <w:rsid w:val="006A3566"/>
    <w:pPr>
      <w:tabs>
        <w:tab w:val="left" w:pos="880"/>
        <w:tab w:val="left" w:pos="1320"/>
        <w:tab w:val="left" w:pos="1600"/>
        <w:tab w:val="right" w:leader="dot" w:pos="10206"/>
      </w:tabs>
      <w:spacing w:before="60"/>
      <w:ind w:left="1361" w:hanging="907"/>
    </w:pPr>
    <w:rPr>
      <w:noProof/>
      <w:sz w:val="24"/>
      <w:szCs w:val="24"/>
    </w:rPr>
  </w:style>
  <w:style w:type="paragraph" w:styleId="TOCHeading">
    <w:name w:val="TOC Heading"/>
    <w:basedOn w:val="Heading1"/>
    <w:next w:val="Normal"/>
    <w:uiPriority w:val="39"/>
    <w:unhideWhenUsed/>
    <w:qFormat/>
    <w:rsid w:val="000D7965"/>
    <w:pPr>
      <w:keepLines/>
      <w:spacing w:before="480" w:line="276" w:lineRule="auto"/>
      <w:outlineLvl w:val="9"/>
    </w:pPr>
    <w:rPr>
      <w:rFonts w:ascii="Cambria" w:eastAsia="MS Gothic" w:hAnsi="Cambria"/>
      <w:b w:val="0"/>
      <w:bCs/>
      <w:color w:val="365F91"/>
      <w:szCs w:val="28"/>
      <w:lang w:eastAsia="ja-JP"/>
    </w:rPr>
  </w:style>
  <w:style w:type="paragraph" w:styleId="TOC9">
    <w:name w:val="toc 9"/>
    <w:basedOn w:val="Normal"/>
    <w:next w:val="Normal"/>
    <w:autoRedefine/>
    <w:uiPriority w:val="39"/>
    <w:rsid w:val="000D7965"/>
    <w:pPr>
      <w:ind w:left="1600"/>
    </w:pPr>
  </w:style>
  <w:style w:type="character" w:customStyle="1" w:styleId="atn">
    <w:name w:val="atn"/>
    <w:rsid w:val="0000358A"/>
  </w:style>
  <w:style w:type="paragraph" w:customStyle="1" w:styleId="headingizvj">
    <w:name w:val="heading izvj"/>
    <w:basedOn w:val="Normal"/>
    <w:link w:val="headingizvjChar"/>
    <w:qFormat/>
    <w:rsid w:val="009B3683"/>
    <w:pPr>
      <w:spacing w:after="120"/>
      <w:jc w:val="both"/>
    </w:pPr>
    <w:rPr>
      <w:b/>
      <w:sz w:val="28"/>
      <w:szCs w:val="28"/>
      <w:lang w:eastAsia="en-US"/>
    </w:rPr>
  </w:style>
  <w:style w:type="paragraph" w:customStyle="1" w:styleId="Style1">
    <w:name w:val="Style1"/>
    <w:basedOn w:val="Heading3"/>
    <w:qFormat/>
    <w:rsid w:val="00E00A85"/>
  </w:style>
  <w:style w:type="character" w:customStyle="1" w:styleId="headingizvjChar">
    <w:name w:val="heading izvj Char"/>
    <w:link w:val="headingizvj"/>
    <w:rsid w:val="009B3683"/>
    <w:rPr>
      <w:rFonts w:ascii="Times New Roman" w:eastAsia="Times New Roman" w:hAnsi="Times New Roman" w:cs="Times New Roman"/>
      <w:b/>
      <w:sz w:val="28"/>
      <w:szCs w:val="28"/>
      <w:lang w:val="en-US" w:eastAsia="en-US"/>
    </w:rPr>
  </w:style>
  <w:style w:type="paragraph" w:styleId="Caption">
    <w:name w:val="caption"/>
    <w:basedOn w:val="Normal"/>
    <w:next w:val="Normal"/>
    <w:unhideWhenUsed/>
    <w:rsid w:val="003035D7"/>
    <w:pPr>
      <w:spacing w:after="200"/>
    </w:pPr>
    <w:rPr>
      <w:b/>
      <w:bCs/>
      <w:color w:val="4F81BD" w:themeColor="accent1"/>
      <w:sz w:val="18"/>
      <w:szCs w:val="18"/>
    </w:rPr>
  </w:style>
  <w:style w:type="character" w:styleId="FollowedHyperlink">
    <w:name w:val="FollowedHyperlink"/>
    <w:basedOn w:val="DefaultParagraphFont"/>
    <w:rsid w:val="003035D7"/>
    <w:rPr>
      <w:color w:val="800080" w:themeColor="followedHyperlink"/>
      <w:u w:val="single"/>
    </w:rPr>
  </w:style>
  <w:style w:type="character" w:customStyle="1" w:styleId="st">
    <w:name w:val="st"/>
    <w:basedOn w:val="DefaultParagraphFont"/>
    <w:rsid w:val="00873FF4"/>
  </w:style>
  <w:style w:type="paragraph" w:styleId="TableofFigures">
    <w:name w:val="table of figures"/>
    <w:basedOn w:val="Normal"/>
    <w:next w:val="Normal"/>
    <w:uiPriority w:val="99"/>
    <w:rsid w:val="00C5242E"/>
  </w:style>
  <w:style w:type="paragraph" w:styleId="Revision">
    <w:name w:val="Revision"/>
    <w:hidden/>
    <w:uiPriority w:val="99"/>
    <w:semiHidden/>
    <w:rsid w:val="001A3344"/>
    <w:rPr>
      <w:rFonts w:ascii="Times New Roman" w:eastAsia="Times New Roman" w:hAnsi="Times New Roman" w:cs="Times New Roman"/>
      <w:lang w:val="en-US"/>
    </w:rPr>
  </w:style>
  <w:style w:type="paragraph" w:customStyle="1" w:styleId="CM1">
    <w:name w:val="CM1"/>
    <w:basedOn w:val="Normal"/>
    <w:next w:val="Normal"/>
    <w:rsid w:val="004400F0"/>
    <w:pPr>
      <w:autoSpaceDE w:val="0"/>
      <w:autoSpaceDN w:val="0"/>
      <w:adjustRightInd w:val="0"/>
    </w:pPr>
    <w:rPr>
      <w:rFonts w:ascii="EUAlbertina" w:hAnsi="EUAlbertina"/>
      <w:color w:val="000000"/>
      <w:sz w:val="24"/>
      <w:szCs w:val="24"/>
      <w:lang w:val="en-GB"/>
    </w:rPr>
  </w:style>
  <w:style w:type="paragraph" w:customStyle="1" w:styleId="CM4">
    <w:name w:val="CM4"/>
    <w:basedOn w:val="Normal"/>
    <w:next w:val="Normal"/>
    <w:rsid w:val="004400F0"/>
    <w:pPr>
      <w:autoSpaceDE w:val="0"/>
      <w:autoSpaceDN w:val="0"/>
      <w:adjustRightInd w:val="0"/>
    </w:pPr>
    <w:rPr>
      <w:rFonts w:ascii="EUAlbertina" w:hAnsi="EUAlbertina"/>
      <w:sz w:val="24"/>
      <w:szCs w:val="24"/>
      <w:lang w:val="en-GB"/>
    </w:rPr>
  </w:style>
  <w:style w:type="paragraph" w:customStyle="1" w:styleId="clanak">
    <w:name w:val="clanak"/>
    <w:basedOn w:val="Normal"/>
    <w:rsid w:val="009E4E9C"/>
    <w:pPr>
      <w:spacing w:before="100" w:beforeAutospacing="1" w:after="100" w:afterAutospacing="1"/>
      <w:jc w:val="center"/>
    </w:pPr>
    <w:rPr>
      <w:sz w:val="24"/>
      <w:szCs w:val="24"/>
    </w:rPr>
  </w:style>
  <w:style w:type="table" w:customStyle="1" w:styleId="TableGrid10">
    <w:name w:val="Table Grid1"/>
    <w:basedOn w:val="TableNormal"/>
    <w:next w:val="TableGrid"/>
    <w:rsid w:val="004308D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urziv">
    <w:name w:val="kurziv"/>
    <w:basedOn w:val="DefaultParagraphFont"/>
    <w:rsid w:val="00E262A6"/>
  </w:style>
  <w:style w:type="character" w:styleId="LineNumber">
    <w:name w:val="line number"/>
    <w:basedOn w:val="DefaultParagraphFont"/>
    <w:rsid w:val="00BE39CA"/>
  </w:style>
  <w:style w:type="table" w:customStyle="1" w:styleId="TableGrid11">
    <w:name w:val="Table Grid11"/>
    <w:basedOn w:val="TableNormal"/>
    <w:rsid w:val="003B129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7373E2"/>
    <w:rPr>
      <w:rFonts w:cs="Times New Roman"/>
      <w:sz w:val="22"/>
      <w:szCs w:val="22"/>
      <w:lang w:eastAsia="en-US"/>
    </w:rPr>
  </w:style>
  <w:style w:type="paragraph" w:styleId="TOC4">
    <w:name w:val="toc 4"/>
    <w:basedOn w:val="Normal"/>
    <w:next w:val="Normal"/>
    <w:autoRedefine/>
    <w:uiPriority w:val="39"/>
    <w:unhideWhenUsed/>
    <w:rsid w:val="00506952"/>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506952"/>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506952"/>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506952"/>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06952"/>
    <w:pPr>
      <w:spacing w:after="100" w:line="276" w:lineRule="auto"/>
      <w:ind w:left="1540"/>
    </w:pPr>
    <w:rPr>
      <w:rFonts w:asciiTheme="minorHAnsi" w:eastAsiaTheme="minorEastAsia" w:hAnsiTheme="minorHAnsi" w:cstheme="minorBidi"/>
      <w:sz w:val="22"/>
      <w:szCs w:val="22"/>
    </w:rPr>
  </w:style>
  <w:style w:type="table" w:customStyle="1" w:styleId="TableGrid2">
    <w:name w:val="Table Grid2"/>
    <w:basedOn w:val="TableNormal"/>
    <w:next w:val="TableGrid"/>
    <w:uiPriority w:val="59"/>
    <w:rsid w:val="00683945"/>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0137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rsid w:val="003D3EDB"/>
    <w:pPr>
      <w:spacing w:after="160" w:line="240" w:lineRule="exact"/>
    </w:pPr>
    <w:rPr>
      <w:rFonts w:ascii="Calibri" w:eastAsia="Calibri" w:hAnsi="Calibri" w:cs="Helvetica"/>
      <w:vertAlign w:val="superscript"/>
    </w:rPr>
  </w:style>
  <w:style w:type="paragraph" w:customStyle="1" w:styleId="GIPGillMSSans11hangingwithnumeration">
    <w:name w:val="GIP Gill MS Sans 11 hanging with numeration"/>
    <w:basedOn w:val="Normal"/>
    <w:qFormat/>
    <w:rsid w:val="003D3EDB"/>
    <w:pPr>
      <w:tabs>
        <w:tab w:val="left" w:pos="0"/>
      </w:tabs>
      <w:spacing w:beforeLines="100" w:afterLines="1"/>
      <w:ind w:hanging="1134"/>
      <w:jc w:val="both"/>
    </w:pPr>
    <w:rPr>
      <w:rFonts w:ascii="Gill Sans MT" w:eastAsia="Calibri" w:hAnsi="Gill Sans MT" w:cs="Arial"/>
      <w:sz w:val="22"/>
      <w:szCs w:val="28"/>
      <w:lang w:eastAsia="en-US"/>
    </w:rPr>
  </w:style>
  <w:style w:type="character" w:customStyle="1" w:styleId="Heading4Char">
    <w:name w:val="Heading 4 Char"/>
    <w:basedOn w:val="DefaultParagraphFont"/>
    <w:link w:val="Heading4"/>
    <w:rsid w:val="003B15A4"/>
    <w:rPr>
      <w:rFonts w:ascii="Times New Roman" w:eastAsiaTheme="majorEastAsia" w:hAnsi="Times New Roman" w:cstheme="majorBidi"/>
      <w:iCs/>
      <w:sz w:val="22"/>
      <w:lang w:val="en-US"/>
    </w:rPr>
  </w:style>
  <w:style w:type="character" w:customStyle="1" w:styleId="Heading5Char">
    <w:name w:val="Heading 5 Char"/>
    <w:basedOn w:val="DefaultParagraphFont"/>
    <w:link w:val="Heading5"/>
    <w:semiHidden/>
    <w:rsid w:val="003B15A4"/>
    <w:rPr>
      <w:rFonts w:asciiTheme="majorHAnsi" w:eastAsiaTheme="majorEastAsia" w:hAnsiTheme="majorHAnsi" w:cstheme="majorBidi"/>
      <w:color w:val="365F91" w:themeColor="accent1" w:themeShade="BF"/>
      <w:lang w:val="en-US"/>
    </w:rPr>
  </w:style>
  <w:style w:type="character" w:customStyle="1" w:styleId="Heading6Char">
    <w:name w:val="Heading 6 Char"/>
    <w:basedOn w:val="DefaultParagraphFont"/>
    <w:link w:val="Heading6"/>
    <w:semiHidden/>
    <w:rsid w:val="003B15A4"/>
    <w:rPr>
      <w:rFonts w:asciiTheme="majorHAnsi" w:eastAsiaTheme="majorEastAsia" w:hAnsiTheme="majorHAnsi" w:cstheme="majorBidi"/>
      <w:color w:val="243F60" w:themeColor="accent1" w:themeShade="7F"/>
      <w:lang w:val="en-US"/>
    </w:rPr>
  </w:style>
  <w:style w:type="character" w:customStyle="1" w:styleId="Heading7Char">
    <w:name w:val="Heading 7 Char"/>
    <w:basedOn w:val="DefaultParagraphFont"/>
    <w:link w:val="Heading7"/>
    <w:semiHidden/>
    <w:rsid w:val="003B15A4"/>
    <w:rPr>
      <w:rFonts w:asciiTheme="majorHAnsi" w:eastAsiaTheme="majorEastAsia" w:hAnsiTheme="majorHAnsi" w:cstheme="majorBidi"/>
      <w:i/>
      <w:iCs/>
      <w:color w:val="243F60" w:themeColor="accent1" w:themeShade="7F"/>
      <w:lang w:val="en-US"/>
    </w:rPr>
  </w:style>
  <w:style w:type="character" w:customStyle="1" w:styleId="Heading8Char">
    <w:name w:val="Heading 8 Char"/>
    <w:basedOn w:val="DefaultParagraphFont"/>
    <w:link w:val="Heading8"/>
    <w:semiHidden/>
    <w:rsid w:val="003B15A4"/>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semiHidden/>
    <w:rsid w:val="003B15A4"/>
    <w:rPr>
      <w:rFonts w:asciiTheme="majorHAnsi" w:eastAsiaTheme="majorEastAsia" w:hAnsiTheme="majorHAnsi" w:cstheme="majorBidi"/>
      <w:i/>
      <w:iCs/>
      <w:color w:val="272727" w:themeColor="text1" w:themeTint="D8"/>
      <w:sz w:val="21"/>
      <w:szCs w:val="21"/>
      <w:lang w:val="en-US"/>
    </w:rPr>
  </w:style>
  <w:style w:type="numbering" w:customStyle="1" w:styleId="NoList1">
    <w:name w:val="No List1"/>
    <w:next w:val="NoList"/>
    <w:uiPriority w:val="99"/>
    <w:semiHidden/>
    <w:unhideWhenUsed/>
    <w:rsid w:val="00B42605"/>
  </w:style>
  <w:style w:type="table" w:customStyle="1" w:styleId="TableGrid110">
    <w:name w:val="Table Grid 11"/>
    <w:basedOn w:val="TableNormal"/>
    <w:next w:val="TableGrid1"/>
    <w:rsid w:val="00B42605"/>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
    <w:name w:val="Table Grid4"/>
    <w:basedOn w:val="TableNormal"/>
    <w:next w:val="TableGrid"/>
    <w:uiPriority w:val="39"/>
    <w:rsid w:val="00B4260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B4260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B4260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B42605"/>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4260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na16">
    <w:name w:val="tb-na16"/>
    <w:basedOn w:val="Normal"/>
    <w:rsid w:val="006E14F9"/>
    <w:pPr>
      <w:spacing w:before="100" w:beforeAutospacing="1" w:after="100" w:afterAutospacing="1"/>
    </w:pPr>
    <w:rPr>
      <w:sz w:val="24"/>
      <w:szCs w:val="24"/>
    </w:rPr>
  </w:style>
  <w:style w:type="paragraph" w:customStyle="1" w:styleId="ListParagraph1">
    <w:name w:val="List Paragraph1"/>
    <w:basedOn w:val="Normal"/>
    <w:qFormat/>
    <w:rsid w:val="001A60AC"/>
    <w:pPr>
      <w:ind w:left="720"/>
      <w:contextualSpacing/>
    </w:pPr>
    <w:rPr>
      <w:sz w:val="24"/>
      <w:szCs w:val="24"/>
    </w:rPr>
  </w:style>
  <w:style w:type="table" w:customStyle="1" w:styleId="GridTable5Dark-Accent11">
    <w:name w:val="Grid Table 5 Dark - Accent 11"/>
    <w:basedOn w:val="TableNormal"/>
    <w:uiPriority w:val="50"/>
    <w:rsid w:val="003C502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numbering" w:styleId="111111">
    <w:name w:val="Outline List 2"/>
    <w:basedOn w:val="NoList"/>
    <w:semiHidden/>
    <w:unhideWhenUsed/>
    <w:rsid w:val="00965C3F"/>
    <w:pPr>
      <w:numPr>
        <w:numId w:val="2"/>
      </w:numPr>
    </w:pPr>
  </w:style>
  <w:style w:type="character" w:customStyle="1" w:styleId="apple-converted-space">
    <w:name w:val="apple-converted-space"/>
    <w:basedOn w:val="DefaultParagraphFont"/>
    <w:rsid w:val="00EC09A7"/>
  </w:style>
  <w:style w:type="table" w:customStyle="1" w:styleId="GridTable5Dark-Accent1113">
    <w:name w:val="Grid Table 5 Dark - Accent 1113"/>
    <w:basedOn w:val="TableNormal"/>
    <w:uiPriority w:val="50"/>
    <w:rsid w:val="00576E3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1">
    <w:name w:val="Grid Table 5 Dark - Accent 111"/>
    <w:basedOn w:val="TableNormal"/>
    <w:uiPriority w:val="50"/>
    <w:rsid w:val="00801D7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1111111">
    <w:name w:val="1 / 1.1 / 1.1.11"/>
    <w:basedOn w:val="NoList"/>
    <w:next w:val="111111"/>
    <w:semiHidden/>
    <w:unhideWhenUsed/>
    <w:rsid w:val="00801D7B"/>
  </w:style>
  <w:style w:type="table" w:customStyle="1" w:styleId="GridTable5Dark-Accent12">
    <w:name w:val="Grid Table 5 Dark - Accent 12"/>
    <w:basedOn w:val="TableNormal"/>
    <w:uiPriority w:val="50"/>
    <w:rsid w:val="00E336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2">
    <w:name w:val="Grid Table 5 Dark - Accent 112"/>
    <w:basedOn w:val="TableNormal"/>
    <w:uiPriority w:val="50"/>
    <w:rsid w:val="004904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3">
    <w:name w:val="Grid Table 5 Dark - Accent 113"/>
    <w:basedOn w:val="TableNormal"/>
    <w:uiPriority w:val="50"/>
    <w:rsid w:val="00F4709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4">
    <w:name w:val="Grid Table 5 Dark - Accent 114"/>
    <w:basedOn w:val="TableNormal"/>
    <w:uiPriority w:val="50"/>
    <w:rsid w:val="00F4709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numbering" w:customStyle="1" w:styleId="NoList2">
    <w:name w:val="No List2"/>
    <w:next w:val="NoList"/>
    <w:uiPriority w:val="99"/>
    <w:semiHidden/>
    <w:unhideWhenUsed/>
    <w:rsid w:val="0077175C"/>
  </w:style>
  <w:style w:type="table" w:customStyle="1" w:styleId="TableGrid120">
    <w:name w:val="Table Grid 12"/>
    <w:basedOn w:val="TableNormal"/>
    <w:next w:val="TableGrid1"/>
    <w:rsid w:val="0077175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5">
    <w:name w:val="Table Grid5"/>
    <w:basedOn w:val="TableNormal"/>
    <w:next w:val="TableGrid"/>
    <w:uiPriority w:val="39"/>
    <w:rsid w:val="0077175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77175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rsid w:val="0077175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77175C"/>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77175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7175C"/>
  </w:style>
  <w:style w:type="table" w:customStyle="1" w:styleId="TableGrid1110">
    <w:name w:val="Table Grid 111"/>
    <w:basedOn w:val="TableNormal"/>
    <w:next w:val="TableGrid1"/>
    <w:rsid w:val="0077175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39"/>
    <w:rsid w:val="0077175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77175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77175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77175C"/>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77175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5">
    <w:name w:val="Grid Table 5 Dark - Accent 115"/>
    <w:basedOn w:val="TableNormal"/>
    <w:uiPriority w:val="50"/>
    <w:rsid w:val="007717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6">
    <w:name w:val="Grid Table 5 Dark - Accent 116"/>
    <w:basedOn w:val="TableNormal"/>
    <w:uiPriority w:val="50"/>
    <w:rsid w:val="007717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11">
    <w:name w:val="Grid Table 5 Dark - Accent 1111"/>
    <w:basedOn w:val="TableNormal"/>
    <w:uiPriority w:val="50"/>
    <w:rsid w:val="0077175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11111111">
    <w:name w:val="1 / 1.1 / 1.1.111"/>
    <w:basedOn w:val="NoList"/>
    <w:next w:val="111111"/>
    <w:semiHidden/>
    <w:unhideWhenUsed/>
    <w:rsid w:val="0077175C"/>
  </w:style>
  <w:style w:type="table" w:customStyle="1" w:styleId="GridTable5Dark-Accent121">
    <w:name w:val="Grid Table 5 Dark - Accent 121"/>
    <w:basedOn w:val="TableNormal"/>
    <w:uiPriority w:val="50"/>
    <w:rsid w:val="007717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7">
    <w:name w:val="Grid Table 5 Dark - Accent 117"/>
    <w:basedOn w:val="TableNormal"/>
    <w:uiPriority w:val="50"/>
    <w:rsid w:val="007D4DC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numbering" w:customStyle="1" w:styleId="NoList3">
    <w:name w:val="No List3"/>
    <w:next w:val="NoList"/>
    <w:uiPriority w:val="99"/>
    <w:semiHidden/>
    <w:unhideWhenUsed/>
    <w:rsid w:val="00186A86"/>
  </w:style>
  <w:style w:type="table" w:customStyle="1" w:styleId="TableGrid130">
    <w:name w:val="Table Grid 13"/>
    <w:basedOn w:val="TableNormal"/>
    <w:next w:val="TableGrid1"/>
    <w:rsid w:val="00186A86"/>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6">
    <w:name w:val="Table Grid6"/>
    <w:basedOn w:val="TableNormal"/>
    <w:next w:val="TableGrid"/>
    <w:uiPriority w:val="39"/>
    <w:rsid w:val="00186A8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186A8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rsid w:val="00186A8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186A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186A8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86A86"/>
  </w:style>
  <w:style w:type="table" w:customStyle="1" w:styleId="TableGrid1120">
    <w:name w:val="Table Grid 112"/>
    <w:basedOn w:val="TableNormal"/>
    <w:next w:val="TableGrid1"/>
    <w:rsid w:val="00186A86"/>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2">
    <w:name w:val="Table Grid42"/>
    <w:basedOn w:val="TableNormal"/>
    <w:next w:val="TableGrid"/>
    <w:uiPriority w:val="39"/>
    <w:rsid w:val="00186A8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186A8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rsid w:val="00186A8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186A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186A8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8">
    <w:name w:val="Grid Table 5 Dark - Accent 118"/>
    <w:basedOn w:val="TableNormal"/>
    <w:uiPriority w:val="50"/>
    <w:rsid w:val="00186A8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9">
    <w:name w:val="Grid Table 5 Dark - Accent 119"/>
    <w:basedOn w:val="TableNormal"/>
    <w:uiPriority w:val="50"/>
    <w:rsid w:val="00186A8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12">
    <w:name w:val="Grid Table 5 Dark - Accent 1112"/>
    <w:basedOn w:val="TableNormal"/>
    <w:uiPriority w:val="50"/>
    <w:rsid w:val="00186A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11111112">
    <w:name w:val="1 / 1.1 / 1.1.112"/>
    <w:basedOn w:val="NoList"/>
    <w:next w:val="111111"/>
    <w:semiHidden/>
    <w:unhideWhenUsed/>
    <w:rsid w:val="00186A86"/>
  </w:style>
  <w:style w:type="table" w:customStyle="1" w:styleId="GridTable5Dark-Accent122">
    <w:name w:val="Grid Table 5 Dark - Accent 122"/>
    <w:basedOn w:val="TableNormal"/>
    <w:uiPriority w:val="50"/>
    <w:rsid w:val="00186A8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00000000000000">
    <w:name w:val="Grid Table 5 Dark - Accent 1100000000000000"/>
    <w:basedOn w:val="TableNormal"/>
    <w:uiPriority w:val="50"/>
    <w:rsid w:val="001D055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10">
    <w:name w:val="Grid Table 5 Dark - Accent 1110"/>
    <w:basedOn w:val="TableNormal"/>
    <w:uiPriority w:val="50"/>
    <w:rsid w:val="005909F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mnatablicareetke5-isticanje11">
    <w:name w:val="Tamna tablica rešetke 5 - isticanje 11"/>
    <w:basedOn w:val="TableNormal"/>
    <w:uiPriority w:val="50"/>
    <w:rsid w:val="00DD4A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numbering" w:customStyle="1" w:styleId="1111112">
    <w:name w:val="1 / 1.1 / 1.1.12"/>
    <w:basedOn w:val="NoList"/>
    <w:next w:val="111111"/>
    <w:semiHidden/>
    <w:unhideWhenUsed/>
    <w:rsid w:val="00E27DB6"/>
  </w:style>
  <w:style w:type="numbering" w:customStyle="1" w:styleId="1111113">
    <w:name w:val="1 / 1.1 / 1.1.13"/>
    <w:basedOn w:val="NoList"/>
    <w:next w:val="111111"/>
    <w:semiHidden/>
    <w:unhideWhenUsed/>
    <w:rsid w:val="009517A7"/>
  </w:style>
  <w:style w:type="table" w:customStyle="1" w:styleId="TableGrid7">
    <w:name w:val="Table Grid7"/>
    <w:basedOn w:val="TableNormal"/>
    <w:next w:val="TableGrid"/>
    <w:rsid w:val="003679D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lg-91">
    <w:name w:val="col-lg-91"/>
    <w:basedOn w:val="DefaultParagraphFont"/>
    <w:rsid w:val="004B207A"/>
  </w:style>
  <w:style w:type="table" w:customStyle="1" w:styleId="TableGrid8">
    <w:name w:val="Table Grid8"/>
    <w:basedOn w:val="TableNormal"/>
    <w:next w:val="TableGrid"/>
    <w:rsid w:val="000969AF"/>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1 / 1.1 / 1.1.14"/>
    <w:basedOn w:val="NoList"/>
    <w:next w:val="111111"/>
    <w:semiHidden/>
    <w:unhideWhenUsed/>
    <w:rsid w:val="00244B97"/>
  </w:style>
  <w:style w:type="character" w:customStyle="1" w:styleId="UnresolvedMention1">
    <w:name w:val="Unresolved Mention1"/>
    <w:basedOn w:val="DefaultParagraphFont"/>
    <w:uiPriority w:val="99"/>
    <w:semiHidden/>
    <w:unhideWhenUsed/>
    <w:rsid w:val="00B12ACB"/>
    <w:rPr>
      <w:color w:val="605E5C"/>
      <w:shd w:val="clear" w:color="auto" w:fill="E1DFDD"/>
    </w:rPr>
  </w:style>
  <w:style w:type="character" w:customStyle="1" w:styleId="ListParagraphChar">
    <w:name w:val="List Paragraph Char"/>
    <w:aliases w:val="List Paragraph compact Char,Normal bullet 2 Char,Paragraphe de liste 2 Char,Reference list Char,Bullet list Char,Numbered List Char,1st level - Bullet List Paragraph Char,Lettre d'introduction Char,Paragraph Char,Bullet EY Char"/>
    <w:link w:val="ListParagraph"/>
    <w:uiPriority w:val="34"/>
    <w:qFormat/>
    <w:locked/>
    <w:rsid w:val="00F42598"/>
    <w:rPr>
      <w:rFonts w:ascii="Times New Roman" w:eastAsia="Times New Roman" w:hAnsi="Times New Roman" w:cs="Times New Roman"/>
      <w:lang w:val="en-US"/>
    </w:rPr>
  </w:style>
  <w:style w:type="character" w:customStyle="1" w:styleId="UnresolvedMention2">
    <w:name w:val="Unresolved Mention2"/>
    <w:basedOn w:val="DefaultParagraphFont"/>
    <w:uiPriority w:val="99"/>
    <w:semiHidden/>
    <w:unhideWhenUsed/>
    <w:rsid w:val="007500AB"/>
    <w:rPr>
      <w:color w:val="605E5C"/>
      <w:shd w:val="clear" w:color="auto" w:fill="E1DFDD"/>
    </w:rPr>
  </w:style>
  <w:style w:type="character" w:customStyle="1" w:styleId="UnresolvedMention3">
    <w:name w:val="Unresolved Mention3"/>
    <w:basedOn w:val="DefaultParagraphFont"/>
    <w:uiPriority w:val="99"/>
    <w:semiHidden/>
    <w:unhideWhenUsed/>
    <w:rsid w:val="00592491"/>
    <w:rPr>
      <w:color w:val="605E5C"/>
      <w:shd w:val="clear" w:color="auto" w:fill="E1DFDD"/>
    </w:rPr>
  </w:style>
  <w:style w:type="character" w:customStyle="1" w:styleId="UnresolvedMention4">
    <w:name w:val="Unresolved Mention4"/>
    <w:basedOn w:val="DefaultParagraphFont"/>
    <w:uiPriority w:val="99"/>
    <w:semiHidden/>
    <w:unhideWhenUsed/>
    <w:rsid w:val="00BA31D9"/>
    <w:rPr>
      <w:color w:val="605E5C"/>
      <w:shd w:val="clear" w:color="auto" w:fill="E1DFDD"/>
    </w:rPr>
  </w:style>
  <w:style w:type="character" w:customStyle="1" w:styleId="UnresolvedMention5">
    <w:name w:val="Unresolved Mention5"/>
    <w:basedOn w:val="DefaultParagraphFont"/>
    <w:uiPriority w:val="99"/>
    <w:unhideWhenUsed/>
    <w:rsid w:val="00E05B9A"/>
    <w:rPr>
      <w:color w:val="605E5C"/>
      <w:shd w:val="clear" w:color="auto" w:fill="E1DFDD"/>
    </w:rPr>
  </w:style>
  <w:style w:type="character" w:customStyle="1" w:styleId="Mention1">
    <w:name w:val="Mention1"/>
    <w:basedOn w:val="DefaultParagraphFont"/>
    <w:uiPriority w:val="99"/>
    <w:unhideWhenUsed/>
    <w:rsid w:val="00E05B9A"/>
    <w:rPr>
      <w:color w:val="2B579A"/>
      <w:shd w:val="clear" w:color="auto" w:fill="E1DFDD"/>
    </w:rPr>
  </w:style>
  <w:style w:type="character" w:customStyle="1" w:styleId="normaltextrun1">
    <w:name w:val="normaltextrun1"/>
    <w:basedOn w:val="DefaultParagraphFont"/>
    <w:rsid w:val="00A16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783">
      <w:bodyDiv w:val="1"/>
      <w:marLeft w:val="0"/>
      <w:marRight w:val="0"/>
      <w:marTop w:val="0"/>
      <w:marBottom w:val="0"/>
      <w:divBdr>
        <w:top w:val="none" w:sz="0" w:space="0" w:color="auto"/>
        <w:left w:val="none" w:sz="0" w:space="0" w:color="auto"/>
        <w:bottom w:val="none" w:sz="0" w:space="0" w:color="auto"/>
        <w:right w:val="none" w:sz="0" w:space="0" w:color="auto"/>
      </w:divBdr>
    </w:div>
    <w:div w:id="936041">
      <w:bodyDiv w:val="1"/>
      <w:marLeft w:val="0"/>
      <w:marRight w:val="0"/>
      <w:marTop w:val="0"/>
      <w:marBottom w:val="0"/>
      <w:divBdr>
        <w:top w:val="none" w:sz="0" w:space="0" w:color="auto"/>
        <w:left w:val="none" w:sz="0" w:space="0" w:color="auto"/>
        <w:bottom w:val="none" w:sz="0" w:space="0" w:color="auto"/>
        <w:right w:val="none" w:sz="0" w:space="0" w:color="auto"/>
      </w:divBdr>
    </w:div>
    <w:div w:id="9332463">
      <w:bodyDiv w:val="1"/>
      <w:marLeft w:val="0"/>
      <w:marRight w:val="0"/>
      <w:marTop w:val="0"/>
      <w:marBottom w:val="0"/>
      <w:divBdr>
        <w:top w:val="none" w:sz="0" w:space="0" w:color="auto"/>
        <w:left w:val="none" w:sz="0" w:space="0" w:color="auto"/>
        <w:bottom w:val="none" w:sz="0" w:space="0" w:color="auto"/>
        <w:right w:val="none" w:sz="0" w:space="0" w:color="auto"/>
      </w:divBdr>
    </w:div>
    <w:div w:id="12345745">
      <w:bodyDiv w:val="1"/>
      <w:marLeft w:val="0"/>
      <w:marRight w:val="0"/>
      <w:marTop w:val="0"/>
      <w:marBottom w:val="0"/>
      <w:divBdr>
        <w:top w:val="none" w:sz="0" w:space="0" w:color="auto"/>
        <w:left w:val="none" w:sz="0" w:space="0" w:color="auto"/>
        <w:bottom w:val="none" w:sz="0" w:space="0" w:color="auto"/>
        <w:right w:val="none" w:sz="0" w:space="0" w:color="auto"/>
      </w:divBdr>
    </w:div>
    <w:div w:id="16778093">
      <w:bodyDiv w:val="1"/>
      <w:marLeft w:val="0"/>
      <w:marRight w:val="0"/>
      <w:marTop w:val="0"/>
      <w:marBottom w:val="0"/>
      <w:divBdr>
        <w:top w:val="none" w:sz="0" w:space="0" w:color="auto"/>
        <w:left w:val="none" w:sz="0" w:space="0" w:color="auto"/>
        <w:bottom w:val="none" w:sz="0" w:space="0" w:color="auto"/>
        <w:right w:val="none" w:sz="0" w:space="0" w:color="auto"/>
      </w:divBdr>
    </w:div>
    <w:div w:id="28334603">
      <w:bodyDiv w:val="1"/>
      <w:marLeft w:val="0"/>
      <w:marRight w:val="0"/>
      <w:marTop w:val="0"/>
      <w:marBottom w:val="0"/>
      <w:divBdr>
        <w:top w:val="none" w:sz="0" w:space="0" w:color="auto"/>
        <w:left w:val="none" w:sz="0" w:space="0" w:color="auto"/>
        <w:bottom w:val="none" w:sz="0" w:space="0" w:color="auto"/>
        <w:right w:val="none" w:sz="0" w:space="0" w:color="auto"/>
      </w:divBdr>
    </w:div>
    <w:div w:id="28646572">
      <w:bodyDiv w:val="1"/>
      <w:marLeft w:val="0"/>
      <w:marRight w:val="0"/>
      <w:marTop w:val="0"/>
      <w:marBottom w:val="0"/>
      <w:divBdr>
        <w:top w:val="none" w:sz="0" w:space="0" w:color="auto"/>
        <w:left w:val="none" w:sz="0" w:space="0" w:color="auto"/>
        <w:bottom w:val="none" w:sz="0" w:space="0" w:color="auto"/>
        <w:right w:val="none" w:sz="0" w:space="0" w:color="auto"/>
      </w:divBdr>
    </w:div>
    <w:div w:id="38288743">
      <w:bodyDiv w:val="1"/>
      <w:marLeft w:val="0"/>
      <w:marRight w:val="0"/>
      <w:marTop w:val="0"/>
      <w:marBottom w:val="0"/>
      <w:divBdr>
        <w:top w:val="none" w:sz="0" w:space="0" w:color="auto"/>
        <w:left w:val="none" w:sz="0" w:space="0" w:color="auto"/>
        <w:bottom w:val="none" w:sz="0" w:space="0" w:color="auto"/>
        <w:right w:val="none" w:sz="0" w:space="0" w:color="auto"/>
      </w:divBdr>
    </w:div>
    <w:div w:id="40247099">
      <w:bodyDiv w:val="1"/>
      <w:marLeft w:val="0"/>
      <w:marRight w:val="0"/>
      <w:marTop w:val="0"/>
      <w:marBottom w:val="0"/>
      <w:divBdr>
        <w:top w:val="none" w:sz="0" w:space="0" w:color="auto"/>
        <w:left w:val="none" w:sz="0" w:space="0" w:color="auto"/>
        <w:bottom w:val="none" w:sz="0" w:space="0" w:color="auto"/>
        <w:right w:val="none" w:sz="0" w:space="0" w:color="auto"/>
      </w:divBdr>
    </w:div>
    <w:div w:id="41684612">
      <w:bodyDiv w:val="1"/>
      <w:marLeft w:val="0"/>
      <w:marRight w:val="0"/>
      <w:marTop w:val="0"/>
      <w:marBottom w:val="0"/>
      <w:divBdr>
        <w:top w:val="none" w:sz="0" w:space="0" w:color="auto"/>
        <w:left w:val="none" w:sz="0" w:space="0" w:color="auto"/>
        <w:bottom w:val="none" w:sz="0" w:space="0" w:color="auto"/>
        <w:right w:val="none" w:sz="0" w:space="0" w:color="auto"/>
      </w:divBdr>
    </w:div>
    <w:div w:id="43800794">
      <w:bodyDiv w:val="1"/>
      <w:marLeft w:val="0"/>
      <w:marRight w:val="0"/>
      <w:marTop w:val="0"/>
      <w:marBottom w:val="0"/>
      <w:divBdr>
        <w:top w:val="none" w:sz="0" w:space="0" w:color="auto"/>
        <w:left w:val="none" w:sz="0" w:space="0" w:color="auto"/>
        <w:bottom w:val="none" w:sz="0" w:space="0" w:color="auto"/>
        <w:right w:val="none" w:sz="0" w:space="0" w:color="auto"/>
      </w:divBdr>
    </w:div>
    <w:div w:id="52890786">
      <w:bodyDiv w:val="1"/>
      <w:marLeft w:val="0"/>
      <w:marRight w:val="0"/>
      <w:marTop w:val="0"/>
      <w:marBottom w:val="0"/>
      <w:divBdr>
        <w:top w:val="none" w:sz="0" w:space="0" w:color="auto"/>
        <w:left w:val="none" w:sz="0" w:space="0" w:color="auto"/>
        <w:bottom w:val="none" w:sz="0" w:space="0" w:color="auto"/>
        <w:right w:val="none" w:sz="0" w:space="0" w:color="auto"/>
      </w:divBdr>
    </w:div>
    <w:div w:id="59180985">
      <w:bodyDiv w:val="1"/>
      <w:marLeft w:val="0"/>
      <w:marRight w:val="0"/>
      <w:marTop w:val="0"/>
      <w:marBottom w:val="0"/>
      <w:divBdr>
        <w:top w:val="none" w:sz="0" w:space="0" w:color="auto"/>
        <w:left w:val="none" w:sz="0" w:space="0" w:color="auto"/>
        <w:bottom w:val="none" w:sz="0" w:space="0" w:color="auto"/>
        <w:right w:val="none" w:sz="0" w:space="0" w:color="auto"/>
      </w:divBdr>
    </w:div>
    <w:div w:id="64569053">
      <w:bodyDiv w:val="1"/>
      <w:marLeft w:val="0"/>
      <w:marRight w:val="0"/>
      <w:marTop w:val="0"/>
      <w:marBottom w:val="0"/>
      <w:divBdr>
        <w:top w:val="none" w:sz="0" w:space="0" w:color="auto"/>
        <w:left w:val="none" w:sz="0" w:space="0" w:color="auto"/>
        <w:bottom w:val="none" w:sz="0" w:space="0" w:color="auto"/>
        <w:right w:val="none" w:sz="0" w:space="0" w:color="auto"/>
      </w:divBdr>
    </w:div>
    <w:div w:id="65223353">
      <w:bodyDiv w:val="1"/>
      <w:marLeft w:val="0"/>
      <w:marRight w:val="0"/>
      <w:marTop w:val="0"/>
      <w:marBottom w:val="0"/>
      <w:divBdr>
        <w:top w:val="none" w:sz="0" w:space="0" w:color="auto"/>
        <w:left w:val="none" w:sz="0" w:space="0" w:color="auto"/>
        <w:bottom w:val="none" w:sz="0" w:space="0" w:color="auto"/>
        <w:right w:val="none" w:sz="0" w:space="0" w:color="auto"/>
      </w:divBdr>
    </w:div>
    <w:div w:id="65883470">
      <w:bodyDiv w:val="1"/>
      <w:marLeft w:val="0"/>
      <w:marRight w:val="0"/>
      <w:marTop w:val="0"/>
      <w:marBottom w:val="0"/>
      <w:divBdr>
        <w:top w:val="none" w:sz="0" w:space="0" w:color="auto"/>
        <w:left w:val="none" w:sz="0" w:space="0" w:color="auto"/>
        <w:bottom w:val="none" w:sz="0" w:space="0" w:color="auto"/>
        <w:right w:val="none" w:sz="0" w:space="0" w:color="auto"/>
      </w:divBdr>
    </w:div>
    <w:div w:id="71895753">
      <w:bodyDiv w:val="1"/>
      <w:marLeft w:val="0"/>
      <w:marRight w:val="0"/>
      <w:marTop w:val="0"/>
      <w:marBottom w:val="0"/>
      <w:divBdr>
        <w:top w:val="none" w:sz="0" w:space="0" w:color="auto"/>
        <w:left w:val="none" w:sz="0" w:space="0" w:color="auto"/>
        <w:bottom w:val="none" w:sz="0" w:space="0" w:color="auto"/>
        <w:right w:val="none" w:sz="0" w:space="0" w:color="auto"/>
      </w:divBdr>
    </w:div>
    <w:div w:id="76369845">
      <w:bodyDiv w:val="1"/>
      <w:marLeft w:val="0"/>
      <w:marRight w:val="0"/>
      <w:marTop w:val="0"/>
      <w:marBottom w:val="0"/>
      <w:divBdr>
        <w:top w:val="none" w:sz="0" w:space="0" w:color="auto"/>
        <w:left w:val="none" w:sz="0" w:space="0" w:color="auto"/>
        <w:bottom w:val="none" w:sz="0" w:space="0" w:color="auto"/>
        <w:right w:val="none" w:sz="0" w:space="0" w:color="auto"/>
      </w:divBdr>
    </w:div>
    <w:div w:id="98768103">
      <w:bodyDiv w:val="1"/>
      <w:marLeft w:val="0"/>
      <w:marRight w:val="0"/>
      <w:marTop w:val="0"/>
      <w:marBottom w:val="0"/>
      <w:divBdr>
        <w:top w:val="none" w:sz="0" w:space="0" w:color="auto"/>
        <w:left w:val="none" w:sz="0" w:space="0" w:color="auto"/>
        <w:bottom w:val="none" w:sz="0" w:space="0" w:color="auto"/>
        <w:right w:val="none" w:sz="0" w:space="0" w:color="auto"/>
      </w:divBdr>
    </w:div>
    <w:div w:id="101926863">
      <w:bodyDiv w:val="1"/>
      <w:marLeft w:val="0"/>
      <w:marRight w:val="0"/>
      <w:marTop w:val="0"/>
      <w:marBottom w:val="0"/>
      <w:divBdr>
        <w:top w:val="none" w:sz="0" w:space="0" w:color="auto"/>
        <w:left w:val="none" w:sz="0" w:space="0" w:color="auto"/>
        <w:bottom w:val="none" w:sz="0" w:space="0" w:color="auto"/>
        <w:right w:val="none" w:sz="0" w:space="0" w:color="auto"/>
      </w:divBdr>
    </w:div>
    <w:div w:id="104006172">
      <w:bodyDiv w:val="1"/>
      <w:marLeft w:val="0"/>
      <w:marRight w:val="0"/>
      <w:marTop w:val="0"/>
      <w:marBottom w:val="0"/>
      <w:divBdr>
        <w:top w:val="none" w:sz="0" w:space="0" w:color="auto"/>
        <w:left w:val="none" w:sz="0" w:space="0" w:color="auto"/>
        <w:bottom w:val="none" w:sz="0" w:space="0" w:color="auto"/>
        <w:right w:val="none" w:sz="0" w:space="0" w:color="auto"/>
      </w:divBdr>
    </w:div>
    <w:div w:id="105346334">
      <w:bodyDiv w:val="1"/>
      <w:marLeft w:val="0"/>
      <w:marRight w:val="0"/>
      <w:marTop w:val="0"/>
      <w:marBottom w:val="0"/>
      <w:divBdr>
        <w:top w:val="none" w:sz="0" w:space="0" w:color="auto"/>
        <w:left w:val="none" w:sz="0" w:space="0" w:color="auto"/>
        <w:bottom w:val="none" w:sz="0" w:space="0" w:color="auto"/>
        <w:right w:val="none" w:sz="0" w:space="0" w:color="auto"/>
      </w:divBdr>
    </w:div>
    <w:div w:id="107817879">
      <w:bodyDiv w:val="1"/>
      <w:marLeft w:val="0"/>
      <w:marRight w:val="0"/>
      <w:marTop w:val="0"/>
      <w:marBottom w:val="0"/>
      <w:divBdr>
        <w:top w:val="none" w:sz="0" w:space="0" w:color="auto"/>
        <w:left w:val="none" w:sz="0" w:space="0" w:color="auto"/>
        <w:bottom w:val="none" w:sz="0" w:space="0" w:color="auto"/>
        <w:right w:val="none" w:sz="0" w:space="0" w:color="auto"/>
      </w:divBdr>
    </w:div>
    <w:div w:id="107969430">
      <w:bodyDiv w:val="1"/>
      <w:marLeft w:val="0"/>
      <w:marRight w:val="0"/>
      <w:marTop w:val="0"/>
      <w:marBottom w:val="0"/>
      <w:divBdr>
        <w:top w:val="none" w:sz="0" w:space="0" w:color="auto"/>
        <w:left w:val="none" w:sz="0" w:space="0" w:color="auto"/>
        <w:bottom w:val="none" w:sz="0" w:space="0" w:color="auto"/>
        <w:right w:val="none" w:sz="0" w:space="0" w:color="auto"/>
      </w:divBdr>
    </w:div>
    <w:div w:id="120346057">
      <w:bodyDiv w:val="1"/>
      <w:marLeft w:val="0"/>
      <w:marRight w:val="0"/>
      <w:marTop w:val="0"/>
      <w:marBottom w:val="0"/>
      <w:divBdr>
        <w:top w:val="none" w:sz="0" w:space="0" w:color="auto"/>
        <w:left w:val="none" w:sz="0" w:space="0" w:color="auto"/>
        <w:bottom w:val="none" w:sz="0" w:space="0" w:color="auto"/>
        <w:right w:val="none" w:sz="0" w:space="0" w:color="auto"/>
      </w:divBdr>
    </w:div>
    <w:div w:id="124667471">
      <w:bodyDiv w:val="1"/>
      <w:marLeft w:val="0"/>
      <w:marRight w:val="0"/>
      <w:marTop w:val="0"/>
      <w:marBottom w:val="0"/>
      <w:divBdr>
        <w:top w:val="none" w:sz="0" w:space="0" w:color="auto"/>
        <w:left w:val="none" w:sz="0" w:space="0" w:color="auto"/>
        <w:bottom w:val="none" w:sz="0" w:space="0" w:color="auto"/>
        <w:right w:val="none" w:sz="0" w:space="0" w:color="auto"/>
      </w:divBdr>
    </w:div>
    <w:div w:id="133915202">
      <w:bodyDiv w:val="1"/>
      <w:marLeft w:val="0"/>
      <w:marRight w:val="0"/>
      <w:marTop w:val="0"/>
      <w:marBottom w:val="0"/>
      <w:divBdr>
        <w:top w:val="none" w:sz="0" w:space="0" w:color="auto"/>
        <w:left w:val="none" w:sz="0" w:space="0" w:color="auto"/>
        <w:bottom w:val="none" w:sz="0" w:space="0" w:color="auto"/>
        <w:right w:val="none" w:sz="0" w:space="0" w:color="auto"/>
      </w:divBdr>
    </w:div>
    <w:div w:id="138109121">
      <w:bodyDiv w:val="1"/>
      <w:marLeft w:val="0"/>
      <w:marRight w:val="0"/>
      <w:marTop w:val="0"/>
      <w:marBottom w:val="0"/>
      <w:divBdr>
        <w:top w:val="none" w:sz="0" w:space="0" w:color="auto"/>
        <w:left w:val="none" w:sz="0" w:space="0" w:color="auto"/>
        <w:bottom w:val="none" w:sz="0" w:space="0" w:color="auto"/>
        <w:right w:val="none" w:sz="0" w:space="0" w:color="auto"/>
      </w:divBdr>
    </w:div>
    <w:div w:id="141050011">
      <w:bodyDiv w:val="1"/>
      <w:marLeft w:val="0"/>
      <w:marRight w:val="0"/>
      <w:marTop w:val="0"/>
      <w:marBottom w:val="0"/>
      <w:divBdr>
        <w:top w:val="none" w:sz="0" w:space="0" w:color="auto"/>
        <w:left w:val="none" w:sz="0" w:space="0" w:color="auto"/>
        <w:bottom w:val="none" w:sz="0" w:space="0" w:color="auto"/>
        <w:right w:val="none" w:sz="0" w:space="0" w:color="auto"/>
      </w:divBdr>
    </w:div>
    <w:div w:id="143394290">
      <w:bodyDiv w:val="1"/>
      <w:marLeft w:val="0"/>
      <w:marRight w:val="0"/>
      <w:marTop w:val="0"/>
      <w:marBottom w:val="0"/>
      <w:divBdr>
        <w:top w:val="none" w:sz="0" w:space="0" w:color="auto"/>
        <w:left w:val="none" w:sz="0" w:space="0" w:color="auto"/>
        <w:bottom w:val="none" w:sz="0" w:space="0" w:color="auto"/>
        <w:right w:val="none" w:sz="0" w:space="0" w:color="auto"/>
      </w:divBdr>
    </w:div>
    <w:div w:id="154424247">
      <w:bodyDiv w:val="1"/>
      <w:marLeft w:val="0"/>
      <w:marRight w:val="0"/>
      <w:marTop w:val="0"/>
      <w:marBottom w:val="0"/>
      <w:divBdr>
        <w:top w:val="none" w:sz="0" w:space="0" w:color="auto"/>
        <w:left w:val="none" w:sz="0" w:space="0" w:color="auto"/>
        <w:bottom w:val="none" w:sz="0" w:space="0" w:color="auto"/>
        <w:right w:val="none" w:sz="0" w:space="0" w:color="auto"/>
      </w:divBdr>
    </w:div>
    <w:div w:id="160001983">
      <w:bodyDiv w:val="1"/>
      <w:marLeft w:val="0"/>
      <w:marRight w:val="0"/>
      <w:marTop w:val="0"/>
      <w:marBottom w:val="0"/>
      <w:divBdr>
        <w:top w:val="none" w:sz="0" w:space="0" w:color="auto"/>
        <w:left w:val="none" w:sz="0" w:space="0" w:color="auto"/>
        <w:bottom w:val="none" w:sz="0" w:space="0" w:color="auto"/>
        <w:right w:val="none" w:sz="0" w:space="0" w:color="auto"/>
      </w:divBdr>
    </w:div>
    <w:div w:id="161314595">
      <w:bodyDiv w:val="1"/>
      <w:marLeft w:val="0"/>
      <w:marRight w:val="0"/>
      <w:marTop w:val="0"/>
      <w:marBottom w:val="0"/>
      <w:divBdr>
        <w:top w:val="none" w:sz="0" w:space="0" w:color="auto"/>
        <w:left w:val="none" w:sz="0" w:space="0" w:color="auto"/>
        <w:bottom w:val="none" w:sz="0" w:space="0" w:color="auto"/>
        <w:right w:val="none" w:sz="0" w:space="0" w:color="auto"/>
      </w:divBdr>
    </w:div>
    <w:div w:id="161698503">
      <w:bodyDiv w:val="1"/>
      <w:marLeft w:val="0"/>
      <w:marRight w:val="0"/>
      <w:marTop w:val="0"/>
      <w:marBottom w:val="0"/>
      <w:divBdr>
        <w:top w:val="none" w:sz="0" w:space="0" w:color="auto"/>
        <w:left w:val="none" w:sz="0" w:space="0" w:color="auto"/>
        <w:bottom w:val="none" w:sz="0" w:space="0" w:color="auto"/>
        <w:right w:val="none" w:sz="0" w:space="0" w:color="auto"/>
      </w:divBdr>
    </w:div>
    <w:div w:id="175120142">
      <w:bodyDiv w:val="1"/>
      <w:marLeft w:val="0"/>
      <w:marRight w:val="0"/>
      <w:marTop w:val="0"/>
      <w:marBottom w:val="0"/>
      <w:divBdr>
        <w:top w:val="none" w:sz="0" w:space="0" w:color="auto"/>
        <w:left w:val="none" w:sz="0" w:space="0" w:color="auto"/>
        <w:bottom w:val="none" w:sz="0" w:space="0" w:color="auto"/>
        <w:right w:val="none" w:sz="0" w:space="0" w:color="auto"/>
      </w:divBdr>
    </w:div>
    <w:div w:id="179204764">
      <w:bodyDiv w:val="1"/>
      <w:marLeft w:val="0"/>
      <w:marRight w:val="0"/>
      <w:marTop w:val="0"/>
      <w:marBottom w:val="0"/>
      <w:divBdr>
        <w:top w:val="none" w:sz="0" w:space="0" w:color="auto"/>
        <w:left w:val="none" w:sz="0" w:space="0" w:color="auto"/>
        <w:bottom w:val="none" w:sz="0" w:space="0" w:color="auto"/>
        <w:right w:val="none" w:sz="0" w:space="0" w:color="auto"/>
      </w:divBdr>
    </w:div>
    <w:div w:id="195704217">
      <w:bodyDiv w:val="1"/>
      <w:marLeft w:val="0"/>
      <w:marRight w:val="0"/>
      <w:marTop w:val="0"/>
      <w:marBottom w:val="0"/>
      <w:divBdr>
        <w:top w:val="none" w:sz="0" w:space="0" w:color="auto"/>
        <w:left w:val="none" w:sz="0" w:space="0" w:color="auto"/>
        <w:bottom w:val="none" w:sz="0" w:space="0" w:color="auto"/>
        <w:right w:val="none" w:sz="0" w:space="0" w:color="auto"/>
      </w:divBdr>
    </w:div>
    <w:div w:id="202406928">
      <w:bodyDiv w:val="1"/>
      <w:marLeft w:val="0"/>
      <w:marRight w:val="0"/>
      <w:marTop w:val="0"/>
      <w:marBottom w:val="0"/>
      <w:divBdr>
        <w:top w:val="none" w:sz="0" w:space="0" w:color="auto"/>
        <w:left w:val="none" w:sz="0" w:space="0" w:color="auto"/>
        <w:bottom w:val="none" w:sz="0" w:space="0" w:color="auto"/>
        <w:right w:val="none" w:sz="0" w:space="0" w:color="auto"/>
      </w:divBdr>
    </w:div>
    <w:div w:id="203179709">
      <w:bodyDiv w:val="1"/>
      <w:marLeft w:val="0"/>
      <w:marRight w:val="0"/>
      <w:marTop w:val="0"/>
      <w:marBottom w:val="0"/>
      <w:divBdr>
        <w:top w:val="none" w:sz="0" w:space="0" w:color="auto"/>
        <w:left w:val="none" w:sz="0" w:space="0" w:color="auto"/>
        <w:bottom w:val="none" w:sz="0" w:space="0" w:color="auto"/>
        <w:right w:val="none" w:sz="0" w:space="0" w:color="auto"/>
      </w:divBdr>
    </w:div>
    <w:div w:id="212932487">
      <w:bodyDiv w:val="1"/>
      <w:marLeft w:val="0"/>
      <w:marRight w:val="0"/>
      <w:marTop w:val="0"/>
      <w:marBottom w:val="0"/>
      <w:divBdr>
        <w:top w:val="none" w:sz="0" w:space="0" w:color="auto"/>
        <w:left w:val="none" w:sz="0" w:space="0" w:color="auto"/>
        <w:bottom w:val="none" w:sz="0" w:space="0" w:color="auto"/>
        <w:right w:val="none" w:sz="0" w:space="0" w:color="auto"/>
      </w:divBdr>
    </w:div>
    <w:div w:id="214895794">
      <w:bodyDiv w:val="1"/>
      <w:marLeft w:val="0"/>
      <w:marRight w:val="0"/>
      <w:marTop w:val="0"/>
      <w:marBottom w:val="0"/>
      <w:divBdr>
        <w:top w:val="none" w:sz="0" w:space="0" w:color="auto"/>
        <w:left w:val="none" w:sz="0" w:space="0" w:color="auto"/>
        <w:bottom w:val="none" w:sz="0" w:space="0" w:color="auto"/>
        <w:right w:val="none" w:sz="0" w:space="0" w:color="auto"/>
      </w:divBdr>
    </w:div>
    <w:div w:id="233902107">
      <w:bodyDiv w:val="1"/>
      <w:marLeft w:val="0"/>
      <w:marRight w:val="0"/>
      <w:marTop w:val="0"/>
      <w:marBottom w:val="0"/>
      <w:divBdr>
        <w:top w:val="none" w:sz="0" w:space="0" w:color="auto"/>
        <w:left w:val="none" w:sz="0" w:space="0" w:color="auto"/>
        <w:bottom w:val="none" w:sz="0" w:space="0" w:color="auto"/>
        <w:right w:val="none" w:sz="0" w:space="0" w:color="auto"/>
      </w:divBdr>
    </w:div>
    <w:div w:id="238910772">
      <w:bodyDiv w:val="1"/>
      <w:marLeft w:val="0"/>
      <w:marRight w:val="0"/>
      <w:marTop w:val="0"/>
      <w:marBottom w:val="0"/>
      <w:divBdr>
        <w:top w:val="none" w:sz="0" w:space="0" w:color="auto"/>
        <w:left w:val="none" w:sz="0" w:space="0" w:color="auto"/>
        <w:bottom w:val="none" w:sz="0" w:space="0" w:color="auto"/>
        <w:right w:val="none" w:sz="0" w:space="0" w:color="auto"/>
      </w:divBdr>
    </w:div>
    <w:div w:id="241645458">
      <w:bodyDiv w:val="1"/>
      <w:marLeft w:val="0"/>
      <w:marRight w:val="0"/>
      <w:marTop w:val="0"/>
      <w:marBottom w:val="0"/>
      <w:divBdr>
        <w:top w:val="none" w:sz="0" w:space="0" w:color="auto"/>
        <w:left w:val="none" w:sz="0" w:space="0" w:color="auto"/>
        <w:bottom w:val="none" w:sz="0" w:space="0" w:color="auto"/>
        <w:right w:val="none" w:sz="0" w:space="0" w:color="auto"/>
      </w:divBdr>
    </w:div>
    <w:div w:id="244805190">
      <w:bodyDiv w:val="1"/>
      <w:marLeft w:val="0"/>
      <w:marRight w:val="0"/>
      <w:marTop w:val="0"/>
      <w:marBottom w:val="0"/>
      <w:divBdr>
        <w:top w:val="none" w:sz="0" w:space="0" w:color="auto"/>
        <w:left w:val="none" w:sz="0" w:space="0" w:color="auto"/>
        <w:bottom w:val="none" w:sz="0" w:space="0" w:color="auto"/>
        <w:right w:val="none" w:sz="0" w:space="0" w:color="auto"/>
      </w:divBdr>
    </w:div>
    <w:div w:id="247345931">
      <w:bodyDiv w:val="1"/>
      <w:marLeft w:val="0"/>
      <w:marRight w:val="0"/>
      <w:marTop w:val="0"/>
      <w:marBottom w:val="0"/>
      <w:divBdr>
        <w:top w:val="none" w:sz="0" w:space="0" w:color="auto"/>
        <w:left w:val="none" w:sz="0" w:space="0" w:color="auto"/>
        <w:bottom w:val="none" w:sz="0" w:space="0" w:color="auto"/>
        <w:right w:val="none" w:sz="0" w:space="0" w:color="auto"/>
      </w:divBdr>
    </w:div>
    <w:div w:id="252323646">
      <w:bodyDiv w:val="1"/>
      <w:marLeft w:val="0"/>
      <w:marRight w:val="0"/>
      <w:marTop w:val="0"/>
      <w:marBottom w:val="0"/>
      <w:divBdr>
        <w:top w:val="none" w:sz="0" w:space="0" w:color="auto"/>
        <w:left w:val="none" w:sz="0" w:space="0" w:color="auto"/>
        <w:bottom w:val="none" w:sz="0" w:space="0" w:color="auto"/>
        <w:right w:val="none" w:sz="0" w:space="0" w:color="auto"/>
      </w:divBdr>
    </w:div>
    <w:div w:id="258101814">
      <w:bodyDiv w:val="1"/>
      <w:marLeft w:val="0"/>
      <w:marRight w:val="0"/>
      <w:marTop w:val="0"/>
      <w:marBottom w:val="0"/>
      <w:divBdr>
        <w:top w:val="none" w:sz="0" w:space="0" w:color="auto"/>
        <w:left w:val="none" w:sz="0" w:space="0" w:color="auto"/>
        <w:bottom w:val="none" w:sz="0" w:space="0" w:color="auto"/>
        <w:right w:val="none" w:sz="0" w:space="0" w:color="auto"/>
      </w:divBdr>
    </w:div>
    <w:div w:id="259603688">
      <w:bodyDiv w:val="1"/>
      <w:marLeft w:val="0"/>
      <w:marRight w:val="0"/>
      <w:marTop w:val="0"/>
      <w:marBottom w:val="0"/>
      <w:divBdr>
        <w:top w:val="none" w:sz="0" w:space="0" w:color="auto"/>
        <w:left w:val="none" w:sz="0" w:space="0" w:color="auto"/>
        <w:bottom w:val="none" w:sz="0" w:space="0" w:color="auto"/>
        <w:right w:val="none" w:sz="0" w:space="0" w:color="auto"/>
      </w:divBdr>
    </w:div>
    <w:div w:id="271594868">
      <w:bodyDiv w:val="1"/>
      <w:marLeft w:val="0"/>
      <w:marRight w:val="0"/>
      <w:marTop w:val="0"/>
      <w:marBottom w:val="0"/>
      <w:divBdr>
        <w:top w:val="none" w:sz="0" w:space="0" w:color="auto"/>
        <w:left w:val="none" w:sz="0" w:space="0" w:color="auto"/>
        <w:bottom w:val="none" w:sz="0" w:space="0" w:color="auto"/>
        <w:right w:val="none" w:sz="0" w:space="0" w:color="auto"/>
      </w:divBdr>
    </w:div>
    <w:div w:id="273363583">
      <w:bodyDiv w:val="1"/>
      <w:marLeft w:val="0"/>
      <w:marRight w:val="0"/>
      <w:marTop w:val="0"/>
      <w:marBottom w:val="0"/>
      <w:divBdr>
        <w:top w:val="none" w:sz="0" w:space="0" w:color="auto"/>
        <w:left w:val="none" w:sz="0" w:space="0" w:color="auto"/>
        <w:bottom w:val="none" w:sz="0" w:space="0" w:color="auto"/>
        <w:right w:val="none" w:sz="0" w:space="0" w:color="auto"/>
      </w:divBdr>
    </w:div>
    <w:div w:id="286349972">
      <w:bodyDiv w:val="1"/>
      <w:marLeft w:val="0"/>
      <w:marRight w:val="0"/>
      <w:marTop w:val="0"/>
      <w:marBottom w:val="0"/>
      <w:divBdr>
        <w:top w:val="none" w:sz="0" w:space="0" w:color="auto"/>
        <w:left w:val="none" w:sz="0" w:space="0" w:color="auto"/>
        <w:bottom w:val="none" w:sz="0" w:space="0" w:color="auto"/>
        <w:right w:val="none" w:sz="0" w:space="0" w:color="auto"/>
      </w:divBdr>
    </w:div>
    <w:div w:id="291834875">
      <w:bodyDiv w:val="1"/>
      <w:marLeft w:val="0"/>
      <w:marRight w:val="0"/>
      <w:marTop w:val="0"/>
      <w:marBottom w:val="0"/>
      <w:divBdr>
        <w:top w:val="none" w:sz="0" w:space="0" w:color="auto"/>
        <w:left w:val="none" w:sz="0" w:space="0" w:color="auto"/>
        <w:bottom w:val="none" w:sz="0" w:space="0" w:color="auto"/>
        <w:right w:val="none" w:sz="0" w:space="0" w:color="auto"/>
      </w:divBdr>
    </w:div>
    <w:div w:id="293414714">
      <w:bodyDiv w:val="1"/>
      <w:marLeft w:val="0"/>
      <w:marRight w:val="0"/>
      <w:marTop w:val="0"/>
      <w:marBottom w:val="0"/>
      <w:divBdr>
        <w:top w:val="none" w:sz="0" w:space="0" w:color="auto"/>
        <w:left w:val="none" w:sz="0" w:space="0" w:color="auto"/>
        <w:bottom w:val="none" w:sz="0" w:space="0" w:color="auto"/>
        <w:right w:val="none" w:sz="0" w:space="0" w:color="auto"/>
      </w:divBdr>
    </w:div>
    <w:div w:id="303122895">
      <w:bodyDiv w:val="1"/>
      <w:marLeft w:val="0"/>
      <w:marRight w:val="0"/>
      <w:marTop w:val="0"/>
      <w:marBottom w:val="0"/>
      <w:divBdr>
        <w:top w:val="none" w:sz="0" w:space="0" w:color="auto"/>
        <w:left w:val="none" w:sz="0" w:space="0" w:color="auto"/>
        <w:bottom w:val="none" w:sz="0" w:space="0" w:color="auto"/>
        <w:right w:val="none" w:sz="0" w:space="0" w:color="auto"/>
      </w:divBdr>
    </w:div>
    <w:div w:id="309752741">
      <w:bodyDiv w:val="1"/>
      <w:marLeft w:val="0"/>
      <w:marRight w:val="0"/>
      <w:marTop w:val="0"/>
      <w:marBottom w:val="0"/>
      <w:divBdr>
        <w:top w:val="none" w:sz="0" w:space="0" w:color="auto"/>
        <w:left w:val="none" w:sz="0" w:space="0" w:color="auto"/>
        <w:bottom w:val="none" w:sz="0" w:space="0" w:color="auto"/>
        <w:right w:val="none" w:sz="0" w:space="0" w:color="auto"/>
      </w:divBdr>
    </w:div>
    <w:div w:id="322316310">
      <w:bodyDiv w:val="1"/>
      <w:marLeft w:val="0"/>
      <w:marRight w:val="0"/>
      <w:marTop w:val="0"/>
      <w:marBottom w:val="0"/>
      <w:divBdr>
        <w:top w:val="none" w:sz="0" w:space="0" w:color="auto"/>
        <w:left w:val="none" w:sz="0" w:space="0" w:color="auto"/>
        <w:bottom w:val="none" w:sz="0" w:space="0" w:color="auto"/>
        <w:right w:val="none" w:sz="0" w:space="0" w:color="auto"/>
      </w:divBdr>
    </w:div>
    <w:div w:id="324162596">
      <w:bodyDiv w:val="1"/>
      <w:marLeft w:val="0"/>
      <w:marRight w:val="0"/>
      <w:marTop w:val="0"/>
      <w:marBottom w:val="0"/>
      <w:divBdr>
        <w:top w:val="none" w:sz="0" w:space="0" w:color="auto"/>
        <w:left w:val="none" w:sz="0" w:space="0" w:color="auto"/>
        <w:bottom w:val="none" w:sz="0" w:space="0" w:color="auto"/>
        <w:right w:val="none" w:sz="0" w:space="0" w:color="auto"/>
      </w:divBdr>
    </w:div>
    <w:div w:id="338166994">
      <w:bodyDiv w:val="1"/>
      <w:marLeft w:val="0"/>
      <w:marRight w:val="0"/>
      <w:marTop w:val="0"/>
      <w:marBottom w:val="0"/>
      <w:divBdr>
        <w:top w:val="none" w:sz="0" w:space="0" w:color="auto"/>
        <w:left w:val="none" w:sz="0" w:space="0" w:color="auto"/>
        <w:bottom w:val="none" w:sz="0" w:space="0" w:color="auto"/>
        <w:right w:val="none" w:sz="0" w:space="0" w:color="auto"/>
      </w:divBdr>
    </w:div>
    <w:div w:id="338892009">
      <w:bodyDiv w:val="1"/>
      <w:marLeft w:val="0"/>
      <w:marRight w:val="0"/>
      <w:marTop w:val="0"/>
      <w:marBottom w:val="0"/>
      <w:divBdr>
        <w:top w:val="none" w:sz="0" w:space="0" w:color="auto"/>
        <w:left w:val="none" w:sz="0" w:space="0" w:color="auto"/>
        <w:bottom w:val="none" w:sz="0" w:space="0" w:color="auto"/>
        <w:right w:val="none" w:sz="0" w:space="0" w:color="auto"/>
      </w:divBdr>
    </w:div>
    <w:div w:id="338967467">
      <w:bodyDiv w:val="1"/>
      <w:marLeft w:val="0"/>
      <w:marRight w:val="0"/>
      <w:marTop w:val="0"/>
      <w:marBottom w:val="0"/>
      <w:divBdr>
        <w:top w:val="none" w:sz="0" w:space="0" w:color="auto"/>
        <w:left w:val="none" w:sz="0" w:space="0" w:color="auto"/>
        <w:bottom w:val="none" w:sz="0" w:space="0" w:color="auto"/>
        <w:right w:val="none" w:sz="0" w:space="0" w:color="auto"/>
      </w:divBdr>
    </w:div>
    <w:div w:id="339819554">
      <w:bodyDiv w:val="1"/>
      <w:marLeft w:val="0"/>
      <w:marRight w:val="0"/>
      <w:marTop w:val="0"/>
      <w:marBottom w:val="0"/>
      <w:divBdr>
        <w:top w:val="none" w:sz="0" w:space="0" w:color="auto"/>
        <w:left w:val="none" w:sz="0" w:space="0" w:color="auto"/>
        <w:bottom w:val="none" w:sz="0" w:space="0" w:color="auto"/>
        <w:right w:val="none" w:sz="0" w:space="0" w:color="auto"/>
      </w:divBdr>
    </w:div>
    <w:div w:id="340163495">
      <w:bodyDiv w:val="1"/>
      <w:marLeft w:val="0"/>
      <w:marRight w:val="0"/>
      <w:marTop w:val="0"/>
      <w:marBottom w:val="0"/>
      <w:divBdr>
        <w:top w:val="none" w:sz="0" w:space="0" w:color="auto"/>
        <w:left w:val="none" w:sz="0" w:space="0" w:color="auto"/>
        <w:bottom w:val="none" w:sz="0" w:space="0" w:color="auto"/>
        <w:right w:val="none" w:sz="0" w:space="0" w:color="auto"/>
      </w:divBdr>
    </w:div>
    <w:div w:id="348875702">
      <w:bodyDiv w:val="1"/>
      <w:marLeft w:val="0"/>
      <w:marRight w:val="0"/>
      <w:marTop w:val="0"/>
      <w:marBottom w:val="0"/>
      <w:divBdr>
        <w:top w:val="none" w:sz="0" w:space="0" w:color="auto"/>
        <w:left w:val="none" w:sz="0" w:space="0" w:color="auto"/>
        <w:bottom w:val="none" w:sz="0" w:space="0" w:color="auto"/>
        <w:right w:val="none" w:sz="0" w:space="0" w:color="auto"/>
      </w:divBdr>
    </w:div>
    <w:div w:id="351345390">
      <w:bodyDiv w:val="1"/>
      <w:marLeft w:val="0"/>
      <w:marRight w:val="0"/>
      <w:marTop w:val="0"/>
      <w:marBottom w:val="0"/>
      <w:divBdr>
        <w:top w:val="none" w:sz="0" w:space="0" w:color="auto"/>
        <w:left w:val="none" w:sz="0" w:space="0" w:color="auto"/>
        <w:bottom w:val="none" w:sz="0" w:space="0" w:color="auto"/>
        <w:right w:val="none" w:sz="0" w:space="0" w:color="auto"/>
      </w:divBdr>
    </w:div>
    <w:div w:id="367729561">
      <w:bodyDiv w:val="1"/>
      <w:marLeft w:val="0"/>
      <w:marRight w:val="0"/>
      <w:marTop w:val="0"/>
      <w:marBottom w:val="0"/>
      <w:divBdr>
        <w:top w:val="none" w:sz="0" w:space="0" w:color="auto"/>
        <w:left w:val="none" w:sz="0" w:space="0" w:color="auto"/>
        <w:bottom w:val="none" w:sz="0" w:space="0" w:color="auto"/>
        <w:right w:val="none" w:sz="0" w:space="0" w:color="auto"/>
      </w:divBdr>
    </w:div>
    <w:div w:id="367950586">
      <w:bodyDiv w:val="1"/>
      <w:marLeft w:val="0"/>
      <w:marRight w:val="0"/>
      <w:marTop w:val="0"/>
      <w:marBottom w:val="0"/>
      <w:divBdr>
        <w:top w:val="none" w:sz="0" w:space="0" w:color="auto"/>
        <w:left w:val="none" w:sz="0" w:space="0" w:color="auto"/>
        <w:bottom w:val="none" w:sz="0" w:space="0" w:color="auto"/>
        <w:right w:val="none" w:sz="0" w:space="0" w:color="auto"/>
      </w:divBdr>
    </w:div>
    <w:div w:id="367951830">
      <w:bodyDiv w:val="1"/>
      <w:marLeft w:val="0"/>
      <w:marRight w:val="0"/>
      <w:marTop w:val="0"/>
      <w:marBottom w:val="0"/>
      <w:divBdr>
        <w:top w:val="none" w:sz="0" w:space="0" w:color="auto"/>
        <w:left w:val="none" w:sz="0" w:space="0" w:color="auto"/>
        <w:bottom w:val="none" w:sz="0" w:space="0" w:color="auto"/>
        <w:right w:val="none" w:sz="0" w:space="0" w:color="auto"/>
      </w:divBdr>
    </w:div>
    <w:div w:id="377634319">
      <w:bodyDiv w:val="1"/>
      <w:marLeft w:val="0"/>
      <w:marRight w:val="0"/>
      <w:marTop w:val="0"/>
      <w:marBottom w:val="0"/>
      <w:divBdr>
        <w:top w:val="none" w:sz="0" w:space="0" w:color="auto"/>
        <w:left w:val="none" w:sz="0" w:space="0" w:color="auto"/>
        <w:bottom w:val="none" w:sz="0" w:space="0" w:color="auto"/>
        <w:right w:val="none" w:sz="0" w:space="0" w:color="auto"/>
      </w:divBdr>
    </w:div>
    <w:div w:id="385496371">
      <w:bodyDiv w:val="1"/>
      <w:marLeft w:val="0"/>
      <w:marRight w:val="0"/>
      <w:marTop w:val="0"/>
      <w:marBottom w:val="0"/>
      <w:divBdr>
        <w:top w:val="none" w:sz="0" w:space="0" w:color="auto"/>
        <w:left w:val="none" w:sz="0" w:space="0" w:color="auto"/>
        <w:bottom w:val="none" w:sz="0" w:space="0" w:color="auto"/>
        <w:right w:val="none" w:sz="0" w:space="0" w:color="auto"/>
      </w:divBdr>
    </w:div>
    <w:div w:id="393820793">
      <w:bodyDiv w:val="1"/>
      <w:marLeft w:val="0"/>
      <w:marRight w:val="0"/>
      <w:marTop w:val="0"/>
      <w:marBottom w:val="0"/>
      <w:divBdr>
        <w:top w:val="none" w:sz="0" w:space="0" w:color="auto"/>
        <w:left w:val="none" w:sz="0" w:space="0" w:color="auto"/>
        <w:bottom w:val="none" w:sz="0" w:space="0" w:color="auto"/>
        <w:right w:val="none" w:sz="0" w:space="0" w:color="auto"/>
      </w:divBdr>
    </w:div>
    <w:div w:id="397364999">
      <w:bodyDiv w:val="1"/>
      <w:marLeft w:val="0"/>
      <w:marRight w:val="0"/>
      <w:marTop w:val="0"/>
      <w:marBottom w:val="0"/>
      <w:divBdr>
        <w:top w:val="none" w:sz="0" w:space="0" w:color="auto"/>
        <w:left w:val="none" w:sz="0" w:space="0" w:color="auto"/>
        <w:bottom w:val="none" w:sz="0" w:space="0" w:color="auto"/>
        <w:right w:val="none" w:sz="0" w:space="0" w:color="auto"/>
      </w:divBdr>
    </w:div>
    <w:div w:id="406151787">
      <w:bodyDiv w:val="1"/>
      <w:marLeft w:val="0"/>
      <w:marRight w:val="0"/>
      <w:marTop w:val="0"/>
      <w:marBottom w:val="0"/>
      <w:divBdr>
        <w:top w:val="none" w:sz="0" w:space="0" w:color="auto"/>
        <w:left w:val="none" w:sz="0" w:space="0" w:color="auto"/>
        <w:bottom w:val="none" w:sz="0" w:space="0" w:color="auto"/>
        <w:right w:val="none" w:sz="0" w:space="0" w:color="auto"/>
      </w:divBdr>
    </w:div>
    <w:div w:id="406730833">
      <w:bodyDiv w:val="1"/>
      <w:marLeft w:val="0"/>
      <w:marRight w:val="0"/>
      <w:marTop w:val="0"/>
      <w:marBottom w:val="0"/>
      <w:divBdr>
        <w:top w:val="none" w:sz="0" w:space="0" w:color="auto"/>
        <w:left w:val="none" w:sz="0" w:space="0" w:color="auto"/>
        <w:bottom w:val="none" w:sz="0" w:space="0" w:color="auto"/>
        <w:right w:val="none" w:sz="0" w:space="0" w:color="auto"/>
      </w:divBdr>
    </w:div>
    <w:div w:id="415250322">
      <w:bodyDiv w:val="1"/>
      <w:marLeft w:val="0"/>
      <w:marRight w:val="0"/>
      <w:marTop w:val="0"/>
      <w:marBottom w:val="0"/>
      <w:divBdr>
        <w:top w:val="none" w:sz="0" w:space="0" w:color="auto"/>
        <w:left w:val="none" w:sz="0" w:space="0" w:color="auto"/>
        <w:bottom w:val="none" w:sz="0" w:space="0" w:color="auto"/>
        <w:right w:val="none" w:sz="0" w:space="0" w:color="auto"/>
      </w:divBdr>
    </w:div>
    <w:div w:id="423455403">
      <w:bodyDiv w:val="1"/>
      <w:marLeft w:val="0"/>
      <w:marRight w:val="0"/>
      <w:marTop w:val="0"/>
      <w:marBottom w:val="0"/>
      <w:divBdr>
        <w:top w:val="none" w:sz="0" w:space="0" w:color="auto"/>
        <w:left w:val="none" w:sz="0" w:space="0" w:color="auto"/>
        <w:bottom w:val="none" w:sz="0" w:space="0" w:color="auto"/>
        <w:right w:val="none" w:sz="0" w:space="0" w:color="auto"/>
      </w:divBdr>
    </w:div>
    <w:div w:id="435905188">
      <w:bodyDiv w:val="1"/>
      <w:marLeft w:val="0"/>
      <w:marRight w:val="0"/>
      <w:marTop w:val="0"/>
      <w:marBottom w:val="0"/>
      <w:divBdr>
        <w:top w:val="none" w:sz="0" w:space="0" w:color="auto"/>
        <w:left w:val="none" w:sz="0" w:space="0" w:color="auto"/>
        <w:bottom w:val="none" w:sz="0" w:space="0" w:color="auto"/>
        <w:right w:val="none" w:sz="0" w:space="0" w:color="auto"/>
      </w:divBdr>
    </w:div>
    <w:div w:id="442574161">
      <w:bodyDiv w:val="1"/>
      <w:marLeft w:val="0"/>
      <w:marRight w:val="0"/>
      <w:marTop w:val="0"/>
      <w:marBottom w:val="0"/>
      <w:divBdr>
        <w:top w:val="none" w:sz="0" w:space="0" w:color="auto"/>
        <w:left w:val="none" w:sz="0" w:space="0" w:color="auto"/>
        <w:bottom w:val="none" w:sz="0" w:space="0" w:color="auto"/>
        <w:right w:val="none" w:sz="0" w:space="0" w:color="auto"/>
      </w:divBdr>
    </w:div>
    <w:div w:id="445853214">
      <w:bodyDiv w:val="1"/>
      <w:marLeft w:val="0"/>
      <w:marRight w:val="0"/>
      <w:marTop w:val="0"/>
      <w:marBottom w:val="0"/>
      <w:divBdr>
        <w:top w:val="none" w:sz="0" w:space="0" w:color="auto"/>
        <w:left w:val="none" w:sz="0" w:space="0" w:color="auto"/>
        <w:bottom w:val="none" w:sz="0" w:space="0" w:color="auto"/>
        <w:right w:val="none" w:sz="0" w:space="0" w:color="auto"/>
      </w:divBdr>
    </w:div>
    <w:div w:id="449084546">
      <w:bodyDiv w:val="1"/>
      <w:marLeft w:val="0"/>
      <w:marRight w:val="0"/>
      <w:marTop w:val="0"/>
      <w:marBottom w:val="0"/>
      <w:divBdr>
        <w:top w:val="none" w:sz="0" w:space="0" w:color="auto"/>
        <w:left w:val="none" w:sz="0" w:space="0" w:color="auto"/>
        <w:bottom w:val="none" w:sz="0" w:space="0" w:color="auto"/>
        <w:right w:val="none" w:sz="0" w:space="0" w:color="auto"/>
      </w:divBdr>
    </w:div>
    <w:div w:id="453791507">
      <w:bodyDiv w:val="1"/>
      <w:marLeft w:val="0"/>
      <w:marRight w:val="0"/>
      <w:marTop w:val="0"/>
      <w:marBottom w:val="0"/>
      <w:divBdr>
        <w:top w:val="none" w:sz="0" w:space="0" w:color="auto"/>
        <w:left w:val="none" w:sz="0" w:space="0" w:color="auto"/>
        <w:bottom w:val="none" w:sz="0" w:space="0" w:color="auto"/>
        <w:right w:val="none" w:sz="0" w:space="0" w:color="auto"/>
      </w:divBdr>
    </w:div>
    <w:div w:id="455370893">
      <w:bodyDiv w:val="1"/>
      <w:marLeft w:val="0"/>
      <w:marRight w:val="0"/>
      <w:marTop w:val="0"/>
      <w:marBottom w:val="0"/>
      <w:divBdr>
        <w:top w:val="none" w:sz="0" w:space="0" w:color="auto"/>
        <w:left w:val="none" w:sz="0" w:space="0" w:color="auto"/>
        <w:bottom w:val="none" w:sz="0" w:space="0" w:color="auto"/>
        <w:right w:val="none" w:sz="0" w:space="0" w:color="auto"/>
      </w:divBdr>
    </w:div>
    <w:div w:id="460348834">
      <w:bodyDiv w:val="1"/>
      <w:marLeft w:val="0"/>
      <w:marRight w:val="0"/>
      <w:marTop w:val="0"/>
      <w:marBottom w:val="0"/>
      <w:divBdr>
        <w:top w:val="none" w:sz="0" w:space="0" w:color="auto"/>
        <w:left w:val="none" w:sz="0" w:space="0" w:color="auto"/>
        <w:bottom w:val="none" w:sz="0" w:space="0" w:color="auto"/>
        <w:right w:val="none" w:sz="0" w:space="0" w:color="auto"/>
      </w:divBdr>
    </w:div>
    <w:div w:id="461701185">
      <w:bodyDiv w:val="1"/>
      <w:marLeft w:val="0"/>
      <w:marRight w:val="0"/>
      <w:marTop w:val="0"/>
      <w:marBottom w:val="0"/>
      <w:divBdr>
        <w:top w:val="none" w:sz="0" w:space="0" w:color="auto"/>
        <w:left w:val="none" w:sz="0" w:space="0" w:color="auto"/>
        <w:bottom w:val="none" w:sz="0" w:space="0" w:color="auto"/>
        <w:right w:val="none" w:sz="0" w:space="0" w:color="auto"/>
      </w:divBdr>
    </w:div>
    <w:div w:id="471680873">
      <w:bodyDiv w:val="1"/>
      <w:marLeft w:val="0"/>
      <w:marRight w:val="0"/>
      <w:marTop w:val="0"/>
      <w:marBottom w:val="0"/>
      <w:divBdr>
        <w:top w:val="none" w:sz="0" w:space="0" w:color="auto"/>
        <w:left w:val="none" w:sz="0" w:space="0" w:color="auto"/>
        <w:bottom w:val="none" w:sz="0" w:space="0" w:color="auto"/>
        <w:right w:val="none" w:sz="0" w:space="0" w:color="auto"/>
      </w:divBdr>
    </w:div>
    <w:div w:id="475687438">
      <w:bodyDiv w:val="1"/>
      <w:marLeft w:val="0"/>
      <w:marRight w:val="0"/>
      <w:marTop w:val="0"/>
      <w:marBottom w:val="0"/>
      <w:divBdr>
        <w:top w:val="none" w:sz="0" w:space="0" w:color="auto"/>
        <w:left w:val="none" w:sz="0" w:space="0" w:color="auto"/>
        <w:bottom w:val="none" w:sz="0" w:space="0" w:color="auto"/>
        <w:right w:val="none" w:sz="0" w:space="0" w:color="auto"/>
      </w:divBdr>
    </w:div>
    <w:div w:id="478032269">
      <w:bodyDiv w:val="1"/>
      <w:marLeft w:val="0"/>
      <w:marRight w:val="0"/>
      <w:marTop w:val="0"/>
      <w:marBottom w:val="0"/>
      <w:divBdr>
        <w:top w:val="none" w:sz="0" w:space="0" w:color="auto"/>
        <w:left w:val="none" w:sz="0" w:space="0" w:color="auto"/>
        <w:bottom w:val="none" w:sz="0" w:space="0" w:color="auto"/>
        <w:right w:val="none" w:sz="0" w:space="0" w:color="auto"/>
      </w:divBdr>
    </w:div>
    <w:div w:id="478379317">
      <w:bodyDiv w:val="1"/>
      <w:marLeft w:val="0"/>
      <w:marRight w:val="0"/>
      <w:marTop w:val="0"/>
      <w:marBottom w:val="0"/>
      <w:divBdr>
        <w:top w:val="none" w:sz="0" w:space="0" w:color="auto"/>
        <w:left w:val="none" w:sz="0" w:space="0" w:color="auto"/>
        <w:bottom w:val="none" w:sz="0" w:space="0" w:color="auto"/>
        <w:right w:val="none" w:sz="0" w:space="0" w:color="auto"/>
      </w:divBdr>
    </w:div>
    <w:div w:id="479463976">
      <w:bodyDiv w:val="1"/>
      <w:marLeft w:val="0"/>
      <w:marRight w:val="0"/>
      <w:marTop w:val="0"/>
      <w:marBottom w:val="0"/>
      <w:divBdr>
        <w:top w:val="none" w:sz="0" w:space="0" w:color="auto"/>
        <w:left w:val="none" w:sz="0" w:space="0" w:color="auto"/>
        <w:bottom w:val="none" w:sz="0" w:space="0" w:color="auto"/>
        <w:right w:val="none" w:sz="0" w:space="0" w:color="auto"/>
      </w:divBdr>
    </w:div>
    <w:div w:id="481704315">
      <w:bodyDiv w:val="1"/>
      <w:marLeft w:val="0"/>
      <w:marRight w:val="0"/>
      <w:marTop w:val="0"/>
      <w:marBottom w:val="0"/>
      <w:divBdr>
        <w:top w:val="none" w:sz="0" w:space="0" w:color="auto"/>
        <w:left w:val="none" w:sz="0" w:space="0" w:color="auto"/>
        <w:bottom w:val="none" w:sz="0" w:space="0" w:color="auto"/>
        <w:right w:val="none" w:sz="0" w:space="0" w:color="auto"/>
      </w:divBdr>
    </w:div>
    <w:div w:id="484011168">
      <w:bodyDiv w:val="1"/>
      <w:marLeft w:val="0"/>
      <w:marRight w:val="0"/>
      <w:marTop w:val="0"/>
      <w:marBottom w:val="0"/>
      <w:divBdr>
        <w:top w:val="none" w:sz="0" w:space="0" w:color="auto"/>
        <w:left w:val="none" w:sz="0" w:space="0" w:color="auto"/>
        <w:bottom w:val="none" w:sz="0" w:space="0" w:color="auto"/>
        <w:right w:val="none" w:sz="0" w:space="0" w:color="auto"/>
      </w:divBdr>
    </w:div>
    <w:div w:id="484057034">
      <w:bodyDiv w:val="1"/>
      <w:marLeft w:val="0"/>
      <w:marRight w:val="0"/>
      <w:marTop w:val="0"/>
      <w:marBottom w:val="0"/>
      <w:divBdr>
        <w:top w:val="none" w:sz="0" w:space="0" w:color="auto"/>
        <w:left w:val="none" w:sz="0" w:space="0" w:color="auto"/>
        <w:bottom w:val="none" w:sz="0" w:space="0" w:color="auto"/>
        <w:right w:val="none" w:sz="0" w:space="0" w:color="auto"/>
      </w:divBdr>
    </w:div>
    <w:div w:id="486018075">
      <w:bodyDiv w:val="1"/>
      <w:marLeft w:val="0"/>
      <w:marRight w:val="0"/>
      <w:marTop w:val="0"/>
      <w:marBottom w:val="0"/>
      <w:divBdr>
        <w:top w:val="none" w:sz="0" w:space="0" w:color="auto"/>
        <w:left w:val="none" w:sz="0" w:space="0" w:color="auto"/>
        <w:bottom w:val="none" w:sz="0" w:space="0" w:color="auto"/>
        <w:right w:val="none" w:sz="0" w:space="0" w:color="auto"/>
      </w:divBdr>
    </w:div>
    <w:div w:id="489058448">
      <w:bodyDiv w:val="1"/>
      <w:marLeft w:val="0"/>
      <w:marRight w:val="0"/>
      <w:marTop w:val="0"/>
      <w:marBottom w:val="0"/>
      <w:divBdr>
        <w:top w:val="none" w:sz="0" w:space="0" w:color="auto"/>
        <w:left w:val="none" w:sz="0" w:space="0" w:color="auto"/>
        <w:bottom w:val="none" w:sz="0" w:space="0" w:color="auto"/>
        <w:right w:val="none" w:sz="0" w:space="0" w:color="auto"/>
      </w:divBdr>
    </w:div>
    <w:div w:id="490367335">
      <w:bodyDiv w:val="1"/>
      <w:marLeft w:val="0"/>
      <w:marRight w:val="0"/>
      <w:marTop w:val="0"/>
      <w:marBottom w:val="0"/>
      <w:divBdr>
        <w:top w:val="none" w:sz="0" w:space="0" w:color="auto"/>
        <w:left w:val="none" w:sz="0" w:space="0" w:color="auto"/>
        <w:bottom w:val="none" w:sz="0" w:space="0" w:color="auto"/>
        <w:right w:val="none" w:sz="0" w:space="0" w:color="auto"/>
      </w:divBdr>
      <w:divsChild>
        <w:div w:id="124931863">
          <w:marLeft w:val="0"/>
          <w:marRight w:val="0"/>
          <w:marTop w:val="0"/>
          <w:marBottom w:val="0"/>
          <w:divBdr>
            <w:top w:val="none" w:sz="0" w:space="0" w:color="auto"/>
            <w:left w:val="none" w:sz="0" w:space="0" w:color="auto"/>
            <w:bottom w:val="none" w:sz="0" w:space="0" w:color="auto"/>
            <w:right w:val="none" w:sz="0" w:space="0" w:color="auto"/>
          </w:divBdr>
        </w:div>
        <w:div w:id="329450857">
          <w:marLeft w:val="0"/>
          <w:marRight w:val="0"/>
          <w:marTop w:val="0"/>
          <w:marBottom w:val="0"/>
          <w:divBdr>
            <w:top w:val="none" w:sz="0" w:space="0" w:color="auto"/>
            <w:left w:val="none" w:sz="0" w:space="0" w:color="auto"/>
            <w:bottom w:val="none" w:sz="0" w:space="0" w:color="auto"/>
            <w:right w:val="none" w:sz="0" w:space="0" w:color="auto"/>
          </w:divBdr>
        </w:div>
        <w:div w:id="356933765">
          <w:marLeft w:val="0"/>
          <w:marRight w:val="0"/>
          <w:marTop w:val="0"/>
          <w:marBottom w:val="0"/>
          <w:divBdr>
            <w:top w:val="none" w:sz="0" w:space="0" w:color="auto"/>
            <w:left w:val="none" w:sz="0" w:space="0" w:color="auto"/>
            <w:bottom w:val="none" w:sz="0" w:space="0" w:color="auto"/>
            <w:right w:val="none" w:sz="0" w:space="0" w:color="auto"/>
          </w:divBdr>
        </w:div>
        <w:div w:id="367723263">
          <w:marLeft w:val="0"/>
          <w:marRight w:val="0"/>
          <w:marTop w:val="0"/>
          <w:marBottom w:val="0"/>
          <w:divBdr>
            <w:top w:val="none" w:sz="0" w:space="0" w:color="auto"/>
            <w:left w:val="none" w:sz="0" w:space="0" w:color="auto"/>
            <w:bottom w:val="none" w:sz="0" w:space="0" w:color="auto"/>
            <w:right w:val="none" w:sz="0" w:space="0" w:color="auto"/>
          </w:divBdr>
        </w:div>
        <w:div w:id="541596466">
          <w:marLeft w:val="0"/>
          <w:marRight w:val="0"/>
          <w:marTop w:val="0"/>
          <w:marBottom w:val="0"/>
          <w:divBdr>
            <w:top w:val="none" w:sz="0" w:space="0" w:color="auto"/>
            <w:left w:val="none" w:sz="0" w:space="0" w:color="auto"/>
            <w:bottom w:val="none" w:sz="0" w:space="0" w:color="auto"/>
            <w:right w:val="none" w:sz="0" w:space="0" w:color="auto"/>
          </w:divBdr>
        </w:div>
        <w:div w:id="669872767">
          <w:marLeft w:val="0"/>
          <w:marRight w:val="0"/>
          <w:marTop w:val="0"/>
          <w:marBottom w:val="0"/>
          <w:divBdr>
            <w:top w:val="none" w:sz="0" w:space="0" w:color="auto"/>
            <w:left w:val="none" w:sz="0" w:space="0" w:color="auto"/>
            <w:bottom w:val="none" w:sz="0" w:space="0" w:color="auto"/>
            <w:right w:val="none" w:sz="0" w:space="0" w:color="auto"/>
          </w:divBdr>
        </w:div>
        <w:div w:id="817108023">
          <w:marLeft w:val="0"/>
          <w:marRight w:val="0"/>
          <w:marTop w:val="0"/>
          <w:marBottom w:val="0"/>
          <w:divBdr>
            <w:top w:val="none" w:sz="0" w:space="0" w:color="auto"/>
            <w:left w:val="none" w:sz="0" w:space="0" w:color="auto"/>
            <w:bottom w:val="none" w:sz="0" w:space="0" w:color="auto"/>
            <w:right w:val="none" w:sz="0" w:space="0" w:color="auto"/>
          </w:divBdr>
        </w:div>
        <w:div w:id="836845826">
          <w:marLeft w:val="0"/>
          <w:marRight w:val="0"/>
          <w:marTop w:val="0"/>
          <w:marBottom w:val="0"/>
          <w:divBdr>
            <w:top w:val="none" w:sz="0" w:space="0" w:color="auto"/>
            <w:left w:val="none" w:sz="0" w:space="0" w:color="auto"/>
            <w:bottom w:val="none" w:sz="0" w:space="0" w:color="auto"/>
            <w:right w:val="none" w:sz="0" w:space="0" w:color="auto"/>
          </w:divBdr>
        </w:div>
        <w:div w:id="987365817">
          <w:marLeft w:val="0"/>
          <w:marRight w:val="0"/>
          <w:marTop w:val="0"/>
          <w:marBottom w:val="0"/>
          <w:divBdr>
            <w:top w:val="none" w:sz="0" w:space="0" w:color="auto"/>
            <w:left w:val="none" w:sz="0" w:space="0" w:color="auto"/>
            <w:bottom w:val="none" w:sz="0" w:space="0" w:color="auto"/>
            <w:right w:val="none" w:sz="0" w:space="0" w:color="auto"/>
          </w:divBdr>
        </w:div>
        <w:div w:id="1061052095">
          <w:marLeft w:val="0"/>
          <w:marRight w:val="0"/>
          <w:marTop w:val="0"/>
          <w:marBottom w:val="0"/>
          <w:divBdr>
            <w:top w:val="none" w:sz="0" w:space="0" w:color="auto"/>
            <w:left w:val="none" w:sz="0" w:space="0" w:color="auto"/>
            <w:bottom w:val="none" w:sz="0" w:space="0" w:color="auto"/>
            <w:right w:val="none" w:sz="0" w:space="0" w:color="auto"/>
          </w:divBdr>
        </w:div>
        <w:div w:id="1219515286">
          <w:marLeft w:val="0"/>
          <w:marRight w:val="0"/>
          <w:marTop w:val="0"/>
          <w:marBottom w:val="0"/>
          <w:divBdr>
            <w:top w:val="none" w:sz="0" w:space="0" w:color="auto"/>
            <w:left w:val="none" w:sz="0" w:space="0" w:color="auto"/>
            <w:bottom w:val="none" w:sz="0" w:space="0" w:color="auto"/>
            <w:right w:val="none" w:sz="0" w:space="0" w:color="auto"/>
          </w:divBdr>
        </w:div>
        <w:div w:id="1424491096">
          <w:marLeft w:val="0"/>
          <w:marRight w:val="0"/>
          <w:marTop w:val="0"/>
          <w:marBottom w:val="0"/>
          <w:divBdr>
            <w:top w:val="none" w:sz="0" w:space="0" w:color="auto"/>
            <w:left w:val="none" w:sz="0" w:space="0" w:color="auto"/>
            <w:bottom w:val="none" w:sz="0" w:space="0" w:color="auto"/>
            <w:right w:val="none" w:sz="0" w:space="0" w:color="auto"/>
          </w:divBdr>
        </w:div>
        <w:div w:id="1561011802">
          <w:marLeft w:val="0"/>
          <w:marRight w:val="0"/>
          <w:marTop w:val="0"/>
          <w:marBottom w:val="0"/>
          <w:divBdr>
            <w:top w:val="none" w:sz="0" w:space="0" w:color="auto"/>
            <w:left w:val="none" w:sz="0" w:space="0" w:color="auto"/>
            <w:bottom w:val="none" w:sz="0" w:space="0" w:color="auto"/>
            <w:right w:val="none" w:sz="0" w:space="0" w:color="auto"/>
          </w:divBdr>
        </w:div>
        <w:div w:id="1609704641">
          <w:marLeft w:val="0"/>
          <w:marRight w:val="0"/>
          <w:marTop w:val="0"/>
          <w:marBottom w:val="0"/>
          <w:divBdr>
            <w:top w:val="none" w:sz="0" w:space="0" w:color="auto"/>
            <w:left w:val="none" w:sz="0" w:space="0" w:color="auto"/>
            <w:bottom w:val="none" w:sz="0" w:space="0" w:color="auto"/>
            <w:right w:val="none" w:sz="0" w:space="0" w:color="auto"/>
          </w:divBdr>
        </w:div>
        <w:div w:id="1819179947">
          <w:marLeft w:val="0"/>
          <w:marRight w:val="0"/>
          <w:marTop w:val="0"/>
          <w:marBottom w:val="0"/>
          <w:divBdr>
            <w:top w:val="none" w:sz="0" w:space="0" w:color="auto"/>
            <w:left w:val="none" w:sz="0" w:space="0" w:color="auto"/>
            <w:bottom w:val="none" w:sz="0" w:space="0" w:color="auto"/>
            <w:right w:val="none" w:sz="0" w:space="0" w:color="auto"/>
          </w:divBdr>
        </w:div>
        <w:div w:id="1844928133">
          <w:marLeft w:val="0"/>
          <w:marRight w:val="0"/>
          <w:marTop w:val="0"/>
          <w:marBottom w:val="0"/>
          <w:divBdr>
            <w:top w:val="none" w:sz="0" w:space="0" w:color="auto"/>
            <w:left w:val="none" w:sz="0" w:space="0" w:color="auto"/>
            <w:bottom w:val="none" w:sz="0" w:space="0" w:color="auto"/>
            <w:right w:val="none" w:sz="0" w:space="0" w:color="auto"/>
          </w:divBdr>
        </w:div>
        <w:div w:id="1863089916">
          <w:marLeft w:val="0"/>
          <w:marRight w:val="0"/>
          <w:marTop w:val="0"/>
          <w:marBottom w:val="0"/>
          <w:divBdr>
            <w:top w:val="none" w:sz="0" w:space="0" w:color="auto"/>
            <w:left w:val="none" w:sz="0" w:space="0" w:color="auto"/>
            <w:bottom w:val="none" w:sz="0" w:space="0" w:color="auto"/>
            <w:right w:val="none" w:sz="0" w:space="0" w:color="auto"/>
          </w:divBdr>
        </w:div>
        <w:div w:id="1979647726">
          <w:marLeft w:val="0"/>
          <w:marRight w:val="0"/>
          <w:marTop w:val="0"/>
          <w:marBottom w:val="0"/>
          <w:divBdr>
            <w:top w:val="none" w:sz="0" w:space="0" w:color="auto"/>
            <w:left w:val="none" w:sz="0" w:space="0" w:color="auto"/>
            <w:bottom w:val="none" w:sz="0" w:space="0" w:color="auto"/>
            <w:right w:val="none" w:sz="0" w:space="0" w:color="auto"/>
          </w:divBdr>
        </w:div>
        <w:div w:id="2046445032">
          <w:marLeft w:val="0"/>
          <w:marRight w:val="0"/>
          <w:marTop w:val="0"/>
          <w:marBottom w:val="0"/>
          <w:divBdr>
            <w:top w:val="none" w:sz="0" w:space="0" w:color="auto"/>
            <w:left w:val="none" w:sz="0" w:space="0" w:color="auto"/>
            <w:bottom w:val="none" w:sz="0" w:space="0" w:color="auto"/>
            <w:right w:val="none" w:sz="0" w:space="0" w:color="auto"/>
          </w:divBdr>
        </w:div>
        <w:div w:id="2047362465">
          <w:marLeft w:val="0"/>
          <w:marRight w:val="0"/>
          <w:marTop w:val="0"/>
          <w:marBottom w:val="0"/>
          <w:divBdr>
            <w:top w:val="none" w:sz="0" w:space="0" w:color="auto"/>
            <w:left w:val="none" w:sz="0" w:space="0" w:color="auto"/>
            <w:bottom w:val="none" w:sz="0" w:space="0" w:color="auto"/>
            <w:right w:val="none" w:sz="0" w:space="0" w:color="auto"/>
          </w:divBdr>
        </w:div>
        <w:div w:id="2049261250">
          <w:marLeft w:val="0"/>
          <w:marRight w:val="0"/>
          <w:marTop w:val="0"/>
          <w:marBottom w:val="0"/>
          <w:divBdr>
            <w:top w:val="none" w:sz="0" w:space="0" w:color="auto"/>
            <w:left w:val="none" w:sz="0" w:space="0" w:color="auto"/>
            <w:bottom w:val="none" w:sz="0" w:space="0" w:color="auto"/>
            <w:right w:val="none" w:sz="0" w:space="0" w:color="auto"/>
          </w:divBdr>
        </w:div>
        <w:div w:id="2106419373">
          <w:marLeft w:val="0"/>
          <w:marRight w:val="0"/>
          <w:marTop w:val="0"/>
          <w:marBottom w:val="0"/>
          <w:divBdr>
            <w:top w:val="none" w:sz="0" w:space="0" w:color="auto"/>
            <w:left w:val="none" w:sz="0" w:space="0" w:color="auto"/>
            <w:bottom w:val="none" w:sz="0" w:space="0" w:color="auto"/>
            <w:right w:val="none" w:sz="0" w:space="0" w:color="auto"/>
          </w:divBdr>
        </w:div>
        <w:div w:id="2133664523">
          <w:marLeft w:val="0"/>
          <w:marRight w:val="0"/>
          <w:marTop w:val="0"/>
          <w:marBottom w:val="0"/>
          <w:divBdr>
            <w:top w:val="none" w:sz="0" w:space="0" w:color="auto"/>
            <w:left w:val="none" w:sz="0" w:space="0" w:color="auto"/>
            <w:bottom w:val="none" w:sz="0" w:space="0" w:color="auto"/>
            <w:right w:val="none" w:sz="0" w:space="0" w:color="auto"/>
          </w:divBdr>
        </w:div>
      </w:divsChild>
    </w:div>
    <w:div w:id="499393361">
      <w:bodyDiv w:val="1"/>
      <w:marLeft w:val="0"/>
      <w:marRight w:val="0"/>
      <w:marTop w:val="0"/>
      <w:marBottom w:val="0"/>
      <w:divBdr>
        <w:top w:val="none" w:sz="0" w:space="0" w:color="auto"/>
        <w:left w:val="none" w:sz="0" w:space="0" w:color="auto"/>
        <w:bottom w:val="none" w:sz="0" w:space="0" w:color="auto"/>
        <w:right w:val="none" w:sz="0" w:space="0" w:color="auto"/>
      </w:divBdr>
    </w:div>
    <w:div w:id="502942019">
      <w:bodyDiv w:val="1"/>
      <w:marLeft w:val="0"/>
      <w:marRight w:val="0"/>
      <w:marTop w:val="0"/>
      <w:marBottom w:val="0"/>
      <w:divBdr>
        <w:top w:val="none" w:sz="0" w:space="0" w:color="auto"/>
        <w:left w:val="none" w:sz="0" w:space="0" w:color="auto"/>
        <w:bottom w:val="none" w:sz="0" w:space="0" w:color="auto"/>
        <w:right w:val="none" w:sz="0" w:space="0" w:color="auto"/>
      </w:divBdr>
    </w:div>
    <w:div w:id="503402681">
      <w:bodyDiv w:val="1"/>
      <w:marLeft w:val="0"/>
      <w:marRight w:val="0"/>
      <w:marTop w:val="0"/>
      <w:marBottom w:val="0"/>
      <w:divBdr>
        <w:top w:val="none" w:sz="0" w:space="0" w:color="auto"/>
        <w:left w:val="none" w:sz="0" w:space="0" w:color="auto"/>
        <w:bottom w:val="none" w:sz="0" w:space="0" w:color="auto"/>
        <w:right w:val="none" w:sz="0" w:space="0" w:color="auto"/>
      </w:divBdr>
    </w:div>
    <w:div w:id="503790733">
      <w:bodyDiv w:val="1"/>
      <w:marLeft w:val="0"/>
      <w:marRight w:val="0"/>
      <w:marTop w:val="0"/>
      <w:marBottom w:val="0"/>
      <w:divBdr>
        <w:top w:val="none" w:sz="0" w:space="0" w:color="auto"/>
        <w:left w:val="none" w:sz="0" w:space="0" w:color="auto"/>
        <w:bottom w:val="none" w:sz="0" w:space="0" w:color="auto"/>
        <w:right w:val="none" w:sz="0" w:space="0" w:color="auto"/>
      </w:divBdr>
    </w:div>
    <w:div w:id="506797218">
      <w:bodyDiv w:val="1"/>
      <w:marLeft w:val="0"/>
      <w:marRight w:val="0"/>
      <w:marTop w:val="0"/>
      <w:marBottom w:val="0"/>
      <w:divBdr>
        <w:top w:val="none" w:sz="0" w:space="0" w:color="auto"/>
        <w:left w:val="none" w:sz="0" w:space="0" w:color="auto"/>
        <w:bottom w:val="none" w:sz="0" w:space="0" w:color="auto"/>
        <w:right w:val="none" w:sz="0" w:space="0" w:color="auto"/>
      </w:divBdr>
    </w:div>
    <w:div w:id="507057685">
      <w:bodyDiv w:val="1"/>
      <w:marLeft w:val="0"/>
      <w:marRight w:val="0"/>
      <w:marTop w:val="0"/>
      <w:marBottom w:val="0"/>
      <w:divBdr>
        <w:top w:val="none" w:sz="0" w:space="0" w:color="auto"/>
        <w:left w:val="none" w:sz="0" w:space="0" w:color="auto"/>
        <w:bottom w:val="none" w:sz="0" w:space="0" w:color="auto"/>
        <w:right w:val="none" w:sz="0" w:space="0" w:color="auto"/>
      </w:divBdr>
    </w:div>
    <w:div w:id="512188366">
      <w:bodyDiv w:val="1"/>
      <w:marLeft w:val="0"/>
      <w:marRight w:val="0"/>
      <w:marTop w:val="0"/>
      <w:marBottom w:val="0"/>
      <w:divBdr>
        <w:top w:val="none" w:sz="0" w:space="0" w:color="auto"/>
        <w:left w:val="none" w:sz="0" w:space="0" w:color="auto"/>
        <w:bottom w:val="none" w:sz="0" w:space="0" w:color="auto"/>
        <w:right w:val="none" w:sz="0" w:space="0" w:color="auto"/>
      </w:divBdr>
    </w:div>
    <w:div w:id="513761690">
      <w:bodyDiv w:val="1"/>
      <w:marLeft w:val="0"/>
      <w:marRight w:val="0"/>
      <w:marTop w:val="0"/>
      <w:marBottom w:val="0"/>
      <w:divBdr>
        <w:top w:val="none" w:sz="0" w:space="0" w:color="auto"/>
        <w:left w:val="none" w:sz="0" w:space="0" w:color="auto"/>
        <w:bottom w:val="none" w:sz="0" w:space="0" w:color="auto"/>
        <w:right w:val="none" w:sz="0" w:space="0" w:color="auto"/>
      </w:divBdr>
    </w:div>
    <w:div w:id="514349176">
      <w:bodyDiv w:val="1"/>
      <w:marLeft w:val="0"/>
      <w:marRight w:val="0"/>
      <w:marTop w:val="0"/>
      <w:marBottom w:val="0"/>
      <w:divBdr>
        <w:top w:val="none" w:sz="0" w:space="0" w:color="auto"/>
        <w:left w:val="none" w:sz="0" w:space="0" w:color="auto"/>
        <w:bottom w:val="none" w:sz="0" w:space="0" w:color="auto"/>
        <w:right w:val="none" w:sz="0" w:space="0" w:color="auto"/>
      </w:divBdr>
    </w:div>
    <w:div w:id="514809474">
      <w:bodyDiv w:val="1"/>
      <w:marLeft w:val="0"/>
      <w:marRight w:val="0"/>
      <w:marTop w:val="0"/>
      <w:marBottom w:val="0"/>
      <w:divBdr>
        <w:top w:val="none" w:sz="0" w:space="0" w:color="auto"/>
        <w:left w:val="none" w:sz="0" w:space="0" w:color="auto"/>
        <w:bottom w:val="none" w:sz="0" w:space="0" w:color="auto"/>
        <w:right w:val="none" w:sz="0" w:space="0" w:color="auto"/>
      </w:divBdr>
    </w:div>
    <w:div w:id="517234998">
      <w:bodyDiv w:val="1"/>
      <w:marLeft w:val="0"/>
      <w:marRight w:val="0"/>
      <w:marTop w:val="0"/>
      <w:marBottom w:val="0"/>
      <w:divBdr>
        <w:top w:val="none" w:sz="0" w:space="0" w:color="auto"/>
        <w:left w:val="none" w:sz="0" w:space="0" w:color="auto"/>
        <w:bottom w:val="none" w:sz="0" w:space="0" w:color="auto"/>
        <w:right w:val="none" w:sz="0" w:space="0" w:color="auto"/>
      </w:divBdr>
    </w:div>
    <w:div w:id="522327446">
      <w:bodyDiv w:val="1"/>
      <w:marLeft w:val="0"/>
      <w:marRight w:val="0"/>
      <w:marTop w:val="0"/>
      <w:marBottom w:val="0"/>
      <w:divBdr>
        <w:top w:val="none" w:sz="0" w:space="0" w:color="auto"/>
        <w:left w:val="none" w:sz="0" w:space="0" w:color="auto"/>
        <w:bottom w:val="none" w:sz="0" w:space="0" w:color="auto"/>
        <w:right w:val="none" w:sz="0" w:space="0" w:color="auto"/>
      </w:divBdr>
    </w:div>
    <w:div w:id="547570650">
      <w:bodyDiv w:val="1"/>
      <w:marLeft w:val="0"/>
      <w:marRight w:val="0"/>
      <w:marTop w:val="0"/>
      <w:marBottom w:val="0"/>
      <w:divBdr>
        <w:top w:val="none" w:sz="0" w:space="0" w:color="auto"/>
        <w:left w:val="none" w:sz="0" w:space="0" w:color="auto"/>
        <w:bottom w:val="none" w:sz="0" w:space="0" w:color="auto"/>
        <w:right w:val="none" w:sz="0" w:space="0" w:color="auto"/>
      </w:divBdr>
    </w:div>
    <w:div w:id="558788041">
      <w:bodyDiv w:val="1"/>
      <w:marLeft w:val="0"/>
      <w:marRight w:val="0"/>
      <w:marTop w:val="0"/>
      <w:marBottom w:val="0"/>
      <w:divBdr>
        <w:top w:val="none" w:sz="0" w:space="0" w:color="auto"/>
        <w:left w:val="none" w:sz="0" w:space="0" w:color="auto"/>
        <w:bottom w:val="none" w:sz="0" w:space="0" w:color="auto"/>
        <w:right w:val="none" w:sz="0" w:space="0" w:color="auto"/>
      </w:divBdr>
    </w:div>
    <w:div w:id="564530277">
      <w:bodyDiv w:val="1"/>
      <w:marLeft w:val="0"/>
      <w:marRight w:val="0"/>
      <w:marTop w:val="0"/>
      <w:marBottom w:val="0"/>
      <w:divBdr>
        <w:top w:val="none" w:sz="0" w:space="0" w:color="auto"/>
        <w:left w:val="none" w:sz="0" w:space="0" w:color="auto"/>
        <w:bottom w:val="none" w:sz="0" w:space="0" w:color="auto"/>
        <w:right w:val="none" w:sz="0" w:space="0" w:color="auto"/>
      </w:divBdr>
    </w:div>
    <w:div w:id="564798420">
      <w:bodyDiv w:val="1"/>
      <w:marLeft w:val="0"/>
      <w:marRight w:val="0"/>
      <w:marTop w:val="0"/>
      <w:marBottom w:val="0"/>
      <w:divBdr>
        <w:top w:val="none" w:sz="0" w:space="0" w:color="auto"/>
        <w:left w:val="none" w:sz="0" w:space="0" w:color="auto"/>
        <w:bottom w:val="none" w:sz="0" w:space="0" w:color="auto"/>
        <w:right w:val="none" w:sz="0" w:space="0" w:color="auto"/>
      </w:divBdr>
    </w:div>
    <w:div w:id="566888732">
      <w:bodyDiv w:val="1"/>
      <w:marLeft w:val="0"/>
      <w:marRight w:val="0"/>
      <w:marTop w:val="0"/>
      <w:marBottom w:val="0"/>
      <w:divBdr>
        <w:top w:val="none" w:sz="0" w:space="0" w:color="auto"/>
        <w:left w:val="none" w:sz="0" w:space="0" w:color="auto"/>
        <w:bottom w:val="none" w:sz="0" w:space="0" w:color="auto"/>
        <w:right w:val="none" w:sz="0" w:space="0" w:color="auto"/>
      </w:divBdr>
    </w:div>
    <w:div w:id="567568875">
      <w:bodyDiv w:val="1"/>
      <w:marLeft w:val="0"/>
      <w:marRight w:val="0"/>
      <w:marTop w:val="0"/>
      <w:marBottom w:val="0"/>
      <w:divBdr>
        <w:top w:val="none" w:sz="0" w:space="0" w:color="auto"/>
        <w:left w:val="none" w:sz="0" w:space="0" w:color="auto"/>
        <w:bottom w:val="none" w:sz="0" w:space="0" w:color="auto"/>
        <w:right w:val="none" w:sz="0" w:space="0" w:color="auto"/>
      </w:divBdr>
    </w:div>
    <w:div w:id="577403696">
      <w:bodyDiv w:val="1"/>
      <w:marLeft w:val="0"/>
      <w:marRight w:val="0"/>
      <w:marTop w:val="0"/>
      <w:marBottom w:val="0"/>
      <w:divBdr>
        <w:top w:val="none" w:sz="0" w:space="0" w:color="auto"/>
        <w:left w:val="none" w:sz="0" w:space="0" w:color="auto"/>
        <w:bottom w:val="none" w:sz="0" w:space="0" w:color="auto"/>
        <w:right w:val="none" w:sz="0" w:space="0" w:color="auto"/>
      </w:divBdr>
    </w:div>
    <w:div w:id="578029468">
      <w:bodyDiv w:val="1"/>
      <w:marLeft w:val="0"/>
      <w:marRight w:val="0"/>
      <w:marTop w:val="0"/>
      <w:marBottom w:val="0"/>
      <w:divBdr>
        <w:top w:val="none" w:sz="0" w:space="0" w:color="auto"/>
        <w:left w:val="none" w:sz="0" w:space="0" w:color="auto"/>
        <w:bottom w:val="none" w:sz="0" w:space="0" w:color="auto"/>
        <w:right w:val="none" w:sz="0" w:space="0" w:color="auto"/>
      </w:divBdr>
    </w:div>
    <w:div w:id="593248899">
      <w:bodyDiv w:val="1"/>
      <w:marLeft w:val="0"/>
      <w:marRight w:val="0"/>
      <w:marTop w:val="0"/>
      <w:marBottom w:val="0"/>
      <w:divBdr>
        <w:top w:val="none" w:sz="0" w:space="0" w:color="auto"/>
        <w:left w:val="none" w:sz="0" w:space="0" w:color="auto"/>
        <w:bottom w:val="none" w:sz="0" w:space="0" w:color="auto"/>
        <w:right w:val="none" w:sz="0" w:space="0" w:color="auto"/>
      </w:divBdr>
    </w:div>
    <w:div w:id="604921985">
      <w:bodyDiv w:val="1"/>
      <w:marLeft w:val="0"/>
      <w:marRight w:val="0"/>
      <w:marTop w:val="0"/>
      <w:marBottom w:val="0"/>
      <w:divBdr>
        <w:top w:val="none" w:sz="0" w:space="0" w:color="auto"/>
        <w:left w:val="none" w:sz="0" w:space="0" w:color="auto"/>
        <w:bottom w:val="none" w:sz="0" w:space="0" w:color="auto"/>
        <w:right w:val="none" w:sz="0" w:space="0" w:color="auto"/>
      </w:divBdr>
    </w:div>
    <w:div w:id="605430977">
      <w:bodyDiv w:val="1"/>
      <w:marLeft w:val="0"/>
      <w:marRight w:val="0"/>
      <w:marTop w:val="0"/>
      <w:marBottom w:val="0"/>
      <w:divBdr>
        <w:top w:val="none" w:sz="0" w:space="0" w:color="auto"/>
        <w:left w:val="none" w:sz="0" w:space="0" w:color="auto"/>
        <w:bottom w:val="none" w:sz="0" w:space="0" w:color="auto"/>
        <w:right w:val="none" w:sz="0" w:space="0" w:color="auto"/>
      </w:divBdr>
    </w:div>
    <w:div w:id="605580791">
      <w:bodyDiv w:val="1"/>
      <w:marLeft w:val="0"/>
      <w:marRight w:val="0"/>
      <w:marTop w:val="0"/>
      <w:marBottom w:val="0"/>
      <w:divBdr>
        <w:top w:val="none" w:sz="0" w:space="0" w:color="auto"/>
        <w:left w:val="none" w:sz="0" w:space="0" w:color="auto"/>
        <w:bottom w:val="none" w:sz="0" w:space="0" w:color="auto"/>
        <w:right w:val="none" w:sz="0" w:space="0" w:color="auto"/>
      </w:divBdr>
    </w:div>
    <w:div w:id="606043198">
      <w:bodyDiv w:val="1"/>
      <w:marLeft w:val="0"/>
      <w:marRight w:val="0"/>
      <w:marTop w:val="0"/>
      <w:marBottom w:val="0"/>
      <w:divBdr>
        <w:top w:val="none" w:sz="0" w:space="0" w:color="auto"/>
        <w:left w:val="none" w:sz="0" w:space="0" w:color="auto"/>
        <w:bottom w:val="none" w:sz="0" w:space="0" w:color="auto"/>
        <w:right w:val="none" w:sz="0" w:space="0" w:color="auto"/>
      </w:divBdr>
    </w:div>
    <w:div w:id="611715566">
      <w:bodyDiv w:val="1"/>
      <w:marLeft w:val="0"/>
      <w:marRight w:val="0"/>
      <w:marTop w:val="0"/>
      <w:marBottom w:val="0"/>
      <w:divBdr>
        <w:top w:val="none" w:sz="0" w:space="0" w:color="auto"/>
        <w:left w:val="none" w:sz="0" w:space="0" w:color="auto"/>
        <w:bottom w:val="none" w:sz="0" w:space="0" w:color="auto"/>
        <w:right w:val="none" w:sz="0" w:space="0" w:color="auto"/>
      </w:divBdr>
    </w:div>
    <w:div w:id="612253426">
      <w:bodyDiv w:val="1"/>
      <w:marLeft w:val="0"/>
      <w:marRight w:val="0"/>
      <w:marTop w:val="0"/>
      <w:marBottom w:val="0"/>
      <w:divBdr>
        <w:top w:val="none" w:sz="0" w:space="0" w:color="auto"/>
        <w:left w:val="none" w:sz="0" w:space="0" w:color="auto"/>
        <w:bottom w:val="none" w:sz="0" w:space="0" w:color="auto"/>
        <w:right w:val="none" w:sz="0" w:space="0" w:color="auto"/>
      </w:divBdr>
    </w:div>
    <w:div w:id="619149310">
      <w:bodyDiv w:val="1"/>
      <w:marLeft w:val="0"/>
      <w:marRight w:val="0"/>
      <w:marTop w:val="0"/>
      <w:marBottom w:val="0"/>
      <w:divBdr>
        <w:top w:val="none" w:sz="0" w:space="0" w:color="auto"/>
        <w:left w:val="none" w:sz="0" w:space="0" w:color="auto"/>
        <w:bottom w:val="none" w:sz="0" w:space="0" w:color="auto"/>
        <w:right w:val="none" w:sz="0" w:space="0" w:color="auto"/>
      </w:divBdr>
    </w:div>
    <w:div w:id="628124516">
      <w:bodyDiv w:val="1"/>
      <w:marLeft w:val="0"/>
      <w:marRight w:val="0"/>
      <w:marTop w:val="0"/>
      <w:marBottom w:val="0"/>
      <w:divBdr>
        <w:top w:val="none" w:sz="0" w:space="0" w:color="auto"/>
        <w:left w:val="none" w:sz="0" w:space="0" w:color="auto"/>
        <w:bottom w:val="none" w:sz="0" w:space="0" w:color="auto"/>
        <w:right w:val="none" w:sz="0" w:space="0" w:color="auto"/>
      </w:divBdr>
    </w:div>
    <w:div w:id="633489493">
      <w:bodyDiv w:val="1"/>
      <w:marLeft w:val="0"/>
      <w:marRight w:val="0"/>
      <w:marTop w:val="0"/>
      <w:marBottom w:val="0"/>
      <w:divBdr>
        <w:top w:val="none" w:sz="0" w:space="0" w:color="auto"/>
        <w:left w:val="none" w:sz="0" w:space="0" w:color="auto"/>
        <w:bottom w:val="none" w:sz="0" w:space="0" w:color="auto"/>
        <w:right w:val="none" w:sz="0" w:space="0" w:color="auto"/>
      </w:divBdr>
    </w:div>
    <w:div w:id="636883157">
      <w:bodyDiv w:val="1"/>
      <w:marLeft w:val="0"/>
      <w:marRight w:val="0"/>
      <w:marTop w:val="0"/>
      <w:marBottom w:val="0"/>
      <w:divBdr>
        <w:top w:val="none" w:sz="0" w:space="0" w:color="auto"/>
        <w:left w:val="none" w:sz="0" w:space="0" w:color="auto"/>
        <w:bottom w:val="none" w:sz="0" w:space="0" w:color="auto"/>
        <w:right w:val="none" w:sz="0" w:space="0" w:color="auto"/>
      </w:divBdr>
    </w:div>
    <w:div w:id="642781811">
      <w:bodyDiv w:val="1"/>
      <w:marLeft w:val="0"/>
      <w:marRight w:val="0"/>
      <w:marTop w:val="0"/>
      <w:marBottom w:val="0"/>
      <w:divBdr>
        <w:top w:val="none" w:sz="0" w:space="0" w:color="auto"/>
        <w:left w:val="none" w:sz="0" w:space="0" w:color="auto"/>
        <w:bottom w:val="none" w:sz="0" w:space="0" w:color="auto"/>
        <w:right w:val="none" w:sz="0" w:space="0" w:color="auto"/>
      </w:divBdr>
    </w:div>
    <w:div w:id="647054295">
      <w:bodyDiv w:val="1"/>
      <w:marLeft w:val="0"/>
      <w:marRight w:val="0"/>
      <w:marTop w:val="0"/>
      <w:marBottom w:val="0"/>
      <w:divBdr>
        <w:top w:val="none" w:sz="0" w:space="0" w:color="auto"/>
        <w:left w:val="none" w:sz="0" w:space="0" w:color="auto"/>
        <w:bottom w:val="none" w:sz="0" w:space="0" w:color="auto"/>
        <w:right w:val="none" w:sz="0" w:space="0" w:color="auto"/>
      </w:divBdr>
    </w:div>
    <w:div w:id="657346687">
      <w:bodyDiv w:val="1"/>
      <w:marLeft w:val="0"/>
      <w:marRight w:val="0"/>
      <w:marTop w:val="0"/>
      <w:marBottom w:val="0"/>
      <w:divBdr>
        <w:top w:val="none" w:sz="0" w:space="0" w:color="auto"/>
        <w:left w:val="none" w:sz="0" w:space="0" w:color="auto"/>
        <w:bottom w:val="none" w:sz="0" w:space="0" w:color="auto"/>
        <w:right w:val="none" w:sz="0" w:space="0" w:color="auto"/>
      </w:divBdr>
    </w:div>
    <w:div w:id="661591384">
      <w:bodyDiv w:val="1"/>
      <w:marLeft w:val="0"/>
      <w:marRight w:val="0"/>
      <w:marTop w:val="0"/>
      <w:marBottom w:val="0"/>
      <w:divBdr>
        <w:top w:val="none" w:sz="0" w:space="0" w:color="auto"/>
        <w:left w:val="none" w:sz="0" w:space="0" w:color="auto"/>
        <w:bottom w:val="none" w:sz="0" w:space="0" w:color="auto"/>
        <w:right w:val="none" w:sz="0" w:space="0" w:color="auto"/>
      </w:divBdr>
    </w:div>
    <w:div w:id="668603950">
      <w:bodyDiv w:val="1"/>
      <w:marLeft w:val="0"/>
      <w:marRight w:val="0"/>
      <w:marTop w:val="0"/>
      <w:marBottom w:val="0"/>
      <w:divBdr>
        <w:top w:val="none" w:sz="0" w:space="0" w:color="auto"/>
        <w:left w:val="none" w:sz="0" w:space="0" w:color="auto"/>
        <w:bottom w:val="none" w:sz="0" w:space="0" w:color="auto"/>
        <w:right w:val="none" w:sz="0" w:space="0" w:color="auto"/>
      </w:divBdr>
    </w:div>
    <w:div w:id="669213762">
      <w:bodyDiv w:val="1"/>
      <w:marLeft w:val="0"/>
      <w:marRight w:val="0"/>
      <w:marTop w:val="0"/>
      <w:marBottom w:val="0"/>
      <w:divBdr>
        <w:top w:val="none" w:sz="0" w:space="0" w:color="auto"/>
        <w:left w:val="none" w:sz="0" w:space="0" w:color="auto"/>
        <w:bottom w:val="none" w:sz="0" w:space="0" w:color="auto"/>
        <w:right w:val="none" w:sz="0" w:space="0" w:color="auto"/>
      </w:divBdr>
    </w:div>
    <w:div w:id="672295455">
      <w:bodyDiv w:val="1"/>
      <w:marLeft w:val="0"/>
      <w:marRight w:val="0"/>
      <w:marTop w:val="0"/>
      <w:marBottom w:val="0"/>
      <w:divBdr>
        <w:top w:val="none" w:sz="0" w:space="0" w:color="auto"/>
        <w:left w:val="none" w:sz="0" w:space="0" w:color="auto"/>
        <w:bottom w:val="none" w:sz="0" w:space="0" w:color="auto"/>
        <w:right w:val="none" w:sz="0" w:space="0" w:color="auto"/>
      </w:divBdr>
    </w:div>
    <w:div w:id="676881596">
      <w:bodyDiv w:val="1"/>
      <w:marLeft w:val="0"/>
      <w:marRight w:val="0"/>
      <w:marTop w:val="0"/>
      <w:marBottom w:val="0"/>
      <w:divBdr>
        <w:top w:val="none" w:sz="0" w:space="0" w:color="auto"/>
        <w:left w:val="none" w:sz="0" w:space="0" w:color="auto"/>
        <w:bottom w:val="none" w:sz="0" w:space="0" w:color="auto"/>
        <w:right w:val="none" w:sz="0" w:space="0" w:color="auto"/>
      </w:divBdr>
    </w:div>
    <w:div w:id="679504698">
      <w:bodyDiv w:val="1"/>
      <w:marLeft w:val="0"/>
      <w:marRight w:val="0"/>
      <w:marTop w:val="0"/>
      <w:marBottom w:val="0"/>
      <w:divBdr>
        <w:top w:val="none" w:sz="0" w:space="0" w:color="auto"/>
        <w:left w:val="none" w:sz="0" w:space="0" w:color="auto"/>
        <w:bottom w:val="none" w:sz="0" w:space="0" w:color="auto"/>
        <w:right w:val="none" w:sz="0" w:space="0" w:color="auto"/>
      </w:divBdr>
    </w:div>
    <w:div w:id="700470144">
      <w:bodyDiv w:val="1"/>
      <w:marLeft w:val="0"/>
      <w:marRight w:val="0"/>
      <w:marTop w:val="0"/>
      <w:marBottom w:val="0"/>
      <w:divBdr>
        <w:top w:val="none" w:sz="0" w:space="0" w:color="auto"/>
        <w:left w:val="none" w:sz="0" w:space="0" w:color="auto"/>
        <w:bottom w:val="none" w:sz="0" w:space="0" w:color="auto"/>
        <w:right w:val="none" w:sz="0" w:space="0" w:color="auto"/>
      </w:divBdr>
    </w:div>
    <w:div w:id="701856935">
      <w:bodyDiv w:val="1"/>
      <w:marLeft w:val="0"/>
      <w:marRight w:val="0"/>
      <w:marTop w:val="0"/>
      <w:marBottom w:val="0"/>
      <w:divBdr>
        <w:top w:val="none" w:sz="0" w:space="0" w:color="auto"/>
        <w:left w:val="none" w:sz="0" w:space="0" w:color="auto"/>
        <w:bottom w:val="none" w:sz="0" w:space="0" w:color="auto"/>
        <w:right w:val="none" w:sz="0" w:space="0" w:color="auto"/>
      </w:divBdr>
    </w:div>
    <w:div w:id="709038914">
      <w:bodyDiv w:val="1"/>
      <w:marLeft w:val="0"/>
      <w:marRight w:val="0"/>
      <w:marTop w:val="0"/>
      <w:marBottom w:val="0"/>
      <w:divBdr>
        <w:top w:val="none" w:sz="0" w:space="0" w:color="auto"/>
        <w:left w:val="none" w:sz="0" w:space="0" w:color="auto"/>
        <w:bottom w:val="none" w:sz="0" w:space="0" w:color="auto"/>
        <w:right w:val="none" w:sz="0" w:space="0" w:color="auto"/>
      </w:divBdr>
    </w:div>
    <w:div w:id="713433827">
      <w:bodyDiv w:val="1"/>
      <w:marLeft w:val="0"/>
      <w:marRight w:val="0"/>
      <w:marTop w:val="0"/>
      <w:marBottom w:val="0"/>
      <w:divBdr>
        <w:top w:val="none" w:sz="0" w:space="0" w:color="auto"/>
        <w:left w:val="none" w:sz="0" w:space="0" w:color="auto"/>
        <w:bottom w:val="none" w:sz="0" w:space="0" w:color="auto"/>
        <w:right w:val="none" w:sz="0" w:space="0" w:color="auto"/>
      </w:divBdr>
    </w:div>
    <w:div w:id="713696360">
      <w:bodyDiv w:val="1"/>
      <w:marLeft w:val="0"/>
      <w:marRight w:val="0"/>
      <w:marTop w:val="0"/>
      <w:marBottom w:val="0"/>
      <w:divBdr>
        <w:top w:val="none" w:sz="0" w:space="0" w:color="auto"/>
        <w:left w:val="none" w:sz="0" w:space="0" w:color="auto"/>
        <w:bottom w:val="none" w:sz="0" w:space="0" w:color="auto"/>
        <w:right w:val="none" w:sz="0" w:space="0" w:color="auto"/>
      </w:divBdr>
    </w:div>
    <w:div w:id="717583223">
      <w:bodyDiv w:val="1"/>
      <w:marLeft w:val="0"/>
      <w:marRight w:val="0"/>
      <w:marTop w:val="0"/>
      <w:marBottom w:val="0"/>
      <w:divBdr>
        <w:top w:val="none" w:sz="0" w:space="0" w:color="auto"/>
        <w:left w:val="none" w:sz="0" w:space="0" w:color="auto"/>
        <w:bottom w:val="none" w:sz="0" w:space="0" w:color="auto"/>
        <w:right w:val="none" w:sz="0" w:space="0" w:color="auto"/>
      </w:divBdr>
    </w:div>
    <w:div w:id="718823248">
      <w:bodyDiv w:val="1"/>
      <w:marLeft w:val="0"/>
      <w:marRight w:val="0"/>
      <w:marTop w:val="0"/>
      <w:marBottom w:val="0"/>
      <w:divBdr>
        <w:top w:val="none" w:sz="0" w:space="0" w:color="auto"/>
        <w:left w:val="none" w:sz="0" w:space="0" w:color="auto"/>
        <w:bottom w:val="none" w:sz="0" w:space="0" w:color="auto"/>
        <w:right w:val="none" w:sz="0" w:space="0" w:color="auto"/>
      </w:divBdr>
    </w:div>
    <w:div w:id="730078577">
      <w:bodyDiv w:val="1"/>
      <w:marLeft w:val="0"/>
      <w:marRight w:val="0"/>
      <w:marTop w:val="0"/>
      <w:marBottom w:val="0"/>
      <w:divBdr>
        <w:top w:val="none" w:sz="0" w:space="0" w:color="auto"/>
        <w:left w:val="none" w:sz="0" w:space="0" w:color="auto"/>
        <w:bottom w:val="none" w:sz="0" w:space="0" w:color="auto"/>
        <w:right w:val="none" w:sz="0" w:space="0" w:color="auto"/>
      </w:divBdr>
    </w:div>
    <w:div w:id="741370167">
      <w:bodyDiv w:val="1"/>
      <w:marLeft w:val="0"/>
      <w:marRight w:val="0"/>
      <w:marTop w:val="0"/>
      <w:marBottom w:val="0"/>
      <w:divBdr>
        <w:top w:val="none" w:sz="0" w:space="0" w:color="auto"/>
        <w:left w:val="none" w:sz="0" w:space="0" w:color="auto"/>
        <w:bottom w:val="none" w:sz="0" w:space="0" w:color="auto"/>
        <w:right w:val="none" w:sz="0" w:space="0" w:color="auto"/>
      </w:divBdr>
    </w:div>
    <w:div w:id="744259002">
      <w:bodyDiv w:val="1"/>
      <w:marLeft w:val="0"/>
      <w:marRight w:val="0"/>
      <w:marTop w:val="0"/>
      <w:marBottom w:val="0"/>
      <w:divBdr>
        <w:top w:val="none" w:sz="0" w:space="0" w:color="auto"/>
        <w:left w:val="none" w:sz="0" w:space="0" w:color="auto"/>
        <w:bottom w:val="none" w:sz="0" w:space="0" w:color="auto"/>
        <w:right w:val="none" w:sz="0" w:space="0" w:color="auto"/>
      </w:divBdr>
    </w:div>
    <w:div w:id="752550840">
      <w:bodyDiv w:val="1"/>
      <w:marLeft w:val="0"/>
      <w:marRight w:val="0"/>
      <w:marTop w:val="0"/>
      <w:marBottom w:val="0"/>
      <w:divBdr>
        <w:top w:val="none" w:sz="0" w:space="0" w:color="auto"/>
        <w:left w:val="none" w:sz="0" w:space="0" w:color="auto"/>
        <w:bottom w:val="none" w:sz="0" w:space="0" w:color="auto"/>
        <w:right w:val="none" w:sz="0" w:space="0" w:color="auto"/>
      </w:divBdr>
    </w:div>
    <w:div w:id="760375252">
      <w:bodyDiv w:val="1"/>
      <w:marLeft w:val="0"/>
      <w:marRight w:val="0"/>
      <w:marTop w:val="0"/>
      <w:marBottom w:val="0"/>
      <w:divBdr>
        <w:top w:val="none" w:sz="0" w:space="0" w:color="auto"/>
        <w:left w:val="none" w:sz="0" w:space="0" w:color="auto"/>
        <w:bottom w:val="none" w:sz="0" w:space="0" w:color="auto"/>
        <w:right w:val="none" w:sz="0" w:space="0" w:color="auto"/>
      </w:divBdr>
    </w:div>
    <w:div w:id="761072031">
      <w:bodyDiv w:val="1"/>
      <w:marLeft w:val="0"/>
      <w:marRight w:val="0"/>
      <w:marTop w:val="0"/>
      <w:marBottom w:val="0"/>
      <w:divBdr>
        <w:top w:val="none" w:sz="0" w:space="0" w:color="auto"/>
        <w:left w:val="none" w:sz="0" w:space="0" w:color="auto"/>
        <w:bottom w:val="none" w:sz="0" w:space="0" w:color="auto"/>
        <w:right w:val="none" w:sz="0" w:space="0" w:color="auto"/>
      </w:divBdr>
    </w:div>
    <w:div w:id="762651272">
      <w:bodyDiv w:val="1"/>
      <w:marLeft w:val="0"/>
      <w:marRight w:val="0"/>
      <w:marTop w:val="0"/>
      <w:marBottom w:val="0"/>
      <w:divBdr>
        <w:top w:val="none" w:sz="0" w:space="0" w:color="auto"/>
        <w:left w:val="none" w:sz="0" w:space="0" w:color="auto"/>
        <w:bottom w:val="none" w:sz="0" w:space="0" w:color="auto"/>
        <w:right w:val="none" w:sz="0" w:space="0" w:color="auto"/>
      </w:divBdr>
    </w:div>
    <w:div w:id="766120202">
      <w:bodyDiv w:val="1"/>
      <w:marLeft w:val="0"/>
      <w:marRight w:val="0"/>
      <w:marTop w:val="0"/>
      <w:marBottom w:val="0"/>
      <w:divBdr>
        <w:top w:val="none" w:sz="0" w:space="0" w:color="auto"/>
        <w:left w:val="none" w:sz="0" w:space="0" w:color="auto"/>
        <w:bottom w:val="none" w:sz="0" w:space="0" w:color="auto"/>
        <w:right w:val="none" w:sz="0" w:space="0" w:color="auto"/>
      </w:divBdr>
    </w:div>
    <w:div w:id="767047265">
      <w:bodyDiv w:val="1"/>
      <w:marLeft w:val="0"/>
      <w:marRight w:val="0"/>
      <w:marTop w:val="0"/>
      <w:marBottom w:val="0"/>
      <w:divBdr>
        <w:top w:val="none" w:sz="0" w:space="0" w:color="auto"/>
        <w:left w:val="none" w:sz="0" w:space="0" w:color="auto"/>
        <w:bottom w:val="none" w:sz="0" w:space="0" w:color="auto"/>
        <w:right w:val="none" w:sz="0" w:space="0" w:color="auto"/>
      </w:divBdr>
    </w:div>
    <w:div w:id="777677669">
      <w:bodyDiv w:val="1"/>
      <w:marLeft w:val="0"/>
      <w:marRight w:val="0"/>
      <w:marTop w:val="0"/>
      <w:marBottom w:val="0"/>
      <w:divBdr>
        <w:top w:val="none" w:sz="0" w:space="0" w:color="auto"/>
        <w:left w:val="none" w:sz="0" w:space="0" w:color="auto"/>
        <w:bottom w:val="none" w:sz="0" w:space="0" w:color="auto"/>
        <w:right w:val="none" w:sz="0" w:space="0" w:color="auto"/>
      </w:divBdr>
    </w:div>
    <w:div w:id="783695653">
      <w:bodyDiv w:val="1"/>
      <w:marLeft w:val="0"/>
      <w:marRight w:val="0"/>
      <w:marTop w:val="0"/>
      <w:marBottom w:val="0"/>
      <w:divBdr>
        <w:top w:val="none" w:sz="0" w:space="0" w:color="auto"/>
        <w:left w:val="none" w:sz="0" w:space="0" w:color="auto"/>
        <w:bottom w:val="none" w:sz="0" w:space="0" w:color="auto"/>
        <w:right w:val="none" w:sz="0" w:space="0" w:color="auto"/>
      </w:divBdr>
    </w:div>
    <w:div w:id="786198177">
      <w:bodyDiv w:val="1"/>
      <w:marLeft w:val="0"/>
      <w:marRight w:val="0"/>
      <w:marTop w:val="0"/>
      <w:marBottom w:val="0"/>
      <w:divBdr>
        <w:top w:val="none" w:sz="0" w:space="0" w:color="auto"/>
        <w:left w:val="none" w:sz="0" w:space="0" w:color="auto"/>
        <w:bottom w:val="none" w:sz="0" w:space="0" w:color="auto"/>
        <w:right w:val="none" w:sz="0" w:space="0" w:color="auto"/>
      </w:divBdr>
    </w:div>
    <w:div w:id="793669767">
      <w:bodyDiv w:val="1"/>
      <w:marLeft w:val="0"/>
      <w:marRight w:val="0"/>
      <w:marTop w:val="0"/>
      <w:marBottom w:val="0"/>
      <w:divBdr>
        <w:top w:val="none" w:sz="0" w:space="0" w:color="auto"/>
        <w:left w:val="none" w:sz="0" w:space="0" w:color="auto"/>
        <w:bottom w:val="none" w:sz="0" w:space="0" w:color="auto"/>
        <w:right w:val="none" w:sz="0" w:space="0" w:color="auto"/>
      </w:divBdr>
    </w:div>
    <w:div w:id="796879308">
      <w:bodyDiv w:val="1"/>
      <w:marLeft w:val="0"/>
      <w:marRight w:val="0"/>
      <w:marTop w:val="0"/>
      <w:marBottom w:val="0"/>
      <w:divBdr>
        <w:top w:val="none" w:sz="0" w:space="0" w:color="auto"/>
        <w:left w:val="none" w:sz="0" w:space="0" w:color="auto"/>
        <w:bottom w:val="none" w:sz="0" w:space="0" w:color="auto"/>
        <w:right w:val="none" w:sz="0" w:space="0" w:color="auto"/>
      </w:divBdr>
    </w:div>
    <w:div w:id="807937160">
      <w:bodyDiv w:val="1"/>
      <w:marLeft w:val="0"/>
      <w:marRight w:val="0"/>
      <w:marTop w:val="0"/>
      <w:marBottom w:val="0"/>
      <w:divBdr>
        <w:top w:val="none" w:sz="0" w:space="0" w:color="auto"/>
        <w:left w:val="none" w:sz="0" w:space="0" w:color="auto"/>
        <w:bottom w:val="none" w:sz="0" w:space="0" w:color="auto"/>
        <w:right w:val="none" w:sz="0" w:space="0" w:color="auto"/>
      </w:divBdr>
    </w:div>
    <w:div w:id="808128130">
      <w:bodyDiv w:val="1"/>
      <w:marLeft w:val="0"/>
      <w:marRight w:val="0"/>
      <w:marTop w:val="0"/>
      <w:marBottom w:val="0"/>
      <w:divBdr>
        <w:top w:val="none" w:sz="0" w:space="0" w:color="auto"/>
        <w:left w:val="none" w:sz="0" w:space="0" w:color="auto"/>
        <w:bottom w:val="none" w:sz="0" w:space="0" w:color="auto"/>
        <w:right w:val="none" w:sz="0" w:space="0" w:color="auto"/>
      </w:divBdr>
    </w:div>
    <w:div w:id="815613338">
      <w:bodyDiv w:val="1"/>
      <w:marLeft w:val="0"/>
      <w:marRight w:val="0"/>
      <w:marTop w:val="0"/>
      <w:marBottom w:val="0"/>
      <w:divBdr>
        <w:top w:val="none" w:sz="0" w:space="0" w:color="auto"/>
        <w:left w:val="none" w:sz="0" w:space="0" w:color="auto"/>
        <w:bottom w:val="none" w:sz="0" w:space="0" w:color="auto"/>
        <w:right w:val="none" w:sz="0" w:space="0" w:color="auto"/>
      </w:divBdr>
    </w:div>
    <w:div w:id="825706237">
      <w:bodyDiv w:val="1"/>
      <w:marLeft w:val="0"/>
      <w:marRight w:val="0"/>
      <w:marTop w:val="0"/>
      <w:marBottom w:val="0"/>
      <w:divBdr>
        <w:top w:val="none" w:sz="0" w:space="0" w:color="auto"/>
        <w:left w:val="none" w:sz="0" w:space="0" w:color="auto"/>
        <w:bottom w:val="none" w:sz="0" w:space="0" w:color="auto"/>
        <w:right w:val="none" w:sz="0" w:space="0" w:color="auto"/>
      </w:divBdr>
    </w:div>
    <w:div w:id="829633682">
      <w:bodyDiv w:val="1"/>
      <w:marLeft w:val="0"/>
      <w:marRight w:val="0"/>
      <w:marTop w:val="0"/>
      <w:marBottom w:val="0"/>
      <w:divBdr>
        <w:top w:val="none" w:sz="0" w:space="0" w:color="auto"/>
        <w:left w:val="none" w:sz="0" w:space="0" w:color="auto"/>
        <w:bottom w:val="none" w:sz="0" w:space="0" w:color="auto"/>
        <w:right w:val="none" w:sz="0" w:space="0" w:color="auto"/>
      </w:divBdr>
    </w:div>
    <w:div w:id="829714791">
      <w:bodyDiv w:val="1"/>
      <w:marLeft w:val="0"/>
      <w:marRight w:val="0"/>
      <w:marTop w:val="0"/>
      <w:marBottom w:val="0"/>
      <w:divBdr>
        <w:top w:val="none" w:sz="0" w:space="0" w:color="auto"/>
        <w:left w:val="none" w:sz="0" w:space="0" w:color="auto"/>
        <w:bottom w:val="none" w:sz="0" w:space="0" w:color="auto"/>
        <w:right w:val="none" w:sz="0" w:space="0" w:color="auto"/>
      </w:divBdr>
    </w:div>
    <w:div w:id="835263314">
      <w:bodyDiv w:val="1"/>
      <w:marLeft w:val="0"/>
      <w:marRight w:val="0"/>
      <w:marTop w:val="0"/>
      <w:marBottom w:val="0"/>
      <w:divBdr>
        <w:top w:val="none" w:sz="0" w:space="0" w:color="auto"/>
        <w:left w:val="none" w:sz="0" w:space="0" w:color="auto"/>
        <w:bottom w:val="none" w:sz="0" w:space="0" w:color="auto"/>
        <w:right w:val="none" w:sz="0" w:space="0" w:color="auto"/>
      </w:divBdr>
    </w:div>
    <w:div w:id="845096686">
      <w:bodyDiv w:val="1"/>
      <w:marLeft w:val="0"/>
      <w:marRight w:val="0"/>
      <w:marTop w:val="0"/>
      <w:marBottom w:val="0"/>
      <w:divBdr>
        <w:top w:val="none" w:sz="0" w:space="0" w:color="auto"/>
        <w:left w:val="none" w:sz="0" w:space="0" w:color="auto"/>
        <w:bottom w:val="none" w:sz="0" w:space="0" w:color="auto"/>
        <w:right w:val="none" w:sz="0" w:space="0" w:color="auto"/>
      </w:divBdr>
    </w:div>
    <w:div w:id="845561295">
      <w:bodyDiv w:val="1"/>
      <w:marLeft w:val="0"/>
      <w:marRight w:val="0"/>
      <w:marTop w:val="0"/>
      <w:marBottom w:val="0"/>
      <w:divBdr>
        <w:top w:val="none" w:sz="0" w:space="0" w:color="auto"/>
        <w:left w:val="none" w:sz="0" w:space="0" w:color="auto"/>
        <w:bottom w:val="none" w:sz="0" w:space="0" w:color="auto"/>
        <w:right w:val="none" w:sz="0" w:space="0" w:color="auto"/>
      </w:divBdr>
    </w:div>
    <w:div w:id="846673205">
      <w:bodyDiv w:val="1"/>
      <w:marLeft w:val="0"/>
      <w:marRight w:val="0"/>
      <w:marTop w:val="0"/>
      <w:marBottom w:val="0"/>
      <w:divBdr>
        <w:top w:val="none" w:sz="0" w:space="0" w:color="auto"/>
        <w:left w:val="none" w:sz="0" w:space="0" w:color="auto"/>
        <w:bottom w:val="none" w:sz="0" w:space="0" w:color="auto"/>
        <w:right w:val="none" w:sz="0" w:space="0" w:color="auto"/>
      </w:divBdr>
    </w:div>
    <w:div w:id="847915139">
      <w:bodyDiv w:val="1"/>
      <w:marLeft w:val="0"/>
      <w:marRight w:val="0"/>
      <w:marTop w:val="0"/>
      <w:marBottom w:val="0"/>
      <w:divBdr>
        <w:top w:val="none" w:sz="0" w:space="0" w:color="auto"/>
        <w:left w:val="none" w:sz="0" w:space="0" w:color="auto"/>
        <w:bottom w:val="none" w:sz="0" w:space="0" w:color="auto"/>
        <w:right w:val="none" w:sz="0" w:space="0" w:color="auto"/>
      </w:divBdr>
    </w:div>
    <w:div w:id="858736103">
      <w:bodyDiv w:val="1"/>
      <w:marLeft w:val="0"/>
      <w:marRight w:val="0"/>
      <w:marTop w:val="0"/>
      <w:marBottom w:val="0"/>
      <w:divBdr>
        <w:top w:val="none" w:sz="0" w:space="0" w:color="auto"/>
        <w:left w:val="none" w:sz="0" w:space="0" w:color="auto"/>
        <w:bottom w:val="none" w:sz="0" w:space="0" w:color="auto"/>
        <w:right w:val="none" w:sz="0" w:space="0" w:color="auto"/>
      </w:divBdr>
    </w:div>
    <w:div w:id="859585542">
      <w:bodyDiv w:val="1"/>
      <w:marLeft w:val="0"/>
      <w:marRight w:val="0"/>
      <w:marTop w:val="0"/>
      <w:marBottom w:val="0"/>
      <w:divBdr>
        <w:top w:val="none" w:sz="0" w:space="0" w:color="auto"/>
        <w:left w:val="none" w:sz="0" w:space="0" w:color="auto"/>
        <w:bottom w:val="none" w:sz="0" w:space="0" w:color="auto"/>
        <w:right w:val="none" w:sz="0" w:space="0" w:color="auto"/>
      </w:divBdr>
    </w:div>
    <w:div w:id="867304579">
      <w:bodyDiv w:val="1"/>
      <w:marLeft w:val="0"/>
      <w:marRight w:val="0"/>
      <w:marTop w:val="0"/>
      <w:marBottom w:val="0"/>
      <w:divBdr>
        <w:top w:val="none" w:sz="0" w:space="0" w:color="auto"/>
        <w:left w:val="none" w:sz="0" w:space="0" w:color="auto"/>
        <w:bottom w:val="none" w:sz="0" w:space="0" w:color="auto"/>
        <w:right w:val="none" w:sz="0" w:space="0" w:color="auto"/>
      </w:divBdr>
    </w:div>
    <w:div w:id="870261777">
      <w:bodyDiv w:val="1"/>
      <w:marLeft w:val="0"/>
      <w:marRight w:val="0"/>
      <w:marTop w:val="0"/>
      <w:marBottom w:val="0"/>
      <w:divBdr>
        <w:top w:val="none" w:sz="0" w:space="0" w:color="auto"/>
        <w:left w:val="none" w:sz="0" w:space="0" w:color="auto"/>
        <w:bottom w:val="none" w:sz="0" w:space="0" w:color="auto"/>
        <w:right w:val="none" w:sz="0" w:space="0" w:color="auto"/>
      </w:divBdr>
    </w:div>
    <w:div w:id="876165516">
      <w:bodyDiv w:val="1"/>
      <w:marLeft w:val="0"/>
      <w:marRight w:val="0"/>
      <w:marTop w:val="0"/>
      <w:marBottom w:val="0"/>
      <w:divBdr>
        <w:top w:val="none" w:sz="0" w:space="0" w:color="auto"/>
        <w:left w:val="none" w:sz="0" w:space="0" w:color="auto"/>
        <w:bottom w:val="none" w:sz="0" w:space="0" w:color="auto"/>
        <w:right w:val="none" w:sz="0" w:space="0" w:color="auto"/>
      </w:divBdr>
    </w:div>
    <w:div w:id="884877145">
      <w:bodyDiv w:val="1"/>
      <w:marLeft w:val="0"/>
      <w:marRight w:val="0"/>
      <w:marTop w:val="0"/>
      <w:marBottom w:val="0"/>
      <w:divBdr>
        <w:top w:val="none" w:sz="0" w:space="0" w:color="auto"/>
        <w:left w:val="none" w:sz="0" w:space="0" w:color="auto"/>
        <w:bottom w:val="none" w:sz="0" w:space="0" w:color="auto"/>
        <w:right w:val="none" w:sz="0" w:space="0" w:color="auto"/>
      </w:divBdr>
    </w:div>
    <w:div w:id="885483762">
      <w:bodyDiv w:val="1"/>
      <w:marLeft w:val="0"/>
      <w:marRight w:val="0"/>
      <w:marTop w:val="0"/>
      <w:marBottom w:val="0"/>
      <w:divBdr>
        <w:top w:val="none" w:sz="0" w:space="0" w:color="auto"/>
        <w:left w:val="none" w:sz="0" w:space="0" w:color="auto"/>
        <w:bottom w:val="none" w:sz="0" w:space="0" w:color="auto"/>
        <w:right w:val="none" w:sz="0" w:space="0" w:color="auto"/>
      </w:divBdr>
    </w:div>
    <w:div w:id="899704529">
      <w:bodyDiv w:val="1"/>
      <w:marLeft w:val="0"/>
      <w:marRight w:val="0"/>
      <w:marTop w:val="0"/>
      <w:marBottom w:val="0"/>
      <w:divBdr>
        <w:top w:val="none" w:sz="0" w:space="0" w:color="auto"/>
        <w:left w:val="none" w:sz="0" w:space="0" w:color="auto"/>
        <w:bottom w:val="none" w:sz="0" w:space="0" w:color="auto"/>
        <w:right w:val="none" w:sz="0" w:space="0" w:color="auto"/>
      </w:divBdr>
    </w:div>
    <w:div w:id="902714363">
      <w:bodyDiv w:val="1"/>
      <w:marLeft w:val="0"/>
      <w:marRight w:val="0"/>
      <w:marTop w:val="0"/>
      <w:marBottom w:val="0"/>
      <w:divBdr>
        <w:top w:val="none" w:sz="0" w:space="0" w:color="auto"/>
        <w:left w:val="none" w:sz="0" w:space="0" w:color="auto"/>
        <w:bottom w:val="none" w:sz="0" w:space="0" w:color="auto"/>
        <w:right w:val="none" w:sz="0" w:space="0" w:color="auto"/>
      </w:divBdr>
    </w:div>
    <w:div w:id="908921245">
      <w:bodyDiv w:val="1"/>
      <w:marLeft w:val="0"/>
      <w:marRight w:val="0"/>
      <w:marTop w:val="0"/>
      <w:marBottom w:val="0"/>
      <w:divBdr>
        <w:top w:val="none" w:sz="0" w:space="0" w:color="auto"/>
        <w:left w:val="none" w:sz="0" w:space="0" w:color="auto"/>
        <w:bottom w:val="none" w:sz="0" w:space="0" w:color="auto"/>
        <w:right w:val="none" w:sz="0" w:space="0" w:color="auto"/>
      </w:divBdr>
    </w:div>
    <w:div w:id="923731226">
      <w:bodyDiv w:val="1"/>
      <w:marLeft w:val="0"/>
      <w:marRight w:val="0"/>
      <w:marTop w:val="0"/>
      <w:marBottom w:val="0"/>
      <w:divBdr>
        <w:top w:val="none" w:sz="0" w:space="0" w:color="auto"/>
        <w:left w:val="none" w:sz="0" w:space="0" w:color="auto"/>
        <w:bottom w:val="none" w:sz="0" w:space="0" w:color="auto"/>
        <w:right w:val="none" w:sz="0" w:space="0" w:color="auto"/>
      </w:divBdr>
    </w:div>
    <w:div w:id="930746014">
      <w:bodyDiv w:val="1"/>
      <w:marLeft w:val="0"/>
      <w:marRight w:val="0"/>
      <w:marTop w:val="0"/>
      <w:marBottom w:val="0"/>
      <w:divBdr>
        <w:top w:val="none" w:sz="0" w:space="0" w:color="auto"/>
        <w:left w:val="none" w:sz="0" w:space="0" w:color="auto"/>
        <w:bottom w:val="none" w:sz="0" w:space="0" w:color="auto"/>
        <w:right w:val="none" w:sz="0" w:space="0" w:color="auto"/>
      </w:divBdr>
    </w:div>
    <w:div w:id="933854920">
      <w:bodyDiv w:val="1"/>
      <w:marLeft w:val="0"/>
      <w:marRight w:val="0"/>
      <w:marTop w:val="0"/>
      <w:marBottom w:val="0"/>
      <w:divBdr>
        <w:top w:val="none" w:sz="0" w:space="0" w:color="auto"/>
        <w:left w:val="none" w:sz="0" w:space="0" w:color="auto"/>
        <w:bottom w:val="none" w:sz="0" w:space="0" w:color="auto"/>
        <w:right w:val="none" w:sz="0" w:space="0" w:color="auto"/>
      </w:divBdr>
    </w:div>
    <w:div w:id="938680462">
      <w:bodyDiv w:val="1"/>
      <w:marLeft w:val="0"/>
      <w:marRight w:val="0"/>
      <w:marTop w:val="0"/>
      <w:marBottom w:val="0"/>
      <w:divBdr>
        <w:top w:val="none" w:sz="0" w:space="0" w:color="auto"/>
        <w:left w:val="none" w:sz="0" w:space="0" w:color="auto"/>
        <w:bottom w:val="none" w:sz="0" w:space="0" w:color="auto"/>
        <w:right w:val="none" w:sz="0" w:space="0" w:color="auto"/>
      </w:divBdr>
    </w:div>
    <w:div w:id="939725597">
      <w:bodyDiv w:val="1"/>
      <w:marLeft w:val="0"/>
      <w:marRight w:val="0"/>
      <w:marTop w:val="0"/>
      <w:marBottom w:val="0"/>
      <w:divBdr>
        <w:top w:val="none" w:sz="0" w:space="0" w:color="auto"/>
        <w:left w:val="none" w:sz="0" w:space="0" w:color="auto"/>
        <w:bottom w:val="none" w:sz="0" w:space="0" w:color="auto"/>
        <w:right w:val="none" w:sz="0" w:space="0" w:color="auto"/>
      </w:divBdr>
    </w:div>
    <w:div w:id="942415815">
      <w:bodyDiv w:val="1"/>
      <w:marLeft w:val="0"/>
      <w:marRight w:val="0"/>
      <w:marTop w:val="0"/>
      <w:marBottom w:val="0"/>
      <w:divBdr>
        <w:top w:val="none" w:sz="0" w:space="0" w:color="auto"/>
        <w:left w:val="none" w:sz="0" w:space="0" w:color="auto"/>
        <w:bottom w:val="none" w:sz="0" w:space="0" w:color="auto"/>
        <w:right w:val="none" w:sz="0" w:space="0" w:color="auto"/>
      </w:divBdr>
    </w:div>
    <w:div w:id="942766702">
      <w:bodyDiv w:val="1"/>
      <w:marLeft w:val="0"/>
      <w:marRight w:val="0"/>
      <w:marTop w:val="0"/>
      <w:marBottom w:val="0"/>
      <w:divBdr>
        <w:top w:val="none" w:sz="0" w:space="0" w:color="auto"/>
        <w:left w:val="none" w:sz="0" w:space="0" w:color="auto"/>
        <w:bottom w:val="none" w:sz="0" w:space="0" w:color="auto"/>
        <w:right w:val="none" w:sz="0" w:space="0" w:color="auto"/>
      </w:divBdr>
    </w:div>
    <w:div w:id="955021379">
      <w:bodyDiv w:val="1"/>
      <w:marLeft w:val="0"/>
      <w:marRight w:val="0"/>
      <w:marTop w:val="0"/>
      <w:marBottom w:val="0"/>
      <w:divBdr>
        <w:top w:val="none" w:sz="0" w:space="0" w:color="auto"/>
        <w:left w:val="none" w:sz="0" w:space="0" w:color="auto"/>
        <w:bottom w:val="none" w:sz="0" w:space="0" w:color="auto"/>
        <w:right w:val="none" w:sz="0" w:space="0" w:color="auto"/>
      </w:divBdr>
    </w:div>
    <w:div w:id="969018727">
      <w:bodyDiv w:val="1"/>
      <w:marLeft w:val="0"/>
      <w:marRight w:val="0"/>
      <w:marTop w:val="0"/>
      <w:marBottom w:val="0"/>
      <w:divBdr>
        <w:top w:val="none" w:sz="0" w:space="0" w:color="auto"/>
        <w:left w:val="none" w:sz="0" w:space="0" w:color="auto"/>
        <w:bottom w:val="none" w:sz="0" w:space="0" w:color="auto"/>
        <w:right w:val="none" w:sz="0" w:space="0" w:color="auto"/>
      </w:divBdr>
    </w:div>
    <w:div w:id="973094885">
      <w:bodyDiv w:val="1"/>
      <w:marLeft w:val="0"/>
      <w:marRight w:val="0"/>
      <w:marTop w:val="0"/>
      <w:marBottom w:val="0"/>
      <w:divBdr>
        <w:top w:val="none" w:sz="0" w:space="0" w:color="auto"/>
        <w:left w:val="none" w:sz="0" w:space="0" w:color="auto"/>
        <w:bottom w:val="none" w:sz="0" w:space="0" w:color="auto"/>
        <w:right w:val="none" w:sz="0" w:space="0" w:color="auto"/>
      </w:divBdr>
    </w:div>
    <w:div w:id="977999823">
      <w:bodyDiv w:val="1"/>
      <w:marLeft w:val="0"/>
      <w:marRight w:val="0"/>
      <w:marTop w:val="0"/>
      <w:marBottom w:val="0"/>
      <w:divBdr>
        <w:top w:val="none" w:sz="0" w:space="0" w:color="auto"/>
        <w:left w:val="none" w:sz="0" w:space="0" w:color="auto"/>
        <w:bottom w:val="none" w:sz="0" w:space="0" w:color="auto"/>
        <w:right w:val="none" w:sz="0" w:space="0" w:color="auto"/>
      </w:divBdr>
    </w:div>
    <w:div w:id="978803393">
      <w:bodyDiv w:val="1"/>
      <w:marLeft w:val="0"/>
      <w:marRight w:val="0"/>
      <w:marTop w:val="0"/>
      <w:marBottom w:val="0"/>
      <w:divBdr>
        <w:top w:val="none" w:sz="0" w:space="0" w:color="auto"/>
        <w:left w:val="none" w:sz="0" w:space="0" w:color="auto"/>
        <w:bottom w:val="none" w:sz="0" w:space="0" w:color="auto"/>
        <w:right w:val="none" w:sz="0" w:space="0" w:color="auto"/>
      </w:divBdr>
    </w:div>
    <w:div w:id="979384024">
      <w:bodyDiv w:val="1"/>
      <w:marLeft w:val="0"/>
      <w:marRight w:val="0"/>
      <w:marTop w:val="0"/>
      <w:marBottom w:val="0"/>
      <w:divBdr>
        <w:top w:val="none" w:sz="0" w:space="0" w:color="auto"/>
        <w:left w:val="none" w:sz="0" w:space="0" w:color="auto"/>
        <w:bottom w:val="none" w:sz="0" w:space="0" w:color="auto"/>
        <w:right w:val="none" w:sz="0" w:space="0" w:color="auto"/>
      </w:divBdr>
    </w:div>
    <w:div w:id="988903397">
      <w:bodyDiv w:val="1"/>
      <w:marLeft w:val="0"/>
      <w:marRight w:val="0"/>
      <w:marTop w:val="0"/>
      <w:marBottom w:val="0"/>
      <w:divBdr>
        <w:top w:val="none" w:sz="0" w:space="0" w:color="auto"/>
        <w:left w:val="none" w:sz="0" w:space="0" w:color="auto"/>
        <w:bottom w:val="none" w:sz="0" w:space="0" w:color="auto"/>
        <w:right w:val="none" w:sz="0" w:space="0" w:color="auto"/>
      </w:divBdr>
    </w:div>
    <w:div w:id="993726844">
      <w:bodyDiv w:val="1"/>
      <w:marLeft w:val="0"/>
      <w:marRight w:val="0"/>
      <w:marTop w:val="0"/>
      <w:marBottom w:val="0"/>
      <w:divBdr>
        <w:top w:val="none" w:sz="0" w:space="0" w:color="auto"/>
        <w:left w:val="none" w:sz="0" w:space="0" w:color="auto"/>
        <w:bottom w:val="none" w:sz="0" w:space="0" w:color="auto"/>
        <w:right w:val="none" w:sz="0" w:space="0" w:color="auto"/>
      </w:divBdr>
    </w:div>
    <w:div w:id="994534184">
      <w:bodyDiv w:val="1"/>
      <w:marLeft w:val="0"/>
      <w:marRight w:val="0"/>
      <w:marTop w:val="0"/>
      <w:marBottom w:val="0"/>
      <w:divBdr>
        <w:top w:val="none" w:sz="0" w:space="0" w:color="auto"/>
        <w:left w:val="none" w:sz="0" w:space="0" w:color="auto"/>
        <w:bottom w:val="none" w:sz="0" w:space="0" w:color="auto"/>
        <w:right w:val="none" w:sz="0" w:space="0" w:color="auto"/>
      </w:divBdr>
    </w:div>
    <w:div w:id="995455185">
      <w:bodyDiv w:val="1"/>
      <w:marLeft w:val="0"/>
      <w:marRight w:val="0"/>
      <w:marTop w:val="0"/>
      <w:marBottom w:val="0"/>
      <w:divBdr>
        <w:top w:val="none" w:sz="0" w:space="0" w:color="auto"/>
        <w:left w:val="none" w:sz="0" w:space="0" w:color="auto"/>
        <w:bottom w:val="none" w:sz="0" w:space="0" w:color="auto"/>
        <w:right w:val="none" w:sz="0" w:space="0" w:color="auto"/>
      </w:divBdr>
    </w:div>
    <w:div w:id="1006402271">
      <w:bodyDiv w:val="1"/>
      <w:marLeft w:val="0"/>
      <w:marRight w:val="0"/>
      <w:marTop w:val="0"/>
      <w:marBottom w:val="0"/>
      <w:divBdr>
        <w:top w:val="none" w:sz="0" w:space="0" w:color="auto"/>
        <w:left w:val="none" w:sz="0" w:space="0" w:color="auto"/>
        <w:bottom w:val="none" w:sz="0" w:space="0" w:color="auto"/>
        <w:right w:val="none" w:sz="0" w:space="0" w:color="auto"/>
      </w:divBdr>
    </w:div>
    <w:div w:id="1009137136">
      <w:bodyDiv w:val="1"/>
      <w:marLeft w:val="0"/>
      <w:marRight w:val="0"/>
      <w:marTop w:val="0"/>
      <w:marBottom w:val="0"/>
      <w:divBdr>
        <w:top w:val="none" w:sz="0" w:space="0" w:color="auto"/>
        <w:left w:val="none" w:sz="0" w:space="0" w:color="auto"/>
        <w:bottom w:val="none" w:sz="0" w:space="0" w:color="auto"/>
        <w:right w:val="none" w:sz="0" w:space="0" w:color="auto"/>
      </w:divBdr>
    </w:div>
    <w:div w:id="1010372107">
      <w:bodyDiv w:val="1"/>
      <w:marLeft w:val="0"/>
      <w:marRight w:val="0"/>
      <w:marTop w:val="0"/>
      <w:marBottom w:val="0"/>
      <w:divBdr>
        <w:top w:val="none" w:sz="0" w:space="0" w:color="auto"/>
        <w:left w:val="none" w:sz="0" w:space="0" w:color="auto"/>
        <w:bottom w:val="none" w:sz="0" w:space="0" w:color="auto"/>
        <w:right w:val="none" w:sz="0" w:space="0" w:color="auto"/>
      </w:divBdr>
    </w:div>
    <w:div w:id="1014847099">
      <w:bodyDiv w:val="1"/>
      <w:marLeft w:val="0"/>
      <w:marRight w:val="0"/>
      <w:marTop w:val="0"/>
      <w:marBottom w:val="0"/>
      <w:divBdr>
        <w:top w:val="none" w:sz="0" w:space="0" w:color="auto"/>
        <w:left w:val="none" w:sz="0" w:space="0" w:color="auto"/>
        <w:bottom w:val="none" w:sz="0" w:space="0" w:color="auto"/>
        <w:right w:val="none" w:sz="0" w:space="0" w:color="auto"/>
      </w:divBdr>
    </w:div>
    <w:div w:id="1015185225">
      <w:bodyDiv w:val="1"/>
      <w:marLeft w:val="0"/>
      <w:marRight w:val="0"/>
      <w:marTop w:val="0"/>
      <w:marBottom w:val="0"/>
      <w:divBdr>
        <w:top w:val="none" w:sz="0" w:space="0" w:color="auto"/>
        <w:left w:val="none" w:sz="0" w:space="0" w:color="auto"/>
        <w:bottom w:val="none" w:sz="0" w:space="0" w:color="auto"/>
        <w:right w:val="none" w:sz="0" w:space="0" w:color="auto"/>
      </w:divBdr>
    </w:div>
    <w:div w:id="1015572679">
      <w:bodyDiv w:val="1"/>
      <w:marLeft w:val="0"/>
      <w:marRight w:val="0"/>
      <w:marTop w:val="0"/>
      <w:marBottom w:val="0"/>
      <w:divBdr>
        <w:top w:val="none" w:sz="0" w:space="0" w:color="auto"/>
        <w:left w:val="none" w:sz="0" w:space="0" w:color="auto"/>
        <w:bottom w:val="none" w:sz="0" w:space="0" w:color="auto"/>
        <w:right w:val="none" w:sz="0" w:space="0" w:color="auto"/>
      </w:divBdr>
    </w:div>
    <w:div w:id="1017778636">
      <w:bodyDiv w:val="1"/>
      <w:marLeft w:val="0"/>
      <w:marRight w:val="0"/>
      <w:marTop w:val="0"/>
      <w:marBottom w:val="0"/>
      <w:divBdr>
        <w:top w:val="none" w:sz="0" w:space="0" w:color="auto"/>
        <w:left w:val="none" w:sz="0" w:space="0" w:color="auto"/>
        <w:bottom w:val="none" w:sz="0" w:space="0" w:color="auto"/>
        <w:right w:val="none" w:sz="0" w:space="0" w:color="auto"/>
      </w:divBdr>
    </w:div>
    <w:div w:id="1020162002">
      <w:bodyDiv w:val="1"/>
      <w:marLeft w:val="0"/>
      <w:marRight w:val="0"/>
      <w:marTop w:val="0"/>
      <w:marBottom w:val="0"/>
      <w:divBdr>
        <w:top w:val="none" w:sz="0" w:space="0" w:color="auto"/>
        <w:left w:val="none" w:sz="0" w:space="0" w:color="auto"/>
        <w:bottom w:val="none" w:sz="0" w:space="0" w:color="auto"/>
        <w:right w:val="none" w:sz="0" w:space="0" w:color="auto"/>
      </w:divBdr>
    </w:div>
    <w:div w:id="1027681255">
      <w:bodyDiv w:val="1"/>
      <w:marLeft w:val="0"/>
      <w:marRight w:val="0"/>
      <w:marTop w:val="0"/>
      <w:marBottom w:val="0"/>
      <w:divBdr>
        <w:top w:val="none" w:sz="0" w:space="0" w:color="auto"/>
        <w:left w:val="none" w:sz="0" w:space="0" w:color="auto"/>
        <w:bottom w:val="none" w:sz="0" w:space="0" w:color="auto"/>
        <w:right w:val="none" w:sz="0" w:space="0" w:color="auto"/>
      </w:divBdr>
    </w:div>
    <w:div w:id="1028531049">
      <w:bodyDiv w:val="1"/>
      <w:marLeft w:val="0"/>
      <w:marRight w:val="0"/>
      <w:marTop w:val="0"/>
      <w:marBottom w:val="0"/>
      <w:divBdr>
        <w:top w:val="none" w:sz="0" w:space="0" w:color="auto"/>
        <w:left w:val="none" w:sz="0" w:space="0" w:color="auto"/>
        <w:bottom w:val="none" w:sz="0" w:space="0" w:color="auto"/>
        <w:right w:val="none" w:sz="0" w:space="0" w:color="auto"/>
      </w:divBdr>
    </w:div>
    <w:div w:id="1036857589">
      <w:bodyDiv w:val="1"/>
      <w:marLeft w:val="0"/>
      <w:marRight w:val="0"/>
      <w:marTop w:val="0"/>
      <w:marBottom w:val="0"/>
      <w:divBdr>
        <w:top w:val="none" w:sz="0" w:space="0" w:color="auto"/>
        <w:left w:val="none" w:sz="0" w:space="0" w:color="auto"/>
        <w:bottom w:val="none" w:sz="0" w:space="0" w:color="auto"/>
        <w:right w:val="none" w:sz="0" w:space="0" w:color="auto"/>
      </w:divBdr>
    </w:div>
    <w:div w:id="1039745009">
      <w:bodyDiv w:val="1"/>
      <w:marLeft w:val="0"/>
      <w:marRight w:val="0"/>
      <w:marTop w:val="0"/>
      <w:marBottom w:val="0"/>
      <w:divBdr>
        <w:top w:val="none" w:sz="0" w:space="0" w:color="auto"/>
        <w:left w:val="none" w:sz="0" w:space="0" w:color="auto"/>
        <w:bottom w:val="none" w:sz="0" w:space="0" w:color="auto"/>
        <w:right w:val="none" w:sz="0" w:space="0" w:color="auto"/>
      </w:divBdr>
    </w:div>
    <w:div w:id="1040545581">
      <w:bodyDiv w:val="1"/>
      <w:marLeft w:val="0"/>
      <w:marRight w:val="0"/>
      <w:marTop w:val="0"/>
      <w:marBottom w:val="0"/>
      <w:divBdr>
        <w:top w:val="none" w:sz="0" w:space="0" w:color="auto"/>
        <w:left w:val="none" w:sz="0" w:space="0" w:color="auto"/>
        <w:bottom w:val="none" w:sz="0" w:space="0" w:color="auto"/>
        <w:right w:val="none" w:sz="0" w:space="0" w:color="auto"/>
      </w:divBdr>
    </w:div>
    <w:div w:id="1041322752">
      <w:bodyDiv w:val="1"/>
      <w:marLeft w:val="0"/>
      <w:marRight w:val="0"/>
      <w:marTop w:val="0"/>
      <w:marBottom w:val="0"/>
      <w:divBdr>
        <w:top w:val="none" w:sz="0" w:space="0" w:color="auto"/>
        <w:left w:val="none" w:sz="0" w:space="0" w:color="auto"/>
        <w:bottom w:val="none" w:sz="0" w:space="0" w:color="auto"/>
        <w:right w:val="none" w:sz="0" w:space="0" w:color="auto"/>
      </w:divBdr>
    </w:div>
    <w:div w:id="1043099867">
      <w:bodyDiv w:val="1"/>
      <w:marLeft w:val="0"/>
      <w:marRight w:val="0"/>
      <w:marTop w:val="0"/>
      <w:marBottom w:val="0"/>
      <w:divBdr>
        <w:top w:val="none" w:sz="0" w:space="0" w:color="auto"/>
        <w:left w:val="none" w:sz="0" w:space="0" w:color="auto"/>
        <w:bottom w:val="none" w:sz="0" w:space="0" w:color="auto"/>
        <w:right w:val="none" w:sz="0" w:space="0" w:color="auto"/>
      </w:divBdr>
    </w:div>
    <w:div w:id="1054429009">
      <w:bodyDiv w:val="1"/>
      <w:marLeft w:val="0"/>
      <w:marRight w:val="0"/>
      <w:marTop w:val="0"/>
      <w:marBottom w:val="0"/>
      <w:divBdr>
        <w:top w:val="none" w:sz="0" w:space="0" w:color="auto"/>
        <w:left w:val="none" w:sz="0" w:space="0" w:color="auto"/>
        <w:bottom w:val="none" w:sz="0" w:space="0" w:color="auto"/>
        <w:right w:val="none" w:sz="0" w:space="0" w:color="auto"/>
      </w:divBdr>
    </w:div>
    <w:div w:id="1056782045">
      <w:bodyDiv w:val="1"/>
      <w:marLeft w:val="0"/>
      <w:marRight w:val="0"/>
      <w:marTop w:val="0"/>
      <w:marBottom w:val="0"/>
      <w:divBdr>
        <w:top w:val="none" w:sz="0" w:space="0" w:color="auto"/>
        <w:left w:val="none" w:sz="0" w:space="0" w:color="auto"/>
        <w:bottom w:val="none" w:sz="0" w:space="0" w:color="auto"/>
        <w:right w:val="none" w:sz="0" w:space="0" w:color="auto"/>
      </w:divBdr>
    </w:div>
    <w:div w:id="1056783373">
      <w:bodyDiv w:val="1"/>
      <w:marLeft w:val="0"/>
      <w:marRight w:val="0"/>
      <w:marTop w:val="0"/>
      <w:marBottom w:val="0"/>
      <w:divBdr>
        <w:top w:val="none" w:sz="0" w:space="0" w:color="auto"/>
        <w:left w:val="none" w:sz="0" w:space="0" w:color="auto"/>
        <w:bottom w:val="none" w:sz="0" w:space="0" w:color="auto"/>
        <w:right w:val="none" w:sz="0" w:space="0" w:color="auto"/>
      </w:divBdr>
    </w:div>
    <w:div w:id="1057240801">
      <w:bodyDiv w:val="1"/>
      <w:marLeft w:val="0"/>
      <w:marRight w:val="0"/>
      <w:marTop w:val="0"/>
      <w:marBottom w:val="0"/>
      <w:divBdr>
        <w:top w:val="none" w:sz="0" w:space="0" w:color="auto"/>
        <w:left w:val="none" w:sz="0" w:space="0" w:color="auto"/>
        <w:bottom w:val="none" w:sz="0" w:space="0" w:color="auto"/>
        <w:right w:val="none" w:sz="0" w:space="0" w:color="auto"/>
      </w:divBdr>
    </w:div>
    <w:div w:id="1059985634">
      <w:bodyDiv w:val="1"/>
      <w:marLeft w:val="0"/>
      <w:marRight w:val="0"/>
      <w:marTop w:val="0"/>
      <w:marBottom w:val="0"/>
      <w:divBdr>
        <w:top w:val="none" w:sz="0" w:space="0" w:color="auto"/>
        <w:left w:val="none" w:sz="0" w:space="0" w:color="auto"/>
        <w:bottom w:val="none" w:sz="0" w:space="0" w:color="auto"/>
        <w:right w:val="none" w:sz="0" w:space="0" w:color="auto"/>
      </w:divBdr>
    </w:div>
    <w:div w:id="1062561161">
      <w:bodyDiv w:val="1"/>
      <w:marLeft w:val="0"/>
      <w:marRight w:val="0"/>
      <w:marTop w:val="0"/>
      <w:marBottom w:val="0"/>
      <w:divBdr>
        <w:top w:val="none" w:sz="0" w:space="0" w:color="auto"/>
        <w:left w:val="none" w:sz="0" w:space="0" w:color="auto"/>
        <w:bottom w:val="none" w:sz="0" w:space="0" w:color="auto"/>
        <w:right w:val="none" w:sz="0" w:space="0" w:color="auto"/>
      </w:divBdr>
    </w:div>
    <w:div w:id="1063138588">
      <w:bodyDiv w:val="1"/>
      <w:marLeft w:val="0"/>
      <w:marRight w:val="0"/>
      <w:marTop w:val="0"/>
      <w:marBottom w:val="0"/>
      <w:divBdr>
        <w:top w:val="none" w:sz="0" w:space="0" w:color="auto"/>
        <w:left w:val="none" w:sz="0" w:space="0" w:color="auto"/>
        <w:bottom w:val="none" w:sz="0" w:space="0" w:color="auto"/>
        <w:right w:val="none" w:sz="0" w:space="0" w:color="auto"/>
      </w:divBdr>
    </w:div>
    <w:div w:id="1066075098">
      <w:bodyDiv w:val="1"/>
      <w:marLeft w:val="0"/>
      <w:marRight w:val="0"/>
      <w:marTop w:val="0"/>
      <w:marBottom w:val="0"/>
      <w:divBdr>
        <w:top w:val="none" w:sz="0" w:space="0" w:color="auto"/>
        <w:left w:val="none" w:sz="0" w:space="0" w:color="auto"/>
        <w:bottom w:val="none" w:sz="0" w:space="0" w:color="auto"/>
        <w:right w:val="none" w:sz="0" w:space="0" w:color="auto"/>
      </w:divBdr>
    </w:div>
    <w:div w:id="1069376509">
      <w:bodyDiv w:val="1"/>
      <w:marLeft w:val="0"/>
      <w:marRight w:val="0"/>
      <w:marTop w:val="0"/>
      <w:marBottom w:val="0"/>
      <w:divBdr>
        <w:top w:val="none" w:sz="0" w:space="0" w:color="auto"/>
        <w:left w:val="none" w:sz="0" w:space="0" w:color="auto"/>
        <w:bottom w:val="none" w:sz="0" w:space="0" w:color="auto"/>
        <w:right w:val="none" w:sz="0" w:space="0" w:color="auto"/>
      </w:divBdr>
    </w:div>
    <w:div w:id="1070274758">
      <w:bodyDiv w:val="1"/>
      <w:marLeft w:val="0"/>
      <w:marRight w:val="0"/>
      <w:marTop w:val="0"/>
      <w:marBottom w:val="0"/>
      <w:divBdr>
        <w:top w:val="none" w:sz="0" w:space="0" w:color="auto"/>
        <w:left w:val="none" w:sz="0" w:space="0" w:color="auto"/>
        <w:bottom w:val="none" w:sz="0" w:space="0" w:color="auto"/>
        <w:right w:val="none" w:sz="0" w:space="0" w:color="auto"/>
      </w:divBdr>
    </w:div>
    <w:div w:id="1078790387">
      <w:bodyDiv w:val="1"/>
      <w:marLeft w:val="0"/>
      <w:marRight w:val="0"/>
      <w:marTop w:val="0"/>
      <w:marBottom w:val="0"/>
      <w:divBdr>
        <w:top w:val="none" w:sz="0" w:space="0" w:color="auto"/>
        <w:left w:val="none" w:sz="0" w:space="0" w:color="auto"/>
        <w:bottom w:val="none" w:sz="0" w:space="0" w:color="auto"/>
        <w:right w:val="none" w:sz="0" w:space="0" w:color="auto"/>
      </w:divBdr>
    </w:div>
    <w:div w:id="1081949885">
      <w:bodyDiv w:val="1"/>
      <w:marLeft w:val="0"/>
      <w:marRight w:val="0"/>
      <w:marTop w:val="0"/>
      <w:marBottom w:val="0"/>
      <w:divBdr>
        <w:top w:val="none" w:sz="0" w:space="0" w:color="auto"/>
        <w:left w:val="none" w:sz="0" w:space="0" w:color="auto"/>
        <w:bottom w:val="none" w:sz="0" w:space="0" w:color="auto"/>
        <w:right w:val="none" w:sz="0" w:space="0" w:color="auto"/>
      </w:divBdr>
    </w:div>
    <w:div w:id="1082721685">
      <w:bodyDiv w:val="1"/>
      <w:marLeft w:val="0"/>
      <w:marRight w:val="0"/>
      <w:marTop w:val="0"/>
      <w:marBottom w:val="0"/>
      <w:divBdr>
        <w:top w:val="none" w:sz="0" w:space="0" w:color="auto"/>
        <w:left w:val="none" w:sz="0" w:space="0" w:color="auto"/>
        <w:bottom w:val="none" w:sz="0" w:space="0" w:color="auto"/>
        <w:right w:val="none" w:sz="0" w:space="0" w:color="auto"/>
      </w:divBdr>
    </w:div>
    <w:div w:id="1082722248">
      <w:bodyDiv w:val="1"/>
      <w:marLeft w:val="0"/>
      <w:marRight w:val="0"/>
      <w:marTop w:val="0"/>
      <w:marBottom w:val="0"/>
      <w:divBdr>
        <w:top w:val="none" w:sz="0" w:space="0" w:color="auto"/>
        <w:left w:val="none" w:sz="0" w:space="0" w:color="auto"/>
        <w:bottom w:val="none" w:sz="0" w:space="0" w:color="auto"/>
        <w:right w:val="none" w:sz="0" w:space="0" w:color="auto"/>
      </w:divBdr>
    </w:div>
    <w:div w:id="1091586803">
      <w:bodyDiv w:val="1"/>
      <w:marLeft w:val="0"/>
      <w:marRight w:val="0"/>
      <w:marTop w:val="0"/>
      <w:marBottom w:val="0"/>
      <w:divBdr>
        <w:top w:val="none" w:sz="0" w:space="0" w:color="auto"/>
        <w:left w:val="none" w:sz="0" w:space="0" w:color="auto"/>
        <w:bottom w:val="none" w:sz="0" w:space="0" w:color="auto"/>
        <w:right w:val="none" w:sz="0" w:space="0" w:color="auto"/>
      </w:divBdr>
    </w:div>
    <w:div w:id="1091587979">
      <w:bodyDiv w:val="1"/>
      <w:marLeft w:val="0"/>
      <w:marRight w:val="0"/>
      <w:marTop w:val="0"/>
      <w:marBottom w:val="0"/>
      <w:divBdr>
        <w:top w:val="none" w:sz="0" w:space="0" w:color="auto"/>
        <w:left w:val="none" w:sz="0" w:space="0" w:color="auto"/>
        <w:bottom w:val="none" w:sz="0" w:space="0" w:color="auto"/>
        <w:right w:val="none" w:sz="0" w:space="0" w:color="auto"/>
      </w:divBdr>
    </w:div>
    <w:div w:id="1094519505">
      <w:bodyDiv w:val="1"/>
      <w:marLeft w:val="0"/>
      <w:marRight w:val="0"/>
      <w:marTop w:val="0"/>
      <w:marBottom w:val="0"/>
      <w:divBdr>
        <w:top w:val="none" w:sz="0" w:space="0" w:color="auto"/>
        <w:left w:val="none" w:sz="0" w:space="0" w:color="auto"/>
        <w:bottom w:val="none" w:sz="0" w:space="0" w:color="auto"/>
        <w:right w:val="none" w:sz="0" w:space="0" w:color="auto"/>
      </w:divBdr>
    </w:div>
    <w:div w:id="1099717430">
      <w:bodyDiv w:val="1"/>
      <w:marLeft w:val="0"/>
      <w:marRight w:val="0"/>
      <w:marTop w:val="0"/>
      <w:marBottom w:val="0"/>
      <w:divBdr>
        <w:top w:val="none" w:sz="0" w:space="0" w:color="auto"/>
        <w:left w:val="none" w:sz="0" w:space="0" w:color="auto"/>
        <w:bottom w:val="none" w:sz="0" w:space="0" w:color="auto"/>
        <w:right w:val="none" w:sz="0" w:space="0" w:color="auto"/>
      </w:divBdr>
    </w:div>
    <w:div w:id="1111243612">
      <w:bodyDiv w:val="1"/>
      <w:marLeft w:val="0"/>
      <w:marRight w:val="0"/>
      <w:marTop w:val="0"/>
      <w:marBottom w:val="0"/>
      <w:divBdr>
        <w:top w:val="none" w:sz="0" w:space="0" w:color="auto"/>
        <w:left w:val="none" w:sz="0" w:space="0" w:color="auto"/>
        <w:bottom w:val="none" w:sz="0" w:space="0" w:color="auto"/>
        <w:right w:val="none" w:sz="0" w:space="0" w:color="auto"/>
      </w:divBdr>
    </w:div>
    <w:div w:id="1113329731">
      <w:bodyDiv w:val="1"/>
      <w:marLeft w:val="0"/>
      <w:marRight w:val="0"/>
      <w:marTop w:val="0"/>
      <w:marBottom w:val="0"/>
      <w:divBdr>
        <w:top w:val="none" w:sz="0" w:space="0" w:color="auto"/>
        <w:left w:val="none" w:sz="0" w:space="0" w:color="auto"/>
        <w:bottom w:val="none" w:sz="0" w:space="0" w:color="auto"/>
        <w:right w:val="none" w:sz="0" w:space="0" w:color="auto"/>
      </w:divBdr>
    </w:div>
    <w:div w:id="1113985036">
      <w:bodyDiv w:val="1"/>
      <w:marLeft w:val="0"/>
      <w:marRight w:val="0"/>
      <w:marTop w:val="0"/>
      <w:marBottom w:val="0"/>
      <w:divBdr>
        <w:top w:val="none" w:sz="0" w:space="0" w:color="auto"/>
        <w:left w:val="none" w:sz="0" w:space="0" w:color="auto"/>
        <w:bottom w:val="none" w:sz="0" w:space="0" w:color="auto"/>
        <w:right w:val="none" w:sz="0" w:space="0" w:color="auto"/>
      </w:divBdr>
    </w:div>
    <w:div w:id="1116028196">
      <w:bodyDiv w:val="1"/>
      <w:marLeft w:val="0"/>
      <w:marRight w:val="0"/>
      <w:marTop w:val="0"/>
      <w:marBottom w:val="0"/>
      <w:divBdr>
        <w:top w:val="none" w:sz="0" w:space="0" w:color="auto"/>
        <w:left w:val="none" w:sz="0" w:space="0" w:color="auto"/>
        <w:bottom w:val="none" w:sz="0" w:space="0" w:color="auto"/>
        <w:right w:val="none" w:sz="0" w:space="0" w:color="auto"/>
      </w:divBdr>
    </w:div>
    <w:div w:id="1116872170">
      <w:bodyDiv w:val="1"/>
      <w:marLeft w:val="0"/>
      <w:marRight w:val="0"/>
      <w:marTop w:val="0"/>
      <w:marBottom w:val="0"/>
      <w:divBdr>
        <w:top w:val="none" w:sz="0" w:space="0" w:color="auto"/>
        <w:left w:val="none" w:sz="0" w:space="0" w:color="auto"/>
        <w:bottom w:val="none" w:sz="0" w:space="0" w:color="auto"/>
        <w:right w:val="none" w:sz="0" w:space="0" w:color="auto"/>
      </w:divBdr>
    </w:div>
    <w:div w:id="1117942569">
      <w:bodyDiv w:val="1"/>
      <w:marLeft w:val="0"/>
      <w:marRight w:val="0"/>
      <w:marTop w:val="0"/>
      <w:marBottom w:val="0"/>
      <w:divBdr>
        <w:top w:val="none" w:sz="0" w:space="0" w:color="auto"/>
        <w:left w:val="none" w:sz="0" w:space="0" w:color="auto"/>
        <w:bottom w:val="none" w:sz="0" w:space="0" w:color="auto"/>
        <w:right w:val="none" w:sz="0" w:space="0" w:color="auto"/>
      </w:divBdr>
    </w:div>
    <w:div w:id="1124544821">
      <w:bodyDiv w:val="1"/>
      <w:marLeft w:val="0"/>
      <w:marRight w:val="0"/>
      <w:marTop w:val="0"/>
      <w:marBottom w:val="0"/>
      <w:divBdr>
        <w:top w:val="none" w:sz="0" w:space="0" w:color="auto"/>
        <w:left w:val="none" w:sz="0" w:space="0" w:color="auto"/>
        <w:bottom w:val="none" w:sz="0" w:space="0" w:color="auto"/>
        <w:right w:val="none" w:sz="0" w:space="0" w:color="auto"/>
      </w:divBdr>
    </w:div>
    <w:div w:id="1126850265">
      <w:bodyDiv w:val="1"/>
      <w:marLeft w:val="0"/>
      <w:marRight w:val="0"/>
      <w:marTop w:val="0"/>
      <w:marBottom w:val="0"/>
      <w:divBdr>
        <w:top w:val="none" w:sz="0" w:space="0" w:color="auto"/>
        <w:left w:val="none" w:sz="0" w:space="0" w:color="auto"/>
        <w:bottom w:val="none" w:sz="0" w:space="0" w:color="auto"/>
        <w:right w:val="none" w:sz="0" w:space="0" w:color="auto"/>
      </w:divBdr>
    </w:div>
    <w:div w:id="1127120409">
      <w:bodyDiv w:val="1"/>
      <w:marLeft w:val="0"/>
      <w:marRight w:val="0"/>
      <w:marTop w:val="0"/>
      <w:marBottom w:val="0"/>
      <w:divBdr>
        <w:top w:val="none" w:sz="0" w:space="0" w:color="auto"/>
        <w:left w:val="none" w:sz="0" w:space="0" w:color="auto"/>
        <w:bottom w:val="none" w:sz="0" w:space="0" w:color="auto"/>
        <w:right w:val="none" w:sz="0" w:space="0" w:color="auto"/>
      </w:divBdr>
    </w:div>
    <w:div w:id="1140460239">
      <w:bodyDiv w:val="1"/>
      <w:marLeft w:val="0"/>
      <w:marRight w:val="0"/>
      <w:marTop w:val="0"/>
      <w:marBottom w:val="0"/>
      <w:divBdr>
        <w:top w:val="none" w:sz="0" w:space="0" w:color="auto"/>
        <w:left w:val="none" w:sz="0" w:space="0" w:color="auto"/>
        <w:bottom w:val="none" w:sz="0" w:space="0" w:color="auto"/>
        <w:right w:val="none" w:sz="0" w:space="0" w:color="auto"/>
      </w:divBdr>
    </w:div>
    <w:div w:id="1143040320">
      <w:bodyDiv w:val="1"/>
      <w:marLeft w:val="0"/>
      <w:marRight w:val="0"/>
      <w:marTop w:val="0"/>
      <w:marBottom w:val="0"/>
      <w:divBdr>
        <w:top w:val="none" w:sz="0" w:space="0" w:color="auto"/>
        <w:left w:val="none" w:sz="0" w:space="0" w:color="auto"/>
        <w:bottom w:val="none" w:sz="0" w:space="0" w:color="auto"/>
        <w:right w:val="none" w:sz="0" w:space="0" w:color="auto"/>
      </w:divBdr>
    </w:div>
    <w:div w:id="1143501223">
      <w:bodyDiv w:val="1"/>
      <w:marLeft w:val="0"/>
      <w:marRight w:val="0"/>
      <w:marTop w:val="0"/>
      <w:marBottom w:val="0"/>
      <w:divBdr>
        <w:top w:val="none" w:sz="0" w:space="0" w:color="auto"/>
        <w:left w:val="none" w:sz="0" w:space="0" w:color="auto"/>
        <w:bottom w:val="none" w:sz="0" w:space="0" w:color="auto"/>
        <w:right w:val="none" w:sz="0" w:space="0" w:color="auto"/>
      </w:divBdr>
    </w:div>
    <w:div w:id="1144079798">
      <w:bodyDiv w:val="1"/>
      <w:marLeft w:val="0"/>
      <w:marRight w:val="0"/>
      <w:marTop w:val="0"/>
      <w:marBottom w:val="0"/>
      <w:divBdr>
        <w:top w:val="none" w:sz="0" w:space="0" w:color="auto"/>
        <w:left w:val="none" w:sz="0" w:space="0" w:color="auto"/>
        <w:bottom w:val="none" w:sz="0" w:space="0" w:color="auto"/>
        <w:right w:val="none" w:sz="0" w:space="0" w:color="auto"/>
      </w:divBdr>
    </w:div>
    <w:div w:id="1151798009">
      <w:bodyDiv w:val="1"/>
      <w:marLeft w:val="0"/>
      <w:marRight w:val="0"/>
      <w:marTop w:val="0"/>
      <w:marBottom w:val="0"/>
      <w:divBdr>
        <w:top w:val="none" w:sz="0" w:space="0" w:color="auto"/>
        <w:left w:val="none" w:sz="0" w:space="0" w:color="auto"/>
        <w:bottom w:val="none" w:sz="0" w:space="0" w:color="auto"/>
        <w:right w:val="none" w:sz="0" w:space="0" w:color="auto"/>
      </w:divBdr>
    </w:div>
    <w:div w:id="1152135920">
      <w:bodyDiv w:val="1"/>
      <w:marLeft w:val="0"/>
      <w:marRight w:val="0"/>
      <w:marTop w:val="0"/>
      <w:marBottom w:val="0"/>
      <w:divBdr>
        <w:top w:val="none" w:sz="0" w:space="0" w:color="auto"/>
        <w:left w:val="none" w:sz="0" w:space="0" w:color="auto"/>
        <w:bottom w:val="none" w:sz="0" w:space="0" w:color="auto"/>
        <w:right w:val="none" w:sz="0" w:space="0" w:color="auto"/>
      </w:divBdr>
    </w:div>
    <w:div w:id="1158880155">
      <w:bodyDiv w:val="1"/>
      <w:marLeft w:val="0"/>
      <w:marRight w:val="0"/>
      <w:marTop w:val="0"/>
      <w:marBottom w:val="0"/>
      <w:divBdr>
        <w:top w:val="none" w:sz="0" w:space="0" w:color="auto"/>
        <w:left w:val="none" w:sz="0" w:space="0" w:color="auto"/>
        <w:bottom w:val="none" w:sz="0" w:space="0" w:color="auto"/>
        <w:right w:val="none" w:sz="0" w:space="0" w:color="auto"/>
      </w:divBdr>
    </w:div>
    <w:div w:id="1159224826">
      <w:bodyDiv w:val="1"/>
      <w:marLeft w:val="0"/>
      <w:marRight w:val="0"/>
      <w:marTop w:val="0"/>
      <w:marBottom w:val="0"/>
      <w:divBdr>
        <w:top w:val="none" w:sz="0" w:space="0" w:color="auto"/>
        <w:left w:val="none" w:sz="0" w:space="0" w:color="auto"/>
        <w:bottom w:val="none" w:sz="0" w:space="0" w:color="auto"/>
        <w:right w:val="none" w:sz="0" w:space="0" w:color="auto"/>
      </w:divBdr>
    </w:div>
    <w:div w:id="1172649135">
      <w:bodyDiv w:val="1"/>
      <w:marLeft w:val="0"/>
      <w:marRight w:val="0"/>
      <w:marTop w:val="0"/>
      <w:marBottom w:val="0"/>
      <w:divBdr>
        <w:top w:val="none" w:sz="0" w:space="0" w:color="auto"/>
        <w:left w:val="none" w:sz="0" w:space="0" w:color="auto"/>
        <w:bottom w:val="none" w:sz="0" w:space="0" w:color="auto"/>
        <w:right w:val="none" w:sz="0" w:space="0" w:color="auto"/>
      </w:divBdr>
    </w:div>
    <w:div w:id="1187906277">
      <w:bodyDiv w:val="1"/>
      <w:marLeft w:val="0"/>
      <w:marRight w:val="0"/>
      <w:marTop w:val="0"/>
      <w:marBottom w:val="0"/>
      <w:divBdr>
        <w:top w:val="none" w:sz="0" w:space="0" w:color="auto"/>
        <w:left w:val="none" w:sz="0" w:space="0" w:color="auto"/>
        <w:bottom w:val="none" w:sz="0" w:space="0" w:color="auto"/>
        <w:right w:val="none" w:sz="0" w:space="0" w:color="auto"/>
      </w:divBdr>
    </w:div>
    <w:div w:id="1193881732">
      <w:bodyDiv w:val="1"/>
      <w:marLeft w:val="0"/>
      <w:marRight w:val="0"/>
      <w:marTop w:val="0"/>
      <w:marBottom w:val="0"/>
      <w:divBdr>
        <w:top w:val="none" w:sz="0" w:space="0" w:color="auto"/>
        <w:left w:val="none" w:sz="0" w:space="0" w:color="auto"/>
        <w:bottom w:val="none" w:sz="0" w:space="0" w:color="auto"/>
        <w:right w:val="none" w:sz="0" w:space="0" w:color="auto"/>
      </w:divBdr>
    </w:div>
    <w:div w:id="1193954309">
      <w:bodyDiv w:val="1"/>
      <w:marLeft w:val="0"/>
      <w:marRight w:val="0"/>
      <w:marTop w:val="0"/>
      <w:marBottom w:val="0"/>
      <w:divBdr>
        <w:top w:val="none" w:sz="0" w:space="0" w:color="auto"/>
        <w:left w:val="none" w:sz="0" w:space="0" w:color="auto"/>
        <w:bottom w:val="none" w:sz="0" w:space="0" w:color="auto"/>
        <w:right w:val="none" w:sz="0" w:space="0" w:color="auto"/>
      </w:divBdr>
    </w:div>
    <w:div w:id="1195465800">
      <w:bodyDiv w:val="1"/>
      <w:marLeft w:val="0"/>
      <w:marRight w:val="0"/>
      <w:marTop w:val="0"/>
      <w:marBottom w:val="0"/>
      <w:divBdr>
        <w:top w:val="none" w:sz="0" w:space="0" w:color="auto"/>
        <w:left w:val="none" w:sz="0" w:space="0" w:color="auto"/>
        <w:bottom w:val="none" w:sz="0" w:space="0" w:color="auto"/>
        <w:right w:val="none" w:sz="0" w:space="0" w:color="auto"/>
      </w:divBdr>
    </w:div>
    <w:div w:id="1195923155">
      <w:bodyDiv w:val="1"/>
      <w:marLeft w:val="0"/>
      <w:marRight w:val="0"/>
      <w:marTop w:val="0"/>
      <w:marBottom w:val="0"/>
      <w:divBdr>
        <w:top w:val="none" w:sz="0" w:space="0" w:color="auto"/>
        <w:left w:val="none" w:sz="0" w:space="0" w:color="auto"/>
        <w:bottom w:val="none" w:sz="0" w:space="0" w:color="auto"/>
        <w:right w:val="none" w:sz="0" w:space="0" w:color="auto"/>
      </w:divBdr>
    </w:div>
    <w:div w:id="1199048166">
      <w:bodyDiv w:val="1"/>
      <w:marLeft w:val="0"/>
      <w:marRight w:val="0"/>
      <w:marTop w:val="0"/>
      <w:marBottom w:val="0"/>
      <w:divBdr>
        <w:top w:val="none" w:sz="0" w:space="0" w:color="auto"/>
        <w:left w:val="none" w:sz="0" w:space="0" w:color="auto"/>
        <w:bottom w:val="none" w:sz="0" w:space="0" w:color="auto"/>
        <w:right w:val="none" w:sz="0" w:space="0" w:color="auto"/>
      </w:divBdr>
    </w:div>
    <w:div w:id="1200818556">
      <w:bodyDiv w:val="1"/>
      <w:marLeft w:val="0"/>
      <w:marRight w:val="0"/>
      <w:marTop w:val="0"/>
      <w:marBottom w:val="0"/>
      <w:divBdr>
        <w:top w:val="none" w:sz="0" w:space="0" w:color="auto"/>
        <w:left w:val="none" w:sz="0" w:space="0" w:color="auto"/>
        <w:bottom w:val="none" w:sz="0" w:space="0" w:color="auto"/>
        <w:right w:val="none" w:sz="0" w:space="0" w:color="auto"/>
      </w:divBdr>
    </w:div>
    <w:div w:id="1202598084">
      <w:bodyDiv w:val="1"/>
      <w:marLeft w:val="0"/>
      <w:marRight w:val="0"/>
      <w:marTop w:val="0"/>
      <w:marBottom w:val="0"/>
      <w:divBdr>
        <w:top w:val="none" w:sz="0" w:space="0" w:color="auto"/>
        <w:left w:val="none" w:sz="0" w:space="0" w:color="auto"/>
        <w:bottom w:val="none" w:sz="0" w:space="0" w:color="auto"/>
        <w:right w:val="none" w:sz="0" w:space="0" w:color="auto"/>
      </w:divBdr>
    </w:div>
    <w:div w:id="1204052928">
      <w:bodyDiv w:val="1"/>
      <w:marLeft w:val="0"/>
      <w:marRight w:val="0"/>
      <w:marTop w:val="0"/>
      <w:marBottom w:val="0"/>
      <w:divBdr>
        <w:top w:val="none" w:sz="0" w:space="0" w:color="auto"/>
        <w:left w:val="none" w:sz="0" w:space="0" w:color="auto"/>
        <w:bottom w:val="none" w:sz="0" w:space="0" w:color="auto"/>
        <w:right w:val="none" w:sz="0" w:space="0" w:color="auto"/>
      </w:divBdr>
    </w:div>
    <w:div w:id="1206677070">
      <w:bodyDiv w:val="1"/>
      <w:marLeft w:val="0"/>
      <w:marRight w:val="0"/>
      <w:marTop w:val="0"/>
      <w:marBottom w:val="0"/>
      <w:divBdr>
        <w:top w:val="none" w:sz="0" w:space="0" w:color="auto"/>
        <w:left w:val="none" w:sz="0" w:space="0" w:color="auto"/>
        <w:bottom w:val="none" w:sz="0" w:space="0" w:color="auto"/>
        <w:right w:val="none" w:sz="0" w:space="0" w:color="auto"/>
      </w:divBdr>
    </w:div>
    <w:div w:id="1207371436">
      <w:bodyDiv w:val="1"/>
      <w:marLeft w:val="0"/>
      <w:marRight w:val="0"/>
      <w:marTop w:val="0"/>
      <w:marBottom w:val="0"/>
      <w:divBdr>
        <w:top w:val="none" w:sz="0" w:space="0" w:color="auto"/>
        <w:left w:val="none" w:sz="0" w:space="0" w:color="auto"/>
        <w:bottom w:val="none" w:sz="0" w:space="0" w:color="auto"/>
        <w:right w:val="none" w:sz="0" w:space="0" w:color="auto"/>
      </w:divBdr>
    </w:div>
    <w:div w:id="1210454746">
      <w:bodyDiv w:val="1"/>
      <w:marLeft w:val="0"/>
      <w:marRight w:val="0"/>
      <w:marTop w:val="0"/>
      <w:marBottom w:val="0"/>
      <w:divBdr>
        <w:top w:val="none" w:sz="0" w:space="0" w:color="auto"/>
        <w:left w:val="none" w:sz="0" w:space="0" w:color="auto"/>
        <w:bottom w:val="none" w:sz="0" w:space="0" w:color="auto"/>
        <w:right w:val="none" w:sz="0" w:space="0" w:color="auto"/>
      </w:divBdr>
    </w:div>
    <w:div w:id="1224487708">
      <w:bodyDiv w:val="1"/>
      <w:marLeft w:val="0"/>
      <w:marRight w:val="0"/>
      <w:marTop w:val="0"/>
      <w:marBottom w:val="0"/>
      <w:divBdr>
        <w:top w:val="none" w:sz="0" w:space="0" w:color="auto"/>
        <w:left w:val="none" w:sz="0" w:space="0" w:color="auto"/>
        <w:bottom w:val="none" w:sz="0" w:space="0" w:color="auto"/>
        <w:right w:val="none" w:sz="0" w:space="0" w:color="auto"/>
      </w:divBdr>
    </w:div>
    <w:div w:id="1233544165">
      <w:bodyDiv w:val="1"/>
      <w:marLeft w:val="0"/>
      <w:marRight w:val="0"/>
      <w:marTop w:val="0"/>
      <w:marBottom w:val="0"/>
      <w:divBdr>
        <w:top w:val="none" w:sz="0" w:space="0" w:color="auto"/>
        <w:left w:val="none" w:sz="0" w:space="0" w:color="auto"/>
        <w:bottom w:val="none" w:sz="0" w:space="0" w:color="auto"/>
        <w:right w:val="none" w:sz="0" w:space="0" w:color="auto"/>
      </w:divBdr>
    </w:div>
    <w:div w:id="1252277969">
      <w:bodyDiv w:val="1"/>
      <w:marLeft w:val="0"/>
      <w:marRight w:val="0"/>
      <w:marTop w:val="0"/>
      <w:marBottom w:val="0"/>
      <w:divBdr>
        <w:top w:val="none" w:sz="0" w:space="0" w:color="auto"/>
        <w:left w:val="none" w:sz="0" w:space="0" w:color="auto"/>
        <w:bottom w:val="none" w:sz="0" w:space="0" w:color="auto"/>
        <w:right w:val="none" w:sz="0" w:space="0" w:color="auto"/>
      </w:divBdr>
    </w:div>
    <w:div w:id="1255360815">
      <w:bodyDiv w:val="1"/>
      <w:marLeft w:val="0"/>
      <w:marRight w:val="0"/>
      <w:marTop w:val="0"/>
      <w:marBottom w:val="0"/>
      <w:divBdr>
        <w:top w:val="none" w:sz="0" w:space="0" w:color="auto"/>
        <w:left w:val="none" w:sz="0" w:space="0" w:color="auto"/>
        <w:bottom w:val="none" w:sz="0" w:space="0" w:color="auto"/>
        <w:right w:val="none" w:sz="0" w:space="0" w:color="auto"/>
      </w:divBdr>
    </w:div>
    <w:div w:id="1263874999">
      <w:bodyDiv w:val="1"/>
      <w:marLeft w:val="0"/>
      <w:marRight w:val="0"/>
      <w:marTop w:val="0"/>
      <w:marBottom w:val="0"/>
      <w:divBdr>
        <w:top w:val="none" w:sz="0" w:space="0" w:color="auto"/>
        <w:left w:val="none" w:sz="0" w:space="0" w:color="auto"/>
        <w:bottom w:val="none" w:sz="0" w:space="0" w:color="auto"/>
        <w:right w:val="none" w:sz="0" w:space="0" w:color="auto"/>
      </w:divBdr>
    </w:div>
    <w:div w:id="1266183406">
      <w:bodyDiv w:val="1"/>
      <w:marLeft w:val="0"/>
      <w:marRight w:val="0"/>
      <w:marTop w:val="0"/>
      <w:marBottom w:val="0"/>
      <w:divBdr>
        <w:top w:val="none" w:sz="0" w:space="0" w:color="auto"/>
        <w:left w:val="none" w:sz="0" w:space="0" w:color="auto"/>
        <w:bottom w:val="none" w:sz="0" w:space="0" w:color="auto"/>
        <w:right w:val="none" w:sz="0" w:space="0" w:color="auto"/>
      </w:divBdr>
    </w:div>
    <w:div w:id="1266888614">
      <w:bodyDiv w:val="1"/>
      <w:marLeft w:val="0"/>
      <w:marRight w:val="0"/>
      <w:marTop w:val="0"/>
      <w:marBottom w:val="0"/>
      <w:divBdr>
        <w:top w:val="none" w:sz="0" w:space="0" w:color="auto"/>
        <w:left w:val="none" w:sz="0" w:space="0" w:color="auto"/>
        <w:bottom w:val="none" w:sz="0" w:space="0" w:color="auto"/>
        <w:right w:val="none" w:sz="0" w:space="0" w:color="auto"/>
      </w:divBdr>
    </w:div>
    <w:div w:id="1269435050">
      <w:bodyDiv w:val="1"/>
      <w:marLeft w:val="0"/>
      <w:marRight w:val="0"/>
      <w:marTop w:val="0"/>
      <w:marBottom w:val="0"/>
      <w:divBdr>
        <w:top w:val="none" w:sz="0" w:space="0" w:color="auto"/>
        <w:left w:val="none" w:sz="0" w:space="0" w:color="auto"/>
        <w:bottom w:val="none" w:sz="0" w:space="0" w:color="auto"/>
        <w:right w:val="none" w:sz="0" w:space="0" w:color="auto"/>
      </w:divBdr>
    </w:div>
    <w:div w:id="1274283434">
      <w:bodyDiv w:val="1"/>
      <w:marLeft w:val="0"/>
      <w:marRight w:val="0"/>
      <w:marTop w:val="0"/>
      <w:marBottom w:val="0"/>
      <w:divBdr>
        <w:top w:val="none" w:sz="0" w:space="0" w:color="auto"/>
        <w:left w:val="none" w:sz="0" w:space="0" w:color="auto"/>
        <w:bottom w:val="none" w:sz="0" w:space="0" w:color="auto"/>
        <w:right w:val="none" w:sz="0" w:space="0" w:color="auto"/>
      </w:divBdr>
    </w:div>
    <w:div w:id="1274360101">
      <w:bodyDiv w:val="1"/>
      <w:marLeft w:val="0"/>
      <w:marRight w:val="0"/>
      <w:marTop w:val="0"/>
      <w:marBottom w:val="0"/>
      <w:divBdr>
        <w:top w:val="none" w:sz="0" w:space="0" w:color="auto"/>
        <w:left w:val="none" w:sz="0" w:space="0" w:color="auto"/>
        <w:bottom w:val="none" w:sz="0" w:space="0" w:color="auto"/>
        <w:right w:val="none" w:sz="0" w:space="0" w:color="auto"/>
      </w:divBdr>
    </w:div>
    <w:div w:id="1279529289">
      <w:bodyDiv w:val="1"/>
      <w:marLeft w:val="0"/>
      <w:marRight w:val="0"/>
      <w:marTop w:val="0"/>
      <w:marBottom w:val="0"/>
      <w:divBdr>
        <w:top w:val="none" w:sz="0" w:space="0" w:color="auto"/>
        <w:left w:val="none" w:sz="0" w:space="0" w:color="auto"/>
        <w:bottom w:val="none" w:sz="0" w:space="0" w:color="auto"/>
        <w:right w:val="none" w:sz="0" w:space="0" w:color="auto"/>
      </w:divBdr>
    </w:div>
    <w:div w:id="1289553066">
      <w:bodyDiv w:val="1"/>
      <w:marLeft w:val="0"/>
      <w:marRight w:val="0"/>
      <w:marTop w:val="0"/>
      <w:marBottom w:val="0"/>
      <w:divBdr>
        <w:top w:val="none" w:sz="0" w:space="0" w:color="auto"/>
        <w:left w:val="none" w:sz="0" w:space="0" w:color="auto"/>
        <w:bottom w:val="none" w:sz="0" w:space="0" w:color="auto"/>
        <w:right w:val="none" w:sz="0" w:space="0" w:color="auto"/>
      </w:divBdr>
    </w:div>
    <w:div w:id="1290430744">
      <w:bodyDiv w:val="1"/>
      <w:marLeft w:val="0"/>
      <w:marRight w:val="0"/>
      <w:marTop w:val="0"/>
      <w:marBottom w:val="0"/>
      <w:divBdr>
        <w:top w:val="none" w:sz="0" w:space="0" w:color="auto"/>
        <w:left w:val="none" w:sz="0" w:space="0" w:color="auto"/>
        <w:bottom w:val="none" w:sz="0" w:space="0" w:color="auto"/>
        <w:right w:val="none" w:sz="0" w:space="0" w:color="auto"/>
      </w:divBdr>
    </w:div>
    <w:div w:id="1295057914">
      <w:bodyDiv w:val="1"/>
      <w:marLeft w:val="0"/>
      <w:marRight w:val="0"/>
      <w:marTop w:val="0"/>
      <w:marBottom w:val="0"/>
      <w:divBdr>
        <w:top w:val="none" w:sz="0" w:space="0" w:color="auto"/>
        <w:left w:val="none" w:sz="0" w:space="0" w:color="auto"/>
        <w:bottom w:val="none" w:sz="0" w:space="0" w:color="auto"/>
        <w:right w:val="none" w:sz="0" w:space="0" w:color="auto"/>
      </w:divBdr>
    </w:div>
    <w:div w:id="1295063315">
      <w:bodyDiv w:val="1"/>
      <w:marLeft w:val="0"/>
      <w:marRight w:val="0"/>
      <w:marTop w:val="0"/>
      <w:marBottom w:val="0"/>
      <w:divBdr>
        <w:top w:val="none" w:sz="0" w:space="0" w:color="auto"/>
        <w:left w:val="none" w:sz="0" w:space="0" w:color="auto"/>
        <w:bottom w:val="none" w:sz="0" w:space="0" w:color="auto"/>
        <w:right w:val="none" w:sz="0" w:space="0" w:color="auto"/>
      </w:divBdr>
    </w:div>
    <w:div w:id="1296174928">
      <w:bodyDiv w:val="1"/>
      <w:marLeft w:val="0"/>
      <w:marRight w:val="0"/>
      <w:marTop w:val="0"/>
      <w:marBottom w:val="0"/>
      <w:divBdr>
        <w:top w:val="none" w:sz="0" w:space="0" w:color="auto"/>
        <w:left w:val="none" w:sz="0" w:space="0" w:color="auto"/>
        <w:bottom w:val="none" w:sz="0" w:space="0" w:color="auto"/>
        <w:right w:val="none" w:sz="0" w:space="0" w:color="auto"/>
      </w:divBdr>
    </w:div>
    <w:div w:id="1300040515">
      <w:bodyDiv w:val="1"/>
      <w:marLeft w:val="0"/>
      <w:marRight w:val="0"/>
      <w:marTop w:val="0"/>
      <w:marBottom w:val="0"/>
      <w:divBdr>
        <w:top w:val="none" w:sz="0" w:space="0" w:color="auto"/>
        <w:left w:val="none" w:sz="0" w:space="0" w:color="auto"/>
        <w:bottom w:val="none" w:sz="0" w:space="0" w:color="auto"/>
        <w:right w:val="none" w:sz="0" w:space="0" w:color="auto"/>
      </w:divBdr>
    </w:div>
    <w:div w:id="1301884178">
      <w:bodyDiv w:val="1"/>
      <w:marLeft w:val="0"/>
      <w:marRight w:val="0"/>
      <w:marTop w:val="0"/>
      <w:marBottom w:val="0"/>
      <w:divBdr>
        <w:top w:val="none" w:sz="0" w:space="0" w:color="auto"/>
        <w:left w:val="none" w:sz="0" w:space="0" w:color="auto"/>
        <w:bottom w:val="none" w:sz="0" w:space="0" w:color="auto"/>
        <w:right w:val="none" w:sz="0" w:space="0" w:color="auto"/>
      </w:divBdr>
    </w:div>
    <w:div w:id="1311329216">
      <w:bodyDiv w:val="1"/>
      <w:marLeft w:val="0"/>
      <w:marRight w:val="0"/>
      <w:marTop w:val="0"/>
      <w:marBottom w:val="0"/>
      <w:divBdr>
        <w:top w:val="none" w:sz="0" w:space="0" w:color="auto"/>
        <w:left w:val="none" w:sz="0" w:space="0" w:color="auto"/>
        <w:bottom w:val="none" w:sz="0" w:space="0" w:color="auto"/>
        <w:right w:val="none" w:sz="0" w:space="0" w:color="auto"/>
      </w:divBdr>
    </w:div>
    <w:div w:id="1316445650">
      <w:bodyDiv w:val="1"/>
      <w:marLeft w:val="0"/>
      <w:marRight w:val="0"/>
      <w:marTop w:val="0"/>
      <w:marBottom w:val="0"/>
      <w:divBdr>
        <w:top w:val="none" w:sz="0" w:space="0" w:color="auto"/>
        <w:left w:val="none" w:sz="0" w:space="0" w:color="auto"/>
        <w:bottom w:val="none" w:sz="0" w:space="0" w:color="auto"/>
        <w:right w:val="none" w:sz="0" w:space="0" w:color="auto"/>
      </w:divBdr>
    </w:div>
    <w:div w:id="1317957681">
      <w:bodyDiv w:val="1"/>
      <w:marLeft w:val="0"/>
      <w:marRight w:val="0"/>
      <w:marTop w:val="0"/>
      <w:marBottom w:val="0"/>
      <w:divBdr>
        <w:top w:val="none" w:sz="0" w:space="0" w:color="auto"/>
        <w:left w:val="none" w:sz="0" w:space="0" w:color="auto"/>
        <w:bottom w:val="none" w:sz="0" w:space="0" w:color="auto"/>
        <w:right w:val="none" w:sz="0" w:space="0" w:color="auto"/>
      </w:divBdr>
    </w:div>
    <w:div w:id="1320504051">
      <w:bodyDiv w:val="1"/>
      <w:marLeft w:val="0"/>
      <w:marRight w:val="0"/>
      <w:marTop w:val="0"/>
      <w:marBottom w:val="0"/>
      <w:divBdr>
        <w:top w:val="none" w:sz="0" w:space="0" w:color="auto"/>
        <w:left w:val="none" w:sz="0" w:space="0" w:color="auto"/>
        <w:bottom w:val="none" w:sz="0" w:space="0" w:color="auto"/>
        <w:right w:val="none" w:sz="0" w:space="0" w:color="auto"/>
      </w:divBdr>
    </w:div>
    <w:div w:id="1325206942">
      <w:bodyDiv w:val="1"/>
      <w:marLeft w:val="0"/>
      <w:marRight w:val="0"/>
      <w:marTop w:val="0"/>
      <w:marBottom w:val="0"/>
      <w:divBdr>
        <w:top w:val="none" w:sz="0" w:space="0" w:color="auto"/>
        <w:left w:val="none" w:sz="0" w:space="0" w:color="auto"/>
        <w:bottom w:val="none" w:sz="0" w:space="0" w:color="auto"/>
        <w:right w:val="none" w:sz="0" w:space="0" w:color="auto"/>
      </w:divBdr>
    </w:div>
    <w:div w:id="1346663738">
      <w:bodyDiv w:val="1"/>
      <w:marLeft w:val="0"/>
      <w:marRight w:val="0"/>
      <w:marTop w:val="0"/>
      <w:marBottom w:val="0"/>
      <w:divBdr>
        <w:top w:val="none" w:sz="0" w:space="0" w:color="auto"/>
        <w:left w:val="none" w:sz="0" w:space="0" w:color="auto"/>
        <w:bottom w:val="none" w:sz="0" w:space="0" w:color="auto"/>
        <w:right w:val="none" w:sz="0" w:space="0" w:color="auto"/>
      </w:divBdr>
    </w:div>
    <w:div w:id="1350330996">
      <w:bodyDiv w:val="1"/>
      <w:marLeft w:val="0"/>
      <w:marRight w:val="0"/>
      <w:marTop w:val="0"/>
      <w:marBottom w:val="0"/>
      <w:divBdr>
        <w:top w:val="none" w:sz="0" w:space="0" w:color="auto"/>
        <w:left w:val="none" w:sz="0" w:space="0" w:color="auto"/>
        <w:bottom w:val="none" w:sz="0" w:space="0" w:color="auto"/>
        <w:right w:val="none" w:sz="0" w:space="0" w:color="auto"/>
      </w:divBdr>
    </w:div>
    <w:div w:id="1353843121">
      <w:bodyDiv w:val="1"/>
      <w:marLeft w:val="0"/>
      <w:marRight w:val="0"/>
      <w:marTop w:val="0"/>
      <w:marBottom w:val="0"/>
      <w:divBdr>
        <w:top w:val="none" w:sz="0" w:space="0" w:color="auto"/>
        <w:left w:val="none" w:sz="0" w:space="0" w:color="auto"/>
        <w:bottom w:val="none" w:sz="0" w:space="0" w:color="auto"/>
        <w:right w:val="none" w:sz="0" w:space="0" w:color="auto"/>
      </w:divBdr>
    </w:div>
    <w:div w:id="1354647290">
      <w:bodyDiv w:val="1"/>
      <w:marLeft w:val="0"/>
      <w:marRight w:val="0"/>
      <w:marTop w:val="0"/>
      <w:marBottom w:val="0"/>
      <w:divBdr>
        <w:top w:val="none" w:sz="0" w:space="0" w:color="auto"/>
        <w:left w:val="none" w:sz="0" w:space="0" w:color="auto"/>
        <w:bottom w:val="none" w:sz="0" w:space="0" w:color="auto"/>
        <w:right w:val="none" w:sz="0" w:space="0" w:color="auto"/>
      </w:divBdr>
    </w:div>
    <w:div w:id="1362629691">
      <w:bodyDiv w:val="1"/>
      <w:marLeft w:val="0"/>
      <w:marRight w:val="0"/>
      <w:marTop w:val="0"/>
      <w:marBottom w:val="0"/>
      <w:divBdr>
        <w:top w:val="none" w:sz="0" w:space="0" w:color="auto"/>
        <w:left w:val="none" w:sz="0" w:space="0" w:color="auto"/>
        <w:bottom w:val="none" w:sz="0" w:space="0" w:color="auto"/>
        <w:right w:val="none" w:sz="0" w:space="0" w:color="auto"/>
      </w:divBdr>
    </w:div>
    <w:div w:id="1372804826">
      <w:bodyDiv w:val="1"/>
      <w:marLeft w:val="0"/>
      <w:marRight w:val="0"/>
      <w:marTop w:val="0"/>
      <w:marBottom w:val="0"/>
      <w:divBdr>
        <w:top w:val="none" w:sz="0" w:space="0" w:color="auto"/>
        <w:left w:val="none" w:sz="0" w:space="0" w:color="auto"/>
        <w:bottom w:val="none" w:sz="0" w:space="0" w:color="auto"/>
        <w:right w:val="none" w:sz="0" w:space="0" w:color="auto"/>
      </w:divBdr>
    </w:div>
    <w:div w:id="1377318936">
      <w:bodyDiv w:val="1"/>
      <w:marLeft w:val="0"/>
      <w:marRight w:val="0"/>
      <w:marTop w:val="0"/>
      <w:marBottom w:val="0"/>
      <w:divBdr>
        <w:top w:val="none" w:sz="0" w:space="0" w:color="auto"/>
        <w:left w:val="none" w:sz="0" w:space="0" w:color="auto"/>
        <w:bottom w:val="none" w:sz="0" w:space="0" w:color="auto"/>
        <w:right w:val="none" w:sz="0" w:space="0" w:color="auto"/>
      </w:divBdr>
    </w:div>
    <w:div w:id="1378578904">
      <w:bodyDiv w:val="1"/>
      <w:marLeft w:val="0"/>
      <w:marRight w:val="0"/>
      <w:marTop w:val="0"/>
      <w:marBottom w:val="0"/>
      <w:divBdr>
        <w:top w:val="none" w:sz="0" w:space="0" w:color="auto"/>
        <w:left w:val="none" w:sz="0" w:space="0" w:color="auto"/>
        <w:bottom w:val="none" w:sz="0" w:space="0" w:color="auto"/>
        <w:right w:val="none" w:sz="0" w:space="0" w:color="auto"/>
      </w:divBdr>
    </w:div>
    <w:div w:id="1383677157">
      <w:bodyDiv w:val="1"/>
      <w:marLeft w:val="0"/>
      <w:marRight w:val="0"/>
      <w:marTop w:val="0"/>
      <w:marBottom w:val="0"/>
      <w:divBdr>
        <w:top w:val="none" w:sz="0" w:space="0" w:color="auto"/>
        <w:left w:val="none" w:sz="0" w:space="0" w:color="auto"/>
        <w:bottom w:val="none" w:sz="0" w:space="0" w:color="auto"/>
        <w:right w:val="none" w:sz="0" w:space="0" w:color="auto"/>
      </w:divBdr>
    </w:div>
    <w:div w:id="1389299238">
      <w:bodyDiv w:val="1"/>
      <w:marLeft w:val="0"/>
      <w:marRight w:val="0"/>
      <w:marTop w:val="0"/>
      <w:marBottom w:val="0"/>
      <w:divBdr>
        <w:top w:val="none" w:sz="0" w:space="0" w:color="auto"/>
        <w:left w:val="none" w:sz="0" w:space="0" w:color="auto"/>
        <w:bottom w:val="none" w:sz="0" w:space="0" w:color="auto"/>
        <w:right w:val="none" w:sz="0" w:space="0" w:color="auto"/>
      </w:divBdr>
    </w:div>
    <w:div w:id="1390616490">
      <w:bodyDiv w:val="1"/>
      <w:marLeft w:val="0"/>
      <w:marRight w:val="0"/>
      <w:marTop w:val="0"/>
      <w:marBottom w:val="0"/>
      <w:divBdr>
        <w:top w:val="none" w:sz="0" w:space="0" w:color="auto"/>
        <w:left w:val="none" w:sz="0" w:space="0" w:color="auto"/>
        <w:bottom w:val="none" w:sz="0" w:space="0" w:color="auto"/>
        <w:right w:val="none" w:sz="0" w:space="0" w:color="auto"/>
      </w:divBdr>
    </w:div>
    <w:div w:id="1391154794">
      <w:bodyDiv w:val="1"/>
      <w:marLeft w:val="0"/>
      <w:marRight w:val="0"/>
      <w:marTop w:val="0"/>
      <w:marBottom w:val="0"/>
      <w:divBdr>
        <w:top w:val="none" w:sz="0" w:space="0" w:color="auto"/>
        <w:left w:val="none" w:sz="0" w:space="0" w:color="auto"/>
        <w:bottom w:val="none" w:sz="0" w:space="0" w:color="auto"/>
        <w:right w:val="none" w:sz="0" w:space="0" w:color="auto"/>
      </w:divBdr>
    </w:div>
    <w:div w:id="1409498735">
      <w:bodyDiv w:val="1"/>
      <w:marLeft w:val="0"/>
      <w:marRight w:val="0"/>
      <w:marTop w:val="0"/>
      <w:marBottom w:val="0"/>
      <w:divBdr>
        <w:top w:val="none" w:sz="0" w:space="0" w:color="auto"/>
        <w:left w:val="none" w:sz="0" w:space="0" w:color="auto"/>
        <w:bottom w:val="none" w:sz="0" w:space="0" w:color="auto"/>
        <w:right w:val="none" w:sz="0" w:space="0" w:color="auto"/>
      </w:divBdr>
    </w:div>
    <w:div w:id="1414355223">
      <w:bodyDiv w:val="1"/>
      <w:marLeft w:val="0"/>
      <w:marRight w:val="0"/>
      <w:marTop w:val="0"/>
      <w:marBottom w:val="0"/>
      <w:divBdr>
        <w:top w:val="none" w:sz="0" w:space="0" w:color="auto"/>
        <w:left w:val="none" w:sz="0" w:space="0" w:color="auto"/>
        <w:bottom w:val="none" w:sz="0" w:space="0" w:color="auto"/>
        <w:right w:val="none" w:sz="0" w:space="0" w:color="auto"/>
      </w:divBdr>
    </w:div>
    <w:div w:id="1418670886">
      <w:bodyDiv w:val="1"/>
      <w:marLeft w:val="0"/>
      <w:marRight w:val="0"/>
      <w:marTop w:val="0"/>
      <w:marBottom w:val="0"/>
      <w:divBdr>
        <w:top w:val="none" w:sz="0" w:space="0" w:color="auto"/>
        <w:left w:val="none" w:sz="0" w:space="0" w:color="auto"/>
        <w:bottom w:val="none" w:sz="0" w:space="0" w:color="auto"/>
        <w:right w:val="none" w:sz="0" w:space="0" w:color="auto"/>
      </w:divBdr>
    </w:div>
    <w:div w:id="1421950561">
      <w:bodyDiv w:val="1"/>
      <w:marLeft w:val="0"/>
      <w:marRight w:val="0"/>
      <w:marTop w:val="0"/>
      <w:marBottom w:val="0"/>
      <w:divBdr>
        <w:top w:val="none" w:sz="0" w:space="0" w:color="auto"/>
        <w:left w:val="none" w:sz="0" w:space="0" w:color="auto"/>
        <w:bottom w:val="none" w:sz="0" w:space="0" w:color="auto"/>
        <w:right w:val="none" w:sz="0" w:space="0" w:color="auto"/>
      </w:divBdr>
    </w:div>
    <w:div w:id="1425807191">
      <w:bodyDiv w:val="1"/>
      <w:marLeft w:val="0"/>
      <w:marRight w:val="0"/>
      <w:marTop w:val="0"/>
      <w:marBottom w:val="0"/>
      <w:divBdr>
        <w:top w:val="none" w:sz="0" w:space="0" w:color="auto"/>
        <w:left w:val="none" w:sz="0" w:space="0" w:color="auto"/>
        <w:bottom w:val="none" w:sz="0" w:space="0" w:color="auto"/>
        <w:right w:val="none" w:sz="0" w:space="0" w:color="auto"/>
      </w:divBdr>
    </w:div>
    <w:div w:id="1433432056">
      <w:bodyDiv w:val="1"/>
      <w:marLeft w:val="0"/>
      <w:marRight w:val="0"/>
      <w:marTop w:val="0"/>
      <w:marBottom w:val="0"/>
      <w:divBdr>
        <w:top w:val="none" w:sz="0" w:space="0" w:color="auto"/>
        <w:left w:val="none" w:sz="0" w:space="0" w:color="auto"/>
        <w:bottom w:val="none" w:sz="0" w:space="0" w:color="auto"/>
        <w:right w:val="none" w:sz="0" w:space="0" w:color="auto"/>
      </w:divBdr>
    </w:div>
    <w:div w:id="1436440026">
      <w:bodyDiv w:val="1"/>
      <w:marLeft w:val="0"/>
      <w:marRight w:val="0"/>
      <w:marTop w:val="0"/>
      <w:marBottom w:val="0"/>
      <w:divBdr>
        <w:top w:val="none" w:sz="0" w:space="0" w:color="auto"/>
        <w:left w:val="none" w:sz="0" w:space="0" w:color="auto"/>
        <w:bottom w:val="none" w:sz="0" w:space="0" w:color="auto"/>
        <w:right w:val="none" w:sz="0" w:space="0" w:color="auto"/>
      </w:divBdr>
    </w:div>
    <w:div w:id="1442803299">
      <w:bodyDiv w:val="1"/>
      <w:marLeft w:val="0"/>
      <w:marRight w:val="0"/>
      <w:marTop w:val="0"/>
      <w:marBottom w:val="0"/>
      <w:divBdr>
        <w:top w:val="none" w:sz="0" w:space="0" w:color="auto"/>
        <w:left w:val="none" w:sz="0" w:space="0" w:color="auto"/>
        <w:bottom w:val="none" w:sz="0" w:space="0" w:color="auto"/>
        <w:right w:val="none" w:sz="0" w:space="0" w:color="auto"/>
      </w:divBdr>
    </w:div>
    <w:div w:id="1448357233">
      <w:bodyDiv w:val="1"/>
      <w:marLeft w:val="0"/>
      <w:marRight w:val="0"/>
      <w:marTop w:val="0"/>
      <w:marBottom w:val="0"/>
      <w:divBdr>
        <w:top w:val="none" w:sz="0" w:space="0" w:color="auto"/>
        <w:left w:val="none" w:sz="0" w:space="0" w:color="auto"/>
        <w:bottom w:val="none" w:sz="0" w:space="0" w:color="auto"/>
        <w:right w:val="none" w:sz="0" w:space="0" w:color="auto"/>
      </w:divBdr>
    </w:div>
    <w:div w:id="1449078697">
      <w:bodyDiv w:val="1"/>
      <w:marLeft w:val="0"/>
      <w:marRight w:val="0"/>
      <w:marTop w:val="0"/>
      <w:marBottom w:val="0"/>
      <w:divBdr>
        <w:top w:val="none" w:sz="0" w:space="0" w:color="auto"/>
        <w:left w:val="none" w:sz="0" w:space="0" w:color="auto"/>
        <w:bottom w:val="none" w:sz="0" w:space="0" w:color="auto"/>
        <w:right w:val="none" w:sz="0" w:space="0" w:color="auto"/>
      </w:divBdr>
    </w:div>
    <w:div w:id="1451049270">
      <w:bodyDiv w:val="1"/>
      <w:marLeft w:val="0"/>
      <w:marRight w:val="0"/>
      <w:marTop w:val="0"/>
      <w:marBottom w:val="0"/>
      <w:divBdr>
        <w:top w:val="none" w:sz="0" w:space="0" w:color="auto"/>
        <w:left w:val="none" w:sz="0" w:space="0" w:color="auto"/>
        <w:bottom w:val="none" w:sz="0" w:space="0" w:color="auto"/>
        <w:right w:val="none" w:sz="0" w:space="0" w:color="auto"/>
      </w:divBdr>
    </w:div>
    <w:div w:id="1458909660">
      <w:bodyDiv w:val="1"/>
      <w:marLeft w:val="0"/>
      <w:marRight w:val="0"/>
      <w:marTop w:val="0"/>
      <w:marBottom w:val="0"/>
      <w:divBdr>
        <w:top w:val="none" w:sz="0" w:space="0" w:color="auto"/>
        <w:left w:val="none" w:sz="0" w:space="0" w:color="auto"/>
        <w:bottom w:val="none" w:sz="0" w:space="0" w:color="auto"/>
        <w:right w:val="none" w:sz="0" w:space="0" w:color="auto"/>
      </w:divBdr>
    </w:div>
    <w:div w:id="1466049250">
      <w:bodyDiv w:val="1"/>
      <w:marLeft w:val="0"/>
      <w:marRight w:val="0"/>
      <w:marTop w:val="0"/>
      <w:marBottom w:val="0"/>
      <w:divBdr>
        <w:top w:val="none" w:sz="0" w:space="0" w:color="auto"/>
        <w:left w:val="none" w:sz="0" w:space="0" w:color="auto"/>
        <w:bottom w:val="none" w:sz="0" w:space="0" w:color="auto"/>
        <w:right w:val="none" w:sz="0" w:space="0" w:color="auto"/>
      </w:divBdr>
    </w:div>
    <w:div w:id="1469282549">
      <w:bodyDiv w:val="1"/>
      <w:marLeft w:val="0"/>
      <w:marRight w:val="0"/>
      <w:marTop w:val="0"/>
      <w:marBottom w:val="0"/>
      <w:divBdr>
        <w:top w:val="none" w:sz="0" w:space="0" w:color="auto"/>
        <w:left w:val="none" w:sz="0" w:space="0" w:color="auto"/>
        <w:bottom w:val="none" w:sz="0" w:space="0" w:color="auto"/>
        <w:right w:val="none" w:sz="0" w:space="0" w:color="auto"/>
      </w:divBdr>
    </w:div>
    <w:div w:id="1475948883">
      <w:bodyDiv w:val="1"/>
      <w:marLeft w:val="0"/>
      <w:marRight w:val="0"/>
      <w:marTop w:val="0"/>
      <w:marBottom w:val="0"/>
      <w:divBdr>
        <w:top w:val="none" w:sz="0" w:space="0" w:color="auto"/>
        <w:left w:val="none" w:sz="0" w:space="0" w:color="auto"/>
        <w:bottom w:val="none" w:sz="0" w:space="0" w:color="auto"/>
        <w:right w:val="none" w:sz="0" w:space="0" w:color="auto"/>
      </w:divBdr>
    </w:div>
    <w:div w:id="1477146097">
      <w:bodyDiv w:val="1"/>
      <w:marLeft w:val="0"/>
      <w:marRight w:val="0"/>
      <w:marTop w:val="0"/>
      <w:marBottom w:val="0"/>
      <w:divBdr>
        <w:top w:val="none" w:sz="0" w:space="0" w:color="auto"/>
        <w:left w:val="none" w:sz="0" w:space="0" w:color="auto"/>
        <w:bottom w:val="none" w:sz="0" w:space="0" w:color="auto"/>
        <w:right w:val="none" w:sz="0" w:space="0" w:color="auto"/>
      </w:divBdr>
    </w:div>
    <w:div w:id="1480460819">
      <w:bodyDiv w:val="1"/>
      <w:marLeft w:val="0"/>
      <w:marRight w:val="0"/>
      <w:marTop w:val="0"/>
      <w:marBottom w:val="0"/>
      <w:divBdr>
        <w:top w:val="none" w:sz="0" w:space="0" w:color="auto"/>
        <w:left w:val="none" w:sz="0" w:space="0" w:color="auto"/>
        <w:bottom w:val="none" w:sz="0" w:space="0" w:color="auto"/>
        <w:right w:val="none" w:sz="0" w:space="0" w:color="auto"/>
      </w:divBdr>
    </w:div>
    <w:div w:id="1481657751">
      <w:bodyDiv w:val="1"/>
      <w:marLeft w:val="0"/>
      <w:marRight w:val="0"/>
      <w:marTop w:val="0"/>
      <w:marBottom w:val="0"/>
      <w:divBdr>
        <w:top w:val="none" w:sz="0" w:space="0" w:color="auto"/>
        <w:left w:val="none" w:sz="0" w:space="0" w:color="auto"/>
        <w:bottom w:val="none" w:sz="0" w:space="0" w:color="auto"/>
        <w:right w:val="none" w:sz="0" w:space="0" w:color="auto"/>
      </w:divBdr>
    </w:div>
    <w:div w:id="1481925771">
      <w:bodyDiv w:val="1"/>
      <w:marLeft w:val="0"/>
      <w:marRight w:val="0"/>
      <w:marTop w:val="0"/>
      <w:marBottom w:val="0"/>
      <w:divBdr>
        <w:top w:val="none" w:sz="0" w:space="0" w:color="auto"/>
        <w:left w:val="none" w:sz="0" w:space="0" w:color="auto"/>
        <w:bottom w:val="none" w:sz="0" w:space="0" w:color="auto"/>
        <w:right w:val="none" w:sz="0" w:space="0" w:color="auto"/>
      </w:divBdr>
    </w:div>
    <w:div w:id="1485125124">
      <w:bodyDiv w:val="1"/>
      <w:marLeft w:val="0"/>
      <w:marRight w:val="0"/>
      <w:marTop w:val="0"/>
      <w:marBottom w:val="0"/>
      <w:divBdr>
        <w:top w:val="none" w:sz="0" w:space="0" w:color="auto"/>
        <w:left w:val="none" w:sz="0" w:space="0" w:color="auto"/>
        <w:bottom w:val="none" w:sz="0" w:space="0" w:color="auto"/>
        <w:right w:val="none" w:sz="0" w:space="0" w:color="auto"/>
      </w:divBdr>
    </w:div>
    <w:div w:id="1494296592">
      <w:bodyDiv w:val="1"/>
      <w:marLeft w:val="0"/>
      <w:marRight w:val="0"/>
      <w:marTop w:val="0"/>
      <w:marBottom w:val="0"/>
      <w:divBdr>
        <w:top w:val="none" w:sz="0" w:space="0" w:color="auto"/>
        <w:left w:val="none" w:sz="0" w:space="0" w:color="auto"/>
        <w:bottom w:val="none" w:sz="0" w:space="0" w:color="auto"/>
        <w:right w:val="none" w:sz="0" w:space="0" w:color="auto"/>
      </w:divBdr>
    </w:div>
    <w:div w:id="1500580225">
      <w:bodyDiv w:val="1"/>
      <w:marLeft w:val="0"/>
      <w:marRight w:val="0"/>
      <w:marTop w:val="0"/>
      <w:marBottom w:val="0"/>
      <w:divBdr>
        <w:top w:val="none" w:sz="0" w:space="0" w:color="auto"/>
        <w:left w:val="none" w:sz="0" w:space="0" w:color="auto"/>
        <w:bottom w:val="none" w:sz="0" w:space="0" w:color="auto"/>
        <w:right w:val="none" w:sz="0" w:space="0" w:color="auto"/>
      </w:divBdr>
    </w:div>
    <w:div w:id="1503011311">
      <w:bodyDiv w:val="1"/>
      <w:marLeft w:val="0"/>
      <w:marRight w:val="0"/>
      <w:marTop w:val="0"/>
      <w:marBottom w:val="0"/>
      <w:divBdr>
        <w:top w:val="none" w:sz="0" w:space="0" w:color="auto"/>
        <w:left w:val="none" w:sz="0" w:space="0" w:color="auto"/>
        <w:bottom w:val="none" w:sz="0" w:space="0" w:color="auto"/>
        <w:right w:val="none" w:sz="0" w:space="0" w:color="auto"/>
      </w:divBdr>
    </w:div>
    <w:div w:id="1503079681">
      <w:bodyDiv w:val="1"/>
      <w:marLeft w:val="0"/>
      <w:marRight w:val="0"/>
      <w:marTop w:val="0"/>
      <w:marBottom w:val="0"/>
      <w:divBdr>
        <w:top w:val="none" w:sz="0" w:space="0" w:color="auto"/>
        <w:left w:val="none" w:sz="0" w:space="0" w:color="auto"/>
        <w:bottom w:val="none" w:sz="0" w:space="0" w:color="auto"/>
        <w:right w:val="none" w:sz="0" w:space="0" w:color="auto"/>
      </w:divBdr>
    </w:div>
    <w:div w:id="1504859768">
      <w:bodyDiv w:val="1"/>
      <w:marLeft w:val="0"/>
      <w:marRight w:val="0"/>
      <w:marTop w:val="0"/>
      <w:marBottom w:val="0"/>
      <w:divBdr>
        <w:top w:val="none" w:sz="0" w:space="0" w:color="auto"/>
        <w:left w:val="none" w:sz="0" w:space="0" w:color="auto"/>
        <w:bottom w:val="none" w:sz="0" w:space="0" w:color="auto"/>
        <w:right w:val="none" w:sz="0" w:space="0" w:color="auto"/>
      </w:divBdr>
    </w:div>
    <w:div w:id="1517115340">
      <w:bodyDiv w:val="1"/>
      <w:marLeft w:val="0"/>
      <w:marRight w:val="0"/>
      <w:marTop w:val="0"/>
      <w:marBottom w:val="0"/>
      <w:divBdr>
        <w:top w:val="none" w:sz="0" w:space="0" w:color="auto"/>
        <w:left w:val="none" w:sz="0" w:space="0" w:color="auto"/>
        <w:bottom w:val="none" w:sz="0" w:space="0" w:color="auto"/>
        <w:right w:val="none" w:sz="0" w:space="0" w:color="auto"/>
      </w:divBdr>
    </w:div>
    <w:div w:id="1519076097">
      <w:bodyDiv w:val="1"/>
      <w:marLeft w:val="0"/>
      <w:marRight w:val="0"/>
      <w:marTop w:val="0"/>
      <w:marBottom w:val="0"/>
      <w:divBdr>
        <w:top w:val="none" w:sz="0" w:space="0" w:color="auto"/>
        <w:left w:val="none" w:sz="0" w:space="0" w:color="auto"/>
        <w:bottom w:val="none" w:sz="0" w:space="0" w:color="auto"/>
        <w:right w:val="none" w:sz="0" w:space="0" w:color="auto"/>
      </w:divBdr>
    </w:div>
    <w:div w:id="1522934338">
      <w:bodyDiv w:val="1"/>
      <w:marLeft w:val="0"/>
      <w:marRight w:val="0"/>
      <w:marTop w:val="0"/>
      <w:marBottom w:val="0"/>
      <w:divBdr>
        <w:top w:val="none" w:sz="0" w:space="0" w:color="auto"/>
        <w:left w:val="none" w:sz="0" w:space="0" w:color="auto"/>
        <w:bottom w:val="none" w:sz="0" w:space="0" w:color="auto"/>
        <w:right w:val="none" w:sz="0" w:space="0" w:color="auto"/>
      </w:divBdr>
    </w:div>
    <w:div w:id="1533879592">
      <w:bodyDiv w:val="1"/>
      <w:marLeft w:val="0"/>
      <w:marRight w:val="0"/>
      <w:marTop w:val="0"/>
      <w:marBottom w:val="0"/>
      <w:divBdr>
        <w:top w:val="none" w:sz="0" w:space="0" w:color="auto"/>
        <w:left w:val="none" w:sz="0" w:space="0" w:color="auto"/>
        <w:bottom w:val="none" w:sz="0" w:space="0" w:color="auto"/>
        <w:right w:val="none" w:sz="0" w:space="0" w:color="auto"/>
      </w:divBdr>
    </w:div>
    <w:div w:id="1539392028">
      <w:bodyDiv w:val="1"/>
      <w:marLeft w:val="0"/>
      <w:marRight w:val="0"/>
      <w:marTop w:val="0"/>
      <w:marBottom w:val="0"/>
      <w:divBdr>
        <w:top w:val="none" w:sz="0" w:space="0" w:color="auto"/>
        <w:left w:val="none" w:sz="0" w:space="0" w:color="auto"/>
        <w:bottom w:val="none" w:sz="0" w:space="0" w:color="auto"/>
        <w:right w:val="none" w:sz="0" w:space="0" w:color="auto"/>
      </w:divBdr>
    </w:div>
    <w:div w:id="1549803747">
      <w:bodyDiv w:val="1"/>
      <w:marLeft w:val="0"/>
      <w:marRight w:val="0"/>
      <w:marTop w:val="0"/>
      <w:marBottom w:val="0"/>
      <w:divBdr>
        <w:top w:val="none" w:sz="0" w:space="0" w:color="auto"/>
        <w:left w:val="none" w:sz="0" w:space="0" w:color="auto"/>
        <w:bottom w:val="none" w:sz="0" w:space="0" w:color="auto"/>
        <w:right w:val="none" w:sz="0" w:space="0" w:color="auto"/>
      </w:divBdr>
    </w:div>
    <w:div w:id="1553037626">
      <w:bodyDiv w:val="1"/>
      <w:marLeft w:val="0"/>
      <w:marRight w:val="0"/>
      <w:marTop w:val="0"/>
      <w:marBottom w:val="0"/>
      <w:divBdr>
        <w:top w:val="none" w:sz="0" w:space="0" w:color="auto"/>
        <w:left w:val="none" w:sz="0" w:space="0" w:color="auto"/>
        <w:bottom w:val="none" w:sz="0" w:space="0" w:color="auto"/>
        <w:right w:val="none" w:sz="0" w:space="0" w:color="auto"/>
      </w:divBdr>
    </w:div>
    <w:div w:id="1557472076">
      <w:bodyDiv w:val="1"/>
      <w:marLeft w:val="0"/>
      <w:marRight w:val="0"/>
      <w:marTop w:val="0"/>
      <w:marBottom w:val="0"/>
      <w:divBdr>
        <w:top w:val="none" w:sz="0" w:space="0" w:color="auto"/>
        <w:left w:val="none" w:sz="0" w:space="0" w:color="auto"/>
        <w:bottom w:val="none" w:sz="0" w:space="0" w:color="auto"/>
        <w:right w:val="none" w:sz="0" w:space="0" w:color="auto"/>
      </w:divBdr>
    </w:div>
    <w:div w:id="1561287280">
      <w:bodyDiv w:val="1"/>
      <w:marLeft w:val="0"/>
      <w:marRight w:val="0"/>
      <w:marTop w:val="0"/>
      <w:marBottom w:val="0"/>
      <w:divBdr>
        <w:top w:val="none" w:sz="0" w:space="0" w:color="auto"/>
        <w:left w:val="none" w:sz="0" w:space="0" w:color="auto"/>
        <w:bottom w:val="none" w:sz="0" w:space="0" w:color="auto"/>
        <w:right w:val="none" w:sz="0" w:space="0" w:color="auto"/>
      </w:divBdr>
    </w:div>
    <w:div w:id="1565141141">
      <w:bodyDiv w:val="1"/>
      <w:marLeft w:val="0"/>
      <w:marRight w:val="0"/>
      <w:marTop w:val="0"/>
      <w:marBottom w:val="0"/>
      <w:divBdr>
        <w:top w:val="none" w:sz="0" w:space="0" w:color="auto"/>
        <w:left w:val="none" w:sz="0" w:space="0" w:color="auto"/>
        <w:bottom w:val="none" w:sz="0" w:space="0" w:color="auto"/>
        <w:right w:val="none" w:sz="0" w:space="0" w:color="auto"/>
      </w:divBdr>
    </w:div>
    <w:div w:id="1565725142">
      <w:bodyDiv w:val="1"/>
      <w:marLeft w:val="0"/>
      <w:marRight w:val="0"/>
      <w:marTop w:val="0"/>
      <w:marBottom w:val="0"/>
      <w:divBdr>
        <w:top w:val="none" w:sz="0" w:space="0" w:color="auto"/>
        <w:left w:val="none" w:sz="0" w:space="0" w:color="auto"/>
        <w:bottom w:val="none" w:sz="0" w:space="0" w:color="auto"/>
        <w:right w:val="none" w:sz="0" w:space="0" w:color="auto"/>
      </w:divBdr>
    </w:div>
    <w:div w:id="1574464392">
      <w:bodyDiv w:val="1"/>
      <w:marLeft w:val="0"/>
      <w:marRight w:val="0"/>
      <w:marTop w:val="0"/>
      <w:marBottom w:val="0"/>
      <w:divBdr>
        <w:top w:val="none" w:sz="0" w:space="0" w:color="auto"/>
        <w:left w:val="none" w:sz="0" w:space="0" w:color="auto"/>
        <w:bottom w:val="none" w:sz="0" w:space="0" w:color="auto"/>
        <w:right w:val="none" w:sz="0" w:space="0" w:color="auto"/>
      </w:divBdr>
    </w:div>
    <w:div w:id="1575970625">
      <w:bodyDiv w:val="1"/>
      <w:marLeft w:val="0"/>
      <w:marRight w:val="0"/>
      <w:marTop w:val="0"/>
      <w:marBottom w:val="0"/>
      <w:divBdr>
        <w:top w:val="none" w:sz="0" w:space="0" w:color="auto"/>
        <w:left w:val="none" w:sz="0" w:space="0" w:color="auto"/>
        <w:bottom w:val="none" w:sz="0" w:space="0" w:color="auto"/>
        <w:right w:val="none" w:sz="0" w:space="0" w:color="auto"/>
      </w:divBdr>
    </w:div>
    <w:div w:id="1579900848">
      <w:bodyDiv w:val="1"/>
      <w:marLeft w:val="0"/>
      <w:marRight w:val="0"/>
      <w:marTop w:val="0"/>
      <w:marBottom w:val="0"/>
      <w:divBdr>
        <w:top w:val="none" w:sz="0" w:space="0" w:color="auto"/>
        <w:left w:val="none" w:sz="0" w:space="0" w:color="auto"/>
        <w:bottom w:val="none" w:sz="0" w:space="0" w:color="auto"/>
        <w:right w:val="none" w:sz="0" w:space="0" w:color="auto"/>
      </w:divBdr>
    </w:div>
    <w:div w:id="1580603803">
      <w:bodyDiv w:val="1"/>
      <w:marLeft w:val="0"/>
      <w:marRight w:val="0"/>
      <w:marTop w:val="0"/>
      <w:marBottom w:val="0"/>
      <w:divBdr>
        <w:top w:val="none" w:sz="0" w:space="0" w:color="auto"/>
        <w:left w:val="none" w:sz="0" w:space="0" w:color="auto"/>
        <w:bottom w:val="none" w:sz="0" w:space="0" w:color="auto"/>
        <w:right w:val="none" w:sz="0" w:space="0" w:color="auto"/>
      </w:divBdr>
    </w:div>
    <w:div w:id="1586570528">
      <w:bodyDiv w:val="1"/>
      <w:marLeft w:val="0"/>
      <w:marRight w:val="0"/>
      <w:marTop w:val="0"/>
      <w:marBottom w:val="0"/>
      <w:divBdr>
        <w:top w:val="none" w:sz="0" w:space="0" w:color="auto"/>
        <w:left w:val="none" w:sz="0" w:space="0" w:color="auto"/>
        <w:bottom w:val="none" w:sz="0" w:space="0" w:color="auto"/>
        <w:right w:val="none" w:sz="0" w:space="0" w:color="auto"/>
      </w:divBdr>
    </w:div>
    <w:div w:id="1590237565">
      <w:bodyDiv w:val="1"/>
      <w:marLeft w:val="0"/>
      <w:marRight w:val="0"/>
      <w:marTop w:val="0"/>
      <w:marBottom w:val="0"/>
      <w:divBdr>
        <w:top w:val="none" w:sz="0" w:space="0" w:color="auto"/>
        <w:left w:val="none" w:sz="0" w:space="0" w:color="auto"/>
        <w:bottom w:val="none" w:sz="0" w:space="0" w:color="auto"/>
        <w:right w:val="none" w:sz="0" w:space="0" w:color="auto"/>
      </w:divBdr>
    </w:div>
    <w:div w:id="1590507936">
      <w:bodyDiv w:val="1"/>
      <w:marLeft w:val="0"/>
      <w:marRight w:val="0"/>
      <w:marTop w:val="0"/>
      <w:marBottom w:val="0"/>
      <w:divBdr>
        <w:top w:val="none" w:sz="0" w:space="0" w:color="auto"/>
        <w:left w:val="none" w:sz="0" w:space="0" w:color="auto"/>
        <w:bottom w:val="none" w:sz="0" w:space="0" w:color="auto"/>
        <w:right w:val="none" w:sz="0" w:space="0" w:color="auto"/>
      </w:divBdr>
    </w:div>
    <w:div w:id="1592544159">
      <w:bodyDiv w:val="1"/>
      <w:marLeft w:val="0"/>
      <w:marRight w:val="0"/>
      <w:marTop w:val="0"/>
      <w:marBottom w:val="0"/>
      <w:divBdr>
        <w:top w:val="none" w:sz="0" w:space="0" w:color="auto"/>
        <w:left w:val="none" w:sz="0" w:space="0" w:color="auto"/>
        <w:bottom w:val="none" w:sz="0" w:space="0" w:color="auto"/>
        <w:right w:val="none" w:sz="0" w:space="0" w:color="auto"/>
      </w:divBdr>
    </w:div>
    <w:div w:id="1593662164">
      <w:bodyDiv w:val="1"/>
      <w:marLeft w:val="0"/>
      <w:marRight w:val="0"/>
      <w:marTop w:val="0"/>
      <w:marBottom w:val="0"/>
      <w:divBdr>
        <w:top w:val="none" w:sz="0" w:space="0" w:color="auto"/>
        <w:left w:val="none" w:sz="0" w:space="0" w:color="auto"/>
        <w:bottom w:val="none" w:sz="0" w:space="0" w:color="auto"/>
        <w:right w:val="none" w:sz="0" w:space="0" w:color="auto"/>
      </w:divBdr>
    </w:div>
    <w:div w:id="1594123349">
      <w:bodyDiv w:val="1"/>
      <w:marLeft w:val="0"/>
      <w:marRight w:val="0"/>
      <w:marTop w:val="0"/>
      <w:marBottom w:val="0"/>
      <w:divBdr>
        <w:top w:val="none" w:sz="0" w:space="0" w:color="auto"/>
        <w:left w:val="none" w:sz="0" w:space="0" w:color="auto"/>
        <w:bottom w:val="none" w:sz="0" w:space="0" w:color="auto"/>
        <w:right w:val="none" w:sz="0" w:space="0" w:color="auto"/>
      </w:divBdr>
    </w:div>
    <w:div w:id="1598783143">
      <w:bodyDiv w:val="1"/>
      <w:marLeft w:val="0"/>
      <w:marRight w:val="0"/>
      <w:marTop w:val="0"/>
      <w:marBottom w:val="0"/>
      <w:divBdr>
        <w:top w:val="none" w:sz="0" w:space="0" w:color="auto"/>
        <w:left w:val="none" w:sz="0" w:space="0" w:color="auto"/>
        <w:bottom w:val="none" w:sz="0" w:space="0" w:color="auto"/>
        <w:right w:val="none" w:sz="0" w:space="0" w:color="auto"/>
      </w:divBdr>
    </w:div>
    <w:div w:id="1601376052">
      <w:bodyDiv w:val="1"/>
      <w:marLeft w:val="0"/>
      <w:marRight w:val="0"/>
      <w:marTop w:val="0"/>
      <w:marBottom w:val="0"/>
      <w:divBdr>
        <w:top w:val="none" w:sz="0" w:space="0" w:color="auto"/>
        <w:left w:val="none" w:sz="0" w:space="0" w:color="auto"/>
        <w:bottom w:val="none" w:sz="0" w:space="0" w:color="auto"/>
        <w:right w:val="none" w:sz="0" w:space="0" w:color="auto"/>
      </w:divBdr>
    </w:div>
    <w:div w:id="1604458321">
      <w:bodyDiv w:val="1"/>
      <w:marLeft w:val="0"/>
      <w:marRight w:val="0"/>
      <w:marTop w:val="0"/>
      <w:marBottom w:val="0"/>
      <w:divBdr>
        <w:top w:val="none" w:sz="0" w:space="0" w:color="auto"/>
        <w:left w:val="none" w:sz="0" w:space="0" w:color="auto"/>
        <w:bottom w:val="none" w:sz="0" w:space="0" w:color="auto"/>
        <w:right w:val="none" w:sz="0" w:space="0" w:color="auto"/>
      </w:divBdr>
    </w:div>
    <w:div w:id="1609433235">
      <w:bodyDiv w:val="1"/>
      <w:marLeft w:val="0"/>
      <w:marRight w:val="0"/>
      <w:marTop w:val="0"/>
      <w:marBottom w:val="0"/>
      <w:divBdr>
        <w:top w:val="none" w:sz="0" w:space="0" w:color="auto"/>
        <w:left w:val="none" w:sz="0" w:space="0" w:color="auto"/>
        <w:bottom w:val="none" w:sz="0" w:space="0" w:color="auto"/>
        <w:right w:val="none" w:sz="0" w:space="0" w:color="auto"/>
      </w:divBdr>
    </w:div>
    <w:div w:id="1611813669">
      <w:bodyDiv w:val="1"/>
      <w:marLeft w:val="0"/>
      <w:marRight w:val="0"/>
      <w:marTop w:val="0"/>
      <w:marBottom w:val="0"/>
      <w:divBdr>
        <w:top w:val="none" w:sz="0" w:space="0" w:color="auto"/>
        <w:left w:val="none" w:sz="0" w:space="0" w:color="auto"/>
        <w:bottom w:val="none" w:sz="0" w:space="0" w:color="auto"/>
        <w:right w:val="none" w:sz="0" w:space="0" w:color="auto"/>
      </w:divBdr>
    </w:div>
    <w:div w:id="1614164970">
      <w:bodyDiv w:val="1"/>
      <w:marLeft w:val="0"/>
      <w:marRight w:val="0"/>
      <w:marTop w:val="0"/>
      <w:marBottom w:val="0"/>
      <w:divBdr>
        <w:top w:val="none" w:sz="0" w:space="0" w:color="auto"/>
        <w:left w:val="none" w:sz="0" w:space="0" w:color="auto"/>
        <w:bottom w:val="none" w:sz="0" w:space="0" w:color="auto"/>
        <w:right w:val="none" w:sz="0" w:space="0" w:color="auto"/>
      </w:divBdr>
    </w:div>
    <w:div w:id="1614247402">
      <w:bodyDiv w:val="1"/>
      <w:marLeft w:val="0"/>
      <w:marRight w:val="0"/>
      <w:marTop w:val="0"/>
      <w:marBottom w:val="0"/>
      <w:divBdr>
        <w:top w:val="none" w:sz="0" w:space="0" w:color="auto"/>
        <w:left w:val="none" w:sz="0" w:space="0" w:color="auto"/>
        <w:bottom w:val="none" w:sz="0" w:space="0" w:color="auto"/>
        <w:right w:val="none" w:sz="0" w:space="0" w:color="auto"/>
      </w:divBdr>
    </w:div>
    <w:div w:id="1615209932">
      <w:bodyDiv w:val="1"/>
      <w:marLeft w:val="0"/>
      <w:marRight w:val="0"/>
      <w:marTop w:val="0"/>
      <w:marBottom w:val="0"/>
      <w:divBdr>
        <w:top w:val="none" w:sz="0" w:space="0" w:color="auto"/>
        <w:left w:val="none" w:sz="0" w:space="0" w:color="auto"/>
        <w:bottom w:val="none" w:sz="0" w:space="0" w:color="auto"/>
        <w:right w:val="none" w:sz="0" w:space="0" w:color="auto"/>
      </w:divBdr>
    </w:div>
    <w:div w:id="1618412841">
      <w:bodyDiv w:val="1"/>
      <w:marLeft w:val="0"/>
      <w:marRight w:val="0"/>
      <w:marTop w:val="0"/>
      <w:marBottom w:val="0"/>
      <w:divBdr>
        <w:top w:val="none" w:sz="0" w:space="0" w:color="auto"/>
        <w:left w:val="none" w:sz="0" w:space="0" w:color="auto"/>
        <w:bottom w:val="none" w:sz="0" w:space="0" w:color="auto"/>
        <w:right w:val="none" w:sz="0" w:space="0" w:color="auto"/>
      </w:divBdr>
    </w:div>
    <w:div w:id="1624262744">
      <w:bodyDiv w:val="1"/>
      <w:marLeft w:val="0"/>
      <w:marRight w:val="0"/>
      <w:marTop w:val="0"/>
      <w:marBottom w:val="0"/>
      <w:divBdr>
        <w:top w:val="none" w:sz="0" w:space="0" w:color="auto"/>
        <w:left w:val="none" w:sz="0" w:space="0" w:color="auto"/>
        <w:bottom w:val="none" w:sz="0" w:space="0" w:color="auto"/>
        <w:right w:val="none" w:sz="0" w:space="0" w:color="auto"/>
      </w:divBdr>
    </w:div>
    <w:div w:id="1632636797">
      <w:bodyDiv w:val="1"/>
      <w:marLeft w:val="0"/>
      <w:marRight w:val="0"/>
      <w:marTop w:val="0"/>
      <w:marBottom w:val="0"/>
      <w:divBdr>
        <w:top w:val="none" w:sz="0" w:space="0" w:color="auto"/>
        <w:left w:val="none" w:sz="0" w:space="0" w:color="auto"/>
        <w:bottom w:val="none" w:sz="0" w:space="0" w:color="auto"/>
        <w:right w:val="none" w:sz="0" w:space="0" w:color="auto"/>
      </w:divBdr>
    </w:div>
    <w:div w:id="1632706398">
      <w:bodyDiv w:val="1"/>
      <w:marLeft w:val="0"/>
      <w:marRight w:val="0"/>
      <w:marTop w:val="0"/>
      <w:marBottom w:val="0"/>
      <w:divBdr>
        <w:top w:val="none" w:sz="0" w:space="0" w:color="auto"/>
        <w:left w:val="none" w:sz="0" w:space="0" w:color="auto"/>
        <w:bottom w:val="none" w:sz="0" w:space="0" w:color="auto"/>
        <w:right w:val="none" w:sz="0" w:space="0" w:color="auto"/>
      </w:divBdr>
    </w:div>
    <w:div w:id="1642687646">
      <w:bodyDiv w:val="1"/>
      <w:marLeft w:val="0"/>
      <w:marRight w:val="0"/>
      <w:marTop w:val="0"/>
      <w:marBottom w:val="0"/>
      <w:divBdr>
        <w:top w:val="none" w:sz="0" w:space="0" w:color="auto"/>
        <w:left w:val="none" w:sz="0" w:space="0" w:color="auto"/>
        <w:bottom w:val="none" w:sz="0" w:space="0" w:color="auto"/>
        <w:right w:val="none" w:sz="0" w:space="0" w:color="auto"/>
      </w:divBdr>
    </w:div>
    <w:div w:id="1642736040">
      <w:bodyDiv w:val="1"/>
      <w:marLeft w:val="0"/>
      <w:marRight w:val="0"/>
      <w:marTop w:val="0"/>
      <w:marBottom w:val="0"/>
      <w:divBdr>
        <w:top w:val="none" w:sz="0" w:space="0" w:color="auto"/>
        <w:left w:val="none" w:sz="0" w:space="0" w:color="auto"/>
        <w:bottom w:val="none" w:sz="0" w:space="0" w:color="auto"/>
        <w:right w:val="none" w:sz="0" w:space="0" w:color="auto"/>
      </w:divBdr>
    </w:div>
    <w:div w:id="1643846360">
      <w:bodyDiv w:val="1"/>
      <w:marLeft w:val="0"/>
      <w:marRight w:val="0"/>
      <w:marTop w:val="0"/>
      <w:marBottom w:val="0"/>
      <w:divBdr>
        <w:top w:val="none" w:sz="0" w:space="0" w:color="auto"/>
        <w:left w:val="none" w:sz="0" w:space="0" w:color="auto"/>
        <w:bottom w:val="none" w:sz="0" w:space="0" w:color="auto"/>
        <w:right w:val="none" w:sz="0" w:space="0" w:color="auto"/>
      </w:divBdr>
    </w:div>
    <w:div w:id="1649627761">
      <w:bodyDiv w:val="1"/>
      <w:marLeft w:val="0"/>
      <w:marRight w:val="0"/>
      <w:marTop w:val="0"/>
      <w:marBottom w:val="0"/>
      <w:divBdr>
        <w:top w:val="none" w:sz="0" w:space="0" w:color="auto"/>
        <w:left w:val="none" w:sz="0" w:space="0" w:color="auto"/>
        <w:bottom w:val="none" w:sz="0" w:space="0" w:color="auto"/>
        <w:right w:val="none" w:sz="0" w:space="0" w:color="auto"/>
      </w:divBdr>
    </w:div>
    <w:div w:id="1651013410">
      <w:bodyDiv w:val="1"/>
      <w:marLeft w:val="0"/>
      <w:marRight w:val="0"/>
      <w:marTop w:val="0"/>
      <w:marBottom w:val="0"/>
      <w:divBdr>
        <w:top w:val="none" w:sz="0" w:space="0" w:color="auto"/>
        <w:left w:val="none" w:sz="0" w:space="0" w:color="auto"/>
        <w:bottom w:val="none" w:sz="0" w:space="0" w:color="auto"/>
        <w:right w:val="none" w:sz="0" w:space="0" w:color="auto"/>
      </w:divBdr>
    </w:div>
    <w:div w:id="1653950335">
      <w:bodyDiv w:val="1"/>
      <w:marLeft w:val="0"/>
      <w:marRight w:val="0"/>
      <w:marTop w:val="0"/>
      <w:marBottom w:val="0"/>
      <w:divBdr>
        <w:top w:val="none" w:sz="0" w:space="0" w:color="auto"/>
        <w:left w:val="none" w:sz="0" w:space="0" w:color="auto"/>
        <w:bottom w:val="none" w:sz="0" w:space="0" w:color="auto"/>
        <w:right w:val="none" w:sz="0" w:space="0" w:color="auto"/>
      </w:divBdr>
    </w:div>
    <w:div w:id="1655060122">
      <w:bodyDiv w:val="1"/>
      <w:marLeft w:val="0"/>
      <w:marRight w:val="0"/>
      <w:marTop w:val="0"/>
      <w:marBottom w:val="0"/>
      <w:divBdr>
        <w:top w:val="none" w:sz="0" w:space="0" w:color="auto"/>
        <w:left w:val="none" w:sz="0" w:space="0" w:color="auto"/>
        <w:bottom w:val="none" w:sz="0" w:space="0" w:color="auto"/>
        <w:right w:val="none" w:sz="0" w:space="0" w:color="auto"/>
      </w:divBdr>
    </w:div>
    <w:div w:id="1655719679">
      <w:bodyDiv w:val="1"/>
      <w:marLeft w:val="0"/>
      <w:marRight w:val="0"/>
      <w:marTop w:val="0"/>
      <w:marBottom w:val="0"/>
      <w:divBdr>
        <w:top w:val="none" w:sz="0" w:space="0" w:color="auto"/>
        <w:left w:val="none" w:sz="0" w:space="0" w:color="auto"/>
        <w:bottom w:val="none" w:sz="0" w:space="0" w:color="auto"/>
        <w:right w:val="none" w:sz="0" w:space="0" w:color="auto"/>
      </w:divBdr>
    </w:div>
    <w:div w:id="1655989739">
      <w:bodyDiv w:val="1"/>
      <w:marLeft w:val="0"/>
      <w:marRight w:val="0"/>
      <w:marTop w:val="0"/>
      <w:marBottom w:val="0"/>
      <w:divBdr>
        <w:top w:val="none" w:sz="0" w:space="0" w:color="auto"/>
        <w:left w:val="none" w:sz="0" w:space="0" w:color="auto"/>
        <w:bottom w:val="none" w:sz="0" w:space="0" w:color="auto"/>
        <w:right w:val="none" w:sz="0" w:space="0" w:color="auto"/>
      </w:divBdr>
    </w:div>
    <w:div w:id="1667434124">
      <w:bodyDiv w:val="1"/>
      <w:marLeft w:val="0"/>
      <w:marRight w:val="0"/>
      <w:marTop w:val="0"/>
      <w:marBottom w:val="0"/>
      <w:divBdr>
        <w:top w:val="none" w:sz="0" w:space="0" w:color="auto"/>
        <w:left w:val="none" w:sz="0" w:space="0" w:color="auto"/>
        <w:bottom w:val="none" w:sz="0" w:space="0" w:color="auto"/>
        <w:right w:val="none" w:sz="0" w:space="0" w:color="auto"/>
      </w:divBdr>
    </w:div>
    <w:div w:id="1670790824">
      <w:bodyDiv w:val="1"/>
      <w:marLeft w:val="0"/>
      <w:marRight w:val="0"/>
      <w:marTop w:val="0"/>
      <w:marBottom w:val="0"/>
      <w:divBdr>
        <w:top w:val="none" w:sz="0" w:space="0" w:color="auto"/>
        <w:left w:val="none" w:sz="0" w:space="0" w:color="auto"/>
        <w:bottom w:val="none" w:sz="0" w:space="0" w:color="auto"/>
        <w:right w:val="none" w:sz="0" w:space="0" w:color="auto"/>
      </w:divBdr>
    </w:div>
    <w:div w:id="1675718281">
      <w:bodyDiv w:val="1"/>
      <w:marLeft w:val="0"/>
      <w:marRight w:val="0"/>
      <w:marTop w:val="0"/>
      <w:marBottom w:val="0"/>
      <w:divBdr>
        <w:top w:val="none" w:sz="0" w:space="0" w:color="auto"/>
        <w:left w:val="none" w:sz="0" w:space="0" w:color="auto"/>
        <w:bottom w:val="none" w:sz="0" w:space="0" w:color="auto"/>
        <w:right w:val="none" w:sz="0" w:space="0" w:color="auto"/>
      </w:divBdr>
    </w:div>
    <w:div w:id="1682195863">
      <w:bodyDiv w:val="1"/>
      <w:marLeft w:val="0"/>
      <w:marRight w:val="0"/>
      <w:marTop w:val="0"/>
      <w:marBottom w:val="0"/>
      <w:divBdr>
        <w:top w:val="none" w:sz="0" w:space="0" w:color="auto"/>
        <w:left w:val="none" w:sz="0" w:space="0" w:color="auto"/>
        <w:bottom w:val="none" w:sz="0" w:space="0" w:color="auto"/>
        <w:right w:val="none" w:sz="0" w:space="0" w:color="auto"/>
      </w:divBdr>
    </w:div>
    <w:div w:id="1685980701">
      <w:bodyDiv w:val="1"/>
      <w:marLeft w:val="0"/>
      <w:marRight w:val="0"/>
      <w:marTop w:val="0"/>
      <w:marBottom w:val="0"/>
      <w:divBdr>
        <w:top w:val="none" w:sz="0" w:space="0" w:color="auto"/>
        <w:left w:val="none" w:sz="0" w:space="0" w:color="auto"/>
        <w:bottom w:val="none" w:sz="0" w:space="0" w:color="auto"/>
        <w:right w:val="none" w:sz="0" w:space="0" w:color="auto"/>
      </w:divBdr>
    </w:div>
    <w:div w:id="1686784013">
      <w:bodyDiv w:val="1"/>
      <w:marLeft w:val="0"/>
      <w:marRight w:val="0"/>
      <w:marTop w:val="0"/>
      <w:marBottom w:val="0"/>
      <w:divBdr>
        <w:top w:val="none" w:sz="0" w:space="0" w:color="auto"/>
        <w:left w:val="none" w:sz="0" w:space="0" w:color="auto"/>
        <w:bottom w:val="none" w:sz="0" w:space="0" w:color="auto"/>
        <w:right w:val="none" w:sz="0" w:space="0" w:color="auto"/>
      </w:divBdr>
    </w:div>
    <w:div w:id="1687437731">
      <w:bodyDiv w:val="1"/>
      <w:marLeft w:val="0"/>
      <w:marRight w:val="0"/>
      <w:marTop w:val="0"/>
      <w:marBottom w:val="0"/>
      <w:divBdr>
        <w:top w:val="none" w:sz="0" w:space="0" w:color="auto"/>
        <w:left w:val="none" w:sz="0" w:space="0" w:color="auto"/>
        <w:bottom w:val="none" w:sz="0" w:space="0" w:color="auto"/>
        <w:right w:val="none" w:sz="0" w:space="0" w:color="auto"/>
      </w:divBdr>
    </w:div>
    <w:div w:id="1698967511">
      <w:bodyDiv w:val="1"/>
      <w:marLeft w:val="0"/>
      <w:marRight w:val="0"/>
      <w:marTop w:val="0"/>
      <w:marBottom w:val="0"/>
      <w:divBdr>
        <w:top w:val="none" w:sz="0" w:space="0" w:color="auto"/>
        <w:left w:val="none" w:sz="0" w:space="0" w:color="auto"/>
        <w:bottom w:val="none" w:sz="0" w:space="0" w:color="auto"/>
        <w:right w:val="none" w:sz="0" w:space="0" w:color="auto"/>
      </w:divBdr>
    </w:div>
    <w:div w:id="1706639671">
      <w:bodyDiv w:val="1"/>
      <w:marLeft w:val="0"/>
      <w:marRight w:val="0"/>
      <w:marTop w:val="0"/>
      <w:marBottom w:val="0"/>
      <w:divBdr>
        <w:top w:val="none" w:sz="0" w:space="0" w:color="auto"/>
        <w:left w:val="none" w:sz="0" w:space="0" w:color="auto"/>
        <w:bottom w:val="none" w:sz="0" w:space="0" w:color="auto"/>
        <w:right w:val="none" w:sz="0" w:space="0" w:color="auto"/>
      </w:divBdr>
    </w:div>
    <w:div w:id="1709452222">
      <w:bodyDiv w:val="1"/>
      <w:marLeft w:val="0"/>
      <w:marRight w:val="0"/>
      <w:marTop w:val="0"/>
      <w:marBottom w:val="0"/>
      <w:divBdr>
        <w:top w:val="none" w:sz="0" w:space="0" w:color="auto"/>
        <w:left w:val="none" w:sz="0" w:space="0" w:color="auto"/>
        <w:bottom w:val="none" w:sz="0" w:space="0" w:color="auto"/>
        <w:right w:val="none" w:sz="0" w:space="0" w:color="auto"/>
      </w:divBdr>
    </w:div>
    <w:div w:id="1710228707">
      <w:bodyDiv w:val="1"/>
      <w:marLeft w:val="0"/>
      <w:marRight w:val="0"/>
      <w:marTop w:val="0"/>
      <w:marBottom w:val="0"/>
      <w:divBdr>
        <w:top w:val="none" w:sz="0" w:space="0" w:color="auto"/>
        <w:left w:val="none" w:sz="0" w:space="0" w:color="auto"/>
        <w:bottom w:val="none" w:sz="0" w:space="0" w:color="auto"/>
        <w:right w:val="none" w:sz="0" w:space="0" w:color="auto"/>
      </w:divBdr>
    </w:div>
    <w:div w:id="1713070388">
      <w:bodyDiv w:val="1"/>
      <w:marLeft w:val="0"/>
      <w:marRight w:val="0"/>
      <w:marTop w:val="0"/>
      <w:marBottom w:val="0"/>
      <w:divBdr>
        <w:top w:val="none" w:sz="0" w:space="0" w:color="auto"/>
        <w:left w:val="none" w:sz="0" w:space="0" w:color="auto"/>
        <w:bottom w:val="none" w:sz="0" w:space="0" w:color="auto"/>
        <w:right w:val="none" w:sz="0" w:space="0" w:color="auto"/>
      </w:divBdr>
    </w:div>
    <w:div w:id="1732387550">
      <w:bodyDiv w:val="1"/>
      <w:marLeft w:val="0"/>
      <w:marRight w:val="0"/>
      <w:marTop w:val="0"/>
      <w:marBottom w:val="0"/>
      <w:divBdr>
        <w:top w:val="none" w:sz="0" w:space="0" w:color="auto"/>
        <w:left w:val="none" w:sz="0" w:space="0" w:color="auto"/>
        <w:bottom w:val="none" w:sz="0" w:space="0" w:color="auto"/>
        <w:right w:val="none" w:sz="0" w:space="0" w:color="auto"/>
      </w:divBdr>
    </w:div>
    <w:div w:id="1737818283">
      <w:bodyDiv w:val="1"/>
      <w:marLeft w:val="0"/>
      <w:marRight w:val="0"/>
      <w:marTop w:val="0"/>
      <w:marBottom w:val="0"/>
      <w:divBdr>
        <w:top w:val="none" w:sz="0" w:space="0" w:color="auto"/>
        <w:left w:val="none" w:sz="0" w:space="0" w:color="auto"/>
        <w:bottom w:val="none" w:sz="0" w:space="0" w:color="auto"/>
        <w:right w:val="none" w:sz="0" w:space="0" w:color="auto"/>
      </w:divBdr>
    </w:div>
    <w:div w:id="1739356621">
      <w:bodyDiv w:val="1"/>
      <w:marLeft w:val="0"/>
      <w:marRight w:val="0"/>
      <w:marTop w:val="0"/>
      <w:marBottom w:val="0"/>
      <w:divBdr>
        <w:top w:val="none" w:sz="0" w:space="0" w:color="auto"/>
        <w:left w:val="none" w:sz="0" w:space="0" w:color="auto"/>
        <w:bottom w:val="none" w:sz="0" w:space="0" w:color="auto"/>
        <w:right w:val="none" w:sz="0" w:space="0" w:color="auto"/>
      </w:divBdr>
    </w:div>
    <w:div w:id="1743018946">
      <w:bodyDiv w:val="1"/>
      <w:marLeft w:val="0"/>
      <w:marRight w:val="0"/>
      <w:marTop w:val="0"/>
      <w:marBottom w:val="0"/>
      <w:divBdr>
        <w:top w:val="none" w:sz="0" w:space="0" w:color="auto"/>
        <w:left w:val="none" w:sz="0" w:space="0" w:color="auto"/>
        <w:bottom w:val="none" w:sz="0" w:space="0" w:color="auto"/>
        <w:right w:val="none" w:sz="0" w:space="0" w:color="auto"/>
      </w:divBdr>
    </w:div>
    <w:div w:id="1743677344">
      <w:bodyDiv w:val="1"/>
      <w:marLeft w:val="0"/>
      <w:marRight w:val="0"/>
      <w:marTop w:val="0"/>
      <w:marBottom w:val="0"/>
      <w:divBdr>
        <w:top w:val="none" w:sz="0" w:space="0" w:color="auto"/>
        <w:left w:val="none" w:sz="0" w:space="0" w:color="auto"/>
        <w:bottom w:val="none" w:sz="0" w:space="0" w:color="auto"/>
        <w:right w:val="none" w:sz="0" w:space="0" w:color="auto"/>
      </w:divBdr>
    </w:div>
    <w:div w:id="1751778082">
      <w:bodyDiv w:val="1"/>
      <w:marLeft w:val="0"/>
      <w:marRight w:val="0"/>
      <w:marTop w:val="0"/>
      <w:marBottom w:val="0"/>
      <w:divBdr>
        <w:top w:val="none" w:sz="0" w:space="0" w:color="auto"/>
        <w:left w:val="none" w:sz="0" w:space="0" w:color="auto"/>
        <w:bottom w:val="none" w:sz="0" w:space="0" w:color="auto"/>
        <w:right w:val="none" w:sz="0" w:space="0" w:color="auto"/>
      </w:divBdr>
    </w:div>
    <w:div w:id="1755321279">
      <w:bodyDiv w:val="1"/>
      <w:marLeft w:val="0"/>
      <w:marRight w:val="0"/>
      <w:marTop w:val="0"/>
      <w:marBottom w:val="0"/>
      <w:divBdr>
        <w:top w:val="none" w:sz="0" w:space="0" w:color="auto"/>
        <w:left w:val="none" w:sz="0" w:space="0" w:color="auto"/>
        <w:bottom w:val="none" w:sz="0" w:space="0" w:color="auto"/>
        <w:right w:val="none" w:sz="0" w:space="0" w:color="auto"/>
      </w:divBdr>
    </w:div>
    <w:div w:id="1758594798">
      <w:bodyDiv w:val="1"/>
      <w:marLeft w:val="0"/>
      <w:marRight w:val="0"/>
      <w:marTop w:val="0"/>
      <w:marBottom w:val="0"/>
      <w:divBdr>
        <w:top w:val="none" w:sz="0" w:space="0" w:color="auto"/>
        <w:left w:val="none" w:sz="0" w:space="0" w:color="auto"/>
        <w:bottom w:val="none" w:sz="0" w:space="0" w:color="auto"/>
        <w:right w:val="none" w:sz="0" w:space="0" w:color="auto"/>
      </w:divBdr>
    </w:div>
    <w:div w:id="1763794180">
      <w:bodyDiv w:val="1"/>
      <w:marLeft w:val="0"/>
      <w:marRight w:val="0"/>
      <w:marTop w:val="0"/>
      <w:marBottom w:val="0"/>
      <w:divBdr>
        <w:top w:val="none" w:sz="0" w:space="0" w:color="auto"/>
        <w:left w:val="none" w:sz="0" w:space="0" w:color="auto"/>
        <w:bottom w:val="none" w:sz="0" w:space="0" w:color="auto"/>
        <w:right w:val="none" w:sz="0" w:space="0" w:color="auto"/>
      </w:divBdr>
    </w:div>
    <w:div w:id="1766883071">
      <w:bodyDiv w:val="1"/>
      <w:marLeft w:val="0"/>
      <w:marRight w:val="0"/>
      <w:marTop w:val="0"/>
      <w:marBottom w:val="0"/>
      <w:divBdr>
        <w:top w:val="none" w:sz="0" w:space="0" w:color="auto"/>
        <w:left w:val="none" w:sz="0" w:space="0" w:color="auto"/>
        <w:bottom w:val="none" w:sz="0" w:space="0" w:color="auto"/>
        <w:right w:val="none" w:sz="0" w:space="0" w:color="auto"/>
      </w:divBdr>
    </w:div>
    <w:div w:id="1768040382">
      <w:bodyDiv w:val="1"/>
      <w:marLeft w:val="0"/>
      <w:marRight w:val="0"/>
      <w:marTop w:val="0"/>
      <w:marBottom w:val="0"/>
      <w:divBdr>
        <w:top w:val="none" w:sz="0" w:space="0" w:color="auto"/>
        <w:left w:val="none" w:sz="0" w:space="0" w:color="auto"/>
        <w:bottom w:val="none" w:sz="0" w:space="0" w:color="auto"/>
        <w:right w:val="none" w:sz="0" w:space="0" w:color="auto"/>
      </w:divBdr>
    </w:div>
    <w:div w:id="1768773558">
      <w:bodyDiv w:val="1"/>
      <w:marLeft w:val="0"/>
      <w:marRight w:val="0"/>
      <w:marTop w:val="0"/>
      <w:marBottom w:val="0"/>
      <w:divBdr>
        <w:top w:val="none" w:sz="0" w:space="0" w:color="auto"/>
        <w:left w:val="none" w:sz="0" w:space="0" w:color="auto"/>
        <w:bottom w:val="none" w:sz="0" w:space="0" w:color="auto"/>
        <w:right w:val="none" w:sz="0" w:space="0" w:color="auto"/>
      </w:divBdr>
    </w:div>
    <w:div w:id="1774395091">
      <w:bodyDiv w:val="1"/>
      <w:marLeft w:val="0"/>
      <w:marRight w:val="0"/>
      <w:marTop w:val="0"/>
      <w:marBottom w:val="0"/>
      <w:divBdr>
        <w:top w:val="none" w:sz="0" w:space="0" w:color="auto"/>
        <w:left w:val="none" w:sz="0" w:space="0" w:color="auto"/>
        <w:bottom w:val="none" w:sz="0" w:space="0" w:color="auto"/>
        <w:right w:val="none" w:sz="0" w:space="0" w:color="auto"/>
      </w:divBdr>
    </w:div>
    <w:div w:id="1774548121">
      <w:bodyDiv w:val="1"/>
      <w:marLeft w:val="0"/>
      <w:marRight w:val="0"/>
      <w:marTop w:val="0"/>
      <w:marBottom w:val="0"/>
      <w:divBdr>
        <w:top w:val="none" w:sz="0" w:space="0" w:color="auto"/>
        <w:left w:val="none" w:sz="0" w:space="0" w:color="auto"/>
        <w:bottom w:val="none" w:sz="0" w:space="0" w:color="auto"/>
        <w:right w:val="none" w:sz="0" w:space="0" w:color="auto"/>
      </w:divBdr>
    </w:div>
    <w:div w:id="1779837499">
      <w:bodyDiv w:val="1"/>
      <w:marLeft w:val="0"/>
      <w:marRight w:val="0"/>
      <w:marTop w:val="0"/>
      <w:marBottom w:val="0"/>
      <w:divBdr>
        <w:top w:val="none" w:sz="0" w:space="0" w:color="auto"/>
        <w:left w:val="none" w:sz="0" w:space="0" w:color="auto"/>
        <w:bottom w:val="none" w:sz="0" w:space="0" w:color="auto"/>
        <w:right w:val="none" w:sz="0" w:space="0" w:color="auto"/>
      </w:divBdr>
    </w:div>
    <w:div w:id="1782650821">
      <w:bodyDiv w:val="1"/>
      <w:marLeft w:val="0"/>
      <w:marRight w:val="0"/>
      <w:marTop w:val="0"/>
      <w:marBottom w:val="0"/>
      <w:divBdr>
        <w:top w:val="none" w:sz="0" w:space="0" w:color="auto"/>
        <w:left w:val="none" w:sz="0" w:space="0" w:color="auto"/>
        <w:bottom w:val="none" w:sz="0" w:space="0" w:color="auto"/>
        <w:right w:val="none" w:sz="0" w:space="0" w:color="auto"/>
      </w:divBdr>
    </w:div>
    <w:div w:id="1784224650">
      <w:bodyDiv w:val="1"/>
      <w:marLeft w:val="0"/>
      <w:marRight w:val="0"/>
      <w:marTop w:val="0"/>
      <w:marBottom w:val="0"/>
      <w:divBdr>
        <w:top w:val="none" w:sz="0" w:space="0" w:color="auto"/>
        <w:left w:val="none" w:sz="0" w:space="0" w:color="auto"/>
        <w:bottom w:val="none" w:sz="0" w:space="0" w:color="auto"/>
        <w:right w:val="none" w:sz="0" w:space="0" w:color="auto"/>
      </w:divBdr>
    </w:div>
    <w:div w:id="1788695904">
      <w:bodyDiv w:val="1"/>
      <w:marLeft w:val="0"/>
      <w:marRight w:val="0"/>
      <w:marTop w:val="0"/>
      <w:marBottom w:val="0"/>
      <w:divBdr>
        <w:top w:val="none" w:sz="0" w:space="0" w:color="auto"/>
        <w:left w:val="none" w:sz="0" w:space="0" w:color="auto"/>
        <w:bottom w:val="none" w:sz="0" w:space="0" w:color="auto"/>
        <w:right w:val="none" w:sz="0" w:space="0" w:color="auto"/>
      </w:divBdr>
    </w:div>
    <w:div w:id="1797020485">
      <w:bodyDiv w:val="1"/>
      <w:marLeft w:val="0"/>
      <w:marRight w:val="0"/>
      <w:marTop w:val="0"/>
      <w:marBottom w:val="0"/>
      <w:divBdr>
        <w:top w:val="none" w:sz="0" w:space="0" w:color="auto"/>
        <w:left w:val="none" w:sz="0" w:space="0" w:color="auto"/>
        <w:bottom w:val="none" w:sz="0" w:space="0" w:color="auto"/>
        <w:right w:val="none" w:sz="0" w:space="0" w:color="auto"/>
      </w:divBdr>
    </w:div>
    <w:div w:id="1801611160">
      <w:bodyDiv w:val="1"/>
      <w:marLeft w:val="0"/>
      <w:marRight w:val="0"/>
      <w:marTop w:val="0"/>
      <w:marBottom w:val="0"/>
      <w:divBdr>
        <w:top w:val="none" w:sz="0" w:space="0" w:color="auto"/>
        <w:left w:val="none" w:sz="0" w:space="0" w:color="auto"/>
        <w:bottom w:val="none" w:sz="0" w:space="0" w:color="auto"/>
        <w:right w:val="none" w:sz="0" w:space="0" w:color="auto"/>
      </w:divBdr>
    </w:div>
    <w:div w:id="1806000136">
      <w:bodyDiv w:val="1"/>
      <w:marLeft w:val="0"/>
      <w:marRight w:val="0"/>
      <w:marTop w:val="0"/>
      <w:marBottom w:val="0"/>
      <w:divBdr>
        <w:top w:val="none" w:sz="0" w:space="0" w:color="auto"/>
        <w:left w:val="none" w:sz="0" w:space="0" w:color="auto"/>
        <w:bottom w:val="none" w:sz="0" w:space="0" w:color="auto"/>
        <w:right w:val="none" w:sz="0" w:space="0" w:color="auto"/>
      </w:divBdr>
    </w:div>
    <w:div w:id="1816951499">
      <w:bodyDiv w:val="1"/>
      <w:marLeft w:val="0"/>
      <w:marRight w:val="0"/>
      <w:marTop w:val="0"/>
      <w:marBottom w:val="0"/>
      <w:divBdr>
        <w:top w:val="none" w:sz="0" w:space="0" w:color="auto"/>
        <w:left w:val="none" w:sz="0" w:space="0" w:color="auto"/>
        <w:bottom w:val="none" w:sz="0" w:space="0" w:color="auto"/>
        <w:right w:val="none" w:sz="0" w:space="0" w:color="auto"/>
      </w:divBdr>
    </w:div>
    <w:div w:id="1822845790">
      <w:bodyDiv w:val="1"/>
      <w:marLeft w:val="0"/>
      <w:marRight w:val="0"/>
      <w:marTop w:val="0"/>
      <w:marBottom w:val="0"/>
      <w:divBdr>
        <w:top w:val="none" w:sz="0" w:space="0" w:color="auto"/>
        <w:left w:val="none" w:sz="0" w:space="0" w:color="auto"/>
        <w:bottom w:val="none" w:sz="0" w:space="0" w:color="auto"/>
        <w:right w:val="none" w:sz="0" w:space="0" w:color="auto"/>
      </w:divBdr>
    </w:div>
    <w:div w:id="1823156556">
      <w:bodyDiv w:val="1"/>
      <w:marLeft w:val="0"/>
      <w:marRight w:val="0"/>
      <w:marTop w:val="0"/>
      <w:marBottom w:val="0"/>
      <w:divBdr>
        <w:top w:val="none" w:sz="0" w:space="0" w:color="auto"/>
        <w:left w:val="none" w:sz="0" w:space="0" w:color="auto"/>
        <w:bottom w:val="none" w:sz="0" w:space="0" w:color="auto"/>
        <w:right w:val="none" w:sz="0" w:space="0" w:color="auto"/>
      </w:divBdr>
    </w:div>
    <w:div w:id="1833595554">
      <w:bodyDiv w:val="1"/>
      <w:marLeft w:val="0"/>
      <w:marRight w:val="0"/>
      <w:marTop w:val="0"/>
      <w:marBottom w:val="0"/>
      <w:divBdr>
        <w:top w:val="none" w:sz="0" w:space="0" w:color="auto"/>
        <w:left w:val="none" w:sz="0" w:space="0" w:color="auto"/>
        <w:bottom w:val="none" w:sz="0" w:space="0" w:color="auto"/>
        <w:right w:val="none" w:sz="0" w:space="0" w:color="auto"/>
      </w:divBdr>
    </w:div>
    <w:div w:id="1839685188">
      <w:bodyDiv w:val="1"/>
      <w:marLeft w:val="0"/>
      <w:marRight w:val="0"/>
      <w:marTop w:val="0"/>
      <w:marBottom w:val="0"/>
      <w:divBdr>
        <w:top w:val="none" w:sz="0" w:space="0" w:color="auto"/>
        <w:left w:val="none" w:sz="0" w:space="0" w:color="auto"/>
        <w:bottom w:val="none" w:sz="0" w:space="0" w:color="auto"/>
        <w:right w:val="none" w:sz="0" w:space="0" w:color="auto"/>
      </w:divBdr>
    </w:div>
    <w:div w:id="1853495191">
      <w:bodyDiv w:val="1"/>
      <w:marLeft w:val="0"/>
      <w:marRight w:val="0"/>
      <w:marTop w:val="0"/>
      <w:marBottom w:val="0"/>
      <w:divBdr>
        <w:top w:val="none" w:sz="0" w:space="0" w:color="auto"/>
        <w:left w:val="none" w:sz="0" w:space="0" w:color="auto"/>
        <w:bottom w:val="none" w:sz="0" w:space="0" w:color="auto"/>
        <w:right w:val="none" w:sz="0" w:space="0" w:color="auto"/>
      </w:divBdr>
    </w:div>
    <w:div w:id="1858958825">
      <w:bodyDiv w:val="1"/>
      <w:marLeft w:val="0"/>
      <w:marRight w:val="0"/>
      <w:marTop w:val="0"/>
      <w:marBottom w:val="0"/>
      <w:divBdr>
        <w:top w:val="none" w:sz="0" w:space="0" w:color="auto"/>
        <w:left w:val="none" w:sz="0" w:space="0" w:color="auto"/>
        <w:bottom w:val="none" w:sz="0" w:space="0" w:color="auto"/>
        <w:right w:val="none" w:sz="0" w:space="0" w:color="auto"/>
      </w:divBdr>
    </w:div>
    <w:div w:id="1863321814">
      <w:bodyDiv w:val="1"/>
      <w:marLeft w:val="0"/>
      <w:marRight w:val="0"/>
      <w:marTop w:val="0"/>
      <w:marBottom w:val="0"/>
      <w:divBdr>
        <w:top w:val="none" w:sz="0" w:space="0" w:color="auto"/>
        <w:left w:val="none" w:sz="0" w:space="0" w:color="auto"/>
        <w:bottom w:val="none" w:sz="0" w:space="0" w:color="auto"/>
        <w:right w:val="none" w:sz="0" w:space="0" w:color="auto"/>
      </w:divBdr>
    </w:div>
    <w:div w:id="1866939731">
      <w:bodyDiv w:val="1"/>
      <w:marLeft w:val="0"/>
      <w:marRight w:val="0"/>
      <w:marTop w:val="0"/>
      <w:marBottom w:val="0"/>
      <w:divBdr>
        <w:top w:val="none" w:sz="0" w:space="0" w:color="auto"/>
        <w:left w:val="none" w:sz="0" w:space="0" w:color="auto"/>
        <w:bottom w:val="none" w:sz="0" w:space="0" w:color="auto"/>
        <w:right w:val="none" w:sz="0" w:space="0" w:color="auto"/>
      </w:divBdr>
    </w:div>
    <w:div w:id="1867909341">
      <w:bodyDiv w:val="1"/>
      <w:marLeft w:val="0"/>
      <w:marRight w:val="0"/>
      <w:marTop w:val="0"/>
      <w:marBottom w:val="0"/>
      <w:divBdr>
        <w:top w:val="none" w:sz="0" w:space="0" w:color="auto"/>
        <w:left w:val="none" w:sz="0" w:space="0" w:color="auto"/>
        <w:bottom w:val="none" w:sz="0" w:space="0" w:color="auto"/>
        <w:right w:val="none" w:sz="0" w:space="0" w:color="auto"/>
      </w:divBdr>
    </w:div>
    <w:div w:id="1868129879">
      <w:bodyDiv w:val="1"/>
      <w:marLeft w:val="0"/>
      <w:marRight w:val="0"/>
      <w:marTop w:val="0"/>
      <w:marBottom w:val="0"/>
      <w:divBdr>
        <w:top w:val="none" w:sz="0" w:space="0" w:color="auto"/>
        <w:left w:val="none" w:sz="0" w:space="0" w:color="auto"/>
        <w:bottom w:val="none" w:sz="0" w:space="0" w:color="auto"/>
        <w:right w:val="none" w:sz="0" w:space="0" w:color="auto"/>
      </w:divBdr>
    </w:div>
    <w:div w:id="1871718061">
      <w:bodyDiv w:val="1"/>
      <w:marLeft w:val="0"/>
      <w:marRight w:val="0"/>
      <w:marTop w:val="0"/>
      <w:marBottom w:val="0"/>
      <w:divBdr>
        <w:top w:val="none" w:sz="0" w:space="0" w:color="auto"/>
        <w:left w:val="none" w:sz="0" w:space="0" w:color="auto"/>
        <w:bottom w:val="none" w:sz="0" w:space="0" w:color="auto"/>
        <w:right w:val="none" w:sz="0" w:space="0" w:color="auto"/>
      </w:divBdr>
    </w:div>
    <w:div w:id="1871986394">
      <w:bodyDiv w:val="1"/>
      <w:marLeft w:val="0"/>
      <w:marRight w:val="0"/>
      <w:marTop w:val="0"/>
      <w:marBottom w:val="0"/>
      <w:divBdr>
        <w:top w:val="none" w:sz="0" w:space="0" w:color="auto"/>
        <w:left w:val="none" w:sz="0" w:space="0" w:color="auto"/>
        <w:bottom w:val="none" w:sz="0" w:space="0" w:color="auto"/>
        <w:right w:val="none" w:sz="0" w:space="0" w:color="auto"/>
      </w:divBdr>
    </w:div>
    <w:div w:id="1873031623">
      <w:bodyDiv w:val="1"/>
      <w:marLeft w:val="0"/>
      <w:marRight w:val="0"/>
      <w:marTop w:val="0"/>
      <w:marBottom w:val="0"/>
      <w:divBdr>
        <w:top w:val="none" w:sz="0" w:space="0" w:color="auto"/>
        <w:left w:val="none" w:sz="0" w:space="0" w:color="auto"/>
        <w:bottom w:val="none" w:sz="0" w:space="0" w:color="auto"/>
        <w:right w:val="none" w:sz="0" w:space="0" w:color="auto"/>
      </w:divBdr>
    </w:div>
    <w:div w:id="1879658113">
      <w:bodyDiv w:val="1"/>
      <w:marLeft w:val="0"/>
      <w:marRight w:val="0"/>
      <w:marTop w:val="0"/>
      <w:marBottom w:val="0"/>
      <w:divBdr>
        <w:top w:val="none" w:sz="0" w:space="0" w:color="auto"/>
        <w:left w:val="none" w:sz="0" w:space="0" w:color="auto"/>
        <w:bottom w:val="none" w:sz="0" w:space="0" w:color="auto"/>
        <w:right w:val="none" w:sz="0" w:space="0" w:color="auto"/>
      </w:divBdr>
    </w:div>
    <w:div w:id="1882277014">
      <w:bodyDiv w:val="1"/>
      <w:marLeft w:val="0"/>
      <w:marRight w:val="0"/>
      <w:marTop w:val="0"/>
      <w:marBottom w:val="0"/>
      <w:divBdr>
        <w:top w:val="none" w:sz="0" w:space="0" w:color="auto"/>
        <w:left w:val="none" w:sz="0" w:space="0" w:color="auto"/>
        <w:bottom w:val="none" w:sz="0" w:space="0" w:color="auto"/>
        <w:right w:val="none" w:sz="0" w:space="0" w:color="auto"/>
      </w:divBdr>
    </w:div>
    <w:div w:id="1892228917">
      <w:bodyDiv w:val="1"/>
      <w:marLeft w:val="0"/>
      <w:marRight w:val="0"/>
      <w:marTop w:val="0"/>
      <w:marBottom w:val="0"/>
      <w:divBdr>
        <w:top w:val="none" w:sz="0" w:space="0" w:color="auto"/>
        <w:left w:val="none" w:sz="0" w:space="0" w:color="auto"/>
        <w:bottom w:val="none" w:sz="0" w:space="0" w:color="auto"/>
        <w:right w:val="none" w:sz="0" w:space="0" w:color="auto"/>
      </w:divBdr>
    </w:div>
    <w:div w:id="1893422810">
      <w:bodyDiv w:val="1"/>
      <w:marLeft w:val="0"/>
      <w:marRight w:val="0"/>
      <w:marTop w:val="0"/>
      <w:marBottom w:val="0"/>
      <w:divBdr>
        <w:top w:val="none" w:sz="0" w:space="0" w:color="auto"/>
        <w:left w:val="none" w:sz="0" w:space="0" w:color="auto"/>
        <w:bottom w:val="none" w:sz="0" w:space="0" w:color="auto"/>
        <w:right w:val="none" w:sz="0" w:space="0" w:color="auto"/>
      </w:divBdr>
    </w:div>
    <w:div w:id="1905529740">
      <w:bodyDiv w:val="1"/>
      <w:marLeft w:val="0"/>
      <w:marRight w:val="0"/>
      <w:marTop w:val="0"/>
      <w:marBottom w:val="0"/>
      <w:divBdr>
        <w:top w:val="none" w:sz="0" w:space="0" w:color="auto"/>
        <w:left w:val="none" w:sz="0" w:space="0" w:color="auto"/>
        <w:bottom w:val="none" w:sz="0" w:space="0" w:color="auto"/>
        <w:right w:val="none" w:sz="0" w:space="0" w:color="auto"/>
      </w:divBdr>
    </w:div>
    <w:div w:id="1909724193">
      <w:bodyDiv w:val="1"/>
      <w:marLeft w:val="0"/>
      <w:marRight w:val="0"/>
      <w:marTop w:val="0"/>
      <w:marBottom w:val="0"/>
      <w:divBdr>
        <w:top w:val="none" w:sz="0" w:space="0" w:color="auto"/>
        <w:left w:val="none" w:sz="0" w:space="0" w:color="auto"/>
        <w:bottom w:val="none" w:sz="0" w:space="0" w:color="auto"/>
        <w:right w:val="none" w:sz="0" w:space="0" w:color="auto"/>
      </w:divBdr>
    </w:div>
    <w:div w:id="1913808579">
      <w:bodyDiv w:val="1"/>
      <w:marLeft w:val="0"/>
      <w:marRight w:val="0"/>
      <w:marTop w:val="0"/>
      <w:marBottom w:val="0"/>
      <w:divBdr>
        <w:top w:val="none" w:sz="0" w:space="0" w:color="auto"/>
        <w:left w:val="none" w:sz="0" w:space="0" w:color="auto"/>
        <w:bottom w:val="none" w:sz="0" w:space="0" w:color="auto"/>
        <w:right w:val="none" w:sz="0" w:space="0" w:color="auto"/>
      </w:divBdr>
    </w:div>
    <w:div w:id="1916164360">
      <w:bodyDiv w:val="1"/>
      <w:marLeft w:val="0"/>
      <w:marRight w:val="0"/>
      <w:marTop w:val="0"/>
      <w:marBottom w:val="0"/>
      <w:divBdr>
        <w:top w:val="none" w:sz="0" w:space="0" w:color="auto"/>
        <w:left w:val="none" w:sz="0" w:space="0" w:color="auto"/>
        <w:bottom w:val="none" w:sz="0" w:space="0" w:color="auto"/>
        <w:right w:val="none" w:sz="0" w:space="0" w:color="auto"/>
      </w:divBdr>
    </w:div>
    <w:div w:id="1928150090">
      <w:bodyDiv w:val="1"/>
      <w:marLeft w:val="0"/>
      <w:marRight w:val="0"/>
      <w:marTop w:val="0"/>
      <w:marBottom w:val="0"/>
      <w:divBdr>
        <w:top w:val="none" w:sz="0" w:space="0" w:color="auto"/>
        <w:left w:val="none" w:sz="0" w:space="0" w:color="auto"/>
        <w:bottom w:val="none" w:sz="0" w:space="0" w:color="auto"/>
        <w:right w:val="none" w:sz="0" w:space="0" w:color="auto"/>
      </w:divBdr>
    </w:div>
    <w:div w:id="1928878394">
      <w:bodyDiv w:val="1"/>
      <w:marLeft w:val="0"/>
      <w:marRight w:val="0"/>
      <w:marTop w:val="0"/>
      <w:marBottom w:val="0"/>
      <w:divBdr>
        <w:top w:val="none" w:sz="0" w:space="0" w:color="auto"/>
        <w:left w:val="none" w:sz="0" w:space="0" w:color="auto"/>
        <w:bottom w:val="none" w:sz="0" w:space="0" w:color="auto"/>
        <w:right w:val="none" w:sz="0" w:space="0" w:color="auto"/>
      </w:divBdr>
    </w:div>
    <w:div w:id="1932396333">
      <w:bodyDiv w:val="1"/>
      <w:marLeft w:val="0"/>
      <w:marRight w:val="0"/>
      <w:marTop w:val="0"/>
      <w:marBottom w:val="0"/>
      <w:divBdr>
        <w:top w:val="none" w:sz="0" w:space="0" w:color="auto"/>
        <w:left w:val="none" w:sz="0" w:space="0" w:color="auto"/>
        <w:bottom w:val="none" w:sz="0" w:space="0" w:color="auto"/>
        <w:right w:val="none" w:sz="0" w:space="0" w:color="auto"/>
      </w:divBdr>
    </w:div>
    <w:div w:id="1940747368">
      <w:bodyDiv w:val="1"/>
      <w:marLeft w:val="0"/>
      <w:marRight w:val="0"/>
      <w:marTop w:val="0"/>
      <w:marBottom w:val="0"/>
      <w:divBdr>
        <w:top w:val="none" w:sz="0" w:space="0" w:color="auto"/>
        <w:left w:val="none" w:sz="0" w:space="0" w:color="auto"/>
        <w:bottom w:val="none" w:sz="0" w:space="0" w:color="auto"/>
        <w:right w:val="none" w:sz="0" w:space="0" w:color="auto"/>
      </w:divBdr>
    </w:div>
    <w:div w:id="1940796568">
      <w:bodyDiv w:val="1"/>
      <w:marLeft w:val="0"/>
      <w:marRight w:val="0"/>
      <w:marTop w:val="0"/>
      <w:marBottom w:val="0"/>
      <w:divBdr>
        <w:top w:val="none" w:sz="0" w:space="0" w:color="auto"/>
        <w:left w:val="none" w:sz="0" w:space="0" w:color="auto"/>
        <w:bottom w:val="none" w:sz="0" w:space="0" w:color="auto"/>
        <w:right w:val="none" w:sz="0" w:space="0" w:color="auto"/>
      </w:divBdr>
    </w:div>
    <w:div w:id="1941795812">
      <w:bodyDiv w:val="1"/>
      <w:marLeft w:val="0"/>
      <w:marRight w:val="0"/>
      <w:marTop w:val="0"/>
      <w:marBottom w:val="0"/>
      <w:divBdr>
        <w:top w:val="none" w:sz="0" w:space="0" w:color="auto"/>
        <w:left w:val="none" w:sz="0" w:space="0" w:color="auto"/>
        <w:bottom w:val="none" w:sz="0" w:space="0" w:color="auto"/>
        <w:right w:val="none" w:sz="0" w:space="0" w:color="auto"/>
      </w:divBdr>
    </w:div>
    <w:div w:id="1948848758">
      <w:bodyDiv w:val="1"/>
      <w:marLeft w:val="0"/>
      <w:marRight w:val="0"/>
      <w:marTop w:val="0"/>
      <w:marBottom w:val="0"/>
      <w:divBdr>
        <w:top w:val="none" w:sz="0" w:space="0" w:color="auto"/>
        <w:left w:val="none" w:sz="0" w:space="0" w:color="auto"/>
        <w:bottom w:val="none" w:sz="0" w:space="0" w:color="auto"/>
        <w:right w:val="none" w:sz="0" w:space="0" w:color="auto"/>
      </w:divBdr>
    </w:div>
    <w:div w:id="1967463146">
      <w:bodyDiv w:val="1"/>
      <w:marLeft w:val="0"/>
      <w:marRight w:val="0"/>
      <w:marTop w:val="0"/>
      <w:marBottom w:val="0"/>
      <w:divBdr>
        <w:top w:val="none" w:sz="0" w:space="0" w:color="auto"/>
        <w:left w:val="none" w:sz="0" w:space="0" w:color="auto"/>
        <w:bottom w:val="none" w:sz="0" w:space="0" w:color="auto"/>
        <w:right w:val="none" w:sz="0" w:space="0" w:color="auto"/>
      </w:divBdr>
    </w:div>
    <w:div w:id="1974797251">
      <w:bodyDiv w:val="1"/>
      <w:marLeft w:val="0"/>
      <w:marRight w:val="0"/>
      <w:marTop w:val="0"/>
      <w:marBottom w:val="0"/>
      <w:divBdr>
        <w:top w:val="none" w:sz="0" w:space="0" w:color="auto"/>
        <w:left w:val="none" w:sz="0" w:space="0" w:color="auto"/>
        <w:bottom w:val="none" w:sz="0" w:space="0" w:color="auto"/>
        <w:right w:val="none" w:sz="0" w:space="0" w:color="auto"/>
      </w:divBdr>
    </w:div>
    <w:div w:id="1975140859">
      <w:bodyDiv w:val="1"/>
      <w:marLeft w:val="0"/>
      <w:marRight w:val="0"/>
      <w:marTop w:val="0"/>
      <w:marBottom w:val="0"/>
      <w:divBdr>
        <w:top w:val="none" w:sz="0" w:space="0" w:color="auto"/>
        <w:left w:val="none" w:sz="0" w:space="0" w:color="auto"/>
        <w:bottom w:val="none" w:sz="0" w:space="0" w:color="auto"/>
        <w:right w:val="none" w:sz="0" w:space="0" w:color="auto"/>
      </w:divBdr>
    </w:div>
    <w:div w:id="1984043883">
      <w:bodyDiv w:val="1"/>
      <w:marLeft w:val="0"/>
      <w:marRight w:val="0"/>
      <w:marTop w:val="0"/>
      <w:marBottom w:val="0"/>
      <w:divBdr>
        <w:top w:val="none" w:sz="0" w:space="0" w:color="auto"/>
        <w:left w:val="none" w:sz="0" w:space="0" w:color="auto"/>
        <w:bottom w:val="none" w:sz="0" w:space="0" w:color="auto"/>
        <w:right w:val="none" w:sz="0" w:space="0" w:color="auto"/>
      </w:divBdr>
    </w:div>
    <w:div w:id="1984655108">
      <w:bodyDiv w:val="1"/>
      <w:marLeft w:val="0"/>
      <w:marRight w:val="0"/>
      <w:marTop w:val="0"/>
      <w:marBottom w:val="0"/>
      <w:divBdr>
        <w:top w:val="none" w:sz="0" w:space="0" w:color="auto"/>
        <w:left w:val="none" w:sz="0" w:space="0" w:color="auto"/>
        <w:bottom w:val="none" w:sz="0" w:space="0" w:color="auto"/>
        <w:right w:val="none" w:sz="0" w:space="0" w:color="auto"/>
      </w:divBdr>
    </w:div>
    <w:div w:id="1990091791">
      <w:bodyDiv w:val="1"/>
      <w:marLeft w:val="0"/>
      <w:marRight w:val="0"/>
      <w:marTop w:val="0"/>
      <w:marBottom w:val="0"/>
      <w:divBdr>
        <w:top w:val="none" w:sz="0" w:space="0" w:color="auto"/>
        <w:left w:val="none" w:sz="0" w:space="0" w:color="auto"/>
        <w:bottom w:val="none" w:sz="0" w:space="0" w:color="auto"/>
        <w:right w:val="none" w:sz="0" w:space="0" w:color="auto"/>
      </w:divBdr>
    </w:div>
    <w:div w:id="1991473804">
      <w:bodyDiv w:val="1"/>
      <w:marLeft w:val="0"/>
      <w:marRight w:val="0"/>
      <w:marTop w:val="0"/>
      <w:marBottom w:val="0"/>
      <w:divBdr>
        <w:top w:val="none" w:sz="0" w:space="0" w:color="auto"/>
        <w:left w:val="none" w:sz="0" w:space="0" w:color="auto"/>
        <w:bottom w:val="none" w:sz="0" w:space="0" w:color="auto"/>
        <w:right w:val="none" w:sz="0" w:space="0" w:color="auto"/>
      </w:divBdr>
    </w:div>
    <w:div w:id="1994678576">
      <w:bodyDiv w:val="1"/>
      <w:marLeft w:val="0"/>
      <w:marRight w:val="0"/>
      <w:marTop w:val="0"/>
      <w:marBottom w:val="0"/>
      <w:divBdr>
        <w:top w:val="none" w:sz="0" w:space="0" w:color="auto"/>
        <w:left w:val="none" w:sz="0" w:space="0" w:color="auto"/>
        <w:bottom w:val="none" w:sz="0" w:space="0" w:color="auto"/>
        <w:right w:val="none" w:sz="0" w:space="0" w:color="auto"/>
      </w:divBdr>
    </w:div>
    <w:div w:id="2002150276">
      <w:bodyDiv w:val="1"/>
      <w:marLeft w:val="0"/>
      <w:marRight w:val="0"/>
      <w:marTop w:val="0"/>
      <w:marBottom w:val="0"/>
      <w:divBdr>
        <w:top w:val="none" w:sz="0" w:space="0" w:color="auto"/>
        <w:left w:val="none" w:sz="0" w:space="0" w:color="auto"/>
        <w:bottom w:val="none" w:sz="0" w:space="0" w:color="auto"/>
        <w:right w:val="none" w:sz="0" w:space="0" w:color="auto"/>
      </w:divBdr>
    </w:div>
    <w:div w:id="2014407758">
      <w:bodyDiv w:val="1"/>
      <w:marLeft w:val="0"/>
      <w:marRight w:val="0"/>
      <w:marTop w:val="0"/>
      <w:marBottom w:val="0"/>
      <w:divBdr>
        <w:top w:val="none" w:sz="0" w:space="0" w:color="auto"/>
        <w:left w:val="none" w:sz="0" w:space="0" w:color="auto"/>
        <w:bottom w:val="none" w:sz="0" w:space="0" w:color="auto"/>
        <w:right w:val="none" w:sz="0" w:space="0" w:color="auto"/>
      </w:divBdr>
    </w:div>
    <w:div w:id="2026396940">
      <w:bodyDiv w:val="1"/>
      <w:marLeft w:val="0"/>
      <w:marRight w:val="0"/>
      <w:marTop w:val="0"/>
      <w:marBottom w:val="0"/>
      <w:divBdr>
        <w:top w:val="none" w:sz="0" w:space="0" w:color="auto"/>
        <w:left w:val="none" w:sz="0" w:space="0" w:color="auto"/>
        <w:bottom w:val="none" w:sz="0" w:space="0" w:color="auto"/>
        <w:right w:val="none" w:sz="0" w:space="0" w:color="auto"/>
      </w:divBdr>
    </w:div>
    <w:div w:id="2033918793">
      <w:bodyDiv w:val="1"/>
      <w:marLeft w:val="0"/>
      <w:marRight w:val="0"/>
      <w:marTop w:val="0"/>
      <w:marBottom w:val="0"/>
      <w:divBdr>
        <w:top w:val="none" w:sz="0" w:space="0" w:color="auto"/>
        <w:left w:val="none" w:sz="0" w:space="0" w:color="auto"/>
        <w:bottom w:val="none" w:sz="0" w:space="0" w:color="auto"/>
        <w:right w:val="none" w:sz="0" w:space="0" w:color="auto"/>
      </w:divBdr>
    </w:div>
    <w:div w:id="2036732241">
      <w:bodyDiv w:val="1"/>
      <w:marLeft w:val="0"/>
      <w:marRight w:val="0"/>
      <w:marTop w:val="0"/>
      <w:marBottom w:val="0"/>
      <w:divBdr>
        <w:top w:val="none" w:sz="0" w:space="0" w:color="auto"/>
        <w:left w:val="none" w:sz="0" w:space="0" w:color="auto"/>
        <w:bottom w:val="none" w:sz="0" w:space="0" w:color="auto"/>
        <w:right w:val="none" w:sz="0" w:space="0" w:color="auto"/>
      </w:divBdr>
    </w:div>
    <w:div w:id="2046558344">
      <w:bodyDiv w:val="1"/>
      <w:marLeft w:val="0"/>
      <w:marRight w:val="0"/>
      <w:marTop w:val="0"/>
      <w:marBottom w:val="0"/>
      <w:divBdr>
        <w:top w:val="none" w:sz="0" w:space="0" w:color="auto"/>
        <w:left w:val="none" w:sz="0" w:space="0" w:color="auto"/>
        <w:bottom w:val="none" w:sz="0" w:space="0" w:color="auto"/>
        <w:right w:val="none" w:sz="0" w:space="0" w:color="auto"/>
      </w:divBdr>
    </w:div>
    <w:div w:id="2060005624">
      <w:bodyDiv w:val="1"/>
      <w:marLeft w:val="0"/>
      <w:marRight w:val="0"/>
      <w:marTop w:val="0"/>
      <w:marBottom w:val="0"/>
      <w:divBdr>
        <w:top w:val="none" w:sz="0" w:space="0" w:color="auto"/>
        <w:left w:val="none" w:sz="0" w:space="0" w:color="auto"/>
        <w:bottom w:val="none" w:sz="0" w:space="0" w:color="auto"/>
        <w:right w:val="none" w:sz="0" w:space="0" w:color="auto"/>
      </w:divBdr>
    </w:div>
    <w:div w:id="2060208628">
      <w:bodyDiv w:val="1"/>
      <w:marLeft w:val="0"/>
      <w:marRight w:val="0"/>
      <w:marTop w:val="0"/>
      <w:marBottom w:val="0"/>
      <w:divBdr>
        <w:top w:val="none" w:sz="0" w:space="0" w:color="auto"/>
        <w:left w:val="none" w:sz="0" w:space="0" w:color="auto"/>
        <w:bottom w:val="none" w:sz="0" w:space="0" w:color="auto"/>
        <w:right w:val="none" w:sz="0" w:space="0" w:color="auto"/>
      </w:divBdr>
    </w:div>
    <w:div w:id="2060854627">
      <w:bodyDiv w:val="1"/>
      <w:marLeft w:val="0"/>
      <w:marRight w:val="0"/>
      <w:marTop w:val="0"/>
      <w:marBottom w:val="0"/>
      <w:divBdr>
        <w:top w:val="none" w:sz="0" w:space="0" w:color="auto"/>
        <w:left w:val="none" w:sz="0" w:space="0" w:color="auto"/>
        <w:bottom w:val="none" w:sz="0" w:space="0" w:color="auto"/>
        <w:right w:val="none" w:sz="0" w:space="0" w:color="auto"/>
      </w:divBdr>
    </w:div>
    <w:div w:id="2068793920">
      <w:bodyDiv w:val="1"/>
      <w:marLeft w:val="0"/>
      <w:marRight w:val="0"/>
      <w:marTop w:val="0"/>
      <w:marBottom w:val="0"/>
      <w:divBdr>
        <w:top w:val="none" w:sz="0" w:space="0" w:color="auto"/>
        <w:left w:val="none" w:sz="0" w:space="0" w:color="auto"/>
        <w:bottom w:val="none" w:sz="0" w:space="0" w:color="auto"/>
        <w:right w:val="none" w:sz="0" w:space="0" w:color="auto"/>
      </w:divBdr>
    </w:div>
    <w:div w:id="2068987913">
      <w:bodyDiv w:val="1"/>
      <w:marLeft w:val="0"/>
      <w:marRight w:val="0"/>
      <w:marTop w:val="0"/>
      <w:marBottom w:val="0"/>
      <w:divBdr>
        <w:top w:val="none" w:sz="0" w:space="0" w:color="auto"/>
        <w:left w:val="none" w:sz="0" w:space="0" w:color="auto"/>
        <w:bottom w:val="none" w:sz="0" w:space="0" w:color="auto"/>
        <w:right w:val="none" w:sz="0" w:space="0" w:color="auto"/>
      </w:divBdr>
    </w:div>
    <w:div w:id="2083260460">
      <w:bodyDiv w:val="1"/>
      <w:marLeft w:val="0"/>
      <w:marRight w:val="0"/>
      <w:marTop w:val="0"/>
      <w:marBottom w:val="0"/>
      <w:divBdr>
        <w:top w:val="none" w:sz="0" w:space="0" w:color="auto"/>
        <w:left w:val="none" w:sz="0" w:space="0" w:color="auto"/>
        <w:bottom w:val="none" w:sz="0" w:space="0" w:color="auto"/>
        <w:right w:val="none" w:sz="0" w:space="0" w:color="auto"/>
      </w:divBdr>
    </w:div>
    <w:div w:id="2090611216">
      <w:bodyDiv w:val="1"/>
      <w:marLeft w:val="0"/>
      <w:marRight w:val="0"/>
      <w:marTop w:val="0"/>
      <w:marBottom w:val="0"/>
      <w:divBdr>
        <w:top w:val="none" w:sz="0" w:space="0" w:color="auto"/>
        <w:left w:val="none" w:sz="0" w:space="0" w:color="auto"/>
        <w:bottom w:val="none" w:sz="0" w:space="0" w:color="auto"/>
        <w:right w:val="none" w:sz="0" w:space="0" w:color="auto"/>
      </w:divBdr>
    </w:div>
    <w:div w:id="2092265623">
      <w:bodyDiv w:val="1"/>
      <w:marLeft w:val="0"/>
      <w:marRight w:val="0"/>
      <w:marTop w:val="0"/>
      <w:marBottom w:val="0"/>
      <w:divBdr>
        <w:top w:val="none" w:sz="0" w:space="0" w:color="auto"/>
        <w:left w:val="none" w:sz="0" w:space="0" w:color="auto"/>
        <w:bottom w:val="none" w:sz="0" w:space="0" w:color="auto"/>
        <w:right w:val="none" w:sz="0" w:space="0" w:color="auto"/>
      </w:divBdr>
    </w:div>
    <w:div w:id="2092578076">
      <w:bodyDiv w:val="1"/>
      <w:marLeft w:val="0"/>
      <w:marRight w:val="0"/>
      <w:marTop w:val="0"/>
      <w:marBottom w:val="0"/>
      <w:divBdr>
        <w:top w:val="none" w:sz="0" w:space="0" w:color="auto"/>
        <w:left w:val="none" w:sz="0" w:space="0" w:color="auto"/>
        <w:bottom w:val="none" w:sz="0" w:space="0" w:color="auto"/>
        <w:right w:val="none" w:sz="0" w:space="0" w:color="auto"/>
      </w:divBdr>
    </w:div>
    <w:div w:id="2098090002">
      <w:bodyDiv w:val="1"/>
      <w:marLeft w:val="0"/>
      <w:marRight w:val="0"/>
      <w:marTop w:val="0"/>
      <w:marBottom w:val="0"/>
      <w:divBdr>
        <w:top w:val="none" w:sz="0" w:space="0" w:color="auto"/>
        <w:left w:val="none" w:sz="0" w:space="0" w:color="auto"/>
        <w:bottom w:val="none" w:sz="0" w:space="0" w:color="auto"/>
        <w:right w:val="none" w:sz="0" w:space="0" w:color="auto"/>
      </w:divBdr>
    </w:div>
    <w:div w:id="2098550354">
      <w:bodyDiv w:val="1"/>
      <w:marLeft w:val="0"/>
      <w:marRight w:val="0"/>
      <w:marTop w:val="0"/>
      <w:marBottom w:val="0"/>
      <w:divBdr>
        <w:top w:val="none" w:sz="0" w:space="0" w:color="auto"/>
        <w:left w:val="none" w:sz="0" w:space="0" w:color="auto"/>
        <w:bottom w:val="none" w:sz="0" w:space="0" w:color="auto"/>
        <w:right w:val="none" w:sz="0" w:space="0" w:color="auto"/>
      </w:divBdr>
    </w:div>
    <w:div w:id="2102293382">
      <w:bodyDiv w:val="1"/>
      <w:marLeft w:val="0"/>
      <w:marRight w:val="0"/>
      <w:marTop w:val="0"/>
      <w:marBottom w:val="0"/>
      <w:divBdr>
        <w:top w:val="none" w:sz="0" w:space="0" w:color="auto"/>
        <w:left w:val="none" w:sz="0" w:space="0" w:color="auto"/>
        <w:bottom w:val="none" w:sz="0" w:space="0" w:color="auto"/>
        <w:right w:val="none" w:sz="0" w:space="0" w:color="auto"/>
      </w:divBdr>
    </w:div>
    <w:div w:id="2104378635">
      <w:bodyDiv w:val="1"/>
      <w:marLeft w:val="0"/>
      <w:marRight w:val="0"/>
      <w:marTop w:val="0"/>
      <w:marBottom w:val="0"/>
      <w:divBdr>
        <w:top w:val="none" w:sz="0" w:space="0" w:color="auto"/>
        <w:left w:val="none" w:sz="0" w:space="0" w:color="auto"/>
        <w:bottom w:val="none" w:sz="0" w:space="0" w:color="auto"/>
        <w:right w:val="none" w:sz="0" w:space="0" w:color="auto"/>
      </w:divBdr>
    </w:div>
    <w:div w:id="2109230803">
      <w:bodyDiv w:val="1"/>
      <w:marLeft w:val="0"/>
      <w:marRight w:val="0"/>
      <w:marTop w:val="0"/>
      <w:marBottom w:val="0"/>
      <w:divBdr>
        <w:top w:val="none" w:sz="0" w:space="0" w:color="auto"/>
        <w:left w:val="none" w:sz="0" w:space="0" w:color="auto"/>
        <w:bottom w:val="none" w:sz="0" w:space="0" w:color="auto"/>
        <w:right w:val="none" w:sz="0" w:space="0" w:color="auto"/>
      </w:divBdr>
    </w:div>
    <w:div w:id="2112240547">
      <w:bodyDiv w:val="1"/>
      <w:marLeft w:val="0"/>
      <w:marRight w:val="0"/>
      <w:marTop w:val="0"/>
      <w:marBottom w:val="0"/>
      <w:divBdr>
        <w:top w:val="none" w:sz="0" w:space="0" w:color="auto"/>
        <w:left w:val="none" w:sz="0" w:space="0" w:color="auto"/>
        <w:bottom w:val="none" w:sz="0" w:space="0" w:color="auto"/>
        <w:right w:val="none" w:sz="0" w:space="0" w:color="auto"/>
      </w:divBdr>
    </w:div>
    <w:div w:id="2116710370">
      <w:bodyDiv w:val="1"/>
      <w:marLeft w:val="0"/>
      <w:marRight w:val="0"/>
      <w:marTop w:val="0"/>
      <w:marBottom w:val="0"/>
      <w:divBdr>
        <w:top w:val="none" w:sz="0" w:space="0" w:color="auto"/>
        <w:left w:val="none" w:sz="0" w:space="0" w:color="auto"/>
        <w:bottom w:val="none" w:sz="0" w:space="0" w:color="auto"/>
        <w:right w:val="none" w:sz="0" w:space="0" w:color="auto"/>
      </w:divBdr>
    </w:div>
    <w:div w:id="2116972627">
      <w:bodyDiv w:val="1"/>
      <w:marLeft w:val="0"/>
      <w:marRight w:val="0"/>
      <w:marTop w:val="0"/>
      <w:marBottom w:val="0"/>
      <w:divBdr>
        <w:top w:val="none" w:sz="0" w:space="0" w:color="auto"/>
        <w:left w:val="none" w:sz="0" w:space="0" w:color="auto"/>
        <w:bottom w:val="none" w:sz="0" w:space="0" w:color="auto"/>
        <w:right w:val="none" w:sz="0" w:space="0" w:color="auto"/>
      </w:divBdr>
    </w:div>
    <w:div w:id="2125339222">
      <w:bodyDiv w:val="1"/>
      <w:marLeft w:val="0"/>
      <w:marRight w:val="0"/>
      <w:marTop w:val="0"/>
      <w:marBottom w:val="0"/>
      <w:divBdr>
        <w:top w:val="none" w:sz="0" w:space="0" w:color="auto"/>
        <w:left w:val="none" w:sz="0" w:space="0" w:color="auto"/>
        <w:bottom w:val="none" w:sz="0" w:space="0" w:color="auto"/>
        <w:right w:val="none" w:sz="0" w:space="0" w:color="auto"/>
      </w:divBdr>
    </w:div>
    <w:div w:id="2127650097">
      <w:bodyDiv w:val="1"/>
      <w:marLeft w:val="0"/>
      <w:marRight w:val="0"/>
      <w:marTop w:val="0"/>
      <w:marBottom w:val="0"/>
      <w:divBdr>
        <w:top w:val="none" w:sz="0" w:space="0" w:color="auto"/>
        <w:left w:val="none" w:sz="0" w:space="0" w:color="auto"/>
        <w:bottom w:val="none" w:sz="0" w:space="0" w:color="auto"/>
        <w:right w:val="none" w:sz="0" w:space="0" w:color="auto"/>
      </w:divBdr>
    </w:div>
    <w:div w:id="2129470913">
      <w:bodyDiv w:val="1"/>
      <w:marLeft w:val="0"/>
      <w:marRight w:val="0"/>
      <w:marTop w:val="0"/>
      <w:marBottom w:val="0"/>
      <w:divBdr>
        <w:top w:val="none" w:sz="0" w:space="0" w:color="auto"/>
        <w:left w:val="none" w:sz="0" w:space="0" w:color="auto"/>
        <w:bottom w:val="none" w:sz="0" w:space="0" w:color="auto"/>
        <w:right w:val="none" w:sz="0" w:space="0" w:color="auto"/>
      </w:divBdr>
    </w:div>
    <w:div w:id="2129473121">
      <w:bodyDiv w:val="1"/>
      <w:marLeft w:val="0"/>
      <w:marRight w:val="0"/>
      <w:marTop w:val="0"/>
      <w:marBottom w:val="0"/>
      <w:divBdr>
        <w:top w:val="none" w:sz="0" w:space="0" w:color="auto"/>
        <w:left w:val="none" w:sz="0" w:space="0" w:color="auto"/>
        <w:bottom w:val="none" w:sz="0" w:space="0" w:color="auto"/>
        <w:right w:val="none" w:sz="0" w:space="0" w:color="auto"/>
      </w:divBdr>
    </w:div>
    <w:div w:id="214646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strukturnifondovi.hr"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chart" Target="charts/chart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chart" Target="charts/chart1.xml"/><Relationship Id="rId25"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chart" Target="charts/chart3.xml"/><Relationship Id="rId29" Type="http://schemas.openxmlformats.org/officeDocument/2006/relationships/hyperlink" Target="https://esf.hr/esfplu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emf"/><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hyperlink" Target="https://narodne-novine.nn.hr/clanci/sluzbeni/2019_09_91_1810.html" TargetMode="External"/><Relationship Id="rId28" Type="http://schemas.openxmlformats.org/officeDocument/2006/relationships/hyperlink" Target="http://www.strukturnifondovi.hr" TargetMode="External"/><Relationship Id="rId10" Type="http://schemas.openxmlformats.org/officeDocument/2006/relationships/footnotes" Target="footnotes.xml"/><Relationship Id="rId19" Type="http://schemas.openxmlformats.org/officeDocument/2006/relationships/chart" Target="charts/chart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strukturnifondovi.hr" TargetMode="External"/><Relationship Id="rId27" Type="http://schemas.openxmlformats.org/officeDocument/2006/relationships/footer" Target="footer5.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Sheet1!$C$1</c:f>
              <c:strCache>
                <c:ptCount val="1"/>
                <c:pt idx="0">
                  <c:v>Column2</c:v>
                </c:pt>
              </c:strCache>
            </c:strRef>
          </c:tx>
          <c:spPr>
            <a:solidFill>
              <a:schemeClr val="bg1">
                <a:lumMod val="50000"/>
              </a:schemeClr>
            </a:solidFill>
            <a:ln>
              <a:noFill/>
            </a:ln>
            <a:effectLst/>
          </c:spPr>
          <c:invertIfNegative val="0"/>
          <c:dLbls>
            <c:dLbl>
              <c:idx val="19"/>
              <c:layout/>
              <c:dLblPos val="outEnd"/>
              <c:showLegendKey val="0"/>
              <c:showVal val="1"/>
              <c:showCatName val="0"/>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0-5B6C-4D8E-8A13-86BDABDAB755}"/>
                </c:ext>
              </c:extLst>
            </c:dLbl>
            <c:numFmt formatCode="0.00\ %"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Sheet1!$A$2:$A$22</c:f>
              <c:strCache>
                <c:ptCount val="21"/>
                <c:pt idx="0">
                  <c:v>Ličko-senjska</c:v>
                </c:pt>
                <c:pt idx="1">
                  <c:v>Bjelovarsko-bilogorska</c:v>
                </c:pt>
                <c:pt idx="2">
                  <c:v>Brodsko-posavska</c:v>
                </c:pt>
                <c:pt idx="3">
                  <c:v>Krapinsko-zagorska</c:v>
                </c:pt>
                <c:pt idx="4">
                  <c:v>Požeško-slavonska</c:v>
                </c:pt>
                <c:pt idx="5">
                  <c:v>Međimurska</c:v>
                </c:pt>
                <c:pt idx="6">
                  <c:v>Virovitičko-podravska</c:v>
                </c:pt>
                <c:pt idx="7">
                  <c:v>Karlovačka</c:v>
                </c:pt>
                <c:pt idx="8">
                  <c:v>Sisačko-moslavačka</c:v>
                </c:pt>
                <c:pt idx="9">
                  <c:v>Koprivničko-križevačka</c:v>
                </c:pt>
                <c:pt idx="10">
                  <c:v>Šibensko-kninska</c:v>
                </c:pt>
                <c:pt idx="11">
                  <c:v>Varaždinska</c:v>
                </c:pt>
                <c:pt idx="12">
                  <c:v>Istarska</c:v>
                </c:pt>
                <c:pt idx="13">
                  <c:v>Vukovarsko-srijemska</c:v>
                </c:pt>
                <c:pt idx="14">
                  <c:v>Zadarska</c:v>
                </c:pt>
                <c:pt idx="15">
                  <c:v>Zagrebačka</c:v>
                </c:pt>
                <c:pt idx="16">
                  <c:v>Osječko-baranjska</c:v>
                </c:pt>
                <c:pt idx="17">
                  <c:v>Primorsko-goranska</c:v>
                </c:pt>
                <c:pt idx="18">
                  <c:v>Splitsko-dalmatinska</c:v>
                </c:pt>
                <c:pt idx="19">
                  <c:v>Dubrovačko-neretvanska</c:v>
                </c:pt>
                <c:pt idx="20">
                  <c:v>Grad Zagreb</c:v>
                </c:pt>
              </c:strCache>
            </c:strRef>
          </c:cat>
          <c:val>
            <c:numRef>
              <c:f>Sheet1!$C$2:$C$22</c:f>
              <c:numCache>
                <c:formatCode>0.00%</c:formatCode>
                <c:ptCount val="21"/>
                <c:pt idx="0">
                  <c:v>9.6061864261987855E-3</c:v>
                </c:pt>
                <c:pt idx="1">
                  <c:v>1.0081895658186154E-2</c:v>
                </c:pt>
                <c:pt idx="2">
                  <c:v>1.1772290015322739E-2</c:v>
                </c:pt>
                <c:pt idx="3">
                  <c:v>1.4081254262701428E-2</c:v>
                </c:pt>
                <c:pt idx="4">
                  <c:v>1.5918355000986005E-2</c:v>
                </c:pt>
                <c:pt idx="5">
                  <c:v>1.6474493621764636E-2</c:v>
                </c:pt>
                <c:pt idx="6">
                  <c:v>1.6628308426710866E-2</c:v>
                </c:pt>
                <c:pt idx="7">
                  <c:v>1.7269564375782098E-2</c:v>
                </c:pt>
                <c:pt idx="8">
                  <c:v>2.1408648414246369E-2</c:v>
                </c:pt>
                <c:pt idx="9">
                  <c:v>2.2834934408881041E-2</c:v>
                </c:pt>
                <c:pt idx="10">
                  <c:v>2.4233857184523335E-2</c:v>
                </c:pt>
                <c:pt idx="11">
                  <c:v>2.4743671845318883E-2</c:v>
                </c:pt>
                <c:pt idx="12">
                  <c:v>2.5706109029616432E-2</c:v>
                </c:pt>
                <c:pt idx="13">
                  <c:v>3.0230602315365132E-2</c:v>
                </c:pt>
                <c:pt idx="14">
                  <c:v>3.6641036205934042E-2</c:v>
                </c:pt>
                <c:pt idx="15">
                  <c:v>3.7678478097375102E-2</c:v>
                </c:pt>
                <c:pt idx="16">
                  <c:v>5.4471311431702793E-2</c:v>
                </c:pt>
                <c:pt idx="17">
                  <c:v>7.9380453341487425E-2</c:v>
                </c:pt>
                <c:pt idx="18">
                  <c:v>8.2644536518190023E-2</c:v>
                </c:pt>
                <c:pt idx="19">
                  <c:v>9.0758738531130978E-2</c:v>
                </c:pt>
                <c:pt idx="20">
                  <c:v>0.35743527488857557</c:v>
                </c:pt>
              </c:numCache>
            </c:numRef>
          </c:val>
          <c:extLst>
            <c:ext xmlns:c16="http://schemas.microsoft.com/office/drawing/2014/chart" uri="{C3380CC4-5D6E-409C-BE32-E72D297353CC}">
              <c16:uniqueId val="{00000001-5B6C-4D8E-8A13-86BDABDAB755}"/>
            </c:ext>
          </c:extLst>
        </c:ser>
        <c:dLbls>
          <c:showLegendKey val="0"/>
          <c:showVal val="0"/>
          <c:showCatName val="0"/>
          <c:showSerName val="0"/>
          <c:showPercent val="0"/>
          <c:showBubbleSize val="0"/>
        </c:dLbls>
        <c:gapWidth val="60"/>
        <c:axId val="77799424"/>
        <c:axId val="77800960"/>
      </c:barChart>
      <c:catAx>
        <c:axId val="777994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sr-Latn-RS"/>
          </a:p>
        </c:txPr>
        <c:crossAx val="77800960"/>
        <c:crosses val="autoZero"/>
        <c:auto val="1"/>
        <c:lblAlgn val="ctr"/>
        <c:lblOffset val="100"/>
        <c:noMultiLvlLbl val="0"/>
      </c:catAx>
      <c:valAx>
        <c:axId val="77800960"/>
        <c:scaling>
          <c:orientation val="minMax"/>
        </c:scaling>
        <c:delete val="0"/>
        <c:axPos val="b"/>
        <c:majorGridlines>
          <c:spPr>
            <a:ln w="9525" cap="flat" cmpd="sng" algn="ctr">
              <a:solidFill>
                <a:schemeClr val="tx1">
                  <a:lumMod val="15000"/>
                  <a:lumOff val="85000"/>
                </a:schemeClr>
              </a:solidFill>
              <a:round/>
            </a:ln>
            <a:effectLst/>
          </c:spPr>
        </c:majorGridlines>
        <c:numFmt formatCode="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777994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Sheet1!$C$1</c:f>
              <c:strCache>
                <c:ptCount val="1"/>
                <c:pt idx="0">
                  <c:v>Series 2</c:v>
                </c:pt>
              </c:strCache>
            </c:strRef>
          </c:tx>
          <c:spPr>
            <a:solidFill>
              <a:schemeClr val="bg1">
                <a:lumMod val="50000"/>
              </a:schemeClr>
            </a:solidFill>
            <a:ln>
              <a:noFill/>
            </a:ln>
            <a:effectLst/>
          </c:spPr>
          <c:invertIfNegative val="0"/>
          <c:dLbls>
            <c:numFmt formatCode="0.00\ %"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Sheet1!$A$2:$A$22</c:f>
              <c:strCache>
                <c:ptCount val="21"/>
                <c:pt idx="0">
                  <c:v>Ličko-senjska</c:v>
                </c:pt>
                <c:pt idx="1">
                  <c:v>Virovitičko-podravska</c:v>
                </c:pt>
                <c:pt idx="2">
                  <c:v>Međimurska</c:v>
                </c:pt>
                <c:pt idx="3">
                  <c:v>Koprivničko-križevačka</c:v>
                </c:pt>
                <c:pt idx="4">
                  <c:v>Istarska</c:v>
                </c:pt>
                <c:pt idx="5">
                  <c:v>Krapinsko-zagorska</c:v>
                </c:pt>
                <c:pt idx="6">
                  <c:v>Požeško-slavonska</c:v>
                </c:pt>
                <c:pt idx="7">
                  <c:v>Dubrovačko-neretvanska</c:v>
                </c:pt>
                <c:pt idx="8">
                  <c:v>Varaždinska</c:v>
                </c:pt>
                <c:pt idx="9">
                  <c:v>Karlovačka</c:v>
                </c:pt>
                <c:pt idx="10">
                  <c:v>Bjelovarsko-bilogorska</c:v>
                </c:pt>
                <c:pt idx="11">
                  <c:v>Zadarska</c:v>
                </c:pt>
                <c:pt idx="12">
                  <c:v>Zagrebačka</c:v>
                </c:pt>
                <c:pt idx="13">
                  <c:v>Sisačko-moslavačka</c:v>
                </c:pt>
                <c:pt idx="14">
                  <c:v>Brodsko-posavska</c:v>
                </c:pt>
                <c:pt idx="15">
                  <c:v>Primorsko-goranska</c:v>
                </c:pt>
                <c:pt idx="16">
                  <c:v>Šibensko-kninska</c:v>
                </c:pt>
                <c:pt idx="17">
                  <c:v>Vukovarsko-srijemska</c:v>
                </c:pt>
                <c:pt idx="18">
                  <c:v>Osječko-baranjska</c:v>
                </c:pt>
                <c:pt idx="19">
                  <c:v>Splitsko-dalmatinska</c:v>
                </c:pt>
                <c:pt idx="20">
                  <c:v>Grad Zagreb</c:v>
                </c:pt>
              </c:strCache>
            </c:strRef>
          </c:cat>
          <c:val>
            <c:numRef>
              <c:f>Sheet1!$C$2:$C$22</c:f>
              <c:numCache>
                <c:formatCode>0.00%</c:formatCode>
                <c:ptCount val="21"/>
                <c:pt idx="0">
                  <c:v>3.8817206132528976E-3</c:v>
                </c:pt>
                <c:pt idx="1">
                  <c:v>8.551878572311029E-3</c:v>
                </c:pt>
                <c:pt idx="2">
                  <c:v>9.8917961735697033E-3</c:v>
                </c:pt>
                <c:pt idx="3">
                  <c:v>1.0239084377665793E-2</c:v>
                </c:pt>
                <c:pt idx="4">
                  <c:v>1.0580336388025486E-2</c:v>
                </c:pt>
                <c:pt idx="5">
                  <c:v>1.0805831684632778E-2</c:v>
                </c:pt>
                <c:pt idx="6">
                  <c:v>1.0987989024252343E-2</c:v>
                </c:pt>
                <c:pt idx="7">
                  <c:v>1.1914718642356969E-2</c:v>
                </c:pt>
                <c:pt idx="8">
                  <c:v>1.2039007977264999E-2</c:v>
                </c:pt>
                <c:pt idx="9">
                  <c:v>1.2494065517463354E-2</c:v>
                </c:pt>
                <c:pt idx="10">
                  <c:v>1.2562287872318931E-2</c:v>
                </c:pt>
                <c:pt idx="11">
                  <c:v>1.2783316020997412E-2</c:v>
                </c:pt>
                <c:pt idx="12">
                  <c:v>1.3778449066243191E-2</c:v>
                </c:pt>
                <c:pt idx="13">
                  <c:v>1.7361961034958618E-2</c:v>
                </c:pt>
                <c:pt idx="14">
                  <c:v>1.7451284297173245E-2</c:v>
                </c:pt>
                <c:pt idx="15">
                  <c:v>1.7620463344316186E-2</c:v>
                </c:pt>
                <c:pt idx="16">
                  <c:v>1.8820494558693883E-2</c:v>
                </c:pt>
                <c:pt idx="17">
                  <c:v>2.1184656216527712E-2</c:v>
                </c:pt>
                <c:pt idx="18">
                  <c:v>3.8398811511739545E-2</c:v>
                </c:pt>
                <c:pt idx="19">
                  <c:v>4.0817076184456791E-2</c:v>
                </c:pt>
                <c:pt idx="20">
                  <c:v>0.68783477092177903</c:v>
                </c:pt>
              </c:numCache>
            </c:numRef>
          </c:val>
          <c:extLst>
            <c:ext xmlns:c16="http://schemas.microsoft.com/office/drawing/2014/chart" uri="{C3380CC4-5D6E-409C-BE32-E72D297353CC}">
              <c16:uniqueId val="{00000000-D2BE-49CD-A383-811AA128A74E}"/>
            </c:ext>
          </c:extLst>
        </c:ser>
        <c:dLbls>
          <c:showLegendKey val="0"/>
          <c:showVal val="0"/>
          <c:showCatName val="0"/>
          <c:showSerName val="0"/>
          <c:showPercent val="0"/>
          <c:showBubbleSize val="0"/>
        </c:dLbls>
        <c:gapWidth val="60"/>
        <c:axId val="77841536"/>
        <c:axId val="77843072"/>
      </c:barChart>
      <c:catAx>
        <c:axId val="778415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sr-Latn-RS"/>
          </a:p>
        </c:txPr>
        <c:crossAx val="77843072"/>
        <c:crosses val="autoZero"/>
        <c:auto val="1"/>
        <c:lblAlgn val="ctr"/>
        <c:lblOffset val="100"/>
        <c:noMultiLvlLbl val="0"/>
      </c:catAx>
      <c:valAx>
        <c:axId val="77843072"/>
        <c:scaling>
          <c:orientation val="minMax"/>
        </c:scaling>
        <c:delete val="0"/>
        <c:axPos val="b"/>
        <c:majorGridlines>
          <c:spPr>
            <a:ln w="9525" cap="flat" cmpd="sng" algn="ctr">
              <a:solidFill>
                <a:schemeClr val="tx1">
                  <a:lumMod val="15000"/>
                  <a:lumOff val="85000"/>
                </a:schemeClr>
              </a:solidFill>
              <a:round/>
            </a:ln>
            <a:effectLst/>
          </c:spPr>
        </c:majorGridlines>
        <c:numFmt formatCode="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778415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Sheet1!$C$1</c:f>
              <c:strCache>
                <c:ptCount val="1"/>
                <c:pt idx="0">
                  <c:v>Column2</c:v>
                </c:pt>
              </c:strCache>
            </c:strRef>
          </c:tx>
          <c:spPr>
            <a:solidFill>
              <a:schemeClr val="bg1">
                <a:lumMod val="50000"/>
              </a:schemeClr>
            </a:solidFill>
            <a:ln>
              <a:noFill/>
            </a:ln>
            <a:effectLst/>
          </c:spPr>
          <c:invertIfNegative val="0"/>
          <c:dLbls>
            <c:dLbl>
              <c:idx val="19"/>
              <c:dLblPos val="outEnd"/>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9929-42B2-A270-1D70C2D9E69E}"/>
                </c:ext>
              </c:extLst>
            </c:dLbl>
            <c:numFmt formatCode="0.00\ %"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Sheet1!$A$2:$A$22</c:f>
              <c:strCache>
                <c:ptCount val="21"/>
                <c:pt idx="0">
                  <c:v>Dubrovačko-neretvanska</c:v>
                </c:pt>
                <c:pt idx="1">
                  <c:v>Šibensko-kninska</c:v>
                </c:pt>
                <c:pt idx="2">
                  <c:v>Primorsko-goranska</c:v>
                </c:pt>
                <c:pt idx="3">
                  <c:v>Požeško-slavonska</c:v>
                </c:pt>
                <c:pt idx="4">
                  <c:v>Krapinsko-zagorska</c:v>
                </c:pt>
                <c:pt idx="5">
                  <c:v>Varaždinska</c:v>
                </c:pt>
                <c:pt idx="6">
                  <c:v>Međimurska</c:v>
                </c:pt>
                <c:pt idx="7">
                  <c:v>Zagrebačka</c:v>
                </c:pt>
                <c:pt idx="8">
                  <c:v>Zadarska</c:v>
                </c:pt>
                <c:pt idx="9">
                  <c:v>Karlovačka</c:v>
                </c:pt>
                <c:pt idx="10">
                  <c:v>Splitsko-dalmatinska</c:v>
                </c:pt>
                <c:pt idx="11">
                  <c:v>Istarska</c:v>
                </c:pt>
                <c:pt idx="12">
                  <c:v>Koprivničko-križevačka</c:v>
                </c:pt>
                <c:pt idx="13">
                  <c:v>Brodsko-posavska</c:v>
                </c:pt>
                <c:pt idx="14">
                  <c:v>Bjelovarsko-bilogorska</c:v>
                </c:pt>
                <c:pt idx="15">
                  <c:v>Virovitičko-podravska</c:v>
                </c:pt>
                <c:pt idx="16">
                  <c:v>Ličko-senjska</c:v>
                </c:pt>
                <c:pt idx="17">
                  <c:v>Sisačko-moslavačka</c:v>
                </c:pt>
                <c:pt idx="18">
                  <c:v>Vukovarsko-srijemska</c:v>
                </c:pt>
                <c:pt idx="19">
                  <c:v>Grad Zagreb</c:v>
                </c:pt>
                <c:pt idx="20">
                  <c:v>Osječko-baranjska</c:v>
                </c:pt>
              </c:strCache>
            </c:strRef>
          </c:cat>
          <c:val>
            <c:numRef>
              <c:f>Sheet1!$C$2:$C$22</c:f>
              <c:numCache>
                <c:formatCode>0.00%</c:formatCode>
                <c:ptCount val="21"/>
                <c:pt idx="0">
                  <c:v>1.5690622370075371E-2</c:v>
                </c:pt>
                <c:pt idx="1">
                  <c:v>2.1966510451667406E-2</c:v>
                </c:pt>
                <c:pt idx="2">
                  <c:v>2.3463831388979197E-2</c:v>
                </c:pt>
                <c:pt idx="3">
                  <c:v>2.7271557226154756E-2</c:v>
                </c:pt>
                <c:pt idx="4">
                  <c:v>2.8266703110664156E-2</c:v>
                </c:pt>
                <c:pt idx="5">
                  <c:v>2.8637612809905663E-2</c:v>
                </c:pt>
                <c:pt idx="6">
                  <c:v>2.993107374764075E-2</c:v>
                </c:pt>
                <c:pt idx="7">
                  <c:v>3.6466939252513667E-2</c:v>
                </c:pt>
                <c:pt idx="8">
                  <c:v>3.734938554426908E-2</c:v>
                </c:pt>
                <c:pt idx="9">
                  <c:v>3.7972456745541082E-2</c:v>
                </c:pt>
                <c:pt idx="10">
                  <c:v>3.8313752928943491E-2</c:v>
                </c:pt>
                <c:pt idx="11">
                  <c:v>3.842476996406239E-2</c:v>
                </c:pt>
                <c:pt idx="12">
                  <c:v>4.2994170118343097E-2</c:v>
                </c:pt>
                <c:pt idx="13">
                  <c:v>5.1470799694368422E-2</c:v>
                </c:pt>
                <c:pt idx="14">
                  <c:v>5.5493582444094219E-2</c:v>
                </c:pt>
                <c:pt idx="15">
                  <c:v>5.5903232480972898E-2</c:v>
                </c:pt>
                <c:pt idx="16">
                  <c:v>5.5937217465016911E-2</c:v>
                </c:pt>
                <c:pt idx="17">
                  <c:v>6.2120098428016551E-2</c:v>
                </c:pt>
                <c:pt idx="18">
                  <c:v>6.6327399888645541E-2</c:v>
                </c:pt>
                <c:pt idx="19">
                  <c:v>0.10317390127848608</c:v>
                </c:pt>
                <c:pt idx="20">
                  <c:v>0.14282438266163944</c:v>
                </c:pt>
              </c:numCache>
            </c:numRef>
          </c:val>
          <c:extLst>
            <c:ext xmlns:c16="http://schemas.microsoft.com/office/drawing/2014/chart" uri="{C3380CC4-5D6E-409C-BE32-E72D297353CC}">
              <c16:uniqueId val="{00000001-9929-42B2-A270-1D70C2D9E69E}"/>
            </c:ext>
          </c:extLst>
        </c:ser>
        <c:dLbls>
          <c:showLegendKey val="0"/>
          <c:showVal val="0"/>
          <c:showCatName val="0"/>
          <c:showSerName val="0"/>
          <c:showPercent val="0"/>
          <c:showBubbleSize val="0"/>
        </c:dLbls>
        <c:gapWidth val="60"/>
        <c:axId val="77867648"/>
        <c:axId val="77873536"/>
      </c:barChart>
      <c:catAx>
        <c:axId val="778676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sr-Latn-RS"/>
          </a:p>
        </c:txPr>
        <c:crossAx val="77873536"/>
        <c:crosses val="autoZero"/>
        <c:auto val="1"/>
        <c:lblAlgn val="ctr"/>
        <c:lblOffset val="100"/>
        <c:noMultiLvlLbl val="0"/>
      </c:catAx>
      <c:valAx>
        <c:axId val="77873536"/>
        <c:scaling>
          <c:orientation val="minMax"/>
        </c:scaling>
        <c:delete val="0"/>
        <c:axPos val="b"/>
        <c:majorGridlines>
          <c:spPr>
            <a:ln w="9525" cap="flat" cmpd="sng" algn="ctr">
              <a:solidFill>
                <a:schemeClr val="tx1">
                  <a:lumMod val="15000"/>
                  <a:lumOff val="85000"/>
                </a:schemeClr>
              </a:solidFill>
              <a:round/>
            </a:ln>
            <a:effectLst/>
          </c:spPr>
        </c:majorGridlines>
        <c:numFmt formatCode="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77867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Column2</c:v>
                </c:pt>
              </c:strCache>
            </c:strRef>
          </c:tx>
          <c:spPr>
            <a:solidFill>
              <a:schemeClr val="bg1">
                <a:lumMod val="50000"/>
              </a:schemeClr>
            </a:solidFill>
            <a:ln>
              <a:noFill/>
            </a:ln>
            <a:effectLst/>
          </c:spPr>
          <c:invertIfNegative val="0"/>
          <c:dLbls>
            <c:dLbl>
              <c:idx val="19"/>
              <c:dLblPos val="outEnd"/>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2C7D-4CC7-9223-49DB9CC0616B}"/>
                </c:ext>
              </c:extLst>
            </c:dLbl>
            <c:numFmt formatCode="0.00\ %" sourceLinked="0"/>
            <c:spPr>
              <a:noFill/>
              <a:ln>
                <a:noFill/>
              </a:ln>
              <a:effectLst/>
            </c:spPr>
            <c:txPr>
              <a:bodyPr rot="0" vert="horz"/>
              <a:lstStyle/>
              <a:p>
                <a:pPr>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Sheet1!$A$2:$A$19</c:f>
              <c:strCache>
                <c:ptCount val="18"/>
                <c:pt idx="0">
                  <c:v>Međimurska</c:v>
                </c:pt>
                <c:pt idx="1">
                  <c:v>Zagrebačka</c:v>
                </c:pt>
                <c:pt idx="2">
                  <c:v>Brodsko-posavska</c:v>
                </c:pt>
                <c:pt idx="3">
                  <c:v>Požeško-slavonska</c:v>
                </c:pt>
                <c:pt idx="4">
                  <c:v>Vukovarsko-srijemska</c:v>
                </c:pt>
                <c:pt idx="5">
                  <c:v>Krapinsko-zagorska</c:v>
                </c:pt>
                <c:pt idx="6">
                  <c:v>Karlovačka</c:v>
                </c:pt>
                <c:pt idx="7">
                  <c:v>Bjelovarsko-bilogorska</c:v>
                </c:pt>
                <c:pt idx="8">
                  <c:v>Šibensko-kninska</c:v>
                </c:pt>
                <c:pt idx="9">
                  <c:v>Osječko-baranjska</c:v>
                </c:pt>
                <c:pt idx="10">
                  <c:v>Virovitičko-podravska</c:v>
                </c:pt>
                <c:pt idx="11">
                  <c:v>Ličko-senjska</c:v>
                </c:pt>
                <c:pt idx="12">
                  <c:v>Dubrovačko-neretvanska</c:v>
                </c:pt>
                <c:pt idx="13">
                  <c:v>Istarska</c:v>
                </c:pt>
                <c:pt idx="14">
                  <c:v>Primorsko-goranska</c:v>
                </c:pt>
                <c:pt idx="15">
                  <c:v>Splitsko-dalmatinska</c:v>
                </c:pt>
                <c:pt idx="16">
                  <c:v>Grad Zagreb</c:v>
                </c:pt>
                <c:pt idx="17">
                  <c:v>Zadarska</c:v>
                </c:pt>
              </c:strCache>
            </c:strRef>
          </c:cat>
          <c:val>
            <c:numRef>
              <c:f>Sheet1!$B$2:$B$19</c:f>
              <c:numCache>
                <c:formatCode>0.00%</c:formatCode>
                <c:ptCount val="18"/>
                <c:pt idx="0">
                  <c:v>0</c:v>
                </c:pt>
                <c:pt idx="1">
                  <c:v>2E-3</c:v>
                </c:pt>
                <c:pt idx="2">
                  <c:v>2E-3</c:v>
                </c:pt>
                <c:pt idx="3">
                  <c:v>2.5000000000000001E-3</c:v>
                </c:pt>
                <c:pt idx="4">
                  <c:v>3.5999999999999999E-3</c:v>
                </c:pt>
                <c:pt idx="5">
                  <c:v>5.5999999999999999E-3</c:v>
                </c:pt>
                <c:pt idx="6">
                  <c:v>1.0699999999999999E-2</c:v>
                </c:pt>
                <c:pt idx="7">
                  <c:v>1.3599999999999999E-2</c:v>
                </c:pt>
                <c:pt idx="8">
                  <c:v>1.7399999999999999E-2</c:v>
                </c:pt>
                <c:pt idx="9">
                  <c:v>1.7600000000000001E-2</c:v>
                </c:pt>
                <c:pt idx="10">
                  <c:v>1.9599999999999999E-2</c:v>
                </c:pt>
                <c:pt idx="11">
                  <c:v>2.0899999999999998E-2</c:v>
                </c:pt>
                <c:pt idx="12">
                  <c:v>3.8800000000000001E-2</c:v>
                </c:pt>
                <c:pt idx="13">
                  <c:v>7.1900000000000006E-2</c:v>
                </c:pt>
                <c:pt idx="14">
                  <c:v>9.0399999999999994E-2</c:v>
                </c:pt>
                <c:pt idx="15">
                  <c:v>0.1333</c:v>
                </c:pt>
                <c:pt idx="16">
                  <c:v>0.2671</c:v>
                </c:pt>
                <c:pt idx="17">
                  <c:v>0.28310000000000002</c:v>
                </c:pt>
              </c:numCache>
            </c:numRef>
          </c:val>
          <c:extLst>
            <c:ext xmlns:c16="http://schemas.microsoft.com/office/drawing/2014/chart" uri="{C3380CC4-5D6E-409C-BE32-E72D297353CC}">
              <c16:uniqueId val="{00000001-2C7D-4CC7-9223-49DB9CC0616B}"/>
            </c:ext>
          </c:extLst>
        </c:ser>
        <c:dLbls>
          <c:showLegendKey val="0"/>
          <c:showVal val="0"/>
          <c:showCatName val="0"/>
          <c:showSerName val="0"/>
          <c:showPercent val="0"/>
          <c:showBubbleSize val="0"/>
        </c:dLbls>
        <c:gapWidth val="60"/>
        <c:axId val="77905920"/>
        <c:axId val="77907456"/>
      </c:barChart>
      <c:catAx>
        <c:axId val="779059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sr-Latn-RS"/>
          </a:p>
        </c:txPr>
        <c:crossAx val="77907456"/>
        <c:crosses val="autoZero"/>
        <c:auto val="1"/>
        <c:lblAlgn val="ctr"/>
        <c:lblOffset val="100"/>
        <c:noMultiLvlLbl val="0"/>
      </c:catAx>
      <c:valAx>
        <c:axId val="77907456"/>
        <c:scaling>
          <c:orientation val="minMax"/>
        </c:scaling>
        <c:delete val="0"/>
        <c:axPos val="b"/>
        <c:majorGridlines>
          <c:spPr>
            <a:ln w="9525" cap="flat" cmpd="sng" algn="ctr">
              <a:solidFill>
                <a:schemeClr val="tx1">
                  <a:lumMod val="15000"/>
                  <a:lumOff val="85000"/>
                </a:schemeClr>
              </a:solidFill>
              <a:round/>
            </a:ln>
            <a:effectLst/>
          </c:spPr>
        </c:majorGridlines>
        <c:numFmt formatCode="0\ %" sourceLinked="0"/>
        <c:majorTickMark val="none"/>
        <c:minorTickMark val="none"/>
        <c:tickLblPos val="nextTo"/>
        <c:spPr>
          <a:noFill/>
          <a:ln>
            <a:noFill/>
          </a:ln>
          <a:effectLst/>
        </c:spPr>
        <c:txPr>
          <a:bodyPr rot="-60000000" vert="horz"/>
          <a:lstStyle/>
          <a:p>
            <a:pPr>
              <a:defRPr/>
            </a:pPr>
            <a:endParaRPr lang="sr-Latn-RS"/>
          </a:p>
        </c:txPr>
        <c:crossAx val="77905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AZJMDCZ6QSYZ-1849078857-33938</_dlc_DocId>
    <_dlc_DocIdUrl xmlns="a494813a-d0d8-4dad-94cb-0d196f36ba15">
      <Url>https://ekoordinacije.vlada.hr/koordinacija-gospodarstvo/_layouts/15/DocIdRedir.aspx?ID=AZJMDCZ6QSYZ-1849078857-33938</Url>
      <Description>AZJMDCZ6QSYZ-1849078857-33938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3A12A-43CD-428C-B2F1-2BED2A567AB9}">
  <ds:schemaRefs>
    <ds:schemaRef ds:uri="http://schemas.microsoft.com/sharepoint/events"/>
  </ds:schemaRefs>
</ds:datastoreItem>
</file>

<file path=customXml/itemProps2.xml><?xml version="1.0" encoding="utf-8"?>
<ds:datastoreItem xmlns:ds="http://schemas.openxmlformats.org/officeDocument/2006/customXml" ds:itemID="{281A6165-0F3C-45E3-93E9-6006875D7C74}">
  <ds:schemaRefs>
    <ds:schemaRef ds:uri="http://schemas.microsoft.com/sharepoint/v3/contenttype/forms"/>
  </ds:schemaRefs>
</ds:datastoreItem>
</file>

<file path=customXml/itemProps3.xml><?xml version="1.0" encoding="utf-8"?>
<ds:datastoreItem xmlns:ds="http://schemas.openxmlformats.org/officeDocument/2006/customXml" ds:itemID="{C3D1757F-6EEC-4D6C-AA84-6D68BCEF084A}">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a494813a-d0d8-4dad-94cb-0d196f36ba15"/>
    <ds:schemaRef ds:uri="http://purl.org/dc/dcmitype/"/>
    <ds:schemaRef ds:uri="http://www.w3.org/XML/1998/namespace"/>
  </ds:schemaRefs>
</ds:datastoreItem>
</file>

<file path=customXml/itemProps4.xml><?xml version="1.0" encoding="utf-8"?>
<ds:datastoreItem xmlns:ds="http://schemas.openxmlformats.org/officeDocument/2006/customXml" ds:itemID="{A1F5DCA6-492F-4FFE-8E83-401E7AF58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FD9C99-59B7-4706-8F7C-4E8FDE9D6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35309</Words>
  <Characters>201266</Characters>
  <Application>Microsoft Office Word</Application>
  <DocSecurity>0</DocSecurity>
  <Lines>1677</Lines>
  <Paragraphs>472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236103</CharactersWithSpaces>
  <SharedDoc>false</SharedDoc>
  <HLinks>
    <vt:vector size="582" baseType="variant">
      <vt:variant>
        <vt:i4>1245244</vt:i4>
      </vt:variant>
      <vt:variant>
        <vt:i4>713</vt:i4>
      </vt:variant>
      <vt:variant>
        <vt:i4>0</vt:i4>
      </vt:variant>
      <vt:variant>
        <vt:i4>5</vt:i4>
      </vt:variant>
      <vt:variant>
        <vt:lpwstr/>
      </vt:variant>
      <vt:variant>
        <vt:lpwstr>_Toc97272054</vt:lpwstr>
      </vt:variant>
      <vt:variant>
        <vt:i4>1310780</vt:i4>
      </vt:variant>
      <vt:variant>
        <vt:i4>707</vt:i4>
      </vt:variant>
      <vt:variant>
        <vt:i4>0</vt:i4>
      </vt:variant>
      <vt:variant>
        <vt:i4>5</vt:i4>
      </vt:variant>
      <vt:variant>
        <vt:lpwstr/>
      </vt:variant>
      <vt:variant>
        <vt:lpwstr>_Toc97272053</vt:lpwstr>
      </vt:variant>
      <vt:variant>
        <vt:i4>1376316</vt:i4>
      </vt:variant>
      <vt:variant>
        <vt:i4>701</vt:i4>
      </vt:variant>
      <vt:variant>
        <vt:i4>0</vt:i4>
      </vt:variant>
      <vt:variant>
        <vt:i4>5</vt:i4>
      </vt:variant>
      <vt:variant>
        <vt:lpwstr/>
      </vt:variant>
      <vt:variant>
        <vt:lpwstr>_Toc97272052</vt:lpwstr>
      </vt:variant>
      <vt:variant>
        <vt:i4>1441852</vt:i4>
      </vt:variant>
      <vt:variant>
        <vt:i4>695</vt:i4>
      </vt:variant>
      <vt:variant>
        <vt:i4>0</vt:i4>
      </vt:variant>
      <vt:variant>
        <vt:i4>5</vt:i4>
      </vt:variant>
      <vt:variant>
        <vt:lpwstr/>
      </vt:variant>
      <vt:variant>
        <vt:lpwstr>_Toc97272051</vt:lpwstr>
      </vt:variant>
      <vt:variant>
        <vt:i4>1507388</vt:i4>
      </vt:variant>
      <vt:variant>
        <vt:i4>689</vt:i4>
      </vt:variant>
      <vt:variant>
        <vt:i4>0</vt:i4>
      </vt:variant>
      <vt:variant>
        <vt:i4>5</vt:i4>
      </vt:variant>
      <vt:variant>
        <vt:lpwstr/>
      </vt:variant>
      <vt:variant>
        <vt:lpwstr>_Toc97272050</vt:lpwstr>
      </vt:variant>
      <vt:variant>
        <vt:i4>1966141</vt:i4>
      </vt:variant>
      <vt:variant>
        <vt:i4>683</vt:i4>
      </vt:variant>
      <vt:variant>
        <vt:i4>0</vt:i4>
      </vt:variant>
      <vt:variant>
        <vt:i4>5</vt:i4>
      </vt:variant>
      <vt:variant>
        <vt:lpwstr/>
      </vt:variant>
      <vt:variant>
        <vt:lpwstr>_Toc97272049</vt:lpwstr>
      </vt:variant>
      <vt:variant>
        <vt:i4>2031677</vt:i4>
      </vt:variant>
      <vt:variant>
        <vt:i4>677</vt:i4>
      </vt:variant>
      <vt:variant>
        <vt:i4>0</vt:i4>
      </vt:variant>
      <vt:variant>
        <vt:i4>5</vt:i4>
      </vt:variant>
      <vt:variant>
        <vt:lpwstr/>
      </vt:variant>
      <vt:variant>
        <vt:lpwstr>_Toc97272048</vt:lpwstr>
      </vt:variant>
      <vt:variant>
        <vt:i4>1048637</vt:i4>
      </vt:variant>
      <vt:variant>
        <vt:i4>671</vt:i4>
      </vt:variant>
      <vt:variant>
        <vt:i4>0</vt:i4>
      </vt:variant>
      <vt:variant>
        <vt:i4>5</vt:i4>
      </vt:variant>
      <vt:variant>
        <vt:lpwstr/>
      </vt:variant>
      <vt:variant>
        <vt:lpwstr>_Toc97272047</vt:lpwstr>
      </vt:variant>
      <vt:variant>
        <vt:i4>1114173</vt:i4>
      </vt:variant>
      <vt:variant>
        <vt:i4>665</vt:i4>
      </vt:variant>
      <vt:variant>
        <vt:i4>0</vt:i4>
      </vt:variant>
      <vt:variant>
        <vt:i4>5</vt:i4>
      </vt:variant>
      <vt:variant>
        <vt:lpwstr/>
      </vt:variant>
      <vt:variant>
        <vt:lpwstr>_Toc97272046</vt:lpwstr>
      </vt:variant>
      <vt:variant>
        <vt:i4>1179709</vt:i4>
      </vt:variant>
      <vt:variant>
        <vt:i4>659</vt:i4>
      </vt:variant>
      <vt:variant>
        <vt:i4>0</vt:i4>
      </vt:variant>
      <vt:variant>
        <vt:i4>5</vt:i4>
      </vt:variant>
      <vt:variant>
        <vt:lpwstr/>
      </vt:variant>
      <vt:variant>
        <vt:lpwstr>_Toc97272045</vt:lpwstr>
      </vt:variant>
      <vt:variant>
        <vt:i4>1245245</vt:i4>
      </vt:variant>
      <vt:variant>
        <vt:i4>653</vt:i4>
      </vt:variant>
      <vt:variant>
        <vt:i4>0</vt:i4>
      </vt:variant>
      <vt:variant>
        <vt:i4>5</vt:i4>
      </vt:variant>
      <vt:variant>
        <vt:lpwstr/>
      </vt:variant>
      <vt:variant>
        <vt:lpwstr>_Toc97272044</vt:lpwstr>
      </vt:variant>
      <vt:variant>
        <vt:i4>1310781</vt:i4>
      </vt:variant>
      <vt:variant>
        <vt:i4>647</vt:i4>
      </vt:variant>
      <vt:variant>
        <vt:i4>0</vt:i4>
      </vt:variant>
      <vt:variant>
        <vt:i4>5</vt:i4>
      </vt:variant>
      <vt:variant>
        <vt:lpwstr/>
      </vt:variant>
      <vt:variant>
        <vt:lpwstr>_Toc97272043</vt:lpwstr>
      </vt:variant>
      <vt:variant>
        <vt:i4>1376317</vt:i4>
      </vt:variant>
      <vt:variant>
        <vt:i4>641</vt:i4>
      </vt:variant>
      <vt:variant>
        <vt:i4>0</vt:i4>
      </vt:variant>
      <vt:variant>
        <vt:i4>5</vt:i4>
      </vt:variant>
      <vt:variant>
        <vt:lpwstr/>
      </vt:variant>
      <vt:variant>
        <vt:lpwstr>_Toc97272042</vt:lpwstr>
      </vt:variant>
      <vt:variant>
        <vt:i4>1441853</vt:i4>
      </vt:variant>
      <vt:variant>
        <vt:i4>635</vt:i4>
      </vt:variant>
      <vt:variant>
        <vt:i4>0</vt:i4>
      </vt:variant>
      <vt:variant>
        <vt:i4>5</vt:i4>
      </vt:variant>
      <vt:variant>
        <vt:lpwstr/>
      </vt:variant>
      <vt:variant>
        <vt:lpwstr>_Toc97272041</vt:lpwstr>
      </vt:variant>
      <vt:variant>
        <vt:i4>1507389</vt:i4>
      </vt:variant>
      <vt:variant>
        <vt:i4>629</vt:i4>
      </vt:variant>
      <vt:variant>
        <vt:i4>0</vt:i4>
      </vt:variant>
      <vt:variant>
        <vt:i4>5</vt:i4>
      </vt:variant>
      <vt:variant>
        <vt:lpwstr/>
      </vt:variant>
      <vt:variant>
        <vt:lpwstr>_Toc97272040</vt:lpwstr>
      </vt:variant>
      <vt:variant>
        <vt:i4>1966138</vt:i4>
      </vt:variant>
      <vt:variant>
        <vt:i4>623</vt:i4>
      </vt:variant>
      <vt:variant>
        <vt:i4>0</vt:i4>
      </vt:variant>
      <vt:variant>
        <vt:i4>5</vt:i4>
      </vt:variant>
      <vt:variant>
        <vt:lpwstr/>
      </vt:variant>
      <vt:variant>
        <vt:lpwstr>_Toc97272039</vt:lpwstr>
      </vt:variant>
      <vt:variant>
        <vt:i4>2031674</vt:i4>
      </vt:variant>
      <vt:variant>
        <vt:i4>617</vt:i4>
      </vt:variant>
      <vt:variant>
        <vt:i4>0</vt:i4>
      </vt:variant>
      <vt:variant>
        <vt:i4>5</vt:i4>
      </vt:variant>
      <vt:variant>
        <vt:lpwstr/>
      </vt:variant>
      <vt:variant>
        <vt:lpwstr>_Toc97272038</vt:lpwstr>
      </vt:variant>
      <vt:variant>
        <vt:i4>1048634</vt:i4>
      </vt:variant>
      <vt:variant>
        <vt:i4>611</vt:i4>
      </vt:variant>
      <vt:variant>
        <vt:i4>0</vt:i4>
      </vt:variant>
      <vt:variant>
        <vt:i4>5</vt:i4>
      </vt:variant>
      <vt:variant>
        <vt:lpwstr/>
      </vt:variant>
      <vt:variant>
        <vt:lpwstr>_Toc97272037</vt:lpwstr>
      </vt:variant>
      <vt:variant>
        <vt:i4>1114170</vt:i4>
      </vt:variant>
      <vt:variant>
        <vt:i4>605</vt:i4>
      </vt:variant>
      <vt:variant>
        <vt:i4>0</vt:i4>
      </vt:variant>
      <vt:variant>
        <vt:i4>5</vt:i4>
      </vt:variant>
      <vt:variant>
        <vt:lpwstr/>
      </vt:variant>
      <vt:variant>
        <vt:lpwstr>_Toc97272036</vt:lpwstr>
      </vt:variant>
      <vt:variant>
        <vt:i4>1179706</vt:i4>
      </vt:variant>
      <vt:variant>
        <vt:i4>599</vt:i4>
      </vt:variant>
      <vt:variant>
        <vt:i4>0</vt:i4>
      </vt:variant>
      <vt:variant>
        <vt:i4>5</vt:i4>
      </vt:variant>
      <vt:variant>
        <vt:lpwstr/>
      </vt:variant>
      <vt:variant>
        <vt:lpwstr>_Toc97272035</vt:lpwstr>
      </vt:variant>
      <vt:variant>
        <vt:i4>1245242</vt:i4>
      </vt:variant>
      <vt:variant>
        <vt:i4>593</vt:i4>
      </vt:variant>
      <vt:variant>
        <vt:i4>0</vt:i4>
      </vt:variant>
      <vt:variant>
        <vt:i4>5</vt:i4>
      </vt:variant>
      <vt:variant>
        <vt:lpwstr/>
      </vt:variant>
      <vt:variant>
        <vt:lpwstr>_Toc97272034</vt:lpwstr>
      </vt:variant>
      <vt:variant>
        <vt:i4>1310778</vt:i4>
      </vt:variant>
      <vt:variant>
        <vt:i4>587</vt:i4>
      </vt:variant>
      <vt:variant>
        <vt:i4>0</vt:i4>
      </vt:variant>
      <vt:variant>
        <vt:i4>5</vt:i4>
      </vt:variant>
      <vt:variant>
        <vt:lpwstr/>
      </vt:variant>
      <vt:variant>
        <vt:lpwstr>_Toc97272033</vt:lpwstr>
      </vt:variant>
      <vt:variant>
        <vt:i4>1376314</vt:i4>
      </vt:variant>
      <vt:variant>
        <vt:i4>581</vt:i4>
      </vt:variant>
      <vt:variant>
        <vt:i4>0</vt:i4>
      </vt:variant>
      <vt:variant>
        <vt:i4>5</vt:i4>
      </vt:variant>
      <vt:variant>
        <vt:lpwstr/>
      </vt:variant>
      <vt:variant>
        <vt:lpwstr>_Toc97272032</vt:lpwstr>
      </vt:variant>
      <vt:variant>
        <vt:i4>1441850</vt:i4>
      </vt:variant>
      <vt:variant>
        <vt:i4>575</vt:i4>
      </vt:variant>
      <vt:variant>
        <vt:i4>0</vt:i4>
      </vt:variant>
      <vt:variant>
        <vt:i4>5</vt:i4>
      </vt:variant>
      <vt:variant>
        <vt:lpwstr/>
      </vt:variant>
      <vt:variant>
        <vt:lpwstr>_Toc97272031</vt:lpwstr>
      </vt:variant>
      <vt:variant>
        <vt:i4>1507386</vt:i4>
      </vt:variant>
      <vt:variant>
        <vt:i4>569</vt:i4>
      </vt:variant>
      <vt:variant>
        <vt:i4>0</vt:i4>
      </vt:variant>
      <vt:variant>
        <vt:i4>5</vt:i4>
      </vt:variant>
      <vt:variant>
        <vt:lpwstr/>
      </vt:variant>
      <vt:variant>
        <vt:lpwstr>_Toc97272030</vt:lpwstr>
      </vt:variant>
      <vt:variant>
        <vt:i4>1966139</vt:i4>
      </vt:variant>
      <vt:variant>
        <vt:i4>563</vt:i4>
      </vt:variant>
      <vt:variant>
        <vt:i4>0</vt:i4>
      </vt:variant>
      <vt:variant>
        <vt:i4>5</vt:i4>
      </vt:variant>
      <vt:variant>
        <vt:lpwstr/>
      </vt:variant>
      <vt:variant>
        <vt:lpwstr>_Toc97272029</vt:lpwstr>
      </vt:variant>
      <vt:variant>
        <vt:i4>2031675</vt:i4>
      </vt:variant>
      <vt:variant>
        <vt:i4>557</vt:i4>
      </vt:variant>
      <vt:variant>
        <vt:i4>0</vt:i4>
      </vt:variant>
      <vt:variant>
        <vt:i4>5</vt:i4>
      </vt:variant>
      <vt:variant>
        <vt:lpwstr/>
      </vt:variant>
      <vt:variant>
        <vt:lpwstr>_Toc97272028</vt:lpwstr>
      </vt:variant>
      <vt:variant>
        <vt:i4>1048635</vt:i4>
      </vt:variant>
      <vt:variant>
        <vt:i4>551</vt:i4>
      </vt:variant>
      <vt:variant>
        <vt:i4>0</vt:i4>
      </vt:variant>
      <vt:variant>
        <vt:i4>5</vt:i4>
      </vt:variant>
      <vt:variant>
        <vt:lpwstr/>
      </vt:variant>
      <vt:variant>
        <vt:lpwstr>_Toc97272027</vt:lpwstr>
      </vt:variant>
      <vt:variant>
        <vt:i4>1114171</vt:i4>
      </vt:variant>
      <vt:variant>
        <vt:i4>545</vt:i4>
      </vt:variant>
      <vt:variant>
        <vt:i4>0</vt:i4>
      </vt:variant>
      <vt:variant>
        <vt:i4>5</vt:i4>
      </vt:variant>
      <vt:variant>
        <vt:lpwstr/>
      </vt:variant>
      <vt:variant>
        <vt:lpwstr>_Toc97272026</vt:lpwstr>
      </vt:variant>
      <vt:variant>
        <vt:i4>1179707</vt:i4>
      </vt:variant>
      <vt:variant>
        <vt:i4>539</vt:i4>
      </vt:variant>
      <vt:variant>
        <vt:i4>0</vt:i4>
      </vt:variant>
      <vt:variant>
        <vt:i4>5</vt:i4>
      </vt:variant>
      <vt:variant>
        <vt:lpwstr/>
      </vt:variant>
      <vt:variant>
        <vt:lpwstr>_Toc97272025</vt:lpwstr>
      </vt:variant>
      <vt:variant>
        <vt:i4>1245243</vt:i4>
      </vt:variant>
      <vt:variant>
        <vt:i4>533</vt:i4>
      </vt:variant>
      <vt:variant>
        <vt:i4>0</vt:i4>
      </vt:variant>
      <vt:variant>
        <vt:i4>5</vt:i4>
      </vt:variant>
      <vt:variant>
        <vt:lpwstr/>
      </vt:variant>
      <vt:variant>
        <vt:lpwstr>_Toc97272024</vt:lpwstr>
      </vt:variant>
      <vt:variant>
        <vt:i4>1310779</vt:i4>
      </vt:variant>
      <vt:variant>
        <vt:i4>527</vt:i4>
      </vt:variant>
      <vt:variant>
        <vt:i4>0</vt:i4>
      </vt:variant>
      <vt:variant>
        <vt:i4>5</vt:i4>
      </vt:variant>
      <vt:variant>
        <vt:lpwstr/>
      </vt:variant>
      <vt:variant>
        <vt:lpwstr>_Toc97272023</vt:lpwstr>
      </vt:variant>
      <vt:variant>
        <vt:i4>1376315</vt:i4>
      </vt:variant>
      <vt:variant>
        <vt:i4>521</vt:i4>
      </vt:variant>
      <vt:variant>
        <vt:i4>0</vt:i4>
      </vt:variant>
      <vt:variant>
        <vt:i4>5</vt:i4>
      </vt:variant>
      <vt:variant>
        <vt:lpwstr/>
      </vt:variant>
      <vt:variant>
        <vt:lpwstr>_Toc97272022</vt:lpwstr>
      </vt:variant>
      <vt:variant>
        <vt:i4>1441851</vt:i4>
      </vt:variant>
      <vt:variant>
        <vt:i4>515</vt:i4>
      </vt:variant>
      <vt:variant>
        <vt:i4>0</vt:i4>
      </vt:variant>
      <vt:variant>
        <vt:i4>5</vt:i4>
      </vt:variant>
      <vt:variant>
        <vt:lpwstr/>
      </vt:variant>
      <vt:variant>
        <vt:lpwstr>_Toc97272021</vt:lpwstr>
      </vt:variant>
      <vt:variant>
        <vt:i4>1507387</vt:i4>
      </vt:variant>
      <vt:variant>
        <vt:i4>509</vt:i4>
      </vt:variant>
      <vt:variant>
        <vt:i4>0</vt:i4>
      </vt:variant>
      <vt:variant>
        <vt:i4>5</vt:i4>
      </vt:variant>
      <vt:variant>
        <vt:lpwstr/>
      </vt:variant>
      <vt:variant>
        <vt:lpwstr>_Toc97272020</vt:lpwstr>
      </vt:variant>
      <vt:variant>
        <vt:i4>1966136</vt:i4>
      </vt:variant>
      <vt:variant>
        <vt:i4>503</vt:i4>
      </vt:variant>
      <vt:variant>
        <vt:i4>0</vt:i4>
      </vt:variant>
      <vt:variant>
        <vt:i4>5</vt:i4>
      </vt:variant>
      <vt:variant>
        <vt:lpwstr/>
      </vt:variant>
      <vt:variant>
        <vt:lpwstr>_Toc97272019</vt:lpwstr>
      </vt:variant>
      <vt:variant>
        <vt:i4>1114175</vt:i4>
      </vt:variant>
      <vt:variant>
        <vt:i4>494</vt:i4>
      </vt:variant>
      <vt:variant>
        <vt:i4>0</vt:i4>
      </vt:variant>
      <vt:variant>
        <vt:i4>5</vt:i4>
      </vt:variant>
      <vt:variant>
        <vt:lpwstr/>
      </vt:variant>
      <vt:variant>
        <vt:lpwstr>_Toc82600014</vt:lpwstr>
      </vt:variant>
      <vt:variant>
        <vt:i4>1441855</vt:i4>
      </vt:variant>
      <vt:variant>
        <vt:i4>488</vt:i4>
      </vt:variant>
      <vt:variant>
        <vt:i4>0</vt:i4>
      </vt:variant>
      <vt:variant>
        <vt:i4>5</vt:i4>
      </vt:variant>
      <vt:variant>
        <vt:lpwstr/>
      </vt:variant>
      <vt:variant>
        <vt:lpwstr>_Toc82600013</vt:lpwstr>
      </vt:variant>
      <vt:variant>
        <vt:i4>1507391</vt:i4>
      </vt:variant>
      <vt:variant>
        <vt:i4>482</vt:i4>
      </vt:variant>
      <vt:variant>
        <vt:i4>0</vt:i4>
      </vt:variant>
      <vt:variant>
        <vt:i4>5</vt:i4>
      </vt:variant>
      <vt:variant>
        <vt:lpwstr/>
      </vt:variant>
      <vt:variant>
        <vt:lpwstr>_Toc82600012</vt:lpwstr>
      </vt:variant>
      <vt:variant>
        <vt:i4>1310783</vt:i4>
      </vt:variant>
      <vt:variant>
        <vt:i4>476</vt:i4>
      </vt:variant>
      <vt:variant>
        <vt:i4>0</vt:i4>
      </vt:variant>
      <vt:variant>
        <vt:i4>5</vt:i4>
      </vt:variant>
      <vt:variant>
        <vt:lpwstr/>
      </vt:variant>
      <vt:variant>
        <vt:lpwstr>_Toc82600011</vt:lpwstr>
      </vt:variant>
      <vt:variant>
        <vt:i4>1376319</vt:i4>
      </vt:variant>
      <vt:variant>
        <vt:i4>470</vt:i4>
      </vt:variant>
      <vt:variant>
        <vt:i4>0</vt:i4>
      </vt:variant>
      <vt:variant>
        <vt:i4>5</vt:i4>
      </vt:variant>
      <vt:variant>
        <vt:lpwstr/>
      </vt:variant>
      <vt:variant>
        <vt:lpwstr>_Toc82600010</vt:lpwstr>
      </vt:variant>
      <vt:variant>
        <vt:i4>1835070</vt:i4>
      </vt:variant>
      <vt:variant>
        <vt:i4>467</vt:i4>
      </vt:variant>
      <vt:variant>
        <vt:i4>0</vt:i4>
      </vt:variant>
      <vt:variant>
        <vt:i4>5</vt:i4>
      </vt:variant>
      <vt:variant>
        <vt:lpwstr/>
      </vt:variant>
      <vt:variant>
        <vt:lpwstr>_Toc82600009</vt:lpwstr>
      </vt:variant>
      <vt:variant>
        <vt:i4>1900606</vt:i4>
      </vt:variant>
      <vt:variant>
        <vt:i4>461</vt:i4>
      </vt:variant>
      <vt:variant>
        <vt:i4>0</vt:i4>
      </vt:variant>
      <vt:variant>
        <vt:i4>5</vt:i4>
      </vt:variant>
      <vt:variant>
        <vt:lpwstr/>
      </vt:variant>
      <vt:variant>
        <vt:lpwstr>_Toc82600008</vt:lpwstr>
      </vt:variant>
      <vt:variant>
        <vt:i4>1179710</vt:i4>
      </vt:variant>
      <vt:variant>
        <vt:i4>455</vt:i4>
      </vt:variant>
      <vt:variant>
        <vt:i4>0</vt:i4>
      </vt:variant>
      <vt:variant>
        <vt:i4>5</vt:i4>
      </vt:variant>
      <vt:variant>
        <vt:lpwstr/>
      </vt:variant>
      <vt:variant>
        <vt:lpwstr>_Toc82600007</vt:lpwstr>
      </vt:variant>
      <vt:variant>
        <vt:i4>1245246</vt:i4>
      </vt:variant>
      <vt:variant>
        <vt:i4>449</vt:i4>
      </vt:variant>
      <vt:variant>
        <vt:i4>0</vt:i4>
      </vt:variant>
      <vt:variant>
        <vt:i4>5</vt:i4>
      </vt:variant>
      <vt:variant>
        <vt:lpwstr/>
      </vt:variant>
      <vt:variant>
        <vt:lpwstr>_Toc82600006</vt:lpwstr>
      </vt:variant>
      <vt:variant>
        <vt:i4>1048638</vt:i4>
      </vt:variant>
      <vt:variant>
        <vt:i4>443</vt:i4>
      </vt:variant>
      <vt:variant>
        <vt:i4>0</vt:i4>
      </vt:variant>
      <vt:variant>
        <vt:i4>5</vt:i4>
      </vt:variant>
      <vt:variant>
        <vt:lpwstr/>
      </vt:variant>
      <vt:variant>
        <vt:lpwstr>_Toc82600005</vt:lpwstr>
      </vt:variant>
      <vt:variant>
        <vt:i4>1114174</vt:i4>
      </vt:variant>
      <vt:variant>
        <vt:i4>437</vt:i4>
      </vt:variant>
      <vt:variant>
        <vt:i4>0</vt:i4>
      </vt:variant>
      <vt:variant>
        <vt:i4>5</vt:i4>
      </vt:variant>
      <vt:variant>
        <vt:lpwstr/>
      </vt:variant>
      <vt:variant>
        <vt:lpwstr>_Toc82600004</vt:lpwstr>
      </vt:variant>
      <vt:variant>
        <vt:i4>5701743</vt:i4>
      </vt:variant>
      <vt:variant>
        <vt:i4>366</vt:i4>
      </vt:variant>
      <vt:variant>
        <vt:i4>0</vt:i4>
      </vt:variant>
      <vt:variant>
        <vt:i4>5</vt:i4>
      </vt:variant>
      <vt:variant>
        <vt:lpwstr>https://narodne-novine.nn.hr/clanci/sluzbeni/2019_09_91_1810.html</vt:lpwstr>
      </vt:variant>
      <vt:variant>
        <vt:lpwstr/>
      </vt:variant>
      <vt:variant>
        <vt:i4>7274623</vt:i4>
      </vt:variant>
      <vt:variant>
        <vt:i4>363</vt:i4>
      </vt:variant>
      <vt:variant>
        <vt:i4>0</vt:i4>
      </vt:variant>
      <vt:variant>
        <vt:i4>5</vt:i4>
      </vt:variant>
      <vt:variant>
        <vt:lpwstr>http://www.esf.hr/</vt:lpwstr>
      </vt:variant>
      <vt:variant>
        <vt:lpwstr/>
      </vt:variant>
      <vt:variant>
        <vt:i4>6160471</vt:i4>
      </vt:variant>
      <vt:variant>
        <vt:i4>360</vt:i4>
      </vt:variant>
      <vt:variant>
        <vt:i4>0</vt:i4>
      </vt:variant>
      <vt:variant>
        <vt:i4>5</vt:i4>
      </vt:variant>
      <vt:variant>
        <vt:lpwstr>https://strukturnifondovi.hr/</vt:lpwstr>
      </vt:variant>
      <vt:variant>
        <vt:lpwstr/>
      </vt:variant>
      <vt:variant>
        <vt:i4>2031672</vt:i4>
      </vt:variant>
      <vt:variant>
        <vt:i4>278</vt:i4>
      </vt:variant>
      <vt:variant>
        <vt:i4>0</vt:i4>
      </vt:variant>
      <vt:variant>
        <vt:i4>5</vt:i4>
      </vt:variant>
      <vt:variant>
        <vt:lpwstr/>
      </vt:variant>
      <vt:variant>
        <vt:lpwstr>_Toc97272018</vt:lpwstr>
      </vt:variant>
      <vt:variant>
        <vt:i4>1048632</vt:i4>
      </vt:variant>
      <vt:variant>
        <vt:i4>272</vt:i4>
      </vt:variant>
      <vt:variant>
        <vt:i4>0</vt:i4>
      </vt:variant>
      <vt:variant>
        <vt:i4>5</vt:i4>
      </vt:variant>
      <vt:variant>
        <vt:lpwstr/>
      </vt:variant>
      <vt:variant>
        <vt:lpwstr>_Toc97272017</vt:lpwstr>
      </vt:variant>
      <vt:variant>
        <vt:i4>1114168</vt:i4>
      </vt:variant>
      <vt:variant>
        <vt:i4>266</vt:i4>
      </vt:variant>
      <vt:variant>
        <vt:i4>0</vt:i4>
      </vt:variant>
      <vt:variant>
        <vt:i4>5</vt:i4>
      </vt:variant>
      <vt:variant>
        <vt:lpwstr/>
      </vt:variant>
      <vt:variant>
        <vt:lpwstr>_Toc97272016</vt:lpwstr>
      </vt:variant>
      <vt:variant>
        <vt:i4>1179704</vt:i4>
      </vt:variant>
      <vt:variant>
        <vt:i4>260</vt:i4>
      </vt:variant>
      <vt:variant>
        <vt:i4>0</vt:i4>
      </vt:variant>
      <vt:variant>
        <vt:i4>5</vt:i4>
      </vt:variant>
      <vt:variant>
        <vt:lpwstr/>
      </vt:variant>
      <vt:variant>
        <vt:lpwstr>_Toc97272015</vt:lpwstr>
      </vt:variant>
      <vt:variant>
        <vt:i4>1245240</vt:i4>
      </vt:variant>
      <vt:variant>
        <vt:i4>254</vt:i4>
      </vt:variant>
      <vt:variant>
        <vt:i4>0</vt:i4>
      </vt:variant>
      <vt:variant>
        <vt:i4>5</vt:i4>
      </vt:variant>
      <vt:variant>
        <vt:lpwstr/>
      </vt:variant>
      <vt:variant>
        <vt:lpwstr>_Toc97272014</vt:lpwstr>
      </vt:variant>
      <vt:variant>
        <vt:i4>1310776</vt:i4>
      </vt:variant>
      <vt:variant>
        <vt:i4>248</vt:i4>
      </vt:variant>
      <vt:variant>
        <vt:i4>0</vt:i4>
      </vt:variant>
      <vt:variant>
        <vt:i4>5</vt:i4>
      </vt:variant>
      <vt:variant>
        <vt:lpwstr/>
      </vt:variant>
      <vt:variant>
        <vt:lpwstr>_Toc97272013</vt:lpwstr>
      </vt:variant>
      <vt:variant>
        <vt:i4>1376312</vt:i4>
      </vt:variant>
      <vt:variant>
        <vt:i4>242</vt:i4>
      </vt:variant>
      <vt:variant>
        <vt:i4>0</vt:i4>
      </vt:variant>
      <vt:variant>
        <vt:i4>5</vt:i4>
      </vt:variant>
      <vt:variant>
        <vt:lpwstr/>
      </vt:variant>
      <vt:variant>
        <vt:lpwstr>_Toc97272012</vt:lpwstr>
      </vt:variant>
      <vt:variant>
        <vt:i4>1441848</vt:i4>
      </vt:variant>
      <vt:variant>
        <vt:i4>236</vt:i4>
      </vt:variant>
      <vt:variant>
        <vt:i4>0</vt:i4>
      </vt:variant>
      <vt:variant>
        <vt:i4>5</vt:i4>
      </vt:variant>
      <vt:variant>
        <vt:lpwstr/>
      </vt:variant>
      <vt:variant>
        <vt:lpwstr>_Toc97272011</vt:lpwstr>
      </vt:variant>
      <vt:variant>
        <vt:i4>1507384</vt:i4>
      </vt:variant>
      <vt:variant>
        <vt:i4>230</vt:i4>
      </vt:variant>
      <vt:variant>
        <vt:i4>0</vt:i4>
      </vt:variant>
      <vt:variant>
        <vt:i4>5</vt:i4>
      </vt:variant>
      <vt:variant>
        <vt:lpwstr/>
      </vt:variant>
      <vt:variant>
        <vt:lpwstr>_Toc97272010</vt:lpwstr>
      </vt:variant>
      <vt:variant>
        <vt:i4>1966137</vt:i4>
      </vt:variant>
      <vt:variant>
        <vt:i4>224</vt:i4>
      </vt:variant>
      <vt:variant>
        <vt:i4>0</vt:i4>
      </vt:variant>
      <vt:variant>
        <vt:i4>5</vt:i4>
      </vt:variant>
      <vt:variant>
        <vt:lpwstr/>
      </vt:variant>
      <vt:variant>
        <vt:lpwstr>_Toc97272009</vt:lpwstr>
      </vt:variant>
      <vt:variant>
        <vt:i4>2031673</vt:i4>
      </vt:variant>
      <vt:variant>
        <vt:i4>218</vt:i4>
      </vt:variant>
      <vt:variant>
        <vt:i4>0</vt:i4>
      </vt:variant>
      <vt:variant>
        <vt:i4>5</vt:i4>
      </vt:variant>
      <vt:variant>
        <vt:lpwstr/>
      </vt:variant>
      <vt:variant>
        <vt:lpwstr>_Toc97272008</vt:lpwstr>
      </vt:variant>
      <vt:variant>
        <vt:i4>1048633</vt:i4>
      </vt:variant>
      <vt:variant>
        <vt:i4>212</vt:i4>
      </vt:variant>
      <vt:variant>
        <vt:i4>0</vt:i4>
      </vt:variant>
      <vt:variant>
        <vt:i4>5</vt:i4>
      </vt:variant>
      <vt:variant>
        <vt:lpwstr/>
      </vt:variant>
      <vt:variant>
        <vt:lpwstr>_Toc97272007</vt:lpwstr>
      </vt:variant>
      <vt:variant>
        <vt:i4>1114169</vt:i4>
      </vt:variant>
      <vt:variant>
        <vt:i4>206</vt:i4>
      </vt:variant>
      <vt:variant>
        <vt:i4>0</vt:i4>
      </vt:variant>
      <vt:variant>
        <vt:i4>5</vt:i4>
      </vt:variant>
      <vt:variant>
        <vt:lpwstr/>
      </vt:variant>
      <vt:variant>
        <vt:lpwstr>_Toc97272006</vt:lpwstr>
      </vt:variant>
      <vt:variant>
        <vt:i4>1179705</vt:i4>
      </vt:variant>
      <vt:variant>
        <vt:i4>200</vt:i4>
      </vt:variant>
      <vt:variant>
        <vt:i4>0</vt:i4>
      </vt:variant>
      <vt:variant>
        <vt:i4>5</vt:i4>
      </vt:variant>
      <vt:variant>
        <vt:lpwstr/>
      </vt:variant>
      <vt:variant>
        <vt:lpwstr>_Toc97272005</vt:lpwstr>
      </vt:variant>
      <vt:variant>
        <vt:i4>1245241</vt:i4>
      </vt:variant>
      <vt:variant>
        <vt:i4>194</vt:i4>
      </vt:variant>
      <vt:variant>
        <vt:i4>0</vt:i4>
      </vt:variant>
      <vt:variant>
        <vt:i4>5</vt:i4>
      </vt:variant>
      <vt:variant>
        <vt:lpwstr/>
      </vt:variant>
      <vt:variant>
        <vt:lpwstr>_Toc97272004</vt:lpwstr>
      </vt:variant>
      <vt:variant>
        <vt:i4>1310777</vt:i4>
      </vt:variant>
      <vt:variant>
        <vt:i4>188</vt:i4>
      </vt:variant>
      <vt:variant>
        <vt:i4>0</vt:i4>
      </vt:variant>
      <vt:variant>
        <vt:i4>5</vt:i4>
      </vt:variant>
      <vt:variant>
        <vt:lpwstr/>
      </vt:variant>
      <vt:variant>
        <vt:lpwstr>_Toc97272003</vt:lpwstr>
      </vt:variant>
      <vt:variant>
        <vt:i4>1376313</vt:i4>
      </vt:variant>
      <vt:variant>
        <vt:i4>182</vt:i4>
      </vt:variant>
      <vt:variant>
        <vt:i4>0</vt:i4>
      </vt:variant>
      <vt:variant>
        <vt:i4>5</vt:i4>
      </vt:variant>
      <vt:variant>
        <vt:lpwstr/>
      </vt:variant>
      <vt:variant>
        <vt:lpwstr>_Toc97272002</vt:lpwstr>
      </vt:variant>
      <vt:variant>
        <vt:i4>1441849</vt:i4>
      </vt:variant>
      <vt:variant>
        <vt:i4>176</vt:i4>
      </vt:variant>
      <vt:variant>
        <vt:i4>0</vt:i4>
      </vt:variant>
      <vt:variant>
        <vt:i4>5</vt:i4>
      </vt:variant>
      <vt:variant>
        <vt:lpwstr/>
      </vt:variant>
      <vt:variant>
        <vt:lpwstr>_Toc97272001</vt:lpwstr>
      </vt:variant>
      <vt:variant>
        <vt:i4>1507385</vt:i4>
      </vt:variant>
      <vt:variant>
        <vt:i4>170</vt:i4>
      </vt:variant>
      <vt:variant>
        <vt:i4>0</vt:i4>
      </vt:variant>
      <vt:variant>
        <vt:i4>5</vt:i4>
      </vt:variant>
      <vt:variant>
        <vt:lpwstr/>
      </vt:variant>
      <vt:variant>
        <vt:lpwstr>_Toc97272000</vt:lpwstr>
      </vt:variant>
      <vt:variant>
        <vt:i4>1507379</vt:i4>
      </vt:variant>
      <vt:variant>
        <vt:i4>164</vt:i4>
      </vt:variant>
      <vt:variant>
        <vt:i4>0</vt:i4>
      </vt:variant>
      <vt:variant>
        <vt:i4>5</vt:i4>
      </vt:variant>
      <vt:variant>
        <vt:lpwstr/>
      </vt:variant>
      <vt:variant>
        <vt:lpwstr>_Toc97271999</vt:lpwstr>
      </vt:variant>
      <vt:variant>
        <vt:i4>1441843</vt:i4>
      </vt:variant>
      <vt:variant>
        <vt:i4>158</vt:i4>
      </vt:variant>
      <vt:variant>
        <vt:i4>0</vt:i4>
      </vt:variant>
      <vt:variant>
        <vt:i4>5</vt:i4>
      </vt:variant>
      <vt:variant>
        <vt:lpwstr/>
      </vt:variant>
      <vt:variant>
        <vt:lpwstr>_Toc97271998</vt:lpwstr>
      </vt:variant>
      <vt:variant>
        <vt:i4>1638451</vt:i4>
      </vt:variant>
      <vt:variant>
        <vt:i4>152</vt:i4>
      </vt:variant>
      <vt:variant>
        <vt:i4>0</vt:i4>
      </vt:variant>
      <vt:variant>
        <vt:i4>5</vt:i4>
      </vt:variant>
      <vt:variant>
        <vt:lpwstr/>
      </vt:variant>
      <vt:variant>
        <vt:lpwstr>_Toc97271997</vt:lpwstr>
      </vt:variant>
      <vt:variant>
        <vt:i4>1572915</vt:i4>
      </vt:variant>
      <vt:variant>
        <vt:i4>146</vt:i4>
      </vt:variant>
      <vt:variant>
        <vt:i4>0</vt:i4>
      </vt:variant>
      <vt:variant>
        <vt:i4>5</vt:i4>
      </vt:variant>
      <vt:variant>
        <vt:lpwstr/>
      </vt:variant>
      <vt:variant>
        <vt:lpwstr>_Toc97271996</vt:lpwstr>
      </vt:variant>
      <vt:variant>
        <vt:i4>1769523</vt:i4>
      </vt:variant>
      <vt:variant>
        <vt:i4>140</vt:i4>
      </vt:variant>
      <vt:variant>
        <vt:i4>0</vt:i4>
      </vt:variant>
      <vt:variant>
        <vt:i4>5</vt:i4>
      </vt:variant>
      <vt:variant>
        <vt:lpwstr/>
      </vt:variant>
      <vt:variant>
        <vt:lpwstr>_Toc97271995</vt:lpwstr>
      </vt:variant>
      <vt:variant>
        <vt:i4>1703987</vt:i4>
      </vt:variant>
      <vt:variant>
        <vt:i4>134</vt:i4>
      </vt:variant>
      <vt:variant>
        <vt:i4>0</vt:i4>
      </vt:variant>
      <vt:variant>
        <vt:i4>5</vt:i4>
      </vt:variant>
      <vt:variant>
        <vt:lpwstr/>
      </vt:variant>
      <vt:variant>
        <vt:lpwstr>_Toc97271994</vt:lpwstr>
      </vt:variant>
      <vt:variant>
        <vt:i4>1900595</vt:i4>
      </vt:variant>
      <vt:variant>
        <vt:i4>128</vt:i4>
      </vt:variant>
      <vt:variant>
        <vt:i4>0</vt:i4>
      </vt:variant>
      <vt:variant>
        <vt:i4>5</vt:i4>
      </vt:variant>
      <vt:variant>
        <vt:lpwstr/>
      </vt:variant>
      <vt:variant>
        <vt:lpwstr>_Toc97271993</vt:lpwstr>
      </vt:variant>
      <vt:variant>
        <vt:i4>1835059</vt:i4>
      </vt:variant>
      <vt:variant>
        <vt:i4>122</vt:i4>
      </vt:variant>
      <vt:variant>
        <vt:i4>0</vt:i4>
      </vt:variant>
      <vt:variant>
        <vt:i4>5</vt:i4>
      </vt:variant>
      <vt:variant>
        <vt:lpwstr/>
      </vt:variant>
      <vt:variant>
        <vt:lpwstr>_Toc97271992</vt:lpwstr>
      </vt:variant>
      <vt:variant>
        <vt:i4>2031667</vt:i4>
      </vt:variant>
      <vt:variant>
        <vt:i4>116</vt:i4>
      </vt:variant>
      <vt:variant>
        <vt:i4>0</vt:i4>
      </vt:variant>
      <vt:variant>
        <vt:i4>5</vt:i4>
      </vt:variant>
      <vt:variant>
        <vt:lpwstr/>
      </vt:variant>
      <vt:variant>
        <vt:lpwstr>_Toc97271991</vt:lpwstr>
      </vt:variant>
      <vt:variant>
        <vt:i4>1966131</vt:i4>
      </vt:variant>
      <vt:variant>
        <vt:i4>110</vt:i4>
      </vt:variant>
      <vt:variant>
        <vt:i4>0</vt:i4>
      </vt:variant>
      <vt:variant>
        <vt:i4>5</vt:i4>
      </vt:variant>
      <vt:variant>
        <vt:lpwstr/>
      </vt:variant>
      <vt:variant>
        <vt:lpwstr>_Toc97271990</vt:lpwstr>
      </vt:variant>
      <vt:variant>
        <vt:i4>1507378</vt:i4>
      </vt:variant>
      <vt:variant>
        <vt:i4>104</vt:i4>
      </vt:variant>
      <vt:variant>
        <vt:i4>0</vt:i4>
      </vt:variant>
      <vt:variant>
        <vt:i4>5</vt:i4>
      </vt:variant>
      <vt:variant>
        <vt:lpwstr/>
      </vt:variant>
      <vt:variant>
        <vt:lpwstr>_Toc97271989</vt:lpwstr>
      </vt:variant>
      <vt:variant>
        <vt:i4>1441842</vt:i4>
      </vt:variant>
      <vt:variant>
        <vt:i4>98</vt:i4>
      </vt:variant>
      <vt:variant>
        <vt:i4>0</vt:i4>
      </vt:variant>
      <vt:variant>
        <vt:i4>5</vt:i4>
      </vt:variant>
      <vt:variant>
        <vt:lpwstr/>
      </vt:variant>
      <vt:variant>
        <vt:lpwstr>_Toc97271988</vt:lpwstr>
      </vt:variant>
      <vt:variant>
        <vt:i4>1638450</vt:i4>
      </vt:variant>
      <vt:variant>
        <vt:i4>92</vt:i4>
      </vt:variant>
      <vt:variant>
        <vt:i4>0</vt:i4>
      </vt:variant>
      <vt:variant>
        <vt:i4>5</vt:i4>
      </vt:variant>
      <vt:variant>
        <vt:lpwstr/>
      </vt:variant>
      <vt:variant>
        <vt:lpwstr>_Toc97271987</vt:lpwstr>
      </vt:variant>
      <vt:variant>
        <vt:i4>1572914</vt:i4>
      </vt:variant>
      <vt:variant>
        <vt:i4>86</vt:i4>
      </vt:variant>
      <vt:variant>
        <vt:i4>0</vt:i4>
      </vt:variant>
      <vt:variant>
        <vt:i4>5</vt:i4>
      </vt:variant>
      <vt:variant>
        <vt:lpwstr/>
      </vt:variant>
      <vt:variant>
        <vt:lpwstr>_Toc97271986</vt:lpwstr>
      </vt:variant>
      <vt:variant>
        <vt:i4>1769522</vt:i4>
      </vt:variant>
      <vt:variant>
        <vt:i4>80</vt:i4>
      </vt:variant>
      <vt:variant>
        <vt:i4>0</vt:i4>
      </vt:variant>
      <vt:variant>
        <vt:i4>5</vt:i4>
      </vt:variant>
      <vt:variant>
        <vt:lpwstr/>
      </vt:variant>
      <vt:variant>
        <vt:lpwstr>_Toc97271985</vt:lpwstr>
      </vt:variant>
      <vt:variant>
        <vt:i4>1703986</vt:i4>
      </vt:variant>
      <vt:variant>
        <vt:i4>74</vt:i4>
      </vt:variant>
      <vt:variant>
        <vt:i4>0</vt:i4>
      </vt:variant>
      <vt:variant>
        <vt:i4>5</vt:i4>
      </vt:variant>
      <vt:variant>
        <vt:lpwstr/>
      </vt:variant>
      <vt:variant>
        <vt:lpwstr>_Toc97271984</vt:lpwstr>
      </vt:variant>
      <vt:variant>
        <vt:i4>1900594</vt:i4>
      </vt:variant>
      <vt:variant>
        <vt:i4>68</vt:i4>
      </vt:variant>
      <vt:variant>
        <vt:i4>0</vt:i4>
      </vt:variant>
      <vt:variant>
        <vt:i4>5</vt:i4>
      </vt:variant>
      <vt:variant>
        <vt:lpwstr/>
      </vt:variant>
      <vt:variant>
        <vt:lpwstr>_Toc97271983</vt:lpwstr>
      </vt:variant>
      <vt:variant>
        <vt:i4>1835058</vt:i4>
      </vt:variant>
      <vt:variant>
        <vt:i4>62</vt:i4>
      </vt:variant>
      <vt:variant>
        <vt:i4>0</vt:i4>
      </vt:variant>
      <vt:variant>
        <vt:i4>5</vt:i4>
      </vt:variant>
      <vt:variant>
        <vt:lpwstr/>
      </vt:variant>
      <vt:variant>
        <vt:lpwstr>_Toc97271982</vt:lpwstr>
      </vt:variant>
      <vt:variant>
        <vt:i4>2031666</vt:i4>
      </vt:variant>
      <vt:variant>
        <vt:i4>56</vt:i4>
      </vt:variant>
      <vt:variant>
        <vt:i4>0</vt:i4>
      </vt:variant>
      <vt:variant>
        <vt:i4>5</vt:i4>
      </vt:variant>
      <vt:variant>
        <vt:lpwstr/>
      </vt:variant>
      <vt:variant>
        <vt:lpwstr>_Toc97271981</vt:lpwstr>
      </vt:variant>
      <vt:variant>
        <vt:i4>1966130</vt:i4>
      </vt:variant>
      <vt:variant>
        <vt:i4>50</vt:i4>
      </vt:variant>
      <vt:variant>
        <vt:i4>0</vt:i4>
      </vt:variant>
      <vt:variant>
        <vt:i4>5</vt:i4>
      </vt:variant>
      <vt:variant>
        <vt:lpwstr/>
      </vt:variant>
      <vt:variant>
        <vt:lpwstr>_Toc97271980</vt:lpwstr>
      </vt:variant>
      <vt:variant>
        <vt:i4>1507389</vt:i4>
      </vt:variant>
      <vt:variant>
        <vt:i4>44</vt:i4>
      </vt:variant>
      <vt:variant>
        <vt:i4>0</vt:i4>
      </vt:variant>
      <vt:variant>
        <vt:i4>5</vt:i4>
      </vt:variant>
      <vt:variant>
        <vt:lpwstr/>
      </vt:variant>
      <vt:variant>
        <vt:lpwstr>_Toc97271979</vt:lpwstr>
      </vt:variant>
      <vt:variant>
        <vt:i4>1441853</vt:i4>
      </vt:variant>
      <vt:variant>
        <vt:i4>38</vt:i4>
      </vt:variant>
      <vt:variant>
        <vt:i4>0</vt:i4>
      </vt:variant>
      <vt:variant>
        <vt:i4>5</vt:i4>
      </vt:variant>
      <vt:variant>
        <vt:lpwstr/>
      </vt:variant>
      <vt:variant>
        <vt:lpwstr>_Toc97271978</vt:lpwstr>
      </vt:variant>
      <vt:variant>
        <vt:i4>1638461</vt:i4>
      </vt:variant>
      <vt:variant>
        <vt:i4>32</vt:i4>
      </vt:variant>
      <vt:variant>
        <vt:i4>0</vt:i4>
      </vt:variant>
      <vt:variant>
        <vt:i4>5</vt:i4>
      </vt:variant>
      <vt:variant>
        <vt:lpwstr/>
      </vt:variant>
      <vt:variant>
        <vt:lpwstr>_Toc97271977</vt:lpwstr>
      </vt:variant>
      <vt:variant>
        <vt:i4>1572925</vt:i4>
      </vt:variant>
      <vt:variant>
        <vt:i4>26</vt:i4>
      </vt:variant>
      <vt:variant>
        <vt:i4>0</vt:i4>
      </vt:variant>
      <vt:variant>
        <vt:i4>5</vt:i4>
      </vt:variant>
      <vt:variant>
        <vt:lpwstr/>
      </vt:variant>
      <vt:variant>
        <vt:lpwstr>_Toc97271976</vt:lpwstr>
      </vt:variant>
      <vt:variant>
        <vt:i4>1769533</vt:i4>
      </vt:variant>
      <vt:variant>
        <vt:i4>20</vt:i4>
      </vt:variant>
      <vt:variant>
        <vt:i4>0</vt:i4>
      </vt:variant>
      <vt:variant>
        <vt:i4>5</vt:i4>
      </vt:variant>
      <vt:variant>
        <vt:lpwstr/>
      </vt:variant>
      <vt:variant>
        <vt:lpwstr>_Toc97271975</vt:lpwstr>
      </vt:variant>
      <vt:variant>
        <vt:i4>1703997</vt:i4>
      </vt:variant>
      <vt:variant>
        <vt:i4>14</vt:i4>
      </vt:variant>
      <vt:variant>
        <vt:i4>0</vt:i4>
      </vt:variant>
      <vt:variant>
        <vt:i4>5</vt:i4>
      </vt:variant>
      <vt:variant>
        <vt:lpwstr/>
      </vt:variant>
      <vt:variant>
        <vt:lpwstr>_Toc97271974</vt:lpwstr>
      </vt:variant>
      <vt:variant>
        <vt:i4>1900605</vt:i4>
      </vt:variant>
      <vt:variant>
        <vt:i4>8</vt:i4>
      </vt:variant>
      <vt:variant>
        <vt:i4>0</vt:i4>
      </vt:variant>
      <vt:variant>
        <vt:i4>5</vt:i4>
      </vt:variant>
      <vt:variant>
        <vt:lpwstr/>
      </vt:variant>
      <vt:variant>
        <vt:lpwstr>_Toc97271973</vt:lpwstr>
      </vt:variant>
      <vt:variant>
        <vt:i4>1835069</vt:i4>
      </vt:variant>
      <vt:variant>
        <vt:i4>2</vt:i4>
      </vt:variant>
      <vt:variant>
        <vt:i4>0</vt:i4>
      </vt:variant>
      <vt:variant>
        <vt:i4>5</vt:i4>
      </vt:variant>
      <vt:variant>
        <vt:lpwstr/>
      </vt:variant>
      <vt:variant>
        <vt:lpwstr>_Toc97271972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2023-12-04T14:01:00Z</dcterms:created>
  <dcterms:modified xsi:type="dcterms:W3CDTF">2023-12-18T11:02:00Z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c0dd1fae-62d8-489d-b525-69e387d929ca</vt:lpwstr>
  </property>
  <property fmtid="{D5CDD505-2E9C-101B-9397-08002B2CF9AE}" pid="4" name="GrammarlyDocumentId">
    <vt:lpwstr>fd891427b31a6069befed0c00cadbc915b4b3e0fe20fecdbf2e8b924b443bcfd</vt:lpwstr>
  </property>
</Properties>
</file>