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DF124" w14:textId="77777777" w:rsidR="004B6B1C" w:rsidRDefault="004B6B1C" w:rsidP="004B6B1C">
      <w:pPr>
        <w:pStyle w:val="Naslov1"/>
        <w:ind w:left="0" w:right="115"/>
        <w:jc w:val="right"/>
      </w:pPr>
    </w:p>
    <w:p w14:paraId="2A18EADD" w14:textId="77777777" w:rsidR="004B6B1C" w:rsidRPr="005619A6" w:rsidRDefault="004B6B1C" w:rsidP="004B6B1C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/>
        </w:rPr>
      </w:pPr>
      <w:r w:rsidRPr="005619A6">
        <w:rPr>
          <w:rFonts w:ascii="Calibri" w:eastAsia="Calibri" w:hAnsi="Calibri"/>
          <w:noProof/>
          <w:lang w:eastAsia="hr-HR"/>
        </w:rPr>
        <w:drawing>
          <wp:inline distT="0" distB="0" distL="0" distR="0" wp14:anchorId="40AE568A" wp14:editId="7B3ACBF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9A6">
        <w:rPr>
          <w:rFonts w:ascii="Calibri" w:eastAsia="Calibri" w:hAnsi="Calibri"/>
        </w:rPr>
        <w:fldChar w:fldCharType="begin"/>
      </w:r>
      <w:r w:rsidRPr="005619A6">
        <w:rPr>
          <w:rFonts w:ascii="Calibri" w:eastAsia="Calibri" w:hAnsi="Calibri"/>
        </w:rPr>
        <w:instrText xml:space="preserve"> INCLUDEPICTURE "http://www.inet.hr/~box/images/grb-rh.gif" \* MERGEFORMATINET </w:instrText>
      </w:r>
      <w:r w:rsidRPr="005619A6">
        <w:rPr>
          <w:rFonts w:ascii="Calibri" w:eastAsia="Calibri" w:hAnsi="Calibri"/>
        </w:rPr>
        <w:fldChar w:fldCharType="end"/>
      </w:r>
    </w:p>
    <w:p w14:paraId="18F6F2A2" w14:textId="77777777" w:rsidR="004B6B1C" w:rsidRPr="005619A6" w:rsidRDefault="004B6B1C" w:rsidP="004B6B1C">
      <w:pPr>
        <w:widowControl/>
        <w:autoSpaceDE/>
        <w:autoSpaceDN/>
        <w:spacing w:before="60" w:after="1680" w:line="276" w:lineRule="auto"/>
        <w:jc w:val="center"/>
        <w:rPr>
          <w:rFonts w:eastAsia="Calibri"/>
          <w:sz w:val="28"/>
        </w:rPr>
      </w:pPr>
      <w:r w:rsidRPr="005619A6">
        <w:rPr>
          <w:rFonts w:eastAsia="Calibri"/>
          <w:sz w:val="28"/>
        </w:rPr>
        <w:t>VLADA REPUBLIKE HRVATSKE</w:t>
      </w:r>
    </w:p>
    <w:p w14:paraId="54C6FC3A" w14:textId="77777777" w:rsidR="004B6B1C" w:rsidRPr="005619A6" w:rsidRDefault="004B6B1C" w:rsidP="004B6B1C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</w:p>
    <w:p w14:paraId="70C732EE" w14:textId="720F085C" w:rsidR="004B6B1C" w:rsidRPr="005619A6" w:rsidRDefault="004B6B1C" w:rsidP="004B6B1C">
      <w:pPr>
        <w:widowControl/>
        <w:autoSpaceDE/>
        <w:autoSpaceDN/>
        <w:spacing w:after="200" w:line="276" w:lineRule="auto"/>
        <w:jc w:val="right"/>
        <w:rPr>
          <w:rFonts w:eastAsia="Calibri"/>
          <w:sz w:val="24"/>
          <w:szCs w:val="24"/>
        </w:rPr>
      </w:pPr>
      <w:r w:rsidRPr="005619A6">
        <w:rPr>
          <w:rFonts w:eastAsia="Calibri"/>
          <w:sz w:val="24"/>
          <w:szCs w:val="24"/>
        </w:rPr>
        <w:t xml:space="preserve">Zagreb, </w:t>
      </w:r>
      <w:r w:rsidR="002D7948">
        <w:rPr>
          <w:rFonts w:eastAsia="Calibri"/>
          <w:sz w:val="24"/>
          <w:szCs w:val="24"/>
        </w:rPr>
        <w:t>28</w:t>
      </w:r>
      <w:r w:rsidR="00B204EE">
        <w:rPr>
          <w:rFonts w:eastAsia="Calibri"/>
          <w:sz w:val="24"/>
          <w:szCs w:val="24"/>
        </w:rPr>
        <w:t>. prosinca</w:t>
      </w:r>
      <w:r w:rsidRPr="005619A6">
        <w:rPr>
          <w:rFonts w:eastAsia="Calibri"/>
          <w:sz w:val="24"/>
          <w:szCs w:val="24"/>
        </w:rPr>
        <w:t xml:space="preserve"> 202</w:t>
      </w:r>
      <w:r>
        <w:rPr>
          <w:rFonts w:eastAsia="Calibri"/>
          <w:sz w:val="24"/>
          <w:szCs w:val="24"/>
        </w:rPr>
        <w:t>3</w:t>
      </w:r>
      <w:r w:rsidRPr="005619A6">
        <w:rPr>
          <w:rFonts w:eastAsia="Calibri"/>
          <w:sz w:val="24"/>
          <w:szCs w:val="24"/>
        </w:rPr>
        <w:t>.</w:t>
      </w:r>
    </w:p>
    <w:p w14:paraId="24F9C9F3" w14:textId="77777777" w:rsidR="004B6B1C" w:rsidRPr="005619A6" w:rsidRDefault="004B6B1C" w:rsidP="004B6B1C">
      <w:pPr>
        <w:widowControl/>
        <w:autoSpaceDE/>
        <w:autoSpaceDN/>
        <w:spacing w:after="200" w:line="276" w:lineRule="auto"/>
        <w:jc w:val="right"/>
        <w:rPr>
          <w:rFonts w:eastAsia="Calibri"/>
          <w:sz w:val="24"/>
          <w:szCs w:val="24"/>
        </w:rPr>
      </w:pPr>
    </w:p>
    <w:p w14:paraId="1DC541ED" w14:textId="77777777" w:rsidR="004B6B1C" w:rsidRPr="005619A6" w:rsidRDefault="004B6B1C" w:rsidP="004B6B1C">
      <w:pPr>
        <w:widowControl/>
        <w:autoSpaceDE/>
        <w:autoSpaceDN/>
        <w:spacing w:after="200" w:line="276" w:lineRule="auto"/>
        <w:jc w:val="right"/>
        <w:rPr>
          <w:rFonts w:eastAsia="Calibri"/>
          <w:sz w:val="24"/>
          <w:szCs w:val="24"/>
        </w:rPr>
      </w:pPr>
    </w:p>
    <w:p w14:paraId="337EE1FD" w14:textId="77777777" w:rsidR="004B6B1C" w:rsidRPr="005619A6" w:rsidRDefault="004B6B1C" w:rsidP="004B6B1C">
      <w:pPr>
        <w:widowControl/>
        <w:autoSpaceDE/>
        <w:autoSpaceDN/>
        <w:spacing w:after="200" w:line="276" w:lineRule="auto"/>
        <w:jc w:val="right"/>
        <w:rPr>
          <w:rFonts w:eastAsia="Calibri"/>
          <w:sz w:val="24"/>
          <w:szCs w:val="24"/>
        </w:rPr>
      </w:pPr>
    </w:p>
    <w:p w14:paraId="25B065ED" w14:textId="77777777" w:rsidR="004B6B1C" w:rsidRPr="005619A6" w:rsidRDefault="004B6B1C" w:rsidP="004B6B1C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 w:rsidRPr="005619A6">
        <w:rPr>
          <w:rFonts w:eastAsia="Calibri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4B6B1C" w:rsidRPr="005619A6" w14:paraId="78BD96D5" w14:textId="77777777" w:rsidTr="001F68AD">
        <w:tc>
          <w:tcPr>
            <w:tcW w:w="1951" w:type="dxa"/>
          </w:tcPr>
          <w:p w14:paraId="7B4305B8" w14:textId="77777777" w:rsidR="004B6B1C" w:rsidRPr="005619A6" w:rsidRDefault="004B6B1C" w:rsidP="001F68A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619A6">
              <w:rPr>
                <w:sz w:val="24"/>
                <w:szCs w:val="24"/>
              </w:rPr>
              <w:t xml:space="preserve"> </w:t>
            </w:r>
            <w:r w:rsidRPr="005619A6">
              <w:rPr>
                <w:b/>
                <w:smallCaps/>
                <w:sz w:val="24"/>
                <w:szCs w:val="24"/>
              </w:rPr>
              <w:t>Predlagatelj</w:t>
            </w:r>
            <w:r w:rsidRPr="005619A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53F4EC4" w14:textId="77777777" w:rsidR="004B6B1C" w:rsidRPr="005619A6" w:rsidRDefault="004B6B1C" w:rsidP="001F68AD">
            <w:pPr>
              <w:spacing w:line="360" w:lineRule="auto"/>
              <w:rPr>
                <w:sz w:val="24"/>
                <w:szCs w:val="24"/>
              </w:rPr>
            </w:pPr>
            <w:r w:rsidRPr="005619A6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zdravstva</w:t>
            </w:r>
          </w:p>
        </w:tc>
      </w:tr>
    </w:tbl>
    <w:p w14:paraId="1C505D38" w14:textId="77777777" w:rsidR="004B6B1C" w:rsidRPr="005619A6" w:rsidRDefault="004B6B1C" w:rsidP="004B6B1C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 w:rsidRPr="005619A6">
        <w:rPr>
          <w:rFonts w:eastAsia="Calibri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4B6B1C" w:rsidRPr="005619A6" w14:paraId="7467D5D5" w14:textId="77777777" w:rsidTr="001F68AD">
        <w:tc>
          <w:tcPr>
            <w:tcW w:w="1951" w:type="dxa"/>
          </w:tcPr>
          <w:p w14:paraId="5215004A" w14:textId="77777777" w:rsidR="004B6B1C" w:rsidRPr="005619A6" w:rsidRDefault="004B6B1C" w:rsidP="001F68A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619A6">
              <w:rPr>
                <w:b/>
                <w:smallCaps/>
                <w:sz w:val="24"/>
                <w:szCs w:val="24"/>
              </w:rPr>
              <w:t>Predmet</w:t>
            </w:r>
            <w:r w:rsidRPr="005619A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AB8F3A6" w14:textId="2608EF80" w:rsidR="004B6B1C" w:rsidRPr="00F34A00" w:rsidRDefault="004B6B1C" w:rsidP="00B70868">
            <w:pPr>
              <w:jc w:val="both"/>
              <w:rPr>
                <w:sz w:val="24"/>
                <w:szCs w:val="24"/>
              </w:rPr>
            </w:pPr>
            <w:r w:rsidRPr="00F34A00">
              <w:rPr>
                <w:sz w:val="24"/>
                <w:szCs w:val="24"/>
                <w:lang w:eastAsia="zh-CN"/>
              </w:rPr>
              <w:t xml:space="preserve">Prijedlog </w:t>
            </w:r>
            <w:r w:rsidR="00B70868">
              <w:rPr>
                <w:sz w:val="24"/>
                <w:szCs w:val="24"/>
                <w:lang w:eastAsia="zh-CN"/>
              </w:rPr>
              <w:t>o</w:t>
            </w:r>
            <w:r w:rsidRPr="00F34A00">
              <w:rPr>
                <w:sz w:val="24"/>
                <w:szCs w:val="24"/>
                <w:lang w:eastAsia="zh-CN"/>
              </w:rPr>
              <w:t xml:space="preserve">dluke o </w:t>
            </w:r>
            <w:r w:rsidR="00C907D3">
              <w:rPr>
                <w:sz w:val="24"/>
                <w:szCs w:val="24"/>
                <w:lang w:eastAsia="zh-CN"/>
              </w:rPr>
              <w:t>c</w:t>
            </w:r>
            <w:r w:rsidR="00B70868">
              <w:rPr>
                <w:sz w:val="24"/>
                <w:szCs w:val="24"/>
                <w:lang w:eastAsia="zh-CN"/>
              </w:rPr>
              <w:t>entraliziranom financiranju</w:t>
            </w:r>
            <w:r w:rsidRPr="00F34A00">
              <w:rPr>
                <w:sz w:val="24"/>
                <w:szCs w:val="24"/>
                <w:lang w:eastAsia="zh-CN"/>
              </w:rPr>
              <w:t xml:space="preserve"> specijalističkog usavršavanja doktora medicine </w:t>
            </w:r>
          </w:p>
        </w:tc>
      </w:tr>
    </w:tbl>
    <w:p w14:paraId="4E8344DD" w14:textId="77777777" w:rsidR="004B6B1C" w:rsidRPr="005619A6" w:rsidRDefault="004B6B1C" w:rsidP="004B6B1C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 w:rsidRPr="005619A6">
        <w:rPr>
          <w:rFonts w:eastAsia="Calibri"/>
          <w:sz w:val="24"/>
          <w:szCs w:val="24"/>
        </w:rPr>
        <w:t>__________________________________________________________________________</w:t>
      </w:r>
    </w:p>
    <w:p w14:paraId="1CF5AF20" w14:textId="77777777" w:rsidR="004B6B1C" w:rsidRPr="005619A6" w:rsidRDefault="004B6B1C" w:rsidP="004B6B1C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</w:p>
    <w:p w14:paraId="184C1420" w14:textId="77777777" w:rsidR="004B6B1C" w:rsidRPr="005619A6" w:rsidRDefault="004B6B1C" w:rsidP="004B6B1C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</w:p>
    <w:p w14:paraId="39ACDDA0" w14:textId="77777777" w:rsidR="004B6B1C" w:rsidRPr="005619A6" w:rsidRDefault="004B6B1C" w:rsidP="004B6B1C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</w:p>
    <w:p w14:paraId="37BF2056" w14:textId="77777777" w:rsidR="004B6B1C" w:rsidRPr="005619A6" w:rsidRDefault="004B6B1C" w:rsidP="004B6B1C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</w:p>
    <w:p w14:paraId="3A485B95" w14:textId="77777777" w:rsidR="004B6B1C" w:rsidRPr="005619A6" w:rsidRDefault="004B6B1C" w:rsidP="004B6B1C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</w:p>
    <w:p w14:paraId="04EE42E4" w14:textId="77777777" w:rsidR="004B6B1C" w:rsidRPr="005619A6" w:rsidRDefault="004B6B1C" w:rsidP="004B6B1C">
      <w:pPr>
        <w:widowControl/>
        <w:tabs>
          <w:tab w:val="center" w:pos="4536"/>
          <w:tab w:val="right" w:pos="9072"/>
        </w:tabs>
        <w:autoSpaceDE/>
        <w:autoSpaceDN/>
        <w:rPr>
          <w:rFonts w:ascii="Calibri" w:eastAsia="Calibri" w:hAnsi="Calibri"/>
        </w:rPr>
      </w:pPr>
    </w:p>
    <w:p w14:paraId="4388DD8D" w14:textId="77777777" w:rsidR="004B6B1C" w:rsidRPr="005619A6" w:rsidRDefault="004B6B1C" w:rsidP="004B6B1C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14:paraId="74A830F4" w14:textId="77777777" w:rsidR="004B6B1C" w:rsidRDefault="004B6B1C" w:rsidP="004B6B1C">
      <w:pPr>
        <w:widowControl/>
        <w:tabs>
          <w:tab w:val="center" w:pos="4536"/>
          <w:tab w:val="right" w:pos="9072"/>
        </w:tabs>
        <w:autoSpaceDE/>
        <w:autoSpaceDN/>
        <w:rPr>
          <w:rFonts w:ascii="Calibri" w:eastAsia="Calibri" w:hAnsi="Calibri"/>
        </w:rPr>
      </w:pPr>
    </w:p>
    <w:p w14:paraId="736AEC76" w14:textId="77777777" w:rsidR="004B6B1C" w:rsidRDefault="004B6B1C" w:rsidP="004B6B1C">
      <w:pPr>
        <w:widowControl/>
        <w:tabs>
          <w:tab w:val="center" w:pos="4536"/>
          <w:tab w:val="right" w:pos="9072"/>
        </w:tabs>
        <w:autoSpaceDE/>
        <w:autoSpaceDN/>
        <w:rPr>
          <w:rFonts w:ascii="Calibri" w:eastAsia="Calibri" w:hAnsi="Calibri"/>
        </w:rPr>
      </w:pPr>
    </w:p>
    <w:p w14:paraId="67FE5364" w14:textId="77777777" w:rsidR="004B6B1C" w:rsidRPr="005619A6" w:rsidRDefault="004B6B1C" w:rsidP="004B6B1C">
      <w:pPr>
        <w:widowControl/>
        <w:tabs>
          <w:tab w:val="center" w:pos="4536"/>
          <w:tab w:val="right" w:pos="9072"/>
        </w:tabs>
        <w:autoSpaceDE/>
        <w:autoSpaceDN/>
        <w:rPr>
          <w:rFonts w:ascii="Calibri" w:eastAsia="Calibri" w:hAnsi="Calibri"/>
        </w:rPr>
      </w:pPr>
    </w:p>
    <w:p w14:paraId="22D20C28" w14:textId="77777777" w:rsidR="004B6B1C" w:rsidRPr="005619A6" w:rsidRDefault="004B6B1C" w:rsidP="004B6B1C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14:paraId="6F29126D" w14:textId="77777777" w:rsidR="004B6B1C" w:rsidRPr="005619A6" w:rsidRDefault="004B6B1C" w:rsidP="004B6B1C">
      <w:pPr>
        <w:widowControl/>
        <w:pBdr>
          <w:top w:val="single" w:sz="4" w:space="1" w:color="404040"/>
        </w:pBdr>
        <w:tabs>
          <w:tab w:val="center" w:pos="4536"/>
          <w:tab w:val="right" w:pos="9072"/>
        </w:tabs>
        <w:autoSpaceDE/>
        <w:autoSpaceDN/>
        <w:jc w:val="center"/>
        <w:rPr>
          <w:rFonts w:eastAsia="Calibri"/>
          <w:color w:val="404040"/>
          <w:spacing w:val="20"/>
          <w:sz w:val="20"/>
        </w:rPr>
      </w:pPr>
      <w:r w:rsidRPr="005619A6">
        <w:rPr>
          <w:rFonts w:eastAsia="Calibri"/>
          <w:color w:val="404040"/>
          <w:spacing w:val="20"/>
          <w:sz w:val="20"/>
        </w:rPr>
        <w:t>Banski dvori | Trg Sv. Marka 2  | 10000 Zagreb | tel. 01 4569 222 | vlada.gov.hr</w:t>
      </w:r>
    </w:p>
    <w:p w14:paraId="15B4CCC5" w14:textId="77777777" w:rsidR="004B6B1C" w:rsidRPr="00B204EE" w:rsidRDefault="004B6B1C" w:rsidP="00B204EE">
      <w:pPr>
        <w:jc w:val="right"/>
        <w:rPr>
          <w:b/>
          <w:sz w:val="24"/>
          <w:szCs w:val="24"/>
        </w:rPr>
      </w:pPr>
      <w:r>
        <w:br w:type="page"/>
      </w:r>
      <w:r w:rsidRPr="00B204EE">
        <w:rPr>
          <w:b/>
          <w:sz w:val="24"/>
          <w:szCs w:val="24"/>
        </w:rPr>
        <w:lastRenderedPageBreak/>
        <w:t>Prijedlog</w:t>
      </w:r>
    </w:p>
    <w:p w14:paraId="54206E11" w14:textId="77777777" w:rsidR="004B6B1C" w:rsidRDefault="004B6B1C" w:rsidP="004B6B1C">
      <w:pPr>
        <w:pStyle w:val="Tijeloteksta"/>
        <w:rPr>
          <w:b/>
          <w:sz w:val="26"/>
        </w:rPr>
      </w:pPr>
    </w:p>
    <w:p w14:paraId="7B2B6D78" w14:textId="77777777" w:rsidR="004B6B1C" w:rsidRDefault="004B6B1C" w:rsidP="004B6B1C">
      <w:pPr>
        <w:pStyle w:val="Tijeloteksta"/>
        <w:rPr>
          <w:b/>
          <w:sz w:val="26"/>
        </w:rPr>
      </w:pPr>
    </w:p>
    <w:p w14:paraId="4C1398FE" w14:textId="31ECA8CD" w:rsidR="004B6B1C" w:rsidRDefault="001338C3" w:rsidP="004B6B1C">
      <w:pPr>
        <w:pStyle w:val="Tijeloteksta"/>
        <w:jc w:val="both"/>
      </w:pPr>
      <w:r>
        <w:tab/>
      </w:r>
      <w:r w:rsidR="004B6B1C">
        <w:t>Na</w:t>
      </w:r>
      <w:r w:rsidR="004B6B1C">
        <w:rPr>
          <w:spacing w:val="9"/>
        </w:rPr>
        <w:t xml:space="preserve"> </w:t>
      </w:r>
      <w:r w:rsidR="004B6B1C">
        <w:t>temelju</w:t>
      </w:r>
      <w:r w:rsidR="004B6B1C">
        <w:rPr>
          <w:spacing w:val="13"/>
        </w:rPr>
        <w:t xml:space="preserve"> </w:t>
      </w:r>
      <w:r w:rsidR="004B6B1C">
        <w:t>članka</w:t>
      </w:r>
      <w:r w:rsidR="008B2D98">
        <w:t xml:space="preserve"> 8. i</w:t>
      </w:r>
      <w:r w:rsidR="004B6B1C">
        <w:rPr>
          <w:spacing w:val="11"/>
        </w:rPr>
        <w:t xml:space="preserve"> </w:t>
      </w:r>
      <w:r w:rsidR="004B6B1C">
        <w:t>31.</w:t>
      </w:r>
      <w:r w:rsidR="004B6B1C">
        <w:rPr>
          <w:spacing w:val="10"/>
        </w:rPr>
        <w:t xml:space="preserve"> </w:t>
      </w:r>
      <w:r w:rsidR="004B6B1C">
        <w:t>stavka</w:t>
      </w:r>
      <w:r w:rsidR="004B6B1C">
        <w:rPr>
          <w:spacing w:val="9"/>
        </w:rPr>
        <w:t xml:space="preserve"> </w:t>
      </w:r>
      <w:r w:rsidR="004B6B1C" w:rsidRPr="00B204EE">
        <w:rPr>
          <w:spacing w:val="9"/>
        </w:rPr>
        <w:t>2</w:t>
      </w:r>
      <w:r w:rsidR="004B6B1C" w:rsidRPr="00B204EE">
        <w:t>.</w:t>
      </w:r>
      <w:r w:rsidR="004B6B1C">
        <w:rPr>
          <w:spacing w:val="15"/>
        </w:rPr>
        <w:t xml:space="preserve"> </w:t>
      </w:r>
      <w:r w:rsidR="004B6B1C">
        <w:t>Zakona</w:t>
      </w:r>
      <w:r w:rsidR="004B6B1C">
        <w:rPr>
          <w:spacing w:val="9"/>
        </w:rPr>
        <w:t xml:space="preserve"> </w:t>
      </w:r>
      <w:r w:rsidR="004B6B1C">
        <w:t>o</w:t>
      </w:r>
      <w:r w:rsidR="004B6B1C">
        <w:rPr>
          <w:spacing w:val="13"/>
        </w:rPr>
        <w:t xml:space="preserve"> </w:t>
      </w:r>
      <w:r w:rsidR="004B6B1C">
        <w:t>Vladi</w:t>
      </w:r>
      <w:r w:rsidR="004B6B1C">
        <w:rPr>
          <w:spacing w:val="13"/>
        </w:rPr>
        <w:t xml:space="preserve"> </w:t>
      </w:r>
      <w:r w:rsidR="004B6B1C">
        <w:t>Republike</w:t>
      </w:r>
      <w:r w:rsidR="004B6B1C">
        <w:rPr>
          <w:spacing w:val="9"/>
        </w:rPr>
        <w:t xml:space="preserve"> </w:t>
      </w:r>
      <w:r w:rsidR="004B6B1C">
        <w:t>Hrvatske</w:t>
      </w:r>
      <w:r w:rsidR="004B6B1C">
        <w:rPr>
          <w:spacing w:val="9"/>
        </w:rPr>
        <w:t xml:space="preserve"> </w:t>
      </w:r>
      <w:r w:rsidR="004B6B1C">
        <w:t>(„Narodne</w:t>
      </w:r>
      <w:r>
        <w:t xml:space="preserve"> </w:t>
      </w:r>
      <w:r w:rsidR="004B6B1C">
        <w:rPr>
          <w:spacing w:val="-57"/>
        </w:rPr>
        <w:t xml:space="preserve"> </w:t>
      </w:r>
      <w:r w:rsidR="004B6B1C">
        <w:t>novine“,</w:t>
      </w:r>
      <w:r w:rsidR="004B6B1C">
        <w:rPr>
          <w:spacing w:val="65"/>
        </w:rPr>
        <w:t xml:space="preserve"> </w:t>
      </w:r>
      <w:r w:rsidR="004B6B1C">
        <w:t>br.</w:t>
      </w:r>
      <w:r w:rsidR="004B6B1C">
        <w:rPr>
          <w:spacing w:val="65"/>
        </w:rPr>
        <w:t xml:space="preserve"> </w:t>
      </w:r>
      <w:r w:rsidR="004B6B1C">
        <w:t>150/11.,</w:t>
      </w:r>
      <w:r w:rsidR="004B6B1C">
        <w:rPr>
          <w:spacing w:val="69"/>
        </w:rPr>
        <w:t xml:space="preserve"> </w:t>
      </w:r>
      <w:r w:rsidR="004B6B1C">
        <w:t>119/14.</w:t>
      </w:r>
      <w:r w:rsidR="004B6B1C">
        <w:rPr>
          <w:spacing w:val="66"/>
        </w:rPr>
        <w:t>,</w:t>
      </w:r>
      <w:r w:rsidR="004B6B1C">
        <w:t>93/16., 116/18. i 80/22.),</w:t>
      </w:r>
      <w:r w:rsidR="004B6B1C">
        <w:rPr>
          <w:spacing w:val="65"/>
        </w:rPr>
        <w:t xml:space="preserve"> </w:t>
      </w:r>
      <w:r w:rsidR="004B6B1C">
        <w:t>Vlada</w:t>
      </w:r>
      <w:r w:rsidR="004B6B1C">
        <w:rPr>
          <w:spacing w:val="65"/>
        </w:rPr>
        <w:t xml:space="preserve"> </w:t>
      </w:r>
      <w:r w:rsidR="004B6B1C">
        <w:t>Republike</w:t>
      </w:r>
      <w:r w:rsidR="004B6B1C">
        <w:rPr>
          <w:spacing w:val="66"/>
        </w:rPr>
        <w:t xml:space="preserve"> </w:t>
      </w:r>
      <w:r w:rsidR="004B6B1C">
        <w:t>Hrvatske</w:t>
      </w:r>
      <w:r w:rsidR="004B6B1C">
        <w:rPr>
          <w:spacing w:val="67"/>
        </w:rPr>
        <w:t xml:space="preserve"> </w:t>
      </w:r>
      <w:r w:rsidR="004B6B1C">
        <w:t>je</w:t>
      </w:r>
      <w:r w:rsidR="004B6B1C">
        <w:rPr>
          <w:spacing w:val="68"/>
        </w:rPr>
        <w:t xml:space="preserve"> </w:t>
      </w:r>
      <w:r w:rsidR="004B6B1C">
        <w:t>na</w:t>
      </w:r>
      <w:r w:rsidR="004B6B1C">
        <w:rPr>
          <w:spacing w:val="67"/>
        </w:rPr>
        <w:t xml:space="preserve"> </w:t>
      </w:r>
      <w:r w:rsidR="004B6B1C">
        <w:t>sjednici</w:t>
      </w:r>
      <w:r w:rsidR="004B6B1C">
        <w:rPr>
          <w:spacing w:val="67"/>
        </w:rPr>
        <w:t xml:space="preserve"> </w:t>
      </w:r>
      <w:r w:rsidR="004B6B1C">
        <w:t xml:space="preserve">održanoj </w:t>
      </w:r>
      <w:r w:rsidR="004B6B1C">
        <w:rPr>
          <w:u w:val="single"/>
        </w:rPr>
        <w:t xml:space="preserve">                              </w:t>
      </w:r>
      <w:r w:rsidR="004B6B1C" w:rsidRPr="00007429">
        <w:t xml:space="preserve"> </w:t>
      </w:r>
      <w:r w:rsidR="004B6B1C">
        <w:t>donijela</w:t>
      </w:r>
    </w:p>
    <w:p w14:paraId="26E1209E" w14:textId="77777777" w:rsidR="004B6B1C" w:rsidRDefault="004B6B1C" w:rsidP="004B6B1C">
      <w:pPr>
        <w:pStyle w:val="Tijeloteksta"/>
        <w:rPr>
          <w:sz w:val="26"/>
        </w:rPr>
      </w:pPr>
    </w:p>
    <w:p w14:paraId="79EA78D4" w14:textId="77777777" w:rsidR="004B6B1C" w:rsidRDefault="004B6B1C" w:rsidP="004B6B1C">
      <w:pPr>
        <w:pStyle w:val="Tijeloteksta"/>
        <w:rPr>
          <w:sz w:val="26"/>
        </w:rPr>
      </w:pPr>
    </w:p>
    <w:p w14:paraId="332A4A1D" w14:textId="77777777" w:rsidR="004B6B1C" w:rsidRDefault="004B6B1C" w:rsidP="004B6B1C">
      <w:pPr>
        <w:pStyle w:val="Tijeloteksta"/>
        <w:rPr>
          <w:sz w:val="20"/>
        </w:rPr>
      </w:pPr>
    </w:p>
    <w:p w14:paraId="7869FFFE" w14:textId="66A7E8F2" w:rsidR="004B6B1C" w:rsidRDefault="004B6B1C" w:rsidP="004B6B1C">
      <w:pPr>
        <w:pStyle w:val="Naslov1"/>
        <w:spacing w:before="0"/>
      </w:pPr>
      <w:r>
        <w:t>ODLUKU</w:t>
      </w:r>
    </w:p>
    <w:p w14:paraId="52A08167" w14:textId="64750221" w:rsidR="00691060" w:rsidRDefault="00410E8F" w:rsidP="004B6B1C">
      <w:pPr>
        <w:pStyle w:val="Naslov1"/>
        <w:spacing w:before="0"/>
      </w:pPr>
      <w:r>
        <w:t>o c</w:t>
      </w:r>
      <w:r w:rsidR="009B7845">
        <w:t>entraliziranom financiranju</w:t>
      </w:r>
      <w:r w:rsidR="00691060" w:rsidRPr="00691060">
        <w:t xml:space="preserve"> specijalističkog usavršavanja doktora medicine</w:t>
      </w:r>
    </w:p>
    <w:p w14:paraId="158E9BBA" w14:textId="77777777" w:rsidR="004B6B1C" w:rsidRDefault="004B6B1C" w:rsidP="004B6B1C">
      <w:pPr>
        <w:pStyle w:val="Tijeloteksta"/>
        <w:rPr>
          <w:b/>
          <w:sz w:val="26"/>
        </w:rPr>
      </w:pPr>
    </w:p>
    <w:p w14:paraId="1AF8EA24" w14:textId="77777777" w:rsidR="004B6B1C" w:rsidRDefault="004B6B1C" w:rsidP="004B6B1C">
      <w:pPr>
        <w:pStyle w:val="Tijeloteksta"/>
        <w:jc w:val="center"/>
        <w:rPr>
          <w:b/>
          <w:sz w:val="26"/>
        </w:rPr>
      </w:pPr>
    </w:p>
    <w:p w14:paraId="5A3B2A10" w14:textId="77777777" w:rsidR="004B6B1C" w:rsidRPr="00B204EE" w:rsidRDefault="004B6B1C" w:rsidP="004B6B1C">
      <w:pPr>
        <w:pStyle w:val="Tijeloteksta"/>
        <w:jc w:val="center"/>
        <w:rPr>
          <w:b/>
        </w:rPr>
      </w:pPr>
      <w:r w:rsidRPr="00B204EE">
        <w:rPr>
          <w:b/>
        </w:rPr>
        <w:t>I.</w:t>
      </w:r>
    </w:p>
    <w:p w14:paraId="2AC9907D" w14:textId="77777777" w:rsidR="004B6B1C" w:rsidRPr="00B204EE" w:rsidRDefault="004B6B1C" w:rsidP="004B6B1C">
      <w:pPr>
        <w:pStyle w:val="Tijeloteksta"/>
        <w:rPr>
          <w:b/>
        </w:rPr>
      </w:pPr>
    </w:p>
    <w:p w14:paraId="201F65B6" w14:textId="1BF5C35D" w:rsidR="007457E3" w:rsidRPr="00B204EE" w:rsidRDefault="007457E3" w:rsidP="001338C3">
      <w:pPr>
        <w:pStyle w:val="Tijeloteksta"/>
        <w:ind w:firstLine="720"/>
        <w:jc w:val="both"/>
      </w:pPr>
      <w:r w:rsidRPr="007457E3">
        <w:t>U cilju rješavanja nedostatka specijalista u određenim djelatnostima za popunjavanje mreže javne zdravstvene službe, osobito na razini primarne zdravstvene zaštite, financiranje specijalističkog usavršavanja doktora medicine provodi se putem sustava centralnog financiranja.</w:t>
      </w:r>
    </w:p>
    <w:p w14:paraId="7BD28A58" w14:textId="3C9C7BD9" w:rsidR="004B6B1C" w:rsidRDefault="004B6B1C" w:rsidP="004B6B1C">
      <w:pPr>
        <w:pStyle w:val="Tijeloteksta"/>
      </w:pPr>
    </w:p>
    <w:p w14:paraId="5A4801E8" w14:textId="77777777" w:rsidR="00A72A53" w:rsidRPr="00B204EE" w:rsidRDefault="00A72A53" w:rsidP="004B6B1C">
      <w:pPr>
        <w:pStyle w:val="Tijeloteksta"/>
      </w:pPr>
    </w:p>
    <w:p w14:paraId="57124402" w14:textId="0E5E9E97" w:rsidR="004B6B1C" w:rsidRDefault="004B6B1C" w:rsidP="004B6B1C">
      <w:pPr>
        <w:pStyle w:val="Tijeloteksta"/>
        <w:jc w:val="center"/>
        <w:rPr>
          <w:b/>
        </w:rPr>
      </w:pPr>
      <w:r w:rsidRPr="00B204EE">
        <w:rPr>
          <w:b/>
        </w:rPr>
        <w:t>II.</w:t>
      </w:r>
    </w:p>
    <w:p w14:paraId="667839FA" w14:textId="2D55213C" w:rsidR="00837C2E" w:rsidRDefault="00837C2E" w:rsidP="004B6B1C">
      <w:pPr>
        <w:pStyle w:val="Tijeloteksta"/>
        <w:jc w:val="center"/>
        <w:rPr>
          <w:b/>
        </w:rPr>
      </w:pPr>
    </w:p>
    <w:p w14:paraId="1F923F3C" w14:textId="15F8E17F" w:rsidR="00837C2E" w:rsidRDefault="007457E3" w:rsidP="007457E3">
      <w:pPr>
        <w:pStyle w:val="Tekstkomentara"/>
        <w:ind w:firstLine="720"/>
        <w:jc w:val="both"/>
        <w:rPr>
          <w:sz w:val="24"/>
          <w:szCs w:val="24"/>
        </w:rPr>
      </w:pPr>
      <w:r w:rsidRPr="007457E3">
        <w:rPr>
          <w:sz w:val="24"/>
          <w:szCs w:val="24"/>
        </w:rPr>
        <w:t>Financijska sredstva za potrebe sustava centralnog financiranja specijalističkog usavršavanja doktora medicine, potrebna za izvršenje godišnjeg plana specijalističkog usavršavanja, planiraju se u Državnom proračunu na godišnjoj razini.</w:t>
      </w:r>
    </w:p>
    <w:p w14:paraId="07EF71CC" w14:textId="77777777" w:rsidR="007457E3" w:rsidRPr="001B761B" w:rsidRDefault="007457E3" w:rsidP="001B761B">
      <w:pPr>
        <w:pStyle w:val="Tekstkomentara"/>
        <w:jc w:val="both"/>
        <w:rPr>
          <w:sz w:val="24"/>
          <w:szCs w:val="24"/>
        </w:rPr>
      </w:pPr>
    </w:p>
    <w:p w14:paraId="2EDF86D0" w14:textId="3D8159A9" w:rsidR="00837C2E" w:rsidRPr="001B761B" w:rsidRDefault="00837C2E" w:rsidP="001B761B">
      <w:pPr>
        <w:pStyle w:val="Tijeloteksta"/>
        <w:ind w:firstLine="720"/>
        <w:jc w:val="both"/>
      </w:pPr>
      <w:r w:rsidRPr="001B761B">
        <w:t xml:space="preserve">Osigurana </w:t>
      </w:r>
      <w:r w:rsidR="005E114B" w:rsidRPr="005E114B">
        <w:t xml:space="preserve">financijska </w:t>
      </w:r>
      <w:r w:rsidRPr="001B761B">
        <w:t xml:space="preserve">sredstva dodjeljuju se temeljem posebne odluke ministra zdravstva o financiranju </w:t>
      </w:r>
      <w:r w:rsidR="00AA7EC5" w:rsidRPr="001F68AD">
        <w:t>specijalističkog usavršavanja</w:t>
      </w:r>
      <w:r w:rsidR="00AA7EC5">
        <w:t>,</w:t>
      </w:r>
      <w:r w:rsidRPr="001B761B">
        <w:t xml:space="preserve"> </w:t>
      </w:r>
      <w:r w:rsidR="007457E3">
        <w:t xml:space="preserve">za </w:t>
      </w:r>
      <w:r w:rsidRPr="001B761B">
        <w:t>svaku proračunsku godinu</w:t>
      </w:r>
      <w:r w:rsidR="00AA7EC5">
        <w:t>.</w:t>
      </w:r>
      <w:r w:rsidRPr="001B761B">
        <w:t xml:space="preserve">  </w:t>
      </w:r>
    </w:p>
    <w:p w14:paraId="3C28A156" w14:textId="177E0577" w:rsidR="004B6B1C" w:rsidRDefault="004B6B1C" w:rsidP="004B6B1C">
      <w:pPr>
        <w:pStyle w:val="Tijeloteksta"/>
        <w:jc w:val="both"/>
      </w:pPr>
      <w:r w:rsidRPr="00B204EE">
        <w:tab/>
      </w:r>
    </w:p>
    <w:p w14:paraId="58A45416" w14:textId="77777777" w:rsidR="00A72A53" w:rsidRPr="00B204EE" w:rsidRDefault="00A72A53" w:rsidP="004B6B1C">
      <w:pPr>
        <w:pStyle w:val="Tijeloteksta"/>
        <w:jc w:val="both"/>
      </w:pPr>
    </w:p>
    <w:p w14:paraId="7DC22D1D" w14:textId="77777777" w:rsidR="004B6B1C" w:rsidRPr="00B204EE" w:rsidRDefault="004B6B1C" w:rsidP="004B6B1C">
      <w:pPr>
        <w:pStyle w:val="Tijeloteksta"/>
        <w:jc w:val="center"/>
        <w:rPr>
          <w:b/>
        </w:rPr>
      </w:pPr>
      <w:r w:rsidRPr="00B204EE">
        <w:rPr>
          <w:b/>
        </w:rPr>
        <w:t>III.</w:t>
      </w:r>
    </w:p>
    <w:p w14:paraId="1D49BFAD" w14:textId="77777777" w:rsidR="004B6B1C" w:rsidRPr="00B204EE" w:rsidRDefault="004B6B1C" w:rsidP="004B6B1C">
      <w:pPr>
        <w:pStyle w:val="Tijeloteksta"/>
        <w:jc w:val="both"/>
      </w:pPr>
    </w:p>
    <w:p w14:paraId="314B195B" w14:textId="77777777" w:rsidR="004B6B1C" w:rsidRPr="00B204EE" w:rsidRDefault="004B6B1C" w:rsidP="00B204EE">
      <w:pPr>
        <w:pStyle w:val="Tijeloteksta"/>
        <w:ind w:firstLine="720"/>
        <w:jc w:val="both"/>
      </w:pPr>
      <w:r w:rsidRPr="00B204EE">
        <w:t xml:space="preserve">Zdravstvene ustanove, korisnici bespovratnih sredstava za specijalističko usavršavanje doktora medicine u slučaju nedovršenih programa specijalističkog usavršavanja, obvezne su izvršiti povrat sredstava u državni proračun Republike Hrvatske u iznosu troška specijalizacije sukladno zakonu kojim se uređuje zdravstvena zaštita. </w:t>
      </w:r>
    </w:p>
    <w:p w14:paraId="29F90BE6" w14:textId="333AB020" w:rsidR="004B6B1C" w:rsidRDefault="004B6B1C" w:rsidP="00691060">
      <w:pPr>
        <w:pStyle w:val="Tijeloteksta"/>
        <w:ind w:firstLine="720"/>
        <w:jc w:val="both"/>
      </w:pPr>
      <w:r w:rsidRPr="00B204EE">
        <w:t xml:space="preserve">  </w:t>
      </w:r>
      <w:r w:rsidRPr="00B204EE">
        <w:tab/>
      </w:r>
    </w:p>
    <w:p w14:paraId="6D83972F" w14:textId="77777777" w:rsidR="00A72A53" w:rsidRPr="00B204EE" w:rsidRDefault="00A72A53" w:rsidP="00691060">
      <w:pPr>
        <w:pStyle w:val="Tijeloteksta"/>
        <w:ind w:firstLine="720"/>
        <w:jc w:val="both"/>
      </w:pPr>
    </w:p>
    <w:p w14:paraId="524A3FD5" w14:textId="77777777" w:rsidR="004B6B1C" w:rsidRPr="00B204EE" w:rsidRDefault="004B6B1C" w:rsidP="004B6B1C">
      <w:pPr>
        <w:pStyle w:val="Tijeloteksta"/>
        <w:jc w:val="center"/>
        <w:rPr>
          <w:b/>
        </w:rPr>
      </w:pPr>
      <w:r w:rsidRPr="00B204EE">
        <w:rPr>
          <w:b/>
        </w:rPr>
        <w:t>IV.</w:t>
      </w:r>
    </w:p>
    <w:p w14:paraId="057FC0F3" w14:textId="77777777" w:rsidR="004B6B1C" w:rsidRPr="00B204EE" w:rsidRDefault="004B6B1C" w:rsidP="004B6B1C">
      <w:pPr>
        <w:pStyle w:val="Tijeloteksta"/>
        <w:jc w:val="center"/>
        <w:rPr>
          <w:b/>
        </w:rPr>
      </w:pPr>
    </w:p>
    <w:p w14:paraId="1119D357" w14:textId="7FEF44B0" w:rsidR="004B6B1C" w:rsidRDefault="004B6B1C" w:rsidP="004B6B1C">
      <w:pPr>
        <w:pStyle w:val="Tijeloteksta"/>
        <w:ind w:firstLine="720"/>
        <w:jc w:val="both"/>
      </w:pPr>
      <w:r w:rsidRPr="00B204EE">
        <w:lastRenderedPageBreak/>
        <w:t xml:space="preserve">Sredstva za provođenje </w:t>
      </w:r>
      <w:r w:rsidR="00AB671D" w:rsidRPr="00AB671D">
        <w:t>specijalističk</w:t>
      </w:r>
      <w:r w:rsidR="00AB671D">
        <w:t>ih</w:t>
      </w:r>
      <w:r w:rsidR="00AB671D" w:rsidRPr="00AB671D">
        <w:t xml:space="preserve"> usavršavanja</w:t>
      </w:r>
      <w:r w:rsidRPr="00B204EE">
        <w:t xml:space="preserve"> </w:t>
      </w:r>
      <w:r w:rsidR="00AB671D" w:rsidRPr="00B204EE">
        <w:t>koj</w:t>
      </w:r>
      <w:r w:rsidR="00AB671D">
        <w:t>a</w:t>
      </w:r>
      <w:r w:rsidR="00AB671D" w:rsidRPr="00B204EE">
        <w:t xml:space="preserve"> </w:t>
      </w:r>
      <w:r w:rsidRPr="00B204EE">
        <w:t xml:space="preserve">su </w:t>
      </w:r>
      <w:r w:rsidR="00AB671D" w:rsidRPr="00B204EE">
        <w:t>odobren</w:t>
      </w:r>
      <w:r w:rsidR="00AB671D">
        <w:t>a</w:t>
      </w:r>
      <w:r w:rsidR="00AB671D" w:rsidRPr="00B204EE">
        <w:t xml:space="preserve"> </w:t>
      </w:r>
      <w:r w:rsidR="00AB671D">
        <w:t xml:space="preserve">posebnom </w:t>
      </w:r>
      <w:r w:rsidRPr="00B204EE">
        <w:t>odlukom ministra iz točke 2. ove Odluke osiguravaju se u državnom proračunu Republike Hrvatske</w:t>
      </w:r>
      <w:r w:rsidR="00AB671D" w:rsidRPr="00AB671D">
        <w:t xml:space="preserve"> </w:t>
      </w:r>
      <w:r w:rsidR="00AB671D">
        <w:t xml:space="preserve">na Aktivnosti: </w:t>
      </w:r>
      <w:r w:rsidR="00AB671D" w:rsidRPr="00AB671D">
        <w:t>A</w:t>
      </w:r>
      <w:r w:rsidR="00AB671D">
        <w:t xml:space="preserve"> </w:t>
      </w:r>
      <w:r w:rsidR="00AB671D" w:rsidRPr="00AB671D">
        <w:t>802011</w:t>
      </w:r>
      <w:r w:rsidR="00AB671D" w:rsidRPr="00AB671D">
        <w:tab/>
      </w:r>
      <w:r w:rsidR="00AB671D">
        <w:t>C</w:t>
      </w:r>
      <w:r w:rsidR="00AB671D" w:rsidRPr="00AB671D">
        <w:t>entralno financiranje specijalizacija</w:t>
      </w:r>
      <w:r w:rsidRPr="00B204EE">
        <w:t>.</w:t>
      </w:r>
    </w:p>
    <w:p w14:paraId="1CDE1093" w14:textId="6C4BE4ED" w:rsidR="00B204EE" w:rsidRDefault="00B204EE" w:rsidP="004B6B1C">
      <w:pPr>
        <w:pStyle w:val="Tijeloteksta"/>
        <w:ind w:firstLine="720"/>
        <w:jc w:val="both"/>
      </w:pPr>
    </w:p>
    <w:p w14:paraId="369A45DE" w14:textId="77777777" w:rsidR="00A72A53" w:rsidRDefault="00A72A53" w:rsidP="004B6B1C">
      <w:pPr>
        <w:pStyle w:val="Tijeloteksta"/>
        <w:ind w:firstLine="720"/>
        <w:jc w:val="both"/>
      </w:pPr>
    </w:p>
    <w:p w14:paraId="15F60FFA" w14:textId="77777777" w:rsidR="004B6B1C" w:rsidRPr="00B204EE" w:rsidRDefault="004B6B1C" w:rsidP="004B6B1C">
      <w:pPr>
        <w:shd w:val="clear" w:color="auto" w:fill="FFFFFF"/>
        <w:spacing w:before="103" w:after="48"/>
        <w:jc w:val="center"/>
        <w:textAlignment w:val="baseline"/>
        <w:rPr>
          <w:b/>
          <w:color w:val="231F20"/>
          <w:sz w:val="24"/>
          <w:szCs w:val="24"/>
        </w:rPr>
      </w:pPr>
      <w:r w:rsidRPr="00B204EE">
        <w:rPr>
          <w:b/>
          <w:color w:val="231F20"/>
          <w:sz w:val="24"/>
          <w:szCs w:val="24"/>
        </w:rPr>
        <w:t>V.</w:t>
      </w:r>
    </w:p>
    <w:p w14:paraId="1BCFA8B0" w14:textId="77777777" w:rsidR="004B6B1C" w:rsidRPr="00B204EE" w:rsidRDefault="004B6B1C" w:rsidP="004B6B1C">
      <w:pPr>
        <w:shd w:val="clear" w:color="auto" w:fill="FFFFFF"/>
        <w:spacing w:before="103" w:after="48"/>
        <w:jc w:val="center"/>
        <w:textAlignment w:val="baseline"/>
        <w:rPr>
          <w:color w:val="231F20"/>
          <w:sz w:val="24"/>
          <w:szCs w:val="24"/>
        </w:rPr>
      </w:pPr>
    </w:p>
    <w:p w14:paraId="08872AA1" w14:textId="77777777" w:rsidR="004B6B1C" w:rsidRPr="00B204EE" w:rsidRDefault="004B6B1C" w:rsidP="00B204EE">
      <w:pPr>
        <w:shd w:val="clear" w:color="auto" w:fill="FFFFFF"/>
        <w:spacing w:after="48"/>
        <w:ind w:firstLine="720"/>
        <w:textAlignment w:val="baseline"/>
        <w:rPr>
          <w:color w:val="231F20"/>
          <w:sz w:val="24"/>
          <w:szCs w:val="24"/>
        </w:rPr>
      </w:pPr>
      <w:r w:rsidRPr="00B204EE">
        <w:rPr>
          <w:color w:val="231F20"/>
          <w:sz w:val="24"/>
          <w:szCs w:val="24"/>
        </w:rPr>
        <w:t>Za provedbu ove Odluke zadužuje se Ministarstvo zdravstva.</w:t>
      </w:r>
    </w:p>
    <w:p w14:paraId="447B08ED" w14:textId="75BA7AAA" w:rsidR="004B6B1C" w:rsidRDefault="004B6B1C" w:rsidP="004B6B1C">
      <w:pPr>
        <w:shd w:val="clear" w:color="auto" w:fill="FFFFFF"/>
        <w:spacing w:after="48"/>
        <w:ind w:firstLine="408"/>
        <w:textAlignment w:val="baseline"/>
        <w:rPr>
          <w:color w:val="231F20"/>
          <w:sz w:val="24"/>
          <w:szCs w:val="24"/>
        </w:rPr>
      </w:pPr>
    </w:p>
    <w:p w14:paraId="0E00B4AA" w14:textId="7BB02BE0" w:rsidR="00AA7EC5" w:rsidRDefault="00AA7EC5" w:rsidP="004B6B1C">
      <w:pPr>
        <w:shd w:val="clear" w:color="auto" w:fill="FFFFFF"/>
        <w:spacing w:after="48"/>
        <w:ind w:firstLine="408"/>
        <w:textAlignment w:val="baseline"/>
        <w:rPr>
          <w:color w:val="231F20"/>
          <w:sz w:val="24"/>
          <w:szCs w:val="24"/>
        </w:rPr>
      </w:pPr>
    </w:p>
    <w:p w14:paraId="3090190D" w14:textId="231DD81F" w:rsidR="00A72A53" w:rsidRDefault="00A72A53" w:rsidP="004B6B1C">
      <w:pPr>
        <w:shd w:val="clear" w:color="auto" w:fill="FFFFFF"/>
        <w:spacing w:after="48"/>
        <w:ind w:firstLine="408"/>
        <w:textAlignment w:val="baseline"/>
        <w:rPr>
          <w:color w:val="231F20"/>
          <w:sz w:val="24"/>
          <w:szCs w:val="24"/>
        </w:rPr>
      </w:pPr>
    </w:p>
    <w:p w14:paraId="4AF8F347" w14:textId="4B99D8B6" w:rsidR="00A72A53" w:rsidRDefault="00A72A53" w:rsidP="004B6B1C">
      <w:pPr>
        <w:shd w:val="clear" w:color="auto" w:fill="FFFFFF"/>
        <w:spacing w:after="48"/>
        <w:ind w:firstLine="408"/>
        <w:textAlignment w:val="baseline"/>
        <w:rPr>
          <w:color w:val="231F20"/>
          <w:sz w:val="24"/>
          <w:szCs w:val="24"/>
        </w:rPr>
      </w:pPr>
    </w:p>
    <w:p w14:paraId="681BA9DD" w14:textId="085064C5" w:rsidR="00A72A53" w:rsidRDefault="00A72A53" w:rsidP="004B6B1C">
      <w:pPr>
        <w:shd w:val="clear" w:color="auto" w:fill="FFFFFF"/>
        <w:spacing w:after="48"/>
        <w:ind w:firstLine="408"/>
        <w:textAlignment w:val="baseline"/>
        <w:rPr>
          <w:color w:val="231F20"/>
          <w:sz w:val="24"/>
          <w:szCs w:val="24"/>
        </w:rPr>
      </w:pPr>
    </w:p>
    <w:p w14:paraId="3F124CE8" w14:textId="77777777" w:rsidR="004B6B1C" w:rsidRPr="00691060" w:rsidRDefault="004B6B1C" w:rsidP="004B6B1C">
      <w:pPr>
        <w:shd w:val="clear" w:color="auto" w:fill="FFFFFF"/>
        <w:spacing w:before="103" w:after="48"/>
        <w:jc w:val="center"/>
        <w:textAlignment w:val="baseline"/>
        <w:rPr>
          <w:b/>
          <w:color w:val="231F20"/>
          <w:sz w:val="24"/>
          <w:szCs w:val="24"/>
        </w:rPr>
      </w:pPr>
      <w:r w:rsidRPr="00691060">
        <w:rPr>
          <w:b/>
          <w:color w:val="231F20"/>
          <w:sz w:val="24"/>
          <w:szCs w:val="24"/>
        </w:rPr>
        <w:t>VI.</w:t>
      </w:r>
    </w:p>
    <w:p w14:paraId="3C1D2DD5" w14:textId="77777777" w:rsidR="004B6B1C" w:rsidRPr="00B204EE" w:rsidRDefault="004B6B1C" w:rsidP="004B6B1C">
      <w:pPr>
        <w:shd w:val="clear" w:color="auto" w:fill="FFFFFF"/>
        <w:spacing w:before="103" w:after="48"/>
        <w:jc w:val="center"/>
        <w:textAlignment w:val="baseline"/>
        <w:rPr>
          <w:color w:val="231F20"/>
          <w:sz w:val="24"/>
          <w:szCs w:val="24"/>
        </w:rPr>
      </w:pPr>
    </w:p>
    <w:p w14:paraId="46741E25" w14:textId="55CB393A" w:rsidR="004B6B1C" w:rsidRPr="00B204EE" w:rsidRDefault="004B6B1C" w:rsidP="00B204EE">
      <w:pPr>
        <w:shd w:val="clear" w:color="auto" w:fill="FFFFFF"/>
        <w:spacing w:after="48"/>
        <w:ind w:firstLine="720"/>
        <w:textAlignment w:val="baseline"/>
        <w:rPr>
          <w:color w:val="231F20"/>
          <w:sz w:val="24"/>
          <w:szCs w:val="24"/>
        </w:rPr>
      </w:pPr>
      <w:r w:rsidRPr="00B204EE">
        <w:rPr>
          <w:color w:val="231F20"/>
          <w:sz w:val="24"/>
          <w:szCs w:val="24"/>
        </w:rPr>
        <w:t>Ova Odluka stupa na snagu dano</w:t>
      </w:r>
      <w:r w:rsidR="001338C3">
        <w:rPr>
          <w:color w:val="231F20"/>
          <w:sz w:val="24"/>
          <w:szCs w:val="24"/>
        </w:rPr>
        <w:t xml:space="preserve">m donošenja, a objavit će se u </w:t>
      </w:r>
      <w:r w:rsidR="001338C3">
        <w:t>„</w:t>
      </w:r>
      <w:r w:rsidR="001338C3">
        <w:rPr>
          <w:color w:val="231F20"/>
          <w:sz w:val="24"/>
          <w:szCs w:val="24"/>
        </w:rPr>
        <w:t>Narodnim novinama</w:t>
      </w:r>
      <w:r w:rsidR="001338C3">
        <w:t>“</w:t>
      </w:r>
      <w:bookmarkStart w:id="0" w:name="_GoBack"/>
      <w:bookmarkEnd w:id="0"/>
      <w:r w:rsidRPr="00B204EE">
        <w:rPr>
          <w:color w:val="231F20"/>
          <w:sz w:val="24"/>
          <w:szCs w:val="24"/>
        </w:rPr>
        <w:t>.</w:t>
      </w:r>
    </w:p>
    <w:p w14:paraId="6FB53C24" w14:textId="77777777" w:rsidR="004B6B1C" w:rsidRPr="00B204EE" w:rsidRDefault="004B6B1C" w:rsidP="004B6B1C">
      <w:pPr>
        <w:shd w:val="clear" w:color="auto" w:fill="FFFFFF"/>
        <w:ind w:left="408"/>
        <w:textAlignment w:val="baseline"/>
        <w:rPr>
          <w:color w:val="231F20"/>
          <w:sz w:val="24"/>
          <w:szCs w:val="24"/>
        </w:rPr>
      </w:pPr>
    </w:p>
    <w:p w14:paraId="16D134F4" w14:textId="77777777" w:rsidR="004B6B1C" w:rsidRPr="00B204EE" w:rsidRDefault="004B6B1C" w:rsidP="004B6B1C">
      <w:pPr>
        <w:shd w:val="clear" w:color="auto" w:fill="FFFFFF"/>
        <w:ind w:left="408"/>
        <w:textAlignment w:val="baseline"/>
        <w:rPr>
          <w:color w:val="231F20"/>
          <w:sz w:val="24"/>
          <w:szCs w:val="24"/>
        </w:rPr>
      </w:pPr>
    </w:p>
    <w:p w14:paraId="72E9427D" w14:textId="66442B0D" w:rsidR="004B6B1C" w:rsidRPr="00B204EE" w:rsidRDefault="004B6B1C" w:rsidP="004B6B1C">
      <w:pPr>
        <w:shd w:val="clear" w:color="auto" w:fill="FFFFFF"/>
        <w:ind w:left="408"/>
        <w:textAlignment w:val="baseline"/>
        <w:rPr>
          <w:color w:val="231F20"/>
          <w:sz w:val="24"/>
          <w:szCs w:val="24"/>
        </w:rPr>
      </w:pPr>
      <w:r w:rsidRPr="00B204EE">
        <w:rPr>
          <w:color w:val="231F20"/>
          <w:sz w:val="24"/>
          <w:szCs w:val="24"/>
        </w:rPr>
        <w:t xml:space="preserve">Klasa: </w:t>
      </w:r>
    </w:p>
    <w:p w14:paraId="79A8AB0B" w14:textId="60348F87" w:rsidR="004B6B1C" w:rsidRPr="00B204EE" w:rsidRDefault="004B6B1C" w:rsidP="004B6B1C">
      <w:pPr>
        <w:shd w:val="clear" w:color="auto" w:fill="FFFFFF"/>
        <w:ind w:left="408"/>
        <w:textAlignment w:val="baseline"/>
        <w:rPr>
          <w:color w:val="231F20"/>
          <w:sz w:val="24"/>
          <w:szCs w:val="24"/>
        </w:rPr>
      </w:pPr>
      <w:r w:rsidRPr="00B204EE">
        <w:rPr>
          <w:color w:val="231F20"/>
          <w:sz w:val="24"/>
          <w:szCs w:val="24"/>
        </w:rPr>
        <w:t xml:space="preserve">Urbroj: </w:t>
      </w:r>
    </w:p>
    <w:p w14:paraId="56B6CC17" w14:textId="5B7306E8" w:rsidR="004B6B1C" w:rsidRPr="00B204EE" w:rsidRDefault="004B6B1C" w:rsidP="004B6B1C">
      <w:pPr>
        <w:shd w:val="clear" w:color="auto" w:fill="FFFFFF"/>
        <w:ind w:left="408"/>
        <w:textAlignment w:val="baseline"/>
        <w:rPr>
          <w:color w:val="231F20"/>
          <w:sz w:val="24"/>
          <w:szCs w:val="24"/>
        </w:rPr>
      </w:pPr>
      <w:r w:rsidRPr="00B204EE">
        <w:rPr>
          <w:color w:val="231F20"/>
          <w:sz w:val="24"/>
          <w:szCs w:val="24"/>
        </w:rPr>
        <w:t xml:space="preserve">Zagreb, </w:t>
      </w:r>
    </w:p>
    <w:p w14:paraId="3DC07B60" w14:textId="77777777" w:rsidR="004B6B1C" w:rsidRPr="00B204EE" w:rsidRDefault="004B6B1C" w:rsidP="004B6B1C">
      <w:pPr>
        <w:shd w:val="clear" w:color="auto" w:fill="FFFFFF"/>
        <w:ind w:left="2712"/>
        <w:jc w:val="center"/>
        <w:textAlignment w:val="baseline"/>
        <w:rPr>
          <w:color w:val="231F20"/>
          <w:sz w:val="24"/>
          <w:szCs w:val="24"/>
        </w:rPr>
      </w:pPr>
    </w:p>
    <w:p w14:paraId="1C49F6BB" w14:textId="77777777" w:rsidR="004B6B1C" w:rsidRPr="00B204EE" w:rsidRDefault="004B6B1C" w:rsidP="004B6B1C">
      <w:pPr>
        <w:shd w:val="clear" w:color="auto" w:fill="FFFFFF"/>
        <w:ind w:left="2712"/>
        <w:jc w:val="center"/>
        <w:textAlignment w:val="baseline"/>
        <w:rPr>
          <w:color w:val="231F20"/>
          <w:sz w:val="24"/>
          <w:szCs w:val="24"/>
        </w:rPr>
      </w:pPr>
      <w:r w:rsidRPr="00B204EE">
        <w:rPr>
          <w:color w:val="231F20"/>
          <w:sz w:val="24"/>
          <w:szCs w:val="24"/>
        </w:rPr>
        <w:t>Predsjednik</w:t>
      </w:r>
    </w:p>
    <w:p w14:paraId="5C8B2A24" w14:textId="77777777" w:rsidR="004B6B1C" w:rsidRPr="00B204EE" w:rsidRDefault="004B6B1C" w:rsidP="004B6B1C">
      <w:pPr>
        <w:shd w:val="clear" w:color="auto" w:fill="FFFFFF"/>
        <w:ind w:left="2712"/>
        <w:jc w:val="center"/>
        <w:textAlignment w:val="baseline"/>
        <w:rPr>
          <w:color w:val="231F20"/>
          <w:sz w:val="24"/>
          <w:szCs w:val="24"/>
        </w:rPr>
      </w:pPr>
    </w:p>
    <w:p w14:paraId="646CDBFB" w14:textId="66DCDC74" w:rsidR="004B6B1C" w:rsidRPr="00B204EE" w:rsidRDefault="004B6B1C" w:rsidP="00962058">
      <w:pPr>
        <w:shd w:val="clear" w:color="auto" w:fill="FFFFFF"/>
        <w:ind w:left="2712"/>
        <w:jc w:val="center"/>
        <w:textAlignment w:val="baseline"/>
        <w:rPr>
          <w:color w:val="231F20"/>
          <w:sz w:val="24"/>
          <w:szCs w:val="24"/>
        </w:rPr>
        <w:sectPr w:rsidR="004B6B1C" w:rsidRPr="00B204EE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  <w:r w:rsidRPr="00B204EE">
        <w:rPr>
          <w:bCs/>
          <w:color w:val="231F20"/>
          <w:sz w:val="24"/>
          <w:szCs w:val="24"/>
          <w:bdr w:val="none" w:sz="0" w:space="0" w:color="auto" w:frame="1"/>
        </w:rPr>
        <w:t>mr. sc. Andrej Plenković</w:t>
      </w:r>
    </w:p>
    <w:p w14:paraId="19F6A0F9" w14:textId="77777777" w:rsidR="00B2574F" w:rsidRPr="00494785" w:rsidRDefault="00B2574F" w:rsidP="00B2574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785">
        <w:rPr>
          <w:rFonts w:ascii="Times New Roman" w:hAnsi="Times New Roman" w:cs="Times New Roman"/>
          <w:b/>
          <w:bCs/>
          <w:sz w:val="24"/>
          <w:szCs w:val="24"/>
        </w:rPr>
        <w:lastRenderedPageBreak/>
        <w:t>O B R A Z L O Ž E N J E</w:t>
      </w:r>
    </w:p>
    <w:p w14:paraId="258A334C" w14:textId="77777777" w:rsidR="00B2574F" w:rsidRPr="00AE4E7E" w:rsidRDefault="00B2574F" w:rsidP="00B2574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CB2F64E" w14:textId="0B115A66" w:rsidR="00C464A7" w:rsidRDefault="00C464A7" w:rsidP="00C46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reformskoj mjeri iz dodatka </w:t>
      </w:r>
      <w:r w:rsidR="00E920FA" w:rsidRPr="00E920FA">
        <w:rPr>
          <w:sz w:val="24"/>
          <w:szCs w:val="24"/>
        </w:rPr>
        <w:t xml:space="preserve">mehanizma Nacionalnog plana oporavka i </w:t>
      </w:r>
      <w:r w:rsidR="001B62D8">
        <w:rPr>
          <w:sz w:val="24"/>
          <w:szCs w:val="24"/>
        </w:rPr>
        <w:t xml:space="preserve">otpornosti 2021. – 2026. (NPOO) </w:t>
      </w:r>
      <w:r>
        <w:rPr>
          <w:sz w:val="24"/>
          <w:szCs w:val="24"/>
        </w:rPr>
        <w:t xml:space="preserve">usvojenog </w:t>
      </w:r>
      <w:r w:rsidR="00837C2E">
        <w:rPr>
          <w:sz w:val="24"/>
          <w:szCs w:val="24"/>
        </w:rPr>
        <w:t>08. prosinca</w:t>
      </w:r>
      <w:r>
        <w:rPr>
          <w:sz w:val="24"/>
          <w:szCs w:val="24"/>
        </w:rPr>
        <w:t xml:space="preserve"> 2023., </w:t>
      </w:r>
      <w:r w:rsidR="00D57F8E">
        <w:rPr>
          <w:sz w:val="24"/>
          <w:szCs w:val="24"/>
        </w:rPr>
        <w:t>utvrđena je potreba</w:t>
      </w:r>
      <w:r w:rsidRPr="00C464A7">
        <w:rPr>
          <w:sz w:val="24"/>
          <w:szCs w:val="24"/>
        </w:rPr>
        <w:t xml:space="preserve"> uspostav</w:t>
      </w:r>
      <w:r w:rsidR="00D57F8E">
        <w:rPr>
          <w:sz w:val="24"/>
          <w:szCs w:val="24"/>
        </w:rPr>
        <w:t>e</w:t>
      </w:r>
      <w:r w:rsidR="00E375E0">
        <w:rPr>
          <w:sz w:val="24"/>
          <w:szCs w:val="24"/>
        </w:rPr>
        <w:t xml:space="preserve"> </w:t>
      </w:r>
      <w:r w:rsidRPr="00C464A7">
        <w:rPr>
          <w:sz w:val="24"/>
          <w:szCs w:val="24"/>
        </w:rPr>
        <w:t>centralnog financiranja specijalističkog usavršavanja</w:t>
      </w:r>
      <w:r w:rsidR="00D57F8E">
        <w:rPr>
          <w:sz w:val="24"/>
          <w:szCs w:val="24"/>
        </w:rPr>
        <w:t xml:space="preserve"> doktora medicine</w:t>
      </w:r>
      <w:r w:rsidR="00D57F8E" w:rsidRPr="00D57F8E">
        <w:rPr>
          <w:sz w:val="24"/>
          <w:szCs w:val="24"/>
        </w:rPr>
        <w:t xml:space="preserve"> </w:t>
      </w:r>
      <w:r w:rsidR="00E920FA">
        <w:rPr>
          <w:sz w:val="24"/>
          <w:szCs w:val="24"/>
        </w:rPr>
        <w:t>radi</w:t>
      </w:r>
      <w:r w:rsidR="00D57F8E" w:rsidRPr="00C464A7">
        <w:rPr>
          <w:sz w:val="24"/>
          <w:szCs w:val="24"/>
        </w:rPr>
        <w:t xml:space="preserve"> koordiniran</w:t>
      </w:r>
      <w:r w:rsidR="00D57F8E">
        <w:rPr>
          <w:sz w:val="24"/>
          <w:szCs w:val="24"/>
        </w:rPr>
        <w:t>og</w:t>
      </w:r>
      <w:r w:rsidR="00D57F8E" w:rsidRPr="00C464A7">
        <w:rPr>
          <w:sz w:val="24"/>
          <w:szCs w:val="24"/>
        </w:rPr>
        <w:t xml:space="preserve"> ulaganja </w:t>
      </w:r>
      <w:r w:rsidR="00D57F8E">
        <w:rPr>
          <w:sz w:val="24"/>
          <w:szCs w:val="24"/>
        </w:rPr>
        <w:t>u</w:t>
      </w:r>
      <w:r w:rsidR="00D57F8E" w:rsidRPr="00C464A7">
        <w:rPr>
          <w:sz w:val="24"/>
          <w:szCs w:val="24"/>
        </w:rPr>
        <w:t xml:space="preserve"> specijalističko usavršavanje</w:t>
      </w:r>
      <w:r w:rsidR="00F378E2" w:rsidRPr="00F378E2">
        <w:t xml:space="preserve"> </w:t>
      </w:r>
      <w:r w:rsidR="00F378E2" w:rsidRPr="00F378E2">
        <w:rPr>
          <w:sz w:val="24"/>
          <w:szCs w:val="24"/>
        </w:rPr>
        <w:t>i osigura</w:t>
      </w:r>
      <w:r w:rsidR="00F378E2">
        <w:rPr>
          <w:sz w:val="24"/>
          <w:szCs w:val="24"/>
        </w:rPr>
        <w:t xml:space="preserve">vanje održivosti </w:t>
      </w:r>
      <w:r w:rsidR="00F378E2" w:rsidRPr="00F378E2">
        <w:rPr>
          <w:sz w:val="24"/>
          <w:szCs w:val="24"/>
        </w:rPr>
        <w:t>zdravstvenog sustava</w:t>
      </w:r>
      <w:r w:rsidR="00D57F8E" w:rsidRPr="00C464A7">
        <w:rPr>
          <w:sz w:val="24"/>
          <w:szCs w:val="24"/>
        </w:rPr>
        <w:t>.</w:t>
      </w:r>
    </w:p>
    <w:p w14:paraId="67B44318" w14:textId="77777777" w:rsidR="00F378E2" w:rsidRDefault="00F378E2" w:rsidP="00C464A7">
      <w:pPr>
        <w:jc w:val="both"/>
        <w:rPr>
          <w:sz w:val="24"/>
          <w:szCs w:val="24"/>
        </w:rPr>
      </w:pPr>
    </w:p>
    <w:p w14:paraId="14CA671F" w14:textId="15DA8073" w:rsidR="00F378E2" w:rsidRDefault="00F378E2" w:rsidP="00C464A7">
      <w:pPr>
        <w:jc w:val="both"/>
        <w:rPr>
          <w:sz w:val="24"/>
          <w:szCs w:val="24"/>
        </w:rPr>
      </w:pPr>
      <w:r w:rsidRPr="00F378E2">
        <w:rPr>
          <w:sz w:val="24"/>
          <w:szCs w:val="24"/>
        </w:rPr>
        <w:t xml:space="preserve">Kvalitativni pokazatelj </w:t>
      </w:r>
      <w:r w:rsidR="00126E6E">
        <w:rPr>
          <w:sz w:val="24"/>
          <w:szCs w:val="24"/>
        </w:rPr>
        <w:t xml:space="preserve">izvršenja </w:t>
      </w:r>
      <w:r>
        <w:rPr>
          <w:sz w:val="24"/>
          <w:szCs w:val="24"/>
        </w:rPr>
        <w:t xml:space="preserve">navedene reformske mjere je </w:t>
      </w:r>
      <w:r w:rsidRPr="00F378E2">
        <w:rPr>
          <w:sz w:val="24"/>
          <w:szCs w:val="24"/>
        </w:rPr>
        <w:t>donesena Odluka Vlade Republike Hrvatske kojom se, između ostalog, regulira kako će se potrebna financijska sredstva za provođenje centraliziranog financiranja specijalističkog medicinskog usavršavanja osigurati u Državnom proračunu Repu</w:t>
      </w:r>
      <w:r>
        <w:rPr>
          <w:sz w:val="24"/>
          <w:szCs w:val="24"/>
        </w:rPr>
        <w:t xml:space="preserve">blike Hrvatske kroz više godina, s rokom ispunjenja mjere do kraja </w:t>
      </w:r>
      <w:r w:rsidR="00FD543D">
        <w:rPr>
          <w:sz w:val="24"/>
          <w:szCs w:val="24"/>
        </w:rPr>
        <w:t>IV. tromjesečja 2</w:t>
      </w:r>
      <w:r>
        <w:rPr>
          <w:sz w:val="24"/>
          <w:szCs w:val="24"/>
        </w:rPr>
        <w:t>023.</w:t>
      </w:r>
    </w:p>
    <w:p w14:paraId="39C34B9F" w14:textId="77777777" w:rsidR="00E920FA" w:rsidRDefault="00E920FA" w:rsidP="00C464A7">
      <w:pPr>
        <w:jc w:val="both"/>
        <w:rPr>
          <w:sz w:val="24"/>
          <w:szCs w:val="24"/>
        </w:rPr>
      </w:pPr>
    </w:p>
    <w:p w14:paraId="2E41A34E" w14:textId="3B336816" w:rsidR="00C464A7" w:rsidRPr="00C464A7" w:rsidRDefault="00C464A7" w:rsidP="00C464A7">
      <w:pPr>
        <w:jc w:val="both"/>
        <w:rPr>
          <w:sz w:val="24"/>
          <w:szCs w:val="24"/>
        </w:rPr>
      </w:pPr>
      <w:r w:rsidRPr="00C464A7">
        <w:rPr>
          <w:sz w:val="24"/>
          <w:szCs w:val="24"/>
        </w:rPr>
        <w:t>Centralnim financiranjem specijalističkog usavršavanja doktora medicine osigurat će se provedba Plana specijalističkog usavršavanja za petogodišnje razdoblje 2025.</w:t>
      </w:r>
      <w:r w:rsidR="00691060">
        <w:rPr>
          <w:sz w:val="24"/>
          <w:szCs w:val="24"/>
        </w:rPr>
        <w:t xml:space="preserve"> </w:t>
      </w:r>
      <w:r w:rsidRPr="00C464A7">
        <w:rPr>
          <w:sz w:val="24"/>
          <w:szCs w:val="24"/>
        </w:rPr>
        <w:t>-</w:t>
      </w:r>
      <w:r w:rsidR="00691060">
        <w:rPr>
          <w:sz w:val="24"/>
          <w:szCs w:val="24"/>
        </w:rPr>
        <w:t xml:space="preserve"> </w:t>
      </w:r>
      <w:r w:rsidRPr="00C464A7">
        <w:rPr>
          <w:sz w:val="24"/>
          <w:szCs w:val="24"/>
        </w:rPr>
        <w:t xml:space="preserve">2030., </w:t>
      </w:r>
      <w:r>
        <w:rPr>
          <w:sz w:val="24"/>
          <w:szCs w:val="24"/>
        </w:rPr>
        <w:t xml:space="preserve">te će se </w:t>
      </w:r>
      <w:r w:rsidRPr="00C464A7">
        <w:rPr>
          <w:sz w:val="24"/>
          <w:szCs w:val="24"/>
        </w:rPr>
        <w:t>omogućit</w:t>
      </w:r>
      <w:r w:rsidR="00D57F8E">
        <w:rPr>
          <w:sz w:val="24"/>
          <w:szCs w:val="24"/>
        </w:rPr>
        <w:t>i</w:t>
      </w:r>
      <w:r w:rsidRPr="00C464A7">
        <w:rPr>
          <w:sz w:val="24"/>
          <w:szCs w:val="24"/>
        </w:rPr>
        <w:t xml:space="preserve"> kontinuitet </w:t>
      </w:r>
      <w:r w:rsidR="00F378E2">
        <w:rPr>
          <w:sz w:val="24"/>
          <w:szCs w:val="24"/>
        </w:rPr>
        <w:t xml:space="preserve">započetog </w:t>
      </w:r>
      <w:r w:rsidRPr="00C464A7">
        <w:rPr>
          <w:sz w:val="24"/>
          <w:szCs w:val="24"/>
        </w:rPr>
        <w:t>specijalističkog usavršavanja</w:t>
      </w:r>
      <w:r>
        <w:rPr>
          <w:sz w:val="24"/>
          <w:szCs w:val="24"/>
        </w:rPr>
        <w:t xml:space="preserve"> </w:t>
      </w:r>
      <w:r w:rsidR="00F378E2">
        <w:rPr>
          <w:sz w:val="24"/>
          <w:szCs w:val="24"/>
        </w:rPr>
        <w:t xml:space="preserve">i </w:t>
      </w:r>
      <w:r>
        <w:rPr>
          <w:sz w:val="24"/>
          <w:szCs w:val="24"/>
        </w:rPr>
        <w:t>koje je u tijeku</w:t>
      </w:r>
      <w:r w:rsidR="00D57F8E">
        <w:rPr>
          <w:sz w:val="24"/>
          <w:szCs w:val="24"/>
        </w:rPr>
        <w:t xml:space="preserve"> uz financiranje iz </w:t>
      </w:r>
      <w:r w:rsidR="00F378E2">
        <w:rPr>
          <w:sz w:val="24"/>
          <w:szCs w:val="24"/>
        </w:rPr>
        <w:t xml:space="preserve">sredstava </w:t>
      </w:r>
      <w:r w:rsidR="00D57F8E">
        <w:rPr>
          <w:sz w:val="24"/>
          <w:szCs w:val="24"/>
        </w:rPr>
        <w:t>Europskog socijalnog fonda</w:t>
      </w:r>
      <w:r w:rsidR="00691060">
        <w:rPr>
          <w:sz w:val="24"/>
          <w:szCs w:val="24"/>
        </w:rPr>
        <w:t xml:space="preserve"> (</w:t>
      </w:r>
      <w:r w:rsidR="00853E60">
        <w:rPr>
          <w:sz w:val="24"/>
          <w:szCs w:val="24"/>
        </w:rPr>
        <w:t>ESF)</w:t>
      </w:r>
      <w:r w:rsidR="00D57F8E">
        <w:rPr>
          <w:sz w:val="24"/>
          <w:szCs w:val="24"/>
        </w:rPr>
        <w:t xml:space="preserve">, </w:t>
      </w:r>
      <w:r w:rsidR="00853E60">
        <w:rPr>
          <w:sz w:val="24"/>
          <w:szCs w:val="24"/>
        </w:rPr>
        <w:t xml:space="preserve">mehanizma </w:t>
      </w:r>
      <w:r w:rsidR="00853E60" w:rsidRPr="00853E60">
        <w:rPr>
          <w:sz w:val="24"/>
          <w:szCs w:val="24"/>
        </w:rPr>
        <w:t>Nacionalnog plana oporavka i otpornosti 2021. – 2026.</w:t>
      </w:r>
      <w:r w:rsidR="00853E60">
        <w:rPr>
          <w:sz w:val="24"/>
          <w:szCs w:val="24"/>
        </w:rPr>
        <w:t xml:space="preserve"> (NPOO) i </w:t>
      </w:r>
      <w:r w:rsidRPr="00C464A7">
        <w:rPr>
          <w:sz w:val="24"/>
          <w:szCs w:val="24"/>
        </w:rPr>
        <w:t xml:space="preserve"> </w:t>
      </w:r>
      <w:r w:rsidR="00E920FA">
        <w:rPr>
          <w:sz w:val="24"/>
          <w:szCs w:val="24"/>
        </w:rPr>
        <w:t xml:space="preserve">predstojećeg financiranja iz </w:t>
      </w:r>
      <w:r w:rsidR="00853E60" w:rsidRPr="00853E60">
        <w:rPr>
          <w:sz w:val="24"/>
          <w:szCs w:val="24"/>
        </w:rPr>
        <w:t>Europskog socijalnog fonda</w:t>
      </w:r>
      <w:r w:rsidR="00853E60">
        <w:rPr>
          <w:sz w:val="24"/>
          <w:szCs w:val="24"/>
        </w:rPr>
        <w:t xml:space="preserve"> </w:t>
      </w:r>
      <w:r w:rsidR="00853E60" w:rsidRPr="00E920FA">
        <w:rPr>
          <w:b/>
          <w:sz w:val="24"/>
          <w:szCs w:val="24"/>
        </w:rPr>
        <w:t>+</w:t>
      </w:r>
      <w:r w:rsidR="00853E60">
        <w:rPr>
          <w:sz w:val="24"/>
          <w:szCs w:val="24"/>
        </w:rPr>
        <w:t xml:space="preserve"> (ESF+).</w:t>
      </w:r>
    </w:p>
    <w:p w14:paraId="676F1AE4" w14:textId="77777777" w:rsidR="00E920FA" w:rsidRDefault="00E920FA" w:rsidP="00C464A7">
      <w:pPr>
        <w:jc w:val="both"/>
        <w:rPr>
          <w:sz w:val="24"/>
          <w:szCs w:val="24"/>
        </w:rPr>
      </w:pPr>
    </w:p>
    <w:p w14:paraId="6B3C79D8" w14:textId="5BED393A" w:rsidR="00181939" w:rsidRDefault="00181939" w:rsidP="00C464A7">
      <w:pPr>
        <w:jc w:val="both"/>
        <w:rPr>
          <w:sz w:val="24"/>
          <w:szCs w:val="24"/>
        </w:rPr>
      </w:pPr>
      <w:r w:rsidRPr="00962058">
        <w:rPr>
          <w:sz w:val="24"/>
          <w:szCs w:val="24"/>
        </w:rPr>
        <w:t>U okviru Nacionalnog plana oporavka i otpornosti 2021. – 2026. objavljen je ograničeni Poziv na dostavu projektnih prijedloga „Centralno financiranje specijalizacija“ kojim je predviđeno financiranje minimalno 467 specijalizacija doktora medicine na primarnoj razini zdravstvene zaštite i na području javnog zdravstva</w:t>
      </w:r>
      <w:r w:rsidR="00F44880">
        <w:rPr>
          <w:sz w:val="24"/>
          <w:szCs w:val="24"/>
        </w:rPr>
        <w:t>.</w:t>
      </w:r>
    </w:p>
    <w:p w14:paraId="53C7D1DA" w14:textId="77777777" w:rsidR="00181939" w:rsidRDefault="00181939" w:rsidP="00C464A7">
      <w:pPr>
        <w:jc w:val="both"/>
        <w:rPr>
          <w:sz w:val="24"/>
          <w:szCs w:val="24"/>
        </w:rPr>
      </w:pPr>
    </w:p>
    <w:p w14:paraId="36D541F0" w14:textId="53BBEB3E" w:rsidR="00C464A7" w:rsidRDefault="00853E60" w:rsidP="00C464A7">
      <w:pPr>
        <w:jc w:val="both"/>
        <w:rPr>
          <w:sz w:val="24"/>
          <w:szCs w:val="24"/>
        </w:rPr>
      </w:pPr>
      <w:r>
        <w:rPr>
          <w:sz w:val="24"/>
          <w:szCs w:val="24"/>
        </w:rPr>
        <w:t>Cilj uspostave centralnog</w:t>
      </w:r>
      <w:r w:rsidR="00C464A7" w:rsidRPr="00C464A7">
        <w:rPr>
          <w:sz w:val="24"/>
          <w:szCs w:val="24"/>
        </w:rPr>
        <w:t xml:space="preserve"> financiranja specijalističkog usavršavanja </w:t>
      </w:r>
      <w:r>
        <w:rPr>
          <w:sz w:val="24"/>
          <w:szCs w:val="24"/>
        </w:rPr>
        <w:t xml:space="preserve">je </w:t>
      </w:r>
      <w:r w:rsidR="00E920FA">
        <w:rPr>
          <w:sz w:val="24"/>
          <w:szCs w:val="24"/>
        </w:rPr>
        <w:t>osigurati</w:t>
      </w:r>
      <w:r w:rsidRPr="00C464A7">
        <w:rPr>
          <w:sz w:val="24"/>
          <w:szCs w:val="24"/>
        </w:rPr>
        <w:t xml:space="preserve"> </w:t>
      </w:r>
      <w:r w:rsidR="00E920FA">
        <w:rPr>
          <w:sz w:val="24"/>
          <w:szCs w:val="24"/>
        </w:rPr>
        <w:t>dostupnost zdravstveni</w:t>
      </w:r>
      <w:r w:rsidR="00691060">
        <w:rPr>
          <w:sz w:val="24"/>
          <w:szCs w:val="24"/>
        </w:rPr>
        <w:t>h</w:t>
      </w:r>
      <w:r w:rsidR="00E920FA">
        <w:rPr>
          <w:sz w:val="24"/>
          <w:szCs w:val="24"/>
        </w:rPr>
        <w:t xml:space="preserve"> usluga u </w:t>
      </w:r>
      <w:r w:rsidRPr="00C464A7">
        <w:rPr>
          <w:sz w:val="24"/>
          <w:szCs w:val="24"/>
        </w:rPr>
        <w:t>Mrež</w:t>
      </w:r>
      <w:r w:rsidR="00E920FA">
        <w:rPr>
          <w:sz w:val="24"/>
          <w:szCs w:val="24"/>
        </w:rPr>
        <w:t>i</w:t>
      </w:r>
      <w:r w:rsidRPr="00C464A7">
        <w:rPr>
          <w:sz w:val="24"/>
          <w:szCs w:val="24"/>
        </w:rPr>
        <w:t xml:space="preserve"> javne zdravstvene službe</w:t>
      </w:r>
      <w:r w:rsidR="00E920FA">
        <w:rPr>
          <w:sz w:val="24"/>
          <w:szCs w:val="24"/>
        </w:rPr>
        <w:t>,</w:t>
      </w:r>
      <w:r w:rsidRPr="00C464A7">
        <w:rPr>
          <w:sz w:val="24"/>
          <w:szCs w:val="24"/>
        </w:rPr>
        <w:t xml:space="preserve"> kako na primarnoj razini tako i na ostal</w:t>
      </w:r>
      <w:r>
        <w:rPr>
          <w:sz w:val="24"/>
          <w:szCs w:val="24"/>
        </w:rPr>
        <w:t>im razinama zdravstvene zaštite te</w:t>
      </w:r>
      <w:r w:rsidR="00C464A7" w:rsidRPr="00C464A7">
        <w:rPr>
          <w:sz w:val="24"/>
          <w:szCs w:val="24"/>
        </w:rPr>
        <w:t xml:space="preserve"> </w:t>
      </w:r>
      <w:r w:rsidR="00E920FA">
        <w:rPr>
          <w:sz w:val="24"/>
          <w:szCs w:val="24"/>
        </w:rPr>
        <w:t xml:space="preserve">osigurati </w:t>
      </w:r>
      <w:r w:rsidR="00C464A7" w:rsidRPr="00C464A7">
        <w:rPr>
          <w:sz w:val="24"/>
          <w:szCs w:val="24"/>
        </w:rPr>
        <w:t>ravnomjernij</w:t>
      </w:r>
      <w:r>
        <w:rPr>
          <w:sz w:val="24"/>
          <w:szCs w:val="24"/>
        </w:rPr>
        <w:t>u</w:t>
      </w:r>
      <w:r w:rsidR="00C464A7" w:rsidRPr="00C464A7">
        <w:rPr>
          <w:sz w:val="24"/>
          <w:szCs w:val="24"/>
        </w:rPr>
        <w:t xml:space="preserve"> geografsk</w:t>
      </w:r>
      <w:r>
        <w:rPr>
          <w:sz w:val="24"/>
          <w:szCs w:val="24"/>
        </w:rPr>
        <w:t>u</w:t>
      </w:r>
      <w:r w:rsidR="00C464A7" w:rsidRPr="00C464A7">
        <w:rPr>
          <w:sz w:val="24"/>
          <w:szCs w:val="24"/>
        </w:rPr>
        <w:t xml:space="preserve"> raspodjel</w:t>
      </w:r>
      <w:r>
        <w:rPr>
          <w:sz w:val="24"/>
          <w:szCs w:val="24"/>
        </w:rPr>
        <w:t>u</w:t>
      </w:r>
      <w:r w:rsidR="00E920FA">
        <w:rPr>
          <w:sz w:val="24"/>
          <w:szCs w:val="24"/>
        </w:rPr>
        <w:t xml:space="preserve"> liječničkog kadra</w:t>
      </w:r>
      <w:r>
        <w:rPr>
          <w:sz w:val="24"/>
          <w:szCs w:val="24"/>
        </w:rPr>
        <w:t>.</w:t>
      </w:r>
      <w:r w:rsidR="00C464A7" w:rsidRPr="00C464A7">
        <w:rPr>
          <w:sz w:val="24"/>
          <w:szCs w:val="24"/>
        </w:rPr>
        <w:t xml:space="preserve"> </w:t>
      </w:r>
      <w:r>
        <w:rPr>
          <w:sz w:val="24"/>
          <w:szCs w:val="24"/>
        </w:rPr>
        <w:t>Osiguravanjem kontinuiteta u financiranju specijalizacija</w:t>
      </w:r>
      <w:r w:rsidR="00C464A7" w:rsidRPr="00C464A7">
        <w:rPr>
          <w:sz w:val="24"/>
          <w:szCs w:val="24"/>
        </w:rPr>
        <w:t xml:space="preserve"> </w:t>
      </w:r>
      <w:r w:rsidR="00E920FA">
        <w:rPr>
          <w:sz w:val="24"/>
          <w:szCs w:val="24"/>
        </w:rPr>
        <w:t xml:space="preserve">postići će se bolja popunjenost Mreže javne zdravstvene službe čime će se </w:t>
      </w:r>
      <w:r w:rsidR="00C464A7" w:rsidRPr="00C464A7">
        <w:rPr>
          <w:sz w:val="24"/>
          <w:szCs w:val="24"/>
        </w:rPr>
        <w:t>povećat</w:t>
      </w:r>
      <w:r w:rsidR="00E920FA">
        <w:rPr>
          <w:sz w:val="24"/>
          <w:szCs w:val="24"/>
        </w:rPr>
        <w:t>i</w:t>
      </w:r>
      <w:r w:rsidR="00C464A7" w:rsidRPr="00C464A7">
        <w:rPr>
          <w:sz w:val="24"/>
          <w:szCs w:val="24"/>
        </w:rPr>
        <w:t xml:space="preserve"> dostupnost zdravstvene zaštite hrvatskim građanima, osobito onima</w:t>
      </w:r>
      <w:r w:rsidR="00E920FA">
        <w:rPr>
          <w:sz w:val="24"/>
          <w:szCs w:val="24"/>
        </w:rPr>
        <w:t xml:space="preserve"> na otocima,</w:t>
      </w:r>
      <w:r w:rsidR="00C464A7" w:rsidRPr="00C464A7">
        <w:rPr>
          <w:sz w:val="24"/>
          <w:szCs w:val="24"/>
        </w:rPr>
        <w:t xml:space="preserve"> u ruralnim i slabije naseljenim područjima te poboljšati učinkovitost i kvalitet</w:t>
      </w:r>
      <w:r w:rsidR="00F378E2">
        <w:rPr>
          <w:sz w:val="24"/>
          <w:szCs w:val="24"/>
        </w:rPr>
        <w:t>a</w:t>
      </w:r>
      <w:r w:rsidR="00C464A7" w:rsidRPr="00C464A7">
        <w:rPr>
          <w:sz w:val="24"/>
          <w:szCs w:val="24"/>
        </w:rPr>
        <w:t xml:space="preserve"> zdravstvene skrbi. </w:t>
      </w:r>
    </w:p>
    <w:p w14:paraId="3453C614" w14:textId="77777777" w:rsidR="004B6B1C" w:rsidRDefault="004B6B1C" w:rsidP="004B6B1C">
      <w:pPr>
        <w:jc w:val="both"/>
        <w:rPr>
          <w:sz w:val="24"/>
          <w:szCs w:val="24"/>
        </w:rPr>
      </w:pPr>
    </w:p>
    <w:p w14:paraId="2722BFD4" w14:textId="472DF3D8" w:rsidR="00C464A7" w:rsidRDefault="00C464A7" w:rsidP="00C464A7">
      <w:pPr>
        <w:jc w:val="both"/>
        <w:rPr>
          <w:sz w:val="24"/>
          <w:szCs w:val="24"/>
        </w:rPr>
      </w:pPr>
      <w:r w:rsidRPr="00C464A7">
        <w:rPr>
          <w:sz w:val="24"/>
          <w:szCs w:val="24"/>
        </w:rPr>
        <w:t xml:space="preserve">Financijska sredstva za </w:t>
      </w:r>
      <w:r w:rsidR="005E114B">
        <w:rPr>
          <w:sz w:val="24"/>
          <w:szCs w:val="24"/>
        </w:rPr>
        <w:t xml:space="preserve">uspostavu </w:t>
      </w:r>
      <w:r w:rsidR="00962058">
        <w:rPr>
          <w:sz w:val="24"/>
          <w:szCs w:val="24"/>
        </w:rPr>
        <w:t>c</w:t>
      </w:r>
      <w:r w:rsidR="00962058" w:rsidRPr="00962058">
        <w:rPr>
          <w:sz w:val="24"/>
          <w:szCs w:val="24"/>
        </w:rPr>
        <w:t>entralno</w:t>
      </w:r>
      <w:r w:rsidR="005E114B">
        <w:rPr>
          <w:sz w:val="24"/>
          <w:szCs w:val="24"/>
        </w:rPr>
        <w:t>g</w:t>
      </w:r>
      <w:r w:rsidR="00962058" w:rsidRPr="00962058">
        <w:rPr>
          <w:sz w:val="24"/>
          <w:szCs w:val="24"/>
        </w:rPr>
        <w:t xml:space="preserve"> financiranj</w:t>
      </w:r>
      <w:r w:rsidR="005E114B">
        <w:rPr>
          <w:sz w:val="24"/>
          <w:szCs w:val="24"/>
        </w:rPr>
        <w:t>a</w:t>
      </w:r>
      <w:r w:rsidR="00962058" w:rsidRPr="00962058">
        <w:rPr>
          <w:sz w:val="24"/>
          <w:szCs w:val="24"/>
        </w:rPr>
        <w:t xml:space="preserve"> specijalističkog usavršavanja doktora medicine</w:t>
      </w:r>
      <w:r w:rsidRPr="00C464A7">
        <w:rPr>
          <w:sz w:val="24"/>
          <w:szCs w:val="24"/>
        </w:rPr>
        <w:t xml:space="preserve"> </w:t>
      </w:r>
      <w:r w:rsidR="003E002D">
        <w:rPr>
          <w:sz w:val="24"/>
          <w:szCs w:val="24"/>
        </w:rPr>
        <w:t>osiguravat će</w:t>
      </w:r>
      <w:r w:rsidRPr="00C464A7">
        <w:rPr>
          <w:sz w:val="24"/>
          <w:szCs w:val="24"/>
        </w:rPr>
        <w:t xml:space="preserve"> se </w:t>
      </w:r>
      <w:r w:rsidR="005E114B">
        <w:rPr>
          <w:sz w:val="24"/>
          <w:szCs w:val="24"/>
        </w:rPr>
        <w:t xml:space="preserve">kroz više godina </w:t>
      </w:r>
      <w:r w:rsidRPr="00C464A7">
        <w:rPr>
          <w:sz w:val="24"/>
          <w:szCs w:val="24"/>
        </w:rPr>
        <w:t>u državnom proračunu iz raspoloživih izvora (</w:t>
      </w:r>
      <w:r w:rsidR="005E114B">
        <w:rPr>
          <w:sz w:val="24"/>
          <w:szCs w:val="24"/>
        </w:rPr>
        <w:t>D</w:t>
      </w:r>
      <w:r w:rsidR="00F378E2">
        <w:rPr>
          <w:sz w:val="24"/>
          <w:szCs w:val="24"/>
        </w:rPr>
        <w:t>ržavn</w:t>
      </w:r>
      <w:r w:rsidR="00567B32">
        <w:rPr>
          <w:sz w:val="24"/>
          <w:szCs w:val="24"/>
        </w:rPr>
        <w:t>i</w:t>
      </w:r>
      <w:r w:rsidR="00F378E2">
        <w:rPr>
          <w:sz w:val="24"/>
          <w:szCs w:val="24"/>
        </w:rPr>
        <w:t xml:space="preserve"> proračun</w:t>
      </w:r>
      <w:r w:rsidR="00567B32">
        <w:rPr>
          <w:sz w:val="24"/>
          <w:szCs w:val="24"/>
        </w:rPr>
        <w:t xml:space="preserve"> Republike Hrvatske</w:t>
      </w:r>
      <w:r w:rsidRPr="00C464A7">
        <w:rPr>
          <w:sz w:val="24"/>
          <w:szCs w:val="24"/>
        </w:rPr>
        <w:t>, EU fondovi, drugi izvori)</w:t>
      </w:r>
      <w:r w:rsidR="00F378E2">
        <w:rPr>
          <w:sz w:val="24"/>
          <w:szCs w:val="24"/>
        </w:rPr>
        <w:t xml:space="preserve"> na poziciji Ministarstva zdravstva</w:t>
      </w:r>
      <w:r w:rsidR="003E002D">
        <w:rPr>
          <w:sz w:val="24"/>
          <w:szCs w:val="24"/>
        </w:rPr>
        <w:t xml:space="preserve">, aktivnosti koja </w:t>
      </w:r>
      <w:r w:rsidR="005E114B">
        <w:rPr>
          <w:sz w:val="24"/>
          <w:szCs w:val="24"/>
        </w:rPr>
        <w:t>je</w:t>
      </w:r>
      <w:r w:rsidR="003E002D">
        <w:rPr>
          <w:sz w:val="24"/>
          <w:szCs w:val="24"/>
        </w:rPr>
        <w:t xml:space="preserve"> posebno </w:t>
      </w:r>
      <w:r w:rsidR="005E114B">
        <w:rPr>
          <w:sz w:val="24"/>
          <w:szCs w:val="24"/>
        </w:rPr>
        <w:t xml:space="preserve">otvorena </w:t>
      </w:r>
      <w:r w:rsidR="003E002D">
        <w:rPr>
          <w:sz w:val="24"/>
          <w:szCs w:val="24"/>
        </w:rPr>
        <w:t>u državnom proračunu za tu namjenu</w:t>
      </w:r>
      <w:r w:rsidR="00B23F0B">
        <w:rPr>
          <w:sz w:val="24"/>
          <w:szCs w:val="24"/>
        </w:rPr>
        <w:t>.</w:t>
      </w:r>
    </w:p>
    <w:p w14:paraId="2AA04582" w14:textId="619760E5" w:rsidR="00567B32" w:rsidRDefault="00567B32" w:rsidP="00C464A7">
      <w:pPr>
        <w:jc w:val="both"/>
        <w:rPr>
          <w:sz w:val="24"/>
          <w:szCs w:val="24"/>
        </w:rPr>
      </w:pPr>
    </w:p>
    <w:p w14:paraId="076D14C6" w14:textId="00BA1CB6" w:rsidR="00567B32" w:rsidRDefault="00567B32" w:rsidP="00C464A7">
      <w:pPr>
        <w:jc w:val="both"/>
        <w:rPr>
          <w:sz w:val="24"/>
          <w:szCs w:val="24"/>
        </w:rPr>
      </w:pPr>
      <w:r>
        <w:rPr>
          <w:sz w:val="24"/>
          <w:szCs w:val="24"/>
        </w:rPr>
        <w:t>Slijedom navedenoga, predlaže se donošenje predmetne Odluke.</w:t>
      </w:r>
    </w:p>
    <w:p w14:paraId="158E48AB" w14:textId="0E86759B" w:rsidR="00567B32" w:rsidRDefault="00567B32" w:rsidP="00C464A7">
      <w:pPr>
        <w:jc w:val="both"/>
        <w:rPr>
          <w:sz w:val="24"/>
          <w:szCs w:val="24"/>
        </w:rPr>
      </w:pPr>
    </w:p>
    <w:p w14:paraId="575A7899" w14:textId="77777777" w:rsidR="00567B32" w:rsidRDefault="00567B32" w:rsidP="00C464A7">
      <w:pPr>
        <w:jc w:val="both"/>
        <w:rPr>
          <w:sz w:val="24"/>
          <w:szCs w:val="24"/>
        </w:rPr>
      </w:pPr>
    </w:p>
    <w:p w14:paraId="15966C1E" w14:textId="77777777" w:rsidR="00567B32" w:rsidRDefault="00567B32" w:rsidP="00C464A7">
      <w:pPr>
        <w:jc w:val="both"/>
        <w:rPr>
          <w:sz w:val="24"/>
          <w:szCs w:val="24"/>
        </w:rPr>
      </w:pPr>
    </w:p>
    <w:p w14:paraId="050FFD72" w14:textId="517AB902" w:rsidR="003574A5" w:rsidRDefault="003574A5" w:rsidP="00C464A7">
      <w:pPr>
        <w:jc w:val="both"/>
        <w:rPr>
          <w:sz w:val="24"/>
          <w:szCs w:val="24"/>
        </w:rPr>
      </w:pPr>
    </w:p>
    <w:p w14:paraId="6C185D36" w14:textId="07C56014" w:rsidR="003574A5" w:rsidRPr="00C464A7" w:rsidRDefault="003574A5" w:rsidP="00C464A7">
      <w:pPr>
        <w:jc w:val="both"/>
        <w:rPr>
          <w:sz w:val="24"/>
          <w:szCs w:val="24"/>
        </w:rPr>
      </w:pPr>
    </w:p>
    <w:p w14:paraId="0D1CD8A9" w14:textId="77777777" w:rsidR="00F378E2" w:rsidRDefault="00F378E2" w:rsidP="00C464A7">
      <w:pPr>
        <w:jc w:val="both"/>
        <w:rPr>
          <w:sz w:val="24"/>
          <w:szCs w:val="24"/>
        </w:rPr>
      </w:pPr>
    </w:p>
    <w:sectPr w:rsidR="00F378E2" w:rsidSect="00EC05B7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FEE1D7" w16cid:durableId="291C3A05"/>
  <w16cid:commentId w16cid:paraId="6C908750" w16cid:durableId="291C3B50"/>
  <w16cid:commentId w16cid:paraId="7A7E70C0" w16cid:durableId="291C3B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F47"/>
    <w:multiLevelType w:val="hybridMultilevel"/>
    <w:tmpl w:val="A6B272BA"/>
    <w:lvl w:ilvl="0" w:tplc="78E42432">
      <w:start w:val="1"/>
      <w:numFmt w:val="decimal"/>
      <w:lvlText w:val="%1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abstractNum w:abstractNumId="1" w15:restartNumberingAfterBreak="0">
    <w:nsid w:val="22AB3FEB"/>
    <w:multiLevelType w:val="hybridMultilevel"/>
    <w:tmpl w:val="A6B272BA"/>
    <w:lvl w:ilvl="0" w:tplc="78E42432">
      <w:start w:val="1"/>
      <w:numFmt w:val="decimal"/>
      <w:lvlText w:val="%1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abstractNum w:abstractNumId="2" w15:restartNumberingAfterBreak="0">
    <w:nsid w:val="2B97784F"/>
    <w:multiLevelType w:val="hybridMultilevel"/>
    <w:tmpl w:val="E1F4F740"/>
    <w:lvl w:ilvl="0" w:tplc="78E42432">
      <w:start w:val="1"/>
      <w:numFmt w:val="decimal"/>
      <w:lvlText w:val="%1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abstractNum w:abstractNumId="3" w15:restartNumberingAfterBreak="0">
    <w:nsid w:val="4E974C2F"/>
    <w:multiLevelType w:val="hybridMultilevel"/>
    <w:tmpl w:val="281E5B2E"/>
    <w:lvl w:ilvl="0" w:tplc="78E42432">
      <w:start w:val="1"/>
      <w:numFmt w:val="decimal"/>
      <w:lvlText w:val="%1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abstractNum w:abstractNumId="4" w15:restartNumberingAfterBreak="0">
    <w:nsid w:val="6026516E"/>
    <w:multiLevelType w:val="hybridMultilevel"/>
    <w:tmpl w:val="A6B272BA"/>
    <w:lvl w:ilvl="0" w:tplc="78E42432">
      <w:start w:val="1"/>
      <w:numFmt w:val="decimal"/>
      <w:lvlText w:val="%1."/>
      <w:lvlJc w:val="left"/>
      <w:pPr>
        <w:ind w:left="1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436ABFA">
      <w:numFmt w:val="bullet"/>
      <w:lvlText w:val="•"/>
      <w:lvlJc w:val="left"/>
      <w:pPr>
        <w:ind w:left="1038" w:hanging="711"/>
      </w:pPr>
      <w:rPr>
        <w:rFonts w:hint="default"/>
        <w:lang w:val="hr-HR" w:eastAsia="en-US" w:bidi="ar-SA"/>
      </w:rPr>
    </w:lvl>
    <w:lvl w:ilvl="2" w:tplc="2B8E743C">
      <w:numFmt w:val="bullet"/>
      <w:lvlText w:val="•"/>
      <w:lvlJc w:val="left"/>
      <w:pPr>
        <w:ind w:left="1957" w:hanging="711"/>
      </w:pPr>
      <w:rPr>
        <w:rFonts w:hint="default"/>
        <w:lang w:val="hr-HR" w:eastAsia="en-US" w:bidi="ar-SA"/>
      </w:rPr>
    </w:lvl>
    <w:lvl w:ilvl="3" w:tplc="AD087742">
      <w:numFmt w:val="bullet"/>
      <w:lvlText w:val="•"/>
      <w:lvlJc w:val="left"/>
      <w:pPr>
        <w:ind w:left="2875" w:hanging="711"/>
      </w:pPr>
      <w:rPr>
        <w:rFonts w:hint="default"/>
        <w:lang w:val="hr-HR" w:eastAsia="en-US" w:bidi="ar-SA"/>
      </w:rPr>
    </w:lvl>
    <w:lvl w:ilvl="4" w:tplc="BE182A76">
      <w:numFmt w:val="bullet"/>
      <w:lvlText w:val="•"/>
      <w:lvlJc w:val="left"/>
      <w:pPr>
        <w:ind w:left="3794" w:hanging="711"/>
      </w:pPr>
      <w:rPr>
        <w:rFonts w:hint="default"/>
        <w:lang w:val="hr-HR" w:eastAsia="en-US" w:bidi="ar-SA"/>
      </w:rPr>
    </w:lvl>
    <w:lvl w:ilvl="5" w:tplc="5F246A04">
      <w:numFmt w:val="bullet"/>
      <w:lvlText w:val="•"/>
      <w:lvlJc w:val="left"/>
      <w:pPr>
        <w:ind w:left="4713" w:hanging="711"/>
      </w:pPr>
      <w:rPr>
        <w:rFonts w:hint="default"/>
        <w:lang w:val="hr-HR" w:eastAsia="en-US" w:bidi="ar-SA"/>
      </w:rPr>
    </w:lvl>
    <w:lvl w:ilvl="6" w:tplc="818A118C">
      <w:numFmt w:val="bullet"/>
      <w:lvlText w:val="•"/>
      <w:lvlJc w:val="left"/>
      <w:pPr>
        <w:ind w:left="5631" w:hanging="711"/>
      </w:pPr>
      <w:rPr>
        <w:rFonts w:hint="default"/>
        <w:lang w:val="hr-HR" w:eastAsia="en-US" w:bidi="ar-SA"/>
      </w:rPr>
    </w:lvl>
    <w:lvl w:ilvl="7" w:tplc="670221CC">
      <w:numFmt w:val="bullet"/>
      <w:lvlText w:val="•"/>
      <w:lvlJc w:val="left"/>
      <w:pPr>
        <w:ind w:left="6550" w:hanging="711"/>
      </w:pPr>
      <w:rPr>
        <w:rFonts w:hint="default"/>
        <w:lang w:val="hr-HR" w:eastAsia="en-US" w:bidi="ar-SA"/>
      </w:rPr>
    </w:lvl>
    <w:lvl w:ilvl="8" w:tplc="07AA3E78">
      <w:numFmt w:val="bullet"/>
      <w:lvlText w:val="•"/>
      <w:lvlJc w:val="left"/>
      <w:pPr>
        <w:ind w:left="7469" w:hanging="711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7D"/>
    <w:rsid w:val="00007429"/>
    <w:rsid w:val="00051B7B"/>
    <w:rsid w:val="00074CD8"/>
    <w:rsid w:val="00126E6E"/>
    <w:rsid w:val="001338C3"/>
    <w:rsid w:val="00181939"/>
    <w:rsid w:val="00185761"/>
    <w:rsid w:val="00193AC1"/>
    <w:rsid w:val="001B62D8"/>
    <w:rsid w:val="001B761B"/>
    <w:rsid w:val="001E34FE"/>
    <w:rsid w:val="001F5CA5"/>
    <w:rsid w:val="0020031D"/>
    <w:rsid w:val="0023630F"/>
    <w:rsid w:val="00262DA3"/>
    <w:rsid w:val="002B576F"/>
    <w:rsid w:val="002D7948"/>
    <w:rsid w:val="003508DD"/>
    <w:rsid w:val="003574A5"/>
    <w:rsid w:val="00372057"/>
    <w:rsid w:val="00372925"/>
    <w:rsid w:val="003C66AB"/>
    <w:rsid w:val="003D47FF"/>
    <w:rsid w:val="003E002D"/>
    <w:rsid w:val="003E4F3A"/>
    <w:rsid w:val="00410E8F"/>
    <w:rsid w:val="00487FA8"/>
    <w:rsid w:val="004A24F6"/>
    <w:rsid w:val="004B6B1C"/>
    <w:rsid w:val="004F35E6"/>
    <w:rsid w:val="004F4EA5"/>
    <w:rsid w:val="00517F84"/>
    <w:rsid w:val="00546474"/>
    <w:rsid w:val="005619A6"/>
    <w:rsid w:val="00567B32"/>
    <w:rsid w:val="00572879"/>
    <w:rsid w:val="005D6133"/>
    <w:rsid w:val="005D672C"/>
    <w:rsid w:val="005E114B"/>
    <w:rsid w:val="006166A1"/>
    <w:rsid w:val="00655286"/>
    <w:rsid w:val="0065660F"/>
    <w:rsid w:val="006878CD"/>
    <w:rsid w:val="00691060"/>
    <w:rsid w:val="00727678"/>
    <w:rsid w:val="00732B64"/>
    <w:rsid w:val="007457E3"/>
    <w:rsid w:val="00752D41"/>
    <w:rsid w:val="00757FB2"/>
    <w:rsid w:val="007B1D30"/>
    <w:rsid w:val="007E110E"/>
    <w:rsid w:val="007E64B4"/>
    <w:rsid w:val="00837C2E"/>
    <w:rsid w:val="00853E60"/>
    <w:rsid w:val="00874326"/>
    <w:rsid w:val="008853B3"/>
    <w:rsid w:val="008A40E1"/>
    <w:rsid w:val="008A6F3A"/>
    <w:rsid w:val="008B2D98"/>
    <w:rsid w:val="008C1DF1"/>
    <w:rsid w:val="0090193D"/>
    <w:rsid w:val="00962058"/>
    <w:rsid w:val="00967ADD"/>
    <w:rsid w:val="009B7845"/>
    <w:rsid w:val="009D0B5F"/>
    <w:rsid w:val="009D3E86"/>
    <w:rsid w:val="00A07903"/>
    <w:rsid w:val="00A5088B"/>
    <w:rsid w:val="00A572E8"/>
    <w:rsid w:val="00A72A53"/>
    <w:rsid w:val="00AA7EC5"/>
    <w:rsid w:val="00AB671D"/>
    <w:rsid w:val="00AC6ACD"/>
    <w:rsid w:val="00AE4FC0"/>
    <w:rsid w:val="00B16592"/>
    <w:rsid w:val="00B17386"/>
    <w:rsid w:val="00B204EE"/>
    <w:rsid w:val="00B23F0B"/>
    <w:rsid w:val="00B2574F"/>
    <w:rsid w:val="00B35034"/>
    <w:rsid w:val="00B552E8"/>
    <w:rsid w:val="00B70868"/>
    <w:rsid w:val="00B751A4"/>
    <w:rsid w:val="00BB2F8A"/>
    <w:rsid w:val="00C266CB"/>
    <w:rsid w:val="00C464A7"/>
    <w:rsid w:val="00C71F61"/>
    <w:rsid w:val="00C907D3"/>
    <w:rsid w:val="00CA271A"/>
    <w:rsid w:val="00CA717D"/>
    <w:rsid w:val="00CF1611"/>
    <w:rsid w:val="00CF6509"/>
    <w:rsid w:val="00D02657"/>
    <w:rsid w:val="00D43D8E"/>
    <w:rsid w:val="00D57F8E"/>
    <w:rsid w:val="00DD7DFF"/>
    <w:rsid w:val="00E15B5F"/>
    <w:rsid w:val="00E375E0"/>
    <w:rsid w:val="00E72782"/>
    <w:rsid w:val="00E920FA"/>
    <w:rsid w:val="00E96249"/>
    <w:rsid w:val="00EA5FAE"/>
    <w:rsid w:val="00EC05B7"/>
    <w:rsid w:val="00ED3F8F"/>
    <w:rsid w:val="00EF685F"/>
    <w:rsid w:val="00F20FCB"/>
    <w:rsid w:val="00F2545D"/>
    <w:rsid w:val="00F34A00"/>
    <w:rsid w:val="00F378E2"/>
    <w:rsid w:val="00F44880"/>
    <w:rsid w:val="00FB64D4"/>
    <w:rsid w:val="00FC4552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6081"/>
  <w15:docId w15:val="{F82F15CC-E8D3-4558-8A3D-2D6A7E39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76"/>
      <w:ind w:left="605" w:right="606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6" w:righ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B2574F"/>
    <w:pPr>
      <w:widowControl/>
      <w:autoSpaceDE/>
      <w:autoSpaceDN/>
    </w:pPr>
    <w:rPr>
      <w:lang w:val="hr-HR"/>
    </w:rPr>
  </w:style>
  <w:style w:type="table" w:styleId="Reetkatablice">
    <w:name w:val="Table Grid"/>
    <w:basedOn w:val="Obinatablica"/>
    <w:rsid w:val="005619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E4F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4FC0"/>
    <w:rPr>
      <w:rFonts w:ascii="Segoe UI" w:eastAsia="Times New Roman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E4FC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E4FC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E4FC0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4F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4FC0"/>
    <w:rPr>
      <w:rFonts w:ascii="Times New Roman" w:eastAsia="Times New Roman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78ED-D570-4886-9380-6618DC2B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Drakulić Velibor</dc:creator>
  <cp:lastModifiedBy>Silvija Bartolec</cp:lastModifiedBy>
  <cp:revision>26</cp:revision>
  <cp:lastPrinted>2023-12-14T14:02:00Z</cp:lastPrinted>
  <dcterms:created xsi:type="dcterms:W3CDTF">2023-12-11T07:57:00Z</dcterms:created>
  <dcterms:modified xsi:type="dcterms:W3CDTF">2023-12-26T09:21:00Z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