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FE41" w14:textId="77777777" w:rsidR="0019777F" w:rsidRDefault="0019777F" w:rsidP="004F2BDD">
      <w:pPr>
        <w:spacing w:after="0" w:line="240" w:lineRule="auto"/>
        <w:rPr>
          <w:rFonts w:ascii="Times New Roman" w:hAnsi="Times New Roman" w:cs="Times New Roman"/>
          <w:sz w:val="24"/>
          <w:szCs w:val="24"/>
        </w:rPr>
      </w:pPr>
    </w:p>
    <w:p w14:paraId="427200F8" w14:textId="77777777" w:rsidR="0019777F" w:rsidRDefault="0019777F" w:rsidP="004F2BDD">
      <w:pPr>
        <w:spacing w:after="0" w:line="240" w:lineRule="auto"/>
        <w:rPr>
          <w:rFonts w:ascii="Times New Roman" w:hAnsi="Times New Roman" w:cs="Times New Roman"/>
          <w:sz w:val="24"/>
          <w:szCs w:val="24"/>
        </w:rPr>
      </w:pPr>
    </w:p>
    <w:p w14:paraId="2A9BFF97" w14:textId="77777777" w:rsidR="0019777F" w:rsidRDefault="0019777F" w:rsidP="004F2BDD">
      <w:pPr>
        <w:spacing w:after="0" w:line="240" w:lineRule="auto"/>
        <w:rPr>
          <w:rFonts w:ascii="Times New Roman" w:hAnsi="Times New Roman" w:cs="Times New Roman"/>
          <w:sz w:val="24"/>
          <w:szCs w:val="24"/>
        </w:rPr>
      </w:pPr>
    </w:p>
    <w:p w14:paraId="3DA900FF" w14:textId="77777777" w:rsidR="0019777F" w:rsidRPr="00A231EB" w:rsidRDefault="0019777F" w:rsidP="004F2BDD">
      <w:pPr>
        <w:spacing w:after="0" w:line="240" w:lineRule="auto"/>
        <w:rPr>
          <w:rFonts w:ascii="Times New Roman" w:hAnsi="Times New Roman" w:cs="Times New Roman"/>
          <w:sz w:val="24"/>
          <w:szCs w:val="24"/>
        </w:rPr>
      </w:pPr>
    </w:p>
    <w:p w14:paraId="179818DF" w14:textId="77777777" w:rsidR="00F2041F" w:rsidRPr="00A231EB" w:rsidRDefault="00F2041F" w:rsidP="00F2041F">
      <w:pPr>
        <w:jc w:val="center"/>
        <w:rPr>
          <w:rFonts w:ascii="Times New Roman" w:hAnsi="Times New Roman" w:cs="Times New Roman"/>
          <w:sz w:val="24"/>
          <w:szCs w:val="24"/>
        </w:rPr>
      </w:pPr>
      <w:r w:rsidRPr="00A231EB">
        <w:rPr>
          <w:rFonts w:ascii="Times New Roman" w:hAnsi="Times New Roman" w:cs="Times New Roman"/>
          <w:noProof/>
          <w:sz w:val="24"/>
          <w:szCs w:val="24"/>
          <w:lang w:eastAsia="hr-HR"/>
        </w:rPr>
        <w:drawing>
          <wp:inline distT="0" distB="0" distL="0" distR="0" wp14:anchorId="3A641278" wp14:editId="2C256235">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231EB">
        <w:rPr>
          <w:rFonts w:ascii="Times New Roman" w:hAnsi="Times New Roman" w:cs="Times New Roman"/>
          <w:sz w:val="24"/>
          <w:szCs w:val="24"/>
        </w:rPr>
        <w:fldChar w:fldCharType="begin"/>
      </w:r>
      <w:r w:rsidRPr="00A231EB">
        <w:rPr>
          <w:rFonts w:ascii="Times New Roman" w:hAnsi="Times New Roman" w:cs="Times New Roman"/>
          <w:sz w:val="24"/>
          <w:szCs w:val="24"/>
        </w:rPr>
        <w:instrText xml:space="preserve"> INCLUDEPICTURE "http://www.inet.hr/~box/images/grb-rh.gif" \* MERGEFORMATINET </w:instrText>
      </w:r>
      <w:r w:rsidRPr="00A231EB">
        <w:rPr>
          <w:rFonts w:ascii="Times New Roman" w:hAnsi="Times New Roman" w:cs="Times New Roman"/>
          <w:sz w:val="24"/>
          <w:szCs w:val="24"/>
        </w:rPr>
        <w:fldChar w:fldCharType="end"/>
      </w:r>
    </w:p>
    <w:p w14:paraId="40FEDB82" w14:textId="77777777" w:rsidR="00F2041F" w:rsidRPr="00A231EB" w:rsidRDefault="00F2041F" w:rsidP="00F2041F">
      <w:pPr>
        <w:spacing w:before="60" w:after="1680"/>
        <w:jc w:val="center"/>
        <w:rPr>
          <w:rFonts w:ascii="Times New Roman" w:hAnsi="Times New Roman" w:cs="Times New Roman"/>
          <w:sz w:val="24"/>
          <w:szCs w:val="24"/>
        </w:rPr>
      </w:pPr>
      <w:r w:rsidRPr="00A231EB">
        <w:rPr>
          <w:rFonts w:ascii="Times New Roman" w:hAnsi="Times New Roman" w:cs="Times New Roman"/>
          <w:sz w:val="24"/>
          <w:szCs w:val="24"/>
        </w:rPr>
        <w:t>VLADA REPUBLIKE HRVATSKE</w:t>
      </w:r>
    </w:p>
    <w:p w14:paraId="0C37E26C" w14:textId="77777777" w:rsidR="00F2041F" w:rsidRPr="00A231EB" w:rsidRDefault="00F2041F" w:rsidP="00F2041F">
      <w:pPr>
        <w:rPr>
          <w:rFonts w:ascii="Times New Roman" w:hAnsi="Times New Roman" w:cs="Times New Roman"/>
          <w:sz w:val="24"/>
          <w:szCs w:val="24"/>
        </w:rPr>
      </w:pPr>
    </w:p>
    <w:p w14:paraId="56F5F4B1" w14:textId="6460AAD6" w:rsidR="00F2041F" w:rsidRPr="00A231EB" w:rsidRDefault="00F2041F" w:rsidP="00F2041F">
      <w:pPr>
        <w:spacing w:after="2400"/>
        <w:jc w:val="right"/>
        <w:rPr>
          <w:rFonts w:ascii="Times New Roman" w:hAnsi="Times New Roman" w:cs="Times New Roman"/>
          <w:sz w:val="24"/>
          <w:szCs w:val="24"/>
        </w:rPr>
      </w:pPr>
      <w:r w:rsidRPr="00A231EB">
        <w:rPr>
          <w:rFonts w:ascii="Times New Roman" w:hAnsi="Times New Roman" w:cs="Times New Roman"/>
          <w:sz w:val="24"/>
          <w:szCs w:val="24"/>
        </w:rPr>
        <w:t xml:space="preserve">Zagreb, </w:t>
      </w:r>
      <w:r w:rsidR="007C2D2A">
        <w:rPr>
          <w:rFonts w:ascii="Times New Roman" w:hAnsi="Times New Roman" w:cs="Times New Roman"/>
          <w:sz w:val="24"/>
          <w:szCs w:val="24"/>
        </w:rPr>
        <w:t>28</w:t>
      </w:r>
      <w:r w:rsidR="0082773A">
        <w:rPr>
          <w:rFonts w:ascii="Times New Roman" w:hAnsi="Times New Roman" w:cs="Times New Roman"/>
          <w:sz w:val="24"/>
          <w:szCs w:val="24"/>
        </w:rPr>
        <w:t xml:space="preserve">. </w:t>
      </w:r>
      <w:r w:rsidR="00482413">
        <w:rPr>
          <w:rFonts w:ascii="Times New Roman" w:hAnsi="Times New Roman" w:cs="Times New Roman"/>
          <w:sz w:val="24"/>
          <w:szCs w:val="24"/>
        </w:rPr>
        <w:t>pros</w:t>
      </w:r>
      <w:r w:rsidR="007C2D2A">
        <w:rPr>
          <w:rFonts w:ascii="Times New Roman" w:hAnsi="Times New Roman" w:cs="Times New Roman"/>
          <w:sz w:val="24"/>
          <w:szCs w:val="24"/>
        </w:rPr>
        <w:t>in</w:t>
      </w:r>
      <w:r w:rsidR="00482413">
        <w:rPr>
          <w:rFonts w:ascii="Times New Roman" w:hAnsi="Times New Roman" w:cs="Times New Roman"/>
          <w:sz w:val="24"/>
          <w:szCs w:val="24"/>
        </w:rPr>
        <w:t>c</w:t>
      </w:r>
      <w:r w:rsidR="007C2D2A">
        <w:rPr>
          <w:rFonts w:ascii="Times New Roman" w:hAnsi="Times New Roman" w:cs="Times New Roman"/>
          <w:sz w:val="24"/>
          <w:szCs w:val="24"/>
        </w:rPr>
        <w:t>a</w:t>
      </w:r>
      <w:r w:rsidR="009F7344">
        <w:rPr>
          <w:rFonts w:ascii="Times New Roman" w:hAnsi="Times New Roman" w:cs="Times New Roman"/>
          <w:sz w:val="24"/>
          <w:szCs w:val="24"/>
        </w:rPr>
        <w:t xml:space="preserve"> </w:t>
      </w:r>
      <w:r w:rsidR="00A231EB">
        <w:rPr>
          <w:rFonts w:ascii="Times New Roman" w:hAnsi="Times New Roman" w:cs="Times New Roman"/>
          <w:sz w:val="24"/>
          <w:szCs w:val="24"/>
        </w:rPr>
        <w:t>2023.</w:t>
      </w:r>
      <w:r w:rsidRPr="00A231EB">
        <w:rPr>
          <w:rFonts w:ascii="Times New Roman" w:hAnsi="Times New Roman" w:cs="Times New Roman"/>
          <w:sz w:val="24"/>
          <w:szCs w:val="24"/>
        </w:rPr>
        <w:t xml:space="preserve"> </w:t>
      </w:r>
    </w:p>
    <w:p w14:paraId="34B911A1" w14:textId="77777777" w:rsidR="00F2041F" w:rsidRPr="00A231EB" w:rsidRDefault="00F2041F" w:rsidP="00F2041F">
      <w:pPr>
        <w:spacing w:line="360" w:lineRule="auto"/>
        <w:rPr>
          <w:rFonts w:ascii="Times New Roman" w:hAnsi="Times New Roman" w:cs="Times New Roman"/>
          <w:sz w:val="24"/>
          <w:szCs w:val="24"/>
        </w:rPr>
      </w:pPr>
      <w:r w:rsidRPr="00A231EB">
        <w:rPr>
          <w:rFonts w:ascii="Times New Roman" w:hAnsi="Times New Roman" w:cs="Times New Roman"/>
          <w:sz w:val="24"/>
          <w:szCs w:val="24"/>
        </w:rPr>
        <w:t>__________________________________________________________________________</w:t>
      </w:r>
    </w:p>
    <w:p w14:paraId="3AE61379" w14:textId="77777777" w:rsidR="00F2041F" w:rsidRPr="00A231EB" w:rsidRDefault="00F2041F" w:rsidP="00F2041F">
      <w:pPr>
        <w:tabs>
          <w:tab w:val="right" w:pos="1701"/>
          <w:tab w:val="left" w:pos="1843"/>
        </w:tabs>
        <w:spacing w:line="360" w:lineRule="auto"/>
        <w:ind w:left="1843" w:hanging="1843"/>
        <w:rPr>
          <w:rFonts w:ascii="Times New Roman" w:hAnsi="Times New Roman" w:cs="Times New Roman"/>
          <w:b/>
          <w:smallCaps/>
          <w:sz w:val="24"/>
          <w:szCs w:val="24"/>
        </w:rPr>
        <w:sectPr w:rsidR="00F2041F" w:rsidRPr="00A231EB" w:rsidSect="00A961B8">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2041F" w:rsidRPr="00A231EB" w14:paraId="3BA29A82" w14:textId="77777777" w:rsidTr="00001CC5">
        <w:tc>
          <w:tcPr>
            <w:tcW w:w="1951" w:type="dxa"/>
          </w:tcPr>
          <w:p w14:paraId="2785D576" w14:textId="77777777" w:rsidR="00F2041F" w:rsidRPr="00A231EB" w:rsidRDefault="00F2041F" w:rsidP="00001CC5">
            <w:pPr>
              <w:spacing w:line="360" w:lineRule="auto"/>
              <w:jc w:val="right"/>
              <w:rPr>
                <w:rFonts w:ascii="Times New Roman" w:hAnsi="Times New Roman" w:cs="Times New Roman"/>
                <w:sz w:val="24"/>
                <w:szCs w:val="24"/>
              </w:rPr>
            </w:pPr>
            <w:r w:rsidRPr="00A231EB">
              <w:rPr>
                <w:rFonts w:ascii="Times New Roman" w:hAnsi="Times New Roman" w:cs="Times New Roman"/>
                <w:b/>
                <w:smallCaps/>
                <w:sz w:val="24"/>
                <w:szCs w:val="24"/>
              </w:rPr>
              <w:t>Predlagatelj</w:t>
            </w:r>
            <w:r w:rsidRPr="00A231EB">
              <w:rPr>
                <w:rFonts w:ascii="Times New Roman" w:hAnsi="Times New Roman" w:cs="Times New Roman"/>
                <w:b/>
                <w:sz w:val="24"/>
                <w:szCs w:val="24"/>
              </w:rPr>
              <w:t>:</w:t>
            </w:r>
          </w:p>
        </w:tc>
        <w:tc>
          <w:tcPr>
            <w:tcW w:w="7229" w:type="dxa"/>
          </w:tcPr>
          <w:p w14:paraId="545AD4CD" w14:textId="77777777" w:rsidR="00F2041F" w:rsidRPr="00A231EB" w:rsidRDefault="00F2041F" w:rsidP="00001CC5">
            <w:pPr>
              <w:spacing w:line="360" w:lineRule="auto"/>
              <w:rPr>
                <w:rFonts w:ascii="Times New Roman" w:hAnsi="Times New Roman" w:cs="Times New Roman"/>
                <w:sz w:val="24"/>
                <w:szCs w:val="24"/>
              </w:rPr>
            </w:pPr>
            <w:r w:rsidRPr="00A231EB">
              <w:rPr>
                <w:rFonts w:ascii="Times New Roman" w:hAnsi="Times New Roman" w:cs="Times New Roman"/>
                <w:sz w:val="24"/>
                <w:szCs w:val="24"/>
              </w:rPr>
              <w:t>Ministarstvo gospodarstva i održivog razvoja</w:t>
            </w:r>
          </w:p>
        </w:tc>
      </w:tr>
    </w:tbl>
    <w:p w14:paraId="680E457D" w14:textId="77777777" w:rsidR="00F2041F" w:rsidRPr="00A231EB" w:rsidRDefault="00F2041F" w:rsidP="00F2041F">
      <w:pPr>
        <w:spacing w:line="360" w:lineRule="auto"/>
        <w:rPr>
          <w:rFonts w:ascii="Times New Roman" w:hAnsi="Times New Roman" w:cs="Times New Roman"/>
          <w:sz w:val="24"/>
          <w:szCs w:val="24"/>
        </w:rPr>
      </w:pPr>
      <w:r w:rsidRPr="00A231EB">
        <w:rPr>
          <w:rFonts w:ascii="Times New Roman" w:hAnsi="Times New Roman" w:cs="Times New Roman"/>
          <w:sz w:val="24"/>
          <w:szCs w:val="24"/>
        </w:rPr>
        <w:t>__________________________________________________________________________</w:t>
      </w:r>
    </w:p>
    <w:p w14:paraId="068CCB91" w14:textId="77777777" w:rsidR="00F2041F" w:rsidRPr="00A231EB" w:rsidRDefault="00F2041F" w:rsidP="00F2041F">
      <w:pPr>
        <w:tabs>
          <w:tab w:val="right" w:pos="1701"/>
          <w:tab w:val="left" w:pos="1843"/>
        </w:tabs>
        <w:spacing w:line="360" w:lineRule="auto"/>
        <w:ind w:left="1843" w:hanging="1843"/>
        <w:rPr>
          <w:rFonts w:ascii="Times New Roman" w:hAnsi="Times New Roman" w:cs="Times New Roman"/>
          <w:b/>
          <w:smallCaps/>
          <w:sz w:val="24"/>
          <w:szCs w:val="24"/>
        </w:rPr>
        <w:sectPr w:rsidR="00F2041F" w:rsidRPr="00A231EB"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2041F" w:rsidRPr="00A231EB" w14:paraId="4A027FD4" w14:textId="77777777" w:rsidTr="00001CC5">
        <w:tc>
          <w:tcPr>
            <w:tcW w:w="1951" w:type="dxa"/>
          </w:tcPr>
          <w:p w14:paraId="626A3684" w14:textId="77777777" w:rsidR="00F2041F" w:rsidRPr="00A231EB" w:rsidRDefault="00F2041F" w:rsidP="00001CC5">
            <w:pPr>
              <w:spacing w:line="360" w:lineRule="auto"/>
              <w:jc w:val="right"/>
              <w:rPr>
                <w:rFonts w:ascii="Times New Roman" w:hAnsi="Times New Roman" w:cs="Times New Roman"/>
                <w:sz w:val="24"/>
                <w:szCs w:val="24"/>
              </w:rPr>
            </w:pPr>
            <w:r w:rsidRPr="00A231EB">
              <w:rPr>
                <w:rFonts w:ascii="Times New Roman" w:hAnsi="Times New Roman" w:cs="Times New Roman"/>
                <w:b/>
                <w:smallCaps/>
                <w:sz w:val="24"/>
                <w:szCs w:val="24"/>
              </w:rPr>
              <w:t>Predmet</w:t>
            </w:r>
            <w:r w:rsidRPr="00A231EB">
              <w:rPr>
                <w:rFonts w:ascii="Times New Roman" w:hAnsi="Times New Roman" w:cs="Times New Roman"/>
                <w:b/>
                <w:sz w:val="24"/>
                <w:szCs w:val="24"/>
              </w:rPr>
              <w:t>:</w:t>
            </w:r>
          </w:p>
        </w:tc>
        <w:tc>
          <w:tcPr>
            <w:tcW w:w="7229" w:type="dxa"/>
          </w:tcPr>
          <w:p w14:paraId="1FBA52AD" w14:textId="525CD637" w:rsidR="00F2041F" w:rsidRPr="00A231EB" w:rsidRDefault="00ED7F32" w:rsidP="00F2041F">
            <w:pPr>
              <w:jc w:val="both"/>
              <w:rPr>
                <w:rFonts w:ascii="Times New Roman" w:hAnsi="Times New Roman" w:cs="Times New Roman"/>
                <w:sz w:val="24"/>
                <w:szCs w:val="24"/>
              </w:rPr>
            </w:pPr>
            <w:r>
              <w:rPr>
                <w:rFonts w:ascii="Times New Roman" w:hAnsi="Times New Roman" w:cs="Times New Roman"/>
                <w:sz w:val="24"/>
                <w:szCs w:val="24"/>
              </w:rPr>
              <w:t>Prijedlog o</w:t>
            </w:r>
            <w:r w:rsidR="00F2041F" w:rsidRPr="00A231EB">
              <w:rPr>
                <w:rFonts w:ascii="Times New Roman" w:hAnsi="Times New Roman" w:cs="Times New Roman"/>
                <w:sz w:val="24"/>
                <w:szCs w:val="24"/>
              </w:rPr>
              <w:t xml:space="preserve">dluke </w:t>
            </w:r>
            <w:r w:rsidR="0096666C" w:rsidRPr="0096666C">
              <w:rPr>
                <w:rFonts w:ascii="Times New Roman" w:hAnsi="Times New Roman" w:cs="Times New Roman"/>
                <w:sz w:val="24"/>
                <w:szCs w:val="24"/>
              </w:rPr>
              <w:t>o određivanju iznos razlike između jediničnih cijena za centralne toplinske sustave i zatvorene toplinske sustave u odnosu na krajnje cijene isporučene toplinske energije</w:t>
            </w:r>
          </w:p>
        </w:tc>
      </w:tr>
    </w:tbl>
    <w:p w14:paraId="5CEEBEB5" w14:textId="77777777" w:rsidR="00F2041F" w:rsidRPr="00A231EB" w:rsidRDefault="00F2041F" w:rsidP="00F2041F">
      <w:pPr>
        <w:tabs>
          <w:tab w:val="left" w:pos="1843"/>
        </w:tabs>
        <w:spacing w:line="360" w:lineRule="auto"/>
        <w:ind w:left="1843" w:hanging="1843"/>
        <w:rPr>
          <w:rFonts w:ascii="Times New Roman" w:hAnsi="Times New Roman" w:cs="Times New Roman"/>
          <w:sz w:val="24"/>
          <w:szCs w:val="24"/>
        </w:rPr>
      </w:pPr>
      <w:r w:rsidRPr="00A231EB">
        <w:rPr>
          <w:rFonts w:ascii="Times New Roman" w:hAnsi="Times New Roman" w:cs="Times New Roman"/>
          <w:sz w:val="24"/>
          <w:szCs w:val="24"/>
        </w:rPr>
        <w:t>________________________________</w:t>
      </w:r>
      <w:bookmarkStart w:id="0" w:name="_GoBack"/>
      <w:bookmarkEnd w:id="0"/>
      <w:r w:rsidRPr="00A231EB">
        <w:rPr>
          <w:rFonts w:ascii="Times New Roman" w:hAnsi="Times New Roman" w:cs="Times New Roman"/>
          <w:sz w:val="24"/>
          <w:szCs w:val="24"/>
        </w:rPr>
        <w:t>__________________________________________</w:t>
      </w:r>
    </w:p>
    <w:p w14:paraId="4E1705A9" w14:textId="77777777" w:rsidR="00F2041F" w:rsidRPr="00A231EB" w:rsidRDefault="00F2041F" w:rsidP="00F2041F">
      <w:pPr>
        <w:rPr>
          <w:rFonts w:ascii="Times New Roman" w:hAnsi="Times New Roman" w:cs="Times New Roman"/>
          <w:sz w:val="24"/>
          <w:szCs w:val="24"/>
        </w:rPr>
      </w:pPr>
    </w:p>
    <w:p w14:paraId="6441116A" w14:textId="77777777" w:rsidR="00F2041F" w:rsidRPr="00A231EB" w:rsidRDefault="00F2041F" w:rsidP="00F2041F">
      <w:pPr>
        <w:rPr>
          <w:rFonts w:ascii="Times New Roman" w:hAnsi="Times New Roman" w:cs="Times New Roman"/>
          <w:sz w:val="24"/>
          <w:szCs w:val="24"/>
        </w:rPr>
      </w:pPr>
    </w:p>
    <w:p w14:paraId="2F45F45D" w14:textId="77777777" w:rsidR="00F2041F" w:rsidRPr="00A231EB" w:rsidRDefault="00F2041F" w:rsidP="00F2041F">
      <w:pPr>
        <w:rPr>
          <w:rFonts w:ascii="Times New Roman" w:hAnsi="Times New Roman" w:cs="Times New Roman"/>
          <w:sz w:val="24"/>
          <w:szCs w:val="24"/>
        </w:rPr>
      </w:pPr>
    </w:p>
    <w:p w14:paraId="29BC59FF" w14:textId="77777777" w:rsidR="00F2041F" w:rsidRPr="00A231EB" w:rsidRDefault="00F2041F" w:rsidP="00F2041F">
      <w:pPr>
        <w:rPr>
          <w:rFonts w:ascii="Times New Roman" w:hAnsi="Times New Roman" w:cs="Times New Roman"/>
          <w:sz w:val="24"/>
          <w:szCs w:val="24"/>
        </w:rPr>
      </w:pPr>
    </w:p>
    <w:p w14:paraId="39D546AE" w14:textId="77777777" w:rsidR="00F2041F" w:rsidRPr="00E5588B" w:rsidRDefault="00F2041F" w:rsidP="00F2041F">
      <w:pPr>
        <w:tabs>
          <w:tab w:val="left" w:pos="0"/>
          <w:tab w:val="left" w:pos="142"/>
          <w:tab w:val="right" w:pos="1701"/>
          <w:tab w:val="left" w:pos="1843"/>
        </w:tabs>
        <w:spacing w:line="360" w:lineRule="auto"/>
        <w:rPr>
          <w:rFonts w:ascii="Times New Roman" w:hAnsi="Times New Roman" w:cs="Times New Roman"/>
          <w:b/>
          <w:smallCaps/>
          <w:sz w:val="24"/>
          <w:szCs w:val="24"/>
        </w:rPr>
        <w:sectPr w:rsidR="00F2041F" w:rsidRPr="00E5588B" w:rsidSect="000C467A">
          <w:footerReference w:type="default" r:id="rId14"/>
          <w:footerReference w:type="first" r:id="rId15"/>
          <w:type w:val="continuous"/>
          <w:pgSz w:w="11906" w:h="16838"/>
          <w:pgMar w:top="993" w:right="1417" w:bottom="1417" w:left="1417" w:header="709" w:footer="658" w:gutter="0"/>
          <w:cols w:space="708"/>
          <w:docGrid w:linePitch="360"/>
        </w:sectPr>
      </w:pPr>
    </w:p>
    <w:p w14:paraId="46056025" w14:textId="77777777" w:rsidR="00F2041F" w:rsidRPr="00E5588B" w:rsidRDefault="00F2041F" w:rsidP="00F2041F">
      <w:pPr>
        <w:rPr>
          <w:rFonts w:ascii="Times New Roman" w:hAnsi="Times New Roman" w:cs="Times New Roman"/>
          <w:sz w:val="24"/>
          <w:szCs w:val="24"/>
        </w:rPr>
      </w:pPr>
      <w:r w:rsidRPr="00E5588B">
        <w:rPr>
          <w:rFonts w:ascii="Times New Roman" w:hAnsi="Times New Roman" w:cs="Times New Roman"/>
          <w:sz w:val="24"/>
          <w:szCs w:val="24"/>
        </w:rPr>
        <w:lastRenderedPageBreak/>
        <w:fldChar w:fldCharType="begin"/>
      </w:r>
      <w:r w:rsidRPr="00E5588B">
        <w:rPr>
          <w:rFonts w:ascii="Times New Roman" w:hAnsi="Times New Roman" w:cs="Times New Roman"/>
          <w:sz w:val="24"/>
          <w:szCs w:val="24"/>
        </w:rPr>
        <w:instrText xml:space="preserve"> INCLUDEPICTURE "http://www.inet.hr/~box/images/grb-rh.gif" \* MERGEFORMATINET </w:instrText>
      </w:r>
      <w:r w:rsidRPr="00E5588B">
        <w:rPr>
          <w:rFonts w:ascii="Times New Roman" w:hAnsi="Times New Roman" w:cs="Times New Roman"/>
          <w:sz w:val="24"/>
          <w:szCs w:val="24"/>
        </w:rPr>
        <w:fldChar w:fldCharType="end"/>
      </w:r>
    </w:p>
    <w:p w14:paraId="60F42695" w14:textId="77777777" w:rsidR="009F7344" w:rsidRPr="0090496E" w:rsidRDefault="009F7344" w:rsidP="009F7344">
      <w:pPr>
        <w:pStyle w:val="box473762"/>
        <w:shd w:val="clear" w:color="auto" w:fill="FFFFFF"/>
        <w:spacing w:before="0" w:beforeAutospacing="0" w:after="48" w:afterAutospacing="0"/>
        <w:ind w:firstLine="408"/>
        <w:jc w:val="both"/>
        <w:textAlignment w:val="baseline"/>
      </w:pPr>
      <w:r w:rsidRPr="0090496E">
        <w:t xml:space="preserve">Na temelju članka 5. stavka 6. Uredbe o otklanjanju poremećaja na domaćem tržištu energije </w:t>
      </w:r>
      <w:bookmarkStart w:id="1" w:name="_Hlk151633188"/>
      <w:r w:rsidRPr="0090496E">
        <w:t xml:space="preserve">(»Narodne novine«, br. 31/23., 74/23., 107/23. i 122/23.), </w:t>
      </w:r>
      <w:bookmarkEnd w:id="1"/>
      <w:r w:rsidRPr="0090496E">
        <w:t>Vlada Republike Hrvatske je na sjednici održanoj XXXXX 2023. donijela</w:t>
      </w:r>
    </w:p>
    <w:p w14:paraId="117900EB" w14:textId="77777777" w:rsidR="009F7344" w:rsidRDefault="009F7344" w:rsidP="009F7344">
      <w:pPr>
        <w:pStyle w:val="box473762"/>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14:paraId="6A24E23A" w14:textId="77777777" w:rsidR="009F7344" w:rsidRDefault="009F7344" w:rsidP="009F7344">
      <w:pPr>
        <w:pStyle w:val="box473762"/>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ODREĐIVANJU IZNOSA RAZLIKE IZMEĐU JEDINIČNIH CIJENA ZA CENTRALNE TOPLINSKE SUSTAVE I ZATVORENE TOPLINSKE SUSTAVE U ODNOSU NA KRAJNJE CIJENE ISPORUČENE TOPLINSKE ENERGIJE</w:t>
      </w:r>
    </w:p>
    <w:p w14:paraId="2407C761" w14:textId="77777777" w:rsidR="009F7344" w:rsidRDefault="009F7344" w:rsidP="009F7344">
      <w:pPr>
        <w:pStyle w:val="box473762"/>
        <w:shd w:val="clear" w:color="auto" w:fill="FFFFFF"/>
        <w:spacing w:before="34" w:beforeAutospacing="0" w:after="48" w:afterAutospacing="0"/>
        <w:jc w:val="center"/>
        <w:textAlignment w:val="baseline"/>
        <w:rPr>
          <w:color w:val="231F20"/>
        </w:rPr>
      </w:pPr>
      <w:r>
        <w:rPr>
          <w:color w:val="231F20"/>
        </w:rPr>
        <w:t>I.</w:t>
      </w:r>
    </w:p>
    <w:p w14:paraId="597894D3" w14:textId="77777777" w:rsidR="009F7344" w:rsidRDefault="009F7344" w:rsidP="009F7344">
      <w:pPr>
        <w:pStyle w:val="box473762"/>
        <w:shd w:val="clear" w:color="auto" w:fill="FFFFFF"/>
        <w:spacing w:before="0" w:beforeAutospacing="0" w:after="48" w:afterAutospacing="0"/>
        <w:jc w:val="both"/>
        <w:textAlignment w:val="baseline"/>
        <w:rPr>
          <w:color w:val="231F20"/>
        </w:rPr>
      </w:pPr>
      <w:r>
        <w:rPr>
          <w:color w:val="231F20"/>
        </w:rPr>
        <w:t>Ovom Odlukom određuje se iznos razlike između jediničnih cijena za centralne toplinske sustave i zatvorene toplinske sustave u odnosu na krajnje cijene isporučene toplinske energije određenih sukladno članku 5. stavcima 2. i 4. Uredbe o otklanjanju poremećaja na domaćem tržištu energije za krajnje kupce u centralnim i zatvorenim toplinskim sustavima.</w:t>
      </w:r>
    </w:p>
    <w:p w14:paraId="01F25286" w14:textId="77777777" w:rsidR="009F7344" w:rsidRDefault="009F7344" w:rsidP="009F7344">
      <w:pPr>
        <w:pStyle w:val="box473762"/>
        <w:shd w:val="clear" w:color="auto" w:fill="FFFFFF"/>
        <w:spacing w:before="103" w:beforeAutospacing="0" w:after="48" w:afterAutospacing="0"/>
        <w:jc w:val="center"/>
        <w:textAlignment w:val="baseline"/>
        <w:rPr>
          <w:color w:val="231F20"/>
        </w:rPr>
      </w:pPr>
      <w:r>
        <w:rPr>
          <w:color w:val="231F20"/>
        </w:rPr>
        <w:t>II.</w:t>
      </w:r>
    </w:p>
    <w:p w14:paraId="4854996C" w14:textId="77777777" w:rsidR="009F7344" w:rsidRPr="009F7344" w:rsidRDefault="009F7344" w:rsidP="009F7344">
      <w:pPr>
        <w:shd w:val="clear" w:color="auto" w:fill="FFFFFF"/>
        <w:spacing w:after="48"/>
        <w:ind w:firstLine="408"/>
        <w:jc w:val="both"/>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Iznos razlike između jediničnih cijena u odnosu na krajnje cijene isporučene toplinske energije iz točke I. ove Odluke određuje se po energetskim subjektima za centralne toplinske sustave, za razdoblje od 1. listopada 2023. do 31. ožujka 2024. kako slijedi:</w:t>
      </w:r>
    </w:p>
    <w:p w14:paraId="708EADA8" w14:textId="77777777" w:rsidR="009F7344" w:rsidRPr="009F7344" w:rsidRDefault="009F7344" w:rsidP="009F7344">
      <w:pPr>
        <w:shd w:val="clear" w:color="auto" w:fill="FFFFFF"/>
        <w:spacing w:after="48"/>
        <w:ind w:firstLine="408"/>
        <w:textAlignment w:val="baseline"/>
        <w:rPr>
          <w:rFonts w:ascii="Times New Roman" w:eastAsia="Times New Roman" w:hAnsi="Times New Roman" w:cs="Times New Roman"/>
          <w:color w:val="231F20"/>
          <w:sz w:val="24"/>
          <w:szCs w:val="24"/>
          <w:lang w:eastAsia="hr-HR"/>
        </w:rPr>
      </w:pPr>
    </w:p>
    <w:tbl>
      <w:tblPr>
        <w:tblW w:w="9708" w:type="dxa"/>
        <w:shd w:val="clear" w:color="auto" w:fill="FFFFFF"/>
        <w:tblCellMar>
          <w:left w:w="0" w:type="dxa"/>
          <w:right w:w="0" w:type="dxa"/>
        </w:tblCellMar>
        <w:tblLook w:val="04A0" w:firstRow="1" w:lastRow="0" w:firstColumn="1" w:lastColumn="0" w:noHBand="0" w:noVBand="1"/>
      </w:tblPr>
      <w:tblGrid>
        <w:gridCol w:w="3516"/>
        <w:gridCol w:w="2288"/>
        <w:gridCol w:w="1501"/>
        <w:gridCol w:w="2403"/>
      </w:tblGrid>
      <w:tr w:rsidR="009F7344" w:rsidRPr="009F7344" w14:paraId="5AA9339E" w14:textId="77777777" w:rsidTr="00A111AA">
        <w:trPr>
          <w:trHeight w:val="630"/>
        </w:trPr>
        <w:tc>
          <w:tcPr>
            <w:tcW w:w="35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90CAE"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Energetski subjekt</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8326B"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Centralni</w:t>
            </w:r>
            <w:r w:rsidRPr="009F7344">
              <w:rPr>
                <w:rFonts w:ascii="Times New Roman" w:eastAsia="Times New Roman" w:hAnsi="Times New Roman" w:cs="Times New Roman"/>
                <w:color w:val="231F20"/>
                <w:sz w:val="24"/>
                <w:szCs w:val="24"/>
                <w:lang w:eastAsia="hr-HR"/>
              </w:rPr>
              <w:br/>
              <w:t>toplinski sustav</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933074"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Tarifni model</w:t>
            </w:r>
          </w:p>
        </w:tc>
        <w:tc>
          <w:tcPr>
            <w:tcW w:w="240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6961A"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Iznos razlike</w:t>
            </w:r>
            <w:r w:rsidRPr="009F7344">
              <w:rPr>
                <w:rFonts w:ascii="Times New Roman" w:eastAsia="Times New Roman" w:hAnsi="Times New Roman" w:cs="Times New Roman"/>
                <w:color w:val="231F20"/>
                <w:sz w:val="24"/>
                <w:szCs w:val="24"/>
                <w:lang w:eastAsia="hr-HR"/>
              </w:rPr>
              <w:br/>
            </w:r>
            <w:r w:rsidRPr="009F7344">
              <w:rPr>
                <w:rFonts w:ascii="Times New Roman" w:eastAsia="Times New Roman" w:hAnsi="Times New Roman" w:cs="Times New Roman"/>
                <w:color w:val="231F20"/>
                <w:sz w:val="24"/>
                <w:szCs w:val="24"/>
                <w:lang w:eastAsia="hr-HR"/>
              </w:rPr>
              <w:br/>
              <w:t>EUR/kWh (kn/kWh)</w:t>
            </w:r>
          </w:p>
        </w:tc>
      </w:tr>
      <w:tr w:rsidR="009F7344" w:rsidRPr="009F7344" w14:paraId="1CC11B6B" w14:textId="77777777" w:rsidTr="00A111AA">
        <w:trPr>
          <w:trHeight w:val="484"/>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E1BE0"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Energo d.o.o.</w:t>
            </w:r>
          </w:p>
          <w:p w14:paraId="0BF0344C"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Rijeka</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130BD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GORNJA VEŽICA</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B2FB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4A2196A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9D8074"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0,0229 (0,1727)</w:t>
            </w:r>
          </w:p>
          <w:p w14:paraId="0655985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0,0194 (0,1460)</w:t>
            </w:r>
          </w:p>
        </w:tc>
      </w:tr>
      <w:tr w:rsidR="009F7344" w:rsidRPr="009F7344" w14:paraId="5FD0E3D6" w14:textId="77777777" w:rsidTr="00A111AA">
        <w:trPr>
          <w:trHeight w:val="1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7458FFE"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1DEFD"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VOJAK</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44FF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123CE8E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C0215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0,0121 (0,0915)</w:t>
            </w:r>
          </w:p>
          <w:p w14:paraId="76CADEC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0,0121 (0,0909)</w:t>
            </w:r>
          </w:p>
        </w:tc>
      </w:tr>
      <w:tr w:rsidR="009F7344" w:rsidRPr="009F7344" w14:paraId="37B4899A" w14:textId="77777777" w:rsidTr="00A111AA">
        <w:trPr>
          <w:trHeight w:val="36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C17277"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Gradska toplana d.o.o.</w:t>
            </w:r>
          </w:p>
          <w:p w14:paraId="77512461"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Karlovac</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EDA5D4"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TINA UJEVIĆA</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FFBB4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56C1CB4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A0F75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0,0355 (0,2677)</w:t>
            </w:r>
          </w:p>
          <w:p w14:paraId="313E223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0,1079 (0,8131)</w:t>
            </w:r>
          </w:p>
        </w:tc>
      </w:tr>
      <w:tr w:rsidR="009F7344" w:rsidRPr="009F7344" w14:paraId="38F05A96" w14:textId="77777777" w:rsidTr="00A111AA">
        <w:trPr>
          <w:trHeight w:val="36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FB40F"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Brod-plin d.o.o.</w:t>
            </w:r>
          </w:p>
          <w:p w14:paraId="097B787F"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Slavonski Brod</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A59D4"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SLAVONIJA</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514F9"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6862711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98868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0,0253 (0,1908)</w:t>
            </w:r>
          </w:p>
          <w:p w14:paraId="2D6C908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0,0391 (0,2948)</w:t>
            </w:r>
          </w:p>
        </w:tc>
      </w:tr>
      <w:tr w:rsidR="009F7344" w:rsidRPr="009F7344" w14:paraId="5F22F646" w14:textId="77777777" w:rsidTr="00A111AA">
        <w:trPr>
          <w:trHeight w:val="542"/>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D00F65"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Tehnostan d.o.o.</w:t>
            </w:r>
          </w:p>
          <w:p w14:paraId="03EB8CE8"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Vukovar</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895374"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BOROVO</w:t>
            </w:r>
            <w:r w:rsidRPr="009F7344">
              <w:rPr>
                <w:rFonts w:ascii="Times New Roman" w:eastAsia="Times New Roman" w:hAnsi="Times New Roman" w:cs="Times New Roman"/>
                <w:color w:val="231F20"/>
                <w:sz w:val="24"/>
                <w:szCs w:val="24"/>
                <w:lang w:eastAsia="hr-HR"/>
              </w:rPr>
              <w:br/>
              <w:t>NASELJE</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538BA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121E2C9"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05ED6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p w14:paraId="7A71144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tc>
      </w:tr>
      <w:tr w:rsidR="009F7344" w:rsidRPr="009F7344" w14:paraId="2DD1DCD3" w14:textId="77777777" w:rsidTr="00A111AA">
        <w:trPr>
          <w:trHeight w:val="1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B4ED496"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3E73AD"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OLAJNICA</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8B759"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2CEA2C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7972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p w14:paraId="117E1AAB"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tc>
      </w:tr>
      <w:tr w:rsidR="009F7344" w:rsidRPr="009F7344" w14:paraId="7043597E" w14:textId="77777777" w:rsidTr="00A111AA">
        <w:trPr>
          <w:trHeight w:val="484"/>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16829"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HEP – Toplinarstvo d.o.o.</w:t>
            </w:r>
          </w:p>
          <w:p w14:paraId="21D5E11C"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Zagreb</w:t>
            </w: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9BE73"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ZAGREB</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7BFBF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87F44A6"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TM2</w:t>
            </w:r>
          </w:p>
          <w:p w14:paraId="3579541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9B001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0,00 (0,0000)</w:t>
            </w:r>
          </w:p>
          <w:p w14:paraId="776066F9"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0,00 (0,0000)</w:t>
            </w:r>
          </w:p>
          <w:p w14:paraId="485B43C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tc>
      </w:tr>
      <w:tr w:rsidR="009F7344" w:rsidRPr="009F7344" w14:paraId="7639979B" w14:textId="77777777" w:rsidTr="00A111AA">
        <w:trPr>
          <w:trHeight w:val="1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2CD25D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30A44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OSIJEK</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1A4FF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0879B3F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p w14:paraId="3FFA7F7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F81B66"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0,00004 (0,0003)</w:t>
            </w:r>
          </w:p>
          <w:p w14:paraId="543FC98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0,0004 (0,0033)</w:t>
            </w:r>
          </w:p>
          <w:p w14:paraId="2E22559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0,4390 (3,3076)</w:t>
            </w:r>
          </w:p>
        </w:tc>
      </w:tr>
      <w:tr w:rsidR="009F7344" w:rsidRPr="009F7344" w14:paraId="4D73920B" w14:textId="77777777" w:rsidTr="00A111AA">
        <w:trPr>
          <w:trHeight w:val="1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A79FFC9"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679D7"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SISAK</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8D134E"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4C2A8E3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9FEAEB"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p w14:paraId="6D03FFA7"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(0,0000)</w:t>
            </w:r>
          </w:p>
        </w:tc>
      </w:tr>
      <w:tr w:rsidR="009F7344" w:rsidRPr="009F7344" w14:paraId="4D67589A" w14:textId="77777777" w:rsidTr="00A111AA">
        <w:trPr>
          <w:trHeight w:val="1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5B68AE2"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AE69B"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SAMOBOR</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D8E5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FFB7F9E"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BB794"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0,0067 (0,0501)</w:t>
            </w:r>
          </w:p>
          <w:p w14:paraId="0F9E77D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0,0075 (0,0568)</w:t>
            </w:r>
          </w:p>
        </w:tc>
      </w:tr>
      <w:tr w:rsidR="009F7344" w:rsidRPr="009F7344" w14:paraId="778F6D04" w14:textId="77777777" w:rsidTr="00A111AA">
        <w:trPr>
          <w:trHeight w:val="11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0BEF752"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2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2C36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VELIKA GORICA</w:t>
            </w:r>
          </w:p>
        </w:tc>
        <w:tc>
          <w:tcPr>
            <w:tcW w:w="15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0271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1D90FF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46A32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0,0125 (0,0942)</w:t>
            </w:r>
          </w:p>
          <w:p w14:paraId="73ED743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0,0145 (0,1094)</w:t>
            </w:r>
          </w:p>
        </w:tc>
      </w:tr>
    </w:tbl>
    <w:p w14:paraId="54561DF9" w14:textId="77777777" w:rsidR="009F7344" w:rsidRPr="009F7344" w:rsidRDefault="009F7344" w:rsidP="009F7344">
      <w:pPr>
        <w:shd w:val="clear" w:color="auto" w:fill="FFFFFF"/>
        <w:spacing w:before="34" w:after="48"/>
        <w:jc w:val="center"/>
        <w:textAlignment w:val="baseline"/>
        <w:rPr>
          <w:rFonts w:ascii="Times New Roman" w:eastAsia="Times New Roman" w:hAnsi="Times New Roman" w:cs="Times New Roman"/>
          <w:color w:val="231F20"/>
          <w:sz w:val="24"/>
          <w:szCs w:val="24"/>
          <w:lang w:eastAsia="hr-HR"/>
        </w:rPr>
      </w:pPr>
    </w:p>
    <w:p w14:paraId="06C8CC7A" w14:textId="77777777" w:rsidR="009F7344" w:rsidRPr="009F7344" w:rsidRDefault="009F7344" w:rsidP="009F7344">
      <w:pPr>
        <w:shd w:val="clear" w:color="auto" w:fill="FFFFFF"/>
        <w:spacing w:before="34" w:after="48"/>
        <w:jc w:val="center"/>
        <w:textAlignment w:val="baseline"/>
        <w:rPr>
          <w:rFonts w:ascii="Times New Roman" w:eastAsia="Times New Roman" w:hAnsi="Times New Roman" w:cs="Times New Roman"/>
          <w:color w:val="231F20"/>
          <w:sz w:val="24"/>
          <w:szCs w:val="24"/>
          <w:lang w:eastAsia="hr-HR"/>
        </w:rPr>
      </w:pPr>
    </w:p>
    <w:p w14:paraId="605910D3" w14:textId="77777777" w:rsidR="009F7344" w:rsidRPr="009F7344" w:rsidRDefault="009F7344" w:rsidP="009F7344">
      <w:pPr>
        <w:shd w:val="clear" w:color="auto" w:fill="FFFFFF"/>
        <w:spacing w:before="34" w:after="48"/>
        <w:jc w:val="center"/>
        <w:textAlignment w:val="baseline"/>
        <w:rPr>
          <w:rFonts w:ascii="Times New Roman" w:eastAsia="Times New Roman" w:hAnsi="Times New Roman" w:cs="Times New Roman"/>
          <w:color w:val="231F20"/>
          <w:sz w:val="24"/>
          <w:szCs w:val="24"/>
          <w:lang w:eastAsia="hr-HR"/>
        </w:rPr>
      </w:pPr>
    </w:p>
    <w:p w14:paraId="53E76ACF" w14:textId="77777777" w:rsidR="009F7344" w:rsidRPr="009F7344" w:rsidRDefault="009F7344" w:rsidP="009F7344">
      <w:pPr>
        <w:shd w:val="clear" w:color="auto" w:fill="FFFFFF"/>
        <w:spacing w:before="34" w:after="48"/>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III.</w:t>
      </w:r>
    </w:p>
    <w:p w14:paraId="6FF96036" w14:textId="77777777" w:rsidR="009F7344" w:rsidRPr="009F7344" w:rsidRDefault="009F7344" w:rsidP="009F7344">
      <w:pPr>
        <w:shd w:val="clear" w:color="auto" w:fill="FFFFFF"/>
        <w:spacing w:after="48"/>
        <w:ind w:firstLine="408"/>
        <w:jc w:val="both"/>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Iznos razlike između jediničnih cijena iz točke I. ove Odluke određuje se po energetskim subjektima za zatvorene toplinske sustave, za razdoblje od 1. listopada 2023. do 31. ožujka 2024. kako slijedi:</w:t>
      </w:r>
    </w:p>
    <w:tbl>
      <w:tblPr>
        <w:tblW w:w="9888" w:type="dxa"/>
        <w:shd w:val="clear" w:color="auto" w:fill="FFFFFF"/>
        <w:tblCellMar>
          <w:left w:w="0" w:type="dxa"/>
          <w:right w:w="0" w:type="dxa"/>
        </w:tblCellMar>
        <w:tblLook w:val="04A0" w:firstRow="1" w:lastRow="0" w:firstColumn="1" w:lastColumn="0" w:noHBand="0" w:noVBand="1"/>
      </w:tblPr>
      <w:tblGrid>
        <w:gridCol w:w="1832"/>
        <w:gridCol w:w="4964"/>
        <w:gridCol w:w="1276"/>
        <w:gridCol w:w="1816"/>
      </w:tblGrid>
      <w:tr w:rsidR="009F7344" w:rsidRPr="009F7344" w14:paraId="1031937F" w14:textId="77777777" w:rsidTr="00A111AA">
        <w:trPr>
          <w:trHeight w:val="632"/>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CEFBA"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Energetski subjekt</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59301"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Zatvoreni toplinski sustav</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55E70"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Tarifni model</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4B6B2"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Iznos razlike EUR/kWh (kn/kWh)</w:t>
            </w:r>
          </w:p>
        </w:tc>
      </w:tr>
      <w:tr w:rsidR="009F7344" w:rsidRPr="009F7344" w14:paraId="35894D72" w14:textId="77777777" w:rsidTr="00A111AA">
        <w:trPr>
          <w:trHeight w:val="371"/>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F437E4"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Energo d.o.o.</w:t>
            </w:r>
          </w:p>
          <w:p w14:paraId="2C110DFB"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Rijeka</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521C18"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Krnjevo, Kozala, Škurinje, Podmurvice, PO-48, V-44, Zamet, Malonji i Srdoči</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0C8A4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E20A8AB"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F385C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0,0250 (0,1884)</w:t>
            </w:r>
          </w:p>
          <w:p w14:paraId="5A60257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0,0283 (0,2136)</w:t>
            </w:r>
          </w:p>
        </w:tc>
      </w:tr>
      <w:tr w:rsidR="009F7344" w:rsidRPr="009F7344" w14:paraId="2B77783B" w14:textId="77777777" w:rsidTr="00A111AA">
        <w:trPr>
          <w:trHeight w:val="371"/>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CEFBE"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Gradska toplana d.o.o.</w:t>
            </w:r>
          </w:p>
          <w:p w14:paraId="41364A5A"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Karlovac</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F4220"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Bašćinska cesta 41</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8A0E3"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10773"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0,0199 (0,1502)</w:t>
            </w:r>
          </w:p>
        </w:tc>
      </w:tr>
      <w:tr w:rsidR="009F7344" w:rsidRPr="009F7344" w14:paraId="4F68ACA7" w14:textId="77777777" w:rsidTr="00A111AA">
        <w:trPr>
          <w:trHeight w:val="371"/>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4C44C7"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Brod-plin d.o.o.</w:t>
            </w:r>
          </w:p>
          <w:p w14:paraId="05F75BDD"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Slavonski Brod</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BF164"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Mikrorajon i Kralj Tomislav</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88DC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4F24D0B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67847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0,0432 (0,3256)</w:t>
            </w:r>
          </w:p>
          <w:p w14:paraId="6852E6A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0,0478 (0,3602)</w:t>
            </w:r>
          </w:p>
        </w:tc>
      </w:tr>
      <w:tr w:rsidR="009F7344" w:rsidRPr="009F7344" w14:paraId="29B8A0AC" w14:textId="77777777" w:rsidTr="00A111AA">
        <w:trPr>
          <w:trHeight w:val="371"/>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45DC7"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Tehnostan d.o.o.</w:t>
            </w:r>
          </w:p>
          <w:p w14:paraId="0B7E96B4"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Vukovar</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68312A"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D2, D6 i INTERNATI</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2CD7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200D9F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7D2F7"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0,0000 (0,0000)</w:t>
            </w:r>
          </w:p>
          <w:p w14:paraId="58254AEF"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0,0000 (0,0000)</w:t>
            </w:r>
          </w:p>
        </w:tc>
      </w:tr>
      <w:tr w:rsidR="009F7344" w:rsidRPr="009F7344" w14:paraId="47C8575C" w14:textId="77777777" w:rsidTr="00A111AA">
        <w:trPr>
          <w:trHeight w:val="483"/>
        </w:trPr>
        <w:tc>
          <w:tcPr>
            <w:tcW w:w="183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F8A4E7"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HEP – Toplinarstvo d.o.o.</w:t>
            </w:r>
          </w:p>
          <w:p w14:paraId="1FDAF129" w14:textId="77777777" w:rsidR="009F7344" w:rsidRPr="009F7344" w:rsidRDefault="009F7344" w:rsidP="0090496E">
            <w:pPr>
              <w:spacing w:after="0"/>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Zagreb</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62710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Zagreb</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82B0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4CB6CE6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194E17"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0,0070 (0,0530)</w:t>
            </w:r>
          </w:p>
          <w:p w14:paraId="11D587D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0,0147 (0,1108)</w:t>
            </w:r>
          </w:p>
        </w:tc>
      </w:tr>
      <w:tr w:rsidR="009F7344" w:rsidRPr="009F7344" w14:paraId="57E5FD08"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BCC369E"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582F35"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Osijek</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17B5A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69FD63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EA48C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0,0051 (0,0381)</w:t>
            </w:r>
          </w:p>
          <w:p w14:paraId="22F62494"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0,0099 (0,0746)</w:t>
            </w:r>
          </w:p>
        </w:tc>
      </w:tr>
      <w:tr w:rsidR="009F7344" w:rsidRPr="009F7344" w14:paraId="11D9AD93"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D290FB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4DE52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Samobor</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E0AE7"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0D4F6B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8B5A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0,0080 (0,0602)</w:t>
            </w:r>
          </w:p>
          <w:p w14:paraId="6A2E6B5D"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0,0092 (0,0696)</w:t>
            </w:r>
          </w:p>
        </w:tc>
      </w:tr>
      <w:tr w:rsidR="009F7344" w:rsidRPr="009F7344" w14:paraId="45DEF775"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6E48B42"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BF5F48"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Zaprešić</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B7341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5F56DFAD"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CFD0F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0,0102 (0,0769)</w:t>
            </w:r>
          </w:p>
          <w:p w14:paraId="19900A1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0,0117 (0,0884)</w:t>
            </w:r>
          </w:p>
        </w:tc>
      </w:tr>
      <w:tr w:rsidR="009F7344" w:rsidRPr="009F7344" w14:paraId="422CC9BA"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5C80FB5"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F622E"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Velika Gorica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3646DD"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1149896B"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298E6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0,0066 (0,0496)</w:t>
            </w:r>
          </w:p>
          <w:p w14:paraId="4E482E8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0,0077 (0,0580)</w:t>
            </w:r>
          </w:p>
        </w:tc>
      </w:tr>
      <w:tr w:rsidR="009F7344" w:rsidRPr="009F7344" w14:paraId="77FA1FA8" w14:textId="77777777" w:rsidTr="00A111AA">
        <w:trPr>
          <w:trHeight w:val="427"/>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3CD9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Vartop d.o.o.</w:t>
            </w:r>
            <w:r w:rsidRPr="009F7344">
              <w:rPr>
                <w:rFonts w:ascii="Times New Roman" w:eastAsia="Times New Roman" w:hAnsi="Times New Roman" w:cs="Times New Roman"/>
                <w:color w:val="231F20"/>
                <w:sz w:val="24"/>
                <w:szCs w:val="24"/>
                <w:lang w:eastAsia="hr-HR"/>
              </w:rPr>
              <w:br/>
              <w:t>Varaždin</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199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Zagrebačka 19A i Trakošćanska BB</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C58A2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55094D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9E05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w:t>
            </w:r>
          </w:p>
          <w:p w14:paraId="4BCFA502"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w:t>
            </w:r>
          </w:p>
        </w:tc>
      </w:tr>
      <w:tr w:rsidR="009F7344" w:rsidRPr="009F7344" w14:paraId="1BA354D0" w14:textId="77777777" w:rsidTr="00A111AA">
        <w:trPr>
          <w:trHeight w:val="427"/>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9D596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Poslovni park d.o.o. Virovitica</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7AC71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»P+7« Pejačevićeva 3, »P+5« Trg bana Josipa Jelačiča 10, »Obrtnik« Ferde Rusana 1, »Slavonija« Tomaša Masaryka bb i »P+8« Antuna Mihanovića 1</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38F1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E0492B6"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7D1C8C"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w:t>
            </w:r>
          </w:p>
          <w:p w14:paraId="5ABCE4D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0,00 (0,00)</w:t>
            </w:r>
          </w:p>
        </w:tc>
      </w:tr>
      <w:tr w:rsidR="009F7344" w:rsidRPr="009F7344" w14:paraId="35D207BA" w14:textId="77777777" w:rsidTr="00A111AA">
        <w:trPr>
          <w:trHeight w:val="427"/>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F96C8D"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Komunalac d.o.o. Požega</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657E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Požega: V. Nazor i M. Krleža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2639D7"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85C48C"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0,0545 (0,4104)</w:t>
            </w:r>
          </w:p>
        </w:tc>
      </w:tr>
      <w:tr w:rsidR="009F7344" w:rsidRPr="009F7344" w14:paraId="499138F6" w14:textId="77777777" w:rsidTr="00A111AA">
        <w:trPr>
          <w:trHeight w:val="371"/>
        </w:trPr>
        <w:tc>
          <w:tcPr>
            <w:tcW w:w="1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7F2E6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SKG d.o.o. Ogulin</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327D7"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 I. Marinkovića 13 i Ljudevita Gaja 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C2C75"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74027E09"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AA10F0"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0,0197 (0,1489)</w:t>
            </w:r>
          </w:p>
          <w:p w14:paraId="7D588FC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0,0165 (0,1242)</w:t>
            </w:r>
          </w:p>
        </w:tc>
      </w:tr>
      <w:tr w:rsidR="009F7344" w:rsidRPr="009F7344" w14:paraId="7B9E7C53" w14:textId="77777777" w:rsidTr="00A111AA">
        <w:trPr>
          <w:trHeight w:val="483"/>
        </w:trPr>
        <w:tc>
          <w:tcPr>
            <w:tcW w:w="183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30384"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GTG d.o.o. Vinkovci</w:t>
            </w: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EACA1A"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»A«, A. Starčevića 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8178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2C8C100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4ECE6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0,0103 (0,0775)</w:t>
            </w:r>
          </w:p>
          <w:p w14:paraId="2E512FAB"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0,0107 (0,0806)</w:t>
            </w:r>
          </w:p>
        </w:tc>
      </w:tr>
      <w:tr w:rsidR="009F7344" w:rsidRPr="009F7344" w14:paraId="23201C8D"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A1467C1"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DD044B"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»S-122«, A. B. Šimića 17</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FA9F6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41C1999E"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2F1798"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0,0294 (0,2214)</w:t>
            </w:r>
          </w:p>
          <w:p w14:paraId="18A8E9DA"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0,0326 (0,2457)</w:t>
            </w:r>
          </w:p>
        </w:tc>
      </w:tr>
      <w:tr w:rsidR="009F7344" w:rsidRPr="009F7344" w14:paraId="5706D10F"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1F40439"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2BE9F"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»S-103«, K. Mislava 5</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67B147"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308D0A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8702D"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0,0285 (0,2148)</w:t>
            </w:r>
          </w:p>
          <w:p w14:paraId="34345753"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0,0328 (0,2475)</w:t>
            </w:r>
          </w:p>
        </w:tc>
      </w:tr>
      <w:tr w:rsidR="009F7344" w:rsidRPr="009F7344" w14:paraId="6750B6C7"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B8F1859"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5D762"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»S-108«, J. J. Strossmayera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44CEA1"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B7AC0F" w14:textId="77777777" w:rsidR="009F7344" w:rsidRPr="009F7344" w:rsidRDefault="009F7344" w:rsidP="0090496E">
            <w:pPr>
              <w:spacing w:after="0"/>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0,0273 (0,2058)</w:t>
            </w:r>
          </w:p>
        </w:tc>
      </w:tr>
      <w:tr w:rsidR="009F7344" w:rsidRPr="009F7344" w14:paraId="3726B36A" w14:textId="77777777" w:rsidTr="00A111AA">
        <w:trPr>
          <w:trHeight w:val="143"/>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E80EFE6"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00AD8"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»S-96«, K. Mislava 13</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CD476"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3CDFA476"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5046D"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0,0277 (0,2090)</w:t>
            </w:r>
          </w:p>
          <w:p w14:paraId="3D77C754"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0,0316 (0,2378)</w:t>
            </w:r>
          </w:p>
        </w:tc>
      </w:tr>
      <w:tr w:rsidR="009F7344" w:rsidRPr="009F7344" w14:paraId="6E3770E9" w14:textId="77777777" w:rsidTr="00A111AA">
        <w:trPr>
          <w:trHeight w:val="81"/>
        </w:trPr>
        <w:tc>
          <w:tcPr>
            <w:tcW w:w="183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2BDB170"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p>
        </w:tc>
        <w:tc>
          <w:tcPr>
            <w:tcW w:w="49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4CFDEA" w14:textId="77777777" w:rsidR="009F7344" w:rsidRPr="009F7344" w:rsidRDefault="009F7344" w:rsidP="0090496E">
            <w:pPr>
              <w:spacing w:after="0"/>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Kotlovnica »HŽ-CIK-CAK«, A. Starčevića 64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B5C6E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TM1</w:t>
            </w:r>
          </w:p>
          <w:p w14:paraId="1E9BB3E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TM2</w:t>
            </w:r>
          </w:p>
        </w:tc>
        <w:tc>
          <w:tcPr>
            <w:tcW w:w="18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0883E"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0,0275 (0,2074)</w:t>
            </w:r>
          </w:p>
          <w:p w14:paraId="6A8793A1" w14:textId="77777777" w:rsidR="009F7344" w:rsidRPr="009F7344" w:rsidRDefault="009F7344" w:rsidP="0090496E">
            <w:pPr>
              <w:spacing w:after="0"/>
              <w:jc w:val="center"/>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0,0318 (0,2394)</w:t>
            </w:r>
          </w:p>
        </w:tc>
      </w:tr>
    </w:tbl>
    <w:p w14:paraId="5FF38A49" w14:textId="77777777" w:rsidR="009F7344" w:rsidRDefault="009F7344" w:rsidP="009F7344">
      <w:pPr>
        <w:jc w:val="center"/>
        <w:rPr>
          <w:rFonts w:ascii="Times New Roman" w:eastAsia="Times New Roman" w:hAnsi="Times New Roman" w:cs="Times New Roman"/>
          <w:color w:val="231F20"/>
          <w:sz w:val="24"/>
          <w:szCs w:val="24"/>
          <w:lang w:eastAsia="hr-HR"/>
        </w:rPr>
      </w:pPr>
    </w:p>
    <w:p w14:paraId="2DAD2CCC" w14:textId="77777777" w:rsidR="0090496E" w:rsidRPr="009F7344" w:rsidRDefault="0090496E" w:rsidP="009F7344">
      <w:pPr>
        <w:jc w:val="center"/>
        <w:rPr>
          <w:rFonts w:ascii="Times New Roman" w:eastAsia="Times New Roman" w:hAnsi="Times New Roman" w:cs="Times New Roman"/>
          <w:color w:val="231F20"/>
          <w:sz w:val="24"/>
          <w:szCs w:val="24"/>
          <w:lang w:eastAsia="hr-HR"/>
        </w:rPr>
      </w:pPr>
    </w:p>
    <w:p w14:paraId="1D0D053D" w14:textId="77777777" w:rsidR="009F7344" w:rsidRPr="009F7344" w:rsidRDefault="009F7344" w:rsidP="009F7344">
      <w:pPr>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IV.</w:t>
      </w:r>
    </w:p>
    <w:p w14:paraId="178EAC29" w14:textId="77777777" w:rsidR="009F7344" w:rsidRPr="009F7344" w:rsidRDefault="009F7344" w:rsidP="009F7344">
      <w:pPr>
        <w:rPr>
          <w:rFonts w:ascii="Times New Roman" w:eastAsia="Times New Roman" w:hAnsi="Times New Roman" w:cs="Times New Roman"/>
          <w:color w:val="231F20"/>
          <w:sz w:val="24"/>
          <w:szCs w:val="24"/>
          <w:lang w:eastAsia="hr-HR"/>
        </w:rPr>
      </w:pPr>
    </w:p>
    <w:p w14:paraId="576F60CF" w14:textId="77777777" w:rsidR="009F7344" w:rsidRPr="009F7344" w:rsidRDefault="009F7344" w:rsidP="009F7344">
      <w:pPr>
        <w:jc w:val="both"/>
        <w:textAlignment w:val="baseline"/>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Energetski subjekti iz točaka II. i III. ove Odluke, osim energetskih subjekata Tehnostan d.o.o. Vukovar (za centralne i zatvorene toplinske sustave), HEP Toplinarstvo d.o.o. Zagreb (za centralne toplinske sustave u Zagrebu i Sisku),  Poslovni park d.o.o. Virovitica i Vartop d.o.o. Varaždin za zatvorene toplinske sustave, dužni su na mjesečnoj razini krajnjim kupcima toplinske energije ispostavljati račune za isporučenu toplinsku energiju, na način da se iskaže jedinična razlika iz točaka II. i III. ove Odluke i umanji račun za ukupni iznos umnoška jedinične razlike (EUR/kWh) i isporučene toplinske energije u kWh.</w:t>
      </w:r>
    </w:p>
    <w:p w14:paraId="66E1BCB7"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p>
    <w:p w14:paraId="7D11984F"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Energetski subjekti iz stavka 1. ove točke, po isteku obračunskog mjeseca od dana stupanja na snagu ove Odluke, dostavljaju Ministarstvu gospodarstva i održivog razvoja, Upravi za energetiku, zahtjev za naknadu razlike iz stavka 1. ove točke, u elektroničkom formatu, putem adrese elektroničke pošte: energetika@mingor.hr ili fizičkom dostavom putem prijenosnog podatkovnog medija, kojem zahtjevu su dužni priložiti obračun po svakom obračunskom mjernom mjestu i uredno ispunjenu tablicu zahtjeva za naknadu razlike iz stavka 1. ove točke.</w:t>
      </w:r>
    </w:p>
    <w:p w14:paraId="270D1B1E"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p>
    <w:p w14:paraId="3CD610A9" w14:textId="34FF538D" w:rsidR="009F7344" w:rsidRPr="009F7344" w:rsidRDefault="009F7344" w:rsidP="009F7344">
      <w:pPr>
        <w:jc w:val="both"/>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 xml:space="preserve">Ministarstvo gospodarstva i održivog razvoja </w:t>
      </w:r>
      <w:r w:rsidR="00ED4746">
        <w:rPr>
          <w:rFonts w:ascii="Times New Roman" w:eastAsia="Times New Roman" w:hAnsi="Times New Roman" w:cs="Times New Roman"/>
          <w:color w:val="231F20"/>
          <w:sz w:val="24"/>
          <w:szCs w:val="24"/>
          <w:lang w:eastAsia="hr-HR"/>
        </w:rPr>
        <w:t xml:space="preserve">će u roku od 15 dana nakon stupanja na snagu ove Odluke objaviti </w:t>
      </w:r>
      <w:r w:rsidRPr="009F7344">
        <w:rPr>
          <w:rFonts w:ascii="Times New Roman" w:eastAsia="Times New Roman" w:hAnsi="Times New Roman" w:cs="Times New Roman"/>
          <w:color w:val="231F20"/>
          <w:sz w:val="24"/>
          <w:szCs w:val="24"/>
          <w:lang w:eastAsia="hr-HR"/>
        </w:rPr>
        <w:t xml:space="preserve"> predložak tablice iz stavka 2. ove točke, na svojim mrežnim stranicama.</w:t>
      </w:r>
    </w:p>
    <w:p w14:paraId="7B49F729" w14:textId="77777777" w:rsidR="009F7344" w:rsidRDefault="009F7344" w:rsidP="009F7344">
      <w:pPr>
        <w:jc w:val="both"/>
        <w:rPr>
          <w:rFonts w:ascii="Times New Roman" w:eastAsia="Times New Roman" w:hAnsi="Times New Roman" w:cs="Times New Roman"/>
          <w:color w:val="231F20"/>
          <w:sz w:val="24"/>
          <w:szCs w:val="24"/>
          <w:lang w:eastAsia="hr-HR"/>
        </w:rPr>
      </w:pPr>
    </w:p>
    <w:p w14:paraId="06B0BD79"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p>
    <w:p w14:paraId="5F9BE2F1" w14:textId="77777777" w:rsidR="009F7344" w:rsidRPr="009F7344" w:rsidRDefault="009F7344" w:rsidP="009F7344">
      <w:pPr>
        <w:jc w:val="cente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V.</w:t>
      </w:r>
    </w:p>
    <w:p w14:paraId="7A5E2BE9"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p>
    <w:p w14:paraId="09C78D39" w14:textId="77777777" w:rsidR="009F7344" w:rsidRPr="009F7344" w:rsidRDefault="009F7344" w:rsidP="009F7344">
      <w:pPr>
        <w:jc w:val="both"/>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t>Ova Odluka stupa na snagu prvoga dana od dana objave u »Narodnim novinama«.</w:t>
      </w:r>
    </w:p>
    <w:p w14:paraId="63E168CC" w14:textId="77777777" w:rsidR="00027518" w:rsidRDefault="00027518" w:rsidP="009F7344">
      <w:pPr>
        <w:rPr>
          <w:rFonts w:ascii="Times New Roman" w:eastAsia="Times New Roman" w:hAnsi="Times New Roman" w:cs="Times New Roman"/>
          <w:color w:val="231F20"/>
          <w:sz w:val="24"/>
          <w:szCs w:val="24"/>
          <w:lang w:eastAsia="hr-HR"/>
        </w:rPr>
      </w:pPr>
    </w:p>
    <w:p w14:paraId="59BB6186" w14:textId="77777777" w:rsidR="00027518" w:rsidRDefault="00027518" w:rsidP="009F7344">
      <w:pPr>
        <w:rPr>
          <w:rFonts w:ascii="Times New Roman" w:eastAsia="Times New Roman" w:hAnsi="Times New Roman" w:cs="Times New Roman"/>
          <w:color w:val="231F20"/>
          <w:sz w:val="24"/>
          <w:szCs w:val="24"/>
          <w:lang w:eastAsia="hr-HR"/>
        </w:rPr>
      </w:pPr>
    </w:p>
    <w:p w14:paraId="000CBE26" w14:textId="77777777" w:rsidR="00027518" w:rsidRDefault="00027518" w:rsidP="00027518">
      <w:pPr>
        <w:pStyle w:val="box473826"/>
        <w:shd w:val="clear" w:color="auto" w:fill="FFFFFF"/>
        <w:spacing w:before="0" w:beforeAutospacing="0" w:after="0" w:afterAutospacing="0"/>
        <w:ind w:left="408"/>
        <w:textAlignment w:val="baseline"/>
        <w:rPr>
          <w:color w:val="231F20"/>
        </w:rPr>
      </w:pPr>
    </w:p>
    <w:p w14:paraId="03E760F2" w14:textId="77777777" w:rsidR="00027518" w:rsidRDefault="00027518" w:rsidP="00027518">
      <w:pPr>
        <w:pStyle w:val="box473826"/>
        <w:shd w:val="clear" w:color="auto" w:fill="FFFFFF"/>
        <w:spacing w:before="0" w:beforeAutospacing="0" w:after="0" w:afterAutospacing="0"/>
        <w:ind w:left="408"/>
        <w:textAlignment w:val="baseline"/>
        <w:rPr>
          <w:color w:val="231F20"/>
        </w:rPr>
      </w:pPr>
    </w:p>
    <w:p w14:paraId="5E7ECCAD" w14:textId="77777777" w:rsidR="00027518" w:rsidRDefault="00027518" w:rsidP="00027518">
      <w:pPr>
        <w:pStyle w:val="box473826"/>
        <w:shd w:val="clear" w:color="auto" w:fill="FFFFFF"/>
        <w:spacing w:before="0" w:beforeAutospacing="0" w:after="0" w:afterAutospacing="0"/>
        <w:ind w:left="408"/>
        <w:textAlignment w:val="baseline"/>
        <w:rPr>
          <w:color w:val="231F20"/>
        </w:rPr>
      </w:pPr>
      <w:r>
        <w:rPr>
          <w:color w:val="231F20"/>
        </w:rPr>
        <w:t xml:space="preserve">Klasa: </w:t>
      </w:r>
      <w:r>
        <w:rPr>
          <w:rFonts w:ascii="Minion Pro" w:hAnsi="Minion Pro"/>
          <w:color w:val="231F20"/>
        </w:rPr>
        <w:br/>
      </w:r>
      <w:r>
        <w:rPr>
          <w:color w:val="231F20"/>
        </w:rPr>
        <w:t xml:space="preserve">Urbroj: </w:t>
      </w:r>
      <w:r>
        <w:rPr>
          <w:rFonts w:ascii="Minion Pro" w:hAnsi="Minion Pro"/>
          <w:color w:val="231F20"/>
        </w:rPr>
        <w:br/>
      </w:r>
      <w:r>
        <w:rPr>
          <w:color w:val="231F20"/>
        </w:rPr>
        <w:t xml:space="preserve">Zagreb, </w:t>
      </w:r>
    </w:p>
    <w:p w14:paraId="417EE926" w14:textId="77777777" w:rsidR="00027518" w:rsidRDefault="00027518" w:rsidP="00027518">
      <w:pPr>
        <w:pStyle w:val="box473826"/>
        <w:shd w:val="clear" w:color="auto" w:fill="FFFFFF"/>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rStyle w:val="bold"/>
          <w:rFonts w:ascii="Minion Pro" w:hAnsi="Minion Pro"/>
          <w:b/>
          <w:bCs/>
          <w:color w:val="231F20"/>
          <w:bdr w:val="none" w:sz="0" w:space="0" w:color="auto" w:frame="1"/>
        </w:rPr>
        <w:t>mr. sc. Andrej Plenković, </w:t>
      </w:r>
      <w:r>
        <w:rPr>
          <w:color w:val="231F20"/>
        </w:rPr>
        <w:t>v. r.</w:t>
      </w:r>
    </w:p>
    <w:p w14:paraId="3CC33870" w14:textId="77777777" w:rsidR="00027518" w:rsidRDefault="00027518" w:rsidP="00027518">
      <w:pPr>
        <w:pStyle w:val="box474557"/>
        <w:shd w:val="clear" w:color="auto" w:fill="FFFFFF"/>
        <w:spacing w:after="48"/>
        <w:ind w:firstLine="408"/>
        <w:jc w:val="both"/>
        <w:textAlignment w:val="baseline"/>
        <w:rPr>
          <w:color w:val="231F20"/>
        </w:rPr>
      </w:pPr>
    </w:p>
    <w:p w14:paraId="07CA8995" w14:textId="77777777" w:rsidR="00027518" w:rsidRDefault="00027518" w:rsidP="009F7344">
      <w:pPr>
        <w:rPr>
          <w:rFonts w:ascii="Times New Roman" w:eastAsia="Times New Roman" w:hAnsi="Times New Roman" w:cs="Times New Roman"/>
          <w:color w:val="231F20"/>
          <w:sz w:val="24"/>
          <w:szCs w:val="24"/>
          <w:lang w:eastAsia="hr-HR"/>
        </w:rPr>
      </w:pPr>
    </w:p>
    <w:p w14:paraId="478175AF" w14:textId="04994A78" w:rsidR="009F7344" w:rsidRPr="009F7344" w:rsidRDefault="009F7344" w:rsidP="009F7344">
      <w:pP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br w:type="page"/>
      </w:r>
    </w:p>
    <w:p w14:paraId="4C8C9A55" w14:textId="77777777" w:rsidR="009F7344" w:rsidRPr="009F7344" w:rsidRDefault="009F7344" w:rsidP="009F7344">
      <w:pPr>
        <w:rPr>
          <w:rFonts w:ascii="Times New Roman" w:eastAsia="Times New Roman" w:hAnsi="Times New Roman" w:cs="Times New Roman"/>
          <w:color w:val="231F20"/>
          <w:sz w:val="24"/>
          <w:szCs w:val="24"/>
          <w:lang w:eastAsia="hr-HR"/>
        </w:rPr>
      </w:pPr>
      <w:r w:rsidRPr="009F7344">
        <w:rPr>
          <w:rFonts w:ascii="Times New Roman" w:eastAsia="Times New Roman" w:hAnsi="Times New Roman" w:cs="Times New Roman"/>
          <w:color w:val="231F20"/>
          <w:sz w:val="24"/>
          <w:szCs w:val="24"/>
          <w:lang w:eastAsia="hr-HR"/>
        </w:rPr>
        <w:lastRenderedPageBreak/>
        <w:t>Obrazloženje:</w:t>
      </w:r>
    </w:p>
    <w:p w14:paraId="5B91CECF" w14:textId="77777777" w:rsidR="00027518" w:rsidRDefault="00027518" w:rsidP="00027518">
      <w:pPr>
        <w:pStyle w:val="Default"/>
        <w:jc w:val="both"/>
        <w:rPr>
          <w:bCs/>
        </w:rPr>
      </w:pPr>
    </w:p>
    <w:p w14:paraId="03B7B471" w14:textId="77777777" w:rsidR="00027518" w:rsidRDefault="00027518" w:rsidP="00027518">
      <w:pPr>
        <w:pStyle w:val="Default"/>
        <w:ind w:firstLine="720"/>
        <w:jc w:val="both"/>
        <w:rPr>
          <w:bCs/>
        </w:rPr>
      </w:pPr>
      <w:r>
        <w:rPr>
          <w:bCs/>
        </w:rPr>
        <w:t xml:space="preserve">U skladu s odredbama Uredbe o otklanjanju poremećaja na domaćem tržištu energije </w:t>
      </w:r>
      <w:r>
        <w:rPr>
          <w:color w:val="231F20"/>
        </w:rPr>
        <w:t xml:space="preserve">(»Narodne novine«, br. 31/23., 74/23., 107/23. i 122/23.) (dalje: Uredba), </w:t>
      </w:r>
      <w:r>
        <w:rPr>
          <w:rFonts w:eastAsia="Times New Roman"/>
          <w:color w:val="auto"/>
        </w:rPr>
        <w:t>Hrvatska energetska regulatorna agencija</w:t>
      </w:r>
      <w:r>
        <w:rPr>
          <w:bCs/>
        </w:rPr>
        <w:t xml:space="preserve"> je u postupku određivanja jedinične cijene za proizvodnju toplinske energije, na 25. sjednici Upravnog vijeća  </w:t>
      </w:r>
      <w:r>
        <w:rPr>
          <w:rFonts w:eastAsia="Times New Roman"/>
          <w:color w:val="auto"/>
        </w:rPr>
        <w:t xml:space="preserve">Hrvatske energetske regulatorne agencije </w:t>
      </w:r>
      <w:r>
        <w:rPr>
          <w:bCs/>
        </w:rPr>
        <w:t xml:space="preserve">donijela odluke o jediničnim cijenama za proizvodnju toplinske energije za centralne toplinske sustave te na 26. sjednici Upravnog vijeća </w:t>
      </w:r>
      <w:r>
        <w:rPr>
          <w:rFonts w:eastAsia="Times New Roman"/>
          <w:color w:val="auto"/>
        </w:rPr>
        <w:t xml:space="preserve">Hrvatske energetske regulatorne agencije </w:t>
      </w:r>
      <w:r>
        <w:rPr>
          <w:bCs/>
        </w:rPr>
        <w:t xml:space="preserve">odluke o jediničnim cijenama za proizvodnju toplinske energije u zatvorenim toplinskim sustavima, (dalje: Odluke). </w:t>
      </w:r>
    </w:p>
    <w:p w14:paraId="39921357" w14:textId="77777777" w:rsidR="00027518" w:rsidRDefault="00027518" w:rsidP="00027518">
      <w:pPr>
        <w:pStyle w:val="Default"/>
        <w:ind w:firstLine="720"/>
        <w:jc w:val="both"/>
        <w:rPr>
          <w:bCs/>
        </w:rPr>
      </w:pPr>
      <w:r>
        <w:rPr>
          <w:bCs/>
        </w:rPr>
        <w:t xml:space="preserve">Temeljem Odluke HERE predlaže se donošenje </w:t>
      </w:r>
      <w:r>
        <w:rPr>
          <w:rFonts w:eastAsia="Times New Roman"/>
        </w:rPr>
        <w:t>odluke o određivanju iznosa razlike između jediničnih cijena za centralne i zatvorene toplinske sustave sukladno članku 5 stavku 6. Uredbe.</w:t>
      </w:r>
    </w:p>
    <w:p w14:paraId="33FCC49A" w14:textId="77777777" w:rsidR="00027518" w:rsidRDefault="00027518" w:rsidP="00027518">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Važno je naglasiti da ovom Odlukom se osigurava smanjivanje Energetskog siromaštva za građane koji se griju na toplinskim sustavima.</w:t>
      </w:r>
    </w:p>
    <w:p w14:paraId="030F132D" w14:textId="77777777" w:rsidR="00027518" w:rsidRDefault="00027518" w:rsidP="00027518">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Nakon primjene ove Odluke i završetkom ogrjevne sezone će Hrvatska energetska regulatorna agencija napravit analizu primljenih nadoknada i stvarnih troškova te će na temelju toga dostavit izvješće.  </w:t>
      </w:r>
    </w:p>
    <w:p w14:paraId="745F66E8" w14:textId="01077D86" w:rsidR="00027518" w:rsidRDefault="004A1135" w:rsidP="00027518">
      <w:pPr>
        <w:spacing w:after="0" w:line="276" w:lineRule="auto"/>
        <w:ind w:firstLine="720"/>
        <w:jc w:val="both"/>
        <w:rPr>
          <w:rFonts w:ascii="Times New Roman" w:hAnsi="Times New Roman" w:cs="Times New Roman"/>
          <w:bCs/>
          <w:sz w:val="24"/>
          <w:szCs w:val="24"/>
        </w:rPr>
      </w:pPr>
      <w:r w:rsidRPr="004A1135">
        <w:rPr>
          <w:rFonts w:ascii="Times New Roman" w:hAnsi="Times New Roman" w:cs="Times New Roman"/>
          <w:bCs/>
          <w:sz w:val="24"/>
          <w:szCs w:val="24"/>
        </w:rPr>
        <w:t xml:space="preserve">S obzirom da je preduvjet za donošenje </w:t>
      </w:r>
      <w:r>
        <w:rPr>
          <w:rFonts w:ascii="Times New Roman" w:hAnsi="Times New Roman" w:cs="Times New Roman"/>
          <w:bCs/>
          <w:sz w:val="24"/>
          <w:szCs w:val="24"/>
        </w:rPr>
        <w:t xml:space="preserve">ove </w:t>
      </w:r>
      <w:r w:rsidRPr="004A1135">
        <w:rPr>
          <w:rFonts w:ascii="Times New Roman" w:hAnsi="Times New Roman" w:cs="Times New Roman"/>
          <w:bCs/>
          <w:sz w:val="24"/>
          <w:szCs w:val="24"/>
        </w:rPr>
        <w:t xml:space="preserve">Odluke je </w:t>
      </w:r>
      <w:r>
        <w:rPr>
          <w:rFonts w:ascii="Times New Roman" w:hAnsi="Times New Roman" w:cs="Times New Roman"/>
          <w:bCs/>
          <w:sz w:val="24"/>
          <w:szCs w:val="24"/>
        </w:rPr>
        <w:t>bilo potrebno donijeti pojedinačne o</w:t>
      </w:r>
      <w:r w:rsidRPr="004A1135">
        <w:rPr>
          <w:rFonts w:ascii="Times New Roman" w:hAnsi="Times New Roman" w:cs="Times New Roman"/>
          <w:bCs/>
          <w:sz w:val="24"/>
          <w:szCs w:val="24"/>
        </w:rPr>
        <w:t xml:space="preserve">dluka HERE za cijene </w:t>
      </w:r>
      <w:r w:rsidR="00F9434E">
        <w:rPr>
          <w:rFonts w:ascii="Times New Roman" w:hAnsi="Times New Roman" w:cs="Times New Roman"/>
          <w:bCs/>
          <w:sz w:val="24"/>
          <w:szCs w:val="24"/>
        </w:rPr>
        <w:t xml:space="preserve"> svakog </w:t>
      </w:r>
      <w:r w:rsidRPr="004A1135">
        <w:rPr>
          <w:rFonts w:ascii="Times New Roman" w:hAnsi="Times New Roman" w:cs="Times New Roman"/>
          <w:bCs/>
          <w:sz w:val="24"/>
          <w:szCs w:val="24"/>
        </w:rPr>
        <w:t>pojedin</w:t>
      </w:r>
      <w:r>
        <w:rPr>
          <w:rFonts w:ascii="Times New Roman" w:hAnsi="Times New Roman" w:cs="Times New Roman"/>
          <w:bCs/>
          <w:sz w:val="24"/>
          <w:szCs w:val="24"/>
        </w:rPr>
        <w:t xml:space="preserve">og energetskog subjekta </w:t>
      </w:r>
      <w:r w:rsidRPr="004A1135">
        <w:rPr>
          <w:rFonts w:ascii="Times New Roman" w:hAnsi="Times New Roman" w:cs="Times New Roman"/>
          <w:bCs/>
          <w:sz w:val="24"/>
          <w:szCs w:val="24"/>
        </w:rPr>
        <w:t xml:space="preserve"> i </w:t>
      </w:r>
      <w:r w:rsidR="00F9434E">
        <w:rPr>
          <w:rFonts w:ascii="Times New Roman" w:hAnsi="Times New Roman" w:cs="Times New Roman"/>
          <w:bCs/>
          <w:sz w:val="24"/>
          <w:szCs w:val="24"/>
        </w:rPr>
        <w:t xml:space="preserve">u tom postupku je </w:t>
      </w:r>
      <w:r w:rsidRPr="004A1135">
        <w:rPr>
          <w:rFonts w:ascii="Times New Roman" w:hAnsi="Times New Roman" w:cs="Times New Roman"/>
          <w:bCs/>
          <w:sz w:val="24"/>
          <w:szCs w:val="24"/>
        </w:rPr>
        <w:t xml:space="preserve"> HERA izračunala razlike između iznosa razlike između jediničnih cijena u odnosu na krajnje cijene isporučene toplinske energije i t</w:t>
      </w:r>
      <w:r>
        <w:rPr>
          <w:rFonts w:ascii="Times New Roman" w:hAnsi="Times New Roman" w:cs="Times New Roman"/>
          <w:bCs/>
          <w:sz w:val="24"/>
          <w:szCs w:val="24"/>
        </w:rPr>
        <w:t xml:space="preserve">emeljem tih podataka je napravljena </w:t>
      </w:r>
      <w:r w:rsidRPr="004A1135">
        <w:rPr>
          <w:rFonts w:ascii="Times New Roman" w:hAnsi="Times New Roman" w:cs="Times New Roman"/>
          <w:bCs/>
          <w:sz w:val="24"/>
          <w:szCs w:val="24"/>
        </w:rPr>
        <w:t>ov</w:t>
      </w:r>
      <w:r>
        <w:rPr>
          <w:rFonts w:ascii="Times New Roman" w:hAnsi="Times New Roman" w:cs="Times New Roman"/>
          <w:bCs/>
          <w:sz w:val="24"/>
          <w:szCs w:val="24"/>
        </w:rPr>
        <w:t>a</w:t>
      </w:r>
      <w:r w:rsidRPr="004A1135">
        <w:rPr>
          <w:rFonts w:ascii="Times New Roman" w:hAnsi="Times New Roman" w:cs="Times New Roman"/>
          <w:bCs/>
          <w:sz w:val="24"/>
          <w:szCs w:val="24"/>
        </w:rPr>
        <w:t xml:space="preserve"> Odluku. </w:t>
      </w:r>
      <w:r w:rsidR="00202644">
        <w:rPr>
          <w:rFonts w:ascii="Times New Roman" w:hAnsi="Times New Roman" w:cs="Times New Roman"/>
          <w:bCs/>
          <w:sz w:val="24"/>
          <w:szCs w:val="24"/>
        </w:rPr>
        <w:t>Postupak HERE je bio gotov tijekom listopada.</w:t>
      </w:r>
    </w:p>
    <w:p w14:paraId="6CA2B29D" w14:textId="77777777" w:rsidR="009F7344" w:rsidRDefault="009F7344" w:rsidP="009F7344">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 postupku koji je prethodio donošenju Odluka,  </w:t>
      </w:r>
      <w:r>
        <w:rPr>
          <w:rFonts w:ascii="Times New Roman" w:eastAsia="Times New Roman" w:hAnsi="Times New Roman" w:cs="Times New Roman"/>
          <w:sz w:val="24"/>
          <w:szCs w:val="24"/>
        </w:rPr>
        <w:t>Hrvatska energetska regulatorna agencija</w:t>
      </w:r>
      <w:r>
        <w:rPr>
          <w:rFonts w:ascii="Times New Roman" w:hAnsi="Times New Roman" w:cs="Times New Roman"/>
          <w:bCs/>
          <w:sz w:val="24"/>
          <w:szCs w:val="24"/>
        </w:rPr>
        <w:t xml:space="preserve"> je od svih energetskih subjekata u čijoj nadležnosti su centralni i zatvoreni toplinski sustavi</w:t>
      </w:r>
      <w:r>
        <w:rPr>
          <w:rFonts w:cs="Times New Roman"/>
          <w:bCs/>
          <w:szCs w:val="24"/>
        </w:rPr>
        <w:t xml:space="preserve"> </w:t>
      </w:r>
      <w:r>
        <w:rPr>
          <w:rFonts w:ascii="Times New Roman" w:hAnsi="Times New Roman" w:cs="Times New Roman"/>
          <w:bCs/>
          <w:sz w:val="24"/>
          <w:szCs w:val="24"/>
        </w:rPr>
        <w:t>zatražila dostavu:</w:t>
      </w:r>
    </w:p>
    <w:p w14:paraId="38AB20AE"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podataka o proizvedenoj i isporučenoj toplinskoj energiji u ogrjevnoj sezoni 202</w:t>
      </w:r>
      <w:r>
        <w:rPr>
          <w:rFonts w:cs="Times New Roman"/>
          <w:bCs/>
          <w:szCs w:val="24"/>
        </w:rPr>
        <w:t>2</w:t>
      </w:r>
      <w:r>
        <w:rPr>
          <w:rFonts w:ascii="Times New Roman" w:hAnsi="Times New Roman" w:cs="Times New Roman"/>
          <w:bCs/>
          <w:sz w:val="24"/>
          <w:szCs w:val="24"/>
        </w:rPr>
        <w:t>./202</w:t>
      </w:r>
      <w:r>
        <w:rPr>
          <w:rFonts w:cs="Times New Roman"/>
          <w:bCs/>
          <w:szCs w:val="24"/>
        </w:rPr>
        <w:t>3</w:t>
      </w:r>
      <w:r>
        <w:rPr>
          <w:rFonts w:ascii="Times New Roman" w:hAnsi="Times New Roman" w:cs="Times New Roman"/>
          <w:bCs/>
          <w:sz w:val="24"/>
          <w:szCs w:val="24"/>
        </w:rPr>
        <w:t>., o planiranoj proizvedenoj i isporučenoj toplinskoj energiji u ogrjevnoj sezoni 202</w:t>
      </w:r>
      <w:r>
        <w:rPr>
          <w:rFonts w:cs="Times New Roman"/>
          <w:bCs/>
          <w:szCs w:val="24"/>
        </w:rPr>
        <w:t>3</w:t>
      </w:r>
      <w:r>
        <w:rPr>
          <w:rFonts w:ascii="Times New Roman" w:hAnsi="Times New Roman" w:cs="Times New Roman"/>
          <w:bCs/>
          <w:sz w:val="24"/>
          <w:szCs w:val="24"/>
        </w:rPr>
        <w:t>./202</w:t>
      </w:r>
      <w:r>
        <w:rPr>
          <w:rFonts w:cs="Times New Roman"/>
          <w:bCs/>
          <w:szCs w:val="24"/>
        </w:rPr>
        <w:t>4</w:t>
      </w:r>
      <w:r>
        <w:rPr>
          <w:rFonts w:ascii="Times New Roman" w:hAnsi="Times New Roman" w:cs="Times New Roman"/>
          <w:bCs/>
          <w:sz w:val="24"/>
          <w:szCs w:val="24"/>
        </w:rPr>
        <w:t>., o proizvodnim postrojenjima, toplinskim sustavima, krajnjim kupcima, strukturi krajnjih cijena po tarifnim modelima, prihodima i rashodima tijekom ogrjevne sezone 2021./2022. te procjeni za ogrjevnu sezonu 202</w:t>
      </w:r>
      <w:r>
        <w:rPr>
          <w:rFonts w:cs="Times New Roman"/>
          <w:bCs/>
          <w:szCs w:val="24"/>
        </w:rPr>
        <w:t>3</w:t>
      </w:r>
      <w:r>
        <w:rPr>
          <w:rFonts w:ascii="Times New Roman" w:hAnsi="Times New Roman" w:cs="Times New Roman"/>
          <w:bCs/>
          <w:sz w:val="24"/>
          <w:szCs w:val="24"/>
        </w:rPr>
        <w:t>./202</w:t>
      </w:r>
      <w:r>
        <w:rPr>
          <w:rFonts w:cs="Times New Roman"/>
          <w:bCs/>
          <w:szCs w:val="24"/>
        </w:rPr>
        <w:t>4</w:t>
      </w:r>
      <w:r>
        <w:rPr>
          <w:rFonts w:ascii="Times New Roman" w:hAnsi="Times New Roman" w:cs="Times New Roman"/>
          <w:bCs/>
          <w:sz w:val="24"/>
          <w:szCs w:val="24"/>
        </w:rPr>
        <w:t>.</w:t>
      </w:r>
    </w:p>
    <w:p w14:paraId="18117F91"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podataka o cijeni ulaznog energenta i cijeni emisijskih jedinica stakleničkih plinova,</w:t>
      </w:r>
    </w:p>
    <w:p w14:paraId="725794AC"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preslika faktura i ugovora o nabavi energenta iz kojih su vidljive cijene nabave za ogrjevnu sezonu 202</w:t>
      </w:r>
      <w:r>
        <w:rPr>
          <w:rFonts w:cs="Times New Roman"/>
          <w:bCs/>
          <w:szCs w:val="24"/>
        </w:rPr>
        <w:t>2</w:t>
      </w:r>
      <w:r>
        <w:rPr>
          <w:rFonts w:ascii="Times New Roman" w:hAnsi="Times New Roman" w:cs="Times New Roman"/>
          <w:bCs/>
          <w:sz w:val="24"/>
          <w:szCs w:val="24"/>
        </w:rPr>
        <w:t>./202</w:t>
      </w:r>
      <w:r>
        <w:rPr>
          <w:rFonts w:cs="Times New Roman"/>
          <w:bCs/>
          <w:szCs w:val="24"/>
        </w:rPr>
        <w:t>3</w:t>
      </w:r>
      <w:r>
        <w:rPr>
          <w:rFonts w:ascii="Times New Roman" w:hAnsi="Times New Roman" w:cs="Times New Roman"/>
          <w:bCs/>
          <w:sz w:val="24"/>
          <w:szCs w:val="24"/>
        </w:rPr>
        <w:t xml:space="preserve">. </w:t>
      </w:r>
    </w:p>
    <w:p w14:paraId="24EF70C3"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ugovora o nabavi energenata za ogrjevnu sezonu 202</w:t>
      </w:r>
      <w:r>
        <w:rPr>
          <w:rFonts w:cs="Times New Roman"/>
          <w:bCs/>
          <w:szCs w:val="24"/>
        </w:rPr>
        <w:t>3</w:t>
      </w:r>
      <w:r>
        <w:rPr>
          <w:rFonts w:ascii="Times New Roman" w:hAnsi="Times New Roman" w:cs="Times New Roman"/>
          <w:bCs/>
          <w:sz w:val="24"/>
          <w:szCs w:val="24"/>
        </w:rPr>
        <w:t>./202</w:t>
      </w:r>
      <w:r>
        <w:rPr>
          <w:rFonts w:cs="Times New Roman"/>
          <w:bCs/>
          <w:szCs w:val="24"/>
        </w:rPr>
        <w:t>4</w:t>
      </w:r>
      <w:r>
        <w:rPr>
          <w:rFonts w:ascii="Times New Roman" w:hAnsi="Times New Roman" w:cs="Times New Roman"/>
          <w:bCs/>
          <w:sz w:val="24"/>
          <w:szCs w:val="24"/>
        </w:rPr>
        <w:t>. iz kojih su razvidne cijene,</w:t>
      </w:r>
    </w:p>
    <w:p w14:paraId="10C5C06F"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strukture troškova tj. preslike računa iz kojih su vidljive važeće cijene koje su u primjeni za kućanstva te industriju i poslovne potrošače. </w:t>
      </w:r>
    </w:p>
    <w:p w14:paraId="0D7422C4" w14:textId="77777777" w:rsidR="009F7344" w:rsidRDefault="009F7344" w:rsidP="009F7344">
      <w:pPr>
        <w:jc w:val="both"/>
        <w:rPr>
          <w:rFonts w:ascii="Times New Roman" w:hAnsi="Times New Roman" w:cs="Times New Roman"/>
          <w:bCs/>
          <w:sz w:val="24"/>
          <w:szCs w:val="24"/>
        </w:rPr>
      </w:pPr>
    </w:p>
    <w:p w14:paraId="3B6674C6" w14:textId="77777777" w:rsidR="009F7344" w:rsidRDefault="009F7344" w:rsidP="009F7344">
      <w:pPr>
        <w:jc w:val="both"/>
        <w:rPr>
          <w:rFonts w:ascii="Times New Roman" w:hAnsi="Times New Roman" w:cs="Times New Roman"/>
          <w:bCs/>
          <w:sz w:val="24"/>
          <w:szCs w:val="24"/>
        </w:rPr>
      </w:pPr>
      <w:r>
        <w:rPr>
          <w:rFonts w:ascii="Times New Roman" w:hAnsi="Times New Roman" w:cs="Times New Roman"/>
          <w:bCs/>
          <w:sz w:val="24"/>
          <w:szCs w:val="24"/>
        </w:rPr>
        <w:lastRenderedPageBreak/>
        <w:t>Relevantni podaci na temelju kojih se računala jedinična cijena za proizvodnju toplinske energije za centralne i zatvorene toplinske sustave su :</w:t>
      </w:r>
    </w:p>
    <w:p w14:paraId="649A92EA"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količina isporučene toplinske energije po tarifnim modelima TM1 i TM2;</w:t>
      </w:r>
    </w:p>
    <w:p w14:paraId="190303AF"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cijena energenta (goriva) za ogrjevnu sezonu 202</w:t>
      </w:r>
      <w:r>
        <w:rPr>
          <w:rFonts w:cs="Times New Roman"/>
          <w:bCs/>
          <w:szCs w:val="24"/>
        </w:rPr>
        <w:t>2</w:t>
      </w:r>
      <w:r>
        <w:rPr>
          <w:rFonts w:ascii="Times New Roman" w:hAnsi="Times New Roman" w:cs="Times New Roman"/>
          <w:bCs/>
          <w:sz w:val="24"/>
          <w:szCs w:val="24"/>
        </w:rPr>
        <w:t>./202</w:t>
      </w:r>
      <w:r>
        <w:rPr>
          <w:rFonts w:cs="Times New Roman"/>
          <w:bCs/>
          <w:szCs w:val="24"/>
        </w:rPr>
        <w:t>3</w:t>
      </w:r>
      <w:r>
        <w:rPr>
          <w:rFonts w:ascii="Times New Roman" w:hAnsi="Times New Roman" w:cs="Times New Roman"/>
          <w:bCs/>
          <w:sz w:val="24"/>
          <w:szCs w:val="24"/>
        </w:rPr>
        <w:t>. određena na temelju dostavljenih preslike faktura i ugovora o nabavi energenta iz kojih su vidljive cijene nabave za ogrjevnu sezonu 202</w:t>
      </w:r>
      <w:r>
        <w:rPr>
          <w:rFonts w:cs="Times New Roman"/>
          <w:bCs/>
          <w:szCs w:val="24"/>
        </w:rPr>
        <w:t>2</w:t>
      </w:r>
      <w:r>
        <w:rPr>
          <w:rFonts w:ascii="Times New Roman" w:hAnsi="Times New Roman" w:cs="Times New Roman"/>
          <w:bCs/>
          <w:sz w:val="24"/>
          <w:szCs w:val="24"/>
        </w:rPr>
        <w:t>./202</w:t>
      </w:r>
      <w:r>
        <w:rPr>
          <w:rFonts w:cs="Times New Roman"/>
          <w:bCs/>
          <w:szCs w:val="24"/>
        </w:rPr>
        <w:t>3</w:t>
      </w:r>
      <w:r>
        <w:rPr>
          <w:rFonts w:ascii="Times New Roman" w:hAnsi="Times New Roman" w:cs="Times New Roman"/>
          <w:bCs/>
          <w:sz w:val="24"/>
          <w:szCs w:val="24"/>
        </w:rPr>
        <w:t>.;</w:t>
      </w:r>
    </w:p>
    <w:p w14:paraId="23B120E6"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cijena energenta (goriva) za ogrjevnu sezonu 202</w:t>
      </w:r>
      <w:r>
        <w:rPr>
          <w:rFonts w:cs="Times New Roman"/>
          <w:bCs/>
          <w:szCs w:val="24"/>
        </w:rPr>
        <w:t>3</w:t>
      </w:r>
      <w:r>
        <w:rPr>
          <w:rFonts w:ascii="Times New Roman" w:hAnsi="Times New Roman" w:cs="Times New Roman"/>
          <w:bCs/>
          <w:sz w:val="24"/>
          <w:szCs w:val="24"/>
        </w:rPr>
        <w:t>./202</w:t>
      </w:r>
      <w:r>
        <w:rPr>
          <w:rFonts w:cs="Times New Roman"/>
          <w:bCs/>
          <w:szCs w:val="24"/>
        </w:rPr>
        <w:t>4</w:t>
      </w:r>
      <w:r>
        <w:rPr>
          <w:rFonts w:ascii="Times New Roman" w:hAnsi="Times New Roman" w:cs="Times New Roman"/>
          <w:bCs/>
          <w:sz w:val="24"/>
          <w:szCs w:val="24"/>
        </w:rPr>
        <w:t>. određena na temelju dostavljenih ugovora o nabavi energenta iz kojih su vidljive cijene nabave za ogrjevnu sezonu 202</w:t>
      </w:r>
      <w:r>
        <w:rPr>
          <w:rFonts w:cs="Times New Roman"/>
          <w:bCs/>
          <w:szCs w:val="24"/>
        </w:rPr>
        <w:t>3</w:t>
      </w:r>
      <w:r>
        <w:rPr>
          <w:rFonts w:ascii="Times New Roman" w:hAnsi="Times New Roman" w:cs="Times New Roman"/>
          <w:bCs/>
          <w:sz w:val="24"/>
          <w:szCs w:val="24"/>
        </w:rPr>
        <w:t>./202</w:t>
      </w:r>
      <w:r>
        <w:rPr>
          <w:rFonts w:cs="Times New Roman"/>
          <w:bCs/>
          <w:szCs w:val="24"/>
        </w:rPr>
        <w:t>4</w:t>
      </w:r>
      <w:r>
        <w:rPr>
          <w:rFonts w:ascii="Times New Roman" w:hAnsi="Times New Roman" w:cs="Times New Roman"/>
          <w:bCs/>
          <w:sz w:val="24"/>
          <w:szCs w:val="24"/>
        </w:rPr>
        <w:t>.</w:t>
      </w:r>
    </w:p>
    <w:p w14:paraId="5D47E69A"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p>
    <w:p w14:paraId="2A6693FD" w14:textId="77777777" w:rsidR="009F7344" w:rsidRDefault="009F7344" w:rsidP="009F7344">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prema Odluci porast cijene energenata i emisijskih jedinica stakleničkih plinova primijenjen je na jedinične cijene energije za proizvodnju toplinske energije.</w:t>
      </w:r>
    </w:p>
    <w:p w14:paraId="3C4815EB" w14:textId="77777777" w:rsidR="009F7344" w:rsidRDefault="009F7344" w:rsidP="009F7344">
      <w:pPr>
        <w:spacing w:after="0"/>
        <w:ind w:left="720"/>
        <w:jc w:val="both"/>
        <w:rPr>
          <w:rFonts w:ascii="Times New Roman" w:hAnsi="Times New Roman" w:cs="Times New Roman"/>
          <w:bCs/>
          <w:sz w:val="24"/>
          <w:szCs w:val="24"/>
        </w:rPr>
      </w:pPr>
    </w:p>
    <w:p w14:paraId="347DBD60" w14:textId="637FB892" w:rsidR="009F7344" w:rsidRDefault="00ED4746" w:rsidP="009F7344">
      <w:pPr>
        <w:jc w:val="both"/>
        <w:rPr>
          <w:rFonts w:ascii="Times New Roman" w:hAnsi="Times New Roman" w:cs="Times New Roman"/>
          <w:bCs/>
          <w:sz w:val="24"/>
          <w:szCs w:val="24"/>
        </w:rPr>
      </w:pPr>
      <w:r w:rsidRPr="00ED4746">
        <w:rPr>
          <w:rFonts w:ascii="Times New Roman" w:hAnsi="Times New Roman" w:cs="Times New Roman"/>
          <w:bCs/>
          <w:sz w:val="24"/>
          <w:szCs w:val="24"/>
        </w:rPr>
        <w:t>Zbog iznimne važnosti za gospodarstvo navedeno se primjenjuje od prvog dana od dana objave</w:t>
      </w:r>
      <w:r>
        <w:rPr>
          <w:rFonts w:ascii="Times New Roman" w:hAnsi="Times New Roman" w:cs="Times New Roman"/>
          <w:bCs/>
          <w:sz w:val="24"/>
          <w:szCs w:val="24"/>
        </w:rPr>
        <w:t>.</w:t>
      </w:r>
      <w:r>
        <w:t xml:space="preserve"> </w:t>
      </w:r>
    </w:p>
    <w:sectPr w:rsidR="009F7344" w:rsidSect="002D01FF">
      <w:headerReference w:type="even" r:id="rId16"/>
      <w:headerReference w:type="default" r:id="rId17"/>
      <w:pgSz w:w="11906" w:h="16838" w:code="9"/>
      <w:pgMar w:top="1560" w:right="99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D7FD" w14:textId="77777777" w:rsidR="00B80A1E" w:rsidRDefault="00B80A1E" w:rsidP="00012A6A">
      <w:pPr>
        <w:spacing w:after="0" w:line="240" w:lineRule="auto"/>
      </w:pPr>
      <w:r>
        <w:separator/>
      </w:r>
    </w:p>
  </w:endnote>
  <w:endnote w:type="continuationSeparator" w:id="0">
    <w:p w14:paraId="791E2DE6" w14:textId="77777777" w:rsidR="00B80A1E" w:rsidRDefault="00B80A1E" w:rsidP="000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4530" w14:textId="77777777" w:rsidR="00F2041F" w:rsidRPr="00CE78D1" w:rsidRDefault="00F2041F"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189E" w14:textId="77777777" w:rsidR="00F2041F" w:rsidRDefault="00F2041F">
    <w:pPr>
      <w:pStyle w:val="Footer"/>
    </w:pPr>
  </w:p>
  <w:p w14:paraId="74912130" w14:textId="77777777" w:rsidR="00F2041F" w:rsidRDefault="00F20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5EB0" w14:textId="77777777" w:rsidR="00F2041F" w:rsidRPr="00CE78D1" w:rsidRDefault="00F2041F"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672B5E6D" w14:textId="77777777" w:rsidR="00F2041F" w:rsidRDefault="00F2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E210" w14:textId="77777777" w:rsidR="00B80A1E" w:rsidRDefault="00B80A1E" w:rsidP="00012A6A">
      <w:pPr>
        <w:spacing w:after="0" w:line="240" w:lineRule="auto"/>
      </w:pPr>
      <w:r>
        <w:separator/>
      </w:r>
    </w:p>
  </w:footnote>
  <w:footnote w:type="continuationSeparator" w:id="0">
    <w:p w14:paraId="190F17CC" w14:textId="77777777" w:rsidR="00B80A1E" w:rsidRDefault="00B80A1E" w:rsidP="0001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3916" w14:textId="77777777" w:rsidR="00D54925" w:rsidRDefault="0019777F">
    <w:pPr>
      <w:pStyle w:val="Header"/>
    </w:pPr>
    <w:r>
      <w:rPr>
        <w:noProof/>
        <w:lang w:eastAsia="hr-HR"/>
      </w:rPr>
      <mc:AlternateContent>
        <mc:Choice Requires="wps">
          <w:drawing>
            <wp:anchor distT="0" distB="0" distL="114300" distR="114300" simplePos="0" relativeHeight="251656704" behindDoc="1" locked="0" layoutInCell="0" allowOverlap="1" wp14:anchorId="350BE985" wp14:editId="250A6EF5">
              <wp:simplePos x="0" y="0"/>
              <wp:positionH relativeFrom="margin">
                <wp:align>center</wp:align>
              </wp:positionH>
              <wp:positionV relativeFrom="margin">
                <wp:align>center</wp:align>
              </wp:positionV>
              <wp:extent cx="6368415" cy="2388235"/>
              <wp:effectExtent l="0" t="1381125" r="0" b="1421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8223F"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0BE985" id="_x0000_t202" coordsize="21600,21600" o:spt="202" path="m,l,21600r21600,l21600,xe">
              <v:stroke joinstyle="miter"/>
              <v:path gradientshapeok="t" o:connecttype="rect"/>
            </v:shapetype>
            <v:shape id="Text Box 2" o:spid="_x0000_s1026" type="#_x0000_t202" style="position:absolute;margin-left:0;margin-top:0;width:501.45pt;height:188.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" o:allowincell="f" filled="f" stroked="f">
              <v:stroke joinstyle="round"/>
              <o:lock v:ext="edit" shapetype="t"/>
              <v:textbox style="mso-fit-shape-to-text:t">
                <w:txbxContent>
                  <w:p w14:paraId="5BC8223F" w14:textId="77777777" w:rsidR="0019777F" w:rsidRDefault="0019777F" w:rsidP="0019777F">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6CAB" w14:textId="77777777" w:rsidR="00D54925" w:rsidRDefault="0019777F">
    <w:pPr>
      <w:pStyle w:val="Header"/>
    </w:pPr>
    <w:r>
      <w:rPr>
        <w:noProof/>
        <w:lang w:eastAsia="hr-HR"/>
      </w:rPr>
      <mc:AlternateContent>
        <mc:Choice Requires="wps">
          <w:drawing>
            <wp:anchor distT="0" distB="0" distL="114300" distR="114300" simplePos="0" relativeHeight="251657728" behindDoc="1" locked="0" layoutInCell="0" allowOverlap="1" wp14:anchorId="1C4F661A" wp14:editId="2D0CB6A8">
              <wp:simplePos x="0" y="0"/>
              <wp:positionH relativeFrom="margin">
                <wp:align>center</wp:align>
              </wp:positionH>
              <wp:positionV relativeFrom="margin">
                <wp:align>center</wp:align>
              </wp:positionV>
              <wp:extent cx="6368415" cy="2388235"/>
              <wp:effectExtent l="0" t="1381125" r="0" b="1421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2A8CA"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C4F661A" id="_x0000_t202" coordsize="21600,21600" o:spt="202" path="m,l,21600r21600,l21600,xe">
              <v:stroke joinstyle="miter"/>
              <v:path gradientshapeok="t" o:connecttype="rect"/>
            </v:shapetype>
            <v:shape id="Text Box 1" o:spid="_x0000_s1027" type="#_x0000_t202" style="position:absolute;margin-left:0;margin-top:0;width:501.45pt;height:188.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" o:allowincell="f" filled="f" stroked="f">
              <v:stroke joinstyle="round"/>
              <o:lock v:ext="edit" shapetype="t"/>
              <v:textbox style="mso-fit-shape-to-text:t">
                <w:txbxContent>
                  <w:p w14:paraId="72F2A8CA" w14:textId="77777777" w:rsidR="0019777F" w:rsidRDefault="0019777F" w:rsidP="0019777F">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9F"/>
    <w:multiLevelType w:val="hybridMultilevel"/>
    <w:tmpl w:val="B1826960"/>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6E1877"/>
    <w:multiLevelType w:val="hybridMultilevel"/>
    <w:tmpl w:val="8D5A48DE"/>
    <w:lvl w:ilvl="0" w:tplc="570CBA1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1">
    <w:nsid w:val="0A9110DC"/>
    <w:multiLevelType w:val="hybridMultilevel"/>
    <w:tmpl w:val="0FA694F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7245C"/>
    <w:multiLevelType w:val="hybridMultilevel"/>
    <w:tmpl w:val="CB109EB2"/>
    <w:lvl w:ilvl="0" w:tplc="0FCC7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1323E"/>
    <w:multiLevelType w:val="hybridMultilevel"/>
    <w:tmpl w:val="89AAB322"/>
    <w:lvl w:ilvl="0" w:tplc="041A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964905"/>
    <w:multiLevelType w:val="hybridMultilevel"/>
    <w:tmpl w:val="15DCD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16130B"/>
    <w:multiLevelType w:val="hybridMultilevel"/>
    <w:tmpl w:val="6A3015AE"/>
    <w:lvl w:ilvl="0" w:tplc="586EF5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471250"/>
    <w:multiLevelType w:val="hybridMultilevel"/>
    <w:tmpl w:val="93DE540C"/>
    <w:lvl w:ilvl="0" w:tplc="EBAEF8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E374AB"/>
    <w:multiLevelType w:val="hybridMultilevel"/>
    <w:tmpl w:val="B1826960"/>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5A264E"/>
    <w:multiLevelType w:val="hybridMultilevel"/>
    <w:tmpl w:val="828EE4AE"/>
    <w:lvl w:ilvl="0" w:tplc="BC7A0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565D3"/>
    <w:multiLevelType w:val="hybridMultilevel"/>
    <w:tmpl w:val="28941A34"/>
    <w:lvl w:ilvl="0" w:tplc="AD82014A">
      <w:start w:val="1"/>
      <w:numFmt w:val="decimal"/>
      <w:lvlText w:val="(%1)"/>
      <w:lvlJc w:val="left"/>
      <w:pPr>
        <w:ind w:left="928"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1" w15:restartNumberingAfterBreak="0">
    <w:nsid w:val="2AD57A99"/>
    <w:multiLevelType w:val="hybridMultilevel"/>
    <w:tmpl w:val="3CB4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00354"/>
    <w:multiLevelType w:val="hybridMultilevel"/>
    <w:tmpl w:val="999C9CFA"/>
    <w:lvl w:ilvl="0" w:tplc="BE3CA2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647FB0"/>
    <w:multiLevelType w:val="hybridMultilevel"/>
    <w:tmpl w:val="C78E260C"/>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907C0F"/>
    <w:multiLevelType w:val="hybridMultilevel"/>
    <w:tmpl w:val="6A3015AE"/>
    <w:lvl w:ilvl="0" w:tplc="586EF5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7F7A03"/>
    <w:multiLevelType w:val="hybridMultilevel"/>
    <w:tmpl w:val="2F680E0C"/>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1">
    <w:nsid w:val="4C9C4394"/>
    <w:multiLevelType w:val="hybridMultilevel"/>
    <w:tmpl w:val="9836B556"/>
    <w:lvl w:ilvl="0" w:tplc="147EAB1C">
      <w:start w:val="1"/>
      <w:numFmt w:val="bullet"/>
      <w:lvlText w:val=""/>
      <w:lvlJc w:val="left"/>
      <w:pPr>
        <w:ind w:left="123" w:hanging="360"/>
      </w:pPr>
      <w:rPr>
        <w:rFonts w:ascii="Symbol" w:hAnsi="Symbol" w:hint="default"/>
      </w:rPr>
    </w:lvl>
    <w:lvl w:ilvl="1" w:tplc="041A0003" w:tentative="1">
      <w:start w:val="1"/>
      <w:numFmt w:val="bullet"/>
      <w:lvlText w:val="o"/>
      <w:lvlJc w:val="left"/>
      <w:pPr>
        <w:ind w:left="843" w:hanging="360"/>
      </w:pPr>
      <w:rPr>
        <w:rFonts w:ascii="Courier New" w:hAnsi="Courier New" w:cs="Courier New" w:hint="default"/>
      </w:rPr>
    </w:lvl>
    <w:lvl w:ilvl="2" w:tplc="041A0005" w:tentative="1">
      <w:start w:val="1"/>
      <w:numFmt w:val="bullet"/>
      <w:lvlText w:val=""/>
      <w:lvlJc w:val="left"/>
      <w:pPr>
        <w:ind w:left="1563" w:hanging="360"/>
      </w:pPr>
      <w:rPr>
        <w:rFonts w:ascii="Wingdings" w:hAnsi="Wingdings" w:hint="default"/>
      </w:rPr>
    </w:lvl>
    <w:lvl w:ilvl="3" w:tplc="041A0001" w:tentative="1">
      <w:start w:val="1"/>
      <w:numFmt w:val="bullet"/>
      <w:lvlText w:val=""/>
      <w:lvlJc w:val="left"/>
      <w:pPr>
        <w:ind w:left="2283" w:hanging="360"/>
      </w:pPr>
      <w:rPr>
        <w:rFonts w:ascii="Symbol" w:hAnsi="Symbol" w:hint="default"/>
      </w:rPr>
    </w:lvl>
    <w:lvl w:ilvl="4" w:tplc="041A0003" w:tentative="1">
      <w:start w:val="1"/>
      <w:numFmt w:val="bullet"/>
      <w:lvlText w:val="o"/>
      <w:lvlJc w:val="left"/>
      <w:pPr>
        <w:ind w:left="3003" w:hanging="360"/>
      </w:pPr>
      <w:rPr>
        <w:rFonts w:ascii="Courier New" w:hAnsi="Courier New" w:cs="Courier New" w:hint="default"/>
      </w:rPr>
    </w:lvl>
    <w:lvl w:ilvl="5" w:tplc="041A0005" w:tentative="1">
      <w:start w:val="1"/>
      <w:numFmt w:val="bullet"/>
      <w:lvlText w:val=""/>
      <w:lvlJc w:val="left"/>
      <w:pPr>
        <w:ind w:left="3723" w:hanging="360"/>
      </w:pPr>
      <w:rPr>
        <w:rFonts w:ascii="Wingdings" w:hAnsi="Wingdings" w:hint="default"/>
      </w:rPr>
    </w:lvl>
    <w:lvl w:ilvl="6" w:tplc="041A0001" w:tentative="1">
      <w:start w:val="1"/>
      <w:numFmt w:val="bullet"/>
      <w:lvlText w:val=""/>
      <w:lvlJc w:val="left"/>
      <w:pPr>
        <w:ind w:left="4443" w:hanging="360"/>
      </w:pPr>
      <w:rPr>
        <w:rFonts w:ascii="Symbol" w:hAnsi="Symbol" w:hint="default"/>
      </w:rPr>
    </w:lvl>
    <w:lvl w:ilvl="7" w:tplc="041A0003" w:tentative="1">
      <w:start w:val="1"/>
      <w:numFmt w:val="bullet"/>
      <w:lvlText w:val="o"/>
      <w:lvlJc w:val="left"/>
      <w:pPr>
        <w:ind w:left="5163" w:hanging="360"/>
      </w:pPr>
      <w:rPr>
        <w:rFonts w:ascii="Courier New" w:hAnsi="Courier New" w:cs="Courier New" w:hint="default"/>
      </w:rPr>
    </w:lvl>
    <w:lvl w:ilvl="8" w:tplc="041A0005" w:tentative="1">
      <w:start w:val="1"/>
      <w:numFmt w:val="bullet"/>
      <w:lvlText w:val=""/>
      <w:lvlJc w:val="left"/>
      <w:pPr>
        <w:ind w:left="5883" w:hanging="360"/>
      </w:pPr>
      <w:rPr>
        <w:rFonts w:ascii="Wingdings" w:hAnsi="Wingdings" w:hint="default"/>
      </w:rPr>
    </w:lvl>
  </w:abstractNum>
  <w:abstractNum w:abstractNumId="17" w15:restartNumberingAfterBreak="1">
    <w:nsid w:val="4E70627C"/>
    <w:multiLevelType w:val="hybridMultilevel"/>
    <w:tmpl w:val="152A46DC"/>
    <w:lvl w:ilvl="0" w:tplc="C982156A">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946CEF"/>
    <w:multiLevelType w:val="hybridMultilevel"/>
    <w:tmpl w:val="B1826960"/>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1">
    <w:nsid w:val="5A151969"/>
    <w:multiLevelType w:val="hybridMultilevel"/>
    <w:tmpl w:val="2FEE1240"/>
    <w:lvl w:ilvl="0" w:tplc="147EAB1C">
      <w:start w:val="1"/>
      <w:numFmt w:val="bullet"/>
      <w:lvlText w:val=""/>
      <w:lvlJc w:val="left"/>
      <w:pPr>
        <w:ind w:left="720" w:hanging="360"/>
      </w:pPr>
      <w:rPr>
        <w:rFonts w:ascii="Symbol" w:hAnsi="Symbo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9F536A"/>
    <w:multiLevelType w:val="hybridMultilevel"/>
    <w:tmpl w:val="97669024"/>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C91DE2"/>
    <w:multiLevelType w:val="hybridMultilevel"/>
    <w:tmpl w:val="2C7C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68205315"/>
    <w:multiLevelType w:val="hybridMultilevel"/>
    <w:tmpl w:val="4496B7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0079D5"/>
    <w:multiLevelType w:val="hybridMultilevel"/>
    <w:tmpl w:val="B1826960"/>
    <w:lvl w:ilvl="0" w:tplc="AD82014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17"/>
  </w:num>
  <w:num w:numId="5">
    <w:abstractNumId w:val="19"/>
  </w:num>
  <w:num w:numId="6">
    <w:abstractNumId w:val="21"/>
  </w:num>
  <w:num w:numId="7">
    <w:abstractNumId w:val="11"/>
  </w:num>
  <w:num w:numId="8">
    <w:abstractNumId w:val="5"/>
  </w:num>
  <w:num w:numId="9">
    <w:abstractNumId w:val="23"/>
  </w:num>
  <w:num w:numId="10">
    <w:abstractNumId w:val="9"/>
  </w:num>
  <w:num w:numId="11">
    <w:abstractNumId w:val="7"/>
  </w:num>
  <w:num w:numId="12">
    <w:abstractNumId w:val="12"/>
  </w:num>
  <w:num w:numId="13">
    <w:abstractNumId w:val="14"/>
  </w:num>
  <w:num w:numId="14">
    <w:abstractNumId w:val="13"/>
  </w:num>
  <w:num w:numId="15">
    <w:abstractNumId w:val="8"/>
  </w:num>
  <w:num w:numId="16">
    <w:abstractNumId w:val="15"/>
  </w:num>
  <w:num w:numId="17">
    <w:abstractNumId w:val="4"/>
  </w:num>
  <w:num w:numId="18">
    <w:abstractNumId w:val="10"/>
  </w:num>
  <w:num w:numId="19">
    <w:abstractNumId w:val="18"/>
  </w:num>
  <w:num w:numId="20">
    <w:abstractNumId w:val="0"/>
  </w:num>
  <w:num w:numId="21">
    <w:abstractNumId w:val="6"/>
  </w:num>
  <w:num w:numId="22">
    <w:abstractNumId w:val="20"/>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F"/>
    <w:rsid w:val="0000131F"/>
    <w:rsid w:val="00001C9C"/>
    <w:rsid w:val="00012A6A"/>
    <w:rsid w:val="000266F0"/>
    <w:rsid w:val="00027518"/>
    <w:rsid w:val="0007350D"/>
    <w:rsid w:val="0007524E"/>
    <w:rsid w:val="00075A02"/>
    <w:rsid w:val="000B1659"/>
    <w:rsid w:val="000B76D4"/>
    <w:rsid w:val="000D0297"/>
    <w:rsid w:val="000D4284"/>
    <w:rsid w:val="000F178F"/>
    <w:rsid w:val="00117725"/>
    <w:rsid w:val="00122FB6"/>
    <w:rsid w:val="00142DC4"/>
    <w:rsid w:val="00147B55"/>
    <w:rsid w:val="001524C9"/>
    <w:rsid w:val="00177CE4"/>
    <w:rsid w:val="001838F2"/>
    <w:rsid w:val="0019777F"/>
    <w:rsid w:val="001A5AD8"/>
    <w:rsid w:val="001A5E8D"/>
    <w:rsid w:val="001B1E2D"/>
    <w:rsid w:val="001B23C0"/>
    <w:rsid w:val="001C3B6C"/>
    <w:rsid w:val="001C6E81"/>
    <w:rsid w:val="001E708E"/>
    <w:rsid w:val="001F27FC"/>
    <w:rsid w:val="00202644"/>
    <w:rsid w:val="00235DE9"/>
    <w:rsid w:val="00254E64"/>
    <w:rsid w:val="002631C5"/>
    <w:rsid w:val="002778B3"/>
    <w:rsid w:val="00297995"/>
    <w:rsid w:val="002A70D3"/>
    <w:rsid w:val="002D01FF"/>
    <w:rsid w:val="00325829"/>
    <w:rsid w:val="00343D17"/>
    <w:rsid w:val="00346248"/>
    <w:rsid w:val="00351349"/>
    <w:rsid w:val="003521DA"/>
    <w:rsid w:val="003670FB"/>
    <w:rsid w:val="003711DB"/>
    <w:rsid w:val="00384469"/>
    <w:rsid w:val="00386F06"/>
    <w:rsid w:val="003875C1"/>
    <w:rsid w:val="003944A9"/>
    <w:rsid w:val="003A5565"/>
    <w:rsid w:val="003B2547"/>
    <w:rsid w:val="003B4E31"/>
    <w:rsid w:val="003B6B8F"/>
    <w:rsid w:val="003E66F7"/>
    <w:rsid w:val="003F45D4"/>
    <w:rsid w:val="0040591E"/>
    <w:rsid w:val="00407E7A"/>
    <w:rsid w:val="004135E0"/>
    <w:rsid w:val="00432137"/>
    <w:rsid w:val="004665B6"/>
    <w:rsid w:val="0048075C"/>
    <w:rsid w:val="00482413"/>
    <w:rsid w:val="00484864"/>
    <w:rsid w:val="0048657B"/>
    <w:rsid w:val="004968CC"/>
    <w:rsid w:val="004A1135"/>
    <w:rsid w:val="004A3CA0"/>
    <w:rsid w:val="004A4CCE"/>
    <w:rsid w:val="004B37C2"/>
    <w:rsid w:val="004F2BDD"/>
    <w:rsid w:val="004F3835"/>
    <w:rsid w:val="005024F8"/>
    <w:rsid w:val="0051019C"/>
    <w:rsid w:val="00541D8C"/>
    <w:rsid w:val="00560572"/>
    <w:rsid w:val="00585D4C"/>
    <w:rsid w:val="00590742"/>
    <w:rsid w:val="00590AD7"/>
    <w:rsid w:val="005B76D2"/>
    <w:rsid w:val="005B7C28"/>
    <w:rsid w:val="005C0E6C"/>
    <w:rsid w:val="006022E1"/>
    <w:rsid w:val="00630A7A"/>
    <w:rsid w:val="0064107D"/>
    <w:rsid w:val="00653114"/>
    <w:rsid w:val="00662F29"/>
    <w:rsid w:val="006703EA"/>
    <w:rsid w:val="006772A2"/>
    <w:rsid w:val="006925A4"/>
    <w:rsid w:val="006A160D"/>
    <w:rsid w:val="006A533F"/>
    <w:rsid w:val="006C01CE"/>
    <w:rsid w:val="006D3D5B"/>
    <w:rsid w:val="006E4678"/>
    <w:rsid w:val="006F3C0A"/>
    <w:rsid w:val="00716F3B"/>
    <w:rsid w:val="00742DCB"/>
    <w:rsid w:val="00762614"/>
    <w:rsid w:val="007B064D"/>
    <w:rsid w:val="007B1483"/>
    <w:rsid w:val="007B3E5A"/>
    <w:rsid w:val="007C14F3"/>
    <w:rsid w:val="007C2B0A"/>
    <w:rsid w:val="007C2D2A"/>
    <w:rsid w:val="007F2BF9"/>
    <w:rsid w:val="0080466D"/>
    <w:rsid w:val="00823613"/>
    <w:rsid w:val="0082773A"/>
    <w:rsid w:val="0087373E"/>
    <w:rsid w:val="00876A1B"/>
    <w:rsid w:val="008B41D0"/>
    <w:rsid w:val="008D7C93"/>
    <w:rsid w:val="008F07B4"/>
    <w:rsid w:val="008F5343"/>
    <w:rsid w:val="0090496E"/>
    <w:rsid w:val="009603BB"/>
    <w:rsid w:val="0096354D"/>
    <w:rsid w:val="0096666C"/>
    <w:rsid w:val="009828C4"/>
    <w:rsid w:val="009840DA"/>
    <w:rsid w:val="009B0F56"/>
    <w:rsid w:val="009B3718"/>
    <w:rsid w:val="009B5058"/>
    <w:rsid w:val="009B67A6"/>
    <w:rsid w:val="009B704E"/>
    <w:rsid w:val="009B7231"/>
    <w:rsid w:val="009C36DC"/>
    <w:rsid w:val="009D57E0"/>
    <w:rsid w:val="009E69E8"/>
    <w:rsid w:val="009F7344"/>
    <w:rsid w:val="00A111C8"/>
    <w:rsid w:val="00A14D7F"/>
    <w:rsid w:val="00A22C40"/>
    <w:rsid w:val="00A231EB"/>
    <w:rsid w:val="00A3542C"/>
    <w:rsid w:val="00A4166A"/>
    <w:rsid w:val="00A71689"/>
    <w:rsid w:val="00A97EBF"/>
    <w:rsid w:val="00AC296B"/>
    <w:rsid w:val="00AC6348"/>
    <w:rsid w:val="00AE6FD9"/>
    <w:rsid w:val="00B209C1"/>
    <w:rsid w:val="00B20BAE"/>
    <w:rsid w:val="00B23BD4"/>
    <w:rsid w:val="00B24165"/>
    <w:rsid w:val="00B40685"/>
    <w:rsid w:val="00B80A1E"/>
    <w:rsid w:val="00BC4C38"/>
    <w:rsid w:val="00BE5900"/>
    <w:rsid w:val="00C20746"/>
    <w:rsid w:val="00C26EC1"/>
    <w:rsid w:val="00C323AC"/>
    <w:rsid w:val="00C776ED"/>
    <w:rsid w:val="00C87734"/>
    <w:rsid w:val="00CB5B01"/>
    <w:rsid w:val="00CC2FB7"/>
    <w:rsid w:val="00CD7F83"/>
    <w:rsid w:val="00D04723"/>
    <w:rsid w:val="00D54332"/>
    <w:rsid w:val="00D54925"/>
    <w:rsid w:val="00D646C9"/>
    <w:rsid w:val="00D85075"/>
    <w:rsid w:val="00D85653"/>
    <w:rsid w:val="00DA4C63"/>
    <w:rsid w:val="00DB3D1F"/>
    <w:rsid w:val="00DF09C0"/>
    <w:rsid w:val="00E035F1"/>
    <w:rsid w:val="00E26227"/>
    <w:rsid w:val="00E54DAF"/>
    <w:rsid w:val="00E57524"/>
    <w:rsid w:val="00E719A8"/>
    <w:rsid w:val="00E81394"/>
    <w:rsid w:val="00EB52A5"/>
    <w:rsid w:val="00EC5C23"/>
    <w:rsid w:val="00ED4746"/>
    <w:rsid w:val="00ED7C50"/>
    <w:rsid w:val="00ED7F32"/>
    <w:rsid w:val="00EE5336"/>
    <w:rsid w:val="00EF3486"/>
    <w:rsid w:val="00F103E4"/>
    <w:rsid w:val="00F2041F"/>
    <w:rsid w:val="00F33773"/>
    <w:rsid w:val="00F63437"/>
    <w:rsid w:val="00F77231"/>
    <w:rsid w:val="00F820DD"/>
    <w:rsid w:val="00F85C66"/>
    <w:rsid w:val="00F9434E"/>
    <w:rsid w:val="00FB0EA1"/>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EF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77F"/>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19777F"/>
    <w:rPr>
      <w:rFonts w:eastAsiaTheme="minorEastAsia"/>
      <w:lang w:val="hr-HR"/>
    </w:rPr>
  </w:style>
  <w:style w:type="table" w:customStyle="1" w:styleId="Reetkatablice1">
    <w:name w:val="Rešetka tablice1"/>
    <w:basedOn w:val="TableNormal"/>
    <w:next w:val="TableGrid"/>
    <w:uiPriority w:val="3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7F"/>
    <w:rPr>
      <w:lang w:val="hr-HR"/>
    </w:rPr>
  </w:style>
  <w:style w:type="paragraph" w:styleId="Footer">
    <w:name w:val="footer"/>
    <w:basedOn w:val="Normal"/>
    <w:link w:val="FooterChar"/>
    <w:uiPriority w:val="99"/>
    <w:unhideWhenUsed/>
    <w:rsid w:val="0019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7F"/>
    <w:rPr>
      <w:lang w:val="hr-HR"/>
    </w:rPr>
  </w:style>
  <w:style w:type="paragraph" w:styleId="NormalWeb">
    <w:name w:val="Normal (Web)"/>
    <w:basedOn w:val="Normal"/>
    <w:uiPriority w:val="99"/>
    <w:semiHidden/>
    <w:unhideWhenUsed/>
    <w:rsid w:val="0019777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F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DD"/>
    <w:rPr>
      <w:rFonts w:ascii="Segoe UI" w:hAnsi="Segoe UI" w:cs="Segoe UI"/>
      <w:sz w:val="18"/>
      <w:szCs w:val="18"/>
      <w:lang w:val="hr-HR"/>
    </w:rPr>
  </w:style>
  <w:style w:type="paragraph" w:styleId="CommentText">
    <w:name w:val="annotation text"/>
    <w:basedOn w:val="Normal"/>
    <w:link w:val="CommentTextChar"/>
    <w:uiPriority w:val="99"/>
    <w:unhideWhenUsed/>
    <w:rsid w:val="00001C9C"/>
    <w:pPr>
      <w:spacing w:after="200" w:line="240" w:lineRule="auto"/>
    </w:pPr>
    <w:rPr>
      <w:rFonts w:ascii="Corbel" w:eastAsia="Corbel" w:hAnsi="Corbel" w:cs="Corbel"/>
      <w:sz w:val="20"/>
      <w:szCs w:val="20"/>
      <w:lang w:eastAsia="hr-HR"/>
    </w:rPr>
  </w:style>
  <w:style w:type="character" w:customStyle="1" w:styleId="CommentTextChar">
    <w:name w:val="Comment Text Char"/>
    <w:basedOn w:val="DefaultParagraphFont"/>
    <w:link w:val="CommentText"/>
    <w:uiPriority w:val="99"/>
    <w:rsid w:val="00001C9C"/>
    <w:rPr>
      <w:rFonts w:ascii="Corbel" w:eastAsia="Corbel" w:hAnsi="Corbel" w:cs="Corbel"/>
      <w:sz w:val="20"/>
      <w:szCs w:val="20"/>
      <w:lang w:val="hr-HR" w:eastAsia="hr-HR"/>
    </w:rPr>
  </w:style>
  <w:style w:type="character" w:styleId="CommentReference">
    <w:name w:val="annotation reference"/>
    <w:basedOn w:val="DefaultParagraphFont"/>
    <w:uiPriority w:val="99"/>
    <w:semiHidden/>
    <w:unhideWhenUsed/>
    <w:rsid w:val="00001C9C"/>
    <w:rPr>
      <w:sz w:val="16"/>
      <w:szCs w:val="16"/>
    </w:rPr>
  </w:style>
  <w:style w:type="paragraph" w:styleId="CommentSubject">
    <w:name w:val="annotation subject"/>
    <w:basedOn w:val="CommentText"/>
    <w:next w:val="CommentText"/>
    <w:link w:val="CommentSubjectChar"/>
    <w:uiPriority w:val="99"/>
    <w:semiHidden/>
    <w:unhideWhenUsed/>
    <w:rsid w:val="004B37C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B37C2"/>
    <w:rPr>
      <w:rFonts w:ascii="Corbel" w:eastAsia="Corbel" w:hAnsi="Corbel" w:cs="Corbel"/>
      <w:b/>
      <w:bCs/>
      <w:sz w:val="20"/>
      <w:szCs w:val="20"/>
      <w:lang w:val="hr-HR" w:eastAsia="hr-HR"/>
    </w:rPr>
  </w:style>
  <w:style w:type="character" w:styleId="Hyperlink">
    <w:name w:val="Hyperlink"/>
    <w:basedOn w:val="DefaultParagraphFont"/>
    <w:uiPriority w:val="99"/>
    <w:unhideWhenUsed/>
    <w:rsid w:val="001C6E81"/>
    <w:rPr>
      <w:color w:val="0563C1" w:themeColor="hyperlink"/>
      <w:u w:val="single"/>
    </w:rPr>
  </w:style>
  <w:style w:type="paragraph" w:styleId="Revision">
    <w:name w:val="Revision"/>
    <w:hidden/>
    <w:uiPriority w:val="99"/>
    <w:semiHidden/>
    <w:rsid w:val="00432137"/>
    <w:pPr>
      <w:spacing w:after="0" w:line="240" w:lineRule="auto"/>
    </w:pPr>
    <w:rPr>
      <w:lang w:val="hr-HR"/>
    </w:rPr>
  </w:style>
  <w:style w:type="paragraph" w:customStyle="1" w:styleId="Default">
    <w:name w:val="Default"/>
    <w:uiPriority w:val="99"/>
    <w:rsid w:val="00D646C9"/>
    <w:pPr>
      <w:autoSpaceDE w:val="0"/>
      <w:autoSpaceDN w:val="0"/>
      <w:adjustRightInd w:val="0"/>
      <w:spacing w:after="0" w:line="240" w:lineRule="auto"/>
    </w:pPr>
    <w:rPr>
      <w:rFonts w:ascii="Times New Roman" w:hAnsi="Times New Roman" w:cs="Times New Roman"/>
      <w:color w:val="000000"/>
      <w:sz w:val="24"/>
      <w:szCs w:val="24"/>
      <w:lang w:val="hr-HR"/>
    </w:rPr>
  </w:style>
  <w:style w:type="character" w:customStyle="1" w:styleId="Nerijeenospominjanje1">
    <w:name w:val="Neriješeno spominjanje1"/>
    <w:basedOn w:val="DefaultParagraphFont"/>
    <w:uiPriority w:val="99"/>
    <w:semiHidden/>
    <w:unhideWhenUsed/>
    <w:rsid w:val="004665B6"/>
    <w:rPr>
      <w:color w:val="605E5C"/>
      <w:shd w:val="clear" w:color="auto" w:fill="E1DFDD"/>
    </w:rPr>
  </w:style>
  <w:style w:type="paragraph" w:customStyle="1" w:styleId="box472050">
    <w:name w:val="box_472050"/>
    <w:basedOn w:val="Normal"/>
    <w:rsid w:val="005024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762">
    <w:name w:val="box_473762"/>
    <w:basedOn w:val="Normal"/>
    <w:rsid w:val="009F73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4557">
    <w:name w:val="box_474557"/>
    <w:basedOn w:val="Normal"/>
    <w:rsid w:val="000275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826">
    <w:name w:val="box_473826"/>
    <w:basedOn w:val="Normal"/>
    <w:rsid w:val="000275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2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75366">
      <w:bodyDiv w:val="1"/>
      <w:marLeft w:val="0"/>
      <w:marRight w:val="0"/>
      <w:marTop w:val="0"/>
      <w:marBottom w:val="0"/>
      <w:divBdr>
        <w:top w:val="none" w:sz="0" w:space="0" w:color="auto"/>
        <w:left w:val="none" w:sz="0" w:space="0" w:color="auto"/>
        <w:bottom w:val="none" w:sz="0" w:space="0" w:color="auto"/>
        <w:right w:val="none" w:sz="0" w:space="0" w:color="auto"/>
      </w:divBdr>
    </w:div>
    <w:div w:id="21042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AZJMDCZ6QSYZ-1849078857-34609</_dlc_DocId>
    <_dlc_DocIdUrl xmlns="a494813a-d0d8-4dad-94cb-0d196f36ba15">
      <Url>https://ekoordinacije.vlada.hr/koordinacija-gospodarstvo/_layouts/15/DocIdRedir.aspx?ID=AZJMDCZ6QSYZ-1849078857-34609</Url>
      <Description>AZJMDCZ6QSYZ-1849078857-34609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DB21-FF09-4144-B294-83A7162C1446}">
  <ds:schemaRefs>
    <ds:schemaRef ds:uri="http://schemas.microsoft.com/sharepoint/v3/contenttype/forms"/>
  </ds:schemaRefs>
</ds:datastoreItem>
</file>

<file path=customXml/itemProps2.xml><?xml version="1.0" encoding="utf-8"?>
<ds:datastoreItem xmlns:ds="http://schemas.openxmlformats.org/officeDocument/2006/customXml" ds:itemID="{814CAD63-07D3-4179-85CE-53FCE19639A7}">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B32013-09AB-40DC-B100-AE6AC1AD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B35C6-DD3A-4ACD-8E1C-B33AE210434B}">
  <ds:schemaRefs>
    <ds:schemaRef ds:uri="http://schemas.microsoft.com/sharepoint/events"/>
  </ds:schemaRefs>
</ds:datastoreItem>
</file>

<file path=customXml/itemProps5.xml><?xml version="1.0" encoding="utf-8"?>
<ds:datastoreItem xmlns:ds="http://schemas.openxmlformats.org/officeDocument/2006/customXml" ds:itemID="{5B259BAD-E224-4FFA-8C86-AF155118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2023-12-18T11:47:00Z</dcterms:created>
  <dcterms:modified xsi:type="dcterms:W3CDTF">2023-12-27T08:15:00Z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6a07a303-6b04-4ca5-a51f-da5655f81868</vt:lpwstr>
  </property>
</Properties>
</file>