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2C82D" w14:textId="77777777" w:rsidR="008E0E1B" w:rsidRPr="00F41260" w:rsidRDefault="008E0E1B" w:rsidP="008E0E1B">
      <w:pPr>
        <w:jc w:val="center"/>
        <w:rPr>
          <w:sz w:val="24"/>
          <w:szCs w:val="24"/>
          <w:lang w:eastAsia="hr-HR"/>
        </w:rPr>
      </w:pPr>
      <w:r w:rsidRPr="00F41260">
        <w:rPr>
          <w:noProof/>
          <w:sz w:val="24"/>
          <w:szCs w:val="24"/>
          <w:lang w:eastAsia="hr-HR"/>
        </w:rPr>
        <w:drawing>
          <wp:inline distT="0" distB="0" distL="0" distR="0" wp14:anchorId="1050F9BA" wp14:editId="0D890EF1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1260">
        <w:rPr>
          <w:sz w:val="24"/>
          <w:szCs w:val="24"/>
          <w:lang w:eastAsia="hr-HR"/>
        </w:rPr>
        <w:fldChar w:fldCharType="begin"/>
      </w:r>
      <w:r w:rsidRPr="00F41260">
        <w:rPr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F41260">
        <w:rPr>
          <w:sz w:val="24"/>
          <w:szCs w:val="24"/>
          <w:lang w:eastAsia="hr-HR"/>
        </w:rPr>
        <w:fldChar w:fldCharType="end"/>
      </w:r>
    </w:p>
    <w:p w14:paraId="0E762ECF" w14:textId="77777777" w:rsidR="008E0E1B" w:rsidRPr="00900A65" w:rsidRDefault="008E0E1B" w:rsidP="008E0E1B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900A65">
        <w:rPr>
          <w:rFonts w:ascii="Times New Roman" w:hAnsi="Times New Roman" w:cs="Times New Roman"/>
          <w:sz w:val="24"/>
          <w:szCs w:val="24"/>
          <w:lang w:eastAsia="hr-HR"/>
        </w:rPr>
        <w:t>VLADA REPUBLIKE HRVATSKE</w:t>
      </w:r>
    </w:p>
    <w:p w14:paraId="66EE611C" w14:textId="77777777" w:rsidR="008E0E1B" w:rsidRPr="00900A65" w:rsidRDefault="008E0E1B" w:rsidP="008E0E1B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2106BED" w14:textId="598CFDC0" w:rsidR="008E0E1B" w:rsidRPr="00900A65" w:rsidRDefault="008E0E1B" w:rsidP="008E0E1B">
      <w:pPr>
        <w:jc w:val="right"/>
        <w:rPr>
          <w:rFonts w:ascii="Times New Roman" w:hAnsi="Times New Roman" w:cs="Times New Roman"/>
          <w:sz w:val="24"/>
          <w:szCs w:val="24"/>
          <w:lang w:eastAsia="hr-HR"/>
        </w:rPr>
      </w:pPr>
      <w:r w:rsidRPr="00900A65">
        <w:rPr>
          <w:rFonts w:ascii="Times New Roman" w:hAnsi="Times New Roman" w:cs="Times New Roman"/>
          <w:sz w:val="24"/>
          <w:szCs w:val="24"/>
          <w:lang w:eastAsia="hr-HR"/>
        </w:rPr>
        <w:t xml:space="preserve">Zagreb, </w:t>
      </w:r>
      <w:r w:rsidR="00B94798">
        <w:rPr>
          <w:rFonts w:ascii="Times New Roman" w:hAnsi="Times New Roman" w:cs="Times New Roman"/>
          <w:sz w:val="24"/>
          <w:szCs w:val="24"/>
          <w:lang w:eastAsia="hr-HR"/>
        </w:rPr>
        <w:t>21. rujna</w:t>
      </w:r>
      <w:bookmarkStart w:id="0" w:name="_GoBack"/>
      <w:bookmarkEnd w:id="0"/>
      <w:r w:rsidR="00144CA0" w:rsidRPr="00900A65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900A65">
        <w:rPr>
          <w:rFonts w:ascii="Times New Roman" w:hAnsi="Times New Roman" w:cs="Times New Roman"/>
          <w:sz w:val="24"/>
          <w:szCs w:val="24"/>
          <w:lang w:eastAsia="hr-HR"/>
        </w:rPr>
        <w:t>2023.</w:t>
      </w:r>
    </w:p>
    <w:p w14:paraId="2B094D7F" w14:textId="77777777" w:rsidR="008E0E1B" w:rsidRPr="00F41260" w:rsidRDefault="008E0E1B" w:rsidP="008E0E1B">
      <w:pPr>
        <w:jc w:val="right"/>
        <w:rPr>
          <w:sz w:val="24"/>
          <w:szCs w:val="24"/>
          <w:lang w:eastAsia="hr-HR"/>
        </w:rPr>
      </w:pPr>
    </w:p>
    <w:p w14:paraId="1EEED848" w14:textId="77777777" w:rsidR="008E0E1B" w:rsidRPr="00F41260" w:rsidRDefault="008E0E1B" w:rsidP="008E0E1B">
      <w:pPr>
        <w:jc w:val="right"/>
        <w:rPr>
          <w:sz w:val="24"/>
          <w:szCs w:val="24"/>
          <w:lang w:eastAsia="hr-HR"/>
        </w:rPr>
      </w:pPr>
    </w:p>
    <w:p w14:paraId="4BEBFF26" w14:textId="77777777" w:rsidR="008E0E1B" w:rsidRPr="00F41260" w:rsidRDefault="008E0E1B" w:rsidP="008E0E1B">
      <w:pPr>
        <w:jc w:val="right"/>
        <w:rPr>
          <w:sz w:val="24"/>
          <w:szCs w:val="24"/>
          <w:lang w:eastAsia="hr-HR"/>
        </w:rPr>
      </w:pPr>
    </w:p>
    <w:p w14:paraId="37A8291A" w14:textId="77777777" w:rsidR="008E0E1B" w:rsidRPr="00F41260" w:rsidRDefault="008E0E1B" w:rsidP="008E0E1B">
      <w:pPr>
        <w:jc w:val="right"/>
        <w:rPr>
          <w:sz w:val="24"/>
          <w:szCs w:val="24"/>
          <w:lang w:eastAsia="hr-HR"/>
        </w:rPr>
      </w:pPr>
    </w:p>
    <w:p w14:paraId="493D8B2F" w14:textId="77777777" w:rsidR="008E0E1B" w:rsidRPr="00F41260" w:rsidRDefault="008E0E1B" w:rsidP="008E0E1B">
      <w:pPr>
        <w:jc w:val="right"/>
        <w:rPr>
          <w:sz w:val="24"/>
          <w:szCs w:val="24"/>
          <w:lang w:eastAsia="hr-HR"/>
        </w:rPr>
      </w:pPr>
    </w:p>
    <w:p w14:paraId="59116184" w14:textId="77777777" w:rsidR="008E0E1B" w:rsidRPr="00F41260" w:rsidRDefault="008E0E1B" w:rsidP="008E0E1B">
      <w:pPr>
        <w:jc w:val="both"/>
        <w:rPr>
          <w:sz w:val="24"/>
          <w:szCs w:val="24"/>
          <w:lang w:eastAsia="hr-HR"/>
        </w:rPr>
      </w:pPr>
      <w:r w:rsidRPr="00F41260">
        <w:rPr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E0E1B" w:rsidRPr="00B47C6E" w14:paraId="11E6F8AF" w14:textId="77777777" w:rsidTr="00470B22">
        <w:tc>
          <w:tcPr>
            <w:tcW w:w="1951" w:type="dxa"/>
          </w:tcPr>
          <w:p w14:paraId="0AD6DDD2" w14:textId="77777777" w:rsidR="008E0E1B" w:rsidRPr="00B47C6E" w:rsidRDefault="008E0E1B" w:rsidP="00470B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C6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B47C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0088519" w14:textId="77777777" w:rsidR="008E0E1B" w:rsidRPr="00B47C6E" w:rsidRDefault="008E0E1B" w:rsidP="0047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6E">
              <w:rPr>
                <w:rFonts w:ascii="Times New Roman" w:hAnsi="Times New Roman" w:cs="Times New Roman"/>
                <w:sz w:val="24"/>
                <w:szCs w:val="24"/>
              </w:rPr>
              <w:t>Ministarstvo financija</w:t>
            </w:r>
          </w:p>
        </w:tc>
      </w:tr>
    </w:tbl>
    <w:p w14:paraId="64DF1AED" w14:textId="77777777" w:rsidR="008E0E1B" w:rsidRPr="00B47C6E" w:rsidRDefault="008E0E1B" w:rsidP="008E0E1B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47C6E">
        <w:rPr>
          <w:rFonts w:ascii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8E0E1B" w:rsidRPr="00B47C6E" w14:paraId="133CF811" w14:textId="77777777" w:rsidTr="00470B22">
        <w:tc>
          <w:tcPr>
            <w:tcW w:w="1951" w:type="dxa"/>
          </w:tcPr>
          <w:p w14:paraId="5E18EFA1" w14:textId="77777777" w:rsidR="008E0E1B" w:rsidRPr="00B47C6E" w:rsidRDefault="008E0E1B" w:rsidP="00470B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7C6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B47C6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DADE527" w14:textId="3446EBEA" w:rsidR="008E0E1B" w:rsidRPr="00604075" w:rsidRDefault="008E0E1B" w:rsidP="00865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075">
              <w:rPr>
                <w:rFonts w:ascii="Times New Roman" w:hAnsi="Times New Roman" w:cs="Times New Roman"/>
                <w:sz w:val="24"/>
                <w:szCs w:val="24"/>
              </w:rPr>
              <w:t xml:space="preserve">Nacrt prijedloga zakona o </w:t>
            </w:r>
            <w:r w:rsidR="008652E4" w:rsidRPr="00604075">
              <w:rPr>
                <w:rFonts w:ascii="Times New Roman" w:hAnsi="Times New Roman" w:cs="Times New Roman"/>
                <w:sz w:val="24"/>
                <w:szCs w:val="24"/>
              </w:rPr>
              <w:t>izmjen</w:t>
            </w:r>
            <w:r w:rsidR="008652E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652E4" w:rsidRPr="0060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075">
              <w:rPr>
                <w:rFonts w:ascii="Times New Roman" w:hAnsi="Times New Roman" w:cs="Times New Roman"/>
                <w:sz w:val="24"/>
                <w:szCs w:val="24"/>
              </w:rPr>
              <w:t>i dopuni Zakona o provedbi Uredbe (EU) 2015/2365 o transparentnosti transakcija financiranja vrijednosnih papira i ponovne upor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abe</w:t>
            </w:r>
            <w:r w:rsidRPr="00604075">
              <w:rPr>
                <w:rFonts w:ascii="Times New Roman" w:hAnsi="Times New Roman" w:cs="Times New Roman"/>
                <w:sz w:val="24"/>
                <w:szCs w:val="24"/>
              </w:rPr>
              <w:t>, s Nacrtom konačnog prijedloga zakona</w:t>
            </w:r>
          </w:p>
        </w:tc>
      </w:tr>
    </w:tbl>
    <w:p w14:paraId="2505510F" w14:textId="77777777" w:rsidR="008E0E1B" w:rsidRPr="00F41260" w:rsidRDefault="008E0E1B" w:rsidP="008E0E1B">
      <w:pPr>
        <w:jc w:val="both"/>
        <w:rPr>
          <w:sz w:val="24"/>
          <w:szCs w:val="24"/>
          <w:lang w:eastAsia="hr-HR"/>
        </w:rPr>
      </w:pPr>
      <w:r w:rsidRPr="00F41260">
        <w:rPr>
          <w:sz w:val="24"/>
          <w:szCs w:val="24"/>
          <w:lang w:eastAsia="hr-HR"/>
        </w:rPr>
        <w:t>__________________________________________________________________________</w:t>
      </w:r>
    </w:p>
    <w:p w14:paraId="58037EB8" w14:textId="77777777" w:rsidR="008E0E1B" w:rsidRPr="00F41260" w:rsidRDefault="008E0E1B" w:rsidP="008E0E1B">
      <w:pPr>
        <w:jc w:val="both"/>
        <w:rPr>
          <w:sz w:val="24"/>
          <w:szCs w:val="24"/>
          <w:lang w:eastAsia="hr-HR"/>
        </w:rPr>
      </w:pPr>
    </w:p>
    <w:p w14:paraId="1921439F" w14:textId="77777777" w:rsidR="008E0E1B" w:rsidRPr="00F41260" w:rsidRDefault="008E0E1B" w:rsidP="008E0E1B">
      <w:pPr>
        <w:jc w:val="both"/>
        <w:rPr>
          <w:sz w:val="24"/>
          <w:szCs w:val="24"/>
          <w:lang w:eastAsia="hr-HR"/>
        </w:rPr>
      </w:pPr>
    </w:p>
    <w:p w14:paraId="2C2BD805" w14:textId="77777777" w:rsidR="008E0E1B" w:rsidRPr="00F41260" w:rsidRDefault="008E0E1B" w:rsidP="008E0E1B">
      <w:pPr>
        <w:jc w:val="both"/>
        <w:rPr>
          <w:sz w:val="24"/>
          <w:szCs w:val="24"/>
          <w:lang w:eastAsia="hr-HR"/>
        </w:rPr>
      </w:pPr>
    </w:p>
    <w:p w14:paraId="290B0691" w14:textId="77777777" w:rsidR="008E0E1B" w:rsidRPr="00F41260" w:rsidRDefault="008E0E1B" w:rsidP="008E0E1B">
      <w:pPr>
        <w:jc w:val="both"/>
        <w:rPr>
          <w:sz w:val="24"/>
          <w:szCs w:val="24"/>
          <w:lang w:eastAsia="hr-HR"/>
        </w:rPr>
      </w:pPr>
    </w:p>
    <w:p w14:paraId="2707BED8" w14:textId="77777777" w:rsidR="008E0E1B" w:rsidRPr="00F41260" w:rsidRDefault="008E0E1B" w:rsidP="008E0E1B">
      <w:pPr>
        <w:rPr>
          <w:sz w:val="24"/>
          <w:szCs w:val="24"/>
          <w:lang w:eastAsia="hr-HR"/>
        </w:rPr>
      </w:pPr>
    </w:p>
    <w:p w14:paraId="6F3139F6" w14:textId="77777777" w:rsidR="008E0E1B" w:rsidRPr="00F41260" w:rsidRDefault="008E0E1B" w:rsidP="008E0E1B">
      <w:pPr>
        <w:rPr>
          <w:sz w:val="24"/>
          <w:szCs w:val="24"/>
          <w:lang w:eastAsia="hr-HR"/>
        </w:rPr>
      </w:pPr>
    </w:p>
    <w:p w14:paraId="4E8975DF" w14:textId="77777777" w:rsidR="008E0E1B" w:rsidRPr="00F41260" w:rsidRDefault="008E0E1B" w:rsidP="008E0E1B">
      <w:pPr>
        <w:rPr>
          <w:sz w:val="24"/>
          <w:szCs w:val="24"/>
          <w:lang w:eastAsia="hr-HR"/>
        </w:rPr>
      </w:pPr>
    </w:p>
    <w:p w14:paraId="0A7BCE3F" w14:textId="77777777" w:rsidR="008E0E1B" w:rsidRPr="00F41260" w:rsidRDefault="008E0E1B" w:rsidP="008E0E1B">
      <w:pPr>
        <w:rPr>
          <w:sz w:val="24"/>
          <w:szCs w:val="24"/>
          <w:lang w:eastAsia="hr-HR"/>
        </w:rPr>
      </w:pPr>
    </w:p>
    <w:p w14:paraId="4AA3FF62" w14:textId="77777777" w:rsidR="008E0E1B" w:rsidRDefault="008E0E1B" w:rsidP="008E0E1B">
      <w:pPr>
        <w:rPr>
          <w:sz w:val="24"/>
          <w:szCs w:val="24"/>
          <w:lang w:eastAsia="hr-HR"/>
        </w:rPr>
      </w:pPr>
    </w:p>
    <w:p w14:paraId="10892ACC" w14:textId="77777777" w:rsidR="008E0E1B" w:rsidRPr="00F41260" w:rsidRDefault="008E0E1B" w:rsidP="008E0E1B">
      <w:pPr>
        <w:rPr>
          <w:sz w:val="24"/>
          <w:szCs w:val="24"/>
          <w:lang w:eastAsia="hr-HR"/>
        </w:rPr>
      </w:pPr>
    </w:p>
    <w:p w14:paraId="793B7F91" w14:textId="77777777" w:rsidR="008E0E1B" w:rsidRPr="00900A65" w:rsidRDefault="008E0E1B" w:rsidP="008E0E1B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spacing w:val="20"/>
          <w:sz w:val="24"/>
          <w:szCs w:val="24"/>
          <w:lang w:eastAsia="hr-HR"/>
        </w:rPr>
      </w:pPr>
      <w:r w:rsidRPr="00900A65">
        <w:rPr>
          <w:rFonts w:ascii="Times New Roman" w:hAnsi="Times New Roman" w:cs="Times New Roman"/>
          <w:spacing w:val="20"/>
          <w:sz w:val="24"/>
          <w:szCs w:val="24"/>
          <w:lang w:eastAsia="hr-HR"/>
        </w:rPr>
        <w:t>Banski dvori | Trg Sv. Marka 2  | 10000 Zagreb | tel. 01 4569 222 | vlada.gov.hr</w:t>
      </w:r>
    </w:p>
    <w:p w14:paraId="7A99C500" w14:textId="77777777" w:rsidR="008E0E1B" w:rsidRDefault="008E0E1B" w:rsidP="008E0E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8277D6B" w14:textId="77777777" w:rsidR="008E0E1B" w:rsidRDefault="008E0E1B" w:rsidP="008E0E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REPUBLIKA HRVATSKA</w:t>
      </w:r>
    </w:p>
    <w:p w14:paraId="1E036BC8" w14:textId="77777777" w:rsidR="008E0E1B" w:rsidRDefault="008E0E1B" w:rsidP="008E0E1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MINISTARSTVO FINANCIJA</w:t>
      </w:r>
    </w:p>
    <w:p w14:paraId="044A9F84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D645D9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4266D4" w14:textId="77777777" w:rsidR="008E0E1B" w:rsidRDefault="008E0E1B" w:rsidP="008E0E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NACRT</w:t>
      </w:r>
    </w:p>
    <w:p w14:paraId="6E6FBA6A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4F67D2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4ED21C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DF4873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EB3A2B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236E04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408CF6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C765C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057BB7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680294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37E592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EEAE8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68A17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5C7CF5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328C5B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3F7898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022A86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61F36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882DDE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54498F" w14:textId="2E6BE6FA" w:rsidR="008E0E1B" w:rsidRPr="00196D23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D23">
        <w:rPr>
          <w:rFonts w:ascii="Times New Roman" w:hAnsi="Times New Roman" w:cs="Times New Roman"/>
          <w:b/>
          <w:sz w:val="24"/>
          <w:szCs w:val="24"/>
        </w:rPr>
        <w:t xml:space="preserve">PRIJEDLOG ZAKONA O </w:t>
      </w:r>
      <w:r w:rsidR="008652E4" w:rsidRPr="00196D23">
        <w:rPr>
          <w:rFonts w:ascii="Times New Roman" w:hAnsi="Times New Roman" w:cs="Times New Roman"/>
          <w:b/>
          <w:sz w:val="24"/>
          <w:szCs w:val="24"/>
        </w:rPr>
        <w:t>IZMJEN</w:t>
      </w:r>
      <w:r w:rsidR="00AE6AA7">
        <w:rPr>
          <w:rFonts w:ascii="Times New Roman" w:hAnsi="Times New Roman" w:cs="Times New Roman"/>
          <w:b/>
          <w:sz w:val="24"/>
          <w:szCs w:val="24"/>
        </w:rPr>
        <w:t>I</w:t>
      </w:r>
      <w:r w:rsidR="008652E4" w:rsidRPr="00196D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 DOPUNI </w:t>
      </w:r>
      <w:r w:rsidRPr="00196D23">
        <w:rPr>
          <w:rFonts w:ascii="Times New Roman" w:hAnsi="Times New Roman" w:cs="Times New Roman"/>
          <w:b/>
          <w:sz w:val="24"/>
          <w:szCs w:val="24"/>
        </w:rPr>
        <w:t xml:space="preserve">ZAKONA O PROVEDBI UREDBE (EU) </w:t>
      </w:r>
      <w:r>
        <w:rPr>
          <w:rFonts w:ascii="Times New Roman" w:hAnsi="Times New Roman" w:cs="Times New Roman"/>
          <w:b/>
          <w:sz w:val="24"/>
          <w:szCs w:val="24"/>
        </w:rPr>
        <w:t xml:space="preserve">2015/2365 O TRANSPARENTNOSTI TRANSAKCIJA FINANCIRANJA VRIJEDNOSNIH PAPIRA I PONOVNE UPORABE, S </w:t>
      </w:r>
      <w:r w:rsidR="00EA79CA">
        <w:rPr>
          <w:rFonts w:ascii="Times New Roman" w:hAnsi="Times New Roman" w:cs="Times New Roman"/>
          <w:b/>
          <w:sz w:val="24"/>
          <w:szCs w:val="24"/>
        </w:rPr>
        <w:t xml:space="preserve">KONAČNIM PRIJEDLOGOM </w:t>
      </w:r>
      <w:r>
        <w:rPr>
          <w:rFonts w:ascii="Times New Roman" w:hAnsi="Times New Roman" w:cs="Times New Roman"/>
          <w:b/>
          <w:sz w:val="24"/>
          <w:szCs w:val="24"/>
        </w:rPr>
        <w:t>ZAKONA</w:t>
      </w:r>
    </w:p>
    <w:p w14:paraId="0996B75D" w14:textId="77777777" w:rsidR="008E0E1B" w:rsidRPr="00196D23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5180A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782CBF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5971A1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6909F4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AF8EAA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00CC01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EF757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838831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0C9F00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3C811D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3225A0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DA6123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CD58D9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D67491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42C2B4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34601D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580183" w14:textId="77777777" w:rsidR="008E0E1B" w:rsidRDefault="008E0E1B" w:rsidP="008E0E1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3EFBA6" w14:textId="1342EB4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144CA0">
        <w:rPr>
          <w:rFonts w:ascii="Times New Roman" w:hAnsi="Times New Roman" w:cs="Times New Roman"/>
          <w:b/>
          <w:sz w:val="24"/>
          <w:szCs w:val="24"/>
        </w:rPr>
        <w:t xml:space="preserve">rujan </w:t>
      </w:r>
      <w:r>
        <w:rPr>
          <w:rFonts w:ascii="Times New Roman" w:hAnsi="Times New Roman" w:cs="Times New Roman"/>
          <w:b/>
          <w:sz w:val="24"/>
          <w:szCs w:val="24"/>
        </w:rPr>
        <w:t>2023.</w:t>
      </w:r>
    </w:p>
    <w:p w14:paraId="7148C8EC" w14:textId="77777777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E82CB" w14:textId="77777777" w:rsidR="008E0E1B" w:rsidRDefault="008E0E1B" w:rsidP="00604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CB288" w14:textId="77777777" w:rsidR="008E0E1B" w:rsidRDefault="008E0E1B" w:rsidP="00604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75BCE" w14:textId="63764895" w:rsidR="00604075" w:rsidRPr="00196D23" w:rsidRDefault="00F11190" w:rsidP="006040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D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PRIJEDLOG ZAKONA O </w:t>
      </w:r>
      <w:r w:rsidR="008652E4" w:rsidRPr="00196D23">
        <w:rPr>
          <w:rFonts w:ascii="Times New Roman" w:hAnsi="Times New Roman" w:cs="Times New Roman"/>
          <w:b/>
          <w:sz w:val="24"/>
          <w:szCs w:val="24"/>
        </w:rPr>
        <w:t>IZMJEN</w:t>
      </w:r>
      <w:r w:rsidR="008652E4">
        <w:rPr>
          <w:rFonts w:ascii="Times New Roman" w:hAnsi="Times New Roman" w:cs="Times New Roman"/>
          <w:b/>
          <w:sz w:val="24"/>
          <w:szCs w:val="24"/>
        </w:rPr>
        <w:t>I</w:t>
      </w:r>
      <w:r w:rsidR="008652E4" w:rsidRPr="00196D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987">
        <w:rPr>
          <w:rFonts w:ascii="Times New Roman" w:hAnsi="Times New Roman" w:cs="Times New Roman"/>
          <w:b/>
          <w:sz w:val="24"/>
          <w:szCs w:val="24"/>
        </w:rPr>
        <w:t xml:space="preserve">I DOPUNI </w:t>
      </w:r>
      <w:r w:rsidRPr="00196D23">
        <w:rPr>
          <w:rFonts w:ascii="Times New Roman" w:hAnsi="Times New Roman" w:cs="Times New Roman"/>
          <w:b/>
          <w:sz w:val="24"/>
          <w:szCs w:val="24"/>
        </w:rPr>
        <w:t xml:space="preserve">ZAKONA O PROVEDBI UREDBE (EU) </w:t>
      </w:r>
      <w:r>
        <w:rPr>
          <w:rFonts w:ascii="Times New Roman" w:hAnsi="Times New Roman" w:cs="Times New Roman"/>
          <w:b/>
          <w:sz w:val="24"/>
          <w:szCs w:val="24"/>
        </w:rPr>
        <w:t>2015/2365 O TRANSPARENTNOSTI TRANSAKCIJA FINANCIRANJA VRIJEDNOSNIH PAPIRA I PONOVNE UPORABE</w:t>
      </w:r>
    </w:p>
    <w:p w14:paraId="26E569E9" w14:textId="464C9D59" w:rsidR="00196D23" w:rsidRDefault="00196D23" w:rsidP="000E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D2E89" w14:textId="77777777" w:rsidR="00604075" w:rsidRDefault="00604075" w:rsidP="000E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1CD28E" w14:textId="77777777" w:rsidR="00196D23" w:rsidRDefault="00196D23" w:rsidP="000E63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ab/>
        <w:t>USTAVNA OSNOVA ZA DONOŠENJE ZAKONA</w:t>
      </w:r>
    </w:p>
    <w:p w14:paraId="4EC6734B" w14:textId="77777777" w:rsidR="00196D23" w:rsidRDefault="00196D23" w:rsidP="000E6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1D8B1" w14:textId="77777777" w:rsidR="00196D23" w:rsidRDefault="00196D23" w:rsidP="000E6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Ustavna osnova za donošenje ovoga Zakona sadržana je u odredbi članka 2. stavka 4. podstavka 1. Ustava Republike </w:t>
      </w:r>
      <w:r w:rsidR="00AE47EE">
        <w:rPr>
          <w:rFonts w:ascii="Times New Roman" w:hAnsi="Times New Roman" w:cs="Times New Roman"/>
          <w:sz w:val="24"/>
          <w:szCs w:val="24"/>
        </w:rPr>
        <w:t>Hrvatske („Narodne novine“, br.</w:t>
      </w:r>
      <w:r>
        <w:rPr>
          <w:rFonts w:ascii="Times New Roman" w:hAnsi="Times New Roman" w:cs="Times New Roman"/>
          <w:sz w:val="24"/>
          <w:szCs w:val="24"/>
        </w:rPr>
        <w:t xml:space="preserve"> 85/10. - pročišćeni tekst i 5/14. - Odluka Ustavnog suda Republike Hrvatske).</w:t>
      </w:r>
    </w:p>
    <w:p w14:paraId="2F22CCFA" w14:textId="77777777" w:rsidR="00196D23" w:rsidRDefault="00196D23" w:rsidP="000E6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E6205" w14:textId="77777777" w:rsidR="00196D23" w:rsidRDefault="00196D23" w:rsidP="000E63E3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II. </w:t>
      </w:r>
      <w:r>
        <w:rPr>
          <w:b/>
        </w:rPr>
        <w:tab/>
        <w:t>OCJENA STANJA I OSNOVNA PITANJA KOJA SE TREBAJU UREDITI ZAKONOM TE POSLJEDICE KOJE ĆE DONOŠENJEM ZAKONA PROISTEĆI</w:t>
      </w:r>
    </w:p>
    <w:p w14:paraId="59A3336E" w14:textId="77777777" w:rsidR="00196D23" w:rsidRDefault="00196D23" w:rsidP="000E63E3">
      <w:pPr>
        <w:pStyle w:val="NormalWeb"/>
        <w:spacing w:before="0" w:beforeAutospacing="0" w:after="0" w:afterAutospacing="0"/>
        <w:jc w:val="both"/>
        <w:rPr>
          <w:b/>
        </w:rPr>
      </w:pPr>
    </w:p>
    <w:p w14:paraId="16034402" w14:textId="77777777" w:rsidR="00B675FA" w:rsidRDefault="00B675FA" w:rsidP="00B675FA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Zaključkom Vlade Republike Hrvatske, od 16. rujna 2021., o provedbi Nacionalnog plana zamjene hrvatske kune eurom je, između ostaloga, utvrđeno da će se zakoni iz II. skupine (prilog Zaključka), a koji sadrže manji broj odredbi vezanih za hrvatsku kunu, mijenjati tijekom 2022. i 2023. godine te po potrebi u razdoblju nakon toga.</w:t>
      </w:r>
    </w:p>
    <w:p w14:paraId="3B9FE61C" w14:textId="77777777" w:rsidR="00196D23" w:rsidRDefault="00196D23" w:rsidP="000E63E3">
      <w:pPr>
        <w:pStyle w:val="NormalWeb"/>
        <w:spacing w:before="0" w:beforeAutospacing="0" w:after="0" w:afterAutospacing="0"/>
        <w:ind w:firstLine="709"/>
        <w:jc w:val="both"/>
        <w:rPr>
          <w:rFonts w:eastAsiaTheme="minorHAnsi"/>
          <w:lang w:eastAsia="en-US"/>
        </w:rPr>
      </w:pPr>
    </w:p>
    <w:p w14:paraId="1161F29D" w14:textId="78AFD0C8" w:rsidR="00B675FA" w:rsidRDefault="00196D23" w:rsidP="00B675FA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F11190">
        <w:t xml:space="preserve">Prijedlogom </w:t>
      </w:r>
      <w:r w:rsidR="00DD122D">
        <w:t xml:space="preserve">zakona o </w:t>
      </w:r>
      <w:r w:rsidR="008652E4">
        <w:t xml:space="preserve">izmjeni </w:t>
      </w:r>
      <w:r w:rsidR="00D27987">
        <w:t xml:space="preserve">i dopuni </w:t>
      </w:r>
      <w:r w:rsidR="008A1A09">
        <w:t>Zakona o provedbi U</w:t>
      </w:r>
      <w:r w:rsidR="000B72CD" w:rsidRPr="00F11190">
        <w:t xml:space="preserve">redbe (EU) </w:t>
      </w:r>
      <w:r w:rsidR="00F11190" w:rsidRPr="00F11190">
        <w:t xml:space="preserve">2015/2365 o transparentnosti transakcija financiranja vrijednosnih papira i ponovne uporabe </w:t>
      </w:r>
      <w:r w:rsidRPr="00F11190">
        <w:t xml:space="preserve">doprinosi se </w:t>
      </w:r>
      <w:r w:rsidR="00B675FA">
        <w:rPr>
          <w:rFonts w:eastAsiaTheme="minorHAnsi"/>
          <w:lang w:eastAsia="en-US"/>
        </w:rPr>
        <w:t>provedbi Nacionalnog plana zamjene hrvatske kune eurom.</w:t>
      </w:r>
    </w:p>
    <w:p w14:paraId="75A52C9A" w14:textId="77777777" w:rsidR="00B675FA" w:rsidRDefault="00B675FA" w:rsidP="00B675FA">
      <w:pPr>
        <w:pStyle w:val="NormalWeb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14:paraId="5CACF94B" w14:textId="2FC2B672" w:rsidR="00B675FA" w:rsidRDefault="00B675FA" w:rsidP="00B675FA">
      <w:pPr>
        <w:pStyle w:val="NormalWeb"/>
        <w:spacing w:before="0" w:beforeAutospacing="0" w:after="0" w:afterAutospacing="0"/>
        <w:ind w:firstLine="708"/>
        <w:jc w:val="both"/>
      </w:pPr>
      <w:r>
        <w:t>Predloženim izmjenama novčani iznosi prekršajnih sankcija u kunama usklađuju se s odredbama Zakona o uvođenju eura kao službene valute u Republici Hrvatskoj („Narodne novine“</w:t>
      </w:r>
      <w:r w:rsidR="00FF2D3B">
        <w:t xml:space="preserve">, br. 57/22. i 88/22.-ispravak) i iznosima u eurima propisanih </w:t>
      </w:r>
      <w:r w:rsidR="00FF2D3B" w:rsidRPr="00BD55C5">
        <w:t>Uredb</w:t>
      </w:r>
      <w:r w:rsidR="00FF2D3B">
        <w:t>om</w:t>
      </w:r>
      <w:r w:rsidR="00FF2D3B" w:rsidRPr="00BD55C5">
        <w:t xml:space="preserve"> (EU) 2015/2365 Europskog parlamenta i Vijeća od 25. studenoga 2015. o transparentnosti transakcija financiranja vrijednosnih papira i ponovne uporabe te o izmjeni Uredbe (EU) br. 648/2012 (Tekst značajan za EGP) (SL L 337, 23. 12. 2015.)</w:t>
      </w:r>
      <w:r w:rsidR="008652E4">
        <w:t>.</w:t>
      </w:r>
      <w:r w:rsidR="00FF2D3B" w:rsidRPr="00BD55C5">
        <w:t xml:space="preserve"> </w:t>
      </w:r>
    </w:p>
    <w:p w14:paraId="1E5F5ED2" w14:textId="2885001C" w:rsidR="000B72CD" w:rsidRDefault="000B72CD" w:rsidP="00B675FA">
      <w:pPr>
        <w:spacing w:line="240" w:lineRule="auto"/>
        <w:ind w:firstLine="708"/>
        <w:jc w:val="both"/>
      </w:pPr>
    </w:p>
    <w:p w14:paraId="4BC561A6" w14:textId="77777777" w:rsidR="00196D23" w:rsidRDefault="00196D23" w:rsidP="000E63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sz w:val="24"/>
          <w:szCs w:val="24"/>
        </w:rPr>
        <w:tab/>
        <w:t>OCJENA I IZVORI SREDSTAVA POTREBNIH ZA PROVEDBU ZAKONA</w:t>
      </w:r>
    </w:p>
    <w:p w14:paraId="6E400275" w14:textId="77777777" w:rsidR="00196D23" w:rsidRDefault="00196D23" w:rsidP="000E63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B2496" w14:textId="77777777" w:rsidR="00196D23" w:rsidRDefault="00196D23" w:rsidP="000E6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provedbu ovoga Zakona nije potrebno osigurati sredstva u državnom proračunu Republike Hrvatske. </w:t>
      </w:r>
    </w:p>
    <w:p w14:paraId="48A75F7D" w14:textId="77777777" w:rsidR="00196D23" w:rsidRDefault="00196D23" w:rsidP="000E6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0725CF" w14:textId="60AFFF4A" w:rsidR="00196D23" w:rsidRDefault="00196D23" w:rsidP="000E63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0B45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RAZLOZI ZA DONOŠENJE ZAKONA PO HITNOM POSTUPKU</w:t>
      </w:r>
    </w:p>
    <w:p w14:paraId="25426984" w14:textId="77777777" w:rsidR="00196D23" w:rsidRDefault="00196D23" w:rsidP="000E6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1D3C3" w14:textId="50523741" w:rsidR="00D27987" w:rsidRPr="00507127" w:rsidRDefault="00D27987" w:rsidP="002206E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71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skladu s člankom 204. Poslovnika Hrvatskoga sabora </w:t>
      </w:r>
      <w:r w:rsidR="00F143C8" w:rsidRPr="00507127">
        <w:rPr>
          <w:rFonts w:ascii="Times New Roman" w:hAnsi="Times New Roman" w:cs="Times New Roman"/>
          <w:sz w:val="24"/>
          <w:szCs w:val="24"/>
          <w:shd w:val="clear" w:color="auto" w:fill="FFFFFF"/>
        </w:rPr>
        <w:t>(„Narodne novine“, br. 81/13., 113/16., 69/17., 29/18., 53/20., 119/20. - Odluka Ustavnog suda Republike Hrvatske, 123/20. i 86/23</w:t>
      </w:r>
      <w:r w:rsidR="007021D2" w:rsidRPr="0050712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143C8" w:rsidRPr="005071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Odluka Ustavnoga suda Republike Hrvatske)</w:t>
      </w:r>
      <w:r w:rsidRPr="005071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predlaže se donošenje ovoga Zakona po hitnom postupku, radi ažurne provedbe Nacionalnog plana zamjene hrvatske kune eurom, kako bi Republika Hrvatska, kao dio ekonomske i monetarne unije čija je valuta euro, s tim uskladila svoje zakonske i </w:t>
      </w:r>
      <w:proofErr w:type="spellStart"/>
      <w:r w:rsidRPr="00507127">
        <w:rPr>
          <w:rFonts w:ascii="Times New Roman" w:hAnsi="Times New Roman" w:cs="Times New Roman"/>
          <w:sz w:val="24"/>
          <w:szCs w:val="24"/>
          <w:shd w:val="clear" w:color="auto" w:fill="FFFFFF"/>
        </w:rPr>
        <w:t>podzakonske</w:t>
      </w:r>
      <w:proofErr w:type="spellEnd"/>
      <w:r w:rsidRPr="005071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propise.</w:t>
      </w:r>
    </w:p>
    <w:p w14:paraId="640C8B98" w14:textId="10EFD119" w:rsidR="00B675FA" w:rsidRDefault="00B675FA" w:rsidP="00D27987">
      <w:pPr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5B3571FD" w14:textId="526CC6F3" w:rsidR="00B675FA" w:rsidRDefault="00B675FA" w:rsidP="00D27987">
      <w:pPr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2193A82" w14:textId="77777777" w:rsidR="00B675FA" w:rsidRDefault="00B675FA" w:rsidP="00D27987">
      <w:pPr>
        <w:ind w:firstLine="70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754D1E58" w14:textId="19C97689" w:rsidR="00C52F3A" w:rsidRPr="00196D23" w:rsidRDefault="00D3388F" w:rsidP="00C52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KONAČNI </w:t>
      </w:r>
      <w:r w:rsidR="00C52F3A" w:rsidRPr="00196D23">
        <w:rPr>
          <w:rFonts w:ascii="Times New Roman" w:hAnsi="Times New Roman" w:cs="Times New Roman"/>
          <w:b/>
          <w:sz w:val="24"/>
          <w:szCs w:val="24"/>
        </w:rPr>
        <w:t xml:space="preserve">PRIJEDLOG ZAKONA O </w:t>
      </w:r>
      <w:r w:rsidR="00807E49" w:rsidRPr="00196D23">
        <w:rPr>
          <w:rFonts w:ascii="Times New Roman" w:hAnsi="Times New Roman" w:cs="Times New Roman"/>
          <w:b/>
          <w:sz w:val="24"/>
          <w:szCs w:val="24"/>
        </w:rPr>
        <w:t>IZMJEN</w:t>
      </w:r>
      <w:r w:rsidR="00807E49">
        <w:rPr>
          <w:rFonts w:ascii="Times New Roman" w:hAnsi="Times New Roman" w:cs="Times New Roman"/>
          <w:b/>
          <w:sz w:val="24"/>
          <w:szCs w:val="24"/>
        </w:rPr>
        <w:t>I</w:t>
      </w:r>
      <w:r w:rsidR="00807E49" w:rsidRPr="00196D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F3A">
        <w:rPr>
          <w:rFonts w:ascii="Times New Roman" w:hAnsi="Times New Roman" w:cs="Times New Roman"/>
          <w:b/>
          <w:sz w:val="24"/>
          <w:szCs w:val="24"/>
        </w:rPr>
        <w:t xml:space="preserve">I DOPUNI </w:t>
      </w:r>
      <w:r w:rsidR="00C52F3A" w:rsidRPr="00196D23">
        <w:rPr>
          <w:rFonts w:ascii="Times New Roman" w:hAnsi="Times New Roman" w:cs="Times New Roman"/>
          <w:b/>
          <w:sz w:val="24"/>
          <w:szCs w:val="24"/>
        </w:rPr>
        <w:t xml:space="preserve">ZAKONA O PROVEDBI UREDBE (EU) </w:t>
      </w:r>
      <w:r w:rsidR="00C52F3A">
        <w:rPr>
          <w:rFonts w:ascii="Times New Roman" w:hAnsi="Times New Roman" w:cs="Times New Roman"/>
          <w:b/>
          <w:sz w:val="24"/>
          <w:szCs w:val="24"/>
        </w:rPr>
        <w:t>2015/2365 O TRANSPARENTNOSTI TRANSAKCIJA FINANCIRANJA VRIJEDN</w:t>
      </w:r>
      <w:r>
        <w:rPr>
          <w:rFonts w:ascii="Times New Roman" w:hAnsi="Times New Roman" w:cs="Times New Roman"/>
          <w:b/>
          <w:sz w:val="24"/>
          <w:szCs w:val="24"/>
        </w:rPr>
        <w:t>OSNIH PAPIRA I PONOVNE UPORABE</w:t>
      </w:r>
    </w:p>
    <w:p w14:paraId="26A8E7D5" w14:textId="77777777" w:rsidR="005A08B6" w:rsidRDefault="005A08B6" w:rsidP="000E63E3">
      <w:pPr>
        <w:spacing w:line="240" w:lineRule="auto"/>
      </w:pPr>
    </w:p>
    <w:p w14:paraId="38D2A5A7" w14:textId="77777777" w:rsidR="000100FB" w:rsidRPr="004F5665" w:rsidRDefault="000100FB" w:rsidP="000E6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F56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1.</w:t>
      </w:r>
    </w:p>
    <w:p w14:paraId="0429D841" w14:textId="77777777" w:rsidR="000100FB" w:rsidRPr="004F5665" w:rsidRDefault="000100FB" w:rsidP="000E6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459EE42" w14:textId="554D4E5C" w:rsidR="006F600C" w:rsidRDefault="000100FB" w:rsidP="000E6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60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Zakonu </w:t>
      </w:r>
      <w:r w:rsidR="003C6BED">
        <w:rPr>
          <w:rFonts w:ascii="Times New Roman" w:hAnsi="Times New Roman" w:cs="Times New Roman"/>
          <w:sz w:val="24"/>
          <w:szCs w:val="24"/>
        </w:rPr>
        <w:t>o provedbi U</w:t>
      </w:r>
      <w:r w:rsidRPr="006F600C">
        <w:rPr>
          <w:rFonts w:ascii="Times New Roman" w:hAnsi="Times New Roman" w:cs="Times New Roman"/>
          <w:sz w:val="24"/>
          <w:szCs w:val="24"/>
        </w:rPr>
        <w:t xml:space="preserve">redbe (EU) </w:t>
      </w:r>
      <w:r w:rsidR="00F11190" w:rsidRPr="00F11190">
        <w:rPr>
          <w:rFonts w:ascii="Times New Roman" w:hAnsi="Times New Roman" w:cs="Times New Roman"/>
          <w:sz w:val="24"/>
          <w:szCs w:val="24"/>
        </w:rPr>
        <w:t>2015/2365 o transparentnosti transakcija financiranja vrijednosnih papira i ponovne uporabe</w:t>
      </w:r>
      <w:r w:rsidR="00F11190">
        <w:rPr>
          <w:rFonts w:ascii="Times New Roman" w:hAnsi="Times New Roman" w:cs="Times New Roman"/>
          <w:sz w:val="24"/>
          <w:szCs w:val="24"/>
        </w:rPr>
        <w:t xml:space="preserve"> </w:t>
      </w:r>
      <w:r w:rsidRPr="006F60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(„Narodne novine“, </w:t>
      </w:r>
      <w:r w:rsidRPr="006F600C">
        <w:rPr>
          <w:rFonts w:ascii="Times New Roman" w:eastAsia="Calibri" w:hAnsi="Times New Roman" w:cs="Times New Roman"/>
          <w:sz w:val="24"/>
          <w:szCs w:val="24"/>
        </w:rPr>
        <w:t>br</w:t>
      </w:r>
      <w:r w:rsidR="00BD55C5">
        <w:rPr>
          <w:rFonts w:ascii="Times New Roman" w:eastAsia="Calibri" w:hAnsi="Times New Roman" w:cs="Times New Roman"/>
          <w:sz w:val="24"/>
          <w:szCs w:val="24"/>
        </w:rPr>
        <w:t>oj</w:t>
      </w:r>
      <w:r w:rsidRPr="006F60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11190">
        <w:rPr>
          <w:rFonts w:ascii="Times New Roman" w:eastAsia="Times New Roman" w:hAnsi="Times New Roman" w:cs="Times New Roman"/>
          <w:sz w:val="24"/>
          <w:szCs w:val="24"/>
          <w:lang w:eastAsia="hr-HR"/>
        </w:rPr>
        <w:t>12/18</w:t>
      </w:r>
      <w:r w:rsidRPr="006F600C">
        <w:rPr>
          <w:rFonts w:ascii="Times New Roman" w:eastAsia="Calibri" w:hAnsi="Times New Roman" w:cs="Times New Roman"/>
          <w:sz w:val="24"/>
          <w:szCs w:val="24"/>
        </w:rPr>
        <w:t>),</w:t>
      </w:r>
      <w:r w:rsidRPr="006F60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članku </w:t>
      </w:r>
      <w:r w:rsidR="006F600C" w:rsidRPr="006F600C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11190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F409DF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stavku</w:t>
      </w:r>
      <w:r w:rsidRPr="006F60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11190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F409DF">
        <w:rPr>
          <w:rFonts w:ascii="Times New Roman" w:eastAsia="Times New Roman" w:hAnsi="Times New Roman" w:cs="Times New Roman"/>
          <w:sz w:val="24"/>
          <w:szCs w:val="24"/>
          <w:lang w:eastAsia="hr-HR"/>
        </w:rPr>
        <w:t>. riječi</w:t>
      </w:r>
      <w:r w:rsidRPr="006F60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6F600C" w:rsidRPr="006F600C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6F600C" w:rsidRPr="006F6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100.000,00 </w:t>
      </w:r>
      <w:r w:rsidR="003143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kuna </w:t>
      </w:r>
      <w:r w:rsidR="006F600C" w:rsidRPr="006F600C">
        <w:rPr>
          <w:rFonts w:ascii="Times New Roman" w:hAnsi="Times New Roman" w:cs="Times New Roman"/>
          <w:sz w:val="24"/>
          <w:szCs w:val="24"/>
          <w:shd w:val="clear" w:color="auto" w:fill="FFFFFF"/>
        </w:rPr>
        <w:t>do 40.000.000,00 kun</w:t>
      </w:r>
      <w:r w:rsidR="00F11190">
        <w:rPr>
          <w:rFonts w:ascii="Times New Roman" w:hAnsi="Times New Roman" w:cs="Times New Roman"/>
          <w:sz w:val="24"/>
          <w:szCs w:val="24"/>
          <w:shd w:val="clear" w:color="auto" w:fill="FFFFFF"/>
        </w:rPr>
        <w:t>a“ zamjenjuju se riječima: „</w:t>
      </w:r>
      <w:r w:rsidR="00FB0E7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187002">
        <w:rPr>
          <w:rFonts w:ascii="Times New Roman" w:hAnsi="Times New Roman" w:cs="Times New Roman"/>
          <w:sz w:val="24"/>
          <w:szCs w:val="24"/>
          <w:shd w:val="clear" w:color="auto" w:fill="FFFFFF"/>
        </w:rPr>
        <w:t>600</w:t>
      </w:r>
      <w:r w:rsidR="006F600C" w:rsidRPr="006F600C">
        <w:rPr>
          <w:rFonts w:ascii="Times New Roman" w:hAnsi="Times New Roman" w:cs="Times New Roman"/>
          <w:sz w:val="24"/>
          <w:szCs w:val="24"/>
          <w:shd w:val="clear" w:color="auto" w:fill="FFFFFF"/>
        </w:rPr>
        <w:t>,00 do 5</w:t>
      </w:r>
      <w:r w:rsidR="00164F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B0E7F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r w:rsidR="004B542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B0E7F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r w:rsidR="006F600C" w:rsidRPr="006F600C">
        <w:rPr>
          <w:rFonts w:ascii="Times New Roman" w:hAnsi="Times New Roman" w:cs="Times New Roman"/>
          <w:sz w:val="24"/>
          <w:szCs w:val="24"/>
          <w:shd w:val="clear" w:color="auto" w:fill="FFFFFF"/>
        </w:rPr>
        <w:t>,00 eura“</w:t>
      </w:r>
      <w:r w:rsidR="00164F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00D068F" w14:textId="0075D33A" w:rsidR="00D27987" w:rsidRDefault="00D27987" w:rsidP="00F409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34FF8F" w14:textId="3A020D4A" w:rsidR="00D27987" w:rsidRDefault="00D27987" w:rsidP="00F409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stavku 4. iza riječi: „fizička osoba“ dodaju se riječi: „s poslovnim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nastanom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 Uniji ili trećoj zemlji</w:t>
      </w:r>
      <w:r w:rsidRPr="0057784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86F65">
        <w:rPr>
          <w:rFonts w:ascii="Times New Roman" w:hAnsi="Times New Roman" w:cs="Times New Roman"/>
          <w:sz w:val="24"/>
          <w:szCs w:val="24"/>
          <w:shd w:val="clear" w:color="auto" w:fill="FFFFFF"/>
        </w:rPr>
        <w:t>“, a 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iječi: „100.000,00 </w:t>
      </w:r>
      <w:r w:rsidR="002B61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ni veća od 40.000.000,00 kuna“ zamjenjuju se riječima:</w:t>
      </w:r>
      <w:r w:rsidR="006939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080A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6600,00 ni veća od 5.000.000,00 eura“. </w:t>
      </w:r>
    </w:p>
    <w:p w14:paraId="43F7ABD8" w14:textId="77777777" w:rsidR="00164F95" w:rsidRDefault="00164F95" w:rsidP="000E6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884627" w14:textId="77777777" w:rsidR="00016DDE" w:rsidRDefault="00016DDE" w:rsidP="000E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16D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Završna odredba</w:t>
      </w:r>
    </w:p>
    <w:p w14:paraId="79F800FC" w14:textId="77777777" w:rsidR="00016DDE" w:rsidRDefault="000E63E3" w:rsidP="000E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Članak 2</w:t>
      </w:r>
      <w:r w:rsidR="00016DD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14:paraId="3A4AB3F1" w14:textId="77777777" w:rsidR="00016DDE" w:rsidRDefault="00016DDE" w:rsidP="000E63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EE5E9B5" w14:textId="77777777" w:rsidR="00FA6625" w:rsidRPr="00FA6625" w:rsidRDefault="00FA6625" w:rsidP="000E6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66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Ovaj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Zakon stupa na snagu osmoga dana od dana objave u „Narodnim novinama“.</w:t>
      </w:r>
    </w:p>
    <w:p w14:paraId="3543B7B2" w14:textId="77777777" w:rsidR="00016DDE" w:rsidRPr="00016DDE" w:rsidRDefault="00016DDE" w:rsidP="000E6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EAF392" w14:textId="4D3645C9" w:rsidR="000A18CA" w:rsidRDefault="000A18CA" w:rsidP="000E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202090" w14:textId="4187FF81" w:rsidR="00C261CA" w:rsidRDefault="00C261CA" w:rsidP="000E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61D587" w14:textId="39D404C4" w:rsidR="00C261CA" w:rsidRDefault="00C261CA" w:rsidP="000E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C7978B" w14:textId="47F336B9" w:rsidR="00C261CA" w:rsidRDefault="00C261CA" w:rsidP="000E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87262E" w14:textId="2CBD0F5C" w:rsidR="00C261CA" w:rsidRDefault="00C261CA" w:rsidP="000E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031103" w14:textId="33ABE8BF" w:rsidR="00C261CA" w:rsidRDefault="00C261CA" w:rsidP="000E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0CA400" w14:textId="3C648417" w:rsidR="00C261CA" w:rsidRDefault="00C261CA" w:rsidP="000E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2C3E78" w14:textId="1DCAE9F5" w:rsidR="00C261CA" w:rsidRDefault="00C261CA" w:rsidP="000E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C7E0D4F" w14:textId="01FDDFB9" w:rsidR="00C261CA" w:rsidRDefault="00C261CA" w:rsidP="000E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37C736F" w14:textId="2AF3FB77" w:rsidR="00C261CA" w:rsidRDefault="00C261CA" w:rsidP="000E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02C69D" w14:textId="33202481" w:rsidR="00C261CA" w:rsidRDefault="00C261CA" w:rsidP="000E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325263A" w14:textId="7539EF84" w:rsidR="00C261CA" w:rsidRDefault="00C261CA" w:rsidP="000E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AA69C5B" w14:textId="34F6F1D0" w:rsidR="00C261CA" w:rsidRDefault="00C261CA" w:rsidP="000E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0A77A0E" w14:textId="70A4BB9F" w:rsidR="00C261CA" w:rsidRDefault="00C261CA" w:rsidP="000E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BEACDB" w14:textId="285EF411" w:rsidR="00C261CA" w:rsidRDefault="00C261CA" w:rsidP="000E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C5FF86" w14:textId="01D82679" w:rsidR="00C261CA" w:rsidRDefault="00C261CA" w:rsidP="000E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48B44A" w14:textId="5D53D481" w:rsidR="00C261CA" w:rsidRDefault="00C261CA" w:rsidP="000E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0C534B" w14:textId="77777777" w:rsidR="00082B79" w:rsidRDefault="00082B79" w:rsidP="000E63E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01322F5" w14:textId="38BBBCF4" w:rsidR="00386F65" w:rsidRDefault="00386F65" w:rsidP="000E6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C559EDC" w14:textId="509D3CAE" w:rsidR="00FA6625" w:rsidRDefault="00FA6625" w:rsidP="009231B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F56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OBRAZLOŽENJE</w:t>
      </w:r>
    </w:p>
    <w:p w14:paraId="2BBC40E7" w14:textId="77777777" w:rsidR="00FA6625" w:rsidRDefault="00FA6625" w:rsidP="000E6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012B5CE" w14:textId="77777777" w:rsidR="00FA6625" w:rsidRDefault="00FA6625" w:rsidP="000E6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Uz član</w:t>
      </w:r>
      <w:r w:rsidR="000E63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k 1. </w:t>
      </w:r>
    </w:p>
    <w:p w14:paraId="18D5A283" w14:textId="77777777" w:rsidR="00FA6625" w:rsidRDefault="00FA6625" w:rsidP="000E6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B584406" w14:textId="198D9EFB" w:rsidR="003C06DE" w:rsidRDefault="00BD55C5" w:rsidP="00B67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Propisani novčani iznosi u kunama važećeg Zakona preračunavaju se u iznose u eurima u skladu s pravilima preračunavanja prema Zakonu o </w:t>
      </w:r>
      <w:r w:rsidR="00BB36B6">
        <w:rPr>
          <w:rFonts w:ascii="Times New Roman" w:hAnsi="Times New Roman" w:cs="Times New Roman"/>
          <w:sz w:val="24"/>
          <w:szCs w:val="24"/>
        </w:rPr>
        <w:t xml:space="preserve">uvođenju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BB36B6">
        <w:rPr>
          <w:rFonts w:ascii="Times New Roman" w:hAnsi="Times New Roman" w:cs="Times New Roman"/>
          <w:sz w:val="24"/>
          <w:szCs w:val="24"/>
        </w:rPr>
        <w:t xml:space="preserve">a </w:t>
      </w:r>
      <w:r w:rsidR="00BB36B6" w:rsidRPr="00C45E61">
        <w:rPr>
          <w:rFonts w:ascii="Times New Roman" w:hAnsi="Times New Roman" w:cs="Times New Roman"/>
          <w:sz w:val="24"/>
          <w:szCs w:val="24"/>
        </w:rPr>
        <w:t>kao službene valute u Republici Hrvatskoj</w:t>
      </w:r>
      <w:r>
        <w:rPr>
          <w:rFonts w:ascii="Times New Roman" w:hAnsi="Times New Roman" w:cs="Times New Roman"/>
          <w:sz w:val="24"/>
          <w:szCs w:val="24"/>
        </w:rPr>
        <w:t xml:space="preserve"> („Narodne novine“, br. 57/22. i 88/22. – ispravak)</w:t>
      </w:r>
      <w:r w:rsidR="00FF2D3B">
        <w:rPr>
          <w:rFonts w:ascii="Times New Roman" w:hAnsi="Times New Roman" w:cs="Times New Roman"/>
          <w:sz w:val="24"/>
          <w:szCs w:val="24"/>
        </w:rPr>
        <w:t xml:space="preserve"> te se usklađuju s iznosima u eurima kako je propisano </w:t>
      </w:r>
      <w:r w:rsidR="008652E4" w:rsidRPr="008652E4">
        <w:rPr>
          <w:rFonts w:ascii="Times New Roman" w:hAnsi="Times New Roman" w:cs="Times New Roman"/>
          <w:sz w:val="24"/>
          <w:szCs w:val="24"/>
        </w:rPr>
        <w:t>Uredbom (EU) 2015/2365 Europskog parlamenta i Vijeća od 25. studenoga 2015. o transparentnosti transakcija financiranja vrijednosnih papira i ponovne uporabe te o izmjeni Uredbe (EU) br. 648/2012 (Tekst značajan za EGP) (SL L 337, 23. 12. 2015.)</w:t>
      </w:r>
      <w:r w:rsidRPr="00386F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9DD3F2" w14:textId="4F23D6A2" w:rsidR="00B675FA" w:rsidRDefault="00B675FA" w:rsidP="00B67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dodatne analize iznosa prekršajnih sankcija, predlaže se </w:t>
      </w:r>
      <w:r w:rsidRPr="00DD517B">
        <w:rPr>
          <w:rFonts w:ascii="Times New Roman" w:hAnsi="Times New Roman" w:cs="Times New Roman"/>
          <w:sz w:val="24"/>
          <w:szCs w:val="24"/>
        </w:rPr>
        <w:t xml:space="preserve">smanjiti donje pragove </w:t>
      </w:r>
      <w:r>
        <w:rPr>
          <w:rFonts w:ascii="Times New Roman" w:hAnsi="Times New Roman" w:cs="Times New Roman"/>
          <w:sz w:val="24"/>
          <w:szCs w:val="24"/>
        </w:rPr>
        <w:t>propisanih</w:t>
      </w:r>
      <w:r w:rsidRPr="00DD517B">
        <w:rPr>
          <w:rFonts w:ascii="Times New Roman" w:hAnsi="Times New Roman" w:cs="Times New Roman"/>
          <w:sz w:val="24"/>
          <w:szCs w:val="24"/>
        </w:rPr>
        <w:t xml:space="preserve"> sankcija, kako bi bile primjerenije hrvatskom tržištu kapitala i njegovim sudionicima. </w:t>
      </w:r>
      <w:r w:rsidR="000A346C">
        <w:rPr>
          <w:rFonts w:ascii="Times New Roman" w:hAnsi="Times New Roman" w:cs="Times New Roman"/>
          <w:sz w:val="24"/>
          <w:szCs w:val="24"/>
        </w:rPr>
        <w:t>Prekršajne odredbe u iznosu od 100.000,00 kuna, odnosno 13.000,00 eura</w:t>
      </w:r>
      <w:r w:rsidR="00464111">
        <w:rPr>
          <w:rFonts w:ascii="Times New Roman" w:hAnsi="Times New Roman" w:cs="Times New Roman"/>
          <w:sz w:val="24"/>
          <w:szCs w:val="24"/>
        </w:rPr>
        <w:t xml:space="preserve"> smanjuju se na iznos od 6</w:t>
      </w:r>
      <w:r w:rsidR="000A346C">
        <w:rPr>
          <w:rFonts w:ascii="Times New Roman" w:hAnsi="Times New Roman" w:cs="Times New Roman"/>
          <w:sz w:val="24"/>
          <w:szCs w:val="24"/>
        </w:rPr>
        <w:t>60</w:t>
      </w:r>
      <w:r w:rsidR="00464111">
        <w:rPr>
          <w:rFonts w:ascii="Times New Roman" w:hAnsi="Times New Roman" w:cs="Times New Roman"/>
          <w:sz w:val="24"/>
          <w:szCs w:val="24"/>
        </w:rPr>
        <w:t>0,00 eura, dok se iznos od 40.000.000,00 kuna, odnosno 5.300.000,00 eura smanjuje na iznos od 5.000.000,00 eura.</w:t>
      </w:r>
    </w:p>
    <w:p w14:paraId="4B59E7F5" w14:textId="2CEDF4CC" w:rsidR="008652E4" w:rsidRPr="00DD517B" w:rsidRDefault="008652E4" w:rsidP="00B675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Također, pojašnjeno je da se prekršajna odredba u članku 18. stavku 4. važećeg Zakona odnosi na fizičku osobu s poslovnima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nastanom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r w:rsidR="00E13D15">
        <w:rPr>
          <w:rFonts w:ascii="Times New Roman" w:hAnsi="Times New Roman" w:cs="Times New Roman"/>
          <w:color w:val="000000"/>
          <w:sz w:val="24"/>
          <w:szCs w:val="24"/>
        </w:rPr>
        <w:t>Europskoj 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niji ili trećoj zemlji. </w:t>
      </w:r>
    </w:p>
    <w:p w14:paraId="588FFAC2" w14:textId="48F2D776" w:rsidR="00F2611A" w:rsidRPr="00BD55C5" w:rsidRDefault="00B675FA" w:rsidP="00BD55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5827E" w14:textId="77777777" w:rsidR="00FA6625" w:rsidRPr="00FA6625" w:rsidRDefault="00FA6625" w:rsidP="000E63E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66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Uz članak </w:t>
      </w:r>
      <w:r w:rsidR="000E63E3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FA662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B1BC00A" w14:textId="77777777" w:rsidR="00FA6625" w:rsidRDefault="00FA6625" w:rsidP="000E6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E7AD6BD" w14:textId="3FD4F7D2" w:rsidR="004C25C5" w:rsidRDefault="00464111" w:rsidP="004C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Propisuje se stupanje na snagu Zakona.</w:t>
      </w:r>
    </w:p>
    <w:p w14:paraId="1B8AD828" w14:textId="2CFFE578" w:rsidR="008E0E1B" w:rsidRDefault="008E0E1B" w:rsidP="004C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1301B6" w14:textId="644D051E" w:rsidR="008E0E1B" w:rsidRDefault="008E0E1B" w:rsidP="004C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CA38CB" w14:textId="47BB1577" w:rsidR="008E0E1B" w:rsidRDefault="008E0E1B" w:rsidP="004C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334FD8" w14:textId="470383E6" w:rsidR="008E0E1B" w:rsidRDefault="008E0E1B" w:rsidP="004C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E7E58B" w14:textId="49B005C9" w:rsidR="00464111" w:rsidRDefault="00464111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5A3585E6" w14:textId="785F12EF" w:rsidR="008E0E1B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Pr="004335A3">
        <w:rPr>
          <w:rFonts w:ascii="Times New Roman" w:hAnsi="Times New Roman" w:cs="Times New Roman"/>
          <w:b/>
          <w:sz w:val="24"/>
          <w:szCs w:val="24"/>
        </w:rPr>
        <w:t>EKST ODREDBI VAŽEĆEG ZAKONA KOJE SE M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4335A3">
        <w:rPr>
          <w:rFonts w:ascii="Times New Roman" w:hAnsi="Times New Roman" w:cs="Times New Roman"/>
          <w:b/>
          <w:sz w:val="24"/>
          <w:szCs w:val="24"/>
        </w:rPr>
        <w:t>JENJAJU</w:t>
      </w:r>
      <w:r w:rsidR="00464111">
        <w:rPr>
          <w:rFonts w:ascii="Times New Roman" w:hAnsi="Times New Roman" w:cs="Times New Roman"/>
          <w:b/>
          <w:sz w:val="24"/>
          <w:szCs w:val="24"/>
        </w:rPr>
        <w:t>, ODNOSNO DOPUNJUJU</w:t>
      </w:r>
    </w:p>
    <w:p w14:paraId="525E9D00" w14:textId="77777777" w:rsidR="008E0E1B" w:rsidRDefault="008E0E1B" w:rsidP="008E0E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B9D7AE" w14:textId="77777777" w:rsidR="008E0E1B" w:rsidRPr="00507127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127">
        <w:rPr>
          <w:rFonts w:ascii="Times New Roman" w:hAnsi="Times New Roman" w:cs="Times New Roman"/>
          <w:sz w:val="24"/>
          <w:szCs w:val="24"/>
        </w:rPr>
        <w:t>Prekršaji druge ugovorne strane</w:t>
      </w:r>
    </w:p>
    <w:p w14:paraId="7E93D70B" w14:textId="77777777" w:rsidR="008E0E1B" w:rsidRPr="00507127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ADC0FA" w14:textId="77777777" w:rsidR="008E0E1B" w:rsidRPr="00507127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127">
        <w:rPr>
          <w:rFonts w:ascii="Times New Roman" w:hAnsi="Times New Roman" w:cs="Times New Roman"/>
          <w:sz w:val="24"/>
          <w:szCs w:val="24"/>
        </w:rPr>
        <w:t>Članak 18.</w:t>
      </w:r>
    </w:p>
    <w:p w14:paraId="0CD0F397" w14:textId="77777777" w:rsidR="008E0E1B" w:rsidRPr="000E63E3" w:rsidRDefault="008E0E1B" w:rsidP="008E0E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DA73F" w14:textId="77777777" w:rsidR="008E0E1B" w:rsidRPr="000E63E3" w:rsidRDefault="008E0E1B" w:rsidP="008E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(1) Za prekršaj kaznit će se pravna osoba - druga ugovorna strana novčanom kaznom u iznosu koji je višekratnik broja 1000, a koja ne može biti manja od 1 % ni veća od 10 % ukupnog prihoda ostvarenog u godini kada je počinjen prekršaj, utvrđenog financijskim izvještajima za tu godinu ako:</w:t>
      </w:r>
    </w:p>
    <w:p w14:paraId="57A5E8FD" w14:textId="77777777" w:rsidR="008E0E1B" w:rsidRPr="000E63E3" w:rsidRDefault="008E0E1B" w:rsidP="008E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 xml:space="preserve">1. ponovo upotrebljava financijske instrumente koje je primila kao </w:t>
      </w:r>
      <w:proofErr w:type="spellStart"/>
      <w:r w:rsidRPr="000E63E3">
        <w:rPr>
          <w:rFonts w:ascii="Times New Roman" w:hAnsi="Times New Roman" w:cs="Times New Roman"/>
          <w:sz w:val="24"/>
          <w:szCs w:val="24"/>
        </w:rPr>
        <w:t>kolateral</w:t>
      </w:r>
      <w:proofErr w:type="spellEnd"/>
      <w:r w:rsidRPr="000E63E3">
        <w:rPr>
          <w:rFonts w:ascii="Times New Roman" w:hAnsi="Times New Roman" w:cs="Times New Roman"/>
          <w:sz w:val="24"/>
          <w:szCs w:val="24"/>
        </w:rPr>
        <w:t xml:space="preserve">, a nije propisno u pisanom obliku drugu ugovornu stranu koja daje </w:t>
      </w:r>
      <w:proofErr w:type="spellStart"/>
      <w:r w:rsidRPr="000E63E3">
        <w:rPr>
          <w:rFonts w:ascii="Times New Roman" w:hAnsi="Times New Roman" w:cs="Times New Roman"/>
          <w:sz w:val="24"/>
          <w:szCs w:val="24"/>
        </w:rPr>
        <w:t>kolateral</w:t>
      </w:r>
      <w:proofErr w:type="spellEnd"/>
      <w:r w:rsidRPr="000E63E3">
        <w:rPr>
          <w:rFonts w:ascii="Times New Roman" w:hAnsi="Times New Roman" w:cs="Times New Roman"/>
          <w:sz w:val="24"/>
          <w:szCs w:val="24"/>
        </w:rPr>
        <w:t xml:space="preserve"> obavijestila o rizicima i posljedicama sukladno članku 15. stavku 1. točki a. Uredbe (EU) 2015/2365</w:t>
      </w:r>
    </w:p>
    <w:p w14:paraId="12E8083B" w14:textId="77777777" w:rsidR="008E0E1B" w:rsidRPr="000E63E3" w:rsidRDefault="008E0E1B" w:rsidP="008E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 xml:space="preserve">2. ponovo upotrebljava financijske instrumente koje je primila kao </w:t>
      </w:r>
      <w:proofErr w:type="spellStart"/>
      <w:r w:rsidRPr="000E63E3">
        <w:rPr>
          <w:rFonts w:ascii="Times New Roman" w:hAnsi="Times New Roman" w:cs="Times New Roman"/>
          <w:sz w:val="24"/>
          <w:szCs w:val="24"/>
        </w:rPr>
        <w:t>kolateral</w:t>
      </w:r>
      <w:proofErr w:type="spellEnd"/>
      <w:r w:rsidRPr="000E63E3">
        <w:rPr>
          <w:rFonts w:ascii="Times New Roman" w:hAnsi="Times New Roman" w:cs="Times New Roman"/>
          <w:sz w:val="24"/>
          <w:szCs w:val="24"/>
        </w:rPr>
        <w:t xml:space="preserve">, bez prethodne izričite suglasnosti druge ugovorne strane koja daje </w:t>
      </w:r>
      <w:proofErr w:type="spellStart"/>
      <w:r w:rsidRPr="000E63E3">
        <w:rPr>
          <w:rFonts w:ascii="Times New Roman" w:hAnsi="Times New Roman" w:cs="Times New Roman"/>
          <w:sz w:val="24"/>
          <w:szCs w:val="24"/>
        </w:rPr>
        <w:t>kolateral</w:t>
      </w:r>
      <w:proofErr w:type="spellEnd"/>
      <w:r w:rsidRPr="000E63E3">
        <w:rPr>
          <w:rFonts w:ascii="Times New Roman" w:hAnsi="Times New Roman" w:cs="Times New Roman"/>
          <w:sz w:val="24"/>
          <w:szCs w:val="24"/>
        </w:rPr>
        <w:t xml:space="preserve"> sukladno članku 15. stavku 1. točki b. Uredbe (EU) 2015/2365</w:t>
      </w:r>
    </w:p>
    <w:p w14:paraId="6A907C7F" w14:textId="77777777" w:rsidR="008E0E1B" w:rsidRPr="000E63E3" w:rsidRDefault="008E0E1B" w:rsidP="008E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 xml:space="preserve">3. ponovo upotrebljava financijske instrumente koje je primila kao </w:t>
      </w:r>
      <w:proofErr w:type="spellStart"/>
      <w:r w:rsidRPr="000E63E3">
        <w:rPr>
          <w:rFonts w:ascii="Times New Roman" w:hAnsi="Times New Roman" w:cs="Times New Roman"/>
          <w:sz w:val="24"/>
          <w:szCs w:val="24"/>
        </w:rPr>
        <w:t>kolateral</w:t>
      </w:r>
      <w:proofErr w:type="spellEnd"/>
      <w:r w:rsidRPr="000E63E3">
        <w:rPr>
          <w:rFonts w:ascii="Times New Roman" w:hAnsi="Times New Roman" w:cs="Times New Roman"/>
          <w:sz w:val="24"/>
          <w:szCs w:val="24"/>
        </w:rPr>
        <w:t xml:space="preserve"> suprotno ugovoru o kolateralu iz članka 15. stavka 1. točke b. Uredbe (EU) 2015/2365, što predstavlja postupanje suprotno odredbi članka 15. stavka 2. točke a. Uredbe (EU) 2015/2365</w:t>
      </w:r>
    </w:p>
    <w:p w14:paraId="440515C3" w14:textId="77777777" w:rsidR="008E0E1B" w:rsidRPr="000E63E3" w:rsidRDefault="008E0E1B" w:rsidP="008E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4. ne dostavlja trgovinskom repozitoriju propisane pojedinosti o sklopljenoj transakciji financiranja vrijednosnih papira, kao i svaku izmjenu i prekid takve transakcije u roku određenom u članku 4. stavku 1. Uredbe (EU) 2015/2365</w:t>
      </w:r>
    </w:p>
    <w:p w14:paraId="1220BCD3" w14:textId="77777777" w:rsidR="008E0E1B" w:rsidRPr="000E63E3" w:rsidRDefault="008E0E1B" w:rsidP="008E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5. financijska druga ugovorna strana sustavno ne izvještava trgovinski repozitorij u ime nefinancijske druge ugovorne strane sukladno članku 4. stavku 3. Uredbe (EU) 2015/2365</w:t>
      </w:r>
    </w:p>
    <w:p w14:paraId="0CF89C1C" w14:textId="77777777" w:rsidR="008E0E1B" w:rsidRPr="000E63E3" w:rsidRDefault="008E0E1B" w:rsidP="008E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6. ne čuva propisane pojedinosti o sklopljenim, izmijenjenim ili prekinutim transakcijama financiranja vrijednosnih papira u roku propisanom člankom 4. stavkom 4. Uredbe (EU) 2015/2365</w:t>
      </w:r>
    </w:p>
    <w:p w14:paraId="38898D27" w14:textId="77777777" w:rsidR="008E0E1B" w:rsidRPr="000E63E3" w:rsidRDefault="008E0E1B" w:rsidP="008E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7. ne osigura ESMA-i dostavu propisanih pojedinosti o transakcijama financiranja vrijednosnih papira koje je sklopila, u slučaju da trgovinski repozitorij nije dostupan evidentirati te pojedinosti sukladno članku 4. stavku 5. Uredbe (EU) 2015/2365</w:t>
      </w:r>
    </w:p>
    <w:p w14:paraId="0FF8E6BD" w14:textId="77777777" w:rsidR="008E0E1B" w:rsidRPr="000E63E3" w:rsidRDefault="008E0E1B" w:rsidP="008E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 xml:space="preserve">8. su financijski instrumenti koje primi u okviru ugovora o kolateralu preneseni na bilo koji drugi način, a ne s računa druge ugovorne strane koja daje </w:t>
      </w:r>
      <w:proofErr w:type="spellStart"/>
      <w:r w:rsidRPr="000E63E3">
        <w:rPr>
          <w:rFonts w:ascii="Times New Roman" w:hAnsi="Times New Roman" w:cs="Times New Roman"/>
          <w:sz w:val="24"/>
          <w:szCs w:val="24"/>
        </w:rPr>
        <w:t>kolateral</w:t>
      </w:r>
      <w:proofErr w:type="spellEnd"/>
      <w:r w:rsidRPr="000E63E3">
        <w:rPr>
          <w:rFonts w:ascii="Times New Roman" w:hAnsi="Times New Roman" w:cs="Times New Roman"/>
          <w:sz w:val="24"/>
          <w:szCs w:val="24"/>
        </w:rPr>
        <w:t>, što predstavlja postupanje suprotno odredbi članka 15. stavka 2. točke b. Uredbe (EU) 2015/2365</w:t>
      </w:r>
    </w:p>
    <w:p w14:paraId="5AB8A4C5" w14:textId="77777777" w:rsidR="008E0E1B" w:rsidRPr="000E63E3" w:rsidRDefault="008E0E1B" w:rsidP="008E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9. ne postupi u skladu s rješenjem o nadzornim mjerama Agencije, izrečenim sukladno odredbama članka 12. ovoga Zakona</w:t>
      </w:r>
    </w:p>
    <w:p w14:paraId="7895F7AC" w14:textId="77777777" w:rsidR="008E0E1B" w:rsidRPr="000E63E3" w:rsidRDefault="008E0E1B" w:rsidP="008E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10. ne postupi u skladu s rješenjem o nadzornim mjerama HNB-a, izrečenim sukladno odredbama članka 13. ovoga Zakona.</w:t>
      </w:r>
    </w:p>
    <w:p w14:paraId="2C4B8715" w14:textId="77777777" w:rsidR="008E0E1B" w:rsidRPr="000E63E3" w:rsidRDefault="008E0E1B" w:rsidP="008E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(2) Iznimno od stavka 1. ovoga članka, u slučaju da je druga ugovorna strana prekršajem iz stavka 1. ovoga članka ostvarila korist ili spriječila gubitak, a iznos tako ostvarene koristi ili spriječenog gubitka je moguće utvrditi, ona će se kazniti za prekršaj novčanom kaznom u iznosu trostruko utvrđenog iznosa tako ostvarene koristi, odnosno tako spriječenog gubitka, ako je taj iznos veći od propisanog najvećeg iznosa novčane kazne iz stavaka 1. ovoga članka.</w:t>
      </w:r>
    </w:p>
    <w:p w14:paraId="688A055F" w14:textId="77777777" w:rsidR="008E0E1B" w:rsidRPr="000E63E3" w:rsidRDefault="008E0E1B" w:rsidP="008E0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(3) Za prekršaje iz stavka 1. ovoga članka kaznit će se i odgovorna osoba druge ugovorne strane novčanom kaznom u iznosu od 100.000,00 kuna do 40.000.000,00 kuna.</w:t>
      </w:r>
    </w:p>
    <w:p w14:paraId="04BE2C12" w14:textId="12F27BA9" w:rsidR="00C96DC9" w:rsidRDefault="008E0E1B" w:rsidP="000E63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3E3">
        <w:rPr>
          <w:rFonts w:ascii="Times New Roman" w:hAnsi="Times New Roman" w:cs="Times New Roman"/>
          <w:sz w:val="24"/>
          <w:szCs w:val="24"/>
        </w:rPr>
        <w:t>(4) Za prekršaje iz stavka 1. ovoga članka, ako je druga ugovorna strana fizička osoba, kaznit će se počinitelj prekršaja novčanom kaznom u iznosu koji je višekratnik broja 1000, a koja ne može biti manja od 100.000,00 kuna ni veća od 40.000.000,00 kuna.</w:t>
      </w:r>
    </w:p>
    <w:sectPr w:rsidR="00C96DC9" w:rsidSect="00C96DC9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4E4C2" w14:textId="77777777" w:rsidR="001B7956" w:rsidRDefault="001B7956" w:rsidP="00C96DC9">
      <w:pPr>
        <w:spacing w:after="0" w:line="240" w:lineRule="auto"/>
      </w:pPr>
      <w:r>
        <w:separator/>
      </w:r>
    </w:p>
  </w:endnote>
  <w:endnote w:type="continuationSeparator" w:id="0">
    <w:p w14:paraId="0A03D721" w14:textId="77777777" w:rsidR="001B7956" w:rsidRDefault="001B7956" w:rsidP="00C9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683352"/>
      <w:docPartObj>
        <w:docPartGallery w:val="Page Numbers (Bottom of Page)"/>
        <w:docPartUnique/>
      </w:docPartObj>
    </w:sdtPr>
    <w:sdtEndPr/>
    <w:sdtContent>
      <w:p w14:paraId="72EC3559" w14:textId="6F21D0B3" w:rsidR="00C96DC9" w:rsidRDefault="00C96DC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798">
          <w:rPr>
            <w:noProof/>
          </w:rPr>
          <w:t>5</w:t>
        </w:r>
        <w:r>
          <w:fldChar w:fldCharType="end"/>
        </w:r>
      </w:p>
    </w:sdtContent>
  </w:sdt>
  <w:p w14:paraId="6AC77CC8" w14:textId="77777777" w:rsidR="00C96DC9" w:rsidRDefault="00C96D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B2695" w14:textId="77777777" w:rsidR="001B7956" w:rsidRDefault="001B7956" w:rsidP="00C96DC9">
      <w:pPr>
        <w:spacing w:after="0" w:line="240" w:lineRule="auto"/>
      </w:pPr>
      <w:r>
        <w:separator/>
      </w:r>
    </w:p>
  </w:footnote>
  <w:footnote w:type="continuationSeparator" w:id="0">
    <w:p w14:paraId="0E53AC52" w14:textId="77777777" w:rsidR="001B7956" w:rsidRDefault="001B7956" w:rsidP="00C96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23"/>
    <w:rsid w:val="000100FB"/>
    <w:rsid w:val="00016DDE"/>
    <w:rsid w:val="00031605"/>
    <w:rsid w:val="0008171F"/>
    <w:rsid w:val="00082B79"/>
    <w:rsid w:val="00087B46"/>
    <w:rsid w:val="000A18CA"/>
    <w:rsid w:val="000A346C"/>
    <w:rsid w:val="000B4574"/>
    <w:rsid w:val="000B72CD"/>
    <w:rsid w:val="000C5E01"/>
    <w:rsid w:val="000D3D84"/>
    <w:rsid w:val="000E63E3"/>
    <w:rsid w:val="001166FF"/>
    <w:rsid w:val="00144CA0"/>
    <w:rsid w:val="00147ECE"/>
    <w:rsid w:val="00151EAD"/>
    <w:rsid w:val="00164F95"/>
    <w:rsid w:val="00187002"/>
    <w:rsid w:val="001872F2"/>
    <w:rsid w:val="00196D23"/>
    <w:rsid w:val="001A2B56"/>
    <w:rsid w:val="001B555B"/>
    <w:rsid w:val="001B7401"/>
    <w:rsid w:val="001B7956"/>
    <w:rsid w:val="001D168B"/>
    <w:rsid w:val="001D5896"/>
    <w:rsid w:val="001F62C1"/>
    <w:rsid w:val="002206E0"/>
    <w:rsid w:val="00222264"/>
    <w:rsid w:val="002421BA"/>
    <w:rsid w:val="002636B7"/>
    <w:rsid w:val="00264D8F"/>
    <w:rsid w:val="002734C8"/>
    <w:rsid w:val="002B61CE"/>
    <w:rsid w:val="002C403D"/>
    <w:rsid w:val="003143D4"/>
    <w:rsid w:val="00343ADD"/>
    <w:rsid w:val="00362270"/>
    <w:rsid w:val="00386F65"/>
    <w:rsid w:val="003A3FAB"/>
    <w:rsid w:val="003C06DE"/>
    <w:rsid w:val="003C6BED"/>
    <w:rsid w:val="00464111"/>
    <w:rsid w:val="004A42ED"/>
    <w:rsid w:val="004B5420"/>
    <w:rsid w:val="004C25C5"/>
    <w:rsid w:val="004D2F8C"/>
    <w:rsid w:val="005055D6"/>
    <w:rsid w:val="00507127"/>
    <w:rsid w:val="00577841"/>
    <w:rsid w:val="005A08B6"/>
    <w:rsid w:val="005D391D"/>
    <w:rsid w:val="00604075"/>
    <w:rsid w:val="00620AE7"/>
    <w:rsid w:val="00645B69"/>
    <w:rsid w:val="006939E1"/>
    <w:rsid w:val="006D7DF4"/>
    <w:rsid w:val="006F600C"/>
    <w:rsid w:val="007021D2"/>
    <w:rsid w:val="00707A65"/>
    <w:rsid w:val="00721B82"/>
    <w:rsid w:val="00807E49"/>
    <w:rsid w:val="00812F7E"/>
    <w:rsid w:val="008453BE"/>
    <w:rsid w:val="008652E4"/>
    <w:rsid w:val="0089309F"/>
    <w:rsid w:val="00895904"/>
    <w:rsid w:val="008A1A09"/>
    <w:rsid w:val="008E0E1B"/>
    <w:rsid w:val="009231B1"/>
    <w:rsid w:val="009474D8"/>
    <w:rsid w:val="00975A4E"/>
    <w:rsid w:val="009B3693"/>
    <w:rsid w:val="009B7D24"/>
    <w:rsid w:val="009C2BB7"/>
    <w:rsid w:val="009E3BEC"/>
    <w:rsid w:val="00A4338A"/>
    <w:rsid w:val="00AC7CDE"/>
    <w:rsid w:val="00AE47EE"/>
    <w:rsid w:val="00AE6AA7"/>
    <w:rsid w:val="00B204A4"/>
    <w:rsid w:val="00B30622"/>
    <w:rsid w:val="00B3080A"/>
    <w:rsid w:val="00B351E1"/>
    <w:rsid w:val="00B471E9"/>
    <w:rsid w:val="00B671AA"/>
    <w:rsid w:val="00B675FA"/>
    <w:rsid w:val="00B94798"/>
    <w:rsid w:val="00BA6E71"/>
    <w:rsid w:val="00BB36B6"/>
    <w:rsid w:val="00BD55C5"/>
    <w:rsid w:val="00C03252"/>
    <w:rsid w:val="00C261CA"/>
    <w:rsid w:val="00C52F3A"/>
    <w:rsid w:val="00C573B0"/>
    <w:rsid w:val="00C96DC9"/>
    <w:rsid w:val="00CB209C"/>
    <w:rsid w:val="00D27987"/>
    <w:rsid w:val="00D3388F"/>
    <w:rsid w:val="00D34F80"/>
    <w:rsid w:val="00D61586"/>
    <w:rsid w:val="00D86813"/>
    <w:rsid w:val="00D90022"/>
    <w:rsid w:val="00DD122D"/>
    <w:rsid w:val="00DE51B9"/>
    <w:rsid w:val="00E13D15"/>
    <w:rsid w:val="00EA79CA"/>
    <w:rsid w:val="00F11190"/>
    <w:rsid w:val="00F13EBE"/>
    <w:rsid w:val="00F143C8"/>
    <w:rsid w:val="00F2611A"/>
    <w:rsid w:val="00F35CB8"/>
    <w:rsid w:val="00F409DF"/>
    <w:rsid w:val="00F800C5"/>
    <w:rsid w:val="00FA5B90"/>
    <w:rsid w:val="00FA6625"/>
    <w:rsid w:val="00FA6DAD"/>
    <w:rsid w:val="00FB0E7F"/>
    <w:rsid w:val="00FF2D3B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4BB9D"/>
  <w15:chartTrackingRefBased/>
  <w15:docId w15:val="{CD6AE1E9-0E59-4E78-B08B-1441878C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D23"/>
  </w:style>
  <w:style w:type="paragraph" w:styleId="Heading4">
    <w:name w:val="heading 4"/>
    <w:basedOn w:val="Normal"/>
    <w:link w:val="Heading4Char"/>
    <w:uiPriority w:val="9"/>
    <w:qFormat/>
    <w:rsid w:val="00FA66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6D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0B72C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FA662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preformatted-text">
    <w:name w:val="preformatted-text"/>
    <w:basedOn w:val="DefaultParagraphFont"/>
    <w:rsid w:val="00FA6625"/>
  </w:style>
  <w:style w:type="paragraph" w:styleId="Header">
    <w:name w:val="header"/>
    <w:basedOn w:val="Normal"/>
    <w:link w:val="HeaderChar"/>
    <w:uiPriority w:val="99"/>
    <w:unhideWhenUsed/>
    <w:rsid w:val="00C9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DC9"/>
  </w:style>
  <w:style w:type="paragraph" w:styleId="Footer">
    <w:name w:val="footer"/>
    <w:basedOn w:val="Normal"/>
    <w:link w:val="FooterChar"/>
    <w:uiPriority w:val="99"/>
    <w:unhideWhenUsed/>
    <w:rsid w:val="00C9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DC9"/>
  </w:style>
  <w:style w:type="character" w:styleId="CommentReference">
    <w:name w:val="annotation reference"/>
    <w:basedOn w:val="DefaultParagraphFont"/>
    <w:uiPriority w:val="99"/>
    <w:semiHidden/>
    <w:unhideWhenUsed/>
    <w:rsid w:val="00F40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9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9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9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9D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B0E7F"/>
    <w:pPr>
      <w:spacing w:after="0" w:line="240" w:lineRule="auto"/>
    </w:pPr>
  </w:style>
  <w:style w:type="table" w:styleId="TableGrid">
    <w:name w:val="Table Grid"/>
    <w:basedOn w:val="TableNormal"/>
    <w:rsid w:val="00604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0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3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86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1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6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5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8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9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7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0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5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3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1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6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2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7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4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39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63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2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44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0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3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8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5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7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5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0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3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0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9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8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8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9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3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6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4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AZJMDCZ6QSYZ-1849078857-31552</_dlc_DocId>
    <_dlc_DocIdUrl xmlns="a494813a-d0d8-4dad-94cb-0d196f36ba15">
      <Url>https://ekoordinacije.vlada.hr/koordinacija-gospodarstvo/_layouts/15/DocIdRedir.aspx?ID=AZJMDCZ6QSYZ-1849078857-31552</Url>
      <Description>AZJMDCZ6QSYZ-1849078857-31552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6BCC94B-BE47-4596-8285-A25F8E08B147}">
  <ds:schemaRefs>
    <ds:schemaRef ds:uri="http://schemas.microsoft.com/office/2006/metadata/properties"/>
    <ds:schemaRef ds:uri="http://schemas.microsoft.com/office/infopath/2007/PartnerControls"/>
    <ds:schemaRef ds:uri="0f5faac8-f59c-495c-98e4-0aa09624f487"/>
  </ds:schemaRefs>
</ds:datastoreItem>
</file>

<file path=customXml/itemProps2.xml><?xml version="1.0" encoding="utf-8"?>
<ds:datastoreItem xmlns:ds="http://schemas.openxmlformats.org/officeDocument/2006/customXml" ds:itemID="{931F33A1-3DC0-48AD-80D5-447B1108EC15}"/>
</file>

<file path=customXml/itemProps3.xml><?xml version="1.0" encoding="utf-8"?>
<ds:datastoreItem xmlns:ds="http://schemas.openxmlformats.org/officeDocument/2006/customXml" ds:itemID="{C4097E97-A8AF-4438-B2BF-E1E10987BB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64F19-C06E-4C57-80D6-5482373FB7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1294</Words>
  <Characters>7379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 financija</dc:creator>
  <cp:keywords/>
  <dc:description/>
  <cp:lastModifiedBy>Maja Lebarović</cp:lastModifiedBy>
  <cp:revision>4</cp:revision>
  <cp:lastPrinted>2023-09-12T12:49:00Z</cp:lastPrinted>
  <dcterms:created xsi:type="dcterms:W3CDTF">2023-09-18T11:59:00Z</dcterms:created>
  <dcterms:modified xsi:type="dcterms:W3CDTF">2023-09-18T12:38:00Z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25385e38-2747-4187-b0e5-e850cc40c928</vt:lpwstr>
  </property>
</Properties>
</file>