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99E29" w14:textId="77777777" w:rsidR="00680263" w:rsidRPr="00961F77" w:rsidRDefault="00680263" w:rsidP="00680263">
      <w:pPr>
        <w:jc w:val="center"/>
      </w:pPr>
      <w:r w:rsidRPr="00961F77">
        <w:rPr>
          <w:noProof/>
        </w:rPr>
        <w:drawing>
          <wp:inline distT="0" distB="0" distL="0" distR="0" wp14:anchorId="5786AEDB" wp14:editId="64EEEAB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F77">
        <w:fldChar w:fldCharType="begin"/>
      </w:r>
      <w:r w:rsidRPr="00961F77">
        <w:instrText xml:space="preserve"> INCLUDEPICTURE "http://www.inet.hr/~box/images/grb-rh.gif" \* MERGEFORMATINET </w:instrText>
      </w:r>
      <w:r w:rsidRPr="00961F77">
        <w:fldChar w:fldCharType="end"/>
      </w:r>
    </w:p>
    <w:p w14:paraId="23D57FEF" w14:textId="77777777" w:rsidR="00680263" w:rsidRPr="00961F77" w:rsidRDefault="00680263" w:rsidP="00680263">
      <w:pPr>
        <w:spacing w:before="60" w:after="1680"/>
        <w:jc w:val="center"/>
        <w:rPr>
          <w:sz w:val="28"/>
        </w:rPr>
      </w:pPr>
      <w:r w:rsidRPr="00961F77">
        <w:rPr>
          <w:sz w:val="28"/>
        </w:rPr>
        <w:t>VLADA REPUBLIKE HRVATSKE</w:t>
      </w:r>
    </w:p>
    <w:p w14:paraId="5099C306" w14:textId="77777777" w:rsidR="00680263" w:rsidRPr="00961F77" w:rsidRDefault="00680263" w:rsidP="00680263"/>
    <w:p w14:paraId="35DB96CB" w14:textId="31BFA627" w:rsidR="00680263" w:rsidRPr="00961F77" w:rsidRDefault="00680263" w:rsidP="00680263">
      <w:pPr>
        <w:spacing w:after="2400"/>
        <w:jc w:val="right"/>
      </w:pPr>
      <w:r w:rsidRPr="00961F77">
        <w:t>Zagreb, 21. rujna 2023.</w:t>
      </w:r>
    </w:p>
    <w:p w14:paraId="4434CCE0" w14:textId="77777777" w:rsidR="00680263" w:rsidRPr="00961F77" w:rsidRDefault="00680263" w:rsidP="00680263">
      <w:pPr>
        <w:spacing w:line="360" w:lineRule="auto"/>
      </w:pPr>
      <w:r w:rsidRPr="00961F77">
        <w:t>__________________________________________________________________________</w:t>
      </w:r>
    </w:p>
    <w:p w14:paraId="38A49321" w14:textId="77777777" w:rsidR="00680263" w:rsidRPr="00961F77" w:rsidRDefault="00680263" w:rsidP="0068026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80263" w:rsidRPr="00961F77" w:rsidSect="00680263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80263" w:rsidRPr="00961F77" w14:paraId="0DC1A7EB" w14:textId="77777777" w:rsidTr="00D156F8">
        <w:tc>
          <w:tcPr>
            <w:tcW w:w="1951" w:type="dxa"/>
          </w:tcPr>
          <w:p w14:paraId="1CAD2618" w14:textId="77777777" w:rsidR="00680263" w:rsidRPr="00961F77" w:rsidRDefault="00680263" w:rsidP="00D156F8">
            <w:pPr>
              <w:spacing w:line="360" w:lineRule="auto"/>
              <w:jc w:val="right"/>
            </w:pPr>
            <w:r w:rsidRPr="00961F77">
              <w:rPr>
                <w:b/>
                <w:smallCaps/>
              </w:rPr>
              <w:t>Predlagatelj</w:t>
            </w:r>
            <w:r w:rsidRPr="00961F77">
              <w:rPr>
                <w:b/>
              </w:rPr>
              <w:t>:</w:t>
            </w:r>
          </w:p>
        </w:tc>
        <w:tc>
          <w:tcPr>
            <w:tcW w:w="7229" w:type="dxa"/>
          </w:tcPr>
          <w:p w14:paraId="399B16AC" w14:textId="5076B149" w:rsidR="00680263" w:rsidRPr="00961F77" w:rsidRDefault="00680263" w:rsidP="00D156F8">
            <w:pPr>
              <w:spacing w:line="360" w:lineRule="auto"/>
            </w:pPr>
            <w:r w:rsidRPr="00961F77">
              <w:t>Ministarstvo znanosti i obrazovanja</w:t>
            </w:r>
          </w:p>
        </w:tc>
      </w:tr>
    </w:tbl>
    <w:p w14:paraId="59539745" w14:textId="77777777" w:rsidR="00680263" w:rsidRPr="00961F77" w:rsidRDefault="00680263" w:rsidP="00680263">
      <w:pPr>
        <w:spacing w:line="360" w:lineRule="auto"/>
      </w:pPr>
      <w:r w:rsidRPr="00961F77">
        <w:t>__________________________________________________________________________</w:t>
      </w:r>
    </w:p>
    <w:p w14:paraId="76DF150B" w14:textId="77777777" w:rsidR="00680263" w:rsidRPr="00961F77" w:rsidRDefault="00680263" w:rsidP="0068026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80263" w:rsidRPr="00961F7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0263" w:rsidRPr="00961F77" w14:paraId="2C6BEFDF" w14:textId="77777777" w:rsidTr="00D156F8">
        <w:tc>
          <w:tcPr>
            <w:tcW w:w="1951" w:type="dxa"/>
          </w:tcPr>
          <w:p w14:paraId="6737452C" w14:textId="77777777" w:rsidR="00680263" w:rsidRPr="00961F77" w:rsidRDefault="00680263" w:rsidP="00D156F8">
            <w:pPr>
              <w:spacing w:line="360" w:lineRule="auto"/>
              <w:jc w:val="right"/>
            </w:pPr>
            <w:r w:rsidRPr="00961F77">
              <w:rPr>
                <w:b/>
                <w:smallCaps/>
              </w:rPr>
              <w:t>Predmet</w:t>
            </w:r>
            <w:r w:rsidRPr="00961F77">
              <w:rPr>
                <w:b/>
              </w:rPr>
              <w:t>:</w:t>
            </w:r>
          </w:p>
        </w:tc>
        <w:tc>
          <w:tcPr>
            <w:tcW w:w="7229" w:type="dxa"/>
          </w:tcPr>
          <w:p w14:paraId="4E65A4B1" w14:textId="48A9B065" w:rsidR="00680263" w:rsidRPr="00961F77" w:rsidRDefault="006163B0" w:rsidP="006163B0">
            <w:pPr>
              <w:spacing w:line="360" w:lineRule="auto"/>
            </w:pPr>
            <w:r w:rsidRPr="00961F77">
              <w:rPr>
                <w:bCs/>
              </w:rPr>
              <w:t xml:space="preserve">Prijedlog uredbe o kriterijima i mjerilima za utvrđivanje iznosa sredstava za fiskalnu održivost dječjih vrtića </w:t>
            </w:r>
          </w:p>
        </w:tc>
      </w:tr>
    </w:tbl>
    <w:p w14:paraId="43DE021F" w14:textId="77777777" w:rsidR="00680263" w:rsidRPr="00961F77" w:rsidRDefault="00680263" w:rsidP="00680263">
      <w:pPr>
        <w:tabs>
          <w:tab w:val="left" w:pos="1843"/>
        </w:tabs>
        <w:spacing w:line="360" w:lineRule="auto"/>
        <w:ind w:left="1843" w:hanging="1843"/>
      </w:pPr>
      <w:r w:rsidRPr="00961F77">
        <w:t>__________________________________________________________________________</w:t>
      </w:r>
    </w:p>
    <w:p w14:paraId="37043D5F" w14:textId="77777777" w:rsidR="00680263" w:rsidRPr="00961F77" w:rsidRDefault="00680263" w:rsidP="00680263"/>
    <w:p w14:paraId="38B344BF" w14:textId="77777777" w:rsidR="00680263" w:rsidRPr="00961F77" w:rsidRDefault="00680263" w:rsidP="00680263"/>
    <w:p w14:paraId="5061280E" w14:textId="77777777" w:rsidR="00680263" w:rsidRPr="00961F77" w:rsidRDefault="00680263" w:rsidP="00680263"/>
    <w:p w14:paraId="3A4A84AB" w14:textId="77777777" w:rsidR="00680263" w:rsidRPr="00961F77" w:rsidRDefault="00680263" w:rsidP="00680263"/>
    <w:p w14:paraId="57D056F5" w14:textId="77777777" w:rsidR="00680263" w:rsidRPr="00961F77" w:rsidRDefault="00680263" w:rsidP="00680263"/>
    <w:p w14:paraId="6EA4CFBD" w14:textId="77777777" w:rsidR="00680263" w:rsidRPr="00961F77" w:rsidRDefault="00680263" w:rsidP="00680263"/>
    <w:p w14:paraId="43C28497" w14:textId="77777777" w:rsidR="00680263" w:rsidRPr="00961F77" w:rsidRDefault="00680263" w:rsidP="00680263"/>
    <w:p w14:paraId="1865634F" w14:textId="77777777" w:rsidR="00680263" w:rsidRPr="00961F77" w:rsidRDefault="00680263" w:rsidP="00680263">
      <w:pPr>
        <w:sectPr w:rsidR="00680263" w:rsidRPr="00961F7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E29BF1C" w14:textId="77777777" w:rsidR="00E8417D" w:rsidRPr="00961F77" w:rsidRDefault="00E8417D" w:rsidP="006F0E31">
      <w:pPr>
        <w:pStyle w:val="Normal1"/>
        <w:spacing w:after="0"/>
        <w:jc w:val="both"/>
        <w:rPr>
          <w:rStyle w:val="defaultparagraphfont0"/>
          <w:b w:val="0"/>
          <w:color w:val="auto"/>
          <w:sz w:val="24"/>
          <w:szCs w:val="24"/>
        </w:rPr>
      </w:pPr>
    </w:p>
    <w:p w14:paraId="705BFB74" w14:textId="2285942D" w:rsidR="002A2C2F" w:rsidRPr="00961F77" w:rsidRDefault="002A2C2F" w:rsidP="00035BE2">
      <w:pPr>
        <w:jc w:val="right"/>
        <w:textAlignment w:val="baseline"/>
        <w:rPr>
          <w:b/>
          <w:bCs/>
        </w:rPr>
      </w:pPr>
      <w:r w:rsidRPr="00961F77">
        <w:rPr>
          <w:b/>
          <w:bCs/>
        </w:rPr>
        <w:t>Prijedlog</w:t>
      </w:r>
    </w:p>
    <w:p w14:paraId="7992452E" w14:textId="7B74F6CF" w:rsidR="006F0E31" w:rsidRPr="00961F77" w:rsidRDefault="006F0E31" w:rsidP="006F0E31">
      <w:pPr>
        <w:jc w:val="both"/>
        <w:textAlignment w:val="baseline"/>
        <w:rPr>
          <w:bCs/>
        </w:rPr>
      </w:pPr>
    </w:p>
    <w:p w14:paraId="512D6234" w14:textId="551D3A3C" w:rsidR="006F0E31" w:rsidRPr="00961F77" w:rsidRDefault="006F0E31" w:rsidP="006F0E31">
      <w:pPr>
        <w:jc w:val="both"/>
        <w:textAlignment w:val="baseline"/>
        <w:rPr>
          <w:bCs/>
        </w:rPr>
      </w:pPr>
    </w:p>
    <w:p w14:paraId="5D4FE55D" w14:textId="5D1F0B42" w:rsidR="006F0E31" w:rsidRPr="00961F77" w:rsidRDefault="006F0E31" w:rsidP="006F0E31">
      <w:pPr>
        <w:jc w:val="both"/>
        <w:textAlignment w:val="baseline"/>
      </w:pPr>
    </w:p>
    <w:p w14:paraId="0AFFC117" w14:textId="77777777" w:rsidR="006F0E31" w:rsidRPr="00961F77" w:rsidRDefault="006F0E31" w:rsidP="006F0E31">
      <w:pPr>
        <w:jc w:val="both"/>
        <w:textAlignment w:val="baseline"/>
      </w:pPr>
    </w:p>
    <w:p w14:paraId="13CA93BE" w14:textId="3217561C" w:rsidR="002A2C2F" w:rsidRPr="00961F77" w:rsidRDefault="002A2C2F" w:rsidP="006163B0">
      <w:pPr>
        <w:ind w:firstLine="1418"/>
        <w:jc w:val="both"/>
        <w:textAlignment w:val="baseline"/>
      </w:pPr>
      <w:r w:rsidRPr="00961F77">
        <w:t>Na temelju članka 50.a stavka 2. Zakona o predškolskom odgoju i obrazovanju (</w:t>
      </w:r>
      <w:r w:rsidR="006163B0" w:rsidRPr="00961F77">
        <w:t>„</w:t>
      </w:r>
      <w:r w:rsidRPr="00961F77">
        <w:t>Narodne novine</w:t>
      </w:r>
      <w:r w:rsidR="006163B0" w:rsidRPr="00961F77">
        <w:t>“</w:t>
      </w:r>
      <w:r w:rsidRPr="00961F77">
        <w:t>, br. 10/97</w:t>
      </w:r>
      <w:r w:rsidR="006163B0" w:rsidRPr="00961F77">
        <w:t>.</w:t>
      </w:r>
      <w:r w:rsidRPr="00961F77">
        <w:t>, 107/07</w:t>
      </w:r>
      <w:r w:rsidR="006163B0" w:rsidRPr="00961F77">
        <w:t>.</w:t>
      </w:r>
      <w:r w:rsidRPr="00961F77">
        <w:t>, 94/13</w:t>
      </w:r>
      <w:r w:rsidR="006163B0" w:rsidRPr="00961F77">
        <w:t>.</w:t>
      </w:r>
      <w:r w:rsidRPr="00961F77">
        <w:t>, 98/19</w:t>
      </w:r>
      <w:r w:rsidR="006163B0" w:rsidRPr="00961F77">
        <w:t>.</w:t>
      </w:r>
      <w:r w:rsidRPr="00961F77">
        <w:t>, 57/22</w:t>
      </w:r>
      <w:r w:rsidR="006163B0" w:rsidRPr="00961F77">
        <w:t>.</w:t>
      </w:r>
      <w:r w:rsidRPr="00961F77">
        <w:t xml:space="preserve"> i 101/23</w:t>
      </w:r>
      <w:r w:rsidR="006163B0" w:rsidRPr="00961F77">
        <w:t>.</w:t>
      </w:r>
      <w:r w:rsidRPr="00961F77">
        <w:t xml:space="preserve">), Vlada Republike Hrvatske je na sjednici održanoj ___________ donijela </w:t>
      </w:r>
    </w:p>
    <w:p w14:paraId="5D92AA93" w14:textId="77777777" w:rsidR="002A2C2F" w:rsidRPr="00961F77" w:rsidRDefault="002A2C2F" w:rsidP="00035BE2">
      <w:pPr>
        <w:jc w:val="center"/>
        <w:rPr>
          <w:b/>
        </w:rPr>
      </w:pPr>
    </w:p>
    <w:p w14:paraId="5EA6BF57" w14:textId="77777777" w:rsidR="002A2C2F" w:rsidRPr="00961F77" w:rsidRDefault="002A2C2F" w:rsidP="00035BE2">
      <w:pPr>
        <w:jc w:val="center"/>
        <w:rPr>
          <w:b/>
        </w:rPr>
      </w:pPr>
    </w:p>
    <w:p w14:paraId="78389157" w14:textId="77777777" w:rsidR="006163B0" w:rsidRPr="00961F77" w:rsidRDefault="002A2C2F" w:rsidP="00035BE2">
      <w:pPr>
        <w:jc w:val="center"/>
        <w:rPr>
          <w:b/>
          <w:bCs/>
        </w:rPr>
      </w:pPr>
      <w:r w:rsidRPr="00961F77">
        <w:rPr>
          <w:b/>
          <w:bCs/>
        </w:rPr>
        <w:t>U</w:t>
      </w:r>
      <w:r w:rsidR="006163B0" w:rsidRPr="00961F77">
        <w:rPr>
          <w:b/>
          <w:bCs/>
        </w:rPr>
        <w:t xml:space="preserve"> </w:t>
      </w:r>
      <w:r w:rsidRPr="00961F77">
        <w:rPr>
          <w:b/>
          <w:bCs/>
        </w:rPr>
        <w:t>R</w:t>
      </w:r>
      <w:r w:rsidR="006163B0" w:rsidRPr="00961F77">
        <w:rPr>
          <w:b/>
          <w:bCs/>
        </w:rPr>
        <w:t xml:space="preserve"> </w:t>
      </w:r>
      <w:r w:rsidRPr="00961F77">
        <w:rPr>
          <w:b/>
          <w:bCs/>
        </w:rPr>
        <w:t>E</w:t>
      </w:r>
      <w:r w:rsidR="006163B0" w:rsidRPr="00961F77">
        <w:rPr>
          <w:b/>
          <w:bCs/>
        </w:rPr>
        <w:t xml:space="preserve"> </w:t>
      </w:r>
      <w:r w:rsidRPr="00961F77">
        <w:rPr>
          <w:b/>
          <w:bCs/>
        </w:rPr>
        <w:t>D</w:t>
      </w:r>
      <w:r w:rsidR="006163B0" w:rsidRPr="00961F77">
        <w:rPr>
          <w:b/>
          <w:bCs/>
        </w:rPr>
        <w:t xml:space="preserve"> </w:t>
      </w:r>
      <w:r w:rsidRPr="00961F77">
        <w:rPr>
          <w:b/>
          <w:bCs/>
        </w:rPr>
        <w:t>B</w:t>
      </w:r>
      <w:r w:rsidR="006163B0" w:rsidRPr="00961F77">
        <w:rPr>
          <w:b/>
          <w:bCs/>
        </w:rPr>
        <w:t xml:space="preserve"> </w:t>
      </w:r>
      <w:r w:rsidRPr="00961F77">
        <w:rPr>
          <w:b/>
          <w:bCs/>
        </w:rPr>
        <w:t>U</w:t>
      </w:r>
    </w:p>
    <w:p w14:paraId="39165EEF" w14:textId="77777777" w:rsidR="006163B0" w:rsidRPr="00961F77" w:rsidRDefault="006163B0" w:rsidP="00035BE2">
      <w:pPr>
        <w:jc w:val="center"/>
        <w:rPr>
          <w:b/>
          <w:bCs/>
        </w:rPr>
      </w:pPr>
    </w:p>
    <w:p w14:paraId="609D8B5C" w14:textId="77777777" w:rsidR="006163B0" w:rsidRPr="00961F77" w:rsidRDefault="006163B0" w:rsidP="00035BE2">
      <w:pPr>
        <w:jc w:val="center"/>
        <w:rPr>
          <w:b/>
          <w:bCs/>
        </w:rPr>
      </w:pPr>
      <w:r w:rsidRPr="00961F77">
        <w:rPr>
          <w:b/>
          <w:bCs/>
        </w:rPr>
        <w:t xml:space="preserve">o kriterijima i mjerilima za utvrđivanje iznosa sredstava </w:t>
      </w:r>
    </w:p>
    <w:p w14:paraId="3E0742B3" w14:textId="5C5FC1E0" w:rsidR="002A2C2F" w:rsidRPr="00961F77" w:rsidRDefault="006163B0" w:rsidP="00035BE2">
      <w:pPr>
        <w:jc w:val="center"/>
        <w:rPr>
          <w:b/>
          <w:bCs/>
        </w:rPr>
      </w:pPr>
      <w:r w:rsidRPr="00961F77">
        <w:rPr>
          <w:b/>
          <w:bCs/>
        </w:rPr>
        <w:t xml:space="preserve">za fiskalnu održivost dječjih vrtića </w:t>
      </w:r>
    </w:p>
    <w:p w14:paraId="27DA57DA" w14:textId="23575136" w:rsidR="002A2C2F" w:rsidRPr="00961F77" w:rsidRDefault="002A2C2F" w:rsidP="006163B0">
      <w:pPr>
        <w:jc w:val="center"/>
        <w:textAlignment w:val="baseline"/>
        <w:rPr>
          <w:b/>
          <w:bCs/>
        </w:rPr>
      </w:pPr>
    </w:p>
    <w:p w14:paraId="67D33C5D" w14:textId="77777777" w:rsidR="006163B0" w:rsidRPr="00961F77" w:rsidRDefault="006163B0" w:rsidP="006163B0">
      <w:pPr>
        <w:jc w:val="center"/>
        <w:textAlignment w:val="baseline"/>
      </w:pPr>
    </w:p>
    <w:p w14:paraId="7E6901AF" w14:textId="77777777" w:rsidR="002A2C2F" w:rsidRPr="00961F77" w:rsidRDefault="002A2C2F" w:rsidP="00035BE2">
      <w:pPr>
        <w:jc w:val="center"/>
        <w:outlineLvl w:val="0"/>
        <w:rPr>
          <w:b/>
          <w:bCs/>
          <w:kern w:val="36"/>
        </w:rPr>
      </w:pPr>
      <w:r w:rsidRPr="00961F77">
        <w:rPr>
          <w:b/>
          <w:kern w:val="36"/>
        </w:rPr>
        <w:t>UVODNE ODREDBE</w:t>
      </w:r>
      <w:r w:rsidRPr="00961F77">
        <w:rPr>
          <w:b/>
          <w:bCs/>
          <w:kern w:val="36"/>
        </w:rPr>
        <w:t xml:space="preserve"> </w:t>
      </w:r>
    </w:p>
    <w:p w14:paraId="1D729F52" w14:textId="4CC23F20" w:rsidR="002A2C2F" w:rsidRPr="00961F77" w:rsidRDefault="002A2C2F" w:rsidP="00035BE2">
      <w:pPr>
        <w:jc w:val="center"/>
        <w:outlineLvl w:val="0"/>
        <w:rPr>
          <w:b/>
          <w:bCs/>
          <w:kern w:val="36"/>
        </w:rPr>
      </w:pPr>
    </w:p>
    <w:p w14:paraId="52FC87CA" w14:textId="77777777" w:rsidR="00586FBE" w:rsidRPr="00961F77" w:rsidRDefault="00586FBE" w:rsidP="00035BE2">
      <w:pPr>
        <w:jc w:val="center"/>
        <w:outlineLvl w:val="0"/>
        <w:rPr>
          <w:b/>
          <w:bCs/>
          <w:kern w:val="36"/>
        </w:rPr>
      </w:pPr>
    </w:p>
    <w:p w14:paraId="5156D34C" w14:textId="7664D9B6" w:rsidR="002A2C2F" w:rsidRPr="00961F77" w:rsidRDefault="002A2C2F" w:rsidP="00035BE2">
      <w:pPr>
        <w:jc w:val="center"/>
        <w:outlineLvl w:val="1"/>
        <w:rPr>
          <w:b/>
        </w:rPr>
      </w:pPr>
      <w:r w:rsidRPr="00961F77">
        <w:rPr>
          <w:b/>
        </w:rPr>
        <w:t xml:space="preserve">Članak 1. </w:t>
      </w:r>
    </w:p>
    <w:p w14:paraId="16011AA6" w14:textId="77777777" w:rsidR="006163B0" w:rsidRPr="00961F77" w:rsidRDefault="006163B0" w:rsidP="00035BE2">
      <w:pPr>
        <w:jc w:val="center"/>
        <w:outlineLvl w:val="1"/>
        <w:rPr>
          <w:b/>
          <w:bCs/>
        </w:rPr>
      </w:pPr>
    </w:p>
    <w:p w14:paraId="0AF4E188" w14:textId="77777777" w:rsidR="002A2C2F" w:rsidRPr="00961F77" w:rsidRDefault="002A2C2F" w:rsidP="006163B0">
      <w:pPr>
        <w:ind w:firstLine="1418"/>
        <w:jc w:val="both"/>
        <w:textAlignment w:val="baseline"/>
      </w:pPr>
      <w:r w:rsidRPr="00961F77">
        <w:t xml:space="preserve">Ovom Uredbom utvrđuju se kriteriji i mjerila te način izračuna iznosa sredstava za fiskalnu održivost dječjih vrtića, koja se osiguravaju u državnom proračunu. </w:t>
      </w:r>
    </w:p>
    <w:p w14:paraId="6F7CC67E" w14:textId="26AE40B4" w:rsidR="002A2C2F" w:rsidRPr="00961F77" w:rsidRDefault="002A2C2F" w:rsidP="00035BE2">
      <w:pPr>
        <w:textAlignment w:val="baseline"/>
      </w:pPr>
    </w:p>
    <w:p w14:paraId="20D7B06F" w14:textId="396C69C6" w:rsidR="002A2C2F" w:rsidRPr="00961F77" w:rsidRDefault="002A2C2F" w:rsidP="00035BE2">
      <w:pPr>
        <w:jc w:val="center"/>
        <w:outlineLvl w:val="1"/>
        <w:rPr>
          <w:b/>
          <w:bCs/>
        </w:rPr>
      </w:pPr>
      <w:r w:rsidRPr="00961F77">
        <w:rPr>
          <w:b/>
        </w:rPr>
        <w:t>Članak 2.</w:t>
      </w:r>
    </w:p>
    <w:p w14:paraId="0F229E55" w14:textId="77777777" w:rsidR="006163B0" w:rsidRPr="00961F77" w:rsidRDefault="006163B0" w:rsidP="00035BE2">
      <w:pPr>
        <w:jc w:val="center"/>
        <w:outlineLvl w:val="1"/>
        <w:rPr>
          <w:b/>
          <w:bCs/>
        </w:rPr>
      </w:pPr>
    </w:p>
    <w:p w14:paraId="0D985217" w14:textId="2E3879A6" w:rsidR="002A2C2F" w:rsidRPr="00961F77" w:rsidRDefault="002A2C2F" w:rsidP="006163B0">
      <w:pPr>
        <w:ind w:firstLine="1418"/>
        <w:textAlignment w:val="baseline"/>
      </w:pPr>
      <w:r w:rsidRPr="00961F77">
        <w:t>Pojedini pojmovi u smislu ove Uredbe imaju sljedeća značenja:</w:t>
      </w:r>
    </w:p>
    <w:p w14:paraId="479FA82D" w14:textId="77777777" w:rsidR="006163B0" w:rsidRPr="00961F77" w:rsidRDefault="006163B0" w:rsidP="006163B0">
      <w:pPr>
        <w:ind w:firstLine="1418"/>
        <w:textAlignment w:val="baseline"/>
      </w:pPr>
    </w:p>
    <w:p w14:paraId="279205F0" w14:textId="76E03770" w:rsidR="002A2C2F" w:rsidRPr="00961F77" w:rsidRDefault="002A2C2F" w:rsidP="006163B0">
      <w:pPr>
        <w:ind w:left="709" w:hanging="709"/>
        <w:jc w:val="both"/>
        <w:textAlignment w:val="baseline"/>
      </w:pPr>
      <w:r w:rsidRPr="00961F77">
        <w:t xml:space="preserve">1. </w:t>
      </w:r>
      <w:r w:rsidR="006163B0" w:rsidRPr="00961F77">
        <w:tab/>
      </w:r>
      <w:r w:rsidR="006163B0" w:rsidRPr="00961F77">
        <w:rPr>
          <w:i/>
        </w:rPr>
        <w:t>d</w:t>
      </w:r>
      <w:r w:rsidRPr="00961F77">
        <w:rPr>
          <w:i/>
        </w:rPr>
        <w:t>ječji vrtić</w:t>
      </w:r>
      <w:r w:rsidRPr="00961F77">
        <w:t xml:space="preserve"> </w:t>
      </w:r>
      <w:r w:rsidR="006163B0" w:rsidRPr="00961F77">
        <w:t>-</w:t>
      </w:r>
      <w:r w:rsidRPr="00961F77">
        <w:t xml:space="preserve"> ustanova koja provodi predškolski odgoj i obrazovanje te skrb o djeci rane i predškolske dobi, koji se može ostvarivati u dječjim vrtićima, pri osnov</w:t>
      </w:r>
      <w:r w:rsidR="006163B0" w:rsidRPr="00961F77">
        <w:t>nim školama i drugim ustanovama</w:t>
      </w:r>
    </w:p>
    <w:p w14:paraId="27FA89E7" w14:textId="336E974D" w:rsidR="002A2C2F" w:rsidRPr="00961F77" w:rsidRDefault="002A2C2F" w:rsidP="006163B0">
      <w:pPr>
        <w:ind w:left="709" w:hanging="709"/>
        <w:jc w:val="both"/>
        <w:textAlignment w:val="baseline"/>
      </w:pPr>
      <w:r w:rsidRPr="00961F77">
        <w:lastRenderedPageBreak/>
        <w:t xml:space="preserve">2. </w:t>
      </w:r>
      <w:r w:rsidR="006163B0" w:rsidRPr="00961F77">
        <w:tab/>
      </w:r>
      <w:r w:rsidR="006163B0" w:rsidRPr="00961F77">
        <w:rPr>
          <w:i/>
        </w:rPr>
        <w:t>j</w:t>
      </w:r>
      <w:r w:rsidRPr="00961F77">
        <w:rPr>
          <w:i/>
        </w:rPr>
        <w:t>avni vrtić</w:t>
      </w:r>
      <w:r w:rsidRPr="00961F77">
        <w:t xml:space="preserve"> </w:t>
      </w:r>
      <w:r w:rsidR="006163B0" w:rsidRPr="00961F77">
        <w:t>-</w:t>
      </w:r>
      <w:r w:rsidRPr="00961F77">
        <w:t xml:space="preserve"> dječji vrtić kojemu je osnivač Republika Hrvatska ili jedinica lokalne i p</w:t>
      </w:r>
      <w:r w:rsidR="006163B0" w:rsidRPr="00961F77">
        <w:t>odručne (regionalne) samouprave</w:t>
      </w:r>
    </w:p>
    <w:p w14:paraId="518921DB" w14:textId="3FE53062" w:rsidR="002A2C2F" w:rsidRPr="00961F77" w:rsidRDefault="002A2C2F" w:rsidP="006163B0">
      <w:pPr>
        <w:ind w:left="709" w:hanging="709"/>
        <w:jc w:val="both"/>
        <w:textAlignment w:val="baseline"/>
      </w:pPr>
      <w:r w:rsidRPr="00961F77">
        <w:t xml:space="preserve">3. </w:t>
      </w:r>
      <w:r w:rsidR="006163B0" w:rsidRPr="00961F77">
        <w:tab/>
      </w:r>
      <w:r w:rsidR="006163B0" w:rsidRPr="00961F77">
        <w:rPr>
          <w:i/>
        </w:rPr>
        <w:t>p</w:t>
      </w:r>
      <w:r w:rsidRPr="00961F77">
        <w:rPr>
          <w:i/>
        </w:rPr>
        <w:t>rivatni vrtić</w:t>
      </w:r>
      <w:r w:rsidRPr="00961F77">
        <w:t xml:space="preserve"> </w:t>
      </w:r>
      <w:r w:rsidR="006163B0" w:rsidRPr="00961F77">
        <w:t>-</w:t>
      </w:r>
      <w:r w:rsidRPr="00961F77">
        <w:t xml:space="preserve"> dječji vrtić kojemu je osnivač vjerska zajednica il</w:t>
      </w:r>
      <w:r w:rsidR="006163B0" w:rsidRPr="00961F77">
        <w:t>i druga pravna i fizička osoba</w:t>
      </w:r>
    </w:p>
    <w:p w14:paraId="14E4BE94" w14:textId="3953DDF3" w:rsidR="002A2C2F" w:rsidRPr="00961F77" w:rsidRDefault="002A2C2F" w:rsidP="006163B0">
      <w:pPr>
        <w:ind w:left="709" w:hanging="709"/>
        <w:jc w:val="both"/>
        <w:textAlignment w:val="baseline"/>
      </w:pPr>
      <w:r w:rsidRPr="00961F77">
        <w:t xml:space="preserve">4. </w:t>
      </w:r>
      <w:r w:rsidR="006163B0" w:rsidRPr="00961F77">
        <w:tab/>
      </w:r>
      <w:r w:rsidR="006163B0" w:rsidRPr="00961F77">
        <w:rPr>
          <w:i/>
        </w:rPr>
        <w:t>s</w:t>
      </w:r>
      <w:r w:rsidRPr="00961F77">
        <w:rPr>
          <w:i/>
        </w:rPr>
        <w:t>redstva za fiskalnu održivost dječjih vrtića</w:t>
      </w:r>
      <w:r w:rsidRPr="00961F77">
        <w:t xml:space="preserve"> </w:t>
      </w:r>
      <w:r w:rsidR="006163B0" w:rsidRPr="00961F77">
        <w:t>-</w:t>
      </w:r>
      <w:r w:rsidRPr="00961F77">
        <w:t xml:space="preserve"> prijenosi sredstava iz državnog proračuna jedinicama lokalne i područne (regionalne) samouprave za unaprjeđenje ranog i predškolskog odgoja i obrazovanja, uzimajući u obzir indeks razvijenosti jedinice lokalne i područne (regionalne) samouprave na čijem području se nalazi matični ili područni dječji vrtić, utvrđen prema skupinama razvijenosti iz Uredbe o indeksu razvijenosti (</w:t>
      </w:r>
      <w:r w:rsidR="006163B0" w:rsidRPr="00961F77">
        <w:t>„</w:t>
      </w:r>
      <w:r w:rsidRPr="00961F77">
        <w:t>Narodne novine</w:t>
      </w:r>
      <w:r w:rsidR="006163B0" w:rsidRPr="00961F77">
        <w:t>“</w:t>
      </w:r>
      <w:r w:rsidRPr="00961F77">
        <w:t>, br</w:t>
      </w:r>
      <w:r w:rsidR="006163B0" w:rsidRPr="00961F77">
        <w:t>oj</w:t>
      </w:r>
      <w:r w:rsidRPr="00961F77">
        <w:t xml:space="preserve"> 131/17</w:t>
      </w:r>
      <w:r w:rsidR="006163B0" w:rsidRPr="00961F77">
        <w:t>.)</w:t>
      </w:r>
    </w:p>
    <w:p w14:paraId="266FFC73" w14:textId="531DB7F1" w:rsidR="002A2C2F" w:rsidRPr="00961F77" w:rsidRDefault="002A2C2F" w:rsidP="006163B0">
      <w:pPr>
        <w:ind w:left="709" w:hanging="709"/>
        <w:jc w:val="both"/>
        <w:textAlignment w:val="baseline"/>
      </w:pPr>
      <w:r w:rsidRPr="00961F77">
        <w:t xml:space="preserve">5. </w:t>
      </w:r>
      <w:r w:rsidR="00586FBE" w:rsidRPr="00961F77">
        <w:tab/>
      </w:r>
      <w:r w:rsidR="00586FBE" w:rsidRPr="00961F77">
        <w:rPr>
          <w:i/>
        </w:rPr>
        <w:t>k</w:t>
      </w:r>
      <w:r w:rsidRPr="00961F77">
        <w:rPr>
          <w:i/>
        </w:rPr>
        <w:t>orisnici sredstava</w:t>
      </w:r>
      <w:r w:rsidRPr="00961F77">
        <w:t xml:space="preserve"> </w:t>
      </w:r>
      <w:r w:rsidR="00586FBE" w:rsidRPr="00961F77">
        <w:t>-</w:t>
      </w:r>
      <w:r w:rsidRPr="00961F77">
        <w:t xml:space="preserve"> jedinice lokalne i područne (regionalne) samouprave, koje za javne vrtiće čiji su osnivači i privatne vrtiće na svom području, ostvaruju pravo na sredstva iz državnog proračuna za fiskalnu održivost dječjih vrtića prema kriter</w:t>
      </w:r>
      <w:r w:rsidR="00586FBE" w:rsidRPr="00961F77">
        <w:t>ijima i mjerilima iz ove Uredbe</w:t>
      </w:r>
    </w:p>
    <w:p w14:paraId="31348299" w14:textId="54D3BD52" w:rsidR="002A2C2F" w:rsidRPr="00961F77" w:rsidRDefault="002A2C2F" w:rsidP="006163B0">
      <w:pPr>
        <w:ind w:left="709" w:hanging="709"/>
        <w:jc w:val="both"/>
        <w:textAlignment w:val="baseline"/>
      </w:pPr>
      <w:r w:rsidRPr="00961F77">
        <w:t xml:space="preserve">6. </w:t>
      </w:r>
      <w:r w:rsidR="00586FBE" w:rsidRPr="00961F77">
        <w:tab/>
      </w:r>
      <w:r w:rsidR="00586FBE" w:rsidRPr="00961F77">
        <w:rPr>
          <w:i/>
        </w:rPr>
        <w:t>z</w:t>
      </w:r>
      <w:r w:rsidRPr="00961F77">
        <w:rPr>
          <w:i/>
        </w:rPr>
        <w:t>ajednički elektronički upisnik</w:t>
      </w:r>
      <w:r w:rsidRPr="00961F77">
        <w:t xml:space="preserve"> </w:t>
      </w:r>
      <w:r w:rsidR="00586FBE" w:rsidRPr="00961F77">
        <w:t>-</w:t>
      </w:r>
      <w:r w:rsidRPr="00961F77">
        <w:t xml:space="preserve"> upisnik predškolskih ustanova koji vodi Ministarstvo znanosti i obrazovanja u elektroničkom obliku.</w:t>
      </w:r>
    </w:p>
    <w:p w14:paraId="4682F19C" w14:textId="1DB41FF6" w:rsidR="002A2C2F" w:rsidRPr="00961F77" w:rsidRDefault="002A2C2F" w:rsidP="00035BE2">
      <w:pPr>
        <w:jc w:val="both"/>
        <w:textAlignment w:val="baseline"/>
      </w:pPr>
    </w:p>
    <w:p w14:paraId="223AF2B7" w14:textId="00AD325D" w:rsidR="00586FBE" w:rsidRPr="00961F77" w:rsidRDefault="00586FBE" w:rsidP="00035BE2">
      <w:pPr>
        <w:jc w:val="both"/>
        <w:textAlignment w:val="baseline"/>
      </w:pPr>
    </w:p>
    <w:p w14:paraId="3DA14C9F" w14:textId="77777777" w:rsidR="00586FBE" w:rsidRPr="00961F77" w:rsidRDefault="002A2C2F" w:rsidP="00035BE2">
      <w:pPr>
        <w:jc w:val="center"/>
        <w:outlineLvl w:val="0"/>
        <w:rPr>
          <w:b/>
          <w:kern w:val="36"/>
        </w:rPr>
      </w:pPr>
      <w:r w:rsidRPr="00961F77">
        <w:rPr>
          <w:b/>
          <w:kern w:val="36"/>
        </w:rPr>
        <w:t xml:space="preserve">PRAVO NA SREDSTVA ZA FISKALNU </w:t>
      </w:r>
    </w:p>
    <w:p w14:paraId="287BD932" w14:textId="0014EBA8" w:rsidR="002A2C2F" w:rsidRPr="00961F77" w:rsidRDefault="002A2C2F" w:rsidP="00035BE2">
      <w:pPr>
        <w:jc w:val="center"/>
        <w:outlineLvl w:val="0"/>
        <w:rPr>
          <w:b/>
          <w:bCs/>
          <w:kern w:val="36"/>
        </w:rPr>
      </w:pPr>
      <w:r w:rsidRPr="00961F77">
        <w:rPr>
          <w:b/>
          <w:kern w:val="36"/>
        </w:rPr>
        <w:t>ODRŽIVOST DJEČJIH VRTIĆA</w:t>
      </w:r>
      <w:r w:rsidRPr="00961F77">
        <w:rPr>
          <w:b/>
          <w:bCs/>
          <w:kern w:val="36"/>
        </w:rPr>
        <w:t xml:space="preserve"> </w:t>
      </w:r>
    </w:p>
    <w:p w14:paraId="32481FBE" w14:textId="530BAA3F" w:rsidR="002A2C2F" w:rsidRPr="00961F77" w:rsidRDefault="002A2C2F" w:rsidP="00035BE2">
      <w:pPr>
        <w:textAlignment w:val="baseline"/>
      </w:pPr>
    </w:p>
    <w:p w14:paraId="13F687EE" w14:textId="21B77159" w:rsidR="002A2C2F" w:rsidRPr="00961F77" w:rsidRDefault="002A2C2F" w:rsidP="00035BE2">
      <w:pPr>
        <w:jc w:val="center"/>
        <w:outlineLvl w:val="1"/>
        <w:rPr>
          <w:b/>
          <w:bCs/>
        </w:rPr>
      </w:pPr>
      <w:r w:rsidRPr="00961F77">
        <w:rPr>
          <w:b/>
        </w:rPr>
        <w:t>Članak 3.</w:t>
      </w:r>
    </w:p>
    <w:p w14:paraId="1584251F" w14:textId="77777777" w:rsidR="00586FBE" w:rsidRPr="00961F77" w:rsidRDefault="00586FBE" w:rsidP="00035BE2">
      <w:pPr>
        <w:jc w:val="center"/>
        <w:outlineLvl w:val="1"/>
        <w:rPr>
          <w:b/>
          <w:bCs/>
        </w:rPr>
      </w:pPr>
    </w:p>
    <w:p w14:paraId="10CE70BC" w14:textId="59E71CB6" w:rsidR="002A2C2F" w:rsidRPr="00961F77" w:rsidRDefault="00586FBE" w:rsidP="00586FBE">
      <w:pPr>
        <w:tabs>
          <w:tab w:val="left" w:pos="1418"/>
        </w:tabs>
        <w:ind w:firstLine="708"/>
        <w:jc w:val="both"/>
      </w:pPr>
      <w:r w:rsidRPr="00961F77">
        <w:t xml:space="preserve">(1) </w:t>
      </w:r>
      <w:r w:rsidRPr="00961F77">
        <w:tab/>
      </w:r>
      <w:r w:rsidR="002A2C2F" w:rsidRPr="00961F77">
        <w:t xml:space="preserve">Jedinice lokalne i područne (regionalne) samouprave iz članka 2. točke 5. ove Uredbe ostvaruju pravo na sredstva iz državnog proračuna, </w:t>
      </w:r>
      <w:r w:rsidR="00145931" w:rsidRPr="00961F77">
        <w:t>R</w:t>
      </w:r>
      <w:r w:rsidR="002A2C2F" w:rsidRPr="00961F77">
        <w:t>azdjela 080 Ministarstvo znanosti i obrazovanja i postaju korisnici sredstava iz ove Uredbe, prema postotnom udjelu u prosječnoj cijeni smješ</w:t>
      </w:r>
      <w:r w:rsidR="009B75B2" w:rsidRPr="00961F77">
        <w:t>taja u dječjim vrtićima na razini</w:t>
      </w:r>
      <w:r w:rsidR="002A2C2F" w:rsidRPr="00961F77">
        <w:t xml:space="preserve"> Republike Hrvatske po djetetu, kako slijedi:</w:t>
      </w:r>
    </w:p>
    <w:p w14:paraId="04F8DF0D" w14:textId="77777777" w:rsidR="00586FBE" w:rsidRPr="00961F77" w:rsidRDefault="00586FBE" w:rsidP="00586FBE">
      <w:pPr>
        <w:ind w:firstLine="708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35BE2" w:rsidRPr="00961F77" w14:paraId="3BE2CBE5" w14:textId="77777777" w:rsidTr="00586FBE">
        <w:trPr>
          <w:trHeight w:val="731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78B47" w14:textId="648166E3" w:rsidR="00586FBE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Skupine razvijenosti prema ostvarenoj vrijednosti indeksa razvijenosti jedinice lokalne i područne (regionalne) samouprave na čijem području se nalazi matični ili područni dječji vrtić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6F85D" w14:textId="6FA76BE5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 xml:space="preserve">Postotni udio u prosječnoj cijeni smještaja u dječjim vrtićima na </w:t>
            </w:r>
            <w:r w:rsidR="009B75B2" w:rsidRPr="00961F77">
              <w:t>razini</w:t>
            </w:r>
            <w:r w:rsidRPr="00961F77">
              <w:t xml:space="preserve"> Republike Hrvatske po djetetu </w:t>
            </w:r>
          </w:p>
        </w:tc>
      </w:tr>
      <w:tr w:rsidR="00035BE2" w:rsidRPr="00961F77" w14:paraId="7C4DC8EB" w14:textId="77777777" w:rsidTr="00586FBE">
        <w:trPr>
          <w:trHeight w:val="298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4EE4E" w14:textId="354F231D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t>I.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6DF34" w14:textId="5156D2D4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50,00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  <w:tr w:rsidR="00035BE2" w:rsidRPr="00961F77" w14:paraId="26EE43F3" w14:textId="77777777" w:rsidTr="00586FBE">
        <w:trPr>
          <w:trHeight w:val="298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1E950" w14:textId="5937D197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lastRenderedPageBreak/>
              <w:t>II.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08B56" w14:textId="17622E78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43,75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  <w:tr w:rsidR="00035BE2" w:rsidRPr="00961F77" w14:paraId="1360B54E" w14:textId="77777777" w:rsidTr="00586FBE">
        <w:trPr>
          <w:trHeight w:val="283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195B9" w14:textId="10128A88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t>III.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9A8E2" w14:textId="352CCD3C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37,50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  <w:tr w:rsidR="00035BE2" w:rsidRPr="00961F77" w14:paraId="7853C683" w14:textId="77777777" w:rsidTr="00586FBE">
        <w:trPr>
          <w:trHeight w:val="298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82497" w14:textId="4851EFB8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t>IV.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071A0" w14:textId="7EF35881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31,25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  <w:tr w:rsidR="00035BE2" w:rsidRPr="00961F77" w14:paraId="10FE28D3" w14:textId="77777777" w:rsidTr="00586FBE">
        <w:trPr>
          <w:trHeight w:val="298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390B1" w14:textId="6596052F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t>V.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2AEF1" w14:textId="01423B0D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25,00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  <w:tr w:rsidR="00035BE2" w:rsidRPr="00961F77" w14:paraId="0ED72230" w14:textId="77777777" w:rsidTr="00586FBE">
        <w:trPr>
          <w:trHeight w:val="283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0CEE5" w14:textId="1F03F738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t>VI.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DC90F" w14:textId="28513887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18,75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  <w:tr w:rsidR="00035BE2" w:rsidRPr="00961F77" w14:paraId="329E3703" w14:textId="77777777" w:rsidTr="00586FBE">
        <w:trPr>
          <w:trHeight w:val="298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7534B" w14:textId="5AB940EB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t>VII.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534581" w14:textId="7B66D67E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12,50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  <w:tr w:rsidR="00035BE2" w:rsidRPr="00961F77" w14:paraId="67D0C2AB" w14:textId="77777777" w:rsidTr="00586FBE">
        <w:trPr>
          <w:trHeight w:val="298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13D10" w14:textId="4CA0577E" w:rsidR="002A2C2F" w:rsidRPr="00961F77" w:rsidRDefault="009B75B2" w:rsidP="00586FBE">
            <w:pPr>
              <w:spacing w:before="120" w:after="120"/>
              <w:jc w:val="center"/>
              <w:textAlignment w:val="baseline"/>
            </w:pPr>
            <w:r w:rsidRPr="00961F77">
              <w:t>VIII.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079E2" w14:textId="2075DCA3" w:rsidR="002A2C2F" w:rsidRPr="00961F77" w:rsidRDefault="002A2C2F" w:rsidP="00586FBE">
            <w:pPr>
              <w:spacing w:before="120" w:after="120"/>
              <w:jc w:val="center"/>
              <w:textAlignment w:val="baseline"/>
            </w:pPr>
            <w:r w:rsidRPr="00961F77">
              <w:t>6,25</w:t>
            </w:r>
            <w:r w:rsidR="00586FBE" w:rsidRPr="00961F77">
              <w:t xml:space="preserve"> </w:t>
            </w:r>
            <w:r w:rsidRPr="00961F77">
              <w:t xml:space="preserve">% </w:t>
            </w:r>
          </w:p>
        </w:tc>
      </w:tr>
    </w:tbl>
    <w:p w14:paraId="06E0C78B" w14:textId="77777777" w:rsidR="00586FBE" w:rsidRPr="00961F77" w:rsidRDefault="00586FBE" w:rsidP="00035BE2">
      <w:pPr>
        <w:jc w:val="both"/>
        <w:textAlignment w:val="baseline"/>
      </w:pPr>
    </w:p>
    <w:p w14:paraId="4EC905CB" w14:textId="38D9294C" w:rsidR="002A2C2F" w:rsidRPr="00961F77" w:rsidRDefault="002A2C2F" w:rsidP="00586FBE">
      <w:pPr>
        <w:tabs>
          <w:tab w:val="left" w:pos="1418"/>
        </w:tabs>
        <w:ind w:firstLine="708"/>
        <w:jc w:val="both"/>
        <w:textAlignment w:val="baseline"/>
      </w:pPr>
      <w:r w:rsidRPr="00961F77">
        <w:t xml:space="preserve">(2) </w:t>
      </w:r>
      <w:r w:rsidR="00586FBE" w:rsidRPr="00961F77">
        <w:tab/>
      </w:r>
      <w:r w:rsidRPr="00961F77">
        <w:t>Postotni udio iz stavka 1. ovog</w:t>
      </w:r>
      <w:r w:rsidR="004A1D64" w:rsidRPr="00961F77">
        <w:t>a</w:t>
      </w:r>
      <w:r w:rsidRPr="00961F77">
        <w:t xml:space="preserve"> članka izračunava se prema skupini razvijenosti jedinice lokalne i područne (regionalne) samouprave na čijem se području nalazi mat</w:t>
      </w:r>
      <w:r w:rsidR="00586FBE" w:rsidRPr="00961F77">
        <w:t>ični ili područni dječji vrtić.</w:t>
      </w:r>
    </w:p>
    <w:p w14:paraId="50A7F63B" w14:textId="77777777" w:rsidR="00586FBE" w:rsidRPr="00961F77" w:rsidRDefault="00586FBE" w:rsidP="00035BE2">
      <w:pPr>
        <w:jc w:val="both"/>
        <w:textAlignment w:val="baseline"/>
      </w:pPr>
    </w:p>
    <w:p w14:paraId="10F01743" w14:textId="36F64FE0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(3) </w:t>
      </w:r>
      <w:r w:rsidR="00586FBE" w:rsidRPr="00961F77">
        <w:tab/>
      </w:r>
      <w:r w:rsidRPr="00961F77">
        <w:t>Iznimno od stavka 1. ovog</w:t>
      </w:r>
      <w:r w:rsidR="00AF1CD2" w:rsidRPr="00961F77">
        <w:t>a</w:t>
      </w:r>
      <w:r w:rsidRPr="00961F77">
        <w:t xml:space="preserve"> članka, postotni udio utvrđen stavkom 1. ovog</w:t>
      </w:r>
      <w:r w:rsidR="006A0EAB" w:rsidRPr="00961F77">
        <w:t>a</w:t>
      </w:r>
      <w:r w:rsidRPr="00961F77">
        <w:t xml:space="preserve"> članka, uvećava se za 15</w:t>
      </w:r>
      <w:r w:rsidR="006A0EAB" w:rsidRPr="00961F77">
        <w:t xml:space="preserve"> </w:t>
      </w:r>
      <w:r w:rsidRPr="00961F77">
        <w:t>% za broj djece koja su upisana u dječje vrtiće na otoku prema Popisu otoka i otočića iz Zakona o otocima (</w:t>
      </w:r>
      <w:r w:rsidR="006A0EAB" w:rsidRPr="00961F77">
        <w:t>„</w:t>
      </w:r>
      <w:r w:rsidRPr="00961F77">
        <w:t>Narodne novine</w:t>
      </w:r>
      <w:r w:rsidR="006A0EAB" w:rsidRPr="00961F77">
        <w:t>“</w:t>
      </w:r>
      <w:r w:rsidRPr="00961F77">
        <w:t>, br</w:t>
      </w:r>
      <w:r w:rsidR="00223567">
        <w:t>. 116/18. i</w:t>
      </w:r>
      <w:bookmarkStart w:id="0" w:name="_GoBack"/>
      <w:bookmarkEnd w:id="0"/>
      <w:r w:rsidRPr="00961F77">
        <w:t xml:space="preserve"> 70/21</w:t>
      </w:r>
      <w:r w:rsidR="006A0EAB" w:rsidRPr="00961F77">
        <w:t>.</w:t>
      </w:r>
      <w:r w:rsidRPr="00961F77">
        <w:t>) i za jedinice lokalne samouprave koje imaju status brdsko-planinskog područja, te iznosi kako slijedi:</w:t>
      </w:r>
    </w:p>
    <w:p w14:paraId="201685C3" w14:textId="77777777" w:rsidR="00586FBE" w:rsidRPr="00961F77" w:rsidRDefault="00586FBE" w:rsidP="00586FBE">
      <w:pPr>
        <w:ind w:firstLine="708"/>
        <w:jc w:val="both"/>
        <w:textAlignment w:val="baseline"/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035BE2" w:rsidRPr="00961F77" w14:paraId="7FD3AE5A" w14:textId="77777777" w:rsidTr="00586FBE">
        <w:trPr>
          <w:trHeight w:val="1673"/>
          <w:jc w:val="center"/>
        </w:trPr>
        <w:tc>
          <w:tcPr>
            <w:tcW w:w="2500" w:type="pct"/>
            <w:hideMark/>
          </w:tcPr>
          <w:p w14:paraId="65B92900" w14:textId="77777777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Skupine razvijenosti prema ostvarenoj vrijednosti indeksa razvijenosti jedinice lokalne i područne (regionalne) samouprave na čijem području se nalazi matični ili područni dječji vrtić</w:t>
            </w:r>
          </w:p>
        </w:tc>
        <w:tc>
          <w:tcPr>
            <w:tcW w:w="2500" w:type="pct"/>
            <w:hideMark/>
          </w:tcPr>
          <w:p w14:paraId="0B66BFAB" w14:textId="348249F6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 xml:space="preserve">Postotni udio u prosječnoj cijeni smještaja u dječjim vrtićima na </w:t>
            </w:r>
            <w:r w:rsidR="009B75B2" w:rsidRPr="00961F77">
              <w:rPr>
                <w:rFonts w:ascii="Times New Roman" w:hAnsi="Times New Roman"/>
              </w:rPr>
              <w:t>razini</w:t>
            </w:r>
            <w:r w:rsidRPr="00961F77">
              <w:rPr>
                <w:rFonts w:ascii="Times New Roman" w:hAnsi="Times New Roman"/>
              </w:rPr>
              <w:t xml:space="preserve"> Republike Hrvatske po djetetu, za broj djece koja su upisana u dječje vrtiće na otoku ili na brdsko-planinskom području</w:t>
            </w:r>
          </w:p>
        </w:tc>
      </w:tr>
      <w:tr w:rsidR="00035BE2" w:rsidRPr="00961F77" w14:paraId="7D47DE5B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76D4AB7A" w14:textId="13F59BFD" w:rsidR="002A2C2F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I.</w:t>
            </w:r>
          </w:p>
        </w:tc>
        <w:tc>
          <w:tcPr>
            <w:tcW w:w="2500" w:type="pct"/>
            <w:hideMark/>
          </w:tcPr>
          <w:p w14:paraId="57C36007" w14:textId="3BD3E1E5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57,50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  <w:tr w:rsidR="00035BE2" w:rsidRPr="00961F77" w14:paraId="15C0AC25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492A45E4" w14:textId="2431F8CE" w:rsidR="009B75B2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II.</w:t>
            </w:r>
          </w:p>
        </w:tc>
        <w:tc>
          <w:tcPr>
            <w:tcW w:w="2500" w:type="pct"/>
            <w:hideMark/>
          </w:tcPr>
          <w:p w14:paraId="75C806FA" w14:textId="3955FBE8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50,31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  <w:tr w:rsidR="00035BE2" w:rsidRPr="00961F77" w14:paraId="25ADBBC3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1B98BCB8" w14:textId="0CDCAC85" w:rsidR="002A2C2F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III.</w:t>
            </w:r>
          </w:p>
        </w:tc>
        <w:tc>
          <w:tcPr>
            <w:tcW w:w="2500" w:type="pct"/>
            <w:hideMark/>
          </w:tcPr>
          <w:p w14:paraId="4D8C97F0" w14:textId="0CC5178F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43,13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  <w:tr w:rsidR="00035BE2" w:rsidRPr="00961F77" w14:paraId="1355DA52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1508FF0F" w14:textId="660F6C14" w:rsidR="002A2C2F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IV.</w:t>
            </w:r>
          </w:p>
        </w:tc>
        <w:tc>
          <w:tcPr>
            <w:tcW w:w="2500" w:type="pct"/>
            <w:hideMark/>
          </w:tcPr>
          <w:p w14:paraId="152DA66A" w14:textId="0FC5D98D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35,94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  <w:tr w:rsidR="00035BE2" w:rsidRPr="00961F77" w14:paraId="6037255D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5FA53CE6" w14:textId="5F9D52C4" w:rsidR="002A2C2F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V.</w:t>
            </w:r>
          </w:p>
        </w:tc>
        <w:tc>
          <w:tcPr>
            <w:tcW w:w="2500" w:type="pct"/>
            <w:hideMark/>
          </w:tcPr>
          <w:p w14:paraId="611E3DD6" w14:textId="5DB4A696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28,75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  <w:tr w:rsidR="00035BE2" w:rsidRPr="00961F77" w14:paraId="14EA37EF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3EA14CD5" w14:textId="709644E0" w:rsidR="002A2C2F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VI.</w:t>
            </w:r>
          </w:p>
        </w:tc>
        <w:tc>
          <w:tcPr>
            <w:tcW w:w="2500" w:type="pct"/>
            <w:hideMark/>
          </w:tcPr>
          <w:p w14:paraId="4D0D5E5F" w14:textId="7FFAE676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21,56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  <w:tr w:rsidR="00035BE2" w:rsidRPr="00961F77" w14:paraId="717E3D8B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787081FF" w14:textId="135B2438" w:rsidR="009B75B2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lastRenderedPageBreak/>
              <w:t>VII.</w:t>
            </w:r>
          </w:p>
        </w:tc>
        <w:tc>
          <w:tcPr>
            <w:tcW w:w="2500" w:type="pct"/>
            <w:hideMark/>
          </w:tcPr>
          <w:p w14:paraId="0F37F9FE" w14:textId="1054FAF3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14,38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  <w:tr w:rsidR="00035BE2" w:rsidRPr="00961F77" w14:paraId="43542412" w14:textId="77777777" w:rsidTr="00586FBE">
        <w:trPr>
          <w:trHeight w:val="317"/>
          <w:jc w:val="center"/>
        </w:trPr>
        <w:tc>
          <w:tcPr>
            <w:tcW w:w="2500" w:type="pct"/>
            <w:hideMark/>
          </w:tcPr>
          <w:p w14:paraId="130BE726" w14:textId="36552519" w:rsidR="002A2C2F" w:rsidRPr="00961F77" w:rsidRDefault="009B75B2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VIII.</w:t>
            </w:r>
          </w:p>
        </w:tc>
        <w:tc>
          <w:tcPr>
            <w:tcW w:w="2500" w:type="pct"/>
            <w:hideMark/>
          </w:tcPr>
          <w:p w14:paraId="4AAF54C7" w14:textId="3493B3C4" w:rsidR="002A2C2F" w:rsidRPr="00961F77" w:rsidRDefault="002A2C2F" w:rsidP="00586FB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61F77">
              <w:rPr>
                <w:rFonts w:ascii="Times New Roman" w:hAnsi="Times New Roman"/>
              </w:rPr>
              <w:t>7,19</w:t>
            </w:r>
            <w:r w:rsidR="00586FBE" w:rsidRPr="00961F77">
              <w:rPr>
                <w:rFonts w:ascii="Times New Roman" w:hAnsi="Times New Roman"/>
              </w:rPr>
              <w:t xml:space="preserve"> </w:t>
            </w:r>
            <w:r w:rsidRPr="00961F77">
              <w:rPr>
                <w:rFonts w:ascii="Times New Roman" w:hAnsi="Times New Roman"/>
              </w:rPr>
              <w:t>%</w:t>
            </w:r>
          </w:p>
        </w:tc>
      </w:tr>
    </w:tbl>
    <w:p w14:paraId="25E87992" w14:textId="0137291B" w:rsidR="00586FBE" w:rsidRPr="00961F77" w:rsidRDefault="00586FBE" w:rsidP="00035BE2">
      <w:pPr>
        <w:jc w:val="center"/>
        <w:outlineLvl w:val="1"/>
      </w:pPr>
    </w:p>
    <w:p w14:paraId="3C308F4E" w14:textId="77777777" w:rsidR="00586FBE" w:rsidRPr="00961F77" w:rsidRDefault="00586FBE" w:rsidP="00035BE2">
      <w:pPr>
        <w:jc w:val="center"/>
        <w:outlineLvl w:val="1"/>
      </w:pPr>
    </w:p>
    <w:p w14:paraId="74637C14" w14:textId="3ED26654" w:rsidR="00586FBE" w:rsidRPr="00961F77" w:rsidRDefault="00586FBE" w:rsidP="00035BE2">
      <w:pPr>
        <w:jc w:val="center"/>
        <w:outlineLvl w:val="1"/>
        <w:rPr>
          <w:b/>
          <w:kern w:val="36"/>
        </w:rPr>
      </w:pPr>
      <w:r w:rsidRPr="00961F77">
        <w:rPr>
          <w:b/>
          <w:kern w:val="36"/>
        </w:rPr>
        <w:t>PROSJEČNA CIJENA SMJEŠTAJA U DJEČJIM VRTIĆIMA</w:t>
      </w:r>
    </w:p>
    <w:p w14:paraId="28AC8A92" w14:textId="77777777" w:rsidR="00586FBE" w:rsidRPr="00961F77" w:rsidRDefault="00586FBE" w:rsidP="00035BE2">
      <w:pPr>
        <w:jc w:val="center"/>
        <w:outlineLvl w:val="1"/>
        <w:rPr>
          <w:b/>
        </w:rPr>
      </w:pPr>
    </w:p>
    <w:p w14:paraId="1D744B9F" w14:textId="3308EFA3" w:rsidR="002A2C2F" w:rsidRPr="00961F77" w:rsidRDefault="002A2C2F" w:rsidP="00035BE2">
      <w:pPr>
        <w:jc w:val="center"/>
        <w:outlineLvl w:val="1"/>
        <w:rPr>
          <w:b/>
          <w:bCs/>
        </w:rPr>
      </w:pPr>
      <w:r w:rsidRPr="00961F77">
        <w:rPr>
          <w:b/>
        </w:rPr>
        <w:t>Članak 4.</w:t>
      </w:r>
      <w:r w:rsidRPr="00961F77">
        <w:rPr>
          <w:b/>
          <w:bCs/>
        </w:rPr>
        <w:t xml:space="preserve"> </w:t>
      </w:r>
    </w:p>
    <w:p w14:paraId="78DE0A77" w14:textId="77777777" w:rsidR="00586FBE" w:rsidRPr="00961F77" w:rsidRDefault="00586FBE" w:rsidP="00035BE2">
      <w:pPr>
        <w:jc w:val="center"/>
        <w:outlineLvl w:val="1"/>
        <w:rPr>
          <w:b/>
          <w:bCs/>
        </w:rPr>
      </w:pPr>
    </w:p>
    <w:p w14:paraId="1185D60D" w14:textId="2075E40F" w:rsidR="002A2C2F" w:rsidRPr="00961F77" w:rsidRDefault="00586FBE" w:rsidP="00586FBE">
      <w:pPr>
        <w:tabs>
          <w:tab w:val="left" w:pos="1418"/>
        </w:tabs>
        <w:ind w:firstLine="708"/>
        <w:jc w:val="both"/>
        <w:textAlignment w:val="baseline"/>
      </w:pPr>
      <w:r w:rsidRPr="00961F77">
        <w:t xml:space="preserve">(1) </w:t>
      </w:r>
      <w:r w:rsidRPr="00961F77">
        <w:tab/>
      </w:r>
      <w:r w:rsidR="002A2C2F" w:rsidRPr="00961F77">
        <w:t xml:space="preserve">Prosječna cijena smještaja </w:t>
      </w:r>
      <w:r w:rsidR="009B75B2" w:rsidRPr="00961F77">
        <w:t>po djetetu na razini</w:t>
      </w:r>
      <w:r w:rsidR="002A2C2F" w:rsidRPr="00961F77">
        <w:t xml:space="preserve"> Republike Hrvatske izračunava se na način da se ukupni troškovi javnih vrtića za fiskalnu godinu koja prethodi pedagoškoj godini za koju se dodjeljuju sredstva dijele s ukupnim brojem upisane djece u javnim vrtićima u pedagoškoj godini koja prethodi pedagoškoj godini za koju se dodjeljuju sredstva, evidentirane u zaje</w:t>
      </w:r>
      <w:r w:rsidRPr="00961F77">
        <w:t>dničkom elektroničkom upisniku.</w:t>
      </w:r>
    </w:p>
    <w:p w14:paraId="0040A0A1" w14:textId="77777777" w:rsidR="00586FBE" w:rsidRPr="00961F77" w:rsidRDefault="00586FBE" w:rsidP="00586FBE"/>
    <w:p w14:paraId="5671688B" w14:textId="0D820F70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(2) </w:t>
      </w:r>
      <w:r w:rsidR="00586FBE" w:rsidRPr="00961F77">
        <w:tab/>
      </w:r>
      <w:r w:rsidRPr="00961F77">
        <w:t>U ukupne troškove dječjih vrtića iz stavka 1. ovog</w:t>
      </w:r>
      <w:r w:rsidR="00BD6467" w:rsidRPr="00961F77">
        <w:t>a</w:t>
      </w:r>
      <w:r w:rsidRPr="00961F77">
        <w:t xml:space="preserve"> članka ubrajaju se rashodi iskazani u godišnjim financijskim izvještajima za prethodnu fiskalnu godinu, a koji se  sukladno Računskom planu proračuna odnose na skupine 31 - Rashodi za zaposlene i 32 </w:t>
      </w:r>
      <w:r w:rsidR="00BD6467" w:rsidRPr="00961F77">
        <w:t>-</w:t>
      </w:r>
      <w:r w:rsidRPr="00961F77">
        <w:t xml:space="preserve"> Materijalni rashodi, podskupine 422 </w:t>
      </w:r>
      <w:r w:rsidR="00BD6467" w:rsidRPr="00961F77">
        <w:t>-</w:t>
      </w:r>
      <w:r w:rsidR="00647CE9" w:rsidRPr="00961F77">
        <w:t xml:space="preserve"> </w:t>
      </w:r>
      <w:r w:rsidRPr="00961F77">
        <w:t xml:space="preserve">Postrojenja i oprema i 423 </w:t>
      </w:r>
      <w:r w:rsidR="00BD6467" w:rsidRPr="00961F77">
        <w:t>-</w:t>
      </w:r>
      <w:r w:rsidR="00647CE9" w:rsidRPr="00961F77">
        <w:t xml:space="preserve"> </w:t>
      </w:r>
      <w:r w:rsidRPr="00961F77">
        <w:t>Prijevozna sredstva</w:t>
      </w:r>
      <w:r w:rsidR="00BD6467" w:rsidRPr="00961F77">
        <w:t>,</w:t>
      </w:r>
      <w:r w:rsidRPr="00961F77">
        <w:t xml:space="preserve"> te odjeljke 3431 </w:t>
      </w:r>
      <w:r w:rsidR="00BD6467" w:rsidRPr="00961F77">
        <w:t>-</w:t>
      </w:r>
      <w:r w:rsidR="00647CE9" w:rsidRPr="00961F77">
        <w:t xml:space="preserve"> </w:t>
      </w:r>
      <w:r w:rsidRPr="00961F77">
        <w:t>Bankarske usluge i usluge platnog prometa</w:t>
      </w:r>
      <w:r w:rsidR="00BD6467" w:rsidRPr="00961F77">
        <w:t xml:space="preserve"> i</w:t>
      </w:r>
      <w:r w:rsidRPr="00961F77">
        <w:t xml:space="preserve"> 3433 </w:t>
      </w:r>
      <w:r w:rsidR="00BD6467" w:rsidRPr="00961F77">
        <w:t>-</w:t>
      </w:r>
      <w:r w:rsidR="00647CE9" w:rsidRPr="00961F77">
        <w:t xml:space="preserve"> </w:t>
      </w:r>
      <w:r w:rsidRPr="00961F77">
        <w:t xml:space="preserve">Zatezne kamate. </w:t>
      </w:r>
    </w:p>
    <w:p w14:paraId="699843F0" w14:textId="77777777" w:rsidR="00586FBE" w:rsidRPr="00961F77" w:rsidRDefault="00586FBE" w:rsidP="00035BE2">
      <w:pPr>
        <w:jc w:val="both"/>
        <w:textAlignment w:val="baseline"/>
      </w:pPr>
    </w:p>
    <w:p w14:paraId="57C482B2" w14:textId="21EB8F1A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(3) </w:t>
      </w:r>
      <w:r w:rsidR="00586FBE" w:rsidRPr="00961F77">
        <w:tab/>
      </w:r>
      <w:r w:rsidRPr="00961F77">
        <w:t>Obveznici predškole koji ne pohađaju dječji vrtić, a upisuju program predškole u dječjem vrtiću ili osnovnoj školi, izuzimaju se iz ukupnog broja djece iz stavka 1. ovog</w:t>
      </w:r>
      <w:r w:rsidR="009A1EE3" w:rsidRPr="00961F77">
        <w:t>a</w:t>
      </w:r>
      <w:r w:rsidRPr="00961F77">
        <w:t xml:space="preserve"> članka. </w:t>
      </w:r>
    </w:p>
    <w:p w14:paraId="28D6DD94" w14:textId="7ABE5B27" w:rsidR="002A2C2F" w:rsidRPr="00961F77" w:rsidRDefault="002A2C2F" w:rsidP="00035BE2">
      <w:pPr>
        <w:textAlignment w:val="baseline"/>
      </w:pPr>
    </w:p>
    <w:p w14:paraId="73BBE379" w14:textId="77777777" w:rsidR="00586FBE" w:rsidRPr="00961F77" w:rsidRDefault="00586FBE" w:rsidP="00035BE2">
      <w:pPr>
        <w:textAlignment w:val="baseline"/>
      </w:pPr>
    </w:p>
    <w:p w14:paraId="168A52AF" w14:textId="77777777" w:rsidR="00586FBE" w:rsidRPr="00961F77" w:rsidRDefault="002A2C2F" w:rsidP="00035BE2">
      <w:pPr>
        <w:jc w:val="center"/>
        <w:outlineLvl w:val="0"/>
        <w:rPr>
          <w:b/>
          <w:kern w:val="36"/>
        </w:rPr>
      </w:pPr>
      <w:r w:rsidRPr="00961F77">
        <w:rPr>
          <w:b/>
          <w:kern w:val="36"/>
        </w:rPr>
        <w:t xml:space="preserve">IZRAČUN IZNOSA SREDSTAVA ZA FISKALNU ODRŽIVOST </w:t>
      </w:r>
    </w:p>
    <w:p w14:paraId="55FF345B" w14:textId="0BA00FC9" w:rsidR="002A2C2F" w:rsidRPr="00961F77" w:rsidRDefault="002A2C2F" w:rsidP="00035BE2">
      <w:pPr>
        <w:jc w:val="center"/>
        <w:outlineLvl w:val="0"/>
        <w:rPr>
          <w:b/>
          <w:bCs/>
          <w:kern w:val="36"/>
        </w:rPr>
      </w:pPr>
      <w:r w:rsidRPr="00961F77">
        <w:rPr>
          <w:b/>
          <w:kern w:val="36"/>
        </w:rPr>
        <w:t>DJEČJIH VRTIĆA PO KORISNIKU SREDSTAVA</w:t>
      </w:r>
      <w:r w:rsidRPr="00961F77">
        <w:rPr>
          <w:b/>
          <w:bCs/>
          <w:kern w:val="36"/>
        </w:rPr>
        <w:t xml:space="preserve"> </w:t>
      </w:r>
    </w:p>
    <w:p w14:paraId="3A886CBD" w14:textId="58B7EC38" w:rsidR="002A2C2F" w:rsidRPr="00961F77" w:rsidRDefault="002A2C2F" w:rsidP="00035BE2">
      <w:pPr>
        <w:textAlignment w:val="baseline"/>
      </w:pPr>
    </w:p>
    <w:p w14:paraId="1EC054CC" w14:textId="385E3F92" w:rsidR="002A2C2F" w:rsidRPr="00961F77" w:rsidRDefault="002A2C2F" w:rsidP="00035BE2">
      <w:pPr>
        <w:jc w:val="center"/>
        <w:outlineLvl w:val="1"/>
        <w:rPr>
          <w:b/>
          <w:bCs/>
        </w:rPr>
      </w:pPr>
      <w:r w:rsidRPr="00961F77">
        <w:rPr>
          <w:b/>
        </w:rPr>
        <w:t>Članak 5.</w:t>
      </w:r>
    </w:p>
    <w:p w14:paraId="12B99843" w14:textId="77777777" w:rsidR="00586FBE" w:rsidRPr="00961F77" w:rsidRDefault="00586FBE" w:rsidP="00035BE2">
      <w:pPr>
        <w:jc w:val="center"/>
        <w:outlineLvl w:val="1"/>
        <w:rPr>
          <w:b/>
          <w:bCs/>
        </w:rPr>
      </w:pPr>
    </w:p>
    <w:p w14:paraId="5381CA2F" w14:textId="00C14D31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(1) </w:t>
      </w:r>
      <w:r w:rsidR="00586FBE" w:rsidRPr="00961F77">
        <w:tab/>
      </w:r>
      <w:r w:rsidRPr="00961F77">
        <w:t xml:space="preserve">Kriterij za izračun ukupnog iznosa sredstava za fiskalnu održivost dječjih vrtića po korisniku je ukupan broj djece upisane u dječje vrtiće čiji je osnivač </w:t>
      </w:r>
      <w:r w:rsidR="00976E05" w:rsidRPr="00961F77">
        <w:t xml:space="preserve">jedinica lokalne i područne (regionalne) samouprave </w:t>
      </w:r>
      <w:r w:rsidRPr="00961F77">
        <w:t xml:space="preserve">koja je korisnik sredstava kao i djece upisane u privatne dječje vrtiće </w:t>
      </w:r>
      <w:r w:rsidRPr="00961F77">
        <w:lastRenderedPageBreak/>
        <w:t xml:space="preserve">koja se nalaze na području jedinice lokalne </w:t>
      </w:r>
      <w:r w:rsidR="003E4074" w:rsidRPr="00961F77">
        <w:t xml:space="preserve">i </w:t>
      </w:r>
      <w:r w:rsidRPr="00961F77">
        <w:t>područne</w:t>
      </w:r>
      <w:r w:rsidR="003E4074" w:rsidRPr="00961F77">
        <w:t xml:space="preserve"> (regionalne)</w:t>
      </w:r>
      <w:r w:rsidRPr="00961F77">
        <w:t xml:space="preserve"> samouprave koja je korisnik sredstava, evidentirane u zajedničkom elektroničkom upisniku u tekućoj pedagoškoj godini.</w:t>
      </w:r>
    </w:p>
    <w:p w14:paraId="0FE1A53A" w14:textId="77777777" w:rsidR="00586FBE" w:rsidRPr="00961F77" w:rsidRDefault="00586FBE" w:rsidP="00035BE2">
      <w:pPr>
        <w:jc w:val="both"/>
        <w:textAlignment w:val="baseline"/>
      </w:pPr>
    </w:p>
    <w:p w14:paraId="35365021" w14:textId="33052476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(2) </w:t>
      </w:r>
      <w:r w:rsidR="00586FBE" w:rsidRPr="00961F77">
        <w:tab/>
      </w:r>
      <w:r w:rsidRPr="00961F77">
        <w:t>Obveznici predškole koji ne pohađaju dječji vrtić, a upisuju program predškole u dječjem vrtiću ili osnovnoj školi, izuzimaju se iz ukupnog broja djece iz stavka 1. ovog</w:t>
      </w:r>
      <w:r w:rsidR="00373510" w:rsidRPr="00961F77">
        <w:t>a</w:t>
      </w:r>
      <w:r w:rsidRPr="00961F77">
        <w:t xml:space="preserve"> članka.</w:t>
      </w:r>
    </w:p>
    <w:p w14:paraId="02B49E18" w14:textId="77777777" w:rsidR="00586FBE" w:rsidRPr="00961F77" w:rsidRDefault="00586FBE" w:rsidP="00035BE2">
      <w:pPr>
        <w:jc w:val="both"/>
        <w:textAlignment w:val="baseline"/>
      </w:pPr>
    </w:p>
    <w:p w14:paraId="7FACE0C5" w14:textId="6678FC6C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(3) </w:t>
      </w:r>
      <w:r w:rsidR="00586FBE" w:rsidRPr="00961F77">
        <w:tab/>
      </w:r>
      <w:r w:rsidRPr="00961F77">
        <w:t xml:space="preserve">Godišnji iznos sredstava za fiskalnu održivost dječjih vrtića utvrđuje se za pedagošku godinu po </w:t>
      </w:r>
      <w:r w:rsidR="00586FBE" w:rsidRPr="00961F77">
        <w:t>korisnicima sredstava umnoškom:</w:t>
      </w:r>
    </w:p>
    <w:p w14:paraId="4A78A6E8" w14:textId="77777777" w:rsidR="00586FBE" w:rsidRPr="00961F77" w:rsidRDefault="00586FBE" w:rsidP="00586FBE">
      <w:pPr>
        <w:ind w:firstLine="708"/>
        <w:jc w:val="both"/>
        <w:textAlignment w:val="baseline"/>
      </w:pPr>
    </w:p>
    <w:p w14:paraId="2637DD27" w14:textId="0B159527" w:rsidR="002A2C2F" w:rsidRPr="00961F77" w:rsidRDefault="002A2C2F" w:rsidP="00586FBE">
      <w:pPr>
        <w:ind w:left="709" w:hanging="709"/>
        <w:jc w:val="both"/>
        <w:textAlignment w:val="baseline"/>
      </w:pPr>
      <w:r w:rsidRPr="00961F77">
        <w:t xml:space="preserve">- </w:t>
      </w:r>
      <w:r w:rsidR="00586FBE" w:rsidRPr="00961F77">
        <w:tab/>
      </w:r>
      <w:r w:rsidRPr="00961F77">
        <w:t>broja djece u skladu s kriterijim</w:t>
      </w:r>
      <w:r w:rsidR="00586FBE" w:rsidRPr="00961F77">
        <w:t>a iz stav</w:t>
      </w:r>
      <w:r w:rsidR="002D7ADD" w:rsidRPr="00961F77">
        <w:t>a</w:t>
      </w:r>
      <w:r w:rsidR="00586FBE" w:rsidRPr="00961F77">
        <w:t>ka 1. i 2. ovog</w:t>
      </w:r>
      <w:r w:rsidR="002D7ADD" w:rsidRPr="00961F77">
        <w:t>a</w:t>
      </w:r>
      <w:r w:rsidR="00586FBE" w:rsidRPr="00961F77">
        <w:t xml:space="preserve"> članka</w:t>
      </w:r>
    </w:p>
    <w:p w14:paraId="482BF71C" w14:textId="18050D0B" w:rsidR="002A2C2F" w:rsidRPr="00961F77" w:rsidRDefault="002A2C2F" w:rsidP="00586FBE">
      <w:pPr>
        <w:ind w:left="709" w:hanging="709"/>
        <w:jc w:val="both"/>
        <w:textAlignment w:val="baseline"/>
      </w:pPr>
      <w:r w:rsidRPr="00961F77">
        <w:t xml:space="preserve">- </w:t>
      </w:r>
      <w:r w:rsidR="00586FBE" w:rsidRPr="00961F77">
        <w:tab/>
      </w:r>
      <w:r w:rsidRPr="00961F77">
        <w:t xml:space="preserve">prosječne cijene smještaja po djetetu na </w:t>
      </w:r>
      <w:r w:rsidR="009B75B2" w:rsidRPr="00961F77">
        <w:t>razini</w:t>
      </w:r>
      <w:r w:rsidRPr="00961F77">
        <w:t xml:space="preserve"> Republike Hrvatske iz članka 4. ove Uredbe i </w:t>
      </w:r>
    </w:p>
    <w:p w14:paraId="59B3D41F" w14:textId="5F3D2822" w:rsidR="002A2C2F" w:rsidRPr="00961F77" w:rsidRDefault="002A2C2F" w:rsidP="00586FBE">
      <w:pPr>
        <w:ind w:left="709" w:hanging="709"/>
        <w:jc w:val="both"/>
        <w:textAlignment w:val="baseline"/>
      </w:pPr>
      <w:r w:rsidRPr="00961F77">
        <w:t xml:space="preserve">- </w:t>
      </w:r>
      <w:r w:rsidR="00586FBE" w:rsidRPr="00961F77">
        <w:tab/>
      </w:r>
      <w:r w:rsidRPr="00961F77">
        <w:t xml:space="preserve">postotnog udjela iz članka 3. ove Uredbe prema skupinama razvijenosti jedinice lokalne i područne (regionalne) samouprave na čijem se području nalazi matični odnosno područni dječji vrtić. </w:t>
      </w:r>
    </w:p>
    <w:p w14:paraId="62DD9921" w14:textId="596557EC" w:rsidR="002A2C2F" w:rsidRPr="00961F77" w:rsidRDefault="002A2C2F" w:rsidP="00035BE2">
      <w:pPr>
        <w:jc w:val="both"/>
        <w:textAlignment w:val="baseline"/>
      </w:pPr>
    </w:p>
    <w:p w14:paraId="1FEACCA8" w14:textId="77777777" w:rsidR="00A3326B" w:rsidRPr="00961F77" w:rsidRDefault="00A3326B" w:rsidP="00035BE2">
      <w:pPr>
        <w:jc w:val="both"/>
        <w:textAlignment w:val="baseline"/>
      </w:pPr>
    </w:p>
    <w:p w14:paraId="632459C0" w14:textId="77777777" w:rsidR="00586FBE" w:rsidRPr="00961F77" w:rsidRDefault="002A2C2F" w:rsidP="00035BE2">
      <w:pPr>
        <w:jc w:val="center"/>
        <w:outlineLvl w:val="0"/>
        <w:rPr>
          <w:b/>
          <w:kern w:val="36"/>
        </w:rPr>
      </w:pPr>
      <w:r w:rsidRPr="00961F77">
        <w:rPr>
          <w:b/>
          <w:kern w:val="36"/>
        </w:rPr>
        <w:t xml:space="preserve">KORIŠTENJE SREDSTAVA ZA </w:t>
      </w:r>
    </w:p>
    <w:p w14:paraId="6A486818" w14:textId="6024141C" w:rsidR="002A2C2F" w:rsidRPr="00961F77" w:rsidRDefault="002A2C2F" w:rsidP="00035BE2">
      <w:pPr>
        <w:jc w:val="center"/>
        <w:outlineLvl w:val="0"/>
        <w:rPr>
          <w:b/>
          <w:bCs/>
          <w:kern w:val="36"/>
        </w:rPr>
      </w:pPr>
      <w:r w:rsidRPr="00961F77">
        <w:rPr>
          <w:b/>
          <w:kern w:val="36"/>
        </w:rPr>
        <w:t>FISKALNU ODRŽIVOST DJEČJIH VRTIĆA</w:t>
      </w:r>
      <w:r w:rsidRPr="00961F77">
        <w:rPr>
          <w:b/>
          <w:bCs/>
          <w:kern w:val="36"/>
        </w:rPr>
        <w:t xml:space="preserve"> </w:t>
      </w:r>
    </w:p>
    <w:p w14:paraId="76CE4A24" w14:textId="02668E43" w:rsidR="002A2C2F" w:rsidRPr="00961F77" w:rsidRDefault="002A2C2F" w:rsidP="00035BE2">
      <w:pPr>
        <w:jc w:val="center"/>
        <w:textAlignment w:val="baseline"/>
      </w:pPr>
    </w:p>
    <w:p w14:paraId="62FF36B8" w14:textId="6E7086DB" w:rsidR="002A2C2F" w:rsidRPr="00961F77" w:rsidRDefault="002A2C2F" w:rsidP="00035BE2">
      <w:pPr>
        <w:jc w:val="center"/>
        <w:outlineLvl w:val="1"/>
        <w:rPr>
          <w:b/>
          <w:bCs/>
        </w:rPr>
      </w:pPr>
      <w:r w:rsidRPr="00961F77">
        <w:rPr>
          <w:b/>
        </w:rPr>
        <w:t>Članak 6.</w:t>
      </w:r>
    </w:p>
    <w:p w14:paraId="6DF27BB6" w14:textId="77777777" w:rsidR="00586FBE" w:rsidRPr="00961F77" w:rsidRDefault="00586FBE" w:rsidP="00035BE2">
      <w:pPr>
        <w:jc w:val="center"/>
        <w:outlineLvl w:val="1"/>
        <w:rPr>
          <w:b/>
          <w:bCs/>
        </w:rPr>
      </w:pPr>
    </w:p>
    <w:p w14:paraId="73E3238E" w14:textId="57C26547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(1) </w:t>
      </w:r>
      <w:r w:rsidR="00586FBE" w:rsidRPr="00961F77">
        <w:tab/>
      </w:r>
      <w:r w:rsidRPr="00961F77">
        <w:t>Iznos sredstava za fiskalnu održivost dječjih vrtića, sukladno odredbama ove Uredbe korisnici sredstava planiraju prema proračunskim klasifikacijama u okviru prihoda i rashoda.</w:t>
      </w:r>
    </w:p>
    <w:p w14:paraId="49D2A72A" w14:textId="77777777" w:rsidR="00586FBE" w:rsidRPr="00961F77" w:rsidRDefault="00586FBE" w:rsidP="00035BE2">
      <w:pPr>
        <w:jc w:val="both"/>
        <w:textAlignment w:val="baseline"/>
      </w:pPr>
    </w:p>
    <w:p w14:paraId="6BD8024F" w14:textId="1DBBC914" w:rsidR="002A2C2F" w:rsidRPr="00961F77" w:rsidRDefault="002A2C2F" w:rsidP="00586FBE">
      <w:pPr>
        <w:ind w:firstLine="708"/>
        <w:jc w:val="both"/>
        <w:textAlignment w:val="baseline"/>
      </w:pPr>
      <w:r w:rsidRPr="00961F77">
        <w:t xml:space="preserve">(2) </w:t>
      </w:r>
      <w:r w:rsidR="00586FBE" w:rsidRPr="00961F77">
        <w:tab/>
      </w:r>
      <w:r w:rsidRPr="00961F77">
        <w:t xml:space="preserve">Korisnici sredstava dužni su sredstva ostvarena za fiskalnu održivost dječjih vrtića iz ove Uredbe koristiti kao dodatni izvor financiranja za dostupnost, održivost i priuštivost ranog i predškolskog odgoja i obrazovanja uz postojeću razinu i izvore financiranja, u skladu s obvezama, prema dinamici i planu prioriteta utvrđenima u proračunu korisnika sredstava. </w:t>
      </w:r>
    </w:p>
    <w:p w14:paraId="73A29ECA" w14:textId="77777777" w:rsidR="00586FBE" w:rsidRPr="00961F77" w:rsidRDefault="00586FBE" w:rsidP="00035BE2">
      <w:pPr>
        <w:jc w:val="center"/>
        <w:outlineLvl w:val="1"/>
      </w:pPr>
    </w:p>
    <w:p w14:paraId="432FEC27" w14:textId="759DF056" w:rsidR="002A2C2F" w:rsidRPr="00961F77" w:rsidRDefault="002A2C2F" w:rsidP="00035BE2">
      <w:pPr>
        <w:jc w:val="center"/>
        <w:outlineLvl w:val="1"/>
        <w:rPr>
          <w:b/>
          <w:bCs/>
        </w:rPr>
      </w:pPr>
      <w:r w:rsidRPr="00961F77">
        <w:rPr>
          <w:b/>
        </w:rPr>
        <w:t>Članak 7.</w:t>
      </w:r>
      <w:r w:rsidRPr="00961F77">
        <w:rPr>
          <w:b/>
          <w:bCs/>
        </w:rPr>
        <w:t xml:space="preserve"> </w:t>
      </w:r>
    </w:p>
    <w:p w14:paraId="471A0116" w14:textId="77777777" w:rsidR="00586FBE" w:rsidRPr="00961F77" w:rsidRDefault="00586FBE" w:rsidP="00035BE2">
      <w:pPr>
        <w:jc w:val="center"/>
        <w:outlineLvl w:val="1"/>
        <w:rPr>
          <w:b/>
          <w:bCs/>
        </w:rPr>
      </w:pPr>
    </w:p>
    <w:p w14:paraId="208372BB" w14:textId="26BA1703" w:rsidR="002A2C2F" w:rsidRPr="00961F77" w:rsidRDefault="002A2C2F" w:rsidP="00586FBE">
      <w:pPr>
        <w:ind w:firstLine="1418"/>
        <w:jc w:val="both"/>
        <w:textAlignment w:val="baseline"/>
      </w:pPr>
      <w:r w:rsidRPr="00961F77">
        <w:t xml:space="preserve">Ova Uredba stupa na snagu prvoga dana od dana objave u </w:t>
      </w:r>
      <w:r w:rsidR="00586FBE" w:rsidRPr="00961F77">
        <w:t>„</w:t>
      </w:r>
      <w:r w:rsidRPr="00961F77">
        <w:t>Narodnim novinama</w:t>
      </w:r>
      <w:r w:rsidR="00586FBE" w:rsidRPr="00961F77">
        <w:t>“</w:t>
      </w:r>
      <w:r w:rsidRPr="00961F77">
        <w:t>.</w:t>
      </w:r>
    </w:p>
    <w:p w14:paraId="37F5F40E" w14:textId="77777777" w:rsidR="00586FBE" w:rsidRPr="00961F77" w:rsidRDefault="00586FBE" w:rsidP="00586FBE">
      <w:pPr>
        <w:tabs>
          <w:tab w:val="left" w:pos="0"/>
        </w:tabs>
        <w:contextualSpacing/>
        <w:jc w:val="both"/>
      </w:pPr>
    </w:p>
    <w:p w14:paraId="71A081B8" w14:textId="77777777" w:rsidR="00586FBE" w:rsidRPr="00961F77" w:rsidRDefault="00586FBE" w:rsidP="00586FBE">
      <w:pPr>
        <w:shd w:val="clear" w:color="auto" w:fill="FFFFFF"/>
        <w:jc w:val="both"/>
        <w:textAlignment w:val="baseline"/>
      </w:pPr>
    </w:p>
    <w:p w14:paraId="359D585F" w14:textId="77777777" w:rsidR="00586FBE" w:rsidRPr="00961F77" w:rsidRDefault="00586FBE" w:rsidP="00586FBE">
      <w:pPr>
        <w:shd w:val="clear" w:color="auto" w:fill="FFFFFF"/>
        <w:jc w:val="both"/>
        <w:textAlignment w:val="baseline"/>
      </w:pPr>
    </w:p>
    <w:p w14:paraId="7053F6F8" w14:textId="77777777" w:rsidR="00586FBE" w:rsidRPr="00961F77" w:rsidRDefault="00586FBE" w:rsidP="00586FBE">
      <w:pPr>
        <w:tabs>
          <w:tab w:val="left" w:pos="1418"/>
        </w:tabs>
        <w:ind w:right="4"/>
        <w:jc w:val="both"/>
        <w:rPr>
          <w:bCs/>
        </w:rPr>
      </w:pPr>
      <w:r w:rsidRPr="00961F77">
        <w:rPr>
          <w:bCs/>
        </w:rPr>
        <w:t>KLASA:</w:t>
      </w:r>
      <w:r w:rsidRPr="00961F77">
        <w:rPr>
          <w:bCs/>
        </w:rPr>
        <w:tab/>
      </w:r>
    </w:p>
    <w:p w14:paraId="60368CB7" w14:textId="77777777" w:rsidR="00586FBE" w:rsidRPr="00961F77" w:rsidRDefault="00586FBE" w:rsidP="00586FBE">
      <w:pPr>
        <w:tabs>
          <w:tab w:val="left" w:pos="1418"/>
        </w:tabs>
        <w:ind w:right="4"/>
        <w:jc w:val="both"/>
        <w:rPr>
          <w:bCs/>
        </w:rPr>
      </w:pPr>
      <w:r w:rsidRPr="00961F77">
        <w:rPr>
          <w:bCs/>
        </w:rPr>
        <w:t>URBROJ:</w:t>
      </w:r>
      <w:r w:rsidRPr="00961F77">
        <w:rPr>
          <w:bCs/>
        </w:rPr>
        <w:tab/>
      </w:r>
    </w:p>
    <w:p w14:paraId="27C135CD" w14:textId="77777777" w:rsidR="00586FBE" w:rsidRPr="00961F77" w:rsidRDefault="00586FBE" w:rsidP="00586FBE">
      <w:pPr>
        <w:ind w:right="4"/>
        <w:jc w:val="both"/>
        <w:rPr>
          <w:bCs/>
        </w:rPr>
      </w:pPr>
    </w:p>
    <w:p w14:paraId="3A39D3D6" w14:textId="77777777" w:rsidR="00586FBE" w:rsidRPr="00961F77" w:rsidRDefault="00586FBE" w:rsidP="00586FBE">
      <w:pPr>
        <w:ind w:right="4"/>
        <w:jc w:val="both"/>
        <w:rPr>
          <w:bCs/>
        </w:rPr>
      </w:pPr>
      <w:r w:rsidRPr="00961F77">
        <w:rPr>
          <w:bCs/>
        </w:rPr>
        <w:t>Zagreb,</w:t>
      </w:r>
      <w:r w:rsidRPr="00961F77">
        <w:rPr>
          <w:bCs/>
        </w:rPr>
        <w:tab/>
      </w:r>
    </w:p>
    <w:p w14:paraId="578094D4" w14:textId="77777777" w:rsidR="00586FBE" w:rsidRPr="00961F77" w:rsidRDefault="00586FBE" w:rsidP="00586FBE">
      <w:pPr>
        <w:ind w:right="4"/>
        <w:jc w:val="both"/>
        <w:rPr>
          <w:bCs/>
        </w:rPr>
      </w:pPr>
    </w:p>
    <w:p w14:paraId="7ADA6BEB" w14:textId="77777777" w:rsidR="00586FBE" w:rsidRPr="00961F77" w:rsidRDefault="00586FBE" w:rsidP="00586FBE">
      <w:pPr>
        <w:ind w:right="4"/>
        <w:jc w:val="both"/>
        <w:rPr>
          <w:bCs/>
        </w:rPr>
      </w:pPr>
    </w:p>
    <w:p w14:paraId="286B0D95" w14:textId="77777777" w:rsidR="00586FBE" w:rsidRPr="00961F77" w:rsidRDefault="00586FBE" w:rsidP="00586FBE">
      <w:pPr>
        <w:ind w:right="4"/>
        <w:jc w:val="both"/>
        <w:rPr>
          <w:bCs/>
        </w:rPr>
      </w:pPr>
    </w:p>
    <w:p w14:paraId="2DF4E6AB" w14:textId="77777777" w:rsidR="00586FBE" w:rsidRPr="00961F77" w:rsidRDefault="00586FBE" w:rsidP="00586FBE">
      <w:pPr>
        <w:tabs>
          <w:tab w:val="center" w:pos="7371"/>
        </w:tabs>
        <w:ind w:right="4"/>
        <w:jc w:val="both"/>
      </w:pPr>
      <w:r w:rsidRPr="00961F77">
        <w:tab/>
        <w:t>PREDSJEDNIK</w:t>
      </w:r>
    </w:p>
    <w:p w14:paraId="27420A49" w14:textId="77777777" w:rsidR="00586FBE" w:rsidRPr="00961F77" w:rsidRDefault="00586FBE" w:rsidP="00586FBE">
      <w:pPr>
        <w:tabs>
          <w:tab w:val="center" w:pos="7371"/>
        </w:tabs>
        <w:ind w:right="4"/>
        <w:jc w:val="both"/>
      </w:pPr>
    </w:p>
    <w:p w14:paraId="2B915608" w14:textId="77777777" w:rsidR="00586FBE" w:rsidRPr="00961F77" w:rsidRDefault="00586FBE" w:rsidP="00586FBE">
      <w:pPr>
        <w:tabs>
          <w:tab w:val="center" w:pos="7371"/>
        </w:tabs>
        <w:ind w:right="4"/>
        <w:jc w:val="both"/>
      </w:pPr>
    </w:p>
    <w:p w14:paraId="019E3DA3" w14:textId="77777777" w:rsidR="00586FBE" w:rsidRPr="00961F77" w:rsidRDefault="00586FBE" w:rsidP="00586FBE">
      <w:pPr>
        <w:tabs>
          <w:tab w:val="center" w:pos="7371"/>
        </w:tabs>
        <w:ind w:right="4"/>
        <w:jc w:val="both"/>
      </w:pPr>
      <w:r w:rsidRPr="00961F77">
        <w:tab/>
        <w:t>mr. sc. Andrej Plenković</w:t>
      </w:r>
    </w:p>
    <w:p w14:paraId="2EAF49B1" w14:textId="77777777" w:rsidR="00586FBE" w:rsidRPr="00961F77" w:rsidRDefault="00586FBE" w:rsidP="00586FBE">
      <w:pPr>
        <w:tabs>
          <w:tab w:val="center" w:pos="7371"/>
        </w:tabs>
        <w:ind w:right="4"/>
        <w:jc w:val="both"/>
      </w:pPr>
      <w:r w:rsidRPr="00961F77">
        <w:br w:type="page"/>
      </w:r>
    </w:p>
    <w:p w14:paraId="25B217E3" w14:textId="77777777" w:rsidR="005D09FB" w:rsidRPr="00961F77" w:rsidRDefault="005D09FB" w:rsidP="00035BE2">
      <w:pPr>
        <w:jc w:val="both"/>
      </w:pPr>
    </w:p>
    <w:p w14:paraId="5CBB45E1" w14:textId="47574BF2" w:rsidR="005D09FB" w:rsidRPr="00961F77" w:rsidRDefault="005D09FB" w:rsidP="005D09FB">
      <w:pPr>
        <w:jc w:val="center"/>
      </w:pPr>
      <w:r w:rsidRPr="00961F77">
        <w:rPr>
          <w:b/>
          <w:bCs/>
          <w:kern w:val="36"/>
        </w:rPr>
        <w:t>O B R A Z L O Ž E N J E</w:t>
      </w:r>
    </w:p>
    <w:p w14:paraId="14411710" w14:textId="77777777" w:rsidR="005D09FB" w:rsidRPr="00961F77" w:rsidRDefault="005D09FB" w:rsidP="00035BE2">
      <w:pPr>
        <w:jc w:val="both"/>
      </w:pPr>
    </w:p>
    <w:p w14:paraId="58CA370B" w14:textId="6F5A8CA7" w:rsidR="002A2C2F" w:rsidRPr="00961F77" w:rsidRDefault="002A2C2F" w:rsidP="00035BE2">
      <w:pPr>
        <w:jc w:val="both"/>
      </w:pPr>
      <w:r w:rsidRPr="00961F77">
        <w:t xml:space="preserve">Vijeće EU-a u </w:t>
      </w:r>
      <w:r w:rsidR="00647CE9" w:rsidRPr="00961F77">
        <w:rPr>
          <w:rStyle w:val="defaultparagraphfont-000007"/>
          <w:sz w:val="24"/>
          <w:szCs w:val="24"/>
        </w:rPr>
        <w:t>Preporukama</w:t>
      </w:r>
      <w:r w:rsidR="00647CE9" w:rsidRPr="00961F77">
        <w:rPr>
          <w:rStyle w:val="FootnoteReference"/>
        </w:rPr>
        <w:footnoteReference w:id="1"/>
      </w:r>
      <w:r w:rsidR="00647CE9" w:rsidRPr="00961F77" w:rsidDel="00647CE9">
        <w:t xml:space="preserve"> </w:t>
      </w:r>
      <w:r w:rsidRPr="00961F77">
        <w:t>o predškolskom odgoju i obrazovanju ističe važnost kvalitetnog ranog predškolskog odgoja i obrazovanja (u daljnjem tekstu: RPOO) za razvoj djeteta u formativnim godinama, povećanje vjerojatnosti nastavka školovanja i cjeloživotno učenje. Unatoč značajnim ulaganjima u RPOO od 2017. do danas, stopa sudjelovanja u RPOO-u u Hrvatskoj još uvijek nije zadovoljavajuća. Kao prepreke sudjelovanju u RPOO</w:t>
      </w:r>
      <w:r w:rsidR="009A4D0D" w:rsidRPr="00961F77">
        <w:t>-u</w:t>
      </w:r>
      <w:r w:rsidRPr="00961F77">
        <w:t xml:space="preserve"> ističu se manjkava infrastruktura, nedostatak odgojitelja i svijest roditelja o njegovoj važnosti. Dodatno, u Hrvatskoj postoje izrazite i sustavne regionalne razlike u obuhvatu djece ranim i predškolskim programima, što produbljuje jaz među djecom u socioek</w:t>
      </w:r>
      <w:r w:rsidR="005D09FB" w:rsidRPr="00961F77">
        <w:t>onomski (ne)povoljnom položaju.</w:t>
      </w:r>
    </w:p>
    <w:p w14:paraId="5B0BC8A9" w14:textId="77777777" w:rsidR="005D09FB" w:rsidRPr="00961F77" w:rsidRDefault="005D09FB" w:rsidP="00035BE2">
      <w:pPr>
        <w:jc w:val="both"/>
        <w:rPr>
          <w:b/>
          <w:bCs/>
          <w:kern w:val="36"/>
        </w:rPr>
      </w:pPr>
    </w:p>
    <w:p w14:paraId="60AE82A0" w14:textId="60501BCA" w:rsidR="002A2C2F" w:rsidRPr="00961F77" w:rsidRDefault="002A2C2F" w:rsidP="00035BE2">
      <w:pPr>
        <w:jc w:val="both"/>
      </w:pPr>
      <w:r w:rsidRPr="00961F77">
        <w:t>Jedna od ključnih investicija ulaganja u odgojno-obrazovnom sustavu je izgradnja novih kapaciteta dječjih vrtića za što je u narednom razdoblju osigurano 260 milijuna eura (iz Nacionalnoga plana oporavka i otpornosti 2021.</w:t>
      </w:r>
      <w:r w:rsidR="00647CE9" w:rsidRPr="00961F77">
        <w:t xml:space="preserve"> </w:t>
      </w:r>
      <w:r w:rsidR="000C7C66" w:rsidRPr="00961F77">
        <w:t>-</w:t>
      </w:r>
      <w:r w:rsidR="00647CE9" w:rsidRPr="00961F77">
        <w:t xml:space="preserve"> </w:t>
      </w:r>
      <w:r w:rsidRPr="00961F77">
        <w:t>2026. osigurano je 215 milijuna eura bespovratnih sredstava, a iz Programa Konkurentnost i kohezija 45 milijuna eura). Realizacija navedenih ulaganja omogućit će oko 25</w:t>
      </w:r>
      <w:r w:rsidR="00C5031E" w:rsidRPr="00961F77">
        <w:t>.</w:t>
      </w:r>
      <w:r w:rsidRPr="00961F77">
        <w:t>800 dodatnih mjesta u vrtićima. Time će se postotak obuhvata djece koja sudjeluju ranom i predškolskom odgoju i obrazovanju u dobi od treće godine do polaska u školu s početnih 78,8</w:t>
      </w:r>
      <w:r w:rsidR="00C5031E" w:rsidRPr="00961F77">
        <w:t xml:space="preserve"> </w:t>
      </w:r>
      <w:r w:rsidRPr="00961F77">
        <w:t>% (2020.) povećati na 90</w:t>
      </w:r>
      <w:r w:rsidR="00C5031E" w:rsidRPr="00961F77">
        <w:t xml:space="preserve"> </w:t>
      </w:r>
      <w:r w:rsidRPr="00961F77">
        <w:t>% (2027.).</w:t>
      </w:r>
      <w:r w:rsidRPr="00961F77">
        <w:rPr>
          <w:vertAlign w:val="superscript"/>
        </w:rPr>
        <w:footnoteReference w:id="2"/>
      </w:r>
    </w:p>
    <w:p w14:paraId="027B5042" w14:textId="77777777" w:rsidR="005D09FB" w:rsidRPr="00961F77" w:rsidRDefault="005D09FB" w:rsidP="00035BE2">
      <w:pPr>
        <w:jc w:val="both"/>
      </w:pPr>
    </w:p>
    <w:p w14:paraId="21D627F7" w14:textId="3D11B9EB" w:rsidR="002A2C2F" w:rsidRPr="00961F77" w:rsidRDefault="002A2C2F" w:rsidP="00035BE2">
      <w:pPr>
        <w:jc w:val="both"/>
      </w:pPr>
      <w:r w:rsidRPr="00961F77">
        <w:t>Vezano uz navedeno, Ministarstvo znanosti i obrazovanja je u sklopu Nacionalnoga plana oporavka i otpornosti 2021.</w:t>
      </w:r>
      <w:r w:rsidR="00647CE9" w:rsidRPr="00961F77">
        <w:t xml:space="preserve"> </w:t>
      </w:r>
      <w:r w:rsidR="00C5031E" w:rsidRPr="00961F77">
        <w:t>-</w:t>
      </w:r>
      <w:r w:rsidR="00647CE9" w:rsidRPr="00961F77">
        <w:t xml:space="preserve"> </w:t>
      </w:r>
      <w:r w:rsidRPr="00961F77">
        <w:t xml:space="preserve">2026. (u daljnjem tekstu: NPOO) provelo dva otvorena Poziva </w:t>
      </w:r>
      <w:r w:rsidR="00C5031E" w:rsidRPr="00961F77">
        <w:t>„</w:t>
      </w:r>
      <w:r w:rsidRPr="00961F77">
        <w:t>Izgradnja, dogradnja, rekonstrukcija i opremanje predškolskih ustanova</w:t>
      </w:r>
      <w:r w:rsidR="00C5031E" w:rsidRPr="00961F77">
        <w:t>“</w:t>
      </w:r>
      <w:r w:rsidRPr="00961F77">
        <w:t>. Navedenim i drugim ulaganjima u infrastrukturne i kadrovske kapacitete stvorit će se preduvjeti za ostvarivanje prava na RPOO svoj djeci te postizanje barcelonskih ciljeva</w:t>
      </w:r>
      <w:r w:rsidR="00647CE9" w:rsidRPr="00961F77">
        <w:t>.</w:t>
      </w:r>
      <w:r w:rsidRPr="00961F77">
        <w:rPr>
          <w:vertAlign w:val="superscript"/>
        </w:rPr>
        <w:footnoteReference w:id="3"/>
      </w:r>
      <w:r w:rsidRPr="00961F77">
        <w:t xml:space="preserve"> Međutim, uz osiguranje infras</w:t>
      </w:r>
      <w:r w:rsidRPr="00961F77">
        <w:lastRenderedPageBreak/>
        <w:t>trukturnih i kadrovskih preduvjeta, nužno je osigurati i dugoročnu održivost financiranja predškolskih ustanova, posebice u slabije razvijenim jedinicama lokalne i regionalne samouprave. U tu svrhu, člankom 50.a stavkom 2. Zakona o predškolskom odgoju i obrazovanju (</w:t>
      </w:r>
      <w:r w:rsidR="00C5031E" w:rsidRPr="00961F77">
        <w:t>„</w:t>
      </w:r>
      <w:r w:rsidRPr="00961F77">
        <w:t>Narodne novine</w:t>
      </w:r>
      <w:r w:rsidR="00C5031E" w:rsidRPr="00961F77">
        <w:t>“</w:t>
      </w:r>
      <w:r w:rsidRPr="00961F77">
        <w:t>, br. 10/97</w:t>
      </w:r>
      <w:r w:rsidR="00C5031E" w:rsidRPr="00961F77">
        <w:t>.</w:t>
      </w:r>
      <w:r w:rsidRPr="00961F77">
        <w:t>, 107/07</w:t>
      </w:r>
      <w:r w:rsidR="00C5031E" w:rsidRPr="00961F77">
        <w:t>.</w:t>
      </w:r>
      <w:r w:rsidRPr="00961F77">
        <w:t>, 94/13</w:t>
      </w:r>
      <w:r w:rsidR="00C5031E" w:rsidRPr="00961F77">
        <w:t>.</w:t>
      </w:r>
      <w:r w:rsidRPr="00961F77">
        <w:t>, 98/19</w:t>
      </w:r>
      <w:r w:rsidR="00C5031E" w:rsidRPr="00961F77">
        <w:t>.</w:t>
      </w:r>
      <w:r w:rsidR="00647CE9" w:rsidRPr="00961F77">
        <w:t>,</w:t>
      </w:r>
      <w:r w:rsidRPr="00961F77">
        <w:t xml:space="preserve"> 57/22</w:t>
      </w:r>
      <w:r w:rsidR="00C5031E" w:rsidRPr="00961F77">
        <w:t>.</w:t>
      </w:r>
      <w:r w:rsidR="00647CE9" w:rsidRPr="00961F77">
        <w:t xml:space="preserve"> i 101/23</w:t>
      </w:r>
      <w:r w:rsidR="00C5031E" w:rsidRPr="00961F77">
        <w:t>.</w:t>
      </w:r>
      <w:r w:rsidRPr="00961F77">
        <w:t xml:space="preserve">) propisano je da se u državnom proračunu osiguravaju sredstva za fiskalnu održivost dječjih vrtića </w:t>
      </w:r>
      <w:r w:rsidR="0039615C" w:rsidRPr="00961F77">
        <w:t xml:space="preserve">koja se doznačavaju jedinicama lokalne i područne (regionalne) samouprave </w:t>
      </w:r>
      <w:r w:rsidRPr="00961F77">
        <w:t>na temelju mjerila i kriterija koje uredbom propisuje Vlada Republike Hrvatske. Na temelju istoga, izrađen je Prijedlog uredbe o kriterijima i mjerilima za utvrđivanje sredstava za fiskalnu održivost dječjih vrtića o kojemu je provedeno savjetovanje s javnošću.</w:t>
      </w:r>
    </w:p>
    <w:p w14:paraId="6C5EA0C9" w14:textId="77777777" w:rsidR="005D09FB" w:rsidRPr="00961F77" w:rsidRDefault="005D09FB" w:rsidP="00035BE2">
      <w:pPr>
        <w:jc w:val="both"/>
      </w:pPr>
    </w:p>
    <w:p w14:paraId="26EF66DF" w14:textId="0043A28F" w:rsidR="002A2C2F" w:rsidRPr="00961F77" w:rsidRDefault="002A2C2F" w:rsidP="00035BE2">
      <w:pPr>
        <w:jc w:val="both"/>
      </w:pPr>
      <w:r w:rsidRPr="00961F77">
        <w:t>Ovim Prijedlogom</w:t>
      </w:r>
      <w:r w:rsidR="002B330D" w:rsidRPr="00961F77">
        <w:t xml:space="preserve"> uredbe</w:t>
      </w:r>
      <w:r w:rsidRPr="00961F77">
        <w:t>, godišnji iznos sredstava za fiskalnu održivost dječjih vrtića osigurava se jedinicama lokalne i područne (regionalne) samouprave za dječje vrtiće čiji su iste osnivači</w:t>
      </w:r>
      <w:r w:rsidR="00AF12BD" w:rsidRPr="00961F77">
        <w:t>,</w:t>
      </w:r>
      <w:r w:rsidRPr="00961F77">
        <w:t xml:space="preserve"> kao i za privatne vrtiće na njihovom području, a utvrđuje se umnoškom: </w:t>
      </w:r>
    </w:p>
    <w:p w14:paraId="494A2FC9" w14:textId="1E554D32" w:rsidR="002A2C2F" w:rsidRPr="00961F77" w:rsidRDefault="002A2C2F" w:rsidP="005D09FB">
      <w:pPr>
        <w:ind w:left="709" w:hanging="709"/>
        <w:jc w:val="both"/>
      </w:pPr>
      <w:r w:rsidRPr="00961F77">
        <w:t xml:space="preserve">- </w:t>
      </w:r>
      <w:r w:rsidR="005D09FB" w:rsidRPr="00961F77">
        <w:tab/>
      </w:r>
      <w:r w:rsidRPr="00961F77">
        <w:t>broja djece evidentirane u zajedničkom elektroničkom upisniku u tekućoj pedagoškoj godini za dječje vrtiće čiji je korisnik sredstava osnivač i za dječje vrtiće os</w:t>
      </w:r>
      <w:r w:rsidR="00FA5D77" w:rsidRPr="00961F77">
        <w:t>talih osnivača na svom području</w:t>
      </w:r>
      <w:r w:rsidRPr="00961F77">
        <w:t xml:space="preserve"> </w:t>
      </w:r>
    </w:p>
    <w:p w14:paraId="3E180364" w14:textId="48769B74" w:rsidR="002A2C2F" w:rsidRPr="00961F77" w:rsidRDefault="002A2C2F" w:rsidP="005D09FB">
      <w:pPr>
        <w:ind w:left="709" w:hanging="709"/>
        <w:jc w:val="both"/>
      </w:pPr>
      <w:r w:rsidRPr="00961F77">
        <w:t xml:space="preserve">- </w:t>
      </w:r>
      <w:r w:rsidR="005D09FB" w:rsidRPr="00961F77">
        <w:tab/>
      </w:r>
      <w:r w:rsidRPr="00961F77">
        <w:t>prosječne cije</w:t>
      </w:r>
      <w:r w:rsidR="009B75B2" w:rsidRPr="00961F77">
        <w:t>ne smještaja po djetetu na razini</w:t>
      </w:r>
      <w:r w:rsidRPr="00961F77">
        <w:t xml:space="preserve"> Republike Hrvatske (ukupni troškovi svih javnih dječjih vrtića za prethodnu godinu dijele se s ukupnim brojem upisane djece u tim dječjim vrtićima u prethodnoj pedagoškoj godini) i </w:t>
      </w:r>
    </w:p>
    <w:p w14:paraId="3A46F735" w14:textId="612902A0" w:rsidR="002A2C2F" w:rsidRPr="00961F77" w:rsidRDefault="002A2C2F" w:rsidP="005D09FB">
      <w:pPr>
        <w:ind w:left="709" w:hanging="709"/>
        <w:jc w:val="both"/>
      </w:pPr>
      <w:r w:rsidRPr="00961F77">
        <w:t xml:space="preserve">- </w:t>
      </w:r>
      <w:r w:rsidR="005D09FB" w:rsidRPr="00961F77">
        <w:tab/>
      </w:r>
      <w:r w:rsidRPr="00961F77">
        <w:t>postotnog udjela od 6,25</w:t>
      </w:r>
      <w:r w:rsidR="00D627AC" w:rsidRPr="00961F77">
        <w:t xml:space="preserve"> </w:t>
      </w:r>
      <w:r w:rsidRPr="00961F77">
        <w:t>% do 50</w:t>
      </w:r>
      <w:r w:rsidR="00D627AC" w:rsidRPr="00961F77">
        <w:t xml:space="preserve"> </w:t>
      </w:r>
      <w:r w:rsidRPr="00961F77">
        <w:t>% utvrđenog ovom Uredbom prema skupinama razvijenosti iz Uredbe o indeksu razvijenosti (</w:t>
      </w:r>
      <w:r w:rsidR="00D627AC" w:rsidRPr="00961F77">
        <w:t>„</w:t>
      </w:r>
      <w:r w:rsidRPr="00961F77">
        <w:t>Narodne novine</w:t>
      </w:r>
      <w:r w:rsidR="00D627AC" w:rsidRPr="00961F77">
        <w:t>“</w:t>
      </w:r>
      <w:r w:rsidRPr="00961F77">
        <w:t>, br</w:t>
      </w:r>
      <w:r w:rsidR="00D627AC" w:rsidRPr="00961F77">
        <w:t>oj</w:t>
      </w:r>
      <w:r w:rsidRPr="00961F77">
        <w:t xml:space="preserve"> 131/17</w:t>
      </w:r>
      <w:r w:rsidR="00D627AC" w:rsidRPr="00961F77">
        <w:t>.</w:t>
      </w:r>
      <w:r w:rsidRPr="00961F77">
        <w:t>) matičnih odnosno područnih dječjih vrtića. Postotni udio uvećava se za 15</w:t>
      </w:r>
      <w:r w:rsidR="00D627AC" w:rsidRPr="00961F77">
        <w:t xml:space="preserve"> </w:t>
      </w:r>
      <w:r w:rsidRPr="00961F77">
        <w:t>% za dječje vrtiće na otoku i za brdsko-planinska područja.</w:t>
      </w:r>
    </w:p>
    <w:p w14:paraId="62BCB7E6" w14:textId="77777777" w:rsidR="005D09FB" w:rsidRPr="00961F77" w:rsidRDefault="005D09FB" w:rsidP="00035BE2">
      <w:pPr>
        <w:jc w:val="both"/>
      </w:pPr>
    </w:p>
    <w:p w14:paraId="4F868AF6" w14:textId="1FA105B3" w:rsidR="002A2C2F" w:rsidRPr="00961F77" w:rsidRDefault="002A2C2F" w:rsidP="00035BE2">
      <w:pPr>
        <w:jc w:val="both"/>
      </w:pPr>
      <w:r w:rsidRPr="00961F77">
        <w:lastRenderedPageBreak/>
        <w:t>Navede</w:t>
      </w:r>
      <w:r w:rsidR="003012F4" w:rsidRPr="00961F77">
        <w:t xml:space="preserve">nim Prijedlogom </w:t>
      </w:r>
      <w:r w:rsidR="00D627AC" w:rsidRPr="00961F77">
        <w:t xml:space="preserve">uredbe </w:t>
      </w:r>
      <w:r w:rsidRPr="00961F77">
        <w:t>država osigurava jednake kriterije kojima sufinancira RPOO za svako dijete u Republici Hrvatskoj čime omogućava da jedinice lokalne i područne (regionalne) samouprave</w:t>
      </w:r>
      <w:r w:rsidRPr="00961F77">
        <w:rPr>
          <w:vertAlign w:val="superscript"/>
        </w:rPr>
        <w:footnoteReference w:id="4"/>
      </w:r>
      <w:r w:rsidRPr="00961F77">
        <w:t xml:space="preserve"> uz postojeću razinu i izvore financiranja koriste dodatni izvor financiranja za dostupnost, održivost i priuštivost svih dječjih vrtića.</w:t>
      </w:r>
    </w:p>
    <w:p w14:paraId="4A463FF2" w14:textId="77777777" w:rsidR="005D09FB" w:rsidRPr="00961F77" w:rsidRDefault="005D09FB" w:rsidP="00035BE2">
      <w:pPr>
        <w:jc w:val="both"/>
      </w:pPr>
    </w:p>
    <w:p w14:paraId="778DEFFB" w14:textId="473FAAFF" w:rsidR="002A2C2F" w:rsidRPr="00961F77" w:rsidRDefault="002A2C2F" w:rsidP="00035BE2">
      <w:pPr>
        <w:jc w:val="both"/>
      </w:pPr>
      <w:r w:rsidRPr="00961F77">
        <w:t xml:space="preserve">Na taj način i jedinice lokalne i područne (regionalne) samouprave (u daljnjem tekstu: JLPRS) koje na svom području imaju samo privatne vrtiće (49) i nemaju potrebe/mogućnosti za izgradnju vrtića kroz NPOO, ostvaruju sredstva za fiskalnu održivost vrtića na njihovom području. </w:t>
      </w:r>
    </w:p>
    <w:p w14:paraId="708FC36A" w14:textId="77777777" w:rsidR="005D09FB" w:rsidRPr="00961F77" w:rsidRDefault="005D09FB" w:rsidP="00035BE2">
      <w:pPr>
        <w:jc w:val="both"/>
      </w:pPr>
    </w:p>
    <w:p w14:paraId="1B3C709D" w14:textId="6B33B335" w:rsidR="002A2C2F" w:rsidRPr="00961F77" w:rsidRDefault="002A2C2F" w:rsidP="00035BE2">
      <w:pPr>
        <w:jc w:val="both"/>
      </w:pPr>
      <w:r w:rsidRPr="00961F77">
        <w:t>Sredstva za financiranje fiskalne održivosti dječjih vrtića planirana su prvi puta za pedagošku godinu 2023./2024. u Državnom proračunu za 2023.</w:t>
      </w:r>
      <w:r w:rsidR="00241FB0" w:rsidRPr="00961F77">
        <w:t xml:space="preserve"> godinu </w:t>
      </w:r>
      <w:r w:rsidRPr="00961F77">
        <w:t xml:space="preserve">i projekcijama za 2024. i 2025. godinu. </w:t>
      </w:r>
    </w:p>
    <w:p w14:paraId="396EFAB4" w14:textId="77777777" w:rsidR="00241FB0" w:rsidRPr="00961F77" w:rsidRDefault="00241FB0" w:rsidP="00035BE2">
      <w:pPr>
        <w:jc w:val="both"/>
      </w:pPr>
    </w:p>
    <w:p w14:paraId="78B8F765" w14:textId="27B0A94D" w:rsidR="002A2C2F" w:rsidRPr="00961F77" w:rsidRDefault="002A2C2F" w:rsidP="00035BE2">
      <w:pPr>
        <w:jc w:val="both"/>
      </w:pPr>
      <w:r w:rsidRPr="00961F77">
        <w:t xml:space="preserve">Sredstva za financiranje fiskalne održivosti dječjih vrtića prema </w:t>
      </w:r>
      <w:r w:rsidR="00957031" w:rsidRPr="00961F77">
        <w:t>Prijedlogu u</w:t>
      </w:r>
      <w:r w:rsidRPr="00961F77">
        <w:t>redbe iznose 14,9 mil</w:t>
      </w:r>
      <w:r w:rsidR="00957031" w:rsidRPr="00961F77">
        <w:t>ijuna</w:t>
      </w:r>
      <w:r w:rsidRPr="00961F77">
        <w:t xml:space="preserve"> eura za vrtiće čiji su osnivači JLPRS, a 2,9 mil</w:t>
      </w:r>
      <w:r w:rsidR="00957031" w:rsidRPr="00961F77">
        <w:t>ijuna</w:t>
      </w:r>
      <w:r w:rsidRPr="00961F77">
        <w:t xml:space="preserve"> eura za privatne vrtiće</w:t>
      </w:r>
      <w:r w:rsidR="00957031" w:rsidRPr="00961F77">
        <w:t>,</w:t>
      </w:r>
      <w:r w:rsidRPr="00961F77">
        <w:t xml:space="preserve"> odnosno ukupno 17,8 mil</w:t>
      </w:r>
      <w:r w:rsidR="00957031" w:rsidRPr="00961F77">
        <w:t xml:space="preserve">ijuna </w:t>
      </w:r>
      <w:r w:rsidRPr="00961F77">
        <w:t xml:space="preserve">eura u 2023. godini. S obzirom na to da je u Državnom proračunu za 2023. </w:t>
      </w:r>
      <w:r w:rsidR="00957031" w:rsidRPr="00961F77">
        <w:t xml:space="preserve">godinu </w:t>
      </w:r>
      <w:r w:rsidRPr="00961F77">
        <w:t>planirano 14,6 mil</w:t>
      </w:r>
      <w:r w:rsidR="00957031" w:rsidRPr="00961F77">
        <w:t>ijuna</w:t>
      </w:r>
      <w:r w:rsidRPr="00961F77">
        <w:t xml:space="preserve"> eura, preraspodjelom je potrebno osigurati razliku od 3,2 mil</w:t>
      </w:r>
      <w:r w:rsidR="00957031" w:rsidRPr="00961F77">
        <w:t>ijuna</w:t>
      </w:r>
      <w:r w:rsidRPr="00961F77">
        <w:t xml:space="preserve"> eura. </w:t>
      </w:r>
    </w:p>
    <w:p w14:paraId="38AE673A" w14:textId="77777777" w:rsidR="005D09FB" w:rsidRPr="00961F77" w:rsidRDefault="005D09FB" w:rsidP="00035BE2">
      <w:pPr>
        <w:jc w:val="both"/>
      </w:pPr>
    </w:p>
    <w:p w14:paraId="6AF7DF04" w14:textId="6CEE5906" w:rsidR="002A2C2F" w:rsidRPr="00961F77" w:rsidRDefault="002A2C2F" w:rsidP="00035BE2">
      <w:pPr>
        <w:jc w:val="both"/>
      </w:pPr>
      <w:r w:rsidRPr="00961F77">
        <w:t xml:space="preserve">Prema predloženim kriterijima, u 2024. </w:t>
      </w:r>
      <w:r w:rsidR="002506E5" w:rsidRPr="00961F77">
        <w:t xml:space="preserve">godini </w:t>
      </w:r>
      <w:r w:rsidRPr="00961F77">
        <w:t>potrebno je osigurati 70,0 mil</w:t>
      </w:r>
      <w:r w:rsidR="002506E5" w:rsidRPr="00961F77">
        <w:t>ijuna</w:t>
      </w:r>
      <w:r w:rsidRPr="00961F77">
        <w:t xml:space="preserve"> eura, a u 2025. godini 82,2 mil</w:t>
      </w:r>
      <w:r w:rsidR="002506E5" w:rsidRPr="00961F77">
        <w:t>ijuna</w:t>
      </w:r>
      <w:r w:rsidRPr="00961F77">
        <w:t xml:space="preserve"> eura budući da se očekuje realizacija dodatnih kapaciteta prema Prvom otvorenom Pozivu za izgradnju vrtića (otvoren u srpnju 2022.</w:t>
      </w:r>
      <w:r w:rsidR="002506E5" w:rsidRPr="00961F77">
        <w:t>,</w:t>
      </w:r>
      <w:r w:rsidRPr="00961F77">
        <w:t xml:space="preserve"> a zaključen u veljači 2023.) iz NPOO-a.</w:t>
      </w:r>
    </w:p>
    <w:p w14:paraId="4D4D0B19" w14:textId="77777777" w:rsidR="005D09FB" w:rsidRPr="00961F77" w:rsidRDefault="005D09FB" w:rsidP="00035BE2">
      <w:pPr>
        <w:jc w:val="both"/>
      </w:pPr>
    </w:p>
    <w:p w14:paraId="42338A13" w14:textId="0FEDFA6D" w:rsidR="002A2C2F" w:rsidRPr="00ED0C88" w:rsidRDefault="002A2C2F" w:rsidP="00035BE2">
      <w:pPr>
        <w:jc w:val="both"/>
      </w:pPr>
      <w:r w:rsidRPr="00961F77">
        <w:t>K tome, u narednom razdoblju očekuje se i dodatno povećanje potrebnih sredstava temeljem povećane prosječne ekonomske cijene po djetetu u Hrvatskoj, kao i temeljem dodatnih kapaciteta prema Drugom otvorenom Pozivu (otvoren je u lipnju</w:t>
      </w:r>
      <w:r w:rsidR="002506E5" w:rsidRPr="00961F77">
        <w:t>,</w:t>
      </w:r>
      <w:r w:rsidRPr="00961F77">
        <w:t xml:space="preserve"> a zatvoren u kolovozu 2023.) za izgradnju vrtića iz NPOO-a</w:t>
      </w:r>
      <w:r w:rsidR="002506E5" w:rsidRPr="00961F77">
        <w:t>,</w:t>
      </w:r>
      <w:r w:rsidRPr="00961F77">
        <w:t xml:space="preserve"> kao i onom iz Programa Konkurentnost i kohezija koji se planira otvoriti početkom 2024. godine.</w:t>
      </w:r>
    </w:p>
    <w:sectPr w:rsidR="002A2C2F" w:rsidRPr="00ED0C88" w:rsidSect="006163B0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E9E7" w14:textId="77777777" w:rsidR="00F26414" w:rsidRDefault="00F26414">
      <w:r>
        <w:separator/>
      </w:r>
    </w:p>
  </w:endnote>
  <w:endnote w:type="continuationSeparator" w:id="0">
    <w:p w14:paraId="7E6F8871" w14:textId="77777777" w:rsidR="00F26414" w:rsidRDefault="00F2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E47B1" w14:textId="77777777" w:rsidR="00680263" w:rsidRPr="00CE78D1" w:rsidRDefault="0068026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F7F4" w14:textId="027A461A" w:rsidR="006163B0" w:rsidRPr="006163B0" w:rsidRDefault="006163B0" w:rsidP="0061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158F9" w14:textId="77777777" w:rsidR="00F26414" w:rsidRDefault="00F26414">
      <w:r>
        <w:separator/>
      </w:r>
    </w:p>
  </w:footnote>
  <w:footnote w:type="continuationSeparator" w:id="0">
    <w:p w14:paraId="1418B7B1" w14:textId="77777777" w:rsidR="00F26414" w:rsidRDefault="00F26414">
      <w:r>
        <w:continuationSeparator/>
      </w:r>
    </w:p>
  </w:footnote>
  <w:footnote w:id="1">
    <w:p w14:paraId="3B023B93" w14:textId="77777777" w:rsidR="00647CE9" w:rsidRDefault="00647CE9" w:rsidP="00647CE9">
      <w:pPr>
        <w:pStyle w:val="FootnoteText"/>
        <w:spacing w:before="120" w:after="120"/>
        <w:ind w:left="142" w:hanging="142"/>
        <w:jc w:val="both"/>
      </w:pPr>
      <w:r w:rsidRPr="00F26D79">
        <w:rPr>
          <w:vertAlign w:val="superscript"/>
        </w:rPr>
        <w:footnoteRef/>
      </w:r>
      <w:r w:rsidRPr="00F26D79">
        <w:rPr>
          <w:vertAlign w:val="superscript"/>
        </w:rPr>
        <w:t xml:space="preserve"> </w:t>
      </w:r>
      <w:r>
        <w:rPr>
          <w:vertAlign w:val="superscript"/>
        </w:rPr>
        <w:tab/>
      </w:r>
      <w:r w:rsidRPr="00F26D79">
        <w:t>Preporuke Vijeća od 22. svibnja 2019. o visokokvalitetnim sustavima ranog i predškolskog odgoja i obrazovanja (2019/C 189/02).</w:t>
      </w:r>
    </w:p>
  </w:footnote>
  <w:footnote w:id="2">
    <w:p w14:paraId="4E44CADA" w14:textId="77777777" w:rsidR="002A2C2F" w:rsidRDefault="002A2C2F" w:rsidP="002A2C2F">
      <w:pPr>
        <w:pStyle w:val="FootnoteText"/>
        <w:spacing w:before="120" w:after="120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73ABB">
        <w:t>Nacionalni plan razvoja sustava obrazovanja za razdoblje do 2027. godine, str. 41. Navedeni dokument Vlada Republike Hrvatske usvojila je na 203. sjednici 22. ožujka 2023.</w:t>
      </w:r>
    </w:p>
  </w:footnote>
  <w:footnote w:id="3">
    <w:p w14:paraId="4026DFC4" w14:textId="77777777" w:rsidR="002A2C2F" w:rsidRDefault="002A2C2F" w:rsidP="002A2C2F">
      <w:pPr>
        <w:pStyle w:val="FootnoteText"/>
        <w:spacing w:before="120" w:after="120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E2499">
        <w:t>Europsko vijeće je 2002. godine u Barceloni utvrdilo ciljeve na području ranog i predškolskog odgoja i obrazovanja (tzv. barcelonske ciljeve) prema kojima bi u zemljama članicama Europske unije (EU) programima RPOO-a trebalo biti obuhvaćeno najmanje 33% djece mlađe od tri godine i 90% djece u dobi između tri godine i polaska u osnovnu školu (European Council, 2002.). Ti su ciljevi bili sastavni dio Lisabonske strategije, a kasnije su obnovljeni strategijom Europa 2020.</w:t>
      </w:r>
    </w:p>
  </w:footnote>
  <w:footnote w:id="4">
    <w:p w14:paraId="2E63427D" w14:textId="77777777" w:rsidR="002A2C2F" w:rsidRDefault="002A2C2F" w:rsidP="002A2C2F">
      <w:pPr>
        <w:pStyle w:val="FootnoteText"/>
        <w:spacing w:before="120" w:after="120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r w:rsidRPr="00C36591">
        <w:t>Prema članku 2. Zakona o predškolskom odgoju i obrazovanju</w:t>
      </w:r>
      <w:r>
        <w:t>,</w:t>
      </w:r>
      <w:r w:rsidRPr="00C36591">
        <w:t xml:space="preserve"> jedinice lokalne i područne (regionalne) samouprave imaju pravo i obvezu odlučivati o potrebama i interesima građana na svom području za organiziranjem i ostvarivanjem programa predškolskog odgoja.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886348"/>
      <w:docPartObj>
        <w:docPartGallery w:val="Page Numbers (Top of Page)"/>
        <w:docPartUnique/>
      </w:docPartObj>
    </w:sdtPr>
    <w:sdtEndPr/>
    <w:sdtContent>
      <w:p w14:paraId="4D5561C3" w14:textId="46F09A3E" w:rsidR="00680263" w:rsidRDefault="00680263">
        <w:pPr>
          <w:pStyle w:val="Header"/>
          <w:jc w:val="center"/>
        </w:pPr>
        <w:r w:rsidRPr="00680263">
          <w:fldChar w:fldCharType="begin"/>
        </w:r>
        <w:r w:rsidRPr="00680263">
          <w:instrText>PAGE   \* MERGEFORMAT</w:instrText>
        </w:r>
        <w:r w:rsidRPr="00680263">
          <w:fldChar w:fldCharType="separate"/>
        </w:r>
        <w:r w:rsidR="00223567">
          <w:rPr>
            <w:noProof/>
          </w:rPr>
          <w:t>2</w:t>
        </w:r>
        <w:r w:rsidRPr="00680263">
          <w:fldChar w:fldCharType="end"/>
        </w:r>
      </w:p>
    </w:sdtContent>
  </w:sdt>
  <w:p w14:paraId="69194F5B" w14:textId="77777777" w:rsidR="00680263" w:rsidRDefault="00680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FA9"/>
    <w:multiLevelType w:val="multilevel"/>
    <w:tmpl w:val="81D64F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2B27428"/>
    <w:multiLevelType w:val="hybridMultilevel"/>
    <w:tmpl w:val="DF50B96A"/>
    <w:lvl w:ilvl="0" w:tplc="E0F81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7D19"/>
    <w:multiLevelType w:val="multilevel"/>
    <w:tmpl w:val="F1C23B7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1F2586C"/>
    <w:multiLevelType w:val="multilevel"/>
    <w:tmpl w:val="D58ACA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6C44052"/>
    <w:multiLevelType w:val="multilevel"/>
    <w:tmpl w:val="74A8AC7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536195C"/>
    <w:multiLevelType w:val="hybridMultilevel"/>
    <w:tmpl w:val="BFC0CA18"/>
    <w:lvl w:ilvl="0" w:tplc="9AEE2F94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DD"/>
    <w:rsid w:val="000355ED"/>
    <w:rsid w:val="00035BE2"/>
    <w:rsid w:val="000C7C66"/>
    <w:rsid w:val="000F4860"/>
    <w:rsid w:val="001302DD"/>
    <w:rsid w:val="00143AD5"/>
    <w:rsid w:val="00145931"/>
    <w:rsid w:val="00190928"/>
    <w:rsid w:val="001C1D34"/>
    <w:rsid w:val="00223567"/>
    <w:rsid w:val="00241FB0"/>
    <w:rsid w:val="002506E5"/>
    <w:rsid w:val="00292A94"/>
    <w:rsid w:val="002A2C2F"/>
    <w:rsid w:val="002B330D"/>
    <w:rsid w:val="002D7ADD"/>
    <w:rsid w:val="003012F4"/>
    <w:rsid w:val="003266C4"/>
    <w:rsid w:val="0033037E"/>
    <w:rsid w:val="00373510"/>
    <w:rsid w:val="0039615C"/>
    <w:rsid w:val="003967E0"/>
    <w:rsid w:val="003C6FB7"/>
    <w:rsid w:val="003E4074"/>
    <w:rsid w:val="00422B37"/>
    <w:rsid w:val="004A1D64"/>
    <w:rsid w:val="004B633A"/>
    <w:rsid w:val="00520EBD"/>
    <w:rsid w:val="00586FBE"/>
    <w:rsid w:val="005D09FB"/>
    <w:rsid w:val="006163B0"/>
    <w:rsid w:val="0062201B"/>
    <w:rsid w:val="00647CE9"/>
    <w:rsid w:val="00680263"/>
    <w:rsid w:val="006A0EAB"/>
    <w:rsid w:val="006F0E31"/>
    <w:rsid w:val="00747C42"/>
    <w:rsid w:val="00796840"/>
    <w:rsid w:val="007A423D"/>
    <w:rsid w:val="007B35CE"/>
    <w:rsid w:val="0081064B"/>
    <w:rsid w:val="00917AD9"/>
    <w:rsid w:val="00957031"/>
    <w:rsid w:val="00961F77"/>
    <w:rsid w:val="00976E05"/>
    <w:rsid w:val="009A1EE3"/>
    <w:rsid w:val="009A4D0D"/>
    <w:rsid w:val="009A527A"/>
    <w:rsid w:val="009B75B2"/>
    <w:rsid w:val="00A24E73"/>
    <w:rsid w:val="00A3326B"/>
    <w:rsid w:val="00A36330"/>
    <w:rsid w:val="00A47A6A"/>
    <w:rsid w:val="00A50341"/>
    <w:rsid w:val="00A741F4"/>
    <w:rsid w:val="00A945AC"/>
    <w:rsid w:val="00A945EC"/>
    <w:rsid w:val="00AE7E7F"/>
    <w:rsid w:val="00AF12BD"/>
    <w:rsid w:val="00AF1CD2"/>
    <w:rsid w:val="00B4038E"/>
    <w:rsid w:val="00B5012D"/>
    <w:rsid w:val="00B92918"/>
    <w:rsid w:val="00BD6467"/>
    <w:rsid w:val="00C01D1A"/>
    <w:rsid w:val="00C17078"/>
    <w:rsid w:val="00C1790C"/>
    <w:rsid w:val="00C5031E"/>
    <w:rsid w:val="00CA3364"/>
    <w:rsid w:val="00CE0464"/>
    <w:rsid w:val="00D57C12"/>
    <w:rsid w:val="00D627AC"/>
    <w:rsid w:val="00D7476A"/>
    <w:rsid w:val="00D9382C"/>
    <w:rsid w:val="00DC64F3"/>
    <w:rsid w:val="00DE7252"/>
    <w:rsid w:val="00E15068"/>
    <w:rsid w:val="00E349F5"/>
    <w:rsid w:val="00E8417D"/>
    <w:rsid w:val="00EA206E"/>
    <w:rsid w:val="00ED0C88"/>
    <w:rsid w:val="00F26414"/>
    <w:rsid w:val="00F748D7"/>
    <w:rsid w:val="00FA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B589B"/>
  <w15:chartTrackingRefBased/>
  <w15:docId w15:val="{03109B88-7066-452F-A37D-372C506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7252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3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rsid w:val="00D57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7C12"/>
  </w:style>
  <w:style w:type="character" w:styleId="FootnoteReference">
    <w:name w:val="footnote reference"/>
    <w:rsid w:val="00D57C1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7252"/>
    <w:rPr>
      <w:rFonts w:eastAsiaTheme="minorEastAsia"/>
      <w:b/>
      <w:bCs/>
      <w:kern w:val="36"/>
      <w:sz w:val="48"/>
      <w:szCs w:val="48"/>
    </w:rPr>
  </w:style>
  <w:style w:type="paragraph" w:customStyle="1" w:styleId="normal-000040">
    <w:name w:val="normal-000040"/>
    <w:basedOn w:val="Normal"/>
    <w:rsid w:val="00DE7252"/>
    <w:pPr>
      <w:spacing w:after="45"/>
      <w:jc w:val="both"/>
    </w:pPr>
    <w:rPr>
      <w:rFonts w:eastAsiaTheme="minorEastAsia"/>
      <w:sz w:val="22"/>
      <w:szCs w:val="22"/>
    </w:rPr>
  </w:style>
  <w:style w:type="paragraph" w:customStyle="1" w:styleId="000041">
    <w:name w:val="000041"/>
    <w:basedOn w:val="Normal"/>
    <w:rsid w:val="00DE7252"/>
    <w:pPr>
      <w:jc w:val="both"/>
    </w:pPr>
    <w:rPr>
      <w:rFonts w:eastAsiaTheme="minorEastAsia"/>
      <w:sz w:val="22"/>
      <w:szCs w:val="22"/>
    </w:rPr>
  </w:style>
  <w:style w:type="paragraph" w:customStyle="1" w:styleId="000045">
    <w:name w:val="000045"/>
    <w:basedOn w:val="Normal"/>
    <w:rsid w:val="00DE7252"/>
    <w:pPr>
      <w:spacing w:after="45"/>
      <w:jc w:val="both"/>
    </w:pPr>
    <w:rPr>
      <w:rFonts w:eastAsiaTheme="minorEastAsia"/>
      <w:sz w:val="22"/>
      <w:szCs w:val="22"/>
    </w:rPr>
  </w:style>
  <w:style w:type="paragraph" w:customStyle="1" w:styleId="normal-000046">
    <w:name w:val="normal-000046"/>
    <w:basedOn w:val="Normal"/>
    <w:rsid w:val="00DE7252"/>
    <w:rPr>
      <w:rFonts w:eastAsiaTheme="minorEastAsia"/>
    </w:rPr>
  </w:style>
  <w:style w:type="character" w:customStyle="1" w:styleId="defaultparagraphfont-000003">
    <w:name w:val="defaultparagraphfont-000003"/>
    <w:basedOn w:val="DefaultParagraphFont"/>
    <w:rsid w:val="00DE7252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character" w:customStyle="1" w:styleId="defaultparagraphfont-000007">
    <w:name w:val="defaultparagraphfont-000007"/>
    <w:basedOn w:val="DefaultParagraphFont"/>
    <w:rsid w:val="00DE7252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39">
    <w:name w:val="defaultparagraphfont-000039"/>
    <w:basedOn w:val="DefaultParagraphFont"/>
    <w:rsid w:val="00DE72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000042">
    <w:name w:val="000042"/>
    <w:basedOn w:val="DefaultParagraphFont"/>
    <w:rsid w:val="00DE7252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000047">
    <w:name w:val="000047"/>
    <w:basedOn w:val="DefaultParagraphFont"/>
    <w:rsid w:val="00DE7252"/>
    <w:rPr>
      <w:b w:val="0"/>
      <w:bCs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A33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1">
    <w:name w:val="Normal1"/>
    <w:basedOn w:val="Normal"/>
    <w:rsid w:val="00CA3364"/>
    <w:pPr>
      <w:spacing w:after="30"/>
      <w:jc w:val="right"/>
      <w:textAlignment w:val="baseline"/>
    </w:pPr>
    <w:rPr>
      <w:rFonts w:eastAsiaTheme="minorEastAsia"/>
      <w:sz w:val="22"/>
      <w:szCs w:val="22"/>
    </w:rPr>
  </w:style>
  <w:style w:type="paragraph" w:customStyle="1" w:styleId="normal-000000">
    <w:name w:val="normal-000000"/>
    <w:basedOn w:val="Normal"/>
    <w:rsid w:val="00CA3364"/>
    <w:pPr>
      <w:spacing w:after="30"/>
      <w:textAlignment w:val="baseline"/>
    </w:pPr>
    <w:rPr>
      <w:rFonts w:eastAsiaTheme="minorEastAsia"/>
      <w:sz w:val="22"/>
      <w:szCs w:val="22"/>
    </w:rPr>
  </w:style>
  <w:style w:type="paragraph" w:customStyle="1" w:styleId="normal-000002">
    <w:name w:val="normal-000002"/>
    <w:basedOn w:val="Normal"/>
    <w:rsid w:val="00CA3364"/>
    <w:pPr>
      <w:spacing w:after="30"/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Title1">
    <w:name w:val="Title1"/>
    <w:basedOn w:val="Normal"/>
    <w:rsid w:val="00CA3364"/>
    <w:pPr>
      <w:jc w:val="center"/>
    </w:pPr>
    <w:rPr>
      <w:rFonts w:eastAsiaTheme="minorEastAsia"/>
    </w:rPr>
  </w:style>
  <w:style w:type="paragraph" w:customStyle="1" w:styleId="normal-000005">
    <w:name w:val="normal-000005"/>
    <w:basedOn w:val="Normal"/>
    <w:rsid w:val="00CA3364"/>
    <w:pPr>
      <w:spacing w:before="100" w:beforeAutospacing="1" w:after="60"/>
      <w:textAlignment w:val="baseline"/>
    </w:pPr>
    <w:rPr>
      <w:rFonts w:eastAsiaTheme="minorEastAsia"/>
      <w:sz w:val="22"/>
      <w:szCs w:val="22"/>
    </w:rPr>
  </w:style>
  <w:style w:type="paragraph" w:customStyle="1" w:styleId="normal-000008">
    <w:name w:val="normal-000008"/>
    <w:basedOn w:val="Normal"/>
    <w:rsid w:val="00CA3364"/>
    <w:pPr>
      <w:spacing w:before="100" w:beforeAutospacing="1" w:after="30"/>
      <w:jc w:val="center"/>
      <w:textAlignment w:val="baseline"/>
    </w:pPr>
    <w:rPr>
      <w:rFonts w:eastAsiaTheme="minorEastAsia"/>
      <w:sz w:val="22"/>
      <w:szCs w:val="22"/>
    </w:rPr>
  </w:style>
  <w:style w:type="paragraph" w:customStyle="1" w:styleId="normal-000010">
    <w:name w:val="normal-000010"/>
    <w:basedOn w:val="Normal"/>
    <w:rsid w:val="00CA3364"/>
    <w:pPr>
      <w:spacing w:after="30"/>
      <w:textAlignment w:val="baseline"/>
    </w:pPr>
    <w:rPr>
      <w:rFonts w:eastAsiaTheme="minorEastAsia"/>
      <w:sz w:val="22"/>
      <w:szCs w:val="22"/>
    </w:rPr>
  </w:style>
  <w:style w:type="paragraph" w:customStyle="1" w:styleId="000011">
    <w:name w:val="000011"/>
    <w:basedOn w:val="Normal"/>
    <w:rsid w:val="00CA3364"/>
    <w:pPr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000014">
    <w:name w:val="000014"/>
    <w:basedOn w:val="Normal"/>
    <w:rsid w:val="00CA3364"/>
    <w:pPr>
      <w:spacing w:after="30"/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normal-000015">
    <w:name w:val="normal-000015"/>
    <w:basedOn w:val="Normal"/>
    <w:rsid w:val="00CA3364"/>
    <w:pPr>
      <w:spacing w:after="30"/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000016">
    <w:name w:val="000016"/>
    <w:basedOn w:val="Normal"/>
    <w:rsid w:val="00CA3364"/>
    <w:pPr>
      <w:spacing w:after="135"/>
      <w:jc w:val="both"/>
    </w:pPr>
    <w:rPr>
      <w:rFonts w:eastAsiaTheme="minorEastAsia"/>
      <w:sz w:val="22"/>
      <w:szCs w:val="22"/>
    </w:rPr>
  </w:style>
  <w:style w:type="paragraph" w:customStyle="1" w:styleId="normal-000018">
    <w:name w:val="normal-000018"/>
    <w:basedOn w:val="Normal"/>
    <w:rsid w:val="00CA3364"/>
    <w:pPr>
      <w:spacing w:after="135"/>
      <w:jc w:val="both"/>
    </w:pPr>
    <w:rPr>
      <w:rFonts w:eastAsiaTheme="minorEastAsia"/>
      <w:sz w:val="22"/>
      <w:szCs w:val="22"/>
    </w:rPr>
  </w:style>
  <w:style w:type="paragraph" w:customStyle="1" w:styleId="normal-000022">
    <w:name w:val="normal-000022"/>
    <w:basedOn w:val="Normal"/>
    <w:rsid w:val="00CA3364"/>
    <w:pPr>
      <w:spacing w:after="30"/>
      <w:jc w:val="center"/>
      <w:textAlignment w:val="baseline"/>
    </w:pPr>
    <w:rPr>
      <w:rFonts w:eastAsiaTheme="minorEastAsia"/>
      <w:sz w:val="22"/>
      <w:szCs w:val="22"/>
    </w:rPr>
  </w:style>
  <w:style w:type="paragraph" w:customStyle="1" w:styleId="000026">
    <w:name w:val="000026"/>
    <w:basedOn w:val="Normal"/>
    <w:rsid w:val="00CA3364"/>
    <w:pPr>
      <w:spacing w:after="30"/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000027">
    <w:name w:val="000027"/>
    <w:basedOn w:val="Normal"/>
    <w:rsid w:val="00CA3364"/>
    <w:pPr>
      <w:spacing w:after="30"/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000029">
    <w:name w:val="000029"/>
    <w:basedOn w:val="Normal"/>
    <w:rsid w:val="00CA3364"/>
    <w:pPr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000030">
    <w:name w:val="000030"/>
    <w:basedOn w:val="Normal"/>
    <w:rsid w:val="00CA3364"/>
    <w:pPr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000032">
    <w:name w:val="000032"/>
    <w:basedOn w:val="Normal"/>
    <w:rsid w:val="00CA3364"/>
    <w:pPr>
      <w:spacing w:after="30"/>
      <w:jc w:val="both"/>
      <w:textAlignment w:val="baseline"/>
    </w:pPr>
    <w:rPr>
      <w:rFonts w:eastAsiaTheme="minorEastAsia"/>
      <w:sz w:val="22"/>
      <w:szCs w:val="22"/>
    </w:rPr>
  </w:style>
  <w:style w:type="paragraph" w:customStyle="1" w:styleId="normal-000033">
    <w:name w:val="normal-000033"/>
    <w:basedOn w:val="Normal"/>
    <w:rsid w:val="00CA3364"/>
    <w:pPr>
      <w:spacing w:after="30"/>
      <w:jc w:val="center"/>
      <w:textAlignment w:val="baseline"/>
    </w:pPr>
    <w:rPr>
      <w:rFonts w:eastAsiaTheme="minorEastAsia"/>
      <w:sz w:val="22"/>
      <w:szCs w:val="22"/>
    </w:rPr>
  </w:style>
  <w:style w:type="paragraph" w:customStyle="1" w:styleId="normal-000034">
    <w:name w:val="normal-000034"/>
    <w:basedOn w:val="Normal"/>
    <w:rsid w:val="00CA3364"/>
    <w:pPr>
      <w:textAlignment w:val="baseline"/>
    </w:pPr>
    <w:rPr>
      <w:rFonts w:eastAsiaTheme="minorEastAsia"/>
      <w:sz w:val="22"/>
      <w:szCs w:val="22"/>
    </w:rPr>
  </w:style>
  <w:style w:type="paragraph" w:customStyle="1" w:styleId="normal-000035">
    <w:name w:val="normal-000035"/>
    <w:basedOn w:val="Normal"/>
    <w:rsid w:val="00CA3364"/>
    <w:pPr>
      <w:jc w:val="center"/>
      <w:textAlignment w:val="baseline"/>
    </w:pPr>
    <w:rPr>
      <w:rFonts w:eastAsiaTheme="minorEastAsia"/>
      <w:sz w:val="22"/>
      <w:szCs w:val="22"/>
    </w:rPr>
  </w:style>
  <w:style w:type="paragraph" w:customStyle="1" w:styleId="normal-000036">
    <w:name w:val="normal-000036"/>
    <w:basedOn w:val="Normal"/>
    <w:rsid w:val="00CA3364"/>
    <w:pPr>
      <w:jc w:val="center"/>
      <w:textAlignment w:val="baseline"/>
    </w:pPr>
    <w:rPr>
      <w:rFonts w:eastAsiaTheme="minorEastAsia"/>
    </w:rPr>
  </w:style>
  <w:style w:type="character" w:customStyle="1" w:styleId="defaultparagraphfont0">
    <w:name w:val="defaultparagraphfont"/>
    <w:basedOn w:val="DefaultParagraphFont"/>
    <w:rsid w:val="00CA3364"/>
    <w:rPr>
      <w:rFonts w:ascii="Times New Roman" w:hAnsi="Times New Roman" w:cs="Times New Roman" w:hint="default"/>
      <w:b/>
      <w:bCs/>
      <w:color w:val="231F20"/>
      <w:sz w:val="22"/>
      <w:szCs w:val="22"/>
    </w:rPr>
  </w:style>
  <w:style w:type="character" w:customStyle="1" w:styleId="000001">
    <w:name w:val="000001"/>
    <w:basedOn w:val="DefaultParagraphFont"/>
    <w:rsid w:val="00CA3364"/>
    <w:rPr>
      <w:b w:val="0"/>
      <w:bCs w:val="0"/>
      <w:color w:val="231F20"/>
      <w:sz w:val="22"/>
      <w:szCs w:val="22"/>
    </w:rPr>
  </w:style>
  <w:style w:type="character" w:customStyle="1" w:styleId="defaultparagraphfont-000004">
    <w:name w:val="defaultparagraphfont-000004"/>
    <w:basedOn w:val="DefaultParagraphFont"/>
    <w:rsid w:val="00CA336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6">
    <w:name w:val="000006"/>
    <w:basedOn w:val="DefaultParagraphFont"/>
    <w:rsid w:val="00CA3364"/>
    <w:rPr>
      <w:b/>
      <w:bCs/>
      <w:color w:val="231F20"/>
      <w:sz w:val="22"/>
      <w:szCs w:val="22"/>
    </w:rPr>
  </w:style>
  <w:style w:type="character" w:customStyle="1" w:styleId="000012">
    <w:name w:val="000012"/>
    <w:basedOn w:val="DefaultParagraphFont"/>
    <w:rsid w:val="00CA3364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character" w:customStyle="1" w:styleId="000037">
    <w:name w:val="000037"/>
    <w:basedOn w:val="DefaultParagraphFont"/>
    <w:rsid w:val="00CA3364"/>
    <w:rPr>
      <w:b w:val="0"/>
      <w:bCs w:val="0"/>
      <w:color w:val="231F20"/>
    </w:rPr>
  </w:style>
  <w:style w:type="table" w:customStyle="1" w:styleId="TableGrid1">
    <w:name w:val="Table Grid1"/>
    <w:basedOn w:val="TableNormal"/>
    <w:next w:val="TableGrid"/>
    <w:uiPriority w:val="39"/>
    <w:rsid w:val="00E8417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A2C2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0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0EB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8026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802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63B0"/>
    <w:pPr>
      <w:ind w:left="720"/>
      <w:contextualSpacing/>
    </w:pPr>
  </w:style>
  <w:style w:type="character" w:styleId="CommentReference">
    <w:name w:val="annotation reference"/>
    <w:basedOn w:val="DefaultParagraphFont"/>
    <w:rsid w:val="00422B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2B37"/>
  </w:style>
  <w:style w:type="paragraph" w:styleId="CommentSubject">
    <w:name w:val="annotation subject"/>
    <w:basedOn w:val="CommentText"/>
    <w:next w:val="CommentText"/>
    <w:link w:val="CommentSubjectChar"/>
    <w:rsid w:val="00422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AZJMDCZ6QSYZ-12-11318</_dlc_DocId>
    <_dlc_DocIdUrl xmlns="a494813a-d0d8-4dad-94cb-0d196f36ba15">
      <Url>https://ekoordinacije.vlada.hr/sjednice-drustvo/_layouts/15/DocIdRedir.aspx?ID=AZJMDCZ6QSYZ-12-11318</Url>
      <Description>AZJMDCZ6QSYZ-12-11318</Description>
    </_dlc_DocIdUrl>
  </documentManagement>
</p:properties>
</file>

<file path=customXml/itemProps1.xml><?xml version="1.0" encoding="utf-8"?>
<ds:datastoreItem xmlns:ds="http://schemas.openxmlformats.org/officeDocument/2006/customXml" ds:itemID="{2D89B57D-7958-4B2B-9333-1C7C19B1E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5AA62-6830-46D3-B196-FF05B323A1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01EF32-0906-4C3B-BE68-61024175F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ADD71-A4EF-4BF0-8EE8-007A8E807D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61</cp:revision>
  <dcterms:created xsi:type="dcterms:W3CDTF">2023-09-19T11:10:00Z</dcterms:created>
  <dcterms:modified xsi:type="dcterms:W3CDTF">2023-09-20T10:01:00Z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d75f533a-8442-4146-9dcd-4f9485d4a43f</vt:lpwstr>
  </property>
</Properties>
</file>