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2BA47" w14:textId="77777777" w:rsidR="006F5ECB" w:rsidRPr="00F41260" w:rsidRDefault="006F5ECB" w:rsidP="006F5ECB">
      <w:pPr>
        <w:jc w:val="center"/>
        <w:rPr>
          <w:sz w:val="24"/>
          <w:szCs w:val="24"/>
          <w:lang w:eastAsia="hr-HR"/>
        </w:rPr>
      </w:pPr>
      <w:r w:rsidRPr="00F41260">
        <w:rPr>
          <w:noProof/>
          <w:sz w:val="24"/>
          <w:szCs w:val="24"/>
          <w:lang w:eastAsia="hr-HR"/>
        </w:rPr>
        <w:drawing>
          <wp:inline distT="0" distB="0" distL="0" distR="0" wp14:anchorId="5E5FDE2D" wp14:editId="1EDB5245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260">
        <w:rPr>
          <w:sz w:val="24"/>
          <w:szCs w:val="24"/>
          <w:lang w:eastAsia="hr-HR"/>
        </w:rPr>
        <w:fldChar w:fldCharType="begin"/>
      </w:r>
      <w:r w:rsidRPr="00F41260">
        <w:rPr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41260">
        <w:rPr>
          <w:sz w:val="24"/>
          <w:szCs w:val="24"/>
          <w:lang w:eastAsia="hr-HR"/>
        </w:rPr>
        <w:fldChar w:fldCharType="end"/>
      </w:r>
    </w:p>
    <w:p w14:paraId="41D0EED0" w14:textId="77777777" w:rsidR="006F5ECB" w:rsidRPr="00085B73" w:rsidRDefault="006F5ECB" w:rsidP="006F5ECB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hAnsi="Times New Roman" w:cs="Times New Roman"/>
          <w:sz w:val="24"/>
          <w:szCs w:val="24"/>
          <w:lang w:eastAsia="hr-HR"/>
        </w:rPr>
        <w:t>VLADA REPUBLIKE HRVATSKE</w:t>
      </w:r>
    </w:p>
    <w:p w14:paraId="0766842C" w14:textId="77777777" w:rsidR="006F5ECB" w:rsidRPr="00085B73" w:rsidRDefault="006F5ECB" w:rsidP="006F5EC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2E940F6" w14:textId="198E8340" w:rsidR="006F5ECB" w:rsidRPr="00085B73" w:rsidRDefault="006F5ECB" w:rsidP="006F5ECB">
      <w:pPr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  <w:r w:rsidR="004425FC">
        <w:rPr>
          <w:rFonts w:ascii="Times New Roman" w:hAnsi="Times New Roman" w:cs="Times New Roman"/>
          <w:sz w:val="24"/>
          <w:szCs w:val="24"/>
          <w:lang w:eastAsia="hr-HR"/>
        </w:rPr>
        <w:t>21. rujna</w:t>
      </w:r>
      <w:bookmarkStart w:id="0" w:name="_GoBack"/>
      <w:bookmarkEnd w:id="0"/>
      <w:r w:rsidRPr="00085B73">
        <w:rPr>
          <w:rFonts w:ascii="Times New Roman" w:hAnsi="Times New Roman" w:cs="Times New Roman"/>
          <w:sz w:val="24"/>
          <w:szCs w:val="24"/>
          <w:lang w:eastAsia="hr-HR"/>
        </w:rPr>
        <w:t xml:space="preserve"> 2023.</w:t>
      </w:r>
    </w:p>
    <w:p w14:paraId="496DE0F4" w14:textId="77777777" w:rsidR="006F5ECB" w:rsidRPr="00085B73" w:rsidRDefault="006F5ECB" w:rsidP="006F5ECB">
      <w:pPr>
        <w:jc w:val="right"/>
        <w:rPr>
          <w:sz w:val="24"/>
          <w:szCs w:val="24"/>
          <w:lang w:eastAsia="hr-HR"/>
        </w:rPr>
      </w:pPr>
    </w:p>
    <w:p w14:paraId="175BC457" w14:textId="77777777" w:rsidR="006F5ECB" w:rsidRPr="00085B73" w:rsidRDefault="006F5ECB" w:rsidP="006F5ECB">
      <w:pPr>
        <w:jc w:val="right"/>
        <w:rPr>
          <w:sz w:val="24"/>
          <w:szCs w:val="24"/>
          <w:lang w:eastAsia="hr-HR"/>
        </w:rPr>
      </w:pPr>
    </w:p>
    <w:p w14:paraId="368803F7" w14:textId="77777777" w:rsidR="006F5ECB" w:rsidRPr="00085B73" w:rsidRDefault="006F5ECB" w:rsidP="006F5ECB">
      <w:pPr>
        <w:jc w:val="right"/>
        <w:rPr>
          <w:sz w:val="24"/>
          <w:szCs w:val="24"/>
          <w:lang w:eastAsia="hr-HR"/>
        </w:rPr>
      </w:pPr>
    </w:p>
    <w:p w14:paraId="1B0CE3B7" w14:textId="77777777" w:rsidR="006F5ECB" w:rsidRPr="00085B73" w:rsidRDefault="006F5ECB" w:rsidP="006F5ECB">
      <w:pPr>
        <w:jc w:val="right"/>
        <w:rPr>
          <w:sz w:val="24"/>
          <w:szCs w:val="24"/>
          <w:lang w:eastAsia="hr-HR"/>
        </w:rPr>
      </w:pPr>
    </w:p>
    <w:p w14:paraId="588893CF" w14:textId="77777777" w:rsidR="006F5ECB" w:rsidRPr="00085B73" w:rsidRDefault="006F5ECB" w:rsidP="006F5ECB">
      <w:pPr>
        <w:jc w:val="right"/>
        <w:rPr>
          <w:sz w:val="24"/>
          <w:szCs w:val="24"/>
          <w:lang w:eastAsia="hr-HR"/>
        </w:rPr>
      </w:pPr>
    </w:p>
    <w:p w14:paraId="0A9B4C1C" w14:textId="77777777" w:rsidR="006F5ECB" w:rsidRPr="00085B73" w:rsidRDefault="006F5ECB" w:rsidP="006F5ECB">
      <w:pPr>
        <w:jc w:val="both"/>
        <w:rPr>
          <w:sz w:val="24"/>
          <w:szCs w:val="24"/>
          <w:lang w:eastAsia="hr-HR"/>
        </w:rPr>
      </w:pPr>
      <w:r w:rsidRPr="00085B73">
        <w:rPr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85B73" w:rsidRPr="00085B73" w14:paraId="1750CA3A" w14:textId="77777777" w:rsidTr="00B1066A">
        <w:tc>
          <w:tcPr>
            <w:tcW w:w="1951" w:type="dxa"/>
          </w:tcPr>
          <w:p w14:paraId="02C394D5" w14:textId="77777777" w:rsidR="006F5ECB" w:rsidRPr="00085B73" w:rsidRDefault="006F5ECB" w:rsidP="00B106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7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085B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4316DDF" w14:textId="77777777" w:rsidR="006F5ECB" w:rsidRPr="00085B73" w:rsidRDefault="006F5ECB" w:rsidP="00B1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B73">
              <w:rPr>
                <w:rFonts w:ascii="Times New Roman" w:hAnsi="Times New Roman" w:cs="Times New Roman"/>
                <w:sz w:val="24"/>
                <w:szCs w:val="24"/>
              </w:rPr>
              <w:t>Ministarstvo financija</w:t>
            </w:r>
          </w:p>
        </w:tc>
      </w:tr>
    </w:tbl>
    <w:p w14:paraId="116ABEC2" w14:textId="77777777" w:rsidR="006F5ECB" w:rsidRPr="00085B73" w:rsidRDefault="006F5ECB" w:rsidP="006F5EC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85B73" w:rsidRPr="00085B73" w14:paraId="76C3E73E" w14:textId="77777777" w:rsidTr="00B1066A">
        <w:tc>
          <w:tcPr>
            <w:tcW w:w="1951" w:type="dxa"/>
          </w:tcPr>
          <w:p w14:paraId="4724C7FB" w14:textId="77777777" w:rsidR="006F5ECB" w:rsidRPr="00085B73" w:rsidRDefault="006F5ECB" w:rsidP="00B1066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5B7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085B7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918C82A" w14:textId="77777777" w:rsidR="006F5ECB" w:rsidRPr="00085B73" w:rsidRDefault="006F5ECB" w:rsidP="00B10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B73">
              <w:rPr>
                <w:rFonts w:ascii="Times New Roman" w:hAnsi="Times New Roman" w:cs="Times New Roman"/>
                <w:sz w:val="24"/>
                <w:szCs w:val="24"/>
              </w:rPr>
              <w:t>Nacrt prijedloga zakona o izmjenama Zakona o provedbi Uredbe (EU) 2016/1011 o indeksima koji se upotrebljavaju kao referentne vrijednosti, s Nacrtom konačnog prijedloga zakona</w:t>
            </w:r>
          </w:p>
        </w:tc>
      </w:tr>
    </w:tbl>
    <w:p w14:paraId="548B3C9E" w14:textId="77777777" w:rsidR="006F5ECB" w:rsidRPr="00085B73" w:rsidRDefault="006F5ECB" w:rsidP="006F5ECB">
      <w:pPr>
        <w:jc w:val="both"/>
        <w:rPr>
          <w:sz w:val="24"/>
          <w:szCs w:val="24"/>
          <w:lang w:eastAsia="hr-HR"/>
        </w:rPr>
      </w:pPr>
      <w:r w:rsidRPr="00085B73">
        <w:rPr>
          <w:sz w:val="24"/>
          <w:szCs w:val="24"/>
          <w:lang w:eastAsia="hr-HR"/>
        </w:rPr>
        <w:t>__________________________________________________________________________</w:t>
      </w:r>
    </w:p>
    <w:p w14:paraId="7CA1666A" w14:textId="77777777" w:rsidR="006F5ECB" w:rsidRPr="00085B73" w:rsidRDefault="006F5ECB" w:rsidP="006F5ECB">
      <w:pPr>
        <w:jc w:val="both"/>
        <w:rPr>
          <w:sz w:val="24"/>
          <w:szCs w:val="24"/>
          <w:lang w:eastAsia="hr-HR"/>
        </w:rPr>
      </w:pPr>
    </w:p>
    <w:p w14:paraId="56E2FBB9" w14:textId="77777777" w:rsidR="006F5ECB" w:rsidRPr="00085B73" w:rsidRDefault="006F5ECB" w:rsidP="006F5ECB">
      <w:pPr>
        <w:jc w:val="both"/>
        <w:rPr>
          <w:sz w:val="24"/>
          <w:szCs w:val="24"/>
          <w:lang w:eastAsia="hr-HR"/>
        </w:rPr>
      </w:pPr>
    </w:p>
    <w:p w14:paraId="5CDFD4ED" w14:textId="77777777" w:rsidR="006F5ECB" w:rsidRPr="00085B73" w:rsidRDefault="006F5ECB" w:rsidP="006F5ECB">
      <w:pPr>
        <w:jc w:val="both"/>
        <w:rPr>
          <w:sz w:val="24"/>
          <w:szCs w:val="24"/>
          <w:lang w:eastAsia="hr-HR"/>
        </w:rPr>
      </w:pPr>
    </w:p>
    <w:p w14:paraId="11F87772" w14:textId="77777777" w:rsidR="006F5ECB" w:rsidRPr="00085B73" w:rsidRDefault="006F5ECB" w:rsidP="006F5ECB">
      <w:pPr>
        <w:jc w:val="both"/>
        <w:rPr>
          <w:sz w:val="24"/>
          <w:szCs w:val="24"/>
          <w:lang w:eastAsia="hr-HR"/>
        </w:rPr>
      </w:pPr>
    </w:p>
    <w:p w14:paraId="040B00BF" w14:textId="77777777" w:rsidR="006F5ECB" w:rsidRPr="00085B73" w:rsidRDefault="006F5ECB" w:rsidP="006F5ECB">
      <w:pPr>
        <w:rPr>
          <w:sz w:val="24"/>
          <w:szCs w:val="24"/>
          <w:lang w:eastAsia="hr-HR"/>
        </w:rPr>
      </w:pPr>
    </w:p>
    <w:p w14:paraId="352858EF" w14:textId="77777777" w:rsidR="006F5ECB" w:rsidRPr="00085B73" w:rsidRDefault="006F5ECB" w:rsidP="006F5ECB">
      <w:pPr>
        <w:rPr>
          <w:sz w:val="24"/>
          <w:szCs w:val="24"/>
          <w:lang w:eastAsia="hr-HR"/>
        </w:rPr>
      </w:pPr>
    </w:p>
    <w:p w14:paraId="67E88F7B" w14:textId="77777777" w:rsidR="006F5ECB" w:rsidRPr="00085B73" w:rsidRDefault="006F5ECB" w:rsidP="006F5ECB">
      <w:pPr>
        <w:rPr>
          <w:sz w:val="24"/>
          <w:szCs w:val="24"/>
          <w:lang w:eastAsia="hr-HR"/>
        </w:rPr>
      </w:pPr>
    </w:p>
    <w:p w14:paraId="5FD54689" w14:textId="77777777" w:rsidR="006F5ECB" w:rsidRPr="00085B73" w:rsidRDefault="006F5ECB" w:rsidP="006F5ECB">
      <w:pPr>
        <w:rPr>
          <w:sz w:val="24"/>
          <w:szCs w:val="24"/>
          <w:lang w:eastAsia="hr-HR"/>
        </w:rPr>
      </w:pPr>
    </w:p>
    <w:p w14:paraId="13FFE258" w14:textId="77777777" w:rsidR="006F5ECB" w:rsidRPr="00085B73" w:rsidRDefault="006F5ECB" w:rsidP="006F5ECB">
      <w:pPr>
        <w:rPr>
          <w:sz w:val="24"/>
          <w:szCs w:val="24"/>
          <w:lang w:eastAsia="hr-HR"/>
        </w:rPr>
      </w:pPr>
    </w:p>
    <w:p w14:paraId="5A9B0503" w14:textId="77777777" w:rsidR="006F5ECB" w:rsidRPr="00085B73" w:rsidRDefault="006F5ECB" w:rsidP="006F5ECB">
      <w:pPr>
        <w:rPr>
          <w:sz w:val="24"/>
          <w:szCs w:val="24"/>
          <w:lang w:eastAsia="hr-HR"/>
        </w:rPr>
      </w:pPr>
    </w:p>
    <w:p w14:paraId="081C2307" w14:textId="77777777" w:rsidR="006F5ECB" w:rsidRPr="00085B73" w:rsidRDefault="006F5ECB" w:rsidP="006F5ECB">
      <w:pPr>
        <w:rPr>
          <w:sz w:val="24"/>
          <w:szCs w:val="24"/>
          <w:lang w:eastAsia="hr-HR"/>
        </w:rPr>
      </w:pPr>
    </w:p>
    <w:p w14:paraId="3A787C57" w14:textId="77777777" w:rsidR="006F5ECB" w:rsidRPr="00085B73" w:rsidRDefault="006F5ECB" w:rsidP="006F5EC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pacing w:val="20"/>
          <w:sz w:val="24"/>
          <w:szCs w:val="24"/>
          <w:lang w:eastAsia="hr-HR"/>
        </w:rPr>
      </w:pPr>
      <w:r w:rsidRPr="00085B73">
        <w:rPr>
          <w:rFonts w:ascii="Times New Roman" w:hAnsi="Times New Roman" w:cs="Times New Roman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3B46E34F" w14:textId="77777777" w:rsidR="006F5ECB" w:rsidRPr="00085B73" w:rsidRDefault="006F5ECB" w:rsidP="006F5EC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pacing w:val="20"/>
          <w:sz w:val="24"/>
          <w:szCs w:val="24"/>
          <w:lang w:eastAsia="hr-HR"/>
        </w:rPr>
      </w:pPr>
    </w:p>
    <w:p w14:paraId="298B0F0A" w14:textId="77777777" w:rsidR="006F5ECB" w:rsidRPr="00085B73" w:rsidRDefault="006F5ECB" w:rsidP="006F5E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lastRenderedPageBreak/>
        <w:t>REPUBLIKA HRVATSKA</w:t>
      </w:r>
    </w:p>
    <w:p w14:paraId="56CCB518" w14:textId="77777777" w:rsidR="006F5ECB" w:rsidRPr="00085B73" w:rsidRDefault="006F5ECB" w:rsidP="006F5E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t>MINISTARSTVO FINANCIJA</w:t>
      </w:r>
    </w:p>
    <w:p w14:paraId="064C37FB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0C5EFE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502B4" w14:textId="77777777" w:rsidR="006F5ECB" w:rsidRPr="00085B73" w:rsidRDefault="006F5ECB" w:rsidP="006F5E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t>NACRT</w:t>
      </w:r>
    </w:p>
    <w:p w14:paraId="7365715A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A9238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82006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14A10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33762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06FD7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F384A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F36AA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0F20B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28B7A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DAE58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65CE1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607B1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11F6FB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CC165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3FABC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6DD3C" w14:textId="36CDEE5C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t xml:space="preserve">PRIJEDLOG ZAKONA O IZMJENAMA ZAKONA O PROVEDBI UREDBE (EU) 2016/1011 O INDEKSIMA KOJI SE UPOTREBLJAVAJU KAO REFERENTNE VRIJEDNOSTI, S KONAČNIM PRIJEDLOGOM ZAKONA </w:t>
      </w:r>
    </w:p>
    <w:p w14:paraId="1FA1FF98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737EC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91A12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BA0D5C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9F871E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F7E1E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5EDE2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3DEA8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1878F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A3917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CED69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CCEFB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D33FF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609C0B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F4D1B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4DC8FE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49D59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560E2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9A30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20659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A2ED2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2E165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5D8E86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318951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DABB7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B7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061434D" w14:textId="3C882FF3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40560F" w:rsidRPr="00085B73">
        <w:rPr>
          <w:rFonts w:ascii="Times New Roman" w:hAnsi="Times New Roman" w:cs="Times New Roman"/>
          <w:b/>
          <w:sz w:val="24"/>
          <w:szCs w:val="24"/>
        </w:rPr>
        <w:t>rujan</w:t>
      </w:r>
      <w:r w:rsidRPr="00085B73">
        <w:rPr>
          <w:rFonts w:ascii="Times New Roman" w:hAnsi="Times New Roman" w:cs="Times New Roman"/>
          <w:b/>
          <w:sz w:val="24"/>
          <w:szCs w:val="24"/>
        </w:rPr>
        <w:t xml:space="preserve"> 2023.</w:t>
      </w:r>
    </w:p>
    <w:p w14:paraId="2AA5DAFB" w14:textId="7FA9FA82" w:rsidR="003673D0" w:rsidRPr="00085B73" w:rsidRDefault="003673D0" w:rsidP="0036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PRIJEDLOG ZAKONA O IZMJENAMA ZAKONA O PROVEDBI UREDBE (EU) 2016/1011 O INDEKSIMA KOJI SE UPOTREBLJAVAJU KAO REFERENTNE VRIJEDNOSTI </w:t>
      </w:r>
    </w:p>
    <w:p w14:paraId="37CE9A90" w14:textId="77777777" w:rsidR="00196D23" w:rsidRPr="00085B73" w:rsidRDefault="00196D23" w:rsidP="00196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C55D1" w14:textId="77777777" w:rsidR="00196D23" w:rsidRPr="00085B7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085B73">
        <w:rPr>
          <w:rFonts w:ascii="Times New Roman" w:hAnsi="Times New Roman" w:cs="Times New Roman"/>
          <w:b/>
          <w:sz w:val="24"/>
          <w:szCs w:val="24"/>
        </w:rPr>
        <w:tab/>
        <w:t>USTAVNA OSNOVA ZA DONOŠENJE ZAKONA</w:t>
      </w:r>
    </w:p>
    <w:p w14:paraId="5044DBB0" w14:textId="77777777" w:rsidR="00196D23" w:rsidRPr="00085B7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CC194" w14:textId="36FC4E41" w:rsidR="00196D23" w:rsidRPr="00085B73" w:rsidRDefault="00196D23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73">
        <w:rPr>
          <w:rFonts w:ascii="Times New Roman" w:hAnsi="Times New Roman" w:cs="Times New Roman"/>
          <w:sz w:val="24"/>
          <w:szCs w:val="24"/>
        </w:rPr>
        <w:t xml:space="preserve">Ustavna osnova za donošenje ovoga Zakona sadržana je u odredbi članka 2. stavka 4. podstavka 1. Ustava Republike </w:t>
      </w:r>
      <w:r w:rsidR="00AE47EE" w:rsidRPr="00085B73">
        <w:rPr>
          <w:rFonts w:ascii="Times New Roman" w:hAnsi="Times New Roman" w:cs="Times New Roman"/>
          <w:sz w:val="24"/>
          <w:szCs w:val="24"/>
        </w:rPr>
        <w:t>Hrvatske („Narodne novine“, br</w:t>
      </w:r>
      <w:r w:rsidR="003A6D99" w:rsidRPr="00085B73">
        <w:rPr>
          <w:rFonts w:ascii="Times New Roman" w:hAnsi="Times New Roman" w:cs="Times New Roman"/>
          <w:sz w:val="24"/>
          <w:szCs w:val="24"/>
        </w:rPr>
        <w:t>.</w:t>
      </w:r>
      <w:r w:rsidRPr="00085B73">
        <w:rPr>
          <w:rFonts w:ascii="Times New Roman" w:hAnsi="Times New Roman" w:cs="Times New Roman"/>
          <w:sz w:val="24"/>
          <w:szCs w:val="24"/>
        </w:rPr>
        <w:t xml:space="preserve"> 85/10. - pročišćeni tekst i 5/14. - Odluka Ustavnog suda Republike Hrvatske).</w:t>
      </w:r>
    </w:p>
    <w:p w14:paraId="0A8B5862" w14:textId="77777777" w:rsidR="00196D23" w:rsidRPr="00085B7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66C5" w14:textId="77777777" w:rsidR="00196D23" w:rsidRPr="00085B73" w:rsidRDefault="00196D23" w:rsidP="00196D23">
      <w:pPr>
        <w:pStyle w:val="NormalWeb"/>
        <w:spacing w:before="0" w:beforeAutospacing="0" w:after="0" w:afterAutospacing="0"/>
        <w:jc w:val="both"/>
        <w:rPr>
          <w:b/>
        </w:rPr>
      </w:pPr>
      <w:r w:rsidRPr="00085B73">
        <w:rPr>
          <w:b/>
        </w:rPr>
        <w:t xml:space="preserve">II. </w:t>
      </w:r>
      <w:r w:rsidRPr="00085B73">
        <w:rPr>
          <w:b/>
        </w:rPr>
        <w:tab/>
        <w:t>OCJENA STANJA I OSNOVNA PITANJA KOJA SE TREBAJU UREDITI ZAKONOM TE POSLJEDICE KOJE ĆE DONOŠENJEM ZAKONA PROISTEĆI</w:t>
      </w:r>
    </w:p>
    <w:p w14:paraId="55D54BC3" w14:textId="77777777" w:rsidR="00196D23" w:rsidRPr="00085B73" w:rsidRDefault="00196D23" w:rsidP="00196D23">
      <w:pPr>
        <w:pStyle w:val="NormalWeb"/>
        <w:spacing w:before="0" w:beforeAutospacing="0" w:after="0" w:afterAutospacing="0"/>
        <w:jc w:val="both"/>
        <w:rPr>
          <w:b/>
        </w:rPr>
      </w:pPr>
    </w:p>
    <w:p w14:paraId="3642BAEF" w14:textId="45F2CADC" w:rsidR="006C0AB9" w:rsidRPr="00085B73" w:rsidRDefault="006C0AB9" w:rsidP="00DD0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73">
        <w:rPr>
          <w:rFonts w:ascii="Times New Roman" w:hAnsi="Times New Roman" w:cs="Times New Roman"/>
          <w:sz w:val="24"/>
          <w:szCs w:val="24"/>
        </w:rPr>
        <w:t>Zaključkom Vlade Republike Hrvatske, od 16. rujna 2021., o provedbi Nacionalnog plana zamjene hrvatske kune eurom je, između ostaloga, utvrđeno da će se zakoni iz II. skupine (prilog Zaključka), a koji sadrže manji broj odredbi vezanih za hrvatsku kunu, mijenjati tijekom 2022. i 2023.</w:t>
      </w:r>
      <w:r w:rsidR="003A6D99" w:rsidRPr="00085B73">
        <w:rPr>
          <w:rFonts w:ascii="Times New Roman" w:hAnsi="Times New Roman" w:cs="Times New Roman"/>
          <w:sz w:val="24"/>
          <w:szCs w:val="24"/>
        </w:rPr>
        <w:t xml:space="preserve"> godine</w:t>
      </w:r>
      <w:r w:rsidRPr="00085B73">
        <w:rPr>
          <w:rFonts w:ascii="Times New Roman" w:hAnsi="Times New Roman" w:cs="Times New Roman"/>
          <w:sz w:val="24"/>
          <w:szCs w:val="24"/>
        </w:rPr>
        <w:t xml:space="preserve"> te po potrebi u razdoblju nakon toga.</w:t>
      </w:r>
    </w:p>
    <w:p w14:paraId="0B4582A0" w14:textId="77777777" w:rsidR="00196D23" w:rsidRPr="00085B73" w:rsidRDefault="00196D23" w:rsidP="00196D23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04B0F398" w14:textId="23BD3B9B" w:rsidR="00196D23" w:rsidRPr="00085B73" w:rsidRDefault="00196D23" w:rsidP="00196D23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085B73">
        <w:rPr>
          <w:rFonts w:eastAsiaTheme="minorHAnsi"/>
          <w:lang w:eastAsia="en-US"/>
        </w:rPr>
        <w:t xml:space="preserve">Prijedlogom </w:t>
      </w:r>
      <w:r w:rsidR="000B72CD" w:rsidRPr="00085B73">
        <w:t xml:space="preserve">zakona o izmjenama Zakona o provedbi </w:t>
      </w:r>
      <w:r w:rsidR="005F1927" w:rsidRPr="00085B73">
        <w:t xml:space="preserve">Uredbe </w:t>
      </w:r>
      <w:r w:rsidR="000B72CD" w:rsidRPr="00085B73">
        <w:t xml:space="preserve">(EU) </w:t>
      </w:r>
      <w:r w:rsidR="007A3A9C" w:rsidRPr="00085B73">
        <w:t>2016/1011</w:t>
      </w:r>
      <w:r w:rsidR="003673D0" w:rsidRPr="00085B73">
        <w:t xml:space="preserve"> </w:t>
      </w:r>
      <w:r w:rsidR="000B72CD" w:rsidRPr="00085B73">
        <w:t xml:space="preserve">o </w:t>
      </w:r>
      <w:r w:rsidR="007A3A9C" w:rsidRPr="00085B73">
        <w:t xml:space="preserve">indeksima koji se upotrebljavaju kao referentne vrijednosti </w:t>
      </w:r>
      <w:r w:rsidRPr="00085B73">
        <w:rPr>
          <w:rFonts w:eastAsiaTheme="minorHAnsi"/>
          <w:lang w:eastAsia="en-US"/>
        </w:rPr>
        <w:t>doprinosi se provedbi Nacionalnog plana zamjene hrvatske kune eurom</w:t>
      </w:r>
      <w:r w:rsidR="00861FDA" w:rsidRPr="00085B73">
        <w:rPr>
          <w:rFonts w:eastAsiaTheme="minorHAnsi"/>
          <w:lang w:eastAsia="en-US"/>
        </w:rPr>
        <w:t>.</w:t>
      </w:r>
      <w:r w:rsidRPr="00085B73">
        <w:rPr>
          <w:rFonts w:eastAsiaTheme="minorHAnsi"/>
          <w:lang w:eastAsia="en-US"/>
        </w:rPr>
        <w:t xml:space="preserve"> </w:t>
      </w:r>
    </w:p>
    <w:p w14:paraId="137DBBEE" w14:textId="6B1035C1" w:rsidR="00196D23" w:rsidRPr="00085B73" w:rsidRDefault="00196D23" w:rsidP="00196D23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044E76E2" w14:textId="0BB8A90C" w:rsidR="0087148A" w:rsidRPr="00085B73" w:rsidRDefault="000B72CD" w:rsidP="0087148A">
      <w:pPr>
        <w:pStyle w:val="NormalWeb"/>
        <w:spacing w:before="0" w:beforeAutospacing="0" w:after="0"/>
        <w:ind w:firstLine="708"/>
        <w:jc w:val="both"/>
        <w:rPr>
          <w:rFonts w:eastAsiaTheme="minorHAnsi"/>
          <w:lang w:eastAsia="en-US"/>
        </w:rPr>
      </w:pPr>
      <w:r w:rsidRPr="00085B73">
        <w:t>Predloženim izmjenama novčani iznosi prekršajnih sankcija u kunama usklađuju se s odredbama Zakona o uvođenju eura kao službene valute u Republici</w:t>
      </w:r>
      <w:r w:rsidR="00AE47EE" w:rsidRPr="00085B73">
        <w:t xml:space="preserve"> Hrvatskoj (</w:t>
      </w:r>
      <w:r w:rsidR="000320A7" w:rsidRPr="00085B73">
        <w:t>„</w:t>
      </w:r>
      <w:r w:rsidR="00AE47EE" w:rsidRPr="00085B73">
        <w:t>Narodne novine</w:t>
      </w:r>
      <w:r w:rsidR="000320A7" w:rsidRPr="00085B73">
        <w:t>“</w:t>
      </w:r>
      <w:r w:rsidR="00AE47EE" w:rsidRPr="00085B73">
        <w:t>, br.</w:t>
      </w:r>
      <w:r w:rsidRPr="00085B73">
        <w:t xml:space="preserve"> 57/22. i 88/22.</w:t>
      </w:r>
      <w:r w:rsidR="00FD2B17" w:rsidRPr="00085B73">
        <w:t xml:space="preserve"> - ispravak</w:t>
      </w:r>
      <w:r w:rsidR="0087148A" w:rsidRPr="00085B73">
        <w:t xml:space="preserve">) i iznosima u eurima propisanima </w:t>
      </w:r>
      <w:r w:rsidR="0087148A" w:rsidRPr="00085B73">
        <w:rPr>
          <w:bCs/>
          <w:shd w:val="clear" w:color="auto" w:fill="FFFFFF"/>
        </w:rPr>
        <w:t>Uredbom (EU) 2016/1011 Europskog parlamenta i Vijeća od 8. lipnja 2016. o indeksima koji se upotrebljavaju kao referentne vrijednosti u financijskim instrumentima i financijskim ugovorima ili za mjerenje uspješnosti investicijskih fondova i o izmjeni direktiva 2008/48/EZ i 2014/17/EU te Uredbe (EU) br. 596/2014 (Tekst značajan za EGP)</w:t>
      </w:r>
      <w:r w:rsidR="0087148A" w:rsidRPr="00085B73">
        <w:t xml:space="preserve"> (SL L 171, 29.</w:t>
      </w:r>
      <w:r w:rsidR="009A14FC" w:rsidRPr="00085B73">
        <w:t xml:space="preserve"> </w:t>
      </w:r>
      <w:r w:rsidR="0087148A" w:rsidRPr="00085B73">
        <w:t>6.</w:t>
      </w:r>
      <w:r w:rsidR="009A14FC" w:rsidRPr="00085B73">
        <w:t xml:space="preserve"> </w:t>
      </w:r>
      <w:r w:rsidR="0087148A" w:rsidRPr="00085B73">
        <w:t>2016.).</w:t>
      </w:r>
    </w:p>
    <w:p w14:paraId="76B6F476" w14:textId="77777777" w:rsidR="00196D23" w:rsidRPr="00085B7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085B73">
        <w:rPr>
          <w:rFonts w:ascii="Times New Roman" w:hAnsi="Times New Roman" w:cs="Times New Roman"/>
          <w:b/>
          <w:sz w:val="24"/>
          <w:szCs w:val="24"/>
        </w:rPr>
        <w:tab/>
        <w:t>OCJENA I IZVORI SREDSTAVA POTREBNIH ZA PROVEDBU ZAKONA</w:t>
      </w:r>
    </w:p>
    <w:p w14:paraId="63CD479B" w14:textId="77777777" w:rsidR="00196D23" w:rsidRPr="00085B73" w:rsidRDefault="00196D23" w:rsidP="00196D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0DF26" w14:textId="77777777" w:rsidR="00196D23" w:rsidRPr="00085B73" w:rsidRDefault="00196D23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73">
        <w:rPr>
          <w:rFonts w:ascii="Times New Roman" w:hAnsi="Times New Roman" w:cs="Times New Roman"/>
          <w:sz w:val="24"/>
          <w:szCs w:val="24"/>
        </w:rPr>
        <w:t xml:space="preserve">Za provedbu ovoga Zakona nije potrebno osigurati sredstva u državnom proračunu Republike Hrvatske. </w:t>
      </w:r>
    </w:p>
    <w:p w14:paraId="34BD867A" w14:textId="77777777" w:rsidR="00196D23" w:rsidRPr="00085B73" w:rsidRDefault="00196D23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DCCFB5" w14:textId="2DC2F167" w:rsidR="00196D23" w:rsidRPr="00085B73" w:rsidRDefault="00196D23" w:rsidP="00196D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9760A1" w:rsidRPr="00085B73">
        <w:rPr>
          <w:rFonts w:ascii="Times New Roman" w:hAnsi="Times New Roman" w:cs="Times New Roman"/>
          <w:b/>
          <w:sz w:val="24"/>
          <w:szCs w:val="24"/>
        </w:rPr>
        <w:tab/>
      </w:r>
      <w:r w:rsidRPr="00085B73">
        <w:rPr>
          <w:rFonts w:ascii="Times New Roman" w:hAnsi="Times New Roman" w:cs="Times New Roman"/>
          <w:b/>
          <w:sz w:val="24"/>
          <w:szCs w:val="24"/>
        </w:rPr>
        <w:t>RAZLOZI ZA DONOŠENJE ZAKONA PO HITNOM POSTUPKU</w:t>
      </w:r>
    </w:p>
    <w:p w14:paraId="63194757" w14:textId="77777777" w:rsidR="00196D23" w:rsidRPr="00085B73" w:rsidRDefault="00196D23" w:rsidP="00196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2C6B8" w14:textId="3E8D63D4" w:rsidR="00196D23" w:rsidRPr="000F561C" w:rsidRDefault="00196D23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skladu s člankom 204. Poslovnika Hrvatskoga sabora </w:t>
      </w:r>
      <w:r w:rsidR="008B6647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>(„Narodne novine“, br. 81/13., 113/16., 69/17., 29/18., 53/20., 119/20. - Odluka Ustavnog suda Republike Hrvatske, 123/20. i 86/23</w:t>
      </w:r>
      <w:r w:rsidR="00F22F9D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B6647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Odluka Ustavnoga suda Republike Hrvatske)</w:t>
      </w:r>
      <w:r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predlaže se donošenje ovoga Zakona po hitnom postupku, radi </w:t>
      </w:r>
      <w:r w:rsidR="00876CEA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ažurne </w:t>
      </w:r>
      <w:r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>provedbe Nacionalnog plana zamjene hrvatske kune eurom</w:t>
      </w:r>
      <w:r w:rsidR="00876CEA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6CEA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kako bi Republika Hrvatska, kao dio ekonomske i monetarne unije čija je valuta euro, s tim uskladila svoje zakonske i </w:t>
      </w:r>
      <w:proofErr w:type="spellStart"/>
      <w:r w:rsidR="00876CEA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>podzakonske</w:t>
      </w:r>
      <w:proofErr w:type="spellEnd"/>
      <w:r w:rsidR="00876CEA" w:rsidRPr="000F5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propise.</w:t>
      </w:r>
    </w:p>
    <w:p w14:paraId="2579939A" w14:textId="521C0567" w:rsidR="006208AA" w:rsidRPr="000F561C" w:rsidRDefault="006208AA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082221" w14:textId="07F08588" w:rsidR="0000172D" w:rsidRPr="000F561C" w:rsidRDefault="0000172D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3F73F9" w14:textId="01C36307" w:rsidR="00DD0EE2" w:rsidRPr="000F561C" w:rsidRDefault="00DD0EE2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BABA9E" w14:textId="1D4EBF3E" w:rsidR="00F729B7" w:rsidRPr="000F561C" w:rsidRDefault="00F729B7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0B7860" w14:textId="6B1899D6" w:rsidR="00F729B7" w:rsidRPr="000F561C" w:rsidRDefault="00F729B7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D287B3" w14:textId="5B034683" w:rsidR="00F729B7" w:rsidRPr="000F561C" w:rsidRDefault="00F729B7" w:rsidP="00196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6BDA3B" w14:textId="7BCB3E25" w:rsidR="003673D0" w:rsidRPr="00085B73" w:rsidRDefault="00A50B0E" w:rsidP="0036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KONAČNI </w:t>
      </w:r>
      <w:r w:rsidR="003673D0" w:rsidRPr="00085B73">
        <w:rPr>
          <w:rFonts w:ascii="Times New Roman" w:hAnsi="Times New Roman" w:cs="Times New Roman"/>
          <w:b/>
          <w:sz w:val="24"/>
          <w:szCs w:val="24"/>
        </w:rPr>
        <w:t xml:space="preserve">PRIJEDLOG ZAKONA O IZMJENAMA ZAKONA O PROVEDBI UREDBE (EU) 2016/1011 O INDEKSIMA KOJI SE UPOTREBLJAVAJU KAO REFERENTNE VRIJEDNOSTI </w:t>
      </w:r>
    </w:p>
    <w:p w14:paraId="109FE393" w14:textId="77777777" w:rsidR="00882EE6" w:rsidRPr="000F561C" w:rsidRDefault="00882EE6" w:rsidP="00010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EA4595" w14:textId="77777777" w:rsidR="000100FB" w:rsidRPr="000F561C" w:rsidRDefault="000100FB" w:rsidP="009E316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167C5466" w14:textId="77777777" w:rsidR="000100FB" w:rsidRPr="000F561C" w:rsidRDefault="000100FB" w:rsidP="00010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0BCD54" w14:textId="3D1B4DC1" w:rsidR="00B6214F" w:rsidRPr="00085B73" w:rsidRDefault="000100FB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Zakonu </w:t>
      </w:r>
      <w:r w:rsidR="00441F2B" w:rsidRPr="00085B73">
        <w:rPr>
          <w:rFonts w:ascii="Times New Roman" w:hAnsi="Times New Roman" w:cs="Times New Roman"/>
          <w:sz w:val="24"/>
          <w:szCs w:val="24"/>
        </w:rPr>
        <w:t>o</w:t>
      </w:r>
      <w:r w:rsidR="002D2029" w:rsidRPr="00085B73">
        <w:rPr>
          <w:rFonts w:ascii="Times New Roman" w:hAnsi="Times New Roman" w:cs="Times New Roman"/>
          <w:sz w:val="24"/>
          <w:szCs w:val="24"/>
        </w:rPr>
        <w:t xml:space="preserve"> provedbi U</w:t>
      </w:r>
      <w:r w:rsidRPr="00085B73">
        <w:rPr>
          <w:rFonts w:ascii="Times New Roman" w:hAnsi="Times New Roman" w:cs="Times New Roman"/>
          <w:sz w:val="24"/>
          <w:szCs w:val="24"/>
        </w:rPr>
        <w:t xml:space="preserve">redbe (EU) </w:t>
      </w:r>
      <w:r w:rsidR="007A3A9C" w:rsidRPr="00085B73">
        <w:rPr>
          <w:rFonts w:ascii="Times New Roman" w:hAnsi="Times New Roman" w:cs="Times New Roman"/>
          <w:sz w:val="24"/>
          <w:szCs w:val="24"/>
        </w:rPr>
        <w:t>2016/1011</w:t>
      </w:r>
      <w:r w:rsidRPr="00085B73">
        <w:rPr>
          <w:rFonts w:ascii="Times New Roman" w:hAnsi="Times New Roman" w:cs="Times New Roman"/>
          <w:sz w:val="24"/>
          <w:szCs w:val="24"/>
        </w:rPr>
        <w:t xml:space="preserve"> </w:t>
      </w:r>
      <w:r w:rsidR="007A3A9C" w:rsidRPr="00085B73">
        <w:rPr>
          <w:rFonts w:ascii="Times New Roman" w:hAnsi="Times New Roman" w:cs="Times New Roman"/>
          <w:sz w:val="24"/>
          <w:szCs w:val="24"/>
        </w:rPr>
        <w:t xml:space="preserve">o indeksima koji se upotrebljavaju kao referentne vrijednosti 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</w:t>
      </w:r>
      <w:r w:rsidR="00CB3CB7" w:rsidRPr="00085B73">
        <w:rPr>
          <w:rFonts w:ascii="Times New Roman" w:eastAsia="Calibri" w:hAnsi="Times New Roman" w:cs="Times New Roman"/>
          <w:sz w:val="24"/>
          <w:szCs w:val="24"/>
        </w:rPr>
        <w:t>br</w:t>
      </w:r>
      <w:r w:rsidR="00780B32" w:rsidRPr="00085B73">
        <w:rPr>
          <w:rFonts w:ascii="Times New Roman" w:eastAsia="Calibri" w:hAnsi="Times New Roman" w:cs="Times New Roman"/>
          <w:sz w:val="24"/>
          <w:szCs w:val="24"/>
        </w:rPr>
        <w:t>.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12F21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57/18. i 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C3AAE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4C3AAE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85B73">
        <w:rPr>
          <w:rFonts w:ascii="Times New Roman" w:eastAsia="Calibri" w:hAnsi="Times New Roman" w:cs="Times New Roman"/>
          <w:sz w:val="24"/>
          <w:szCs w:val="24"/>
        </w:rPr>
        <w:t>),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214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17. stavku 1. </w:t>
      </w:r>
      <w:r w:rsidR="003A6D99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uvodnoj rečenici </w:t>
      </w:r>
      <w:r w:rsidR="00B6214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„750.000,00 kuna do 7.550.000,00 kuna“ zamjenjuju se riječima: „</w:t>
      </w:r>
      <w:r w:rsidR="00B07065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B6214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7065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540</w:t>
      </w:r>
      <w:r w:rsidR="00B6214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,00 do 1.</w:t>
      </w:r>
      <w:r w:rsidR="002D58D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000.000</w:t>
      </w:r>
      <w:r w:rsidR="00B6214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</w:t>
      </w:r>
      <w:r w:rsidR="0000172D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E85D1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, a broj</w:t>
      </w:r>
      <w:r w:rsidR="003A6D99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85D1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„5“ zamjenjuje se brojem</w:t>
      </w:r>
      <w:r w:rsidR="003A6D99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E85D1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„1“</w:t>
      </w:r>
      <w:r w:rsidR="00B6214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7924898" w14:textId="77777777" w:rsidR="00CE69DE" w:rsidRPr="00085B73" w:rsidRDefault="00CE69DE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10F57" w14:textId="56A4D3A2" w:rsidR="00B6214F" w:rsidRPr="00085B73" w:rsidRDefault="00B6214F" w:rsidP="002D2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2. riječi: „400.000,00 kuna do 4.000.000,00 kuna“ zamjenjuju se riječima: „</w:t>
      </w:r>
      <w:r w:rsidR="00B07065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7065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270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do </w:t>
      </w:r>
      <w:r w:rsidR="002D58D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500.000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eura“. </w:t>
      </w:r>
    </w:p>
    <w:p w14:paraId="0DDB5B5B" w14:textId="77777777" w:rsidR="00196A06" w:rsidRPr="00085B73" w:rsidRDefault="00196A06" w:rsidP="00196A06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30397" w14:textId="57B9CC31" w:rsidR="00B6214F" w:rsidRPr="00085B73" w:rsidRDefault="00B6214F" w:rsidP="002D2029">
      <w:pPr>
        <w:tabs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06E92EE9" w14:textId="77777777" w:rsidR="00B6214F" w:rsidRPr="00085B73" w:rsidRDefault="00B6214F" w:rsidP="002D2029">
      <w:pPr>
        <w:tabs>
          <w:tab w:val="left" w:pos="4536"/>
        </w:tabs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0D1A8" w14:textId="023102AD" w:rsidR="00B6214F" w:rsidRPr="00085B73" w:rsidRDefault="00B6214F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18. stavku 1. </w:t>
      </w:r>
      <w:r w:rsidR="003A6D99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uvodnoj rečenici 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riječi: „200.000,00 kuna do 2.000.000,00 kuna“ zamjenjuju se riječima: „26.540,00 do </w:t>
      </w:r>
      <w:r w:rsidR="002D58D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250.000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eura“.</w:t>
      </w:r>
    </w:p>
    <w:p w14:paraId="5F5E080F" w14:textId="77777777" w:rsidR="00CE69DE" w:rsidRPr="00085B73" w:rsidRDefault="00CE69DE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7FE79" w14:textId="214C43AE" w:rsidR="00B6214F" w:rsidRPr="00085B73" w:rsidRDefault="00B6214F" w:rsidP="002D2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2. riječi: „50.000,00 kuna do 760.000,00 kuna“ zamjenjuj</w:t>
      </w:r>
      <w:r w:rsidR="007835AA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riječima: „6630,00 do </w:t>
      </w:r>
      <w:r w:rsidR="002D58D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100.000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eura“. </w:t>
      </w:r>
    </w:p>
    <w:p w14:paraId="60D10778" w14:textId="77777777" w:rsidR="00B6214F" w:rsidRPr="00085B73" w:rsidRDefault="00B6214F" w:rsidP="002D2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570FF2" w14:textId="421FDFE5" w:rsidR="00B6214F" w:rsidRPr="00085B73" w:rsidRDefault="00B6214F" w:rsidP="002D2029">
      <w:pPr>
        <w:tabs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5BDD3765" w14:textId="77777777" w:rsidR="00B6214F" w:rsidRPr="00085B73" w:rsidRDefault="00B6214F" w:rsidP="002D2029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4A569" w14:textId="22247CA3" w:rsidR="00B6214F" w:rsidRPr="00085B73" w:rsidRDefault="00B6214F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19. stavku 1. </w:t>
      </w:r>
      <w:r w:rsidR="003A6D99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uvodnoj rečenici 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„500.000,00 kuna do 7.550.000,00 kuna“ zamjenjuju se riječima: „66.360,00 do 1.</w:t>
      </w:r>
      <w:r w:rsidR="002D58D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000.000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eura“.</w:t>
      </w:r>
    </w:p>
    <w:p w14:paraId="4195BF57" w14:textId="77777777" w:rsidR="00CE69DE" w:rsidRPr="00085B73" w:rsidRDefault="00CE69DE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5A9B4A" w14:textId="30022480" w:rsidR="00B6214F" w:rsidRPr="00085B73" w:rsidRDefault="00B6214F" w:rsidP="002D2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stavku 2. riječi: „300.000,00 kuna do 4.000.000,00 kuna“ zamjenjuju se riječima: „39.810,00 do </w:t>
      </w:r>
      <w:r w:rsidR="002D58D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500.000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eura“. </w:t>
      </w:r>
    </w:p>
    <w:p w14:paraId="1655BCDB" w14:textId="77777777" w:rsidR="00B6214F" w:rsidRPr="00085B73" w:rsidRDefault="00B6214F" w:rsidP="002D2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303D8" w14:textId="79BDFA75" w:rsidR="00B6214F" w:rsidRPr="00085B73" w:rsidRDefault="00B6214F" w:rsidP="002D2029">
      <w:pPr>
        <w:tabs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062F116E" w14:textId="77777777" w:rsidR="00B6214F" w:rsidRPr="00085B73" w:rsidRDefault="00B6214F" w:rsidP="002D2029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E9CC7" w14:textId="4A57E673" w:rsidR="006F600C" w:rsidRPr="00085B73" w:rsidRDefault="00B6214F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100FB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članku </w:t>
      </w:r>
      <w:r w:rsidR="005A3DA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0100FB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A3DA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100FB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stavku </w:t>
      </w:r>
      <w:r w:rsidR="005A3DA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100FB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A6D99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uvodnoj rečenici </w:t>
      </w:r>
      <w:r w:rsidR="000100FB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</w:t>
      </w:r>
      <w:r w:rsidR="005A3DA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F600C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00.000,00 </w:t>
      </w:r>
      <w:r w:rsidR="000100FB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5A3DA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2.000.000,00 kuna</w:t>
      </w:r>
      <w:r w:rsidR="000100FB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“ zamjenjuju se riječima: „</w:t>
      </w:r>
      <w:r w:rsidR="005A3DA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26.54</w:t>
      </w:r>
      <w:r w:rsidR="006C27D7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F600C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C27D7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5A3DAF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902CCE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250.000</w:t>
      </w:r>
      <w:r w:rsidR="006F600C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C27D7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6F600C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eura“.</w:t>
      </w:r>
    </w:p>
    <w:p w14:paraId="5ED85374" w14:textId="77777777" w:rsidR="00CE69DE" w:rsidRPr="00085B73" w:rsidRDefault="00CE69DE" w:rsidP="00CE69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916253" w14:textId="2849A4A0" w:rsidR="006F600C" w:rsidRPr="00085B73" w:rsidRDefault="005A3DAF" w:rsidP="00C96D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U stavku 2</w:t>
      </w:r>
      <w:r w:rsidR="006F600C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. riječi: „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F600C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0.000,00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kuna</w:t>
      </w:r>
      <w:r w:rsidR="006F600C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760.000</w:t>
      </w:r>
      <w:r w:rsidR="006F600C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,00 kuna“ zamjenjuju se riječima: „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C2E85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63</w:t>
      </w:r>
      <w:r w:rsidR="006C27D7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6F600C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C27D7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6F600C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100.</w:t>
      </w:r>
      <w:r w:rsidR="00902CCE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C27D7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6F600C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eura“</w:t>
      </w:r>
      <w:r w:rsidR="00164F95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75D070" w14:textId="77777777" w:rsidR="00164F95" w:rsidRPr="00085B73" w:rsidRDefault="00164F95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BCA1AB2" w14:textId="51E31BD3" w:rsidR="005A3DAF" w:rsidRPr="00085B73" w:rsidRDefault="005A3DAF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U stavku 3. riječi: „50.000,00 kuna do 760.000,00 kuna</w:t>
      </w:r>
      <w:r w:rsidR="003673D0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zamjenjuje se riječima: </w:t>
      </w:r>
      <w:r w:rsidR="003673D0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C2E85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63</w:t>
      </w:r>
      <w:r w:rsidR="006C27D7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C27D7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9E520F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100.</w:t>
      </w:r>
      <w:r w:rsidR="00902CCE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9E520F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C27D7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00</w:t>
      </w:r>
      <w:r w:rsidR="009E520F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eura“.</w:t>
      </w:r>
    </w:p>
    <w:p w14:paraId="136F1FD8" w14:textId="64321C19" w:rsidR="005A3DAF" w:rsidRPr="00085B73" w:rsidRDefault="005A3DAF" w:rsidP="00164F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6CC704" w14:textId="44606E76" w:rsidR="00B6214F" w:rsidRPr="00085B73" w:rsidRDefault="00B6214F" w:rsidP="006E409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5B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5.</w:t>
      </w:r>
    </w:p>
    <w:p w14:paraId="427A80BB" w14:textId="28F59271" w:rsidR="00B6214F" w:rsidRPr="00085B73" w:rsidRDefault="00B6214F" w:rsidP="006E409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FFBF7B" w14:textId="4867B0D1" w:rsidR="00B6214F" w:rsidRPr="00085B73" w:rsidRDefault="00B6214F" w:rsidP="00B621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članku 20. stavku 1. </w:t>
      </w:r>
      <w:r w:rsidR="003A6D99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uvodnoj rečenici 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riječi: „400.000,00 kuna do 7.550.000,00 kuna“ zamjenjuju se riječima: „</w:t>
      </w:r>
      <w:r w:rsidR="00172044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72044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540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,00 do 1.</w:t>
      </w:r>
      <w:r w:rsidR="002D58DF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000.000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,00 eura“.</w:t>
      </w:r>
    </w:p>
    <w:p w14:paraId="019D59B2" w14:textId="77777777" w:rsidR="007835AA" w:rsidRPr="00085B73" w:rsidRDefault="007835AA" w:rsidP="00B621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DF50EA" w14:textId="7BAE3926" w:rsidR="00B6214F" w:rsidRPr="00085B73" w:rsidRDefault="00B6214F" w:rsidP="00B621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 stavku 2. riječi: „200.000,00 kuna do 4.000.000,00 kuna“ zamjenjuju se riječima: „</w:t>
      </w:r>
      <w:r w:rsidR="00172044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72044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270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,00 do </w:t>
      </w:r>
      <w:r w:rsidR="002D58DF"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500.000</w:t>
      </w: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,00 eura“.</w:t>
      </w:r>
    </w:p>
    <w:p w14:paraId="1560E205" w14:textId="77777777" w:rsidR="00D1297D" w:rsidRPr="00085B73" w:rsidRDefault="00D1297D" w:rsidP="00B621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255AA4" w14:textId="77777777" w:rsidR="00016DDE" w:rsidRPr="00085B73" w:rsidRDefault="00016DDE" w:rsidP="0001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5B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Završna odredba</w:t>
      </w:r>
    </w:p>
    <w:p w14:paraId="19130FC3" w14:textId="77777777" w:rsidR="009E520F" w:rsidRPr="00085B73" w:rsidRDefault="009E520F" w:rsidP="00016D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B505893" w14:textId="279FD1C1" w:rsidR="00016DDE" w:rsidRPr="00085B73" w:rsidRDefault="00016DDE" w:rsidP="009E31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5B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Članak </w:t>
      </w:r>
      <w:r w:rsidR="005238A4" w:rsidRPr="00085B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085B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462C3BD" w14:textId="77777777" w:rsidR="00016DDE" w:rsidRPr="00085B73" w:rsidRDefault="00016DDE" w:rsidP="00FA6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BFBF64F" w14:textId="77777777" w:rsidR="00FA6625" w:rsidRPr="00085B73" w:rsidRDefault="00FA6625" w:rsidP="00FA66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B73">
        <w:rPr>
          <w:rFonts w:ascii="Times New Roman" w:hAnsi="Times New Roman" w:cs="Times New Roman"/>
          <w:sz w:val="24"/>
          <w:szCs w:val="24"/>
          <w:shd w:val="clear" w:color="auto" w:fill="FFFFFF"/>
        </w:rPr>
        <w:t>Ovaj Zakon stupa na snagu osmoga dana od dana objave u „Narodnim novinama“.</w:t>
      </w:r>
    </w:p>
    <w:p w14:paraId="0C252DF0" w14:textId="77777777" w:rsidR="00016DDE" w:rsidRPr="00085B73" w:rsidRDefault="00016DDE" w:rsidP="00016DD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5FFFC5" w14:textId="6429EAAD" w:rsidR="000A18CA" w:rsidRPr="00085B73" w:rsidRDefault="000A18CA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1CDC52" w14:textId="68FA139A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CEF381" w14:textId="1A7AAB7C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11718F" w14:textId="0C00910C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C92CB0" w14:textId="6B25ADA5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837985" w14:textId="40720D67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78F990" w14:textId="0734AD0B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DF2271" w14:textId="6D7609D0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6361A1" w14:textId="02FCA94C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F7715F" w14:textId="632EF3E8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500844" w14:textId="307BD7D6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13E790" w14:textId="26EA2FB0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34485C" w14:textId="213592C3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4BFB30" w14:textId="56F35FF4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05C1" w14:textId="5AD684FC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B88C96" w14:textId="7E296275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B325B5" w14:textId="44EE060E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6B1528" w14:textId="1303ECDB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A23CD7" w14:textId="354CFD49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9DA425" w14:textId="78C09F9D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B85568" w14:textId="50C09D92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69B858" w14:textId="2F8AF080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392C21" w14:textId="76FCD88B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0C49C6" w14:textId="77777777" w:rsidR="009C2E85" w:rsidRPr="00085B73" w:rsidRDefault="009C2E85" w:rsidP="000A18C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08E641" w14:textId="45EA3E9C" w:rsidR="00780B32" w:rsidRPr="000F561C" w:rsidRDefault="00780B32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CEFA47" w14:textId="3C03609A" w:rsidR="00FA6625" w:rsidRPr="000F561C" w:rsidRDefault="00FA6625" w:rsidP="00C14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5364558D" w14:textId="77777777" w:rsidR="00FA6625" w:rsidRPr="000F561C" w:rsidRDefault="00FA6625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32E14E" w14:textId="438A778D" w:rsidR="00FA6625" w:rsidRPr="000F561C" w:rsidRDefault="00196A06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</w:t>
      </w:r>
      <w:r w:rsidR="009E520F"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FA6625"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E50478"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 5</w:t>
      </w:r>
      <w:r w:rsidR="00FA6625" w:rsidRPr="000F56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79FA5A6E" w14:textId="77777777" w:rsidR="00FA6625" w:rsidRPr="000F561C" w:rsidRDefault="00FA6625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6C19C9" w14:textId="20FAC883" w:rsidR="00FA6625" w:rsidRPr="000F561C" w:rsidRDefault="002D58DF" w:rsidP="00FA6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73">
        <w:rPr>
          <w:rFonts w:ascii="Times New Roman" w:hAnsi="Times New Roman" w:cs="Times New Roman"/>
          <w:sz w:val="24"/>
          <w:szCs w:val="24"/>
        </w:rPr>
        <w:t xml:space="preserve">Propisani novčani iznosi u kunama važećeg Zakona preračunavaju se u iznose u eurima u skladu s pravilima </w:t>
      </w:r>
      <w:r w:rsidR="00020EEE" w:rsidRPr="00085B73">
        <w:rPr>
          <w:rFonts w:ascii="Times New Roman" w:hAnsi="Times New Roman" w:cs="Times New Roman"/>
          <w:sz w:val="24"/>
          <w:szCs w:val="24"/>
        </w:rPr>
        <w:t>za preračunavanje</w:t>
      </w:r>
      <w:r w:rsidRPr="00085B73">
        <w:rPr>
          <w:rFonts w:ascii="Times New Roman" w:hAnsi="Times New Roman" w:cs="Times New Roman"/>
          <w:sz w:val="24"/>
          <w:szCs w:val="24"/>
        </w:rPr>
        <w:t xml:space="preserve"> </w:t>
      </w:r>
      <w:r w:rsidR="00CF1A67" w:rsidRPr="00085B73">
        <w:rPr>
          <w:rFonts w:ascii="Times New Roman" w:hAnsi="Times New Roman" w:cs="Times New Roman"/>
          <w:sz w:val="24"/>
          <w:szCs w:val="24"/>
        </w:rPr>
        <w:t>sukladno</w:t>
      </w:r>
      <w:r w:rsidRPr="00085B73">
        <w:rPr>
          <w:rFonts w:ascii="Times New Roman" w:hAnsi="Times New Roman" w:cs="Times New Roman"/>
          <w:sz w:val="24"/>
          <w:szCs w:val="24"/>
        </w:rPr>
        <w:t xml:space="preserve"> Zakonu o</w:t>
      </w:r>
      <w:r w:rsidR="00CF1A67" w:rsidRPr="00085B73">
        <w:rPr>
          <w:rFonts w:ascii="Times New Roman" w:hAnsi="Times New Roman" w:cs="Times New Roman"/>
          <w:sz w:val="24"/>
          <w:szCs w:val="24"/>
        </w:rPr>
        <w:t xml:space="preserve"> uvođenju</w:t>
      </w:r>
      <w:r w:rsidRPr="00085B73">
        <w:rPr>
          <w:rFonts w:ascii="Times New Roman" w:hAnsi="Times New Roman" w:cs="Times New Roman"/>
          <w:sz w:val="24"/>
          <w:szCs w:val="24"/>
        </w:rPr>
        <w:t xml:space="preserve"> eur</w:t>
      </w:r>
      <w:r w:rsidR="00CF1A67" w:rsidRPr="00085B73">
        <w:rPr>
          <w:rFonts w:ascii="Times New Roman" w:hAnsi="Times New Roman" w:cs="Times New Roman"/>
          <w:sz w:val="24"/>
          <w:szCs w:val="24"/>
        </w:rPr>
        <w:t>a</w:t>
      </w:r>
      <w:r w:rsidRPr="00085B73">
        <w:rPr>
          <w:rFonts w:ascii="Times New Roman" w:hAnsi="Times New Roman" w:cs="Times New Roman"/>
          <w:sz w:val="24"/>
          <w:szCs w:val="24"/>
        </w:rPr>
        <w:t xml:space="preserve"> </w:t>
      </w:r>
      <w:r w:rsidR="00020EEE" w:rsidRPr="00085B73">
        <w:rPr>
          <w:rFonts w:ascii="Times New Roman" w:hAnsi="Times New Roman" w:cs="Times New Roman"/>
          <w:sz w:val="24"/>
          <w:szCs w:val="24"/>
        </w:rPr>
        <w:t xml:space="preserve">kao službene valute u Republici Hrvatskoj </w:t>
      </w:r>
      <w:r w:rsidRPr="00085B73">
        <w:rPr>
          <w:rFonts w:ascii="Times New Roman" w:hAnsi="Times New Roman" w:cs="Times New Roman"/>
          <w:sz w:val="24"/>
          <w:szCs w:val="24"/>
        </w:rPr>
        <w:t xml:space="preserve">(„Narodne novine“, br. 57/22. i 88/22. – ispravak) te </w:t>
      </w:r>
      <w:r w:rsidR="00902CCE" w:rsidRPr="00085B73">
        <w:rPr>
          <w:rFonts w:ascii="Times New Roman" w:hAnsi="Times New Roman" w:cs="Times New Roman"/>
          <w:sz w:val="24"/>
          <w:szCs w:val="24"/>
        </w:rPr>
        <w:t xml:space="preserve">se usklađuju s </w:t>
      </w:r>
      <w:r w:rsidRPr="00085B73">
        <w:rPr>
          <w:rFonts w:ascii="Times New Roman" w:hAnsi="Times New Roman" w:cs="Times New Roman"/>
          <w:sz w:val="24"/>
          <w:szCs w:val="24"/>
        </w:rPr>
        <w:t xml:space="preserve">iznosima </w:t>
      </w:r>
      <w:r w:rsidR="00172044" w:rsidRPr="00085B73">
        <w:rPr>
          <w:rFonts w:ascii="Times New Roman" w:hAnsi="Times New Roman" w:cs="Times New Roman"/>
          <w:sz w:val="24"/>
          <w:szCs w:val="24"/>
        </w:rPr>
        <w:t xml:space="preserve">propisanima </w:t>
      </w:r>
      <w:r w:rsidR="00DD44A1" w:rsidRPr="000F56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Uredbom (EU) 2016/1011 Europskog parlamenta i Vijeća od 8. lipnja 2016. o indeksima koji se upotrebljavaju kao referentne vrijednosti u financijskim instrumentima i financijskim ugovorima ili za mjerenje uspješnosti investicijskih fondova i o izmjeni direktiva 2008/48/EZ i 2014/17/EU te Uredbe (EU) br. 596/2014 (Tekst značajan za EGP)</w:t>
      </w:r>
      <w:r w:rsidR="00DD44A1" w:rsidRPr="000F561C">
        <w:rPr>
          <w:rFonts w:ascii="Times New Roman" w:hAnsi="Times New Roman" w:cs="Times New Roman"/>
          <w:sz w:val="24"/>
          <w:szCs w:val="24"/>
        </w:rPr>
        <w:t xml:space="preserve"> (SL L 171, 29. 6. 2016.)</w:t>
      </w:r>
      <w:r w:rsidR="00902CCE" w:rsidRPr="00085B73">
        <w:rPr>
          <w:rFonts w:ascii="Times New Roman" w:hAnsi="Times New Roman" w:cs="Times New Roman"/>
          <w:sz w:val="24"/>
          <w:szCs w:val="24"/>
        </w:rPr>
        <w:t>.</w:t>
      </w:r>
      <w:r w:rsidRPr="00085B73">
        <w:rPr>
          <w:rFonts w:ascii="Times New Roman" w:hAnsi="Times New Roman" w:cs="Times New Roman"/>
          <w:sz w:val="24"/>
          <w:szCs w:val="24"/>
        </w:rPr>
        <w:t xml:space="preserve"> </w:t>
      </w:r>
      <w:r w:rsidR="00172044" w:rsidRPr="00085B73">
        <w:rPr>
          <w:rFonts w:ascii="Times New Roman" w:hAnsi="Times New Roman" w:cs="Times New Roman"/>
          <w:sz w:val="24"/>
          <w:szCs w:val="24"/>
        </w:rPr>
        <w:t>Nadalje, obzirom na opću obvezu vezan</w:t>
      </w:r>
      <w:r w:rsidR="0087148A" w:rsidRPr="00085B73">
        <w:rPr>
          <w:rFonts w:ascii="Times New Roman" w:hAnsi="Times New Roman" w:cs="Times New Roman"/>
          <w:sz w:val="24"/>
          <w:szCs w:val="24"/>
        </w:rPr>
        <w:t>u</w:t>
      </w:r>
      <w:r w:rsidR="00172044" w:rsidRPr="00085B73">
        <w:rPr>
          <w:rFonts w:ascii="Times New Roman" w:hAnsi="Times New Roman" w:cs="Times New Roman"/>
          <w:sz w:val="24"/>
          <w:szCs w:val="24"/>
        </w:rPr>
        <w:t xml:space="preserve"> za proporcionalnost </w:t>
      </w:r>
      <w:r w:rsidR="00020EEE" w:rsidRPr="00085B73">
        <w:rPr>
          <w:rFonts w:ascii="Times New Roman" w:hAnsi="Times New Roman" w:cs="Times New Roman"/>
          <w:sz w:val="24"/>
          <w:szCs w:val="24"/>
        </w:rPr>
        <w:t>propisanih</w:t>
      </w:r>
      <w:r w:rsidR="0004482C" w:rsidRPr="00085B73">
        <w:rPr>
          <w:rFonts w:ascii="Times New Roman" w:hAnsi="Times New Roman" w:cs="Times New Roman"/>
          <w:sz w:val="24"/>
          <w:szCs w:val="24"/>
        </w:rPr>
        <w:t xml:space="preserve"> prekršajnih sankcija</w:t>
      </w:r>
      <w:r w:rsidR="00810F48">
        <w:rPr>
          <w:rFonts w:ascii="Times New Roman" w:hAnsi="Times New Roman" w:cs="Times New Roman"/>
          <w:sz w:val="24"/>
          <w:szCs w:val="24"/>
        </w:rPr>
        <w:t>, kao i odnos prekršaja na ukupni prihod koji je ostvaren u godini kada je prekršaj počinjen</w:t>
      </w:r>
      <w:r w:rsidR="0004482C" w:rsidRPr="00085B73">
        <w:rPr>
          <w:rFonts w:ascii="Times New Roman" w:hAnsi="Times New Roman" w:cs="Times New Roman"/>
          <w:sz w:val="24"/>
          <w:szCs w:val="24"/>
        </w:rPr>
        <w:t>, predlo</w:t>
      </w:r>
      <w:r w:rsidR="00172044" w:rsidRPr="00085B73">
        <w:rPr>
          <w:rFonts w:ascii="Times New Roman" w:hAnsi="Times New Roman" w:cs="Times New Roman"/>
          <w:sz w:val="24"/>
          <w:szCs w:val="24"/>
        </w:rPr>
        <w:t>že</w:t>
      </w:r>
      <w:r w:rsidR="0004482C" w:rsidRPr="00085B73">
        <w:rPr>
          <w:rFonts w:ascii="Times New Roman" w:hAnsi="Times New Roman" w:cs="Times New Roman"/>
          <w:sz w:val="24"/>
          <w:szCs w:val="24"/>
        </w:rPr>
        <w:t>no je</w:t>
      </w:r>
      <w:r w:rsidR="00172044" w:rsidRPr="00085B73">
        <w:rPr>
          <w:rFonts w:ascii="Times New Roman" w:hAnsi="Times New Roman" w:cs="Times New Roman"/>
          <w:sz w:val="24"/>
          <w:szCs w:val="24"/>
        </w:rPr>
        <w:t xml:space="preserve"> smanj</w:t>
      </w:r>
      <w:r w:rsidR="0004482C" w:rsidRPr="00085B73">
        <w:rPr>
          <w:rFonts w:ascii="Times New Roman" w:hAnsi="Times New Roman" w:cs="Times New Roman"/>
          <w:sz w:val="24"/>
          <w:szCs w:val="24"/>
        </w:rPr>
        <w:t>enje</w:t>
      </w:r>
      <w:r w:rsidR="00172044" w:rsidRPr="00085B73">
        <w:rPr>
          <w:rFonts w:ascii="Times New Roman" w:hAnsi="Times New Roman" w:cs="Times New Roman"/>
          <w:sz w:val="24"/>
          <w:szCs w:val="24"/>
        </w:rPr>
        <w:t xml:space="preserve"> donj</w:t>
      </w:r>
      <w:r w:rsidR="0004482C" w:rsidRPr="00085B73">
        <w:rPr>
          <w:rFonts w:ascii="Times New Roman" w:hAnsi="Times New Roman" w:cs="Times New Roman"/>
          <w:sz w:val="24"/>
          <w:szCs w:val="24"/>
        </w:rPr>
        <w:t>ih</w:t>
      </w:r>
      <w:r w:rsidR="00172044" w:rsidRPr="00085B73">
        <w:rPr>
          <w:rFonts w:ascii="Times New Roman" w:hAnsi="Times New Roman" w:cs="Times New Roman"/>
          <w:sz w:val="24"/>
          <w:szCs w:val="24"/>
        </w:rPr>
        <w:t xml:space="preserve"> pragov</w:t>
      </w:r>
      <w:r w:rsidR="0004482C" w:rsidRPr="00085B73">
        <w:rPr>
          <w:rFonts w:ascii="Times New Roman" w:hAnsi="Times New Roman" w:cs="Times New Roman"/>
          <w:sz w:val="24"/>
          <w:szCs w:val="24"/>
        </w:rPr>
        <w:t>a</w:t>
      </w:r>
      <w:r w:rsidR="00172044" w:rsidRPr="00085B73">
        <w:rPr>
          <w:rFonts w:ascii="Times New Roman" w:hAnsi="Times New Roman" w:cs="Times New Roman"/>
          <w:sz w:val="24"/>
          <w:szCs w:val="24"/>
        </w:rPr>
        <w:t xml:space="preserve"> </w:t>
      </w:r>
      <w:r w:rsidR="00020EEE" w:rsidRPr="00085B73">
        <w:rPr>
          <w:rFonts w:ascii="Times New Roman" w:hAnsi="Times New Roman" w:cs="Times New Roman"/>
          <w:sz w:val="24"/>
          <w:szCs w:val="24"/>
        </w:rPr>
        <w:t>propisanih</w:t>
      </w:r>
      <w:r w:rsidR="00172044" w:rsidRPr="00085B73">
        <w:rPr>
          <w:rFonts w:ascii="Times New Roman" w:hAnsi="Times New Roman" w:cs="Times New Roman"/>
          <w:sz w:val="24"/>
          <w:szCs w:val="24"/>
        </w:rPr>
        <w:t xml:space="preserve"> sankcija, kako bi bile primjerenije hrvatskom tržištu kapitala i njegovim</w:t>
      </w:r>
      <w:r w:rsidR="005F2ADE" w:rsidRPr="00085B73">
        <w:rPr>
          <w:rFonts w:ascii="Times New Roman" w:hAnsi="Times New Roman" w:cs="Times New Roman"/>
          <w:sz w:val="24"/>
          <w:szCs w:val="24"/>
        </w:rPr>
        <w:t xml:space="preserve"> sudionicima. </w:t>
      </w:r>
    </w:p>
    <w:p w14:paraId="0DC84FBD" w14:textId="77777777" w:rsidR="00085B73" w:rsidRPr="000F561C" w:rsidRDefault="00085B73" w:rsidP="00DD4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22B76" w14:textId="676AF12C" w:rsidR="00FA6625" w:rsidRPr="000F561C" w:rsidRDefault="009E520F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61C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5238A4" w:rsidRPr="000F561C">
        <w:rPr>
          <w:rFonts w:ascii="Times New Roman" w:hAnsi="Times New Roman" w:cs="Times New Roman"/>
          <w:b/>
          <w:sz w:val="24"/>
          <w:szCs w:val="24"/>
        </w:rPr>
        <w:t>6</w:t>
      </w:r>
      <w:r w:rsidR="00FA6625" w:rsidRPr="000F561C">
        <w:rPr>
          <w:rFonts w:ascii="Times New Roman" w:hAnsi="Times New Roman" w:cs="Times New Roman"/>
          <w:b/>
          <w:sz w:val="24"/>
          <w:szCs w:val="24"/>
        </w:rPr>
        <w:t>.</w:t>
      </w:r>
    </w:p>
    <w:p w14:paraId="322A2529" w14:textId="77777777" w:rsidR="00FA6625" w:rsidRPr="000F561C" w:rsidRDefault="00FA6625" w:rsidP="00FA66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07A69B" w14:textId="075CAB6F" w:rsidR="0032245D" w:rsidRPr="00085B73" w:rsidRDefault="00DD44A1" w:rsidP="0032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s</w:t>
      </w:r>
      <w:r w:rsidR="0032245D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tupanje 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snagu </w:t>
      </w:r>
      <w:r w:rsidR="0032245D"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</w:t>
      </w:r>
      <w:r w:rsidRPr="00085B7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611C33F" w14:textId="77777777" w:rsidR="00C96DC9" w:rsidRPr="00085B73" w:rsidRDefault="00C96DC9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BF1EB" w14:textId="77777777" w:rsidR="00C96DC9" w:rsidRPr="00085B73" w:rsidRDefault="00C96DC9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CC0C1" w14:textId="77777777" w:rsidR="00C96DC9" w:rsidRPr="00085B73" w:rsidRDefault="00C96DC9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51E57" w14:textId="7C83F66F" w:rsidR="00C96DC9" w:rsidRPr="00085B73" w:rsidRDefault="00C96DC9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1F0F0" w14:textId="0DFDD5D3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0CB41" w14:textId="0E52648A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7B876" w14:textId="0A7D8F5B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14F15" w14:textId="69D96FE7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6E668" w14:textId="47BC5C5C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013FC" w14:textId="0B0A9CB0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9B9B8" w14:textId="36F5074E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25FED8" w14:textId="05B8710F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5FF7B" w14:textId="4DD98203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5D8DF9" w14:textId="599A414F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84DB1" w14:textId="7F012FB3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FD13F" w14:textId="354D63BD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82CA3" w14:textId="4FA025E9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B4D16" w14:textId="1158D6E6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8DE2B" w14:textId="174E16C2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BDE67" w14:textId="49D2A96A" w:rsidR="009C2E85" w:rsidRPr="00085B73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A1E5A" w14:textId="2208821E" w:rsidR="009C2E85" w:rsidRPr="00085B73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48B18" w14:textId="38FD6F64" w:rsidR="009C2E85" w:rsidRPr="00085B73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721AC" w14:textId="458B70FA" w:rsidR="009C2E85" w:rsidRPr="00085B73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A0575" w14:textId="3339058B" w:rsidR="009C2E85" w:rsidRPr="00085B73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68495" w14:textId="0C26972C" w:rsidR="009C2E85" w:rsidRPr="00085B73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36B8" w14:textId="7841953F" w:rsidR="009C2E85" w:rsidRPr="00085B73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0785CE" w14:textId="029E6B37" w:rsidR="009C2E85" w:rsidRDefault="009C2E85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3E058" w14:textId="196AC322" w:rsidR="002460A2" w:rsidRDefault="002460A2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CAA52" w14:textId="2464C34A" w:rsidR="002460A2" w:rsidRDefault="002460A2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4A94D" w14:textId="4AF0A046" w:rsidR="002460A2" w:rsidRDefault="002460A2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17540" w14:textId="77777777" w:rsidR="002460A2" w:rsidRPr="00085B73" w:rsidRDefault="002460A2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BB160" w14:textId="77777777" w:rsidR="006F5ECB" w:rsidRPr="00085B73" w:rsidRDefault="006F5ECB" w:rsidP="006F5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73">
        <w:rPr>
          <w:rFonts w:ascii="Times New Roman" w:hAnsi="Times New Roman" w:cs="Times New Roman"/>
          <w:b/>
          <w:sz w:val="24"/>
          <w:szCs w:val="24"/>
        </w:rPr>
        <w:lastRenderedPageBreak/>
        <w:t>TEKST ODREDBI VAŽEĆEG ZAKONA KOJE SE MIJENJAJU</w:t>
      </w:r>
    </w:p>
    <w:p w14:paraId="7A50A044" w14:textId="77777777" w:rsidR="006F5ECB" w:rsidRPr="00085B73" w:rsidRDefault="006F5ECB" w:rsidP="006F5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13C3B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iCs/>
          <w:bdr w:val="none" w:sz="0" w:space="0" w:color="auto" w:frame="1"/>
        </w:rPr>
      </w:pPr>
      <w:r w:rsidRPr="000F561C">
        <w:rPr>
          <w:rStyle w:val="kurziv"/>
          <w:iCs/>
          <w:bdr w:val="none" w:sz="0" w:space="0" w:color="auto" w:frame="1"/>
        </w:rPr>
        <w:t>Teži prekršaji administratora</w:t>
      </w:r>
    </w:p>
    <w:p w14:paraId="501049B9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14:paraId="1BE91115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  <w:r w:rsidRPr="000F561C">
        <w:t>Članak 17.</w:t>
      </w:r>
    </w:p>
    <w:p w14:paraId="5741190F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76B4AC2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(1) Novčanom kaznom u iznosu od 750.000,00 kuna do 7.550.000,00 kuna ili od 5 % do 10 % ukupnog prihoda koji je ostvario u godini kada je počinjen prekršaj, utvrđenog službenim financijskim izvještajima za tu godinu, ovisno o tome koji je iznos veći, kaznit će se za prekršaj pravna osoba administrator ako:</w:t>
      </w:r>
    </w:p>
    <w:p w14:paraId="6A1FED69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1. ne uspostavi robustan sustav upravljanja koji obuhvaća jasnu organizacijsku strukturu i jasno definirane, transparentne i dosljedne uloge i odgovornosti svih osoba koje sudjeluju u pružanju referentne vrijednosti, ne poduzme odgovarajuće mjere i ne uspostavi primjerene politike i postupke te učinkovite organizacijske aranžmane kako bi se utvrdili, otkrili, spriječili ili riješili sukobi interesa unutar samog administratora, uključujući rukovoditelje, zaposlenike ili svaku drugu osobu koja je s njim izravno ili neizravno povezana u sustavu kontrole i </w:t>
      </w:r>
      <w:proofErr w:type="spellStart"/>
      <w:r w:rsidRPr="000F561C">
        <w:t>doprinositelja</w:t>
      </w:r>
      <w:proofErr w:type="spellEnd"/>
      <w:r w:rsidRPr="000F561C">
        <w:t xml:space="preserve"> ili korisnika u skladu s člankom 4. stavcima 1. – 7. Uredbe (EU) br. 2016/1011</w:t>
      </w:r>
    </w:p>
    <w:p w14:paraId="65E3B593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2. ne uspostavi posebne postupke unutarnje kontrole kako bi osigurao integritet i pouzdanost zaposlenika ili osobe koja utvrđuje referentnu vrijednost u skladu s člankom 4. stavkom 8. Uredbe (EU) br. 2016/1011</w:t>
      </w:r>
    </w:p>
    <w:p w14:paraId="6BB9BFD6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3. ne uspostavi i ne obavlja trajnu i djelotvornu funkciju nadzora kako bi osigurao nadziranje svih aspekata pružanja svojih referentnih vrijednosti u skladu s člankom 5. Uredbe (EU) br. 2016/1011</w:t>
      </w:r>
    </w:p>
    <w:p w14:paraId="5001631C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4. sukladno članku 6. stavku 4. točkama (a) i (b) Uredbe (EU) br. 2016/1011 ne uspostavi mjere kojima se osigurava da se </w:t>
      </w:r>
      <w:proofErr w:type="spellStart"/>
      <w:r w:rsidRPr="000F561C">
        <w:t>doprinositelji</w:t>
      </w:r>
      <w:proofErr w:type="spellEnd"/>
      <w:r w:rsidRPr="000F561C">
        <w:t xml:space="preserve"> pridržavaju kodeksa ponašanja navedenog u članku 15. Uredbe (EU) br. 2016/1011 da poštuju mjerodavne standarde za ulazne podatke te ako ne uspostavi mjere za praćenje ulaznih podataka</w:t>
      </w:r>
    </w:p>
    <w:p w14:paraId="60441870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5. sukladno članku 7. Uredbe (EU) br. 2016/1011 ne odredi unutarnju funkciju ili ne imenuje neovisnog vanjskog revizora da preispituje poštuje li administrator metodologiju referentne vrijednosti i Uredbu (EU) br. 2016/1011 i izvješćuje o tome administratora najmanje jedanput godišnje</w:t>
      </w:r>
    </w:p>
    <w:p w14:paraId="2F6A76C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6. bez odgode ne dostavi relevantnom nadležnom tijelu detalje preispitivanja i izvještaja iz članka 7. stavka 2. Uredbe (EU) br. 2016/1011 te ne objavi na zahtjev relevantnog nadležnog tijela ili bilo kojeg korisnika referentne vrijednosti detalje revizija iz članka 7. stavka 3. Uredbe (EU) br. 2016/1011</w:t>
      </w:r>
    </w:p>
    <w:p w14:paraId="225B6DF6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7. ne ispunjava zahtjeve vezane uz vođenje evidencije u skladu s člankom 8. Uredbe (EU) br. 2016/1011</w:t>
      </w:r>
    </w:p>
    <w:p w14:paraId="28963CA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8. sukladno članku 9. Uredbu (EU) br. 2016/1011 ne uspostavi i ne objavljuje primjerene postupke za primanje, istraživanje i zadržavanje evidencije o podnesenim pritužbama, uključujući i pritužbe na administratorov postupak utvrđivanja referentnih vrijednosti</w:t>
      </w:r>
    </w:p>
    <w:p w14:paraId="26A194AF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9. izdvoji funkcije u okviru pružanja referentne vrijednosti na način kojim bi se bitno narušila kontrola administratora nad pružanjem referentne vrijednosti ili sposobnost relevantnog nadležnog tijela da nadzire referentnu vrijednost u skladu s člankom 10. Uredbe (EU) br. 2016/1011</w:t>
      </w:r>
    </w:p>
    <w:p w14:paraId="1FD1B20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10. ne poduzima mjere za osiguravanje zahtjeva za ulazne podatke sukladno odredbama članka 11. stavka 1. točaka (a) do (c) Uredbe (EU) br. 2016/1011</w:t>
      </w:r>
    </w:p>
    <w:p w14:paraId="4AA76FB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lastRenderedPageBreak/>
        <w:t xml:space="preserve">11. sukladno članku 11. stavku 1. točki (e) Uredbe (EU) br. 2016/1011 upotrebljava ulazne podatke </w:t>
      </w:r>
      <w:proofErr w:type="spellStart"/>
      <w:r w:rsidRPr="000F561C">
        <w:t>doprinositelja</w:t>
      </w:r>
      <w:proofErr w:type="spellEnd"/>
      <w:r w:rsidRPr="000F561C">
        <w:t xml:space="preserve">, a istodobno raspolaže bilo kakvim naznakama da se </w:t>
      </w:r>
      <w:proofErr w:type="spellStart"/>
      <w:r w:rsidRPr="000F561C">
        <w:t>doprinositelj</w:t>
      </w:r>
      <w:proofErr w:type="spellEnd"/>
      <w:r w:rsidRPr="000F561C">
        <w:t xml:space="preserve"> ne pridržava kodeksa ponašanja iz članka 15. Uredbe (EU) br. 2016/1011</w:t>
      </w:r>
    </w:p>
    <w:p w14:paraId="147589AA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12. ne osigura kontrole koje se odnose na ulazne podatke u skladu s člankom 11. stavcima 2. i 3. Uredbe (EU) br. 2016/1011</w:t>
      </w:r>
    </w:p>
    <w:p w14:paraId="7C2EEB7D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13. ne koristi metodologiju za utvrđivanje referentnih vrijednosti koja je u skladu s uvjetima propisanim člankom 12. Uredbe (EU) br. 2016/1011</w:t>
      </w:r>
    </w:p>
    <w:p w14:paraId="2F0D051C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14. ne obavlja transparentno poslove razvoja, primjene i upravljanja u vezi s referentnom vrijednošću i metodologijom u skladu s člankom 13. Uredbe (EU) br. 2016/1011</w:t>
      </w:r>
    </w:p>
    <w:p w14:paraId="2189CFD3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15. sukladno članku 14. Uredbe (EU) br. 2016/1011 bez odgode ne obavijesti nadležno tijelo ako sumnja da je u vezi s referentnom vrijednošću došlo do ponašanja koje može uključivati manipulacije ili pokušaj manipulacije referentnom vrijednošću u skladu s Uredbom (EU) br. 596/2014</w:t>
      </w:r>
    </w:p>
    <w:p w14:paraId="3EF6A486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16. sukladno članku 15. stavcima 1. – 3. Uredbe (EU) br. 2016/1011 ne izradi kodeks ponašanja za svaku referentnu vrijednost u kojem se jasno određuju odgovornosti </w:t>
      </w:r>
      <w:proofErr w:type="spellStart"/>
      <w:r w:rsidRPr="000F561C">
        <w:t>doprinositelja</w:t>
      </w:r>
      <w:proofErr w:type="spellEnd"/>
      <w:r w:rsidRPr="000F561C">
        <w:t xml:space="preserve"> u pogledu doprinošenja ulaznih podataka te ako ne osigurava da je takav kodeks ponašanja u skladu s Uredbom (EU) br. 2016/1011</w:t>
      </w:r>
    </w:p>
    <w:p w14:paraId="17127E7A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17. sukladno članku 15. stavku 4. u roku od 30 dana od obavijesti relevantnog nadležnog tijela kako određeni elementi kodeksa ponašanja nisu u skladu s Uredbom (EU) br. 2016/1011 ne prilagodi kodeks ponašanja kako bi se osigurala usklađenost s Uredbom (EU) br. 2016/1011</w:t>
      </w:r>
    </w:p>
    <w:p w14:paraId="3B8AC0F9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18. sukladno članku 21. stavku 1. točkama (a) i (b) Uredbe (EU) br. 2016/1011 u slučaju prestanka pružanja ključne referentne vrijednosti bez odgode ne obavijesti svoje nadležno tijelo i u roku od četiri tjedna od te obavijesti ne preda procjenu načina prijenosa referentne vrijednosti novom administratoru ili procjenu načina prestanka pružanja referentne vrijednosti</w:t>
      </w:r>
    </w:p>
    <w:p w14:paraId="5519E234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19. na zahtjev nadležnog tijela ne nastavi objavljivati referentnu vrijednost u skladu s člankom 21. stavkom 3. Uredbe (EU) br. 2016/1011</w:t>
      </w:r>
    </w:p>
    <w:p w14:paraId="5D07C53F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20. ne podnese nadležnom tijelu ocjenu sposobnosti svake pružene ključne referentne vrijednosti za mjerenje predmetne tržišne ili gospodarske stvarnosti u skladu s člankom 23. stavkom 2. Uredbe (EU) br. 2016/1011</w:t>
      </w:r>
    </w:p>
    <w:p w14:paraId="0E26F25C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21. sukladno članku 23. stavku 3. Uredbe (EU) br. 2016/1011 bez odgode ne obavijesti svoje nadležno tijelo o namjeri prestanka doprinošenja ulaznih podataka od strane nadziranog </w:t>
      </w:r>
      <w:proofErr w:type="spellStart"/>
      <w:r w:rsidRPr="000F561C">
        <w:t>doprinositelja</w:t>
      </w:r>
      <w:proofErr w:type="spellEnd"/>
      <w:r w:rsidRPr="000F561C">
        <w:t xml:space="preserve"> ključnoj referentnoj vrijednosti te ako svojem nadležnom tijelu ne dostavi ocjenu utjecaja na sposobnost referentne vrijednosti za mjerenje predmetne tržišne ili gospodarske stvarnosti što je prije moguće, a najkasnije 14 dana nakon obavijesti </w:t>
      </w:r>
      <w:proofErr w:type="spellStart"/>
      <w:r w:rsidRPr="000F561C">
        <w:t>doprinositelja</w:t>
      </w:r>
      <w:proofErr w:type="spellEnd"/>
      <w:r w:rsidRPr="000F561C">
        <w:t xml:space="preserve"> administratoru</w:t>
      </w:r>
    </w:p>
    <w:p w14:paraId="072C5931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22. sukladno članku 24. stavku 3. Uredbe (EU) br. 2016/1011 bez odgode ne obavijesti nadležno tijelo o padu značajne referentne vrijednosti ispod praga iz članka 24. stavka 1. točke (a) Uredbe (EU) br. 2016/1011</w:t>
      </w:r>
    </w:p>
    <w:p w14:paraId="4B664EE5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23. sukladno članku 25. stavku 2. Uredbe (EU) br. 2016/1011 bez odgode ne obavijesti nadležno tijelo o neprimjenjivanju jedne ili više odredaba navedenih u članku 25. stavku 1. Uredbe (EU) br. 2016/1011</w:t>
      </w:r>
    </w:p>
    <w:p w14:paraId="2EED7378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24. ne objavljuje i ne održava izjavu o usklađenosti u skladu s člankom 25. stavkom 7. Uredbe (EU) br. 2016/1011</w:t>
      </w:r>
    </w:p>
    <w:p w14:paraId="667398FC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25. sukladno članku 26. stavku 2. Uredbe (EU) br. 2016/1011 bez odgode ne obavijesti nadležno tijelo ako neznačajna referentna vrijednost prijeđe prag iz članka 24. stavka 1. točke (a) Uredbe (EU) br. 2016/1011</w:t>
      </w:r>
    </w:p>
    <w:p w14:paraId="7BC0E5F1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26. ne dostavi izjavu o usklađenosti nadležnom tijelu u skladu s člankom 26. stavkom 3. Uredbe (EU) br. 2016/1011</w:t>
      </w:r>
    </w:p>
    <w:p w14:paraId="32424C0F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lastRenderedPageBreak/>
        <w:t>27. na zahtjev nadležnog tijela ne dostavi dodatne informacije i na zahtjev nadležnog tijela ne postupi po promjenama kojima bi se osigurala usklađenost s Uredbom (EU) br. 2016/1011, a u pogledu administratorovih neznačajnih referentnih vrijednosti u skladu s člankom 26. stavkom 4. Uredbe (EU) br. 2016/1011</w:t>
      </w:r>
    </w:p>
    <w:p w14:paraId="346C9884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28. sukladno članku 27. Uredbe (EU) br. 2016/1011 u zadanom roku ne objavi izjavu o svakoj referentnoj vrijednosti ili svakoj obitelji referentnih vrijednosti koja se može koristiti u Uniji, u skladu s člankom 29. Uredbe (EU) br. 2016/1011, te ako ne preispituje i, kad je to potrebno, ne ažurira izjavu o referentnoj vrijednosti za svaku referentnu vrijednost ili obitelj referentnih vrijednosti u slučaju promjena informacija koje se pružaju u skladu s ovim člankom 27. Uredbe (EU) br. 2016/1011</w:t>
      </w:r>
    </w:p>
    <w:p w14:paraId="4523DB3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29. sukladno članku 28. Uredbe (EU) br. 2016/1011 ne objavi postupak o radnjama koje on treba poduzeti u slučaju promjene ili prestanka referentne vrijednosti koja se može upotrebljavati u Uniji u skladu s člankom 29. stavkom 1. Uredbe (EU) br. 2016/1011</w:t>
      </w:r>
    </w:p>
    <w:p w14:paraId="0B9DAFF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30. sukladno članku 34. stavku 2. Uredbe (EU) br. 2016/1011 u svakom trenutku ne poštuje uvjete navedene u Uredbi (EU) br. 2016/1011 i ne izvještava nadležno tijelo o svim njezinim bitnim promjenama</w:t>
      </w:r>
    </w:p>
    <w:p w14:paraId="3B74482F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31. sukladno članku 34. stavku 4. Uredbe (EU) br. 2016/1011 podnositelj prijave ne pruži sve potrebne informacije kako bi se nadležno tijelo uvjerilo da podnositelj prijave u trenutku izdavanja odobrenja ili registracije ima uspostavljene sve potrebne aranžmane za ispunjavanje zahtjeva utvrđenih Uredbom (EU) br. 2016/1011</w:t>
      </w:r>
    </w:p>
    <w:p w14:paraId="7702086A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32. ne stavi na raspolaganje svu svoju dokumentaciju i informacije o svim aktivnostima Agenciji na njezin zahtjev sukladno članku 8. ovoga Zakona</w:t>
      </w:r>
    </w:p>
    <w:p w14:paraId="2409C671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33. ne postupi u skladu s rješenjem o nadzornim mjerama Agencije, izrečenim sukladno odredbama članaka 10. i 11. ovoga Zakona.</w:t>
      </w:r>
    </w:p>
    <w:p w14:paraId="260EA150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34. ne postupi u skladu s rješenjem o nadzornim mjerama HNB-a, izrečenim sukladno odredbama članka 12. ovoga Zakona.</w:t>
      </w:r>
    </w:p>
    <w:p w14:paraId="1A4F3FC0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(2) Novčanom kaznom u iznosu od 400.000,00 kuna do 4.000.000,00 kuna kaznit će se za prekršaje iz stavka 1. ovoga članka fizička osoba, odnosno odgovorna osoba administratora.</w:t>
      </w:r>
    </w:p>
    <w:p w14:paraId="6D4D5960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4B6AB3A8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iCs/>
          <w:bdr w:val="none" w:sz="0" w:space="0" w:color="auto" w:frame="1"/>
        </w:rPr>
      </w:pPr>
      <w:r w:rsidRPr="000F561C">
        <w:rPr>
          <w:rStyle w:val="kurziv"/>
          <w:iCs/>
          <w:bdr w:val="none" w:sz="0" w:space="0" w:color="auto" w:frame="1"/>
        </w:rPr>
        <w:t>Lakši prekršaji administratora</w:t>
      </w:r>
    </w:p>
    <w:p w14:paraId="577B1091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14:paraId="27377108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  <w:r w:rsidRPr="000F561C">
        <w:t>Članak 18.</w:t>
      </w:r>
    </w:p>
    <w:p w14:paraId="14F7F808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07F30042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(1) Novčanom kaznom u iznosu od 200.000,00 kuna do 2.000.000,00 kuna ili od 0,5 % do 2 % ukupnog prihoda koji je ostvario u godini kada je počinjen prekršaj, utvrđenog službenim financijskim izvještajima za tu godinu, ovisno o tome koji je iznos veći, kaznit će se za prekršaj pravna osoba administrator ako:</w:t>
      </w:r>
    </w:p>
    <w:p w14:paraId="105DA40B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1. ne osigurava da izračunana referentna vrijednost pouzdano odražava tržišnu ili ekonomsku stvarnost koju treba mjeriti sukladno članku 11. stavku 1. točki (d) Uredbe (EU) br. 2016/1011</w:t>
      </w:r>
    </w:p>
    <w:p w14:paraId="736AF915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2. u razumnom roku ne mijenja ulazne podatke, </w:t>
      </w:r>
      <w:proofErr w:type="spellStart"/>
      <w:r w:rsidRPr="000F561C">
        <w:t>doprinositelje</w:t>
      </w:r>
      <w:proofErr w:type="spellEnd"/>
      <w:r w:rsidRPr="000F561C">
        <w:t xml:space="preserve"> ili metodologiju kako bi osigurao da ulazni podatci odražavaju tržišnu ili gospodarsku stvarnost ili ne prestaje pružati tu referentnu vrijednost sukladno članku 11. stavku 4. Uredbe (EU) br. 2016/1011.</w:t>
      </w:r>
    </w:p>
    <w:p w14:paraId="69E29895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(2) Novčanom kaznom u iznosu od 50.000,00 kuna do 760.000,00 kuna kaznit će se za prekršaje iz stavka 1. ovoga članka fizička osoba, odnosno odgovorna osoba administratora.</w:t>
      </w:r>
    </w:p>
    <w:p w14:paraId="35047302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06BCD644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1574AD92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38337CBA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iCs/>
          <w:bdr w:val="none" w:sz="0" w:space="0" w:color="auto" w:frame="1"/>
        </w:rPr>
      </w:pPr>
      <w:r w:rsidRPr="000F561C">
        <w:rPr>
          <w:rStyle w:val="kurziv"/>
          <w:iCs/>
          <w:bdr w:val="none" w:sz="0" w:space="0" w:color="auto" w:frame="1"/>
        </w:rPr>
        <w:lastRenderedPageBreak/>
        <w:t xml:space="preserve">Prekršaji nadziranih </w:t>
      </w:r>
      <w:proofErr w:type="spellStart"/>
      <w:r w:rsidRPr="000F561C">
        <w:rPr>
          <w:rStyle w:val="kurziv"/>
          <w:iCs/>
          <w:bdr w:val="none" w:sz="0" w:space="0" w:color="auto" w:frame="1"/>
        </w:rPr>
        <w:t>doprinositelja</w:t>
      </w:r>
      <w:proofErr w:type="spellEnd"/>
    </w:p>
    <w:p w14:paraId="2A44B860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14:paraId="2961F552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  <w:r w:rsidRPr="000F561C">
        <w:t>Članak 19.</w:t>
      </w:r>
    </w:p>
    <w:p w14:paraId="2E0D185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76B9B5F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(1) Novčanom kaznom u iznosu od 500.000,00 kuna do 7.550.000,00 kuna ili od 4 % do 10 % ukupnog prihoda koji je ostvario u godini kada je počinjen prekršaj, utvrđenog službenim financijskim izvještajima za tu godinu, ovisno o tome koji je iznos veći, kaznit će se za prekršaj pravna osoba nadzirani </w:t>
      </w:r>
      <w:proofErr w:type="spellStart"/>
      <w:r w:rsidRPr="000F561C">
        <w:t>doprinositelj</w:t>
      </w:r>
      <w:proofErr w:type="spellEnd"/>
      <w:r w:rsidRPr="000F561C">
        <w:t xml:space="preserve"> ako:</w:t>
      </w:r>
    </w:p>
    <w:p w14:paraId="06345638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1. ne uspostavi djelotvorne sustave i kontrole kojima bi se osigurala cjelovitost i pouzdanost svih doprinosa ulaznih podataka administratoru u skladu s člankom 16. stavcima 1. i 2. Uredbe (EU) br. 2016/1011</w:t>
      </w:r>
    </w:p>
    <w:p w14:paraId="20DC597E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2. sukladno članku 16. stavku 3. Uredbe (EU) br. 2016/1011 ne uspostavi, uz sustave i kontrole iz članka 16. stavka 2. Uredbe (EU) br. 2016/1011, politike za primjenu prosudbe i diskrecijskog prava te ako ne čuva evidenciju s obrazloženjem tih prosudaba i primijenjenog diskrecijskog prava</w:t>
      </w:r>
    </w:p>
    <w:p w14:paraId="406204A0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3. ne surađuje s administratorom i relevantnim nadležnim tijelom pri reviziji i nadziranju pružanja referentne vrijednosti te ne stavlja na raspolaganje informacije i evidenciju koji se čuvaju u skladu s člankom 16. stavcima 2. i 3. Uredbe (EU) 2016/1011, sve u skladu s člankom 16. stavkom 4. Uredbe (EU) br. 2016/1011</w:t>
      </w:r>
    </w:p>
    <w:p w14:paraId="0B583D67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4. bez odgode pismeno ne izvijesti administratora referentne vrijednosti o namjeri prestanka doprinošenja ulaznih podataka u skladu s člankom 23. stavkom 3. Uredbe (EU) br. 2016/1011</w:t>
      </w:r>
    </w:p>
    <w:p w14:paraId="533852A3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5. ne nastavi s doprinošenjem ulaznih podataka na zahtjev nadležnog tijela u skladu s člankom 23. stavkom 5. Uredbe (EU) br. 2016/1011</w:t>
      </w:r>
    </w:p>
    <w:p w14:paraId="32C7163A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6. ne ispuni zahtjev nadležnog tijela da doprinosi ulazne podatke administratoru u skladu s člankom 23. stavkom 6. Uredbe (EU) br. 2016/1011</w:t>
      </w:r>
    </w:p>
    <w:p w14:paraId="1AAC6ED6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7. ne nastavi doprinositi ulazne podatke u skladu s člankom 23. stavkom 10. Uredbe (EU) br. 2016/1011</w:t>
      </w:r>
    </w:p>
    <w:p w14:paraId="6424D152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both"/>
        <w:textAlignment w:val="baseline"/>
      </w:pPr>
      <w:r w:rsidRPr="000F561C">
        <w:t xml:space="preserve">(2) Novčanom kaznom u iznosu od 300.000,00 kuna do 4.000.000,00 kuna kaznit će se za prekršaje iz stavka 1. ovoga članka fizička osoba, odnosno odgovorna osoba nadziranog </w:t>
      </w:r>
      <w:proofErr w:type="spellStart"/>
      <w:r w:rsidRPr="000F561C">
        <w:t>doprinositelja</w:t>
      </w:r>
      <w:proofErr w:type="spellEnd"/>
      <w:r w:rsidRPr="000F561C">
        <w:t>.</w:t>
      </w:r>
    </w:p>
    <w:p w14:paraId="737F1EDD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ECFE996" w14:textId="77777777" w:rsidR="006F5ECB" w:rsidRPr="000F561C" w:rsidRDefault="006F5ECB" w:rsidP="006F5E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61C">
        <w:rPr>
          <w:rFonts w:ascii="Times New Roman" w:hAnsi="Times New Roman" w:cs="Times New Roman"/>
          <w:sz w:val="24"/>
          <w:szCs w:val="24"/>
        </w:rPr>
        <w:t xml:space="preserve">Lakši prekršaji nadziranih </w:t>
      </w:r>
      <w:proofErr w:type="spellStart"/>
      <w:r w:rsidRPr="000F561C">
        <w:rPr>
          <w:rFonts w:ascii="Times New Roman" w:hAnsi="Times New Roman" w:cs="Times New Roman"/>
          <w:sz w:val="24"/>
          <w:szCs w:val="24"/>
        </w:rPr>
        <w:t>doprinositelja</w:t>
      </w:r>
      <w:proofErr w:type="spellEnd"/>
    </w:p>
    <w:p w14:paraId="39410F83" w14:textId="77777777" w:rsidR="006F5ECB" w:rsidRPr="000F561C" w:rsidRDefault="006F5ECB" w:rsidP="006F5E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FCDD59" w14:textId="77777777" w:rsidR="006F5ECB" w:rsidRPr="000F561C" w:rsidRDefault="006F5ECB" w:rsidP="006F5E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61C">
        <w:rPr>
          <w:rFonts w:ascii="Times New Roman" w:hAnsi="Times New Roman" w:cs="Times New Roman"/>
          <w:sz w:val="24"/>
          <w:szCs w:val="24"/>
        </w:rPr>
        <w:t>Članak 19.a</w:t>
      </w:r>
    </w:p>
    <w:p w14:paraId="72C4611E" w14:textId="77777777" w:rsidR="006F5ECB" w:rsidRPr="000F561C" w:rsidRDefault="006F5ECB" w:rsidP="006F5EC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CEA82B" w14:textId="77777777" w:rsidR="006F5ECB" w:rsidRPr="000F561C" w:rsidRDefault="006F5ECB" w:rsidP="006F5ECB">
      <w:pPr>
        <w:pStyle w:val="box467446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(1) Novčanom kaznom u iznosu od 200.000,00 kuna do 2.000.000,00 kuna ili od 0,5 % do 2 % ukupnog prihoda koji je ostvario u godini kada je počinjen prekršaj, utvrđenog službenim financijskim izvještajima za tu godinu, ovisno o tome koji je iznos veći, kaznit će se za prekršaj pravna osoba nadzirani </w:t>
      </w:r>
      <w:proofErr w:type="spellStart"/>
      <w:r w:rsidRPr="000F561C">
        <w:t>doprinositelj</w:t>
      </w:r>
      <w:proofErr w:type="spellEnd"/>
      <w:r w:rsidRPr="000F561C">
        <w:t xml:space="preserve"> ako:</w:t>
      </w:r>
    </w:p>
    <w:p w14:paraId="7D166597" w14:textId="77777777" w:rsidR="006F5ECB" w:rsidRPr="000F561C" w:rsidRDefault="006F5ECB" w:rsidP="006F5ECB">
      <w:pPr>
        <w:pStyle w:val="box467446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1. kada doprinosi referentnoj vrijednosti EU-a za klimatsku tranziciju ili referentnoj vrijednosti EU-a usklađenoj s Pariškim sporazumom, ne primjenjuje zahtjeve iz članka 19.a stavka 1. Uredbe (EU) br. 2016/1011, a takva neusklađenost sa zahtjevima iz članka 19.a stavka 1. Uredbe (EU) br. 2016/1011 nije materijalno narušila reprezentativnost i vjerodostojnost te referentne vrijednosti</w:t>
      </w:r>
    </w:p>
    <w:p w14:paraId="5F444851" w14:textId="77777777" w:rsidR="006F5ECB" w:rsidRPr="000F561C" w:rsidRDefault="006F5ECB" w:rsidP="006F5ECB">
      <w:pPr>
        <w:pStyle w:val="box467446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2. kada doprinosi referentnoj vrijednosti EU-a za klimatsku tranziciju ili referentnoj vrijednosti EU-a usklađenoj s Pariškim sporazumom, ne primjenjuje minimalne standarde za referentne vrijednosti EU-a za klimatsku tranziciju i referentne vrijednosti EU-a usklađene s Pariškim sporazumom iz članka 19.a stavka 2. točaka a, b i c Uredbe (EU) br. 2016/1011 koji su utvrđeni </w:t>
      </w:r>
      <w:r w:rsidRPr="000F561C">
        <w:lastRenderedPageBreak/>
        <w:t>delegiranim aktima Europske komisije u skladu s člankom 49. Uredbe (EU) br. 2016/1011, a takva neusklađenost sa zahtjevima iz članka 19.a stavka 2. Uredbe (EU) br. 2016/1011 nije materijalno narušila reprezentativnost i vjerodostojnost te referentne vrijednosti.</w:t>
      </w:r>
    </w:p>
    <w:p w14:paraId="59972C02" w14:textId="77777777" w:rsidR="006F5ECB" w:rsidRPr="000F561C" w:rsidRDefault="006F5ECB" w:rsidP="006F5ECB">
      <w:pPr>
        <w:pStyle w:val="box467446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 xml:space="preserve">(2) Novčanom kaznom u iznosu od 50.000,00 kuna do 760.000,00 kuna kaznit će se za prekršaje iz stavka 1. ovoga članka fizička osoba nadzirani </w:t>
      </w:r>
      <w:proofErr w:type="spellStart"/>
      <w:r w:rsidRPr="000F561C">
        <w:t>doprinositelj</w:t>
      </w:r>
      <w:proofErr w:type="spellEnd"/>
      <w:r w:rsidRPr="000F561C">
        <w:t>.</w:t>
      </w:r>
    </w:p>
    <w:p w14:paraId="178027BD" w14:textId="77777777" w:rsidR="006F5ECB" w:rsidRPr="000F561C" w:rsidRDefault="006F5ECB" w:rsidP="006F5ECB">
      <w:pPr>
        <w:pStyle w:val="box467446"/>
        <w:shd w:val="clear" w:color="auto" w:fill="FFFFFF"/>
        <w:spacing w:before="0" w:beforeAutospacing="0" w:after="0" w:afterAutospacing="0"/>
        <w:jc w:val="both"/>
        <w:textAlignment w:val="baseline"/>
      </w:pPr>
      <w:r w:rsidRPr="000F561C">
        <w:t xml:space="preserve">(3) Novčanom kaznom u iznosu od 50.000,00 kuna do 760.000,00 kuna kaznit će se za prekršaje iz stavka 1. ovoga članka i odgovorna osoba nadziranog </w:t>
      </w:r>
      <w:proofErr w:type="spellStart"/>
      <w:r w:rsidRPr="000F561C">
        <w:t>doprinositelja</w:t>
      </w:r>
      <w:proofErr w:type="spellEnd"/>
      <w:r w:rsidRPr="000F561C">
        <w:t>.«.</w:t>
      </w:r>
    </w:p>
    <w:p w14:paraId="2A813D6D" w14:textId="77777777" w:rsidR="006F5ECB" w:rsidRPr="000F561C" w:rsidRDefault="006F5ECB" w:rsidP="006F5EC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1E482E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rStyle w:val="kurziv"/>
          <w:iCs/>
          <w:bdr w:val="none" w:sz="0" w:space="0" w:color="auto" w:frame="1"/>
        </w:rPr>
      </w:pPr>
      <w:r w:rsidRPr="000F561C">
        <w:rPr>
          <w:rStyle w:val="kurziv"/>
          <w:iCs/>
          <w:bdr w:val="none" w:sz="0" w:space="0" w:color="auto" w:frame="1"/>
        </w:rPr>
        <w:t>Prekršaji nadziranih subjekata</w:t>
      </w:r>
    </w:p>
    <w:p w14:paraId="13C3CE6D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  <w:rPr>
          <w:iCs/>
        </w:rPr>
      </w:pPr>
    </w:p>
    <w:p w14:paraId="59D2EA89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  <w:r w:rsidRPr="000F561C">
        <w:t>Članak 20.</w:t>
      </w:r>
    </w:p>
    <w:p w14:paraId="0B7C79CA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41590310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(1) Novčanom kaznom u iznosu od 400.000,00 kuna do 7.550.000,00 kuna ili od 3 % do 10 % ukupnog prihoda koji je ostvario u godini kada je počinjen prekršaj, utvrđenog službenim financijskim izvještajima za tu godinu, ovisno o tome koji je iznos veći, kaznit će se za prekršaj pravna osoba nadzirani subjekt ako:</w:t>
      </w:r>
    </w:p>
    <w:p w14:paraId="0ED75DFF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1. ne izrađuje i ne održava te na zahtjev nadležnog tijela ne dostavlja robusne pisane planove radnji koje bi poduzeli u slučaju bitnih promjena ili prestanka referentne vrijednosti te ne odražava planove i njihova ažuriranja u ugovornim odnosima s klijentima, a sve u skladu s člankom 28. Uredbe (EU) br. 2016/1011</w:t>
      </w:r>
    </w:p>
    <w:p w14:paraId="773DC9AA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2. sukladno članku 29. Uredbe (EU) br. 2016/1011 upotrebljava referentnu vrijednost ili kombinaciju referentnih vrijednosti koje nisu uvrštene u registar iz članka 36. Uredbe (EU) br. 2016/1011 i čiji administrator nije uvršten u registar iz članka 36. Uredbe (EU) br. 2016/1011.</w:t>
      </w:r>
    </w:p>
    <w:p w14:paraId="186E6A48" w14:textId="77777777" w:rsidR="006F5ECB" w:rsidRPr="000F561C" w:rsidRDefault="006F5ECB" w:rsidP="006F5ECB">
      <w:pPr>
        <w:pStyle w:val="box457904"/>
        <w:shd w:val="clear" w:color="auto" w:fill="FFFFFF"/>
        <w:spacing w:before="0" w:beforeAutospacing="0" w:after="48" w:afterAutospacing="0"/>
        <w:jc w:val="both"/>
        <w:textAlignment w:val="baseline"/>
      </w:pPr>
      <w:r w:rsidRPr="000F561C">
        <w:t>(2) Novčanom kaznom u iznosu od 200.000,00 kuna do 4.000.000,00 kuna kaznit će se za prekršaje iz stavka 1. ovoga članka fizička osoba, odnosno odgovorna osoba nadziranog subjekta.</w:t>
      </w:r>
    </w:p>
    <w:p w14:paraId="5EF018CE" w14:textId="77777777" w:rsidR="006F5ECB" w:rsidRPr="00085B73" w:rsidRDefault="006F5ECB" w:rsidP="006F5E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1A7CE" w14:textId="77777777" w:rsidR="006F5ECB" w:rsidRPr="00085B73" w:rsidRDefault="006F5ECB" w:rsidP="00FA6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F5ECB" w:rsidRPr="00085B73" w:rsidSect="00C96DC9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454E7" w14:textId="77777777" w:rsidR="00D4321D" w:rsidRDefault="00D4321D" w:rsidP="00C96DC9">
      <w:pPr>
        <w:spacing w:after="0" w:line="240" w:lineRule="auto"/>
      </w:pPr>
      <w:r>
        <w:separator/>
      </w:r>
    </w:p>
  </w:endnote>
  <w:endnote w:type="continuationSeparator" w:id="0">
    <w:p w14:paraId="097C1767" w14:textId="77777777" w:rsidR="00D4321D" w:rsidRDefault="00D4321D" w:rsidP="00C9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83352"/>
      <w:docPartObj>
        <w:docPartGallery w:val="Page Numbers (Bottom of Page)"/>
        <w:docPartUnique/>
      </w:docPartObj>
    </w:sdtPr>
    <w:sdtEndPr/>
    <w:sdtContent>
      <w:p w14:paraId="2BB03C7C" w14:textId="0EC0D6D6" w:rsidR="00C96DC9" w:rsidRDefault="00C96D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5FC">
          <w:rPr>
            <w:noProof/>
          </w:rPr>
          <w:t>9</w:t>
        </w:r>
        <w:r>
          <w:fldChar w:fldCharType="end"/>
        </w:r>
      </w:p>
    </w:sdtContent>
  </w:sdt>
  <w:p w14:paraId="230D3A4A" w14:textId="77777777" w:rsidR="00C96DC9" w:rsidRDefault="00C9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B282" w14:textId="77777777" w:rsidR="00D4321D" w:rsidRDefault="00D4321D" w:rsidP="00C96DC9">
      <w:pPr>
        <w:spacing w:after="0" w:line="240" w:lineRule="auto"/>
      </w:pPr>
      <w:r>
        <w:separator/>
      </w:r>
    </w:p>
  </w:footnote>
  <w:footnote w:type="continuationSeparator" w:id="0">
    <w:p w14:paraId="6DE472E1" w14:textId="77777777" w:rsidR="00D4321D" w:rsidRDefault="00D4321D" w:rsidP="00C96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23"/>
    <w:rsid w:val="00000941"/>
    <w:rsid w:val="0000172D"/>
    <w:rsid w:val="000100FB"/>
    <w:rsid w:val="00012F21"/>
    <w:rsid w:val="0001661E"/>
    <w:rsid w:val="00016DDE"/>
    <w:rsid w:val="00020EEE"/>
    <w:rsid w:val="000320A7"/>
    <w:rsid w:val="0004482C"/>
    <w:rsid w:val="000567BA"/>
    <w:rsid w:val="00085B73"/>
    <w:rsid w:val="000906CA"/>
    <w:rsid w:val="000A18CA"/>
    <w:rsid w:val="000B72CD"/>
    <w:rsid w:val="000C789D"/>
    <w:rsid w:val="000F561C"/>
    <w:rsid w:val="00111999"/>
    <w:rsid w:val="00132588"/>
    <w:rsid w:val="00132962"/>
    <w:rsid w:val="00164F95"/>
    <w:rsid w:val="00172044"/>
    <w:rsid w:val="00187CF9"/>
    <w:rsid w:val="00196A06"/>
    <w:rsid w:val="00196D23"/>
    <w:rsid w:val="002460A2"/>
    <w:rsid w:val="00250403"/>
    <w:rsid w:val="002559FB"/>
    <w:rsid w:val="002655F3"/>
    <w:rsid w:val="002D2029"/>
    <w:rsid w:val="002D58DF"/>
    <w:rsid w:val="002F2BB0"/>
    <w:rsid w:val="0032245D"/>
    <w:rsid w:val="00324419"/>
    <w:rsid w:val="00343ADD"/>
    <w:rsid w:val="00362A13"/>
    <w:rsid w:val="003673D0"/>
    <w:rsid w:val="003830FC"/>
    <w:rsid w:val="003A6D99"/>
    <w:rsid w:val="0040560F"/>
    <w:rsid w:val="00441F2B"/>
    <w:rsid w:val="004425FC"/>
    <w:rsid w:val="00451C49"/>
    <w:rsid w:val="004831F3"/>
    <w:rsid w:val="004A44E2"/>
    <w:rsid w:val="004A57AF"/>
    <w:rsid w:val="004C3AAE"/>
    <w:rsid w:val="004F0E3B"/>
    <w:rsid w:val="005238A4"/>
    <w:rsid w:val="005664D6"/>
    <w:rsid w:val="005A08B6"/>
    <w:rsid w:val="005A3DAF"/>
    <w:rsid w:val="005F1927"/>
    <w:rsid w:val="005F2ADE"/>
    <w:rsid w:val="005F74C7"/>
    <w:rsid w:val="00606345"/>
    <w:rsid w:val="0061536D"/>
    <w:rsid w:val="006208AA"/>
    <w:rsid w:val="00654E78"/>
    <w:rsid w:val="006B6366"/>
    <w:rsid w:val="006C0AB9"/>
    <w:rsid w:val="006C27D7"/>
    <w:rsid w:val="006E4090"/>
    <w:rsid w:val="006F5ECB"/>
    <w:rsid w:val="006F600C"/>
    <w:rsid w:val="0074708C"/>
    <w:rsid w:val="00780B32"/>
    <w:rsid w:val="007835AA"/>
    <w:rsid w:val="0078408E"/>
    <w:rsid w:val="007A3A9C"/>
    <w:rsid w:val="007A684F"/>
    <w:rsid w:val="007B6D3A"/>
    <w:rsid w:val="007F07B6"/>
    <w:rsid w:val="007F21DA"/>
    <w:rsid w:val="00810F48"/>
    <w:rsid w:val="0085701C"/>
    <w:rsid w:val="00861FDA"/>
    <w:rsid w:val="00865884"/>
    <w:rsid w:val="0087148A"/>
    <w:rsid w:val="00876CEA"/>
    <w:rsid w:val="00877E88"/>
    <w:rsid w:val="00881C7F"/>
    <w:rsid w:val="00882EE6"/>
    <w:rsid w:val="008A5C51"/>
    <w:rsid w:val="008B6050"/>
    <w:rsid w:val="008B6647"/>
    <w:rsid w:val="008D7491"/>
    <w:rsid w:val="00902CCE"/>
    <w:rsid w:val="00944105"/>
    <w:rsid w:val="00945256"/>
    <w:rsid w:val="00963215"/>
    <w:rsid w:val="00965F13"/>
    <w:rsid w:val="009760A1"/>
    <w:rsid w:val="00981060"/>
    <w:rsid w:val="009858D5"/>
    <w:rsid w:val="009A14FC"/>
    <w:rsid w:val="009C2E85"/>
    <w:rsid w:val="009E3163"/>
    <w:rsid w:val="009E3BEC"/>
    <w:rsid w:val="009E520F"/>
    <w:rsid w:val="00A236FD"/>
    <w:rsid w:val="00A50B0E"/>
    <w:rsid w:val="00A5612A"/>
    <w:rsid w:val="00A72D0B"/>
    <w:rsid w:val="00A918E5"/>
    <w:rsid w:val="00AE47EE"/>
    <w:rsid w:val="00AE6946"/>
    <w:rsid w:val="00AF1619"/>
    <w:rsid w:val="00B07065"/>
    <w:rsid w:val="00B204A4"/>
    <w:rsid w:val="00B6214F"/>
    <w:rsid w:val="00B72D95"/>
    <w:rsid w:val="00B93521"/>
    <w:rsid w:val="00BC6BD4"/>
    <w:rsid w:val="00BD40F1"/>
    <w:rsid w:val="00BD6ED3"/>
    <w:rsid w:val="00C1197F"/>
    <w:rsid w:val="00C14DFB"/>
    <w:rsid w:val="00C627F2"/>
    <w:rsid w:val="00C72DA8"/>
    <w:rsid w:val="00C83441"/>
    <w:rsid w:val="00C96DC9"/>
    <w:rsid w:val="00CA4156"/>
    <w:rsid w:val="00CB0DEB"/>
    <w:rsid w:val="00CB3CB7"/>
    <w:rsid w:val="00CB4567"/>
    <w:rsid w:val="00CB776F"/>
    <w:rsid w:val="00CE69DE"/>
    <w:rsid w:val="00CF1A67"/>
    <w:rsid w:val="00D1297D"/>
    <w:rsid w:val="00D224FF"/>
    <w:rsid w:val="00D4321D"/>
    <w:rsid w:val="00DD0EE2"/>
    <w:rsid w:val="00DD44A1"/>
    <w:rsid w:val="00DD517B"/>
    <w:rsid w:val="00E1628E"/>
    <w:rsid w:val="00E50478"/>
    <w:rsid w:val="00E73635"/>
    <w:rsid w:val="00E75768"/>
    <w:rsid w:val="00E85D1F"/>
    <w:rsid w:val="00E933E1"/>
    <w:rsid w:val="00EE14C6"/>
    <w:rsid w:val="00EE5FB6"/>
    <w:rsid w:val="00F13EBE"/>
    <w:rsid w:val="00F22F9D"/>
    <w:rsid w:val="00F24495"/>
    <w:rsid w:val="00F35CB8"/>
    <w:rsid w:val="00F718B6"/>
    <w:rsid w:val="00F729B7"/>
    <w:rsid w:val="00F8174C"/>
    <w:rsid w:val="00F91920"/>
    <w:rsid w:val="00FA6625"/>
    <w:rsid w:val="00FB4F20"/>
    <w:rsid w:val="00FC3188"/>
    <w:rsid w:val="00FD2B17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15FA"/>
  <w15:chartTrackingRefBased/>
  <w15:docId w15:val="{CD6AE1E9-0E59-4E78-B08B-1441878C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23"/>
  </w:style>
  <w:style w:type="paragraph" w:styleId="Heading4">
    <w:name w:val="heading 4"/>
    <w:basedOn w:val="Normal"/>
    <w:link w:val="Heading4Char"/>
    <w:uiPriority w:val="9"/>
    <w:qFormat/>
    <w:rsid w:val="00FA66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B72C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A66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FA6625"/>
  </w:style>
  <w:style w:type="paragraph" w:styleId="Header">
    <w:name w:val="header"/>
    <w:basedOn w:val="Normal"/>
    <w:link w:val="HeaderChar"/>
    <w:uiPriority w:val="99"/>
    <w:unhideWhenUsed/>
    <w:rsid w:val="00C9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C9"/>
  </w:style>
  <w:style w:type="paragraph" w:styleId="Footer">
    <w:name w:val="footer"/>
    <w:basedOn w:val="Normal"/>
    <w:link w:val="FooterChar"/>
    <w:uiPriority w:val="99"/>
    <w:unhideWhenUsed/>
    <w:rsid w:val="00C9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C9"/>
  </w:style>
  <w:style w:type="character" w:styleId="CommentReference">
    <w:name w:val="annotation reference"/>
    <w:basedOn w:val="DefaultParagraphFont"/>
    <w:uiPriority w:val="99"/>
    <w:semiHidden/>
    <w:unhideWhenUsed/>
    <w:rsid w:val="00012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21"/>
    <w:rPr>
      <w:rFonts w:ascii="Segoe UI" w:hAnsi="Segoe UI" w:cs="Segoe UI"/>
      <w:sz w:val="18"/>
      <w:szCs w:val="18"/>
    </w:rPr>
  </w:style>
  <w:style w:type="paragraph" w:customStyle="1" w:styleId="box457904">
    <w:name w:val="box_457904"/>
    <w:basedOn w:val="Normal"/>
    <w:rsid w:val="0019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196A06"/>
  </w:style>
  <w:style w:type="character" w:customStyle="1" w:styleId="article-text">
    <w:name w:val="article-text"/>
    <w:basedOn w:val="DefaultParagraphFont"/>
    <w:rsid w:val="008B6050"/>
  </w:style>
  <w:style w:type="paragraph" w:customStyle="1" w:styleId="box467446">
    <w:name w:val="box_467446"/>
    <w:basedOn w:val="Normal"/>
    <w:rsid w:val="00F81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32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1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7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97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8514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9598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893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6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AZJMDCZ6QSYZ-1849078857-31568</_dlc_DocId>
    <_dlc_DocIdUrl xmlns="a494813a-d0d8-4dad-94cb-0d196f36ba15">
      <Url>https://ekoordinacije.vlada.hr/koordinacija-gospodarstvo/_layouts/15/DocIdRedir.aspx?ID=AZJMDCZ6QSYZ-1849078857-31568</Url>
      <Description>AZJMDCZ6QSYZ-1849078857-31568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5B6DD1-3611-4359-BC23-E235EC184673}">
  <ds:schemaRefs>
    <ds:schemaRef ds:uri="http://schemas.microsoft.com/office/2006/metadata/properties"/>
    <ds:schemaRef ds:uri="http://schemas.microsoft.com/office/infopath/2007/PartnerControls"/>
    <ds:schemaRef ds:uri="0f5faac8-f59c-495c-98e4-0aa09624f487"/>
  </ds:schemaRefs>
</ds:datastoreItem>
</file>

<file path=customXml/itemProps2.xml><?xml version="1.0" encoding="utf-8"?>
<ds:datastoreItem xmlns:ds="http://schemas.openxmlformats.org/officeDocument/2006/customXml" ds:itemID="{95BFA1EF-5C90-47D4-9086-770C3EA78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D7E79-446A-4894-9002-E68DDEACF66C}"/>
</file>

<file path=customXml/itemProps4.xml><?xml version="1.0" encoding="utf-8"?>
<ds:datastoreItem xmlns:ds="http://schemas.openxmlformats.org/officeDocument/2006/customXml" ds:itemID="{199F752C-D045-493C-81D1-544C18E541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3147</Words>
  <Characters>17940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financija</dc:creator>
  <cp:keywords/>
  <dc:description/>
  <cp:lastModifiedBy>Maja Lebarović</cp:lastModifiedBy>
  <cp:revision>5</cp:revision>
  <cp:lastPrinted>2023-07-27T08:53:00Z</cp:lastPrinted>
  <dcterms:created xsi:type="dcterms:W3CDTF">2023-09-19T09:01:00Z</dcterms:created>
  <dcterms:modified xsi:type="dcterms:W3CDTF">2023-09-19T09:18:00Z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2065b455-83e9-4af6-bd42-98ed917aabbd</vt:lpwstr>
  </property>
</Properties>
</file>