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534" w:rsidRDefault="002F1534" w:rsidP="002F1534">
      <w:pPr>
        <w:ind w:firstLine="708"/>
        <w:jc w:val="right"/>
      </w:pPr>
    </w:p>
    <w:p w:rsidR="002F1534" w:rsidRDefault="00984565" w:rsidP="002F1534">
      <w:pPr>
        <w:jc w:val="center"/>
      </w:pPr>
      <w:r>
        <w:rPr>
          <w:noProof/>
        </w:rPr>
        <w:drawing>
          <wp:inline distT="0" distB="0" distL="0" distR="0">
            <wp:extent cx="500380" cy="6813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681355"/>
                    </a:xfrm>
                    <a:prstGeom prst="rect">
                      <a:avLst/>
                    </a:prstGeom>
                    <a:noFill/>
                    <a:ln>
                      <a:noFill/>
                    </a:ln>
                  </pic:spPr>
                </pic:pic>
              </a:graphicData>
            </a:graphic>
          </wp:inline>
        </w:drawing>
      </w:r>
    </w:p>
    <w:p w:rsidR="002F1534" w:rsidRDefault="002F1534" w:rsidP="002F1534">
      <w:pPr>
        <w:spacing w:before="60" w:after="1680"/>
        <w:jc w:val="center"/>
        <w:rPr>
          <w:sz w:val="28"/>
        </w:rPr>
      </w:pPr>
      <w:r>
        <w:rPr>
          <w:sz w:val="28"/>
        </w:rPr>
        <w:t>VLADA REPUBLIKE HRVATSKE</w:t>
      </w:r>
    </w:p>
    <w:p w:rsidR="002F1534" w:rsidRDefault="00E036A9" w:rsidP="00393DE4">
      <w:pPr>
        <w:jc w:val="right"/>
      </w:pPr>
      <w:r>
        <w:t>Zagreb, 20</w:t>
      </w:r>
      <w:r w:rsidR="00B57AD8">
        <w:t>. siječnja</w:t>
      </w:r>
      <w:r w:rsidR="002F1534">
        <w:t xml:space="preserve"> 20</w:t>
      </w:r>
      <w:r w:rsidR="006F773C">
        <w:t>2</w:t>
      </w:r>
      <w:r w:rsidR="00B57AD8">
        <w:t>3</w:t>
      </w:r>
      <w:r w:rsidR="002F1534">
        <w:t>.</w:t>
      </w:r>
    </w:p>
    <w:p w:rsidR="002F1534" w:rsidRDefault="002F1534" w:rsidP="002F1534">
      <w:pPr>
        <w:jc w:val="right"/>
      </w:pPr>
    </w:p>
    <w:p w:rsidR="002F1534" w:rsidRDefault="002F1534" w:rsidP="002F1534">
      <w:pPr>
        <w:jc w:val="right"/>
      </w:pPr>
    </w:p>
    <w:p w:rsidR="002F1534" w:rsidRDefault="002F1534" w:rsidP="002F1534">
      <w:pPr>
        <w:jc w:val="right"/>
      </w:pPr>
    </w:p>
    <w:p w:rsidR="002F1534" w:rsidRDefault="002F1534" w:rsidP="002F1534">
      <w:pPr>
        <w:jc w:val="right"/>
      </w:pPr>
    </w:p>
    <w:p w:rsidR="002F1534" w:rsidRDefault="002F1534" w:rsidP="002F1534">
      <w:pPr>
        <w:jc w:val="right"/>
      </w:pPr>
    </w:p>
    <w:p w:rsidR="002F1534" w:rsidRDefault="002F1534" w:rsidP="002F1534">
      <w:pPr>
        <w:jc w:val="right"/>
      </w:pPr>
    </w:p>
    <w:p w:rsidR="002F1534" w:rsidRDefault="002F1534" w:rsidP="002F1534">
      <w:pPr>
        <w:jc w:val="right"/>
      </w:pPr>
    </w:p>
    <w:p w:rsidR="002F1534" w:rsidRDefault="002F1534" w:rsidP="002F1534">
      <w:pPr>
        <w:jc w:val="right"/>
      </w:pPr>
    </w:p>
    <w:p w:rsidR="002F1534" w:rsidRDefault="002F1534" w:rsidP="002F1534">
      <w:pPr>
        <w:jc w:val="both"/>
      </w:pPr>
      <w:r>
        <w:t>__________________________________________________________________________</w:t>
      </w:r>
    </w:p>
    <w:tbl>
      <w:tblPr>
        <w:tblW w:w="0" w:type="auto"/>
        <w:tblLook w:val="04A0" w:firstRow="1" w:lastRow="0" w:firstColumn="1" w:lastColumn="0" w:noHBand="0" w:noVBand="1"/>
      </w:tblPr>
      <w:tblGrid>
        <w:gridCol w:w="1951"/>
        <w:gridCol w:w="7229"/>
      </w:tblGrid>
      <w:tr w:rsidR="00A24FFA" w:rsidTr="0076187B">
        <w:tc>
          <w:tcPr>
            <w:tcW w:w="1951" w:type="dxa"/>
            <w:shd w:val="clear" w:color="auto" w:fill="auto"/>
            <w:hideMark/>
          </w:tcPr>
          <w:p w:rsidR="002F1534" w:rsidRDefault="002F1534" w:rsidP="00701679">
            <w:pPr>
              <w:spacing w:line="360" w:lineRule="auto"/>
            </w:pPr>
            <w:r w:rsidRPr="0076187B">
              <w:rPr>
                <w:b/>
                <w:smallCaps/>
              </w:rPr>
              <w:t>Predlagatelj</w:t>
            </w:r>
            <w:r w:rsidRPr="0076187B">
              <w:rPr>
                <w:b/>
              </w:rPr>
              <w:t>:</w:t>
            </w:r>
          </w:p>
        </w:tc>
        <w:tc>
          <w:tcPr>
            <w:tcW w:w="7229" w:type="dxa"/>
            <w:shd w:val="clear" w:color="auto" w:fill="auto"/>
            <w:hideMark/>
          </w:tcPr>
          <w:p w:rsidR="002F1534" w:rsidRDefault="002F1534" w:rsidP="0076187B">
            <w:pPr>
              <w:spacing w:line="360" w:lineRule="auto"/>
            </w:pPr>
            <w:r>
              <w:t xml:space="preserve">Ministarstvo pravosuđa </w:t>
            </w:r>
            <w:r w:rsidR="00BA7ACD">
              <w:t>i uprave</w:t>
            </w:r>
          </w:p>
        </w:tc>
      </w:tr>
    </w:tbl>
    <w:p w:rsidR="002F1534" w:rsidRDefault="002F1534" w:rsidP="002F1534">
      <w:pPr>
        <w:jc w:val="both"/>
      </w:pPr>
      <w:r>
        <w:t>__________________________________________________________________________</w:t>
      </w:r>
    </w:p>
    <w:tbl>
      <w:tblPr>
        <w:tblW w:w="0" w:type="auto"/>
        <w:tblLook w:val="04A0" w:firstRow="1" w:lastRow="0" w:firstColumn="1" w:lastColumn="0" w:noHBand="0" w:noVBand="1"/>
      </w:tblPr>
      <w:tblGrid>
        <w:gridCol w:w="1951"/>
        <w:gridCol w:w="7229"/>
      </w:tblGrid>
      <w:tr w:rsidR="00A24FFA" w:rsidTr="0076187B">
        <w:tc>
          <w:tcPr>
            <w:tcW w:w="1951" w:type="dxa"/>
            <w:shd w:val="clear" w:color="auto" w:fill="auto"/>
            <w:hideMark/>
          </w:tcPr>
          <w:p w:rsidR="002F1534" w:rsidRDefault="002F1534" w:rsidP="00701679">
            <w:pPr>
              <w:spacing w:line="360" w:lineRule="auto"/>
            </w:pPr>
            <w:r w:rsidRPr="0076187B">
              <w:rPr>
                <w:b/>
                <w:smallCaps/>
              </w:rPr>
              <w:t>Predmet</w:t>
            </w:r>
            <w:r w:rsidRPr="0076187B">
              <w:rPr>
                <w:b/>
              </w:rPr>
              <w:t>:</w:t>
            </w:r>
          </w:p>
        </w:tc>
        <w:tc>
          <w:tcPr>
            <w:tcW w:w="7229" w:type="dxa"/>
            <w:shd w:val="clear" w:color="auto" w:fill="auto"/>
          </w:tcPr>
          <w:p w:rsidR="002F1534" w:rsidRDefault="002F1534" w:rsidP="0076187B">
            <w:pPr>
              <w:jc w:val="both"/>
            </w:pPr>
            <w:r>
              <w:t xml:space="preserve">Prijedlog </w:t>
            </w:r>
            <w:r w:rsidR="00984565">
              <w:t xml:space="preserve">amandmana </w:t>
            </w:r>
            <w:r w:rsidR="00984565">
              <w:rPr>
                <w:rFonts w:eastAsia="Calibri"/>
                <w:lang w:eastAsia="en-US"/>
              </w:rPr>
              <w:t>Vlade</w:t>
            </w:r>
            <w:r w:rsidR="00984565" w:rsidRPr="00984565">
              <w:rPr>
                <w:rFonts w:eastAsia="Calibri"/>
                <w:lang w:eastAsia="en-US"/>
              </w:rPr>
              <w:t xml:space="preserve"> Republike Hrvatske na Konačni </w:t>
            </w:r>
            <w:r w:rsidR="00522145">
              <w:rPr>
                <w:rFonts w:eastAsia="Calibri"/>
                <w:lang w:eastAsia="en-US"/>
              </w:rPr>
              <w:t xml:space="preserve">prijedlog </w:t>
            </w:r>
            <w:r w:rsidR="005E195E" w:rsidRPr="005E195E">
              <w:rPr>
                <w:rFonts w:eastAsia="Calibri"/>
                <w:lang w:eastAsia="en-US"/>
              </w:rPr>
              <w:t xml:space="preserve">zakona o izmjenama i dopunama </w:t>
            </w:r>
            <w:bookmarkStart w:id="0" w:name="_Hlk120361969"/>
            <w:r w:rsidR="001F4384">
              <w:rPr>
                <w:rFonts w:eastAsia="Calibri"/>
                <w:lang w:eastAsia="en-US"/>
              </w:rPr>
              <w:t>Zakona o trgovačkim društvima</w:t>
            </w:r>
            <w:bookmarkEnd w:id="0"/>
          </w:p>
          <w:p w:rsidR="002F1534" w:rsidRDefault="002F1534" w:rsidP="0076187B">
            <w:pPr>
              <w:jc w:val="both"/>
            </w:pPr>
          </w:p>
          <w:p w:rsidR="002F1534" w:rsidRDefault="002F1534" w:rsidP="0076187B">
            <w:pPr>
              <w:jc w:val="both"/>
            </w:pPr>
          </w:p>
          <w:p w:rsidR="002F1534" w:rsidRDefault="002F1534" w:rsidP="0076187B">
            <w:pPr>
              <w:jc w:val="both"/>
            </w:pPr>
          </w:p>
          <w:p w:rsidR="002F1534" w:rsidRDefault="002F1534" w:rsidP="0076187B">
            <w:pPr>
              <w:jc w:val="both"/>
            </w:pPr>
          </w:p>
          <w:p w:rsidR="002F1534" w:rsidRDefault="002F1534" w:rsidP="0076187B">
            <w:pPr>
              <w:jc w:val="both"/>
            </w:pPr>
          </w:p>
          <w:p w:rsidR="002F1534" w:rsidRDefault="002F1534" w:rsidP="0076187B">
            <w:pPr>
              <w:jc w:val="both"/>
            </w:pPr>
          </w:p>
          <w:p w:rsidR="002F1534" w:rsidRDefault="002F1534" w:rsidP="0076187B">
            <w:pPr>
              <w:jc w:val="both"/>
            </w:pPr>
          </w:p>
          <w:p w:rsidR="002F1534" w:rsidRDefault="002F1534" w:rsidP="0076187B">
            <w:pPr>
              <w:jc w:val="both"/>
            </w:pPr>
          </w:p>
          <w:p w:rsidR="002F1534" w:rsidRDefault="002F1534" w:rsidP="0076187B">
            <w:pPr>
              <w:jc w:val="both"/>
            </w:pPr>
          </w:p>
          <w:p w:rsidR="002F1534" w:rsidRDefault="002F1534" w:rsidP="0076187B">
            <w:pPr>
              <w:jc w:val="both"/>
            </w:pPr>
          </w:p>
          <w:p w:rsidR="002F1534" w:rsidRDefault="002F1534" w:rsidP="0076187B">
            <w:pPr>
              <w:jc w:val="both"/>
            </w:pPr>
          </w:p>
          <w:p w:rsidR="002F1534" w:rsidRDefault="002F1534" w:rsidP="0076187B">
            <w:pPr>
              <w:jc w:val="both"/>
            </w:pPr>
          </w:p>
        </w:tc>
      </w:tr>
    </w:tbl>
    <w:p w:rsidR="002F1534" w:rsidRDefault="002F1534" w:rsidP="002F1534">
      <w:pPr>
        <w:jc w:val="both"/>
      </w:pPr>
    </w:p>
    <w:p w:rsidR="002F1534" w:rsidRDefault="002F1534" w:rsidP="002F1534">
      <w:pPr>
        <w:jc w:val="both"/>
      </w:pPr>
    </w:p>
    <w:p w:rsidR="002F1534" w:rsidRDefault="002F1534" w:rsidP="002F1534">
      <w:pPr>
        <w:jc w:val="both"/>
      </w:pPr>
    </w:p>
    <w:p w:rsidR="002F1534" w:rsidRDefault="002F1534" w:rsidP="002F1534">
      <w:pPr>
        <w:jc w:val="both"/>
      </w:pPr>
    </w:p>
    <w:p w:rsidR="002F1534" w:rsidRDefault="002F1534" w:rsidP="002F1534">
      <w:pPr>
        <w:jc w:val="both"/>
      </w:pPr>
    </w:p>
    <w:p w:rsidR="002F1534" w:rsidRPr="001F4384" w:rsidRDefault="002F1534" w:rsidP="002F1534">
      <w:pPr>
        <w:pStyle w:val="Header"/>
        <w:rPr>
          <w:lang w:val="hr-HR"/>
        </w:rPr>
      </w:pPr>
    </w:p>
    <w:p w:rsidR="002F1534" w:rsidRDefault="002F1534" w:rsidP="002F1534"/>
    <w:p w:rsidR="002F1534" w:rsidRDefault="002F1534" w:rsidP="002F1534"/>
    <w:p w:rsidR="006D472D" w:rsidRPr="001F4384" w:rsidRDefault="002F1534" w:rsidP="006D472D">
      <w:pPr>
        <w:pStyle w:val="Footer"/>
        <w:pBdr>
          <w:top w:val="single" w:sz="4" w:space="1" w:color="404040"/>
        </w:pBdr>
        <w:jc w:val="center"/>
        <w:rPr>
          <w:color w:val="404040"/>
          <w:spacing w:val="20"/>
          <w:sz w:val="20"/>
          <w:lang w:val="hr-HR"/>
        </w:rPr>
      </w:pPr>
      <w:r w:rsidRPr="001F4384">
        <w:rPr>
          <w:color w:val="404040"/>
          <w:spacing w:val="20"/>
          <w:sz w:val="20"/>
          <w:lang w:val="hr-HR"/>
        </w:rPr>
        <w:t>Banski dvori | Trg Sv. Marka 2  | 10000 Zagreb | tel. 01 4569 222 | vlada.gov.hr</w:t>
      </w:r>
    </w:p>
    <w:p w:rsidR="00984565" w:rsidRDefault="00984565" w:rsidP="00984565">
      <w:pPr>
        <w:spacing w:line="276" w:lineRule="auto"/>
        <w:jc w:val="right"/>
        <w:rPr>
          <w:rFonts w:eastAsia="Calibri"/>
          <w:lang w:eastAsia="en-US"/>
        </w:rPr>
      </w:pPr>
    </w:p>
    <w:p w:rsidR="00984565" w:rsidRPr="00984565" w:rsidRDefault="00984565" w:rsidP="00984565">
      <w:pPr>
        <w:spacing w:line="276" w:lineRule="auto"/>
        <w:rPr>
          <w:rFonts w:eastAsia="Calibri"/>
          <w:b/>
          <w:lang w:eastAsia="en-US"/>
        </w:rPr>
      </w:pPr>
    </w:p>
    <w:p w:rsidR="00984565" w:rsidRPr="00701679" w:rsidRDefault="00701679" w:rsidP="00984565">
      <w:pPr>
        <w:spacing w:line="276" w:lineRule="auto"/>
        <w:rPr>
          <w:rFonts w:eastAsia="Calibri"/>
          <w:lang w:eastAsia="en-US"/>
        </w:rPr>
      </w:pPr>
      <w:r w:rsidRPr="00701679">
        <w:rPr>
          <w:rFonts w:eastAsia="Calibri"/>
          <w:lang w:eastAsia="en-US"/>
        </w:rPr>
        <w:lastRenderedPageBreak/>
        <w:t>KLASA:</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PRIJEDLOG</w:t>
      </w:r>
    </w:p>
    <w:p w:rsidR="00984565" w:rsidRPr="00701679" w:rsidRDefault="00701679" w:rsidP="00984565">
      <w:pPr>
        <w:spacing w:line="276" w:lineRule="auto"/>
        <w:rPr>
          <w:rFonts w:eastAsia="Calibri"/>
          <w:lang w:eastAsia="en-US"/>
        </w:rPr>
      </w:pPr>
      <w:r w:rsidRPr="00701679">
        <w:rPr>
          <w:rFonts w:eastAsia="Calibri"/>
          <w:lang w:eastAsia="en-US"/>
        </w:rPr>
        <w:t>URBROJ:</w:t>
      </w:r>
    </w:p>
    <w:p w:rsidR="00984565" w:rsidRPr="00701679" w:rsidRDefault="00984565" w:rsidP="00984565">
      <w:pPr>
        <w:spacing w:line="276" w:lineRule="auto"/>
        <w:rPr>
          <w:rFonts w:eastAsia="Calibri"/>
          <w:lang w:eastAsia="en-US"/>
        </w:rPr>
      </w:pPr>
    </w:p>
    <w:p w:rsidR="00984565" w:rsidRPr="00701679" w:rsidRDefault="00984565" w:rsidP="00984565">
      <w:pPr>
        <w:spacing w:line="276" w:lineRule="auto"/>
        <w:rPr>
          <w:rFonts w:eastAsia="Calibri"/>
          <w:lang w:eastAsia="en-US"/>
        </w:rPr>
      </w:pPr>
      <w:r w:rsidRPr="00701679">
        <w:rPr>
          <w:rFonts w:eastAsia="Calibri"/>
          <w:lang w:eastAsia="en-US"/>
        </w:rPr>
        <w:t xml:space="preserve">Zagreb, </w:t>
      </w:r>
      <w:r w:rsidR="00B57AD8" w:rsidRPr="00701679">
        <w:rPr>
          <w:rFonts w:eastAsia="Calibri"/>
          <w:lang w:eastAsia="en-US"/>
        </w:rPr>
        <w:tab/>
      </w:r>
      <w:r w:rsidR="00701679" w:rsidRPr="00701679">
        <w:rPr>
          <w:rFonts w:eastAsia="Calibri"/>
          <w:lang w:eastAsia="en-US"/>
        </w:rPr>
        <w:tab/>
      </w:r>
      <w:r w:rsidRPr="00701679">
        <w:rPr>
          <w:rFonts w:eastAsia="Calibri"/>
          <w:lang w:eastAsia="en-US"/>
        </w:rPr>
        <w:t>20</w:t>
      </w:r>
      <w:r w:rsidR="00D73764" w:rsidRPr="00701679">
        <w:rPr>
          <w:rFonts w:eastAsia="Calibri"/>
          <w:lang w:eastAsia="en-US"/>
        </w:rPr>
        <w:t>2</w:t>
      </w:r>
      <w:r w:rsidR="00B57AD8" w:rsidRPr="00701679">
        <w:rPr>
          <w:rFonts w:eastAsia="Calibri"/>
          <w:lang w:eastAsia="en-US"/>
        </w:rPr>
        <w:t>3</w:t>
      </w:r>
      <w:r w:rsidRPr="00701679">
        <w:rPr>
          <w:rFonts w:eastAsia="Calibri"/>
          <w:lang w:eastAsia="en-US"/>
        </w:rPr>
        <w:t>.</w:t>
      </w:r>
    </w:p>
    <w:p w:rsidR="00984565" w:rsidRPr="00984565" w:rsidRDefault="00984565" w:rsidP="00984565">
      <w:pPr>
        <w:spacing w:line="276" w:lineRule="auto"/>
        <w:rPr>
          <w:rFonts w:eastAsia="Calibri"/>
          <w:lang w:eastAsia="en-US"/>
        </w:rPr>
      </w:pPr>
    </w:p>
    <w:p w:rsidR="00984565" w:rsidRPr="00984565" w:rsidRDefault="00984565" w:rsidP="00984565">
      <w:pPr>
        <w:spacing w:line="276" w:lineRule="auto"/>
        <w:rPr>
          <w:rFonts w:eastAsia="Calibri"/>
          <w:lang w:eastAsia="en-US"/>
        </w:rPr>
      </w:pPr>
    </w:p>
    <w:p w:rsidR="00984565" w:rsidRPr="00984565" w:rsidRDefault="00984565" w:rsidP="00984565">
      <w:pPr>
        <w:spacing w:line="276" w:lineRule="auto"/>
        <w:ind w:left="4248"/>
        <w:rPr>
          <w:rFonts w:eastAsia="Calibri"/>
          <w:b/>
          <w:lang w:eastAsia="en-US"/>
        </w:rPr>
      </w:pPr>
      <w:r w:rsidRPr="00984565">
        <w:rPr>
          <w:rFonts w:eastAsia="Calibri"/>
          <w:b/>
          <w:lang w:eastAsia="en-US"/>
        </w:rPr>
        <w:t>PREDSJEDNIKU HRVATSKOGA SABORA</w:t>
      </w:r>
    </w:p>
    <w:p w:rsidR="00984565" w:rsidRPr="00984565" w:rsidRDefault="00984565" w:rsidP="00984565">
      <w:pPr>
        <w:spacing w:line="276" w:lineRule="auto"/>
        <w:rPr>
          <w:rFonts w:eastAsia="Calibri"/>
          <w:lang w:eastAsia="en-US"/>
        </w:rPr>
      </w:pPr>
    </w:p>
    <w:p w:rsidR="00984565" w:rsidRPr="00984565" w:rsidRDefault="00984565" w:rsidP="00984565">
      <w:pPr>
        <w:spacing w:line="276" w:lineRule="auto"/>
        <w:rPr>
          <w:rFonts w:eastAsia="Calibri"/>
          <w:lang w:eastAsia="en-US"/>
        </w:rPr>
      </w:pPr>
    </w:p>
    <w:p w:rsidR="00984565" w:rsidRDefault="00701679" w:rsidP="00701679">
      <w:pPr>
        <w:ind w:left="1410" w:hanging="1410"/>
        <w:jc w:val="both"/>
        <w:rPr>
          <w:rFonts w:eastAsia="Calibri"/>
          <w:lang w:eastAsia="en-US"/>
        </w:rPr>
      </w:pPr>
      <w:r w:rsidRPr="00984565">
        <w:rPr>
          <w:rFonts w:eastAsia="Calibri"/>
          <w:lang w:eastAsia="en-US"/>
        </w:rPr>
        <w:t xml:space="preserve">PREDMET: </w:t>
      </w:r>
      <w:r w:rsidR="00984565" w:rsidRPr="00984565">
        <w:rPr>
          <w:rFonts w:eastAsia="Calibri"/>
          <w:lang w:eastAsia="en-US"/>
        </w:rPr>
        <w:tab/>
        <w:t xml:space="preserve">Konačni prijedlog </w:t>
      </w:r>
      <w:r w:rsidR="00C96393" w:rsidRPr="00C96393">
        <w:rPr>
          <w:rFonts w:eastAsia="Calibri"/>
          <w:lang w:eastAsia="en-US"/>
        </w:rPr>
        <w:t xml:space="preserve">zakona o izmjenama i dopunama </w:t>
      </w:r>
      <w:r w:rsidR="001F4384" w:rsidRPr="001F4384">
        <w:rPr>
          <w:rFonts w:eastAsia="Calibri"/>
          <w:lang w:eastAsia="en-US"/>
        </w:rPr>
        <w:t>Zakona o trgovačkim društvima</w:t>
      </w:r>
      <w:r>
        <w:rPr>
          <w:rFonts w:eastAsia="Calibri"/>
          <w:lang w:eastAsia="en-US"/>
        </w:rPr>
        <w:t xml:space="preserve"> </w:t>
      </w:r>
      <w:r w:rsidR="00984565" w:rsidRPr="00984565">
        <w:rPr>
          <w:rFonts w:eastAsia="Calibri"/>
          <w:lang w:eastAsia="en-US"/>
        </w:rPr>
        <w:t>- amandman</w:t>
      </w:r>
      <w:r w:rsidR="00CA310A">
        <w:rPr>
          <w:rFonts w:eastAsia="Calibri"/>
          <w:lang w:eastAsia="en-US"/>
        </w:rPr>
        <w:t xml:space="preserve"> </w:t>
      </w:r>
      <w:r w:rsidR="00984565" w:rsidRPr="00984565">
        <w:rPr>
          <w:rFonts w:eastAsia="Calibri"/>
          <w:lang w:eastAsia="en-US"/>
        </w:rPr>
        <w:t xml:space="preserve">Vlade </w:t>
      </w:r>
    </w:p>
    <w:p w:rsidR="00701679" w:rsidRPr="00984565" w:rsidRDefault="00701679" w:rsidP="00701679">
      <w:pPr>
        <w:ind w:left="1410" w:hanging="1410"/>
        <w:rPr>
          <w:rFonts w:eastAsia="Calibri"/>
          <w:lang w:eastAsia="en-US"/>
        </w:rPr>
      </w:pPr>
    </w:p>
    <w:p w:rsidR="00984565" w:rsidRPr="00984565" w:rsidRDefault="00984565" w:rsidP="00701679">
      <w:pPr>
        <w:ind w:firstLine="1416"/>
        <w:jc w:val="both"/>
        <w:rPr>
          <w:rFonts w:eastAsia="Calibri"/>
          <w:lang w:eastAsia="en-US"/>
        </w:rPr>
      </w:pPr>
      <w:r w:rsidRPr="00984565">
        <w:rPr>
          <w:rFonts w:eastAsia="Calibri"/>
          <w:lang w:eastAsia="en-US"/>
        </w:rPr>
        <w:t>Na temelju članka 85. Ustava Republike Hrvatske (Narodne novine, br</w:t>
      </w:r>
      <w:r w:rsidR="00CA310A">
        <w:rPr>
          <w:rFonts w:eastAsia="Calibri"/>
          <w:lang w:eastAsia="en-US"/>
        </w:rPr>
        <w:t xml:space="preserve">oj </w:t>
      </w:r>
      <w:r w:rsidRPr="00984565">
        <w:rPr>
          <w:rFonts w:eastAsia="Calibri"/>
          <w:lang w:eastAsia="en-US"/>
        </w:rPr>
        <w:t>85/10. - pročišćeni tekst i 5/14. - Odluka Ustavnog suda Republike Hrvatske) i članka 1</w:t>
      </w:r>
      <w:r w:rsidR="008B728C">
        <w:rPr>
          <w:rFonts w:eastAsia="Calibri"/>
          <w:lang w:eastAsia="en-US"/>
        </w:rPr>
        <w:t>99</w:t>
      </w:r>
      <w:r w:rsidRPr="00984565">
        <w:rPr>
          <w:rFonts w:eastAsia="Calibri"/>
          <w:lang w:eastAsia="en-US"/>
        </w:rPr>
        <w:t>. Poslovnika Hrvatskoga sabora (Narodne novine, br</w:t>
      </w:r>
      <w:r w:rsidR="00673F8A">
        <w:rPr>
          <w:rFonts w:eastAsia="Calibri"/>
          <w:lang w:eastAsia="en-US"/>
        </w:rPr>
        <w:t>.</w:t>
      </w:r>
      <w:r w:rsidR="00CA310A">
        <w:rPr>
          <w:rFonts w:eastAsia="Calibri"/>
          <w:lang w:eastAsia="en-US"/>
        </w:rPr>
        <w:t xml:space="preserve"> </w:t>
      </w:r>
      <w:r w:rsidRPr="00984565">
        <w:rPr>
          <w:rFonts w:eastAsia="Calibri"/>
          <w:lang w:eastAsia="en-US"/>
        </w:rPr>
        <w:t>81/13., 113/16., 69/17.</w:t>
      </w:r>
      <w:r w:rsidR="00D73764">
        <w:rPr>
          <w:rFonts w:eastAsia="Calibri"/>
          <w:lang w:eastAsia="en-US"/>
        </w:rPr>
        <w:t xml:space="preserve">, </w:t>
      </w:r>
      <w:r w:rsidRPr="00984565">
        <w:rPr>
          <w:rFonts w:eastAsia="Calibri"/>
          <w:lang w:eastAsia="en-US"/>
        </w:rPr>
        <w:t>29/18.</w:t>
      </w:r>
      <w:r w:rsidR="00D73764">
        <w:rPr>
          <w:rFonts w:eastAsia="Calibri"/>
          <w:lang w:eastAsia="en-US"/>
        </w:rPr>
        <w:t xml:space="preserve"> 53/20., 119/20.</w:t>
      </w:r>
      <w:r w:rsidR="005149FA" w:rsidRPr="005149FA">
        <w:t xml:space="preserve"> </w:t>
      </w:r>
      <w:r w:rsidR="005149FA" w:rsidRPr="00984565">
        <w:rPr>
          <w:rFonts w:eastAsia="Calibri"/>
          <w:lang w:eastAsia="en-US"/>
        </w:rPr>
        <w:t>-</w:t>
      </w:r>
      <w:r w:rsidR="005149FA">
        <w:rPr>
          <w:rFonts w:eastAsia="Calibri"/>
          <w:lang w:eastAsia="en-US"/>
        </w:rPr>
        <w:t xml:space="preserve"> </w:t>
      </w:r>
      <w:r w:rsidR="005149FA">
        <w:t>Odluka Ustavnog suda Republike Hrvatske</w:t>
      </w:r>
      <w:r w:rsidR="00D73764">
        <w:rPr>
          <w:rFonts w:eastAsia="Calibri"/>
          <w:lang w:eastAsia="en-US"/>
        </w:rPr>
        <w:t xml:space="preserve"> i 123/20</w:t>
      </w:r>
      <w:r w:rsidR="00673F8A">
        <w:rPr>
          <w:rFonts w:eastAsia="Calibri"/>
          <w:lang w:eastAsia="en-US"/>
        </w:rPr>
        <w:t>.</w:t>
      </w:r>
      <w:r w:rsidRPr="00984565">
        <w:rPr>
          <w:rFonts w:eastAsia="Calibri"/>
          <w:lang w:eastAsia="en-US"/>
        </w:rPr>
        <w:t xml:space="preserve">), Vlada Republike Hrvatske na Konačni </w:t>
      </w:r>
      <w:r w:rsidR="00522145">
        <w:rPr>
          <w:rFonts w:eastAsia="Calibri"/>
          <w:lang w:eastAsia="en-US"/>
        </w:rPr>
        <w:t xml:space="preserve">prijedlog </w:t>
      </w:r>
      <w:r w:rsidR="005E195E" w:rsidRPr="005E195E">
        <w:rPr>
          <w:rFonts w:eastAsia="Calibri"/>
          <w:lang w:eastAsia="en-US"/>
        </w:rPr>
        <w:t xml:space="preserve">zakona o izmjenama i dopunama </w:t>
      </w:r>
      <w:r w:rsidR="001F4384" w:rsidRPr="001F4384">
        <w:rPr>
          <w:rFonts w:eastAsia="Calibri"/>
          <w:lang w:eastAsia="en-US"/>
        </w:rPr>
        <w:t xml:space="preserve">Zakona o trgovačkim društvima </w:t>
      </w:r>
      <w:r w:rsidRPr="00984565">
        <w:rPr>
          <w:rFonts w:eastAsia="Calibri"/>
          <w:lang w:eastAsia="en-US"/>
        </w:rPr>
        <w:t>podnosi sljedeć</w:t>
      </w:r>
      <w:r w:rsidR="00701679">
        <w:rPr>
          <w:rFonts w:eastAsia="Calibri"/>
          <w:lang w:eastAsia="en-US"/>
        </w:rPr>
        <w:t>i</w:t>
      </w:r>
    </w:p>
    <w:p w:rsidR="00701679" w:rsidRDefault="00701679" w:rsidP="00701679">
      <w:pPr>
        <w:tabs>
          <w:tab w:val="center" w:pos="4513"/>
        </w:tabs>
        <w:suppressAutoHyphens/>
        <w:spacing w:after="160"/>
        <w:jc w:val="both"/>
        <w:rPr>
          <w:rFonts w:eastAsia="Calibri"/>
          <w:lang w:eastAsia="en-US"/>
        </w:rPr>
      </w:pPr>
    </w:p>
    <w:p w:rsidR="00984565" w:rsidRDefault="00984565" w:rsidP="00701679">
      <w:pPr>
        <w:tabs>
          <w:tab w:val="center" w:pos="4513"/>
        </w:tabs>
        <w:suppressAutoHyphens/>
        <w:spacing w:after="160"/>
        <w:jc w:val="center"/>
        <w:rPr>
          <w:b/>
          <w:lang w:eastAsia="en-US"/>
        </w:rPr>
      </w:pPr>
      <w:r w:rsidRPr="00984565">
        <w:rPr>
          <w:b/>
          <w:lang w:eastAsia="en-US"/>
        </w:rPr>
        <w:t>A M A N D M A N</w:t>
      </w:r>
    </w:p>
    <w:p w:rsidR="00701679" w:rsidRDefault="00701679" w:rsidP="00701679">
      <w:pPr>
        <w:tabs>
          <w:tab w:val="center" w:pos="4513"/>
        </w:tabs>
        <w:suppressAutoHyphens/>
        <w:spacing w:after="160"/>
        <w:jc w:val="both"/>
        <w:rPr>
          <w:lang w:eastAsia="en-US"/>
        </w:rPr>
      </w:pPr>
    </w:p>
    <w:p w:rsidR="00701679" w:rsidRDefault="00701679" w:rsidP="00701679">
      <w:pPr>
        <w:numPr>
          <w:ilvl w:val="0"/>
          <w:numId w:val="1"/>
        </w:numPr>
        <w:tabs>
          <w:tab w:val="center" w:pos="4513"/>
        </w:tabs>
        <w:suppressAutoHyphens/>
        <w:spacing w:after="160"/>
        <w:contextualSpacing/>
        <w:jc w:val="both"/>
        <w:rPr>
          <w:bCs/>
          <w:lang w:eastAsia="en-US"/>
        </w:rPr>
      </w:pPr>
      <w:r w:rsidRPr="00701679">
        <w:rPr>
          <w:bCs/>
          <w:lang w:eastAsia="en-US"/>
        </w:rPr>
        <w:t>Dodaju se članci.</w:t>
      </w:r>
    </w:p>
    <w:p w:rsidR="00BD18B9" w:rsidRPr="00701679" w:rsidRDefault="00BD18B9" w:rsidP="00BD18B9">
      <w:pPr>
        <w:tabs>
          <w:tab w:val="center" w:pos="4513"/>
        </w:tabs>
        <w:suppressAutoHyphens/>
        <w:spacing w:after="160"/>
        <w:ind w:left="1080"/>
        <w:contextualSpacing/>
        <w:jc w:val="both"/>
        <w:rPr>
          <w:bCs/>
          <w:lang w:eastAsia="en-US"/>
        </w:rPr>
      </w:pPr>
    </w:p>
    <w:p w:rsidR="00B57AD8" w:rsidRPr="00701679" w:rsidRDefault="00CA538D" w:rsidP="00701679">
      <w:pPr>
        <w:tabs>
          <w:tab w:val="center" w:pos="4513"/>
        </w:tabs>
        <w:suppressAutoHyphens/>
        <w:spacing w:after="160"/>
        <w:ind w:left="1080"/>
        <w:contextualSpacing/>
        <w:jc w:val="both"/>
        <w:rPr>
          <w:bCs/>
          <w:lang w:eastAsia="en-US"/>
        </w:rPr>
      </w:pPr>
      <w:r w:rsidRPr="00290A2F">
        <w:rPr>
          <w:bCs/>
          <w:lang w:eastAsia="en-US"/>
        </w:rPr>
        <w:t>I</w:t>
      </w:r>
      <w:r w:rsidRPr="00701679">
        <w:rPr>
          <w:bCs/>
          <w:lang w:eastAsia="en-US"/>
        </w:rPr>
        <w:t>za članka</w:t>
      </w:r>
      <w:r w:rsidR="00B57AD8" w:rsidRPr="00701679">
        <w:rPr>
          <w:bCs/>
          <w:lang w:eastAsia="en-US"/>
        </w:rPr>
        <w:t xml:space="preserve"> 17</w:t>
      </w:r>
      <w:r w:rsidR="00701679">
        <w:rPr>
          <w:bCs/>
          <w:lang w:eastAsia="en-US"/>
        </w:rPr>
        <w:t>. dodaju se članci 17.</w:t>
      </w:r>
      <w:r w:rsidRPr="00701679">
        <w:rPr>
          <w:bCs/>
          <w:lang w:eastAsia="en-US"/>
        </w:rPr>
        <w:t>a</w:t>
      </w:r>
      <w:r w:rsidR="00701679">
        <w:rPr>
          <w:bCs/>
          <w:lang w:eastAsia="en-US"/>
        </w:rPr>
        <w:t xml:space="preserve"> i 17.b koji glase:</w:t>
      </w:r>
    </w:p>
    <w:p w:rsidR="00F46A6C" w:rsidRPr="00B57AD8" w:rsidRDefault="00F46A6C" w:rsidP="00B57AD8">
      <w:pPr>
        <w:spacing w:line="276" w:lineRule="auto"/>
        <w:ind w:firstLine="708"/>
        <w:jc w:val="both"/>
        <w:rPr>
          <w:rFonts w:eastAsia="Calibri"/>
          <w:lang w:eastAsia="en-US"/>
        </w:rPr>
      </w:pPr>
    </w:p>
    <w:p w:rsidR="00F46A6C" w:rsidRDefault="00B57AD8" w:rsidP="00F46A6C">
      <w:pPr>
        <w:spacing w:line="276" w:lineRule="auto"/>
        <w:jc w:val="center"/>
        <w:rPr>
          <w:rFonts w:eastAsia="Calibri"/>
          <w:lang w:eastAsia="en-US"/>
        </w:rPr>
      </w:pPr>
      <w:r w:rsidRPr="00B57AD8">
        <w:rPr>
          <w:rFonts w:eastAsia="Calibri"/>
          <w:lang w:eastAsia="en-US"/>
        </w:rPr>
        <w:t>„</w:t>
      </w:r>
      <w:r w:rsidR="00F46A6C">
        <w:rPr>
          <w:rFonts w:eastAsia="Calibri"/>
          <w:lang w:eastAsia="en-US"/>
        </w:rPr>
        <w:t>Članak 17.a</w:t>
      </w:r>
    </w:p>
    <w:p w:rsidR="00F46A6C" w:rsidRDefault="00F46A6C" w:rsidP="00F46A6C">
      <w:pPr>
        <w:spacing w:line="276" w:lineRule="auto"/>
        <w:jc w:val="center"/>
        <w:rPr>
          <w:rFonts w:eastAsia="Calibri"/>
          <w:lang w:eastAsia="en-US"/>
        </w:rPr>
      </w:pPr>
    </w:p>
    <w:p w:rsidR="00B57AD8" w:rsidRPr="00B57AD8" w:rsidRDefault="00B57AD8" w:rsidP="00BD18B9">
      <w:pPr>
        <w:spacing w:line="276" w:lineRule="auto"/>
        <w:ind w:firstLine="1416"/>
        <w:jc w:val="both"/>
        <w:rPr>
          <w:rFonts w:eastAsia="Calibri"/>
          <w:lang w:eastAsia="en-US"/>
        </w:rPr>
      </w:pPr>
      <w:r w:rsidRPr="00B57AD8">
        <w:rPr>
          <w:rFonts w:eastAsia="Calibri"/>
          <w:lang w:eastAsia="en-US"/>
        </w:rPr>
        <w:t xml:space="preserve">U </w:t>
      </w:r>
      <w:bookmarkStart w:id="1" w:name="_Hlk120363876"/>
      <w:r w:rsidRPr="00B57AD8">
        <w:rPr>
          <w:rFonts w:eastAsia="Calibri"/>
          <w:lang w:eastAsia="en-US"/>
        </w:rPr>
        <w:t>Zakonu o izmjenama Zakona o trgovačkim d</w:t>
      </w:r>
      <w:r w:rsidR="00BD18B9">
        <w:rPr>
          <w:rFonts w:eastAsia="Calibri"/>
          <w:lang w:eastAsia="en-US"/>
        </w:rPr>
        <w:t xml:space="preserve">ruštvima („Narodne novine“, broj </w:t>
      </w:r>
      <w:r w:rsidRPr="00B57AD8">
        <w:rPr>
          <w:rFonts w:eastAsia="Calibri"/>
          <w:lang w:eastAsia="en-US"/>
        </w:rPr>
        <w:t>114/22.)</w:t>
      </w:r>
      <w:bookmarkEnd w:id="1"/>
      <w:r w:rsidRPr="00B57AD8">
        <w:rPr>
          <w:rFonts w:eastAsia="Calibri"/>
          <w:lang w:eastAsia="en-US"/>
        </w:rPr>
        <w:t xml:space="preserve"> u članku 21. stavak 3. mijenja se i glasi:</w:t>
      </w:r>
    </w:p>
    <w:p w:rsidR="00B57AD8" w:rsidRPr="00B57AD8" w:rsidRDefault="00B57AD8" w:rsidP="00B57AD8">
      <w:pPr>
        <w:spacing w:line="276" w:lineRule="auto"/>
        <w:jc w:val="both"/>
        <w:rPr>
          <w:rFonts w:eastAsia="Calibri"/>
          <w:lang w:eastAsia="en-US"/>
        </w:rPr>
      </w:pPr>
    </w:p>
    <w:p w:rsidR="00B57AD8" w:rsidRPr="00B57AD8" w:rsidRDefault="00B57AD8" w:rsidP="00BD18B9">
      <w:pPr>
        <w:spacing w:line="276" w:lineRule="auto"/>
        <w:jc w:val="both"/>
        <w:rPr>
          <w:rFonts w:eastAsia="Calibri"/>
          <w:lang w:eastAsia="en-US"/>
        </w:rPr>
      </w:pPr>
      <w:r w:rsidRPr="00B57AD8">
        <w:rPr>
          <w:rFonts w:eastAsia="Calibri"/>
          <w:lang w:eastAsia="en-US"/>
        </w:rPr>
        <w:t>„(3) Društva s ograničenom odgovornošću iz stavka 1. ovoga članka dužna su uskladiti iznose temeljnog kapitala i dijelove tog kapitala koji se odnose na pojedine poslovne udjele s odredbama članka 389. koji je izmijenjen člankom 12. ovoga Zakona, članka 390. koji je izmijenjen člankom 13. ovoga Zakona, članka 390.a koji je izmijenjen člankom 14. ovoga Zakona i članka 445. koji je izmijenjen člankom 16. ovoga Zakona. Obveza usklađenja nije ograničena rokom, ali se ono mora provesti prilikom prve promjene izjave o osnivanju odnosno društvenog ugovora, statusne promjene društva ili promjene nekog od poslovnih udjela u društvu. Usklađenje mora obuhvatiti temeljni kapital i sve poslovne udjele društva.“.</w:t>
      </w:r>
    </w:p>
    <w:p w:rsidR="00B57AD8" w:rsidRPr="00B57AD8" w:rsidRDefault="00B57AD8" w:rsidP="00B57AD8">
      <w:pPr>
        <w:spacing w:line="276" w:lineRule="auto"/>
        <w:jc w:val="both"/>
        <w:rPr>
          <w:rFonts w:eastAsia="Calibri"/>
          <w:lang w:eastAsia="en-US"/>
        </w:rPr>
      </w:pPr>
    </w:p>
    <w:p w:rsidR="00B57AD8" w:rsidRPr="00B57AD8" w:rsidRDefault="00B57AD8" w:rsidP="00BD18B9">
      <w:pPr>
        <w:spacing w:line="276" w:lineRule="auto"/>
        <w:ind w:firstLine="1416"/>
        <w:jc w:val="both"/>
        <w:rPr>
          <w:rFonts w:eastAsia="Calibri"/>
          <w:lang w:eastAsia="en-US"/>
        </w:rPr>
      </w:pPr>
      <w:r w:rsidRPr="00B57AD8">
        <w:rPr>
          <w:rFonts w:eastAsia="Calibri"/>
          <w:lang w:eastAsia="en-US"/>
        </w:rPr>
        <w:t xml:space="preserve">U stavku 4. </w:t>
      </w:r>
      <w:r w:rsidR="00BD18B9">
        <w:rPr>
          <w:rFonts w:eastAsia="Calibri"/>
          <w:lang w:eastAsia="en-US"/>
        </w:rPr>
        <w:t>iza šeste rečenice dodaje se r</w:t>
      </w:r>
      <w:r w:rsidRPr="00B57AD8">
        <w:rPr>
          <w:rFonts w:eastAsia="Calibri"/>
          <w:lang w:eastAsia="en-US"/>
        </w:rPr>
        <w:t>ečenica koja glasi: „Odluka o usklađenju ujedno ima učinak odgovarajuće odluke o izmjeni temeljnog kapitala te odluke o izmjeni statuta dioničkog društva, odnosno izmjene društvenog ugovora ili izjave o osnivanju društva s ograničenom odgovornošću.“.</w:t>
      </w:r>
    </w:p>
    <w:p w:rsidR="00B57AD8" w:rsidRPr="00B57AD8" w:rsidRDefault="00B57AD8" w:rsidP="00B57AD8">
      <w:pPr>
        <w:spacing w:line="276" w:lineRule="auto"/>
        <w:jc w:val="both"/>
        <w:rPr>
          <w:rFonts w:eastAsia="Calibri"/>
          <w:lang w:eastAsia="en-US"/>
        </w:rPr>
      </w:pPr>
    </w:p>
    <w:p w:rsidR="00F46A6C" w:rsidRDefault="00B57AD8" w:rsidP="00BD18B9">
      <w:pPr>
        <w:spacing w:line="276" w:lineRule="auto"/>
        <w:ind w:left="708" w:firstLine="708"/>
        <w:jc w:val="both"/>
        <w:rPr>
          <w:rFonts w:eastAsia="Calibri"/>
          <w:lang w:eastAsia="en-US"/>
        </w:rPr>
      </w:pPr>
      <w:r w:rsidRPr="00B57AD8">
        <w:rPr>
          <w:rFonts w:eastAsia="Calibri"/>
          <w:lang w:eastAsia="en-US"/>
        </w:rPr>
        <w:lastRenderedPageBreak/>
        <w:t xml:space="preserve">Stavak 11. briše se. </w:t>
      </w:r>
    </w:p>
    <w:p w:rsidR="00BD18B9" w:rsidRDefault="00BD18B9" w:rsidP="00BD18B9">
      <w:pPr>
        <w:spacing w:line="276" w:lineRule="auto"/>
        <w:ind w:left="708" w:firstLine="708"/>
        <w:jc w:val="both"/>
        <w:rPr>
          <w:rFonts w:eastAsia="Calibri"/>
          <w:lang w:eastAsia="en-US"/>
        </w:rPr>
      </w:pPr>
    </w:p>
    <w:p w:rsidR="00B57AD8" w:rsidRPr="00B57AD8" w:rsidRDefault="00B57AD8" w:rsidP="00BD18B9">
      <w:pPr>
        <w:spacing w:line="276" w:lineRule="auto"/>
        <w:ind w:left="708" w:firstLine="708"/>
        <w:jc w:val="both"/>
        <w:rPr>
          <w:rFonts w:eastAsia="Calibri"/>
          <w:lang w:eastAsia="en-US"/>
        </w:rPr>
      </w:pPr>
      <w:r w:rsidRPr="00B57AD8">
        <w:rPr>
          <w:rFonts w:eastAsia="Calibri"/>
          <w:lang w:eastAsia="en-US"/>
        </w:rPr>
        <w:t>Dosadašnji stavci 12., 13. i 14. postaju stavci 11., 12. i 13.</w:t>
      </w:r>
    </w:p>
    <w:p w:rsidR="00BD18B9" w:rsidRDefault="00BD18B9" w:rsidP="00BD18B9">
      <w:pPr>
        <w:spacing w:line="276" w:lineRule="auto"/>
        <w:rPr>
          <w:rFonts w:eastAsia="Calibri"/>
          <w:lang w:eastAsia="en-US"/>
        </w:rPr>
      </w:pPr>
    </w:p>
    <w:p w:rsidR="00F46A6C" w:rsidRDefault="00F46A6C" w:rsidP="00BD18B9">
      <w:pPr>
        <w:spacing w:line="276" w:lineRule="auto"/>
        <w:jc w:val="center"/>
        <w:rPr>
          <w:rFonts w:eastAsia="Calibri"/>
          <w:lang w:eastAsia="en-US"/>
        </w:rPr>
      </w:pPr>
      <w:r>
        <w:rPr>
          <w:rFonts w:eastAsia="Calibri"/>
          <w:lang w:eastAsia="en-US"/>
        </w:rPr>
        <w:t>Članak 17.b</w:t>
      </w:r>
    </w:p>
    <w:p w:rsidR="00F46A6C" w:rsidRDefault="00F46A6C" w:rsidP="00F46A6C">
      <w:pPr>
        <w:spacing w:line="276" w:lineRule="auto"/>
        <w:ind w:firstLine="360"/>
        <w:jc w:val="center"/>
        <w:rPr>
          <w:rFonts w:eastAsia="Calibri"/>
          <w:lang w:eastAsia="en-US"/>
        </w:rPr>
      </w:pPr>
    </w:p>
    <w:p w:rsidR="00B57AD8" w:rsidRDefault="00B57AD8" w:rsidP="00BD18B9">
      <w:pPr>
        <w:spacing w:line="276" w:lineRule="auto"/>
        <w:ind w:firstLine="1416"/>
        <w:jc w:val="both"/>
        <w:rPr>
          <w:rFonts w:eastAsia="Calibri"/>
          <w:lang w:eastAsia="en-US"/>
        </w:rPr>
      </w:pPr>
      <w:r w:rsidRPr="00B57AD8">
        <w:rPr>
          <w:rFonts w:eastAsia="Calibri"/>
          <w:lang w:eastAsia="en-US"/>
        </w:rPr>
        <w:t>U Zakonu o izmjenama Zakona o trgovačkim d</w:t>
      </w:r>
      <w:r w:rsidR="00BD18B9">
        <w:rPr>
          <w:rFonts w:eastAsia="Calibri"/>
          <w:lang w:eastAsia="en-US"/>
        </w:rPr>
        <w:t xml:space="preserve">ruštvima („Narodne novine“, broj </w:t>
      </w:r>
      <w:r w:rsidRPr="00B57AD8">
        <w:rPr>
          <w:rFonts w:eastAsia="Calibri"/>
          <w:lang w:eastAsia="en-US"/>
        </w:rPr>
        <w:t>114/22.) u članku 22. stavak 2. mijenja se i glasi:</w:t>
      </w:r>
    </w:p>
    <w:p w:rsidR="00BD18B9" w:rsidRPr="00B57AD8" w:rsidRDefault="00BD18B9" w:rsidP="00BD18B9">
      <w:pPr>
        <w:spacing w:line="276" w:lineRule="auto"/>
        <w:ind w:firstLine="1416"/>
        <w:jc w:val="both"/>
        <w:rPr>
          <w:rFonts w:eastAsia="Calibri"/>
          <w:lang w:eastAsia="en-US"/>
        </w:rPr>
      </w:pPr>
    </w:p>
    <w:p w:rsidR="00B57AD8" w:rsidRPr="00B57AD8" w:rsidRDefault="00B57AD8" w:rsidP="00BD18B9">
      <w:pPr>
        <w:spacing w:line="276" w:lineRule="auto"/>
        <w:jc w:val="both"/>
        <w:rPr>
          <w:rFonts w:eastAsia="Calibri"/>
          <w:lang w:eastAsia="en-US"/>
        </w:rPr>
      </w:pPr>
      <w:r w:rsidRPr="00B57AD8">
        <w:rPr>
          <w:rFonts w:eastAsia="Calibri"/>
          <w:lang w:eastAsia="en-US"/>
        </w:rPr>
        <w:t xml:space="preserve">„(2) Članovi komanditnog društva dužni su uskladiti društveni ugovor tako da se iznosi uloga komanditora zaokruže na cijele brojeve eura, te podnijeti odgovarajuću prijavu registarskom sudu radi upisa izmjene društvenog ugovora i upisa iznosa uloga komanditora. Obveza usklađenja nije ograničena rokom, ali se ono mora provesti prilikom prve </w:t>
      </w:r>
      <w:r w:rsidR="00BD18B9">
        <w:rPr>
          <w:rFonts w:eastAsia="Calibri"/>
          <w:lang w:eastAsia="en-US"/>
        </w:rPr>
        <w:t>promjene društvenog ugovora.“.</w:t>
      </w:r>
    </w:p>
    <w:p w:rsidR="00B57AD8" w:rsidRPr="00B57AD8" w:rsidRDefault="00B57AD8" w:rsidP="00B57AD8">
      <w:pPr>
        <w:widowControl w:val="0"/>
        <w:tabs>
          <w:tab w:val="left" w:pos="-720"/>
        </w:tabs>
        <w:suppressAutoHyphens/>
        <w:snapToGrid w:val="0"/>
        <w:spacing w:line="276" w:lineRule="auto"/>
        <w:jc w:val="both"/>
        <w:rPr>
          <w:lang w:eastAsia="en-US"/>
        </w:rPr>
      </w:pPr>
    </w:p>
    <w:p w:rsidR="00B57AD8" w:rsidRPr="00B33496" w:rsidRDefault="00B33496" w:rsidP="00B33496">
      <w:pPr>
        <w:widowControl w:val="0"/>
        <w:tabs>
          <w:tab w:val="left" w:pos="-720"/>
        </w:tabs>
        <w:suppressAutoHyphens/>
        <w:snapToGrid w:val="0"/>
        <w:spacing w:line="276" w:lineRule="auto"/>
        <w:rPr>
          <w:bCs/>
          <w:u w:val="single"/>
          <w:lang w:eastAsia="en-US"/>
        </w:rPr>
      </w:pPr>
      <w:r w:rsidRPr="00B33496">
        <w:rPr>
          <w:bCs/>
          <w:lang w:eastAsia="en-US"/>
        </w:rPr>
        <w:tab/>
      </w:r>
      <w:r w:rsidRPr="00B33496">
        <w:rPr>
          <w:bCs/>
          <w:lang w:eastAsia="en-US"/>
        </w:rPr>
        <w:tab/>
      </w:r>
      <w:r w:rsidR="00B57AD8" w:rsidRPr="00B33496">
        <w:rPr>
          <w:bCs/>
          <w:u w:val="single"/>
          <w:lang w:eastAsia="en-US"/>
        </w:rPr>
        <w:t>Obrazloženje</w:t>
      </w:r>
      <w:r>
        <w:rPr>
          <w:bCs/>
          <w:u w:val="single"/>
          <w:lang w:eastAsia="en-US"/>
        </w:rPr>
        <w:t>:</w:t>
      </w:r>
    </w:p>
    <w:p w:rsidR="00B57AD8" w:rsidRDefault="00B57AD8" w:rsidP="00B57AD8">
      <w:pPr>
        <w:widowControl w:val="0"/>
        <w:tabs>
          <w:tab w:val="left" w:pos="-720"/>
        </w:tabs>
        <w:suppressAutoHyphens/>
        <w:snapToGrid w:val="0"/>
        <w:spacing w:line="276" w:lineRule="auto"/>
        <w:jc w:val="both"/>
        <w:rPr>
          <w:lang w:eastAsia="en-US"/>
        </w:rPr>
      </w:pPr>
    </w:p>
    <w:p w:rsidR="00B57AD8" w:rsidRDefault="003A1545" w:rsidP="00B57AD8">
      <w:pPr>
        <w:widowControl w:val="0"/>
        <w:tabs>
          <w:tab w:val="left" w:pos="-720"/>
        </w:tabs>
        <w:suppressAutoHyphens/>
        <w:snapToGrid w:val="0"/>
        <w:spacing w:line="276" w:lineRule="auto"/>
        <w:jc w:val="both"/>
        <w:rPr>
          <w:lang w:eastAsia="en-US"/>
        </w:rPr>
      </w:pPr>
      <w:r>
        <w:rPr>
          <w:lang w:eastAsia="en-US"/>
        </w:rPr>
        <w:tab/>
      </w:r>
      <w:r w:rsidR="00BD18B9">
        <w:rPr>
          <w:lang w:eastAsia="en-US"/>
        </w:rPr>
        <w:tab/>
      </w:r>
      <w:r w:rsidR="00E535A4">
        <w:rPr>
          <w:lang w:eastAsia="en-US"/>
        </w:rPr>
        <w:t>U skladu s odredba</w:t>
      </w:r>
      <w:r w:rsidR="00B57AD8">
        <w:rPr>
          <w:lang w:eastAsia="en-US"/>
        </w:rPr>
        <w:t>m</w:t>
      </w:r>
      <w:r w:rsidR="00E535A4">
        <w:rPr>
          <w:lang w:eastAsia="en-US"/>
        </w:rPr>
        <w:t>a</w:t>
      </w:r>
      <w:r w:rsidR="00B57AD8">
        <w:rPr>
          <w:lang w:eastAsia="en-US"/>
        </w:rPr>
        <w:t xml:space="preserve"> član</w:t>
      </w:r>
      <w:r w:rsidR="00E535A4">
        <w:rPr>
          <w:lang w:eastAsia="en-US"/>
        </w:rPr>
        <w:t>a</w:t>
      </w:r>
      <w:r w:rsidR="00B57AD8">
        <w:rPr>
          <w:lang w:eastAsia="en-US"/>
        </w:rPr>
        <w:t>ka</w:t>
      </w:r>
      <w:r w:rsidR="00E535A4">
        <w:rPr>
          <w:lang w:eastAsia="en-US"/>
        </w:rPr>
        <w:t xml:space="preserve"> 196. i</w:t>
      </w:r>
      <w:r w:rsidR="00B57AD8">
        <w:rPr>
          <w:lang w:eastAsia="en-US"/>
        </w:rPr>
        <w:t xml:space="preserve"> 19</w:t>
      </w:r>
      <w:r w:rsidR="00E510FA">
        <w:rPr>
          <w:lang w:eastAsia="en-US"/>
        </w:rPr>
        <w:t>9.</w:t>
      </w:r>
      <w:r w:rsidR="00B57AD8">
        <w:rPr>
          <w:lang w:eastAsia="en-US"/>
        </w:rPr>
        <w:t xml:space="preserve"> Poslovnika </w:t>
      </w:r>
      <w:r w:rsidR="00BD18B9">
        <w:rPr>
          <w:lang w:eastAsia="en-US"/>
        </w:rPr>
        <w:t xml:space="preserve">Hrvatskoga sabora </w:t>
      </w:r>
      <w:r w:rsidR="00B57AD8">
        <w:rPr>
          <w:lang w:eastAsia="en-US"/>
        </w:rPr>
        <w:t>amandmani se podnos</w:t>
      </w:r>
      <w:r w:rsidR="00E510FA">
        <w:rPr>
          <w:lang w:eastAsia="en-US"/>
        </w:rPr>
        <w:t>e</w:t>
      </w:r>
      <w:r w:rsidR="00B57AD8">
        <w:rPr>
          <w:lang w:eastAsia="en-US"/>
        </w:rPr>
        <w:t xml:space="preserve"> na članke zakona koji nisu obuhvaćeni </w:t>
      </w:r>
      <w:r w:rsidRPr="003A1545">
        <w:rPr>
          <w:lang w:eastAsia="en-US"/>
        </w:rPr>
        <w:t>Konačni</w:t>
      </w:r>
      <w:r>
        <w:rPr>
          <w:lang w:eastAsia="en-US"/>
        </w:rPr>
        <w:t>m</w:t>
      </w:r>
      <w:r w:rsidRPr="003A1545">
        <w:rPr>
          <w:lang w:eastAsia="en-US"/>
        </w:rPr>
        <w:t xml:space="preserve"> prijedlog</w:t>
      </w:r>
      <w:r>
        <w:rPr>
          <w:lang w:eastAsia="en-US"/>
        </w:rPr>
        <w:t>om</w:t>
      </w:r>
      <w:r w:rsidRPr="003A1545">
        <w:rPr>
          <w:lang w:eastAsia="en-US"/>
        </w:rPr>
        <w:t xml:space="preserve"> zakona o izmjenama i dopunama Zakona o trgovačkim društvima, P.Z. br. 417</w:t>
      </w:r>
      <w:r>
        <w:rPr>
          <w:lang w:eastAsia="en-US"/>
        </w:rPr>
        <w:t>. Navedeno je potrebno kako bi proces uvođenja eura (ulazak Republike Hrvatske u eurozonu) što manje administrativno opteretio poduzetnike.</w:t>
      </w:r>
    </w:p>
    <w:p w:rsidR="00B57AD8" w:rsidRPr="00B57AD8" w:rsidRDefault="00B57AD8" w:rsidP="00B57AD8">
      <w:pPr>
        <w:widowControl w:val="0"/>
        <w:tabs>
          <w:tab w:val="left" w:pos="-720"/>
        </w:tabs>
        <w:suppressAutoHyphens/>
        <w:snapToGrid w:val="0"/>
        <w:spacing w:line="276" w:lineRule="auto"/>
        <w:jc w:val="both"/>
        <w:rPr>
          <w:lang w:eastAsia="en-US"/>
        </w:rPr>
      </w:pPr>
    </w:p>
    <w:p w:rsidR="00B57AD8" w:rsidRPr="00B57AD8" w:rsidRDefault="00B57AD8" w:rsidP="00B57AD8">
      <w:pPr>
        <w:widowControl w:val="0"/>
        <w:tabs>
          <w:tab w:val="left" w:pos="-720"/>
        </w:tabs>
        <w:suppressAutoHyphens/>
        <w:snapToGrid w:val="0"/>
        <w:spacing w:line="276" w:lineRule="auto"/>
        <w:jc w:val="both"/>
        <w:rPr>
          <w:lang w:eastAsia="en-US"/>
        </w:rPr>
      </w:pPr>
      <w:r w:rsidRPr="00B57AD8">
        <w:rPr>
          <w:lang w:eastAsia="en-US"/>
        </w:rPr>
        <w:tab/>
      </w:r>
      <w:r w:rsidR="00BD18B9">
        <w:rPr>
          <w:lang w:eastAsia="en-US"/>
        </w:rPr>
        <w:tab/>
      </w:r>
      <w:r w:rsidRPr="00B57AD8">
        <w:rPr>
          <w:lang w:eastAsia="en-US"/>
        </w:rPr>
        <w:t>Amandman</w:t>
      </w:r>
      <w:r w:rsidR="00216E22">
        <w:rPr>
          <w:lang w:eastAsia="en-US"/>
        </w:rPr>
        <w:t>om</w:t>
      </w:r>
      <w:r w:rsidR="00CA538D">
        <w:rPr>
          <w:lang w:eastAsia="en-US"/>
        </w:rPr>
        <w:t xml:space="preserve"> koji</w:t>
      </w:r>
      <w:r w:rsidR="00130DF6">
        <w:rPr>
          <w:lang w:eastAsia="en-US"/>
        </w:rPr>
        <w:t xml:space="preserve"> se dodaje</w:t>
      </w:r>
      <w:bookmarkStart w:id="2" w:name="_GoBack"/>
      <w:bookmarkEnd w:id="2"/>
      <w:r w:rsidR="00CA538D">
        <w:rPr>
          <w:lang w:eastAsia="en-US"/>
        </w:rPr>
        <w:t xml:space="preserve"> iza članka 17.</w:t>
      </w:r>
      <w:r w:rsidR="00C36ED3" w:rsidRPr="00C36ED3">
        <w:t xml:space="preserve"> </w:t>
      </w:r>
      <w:r w:rsidR="00C36ED3" w:rsidRPr="00C36ED3">
        <w:rPr>
          <w:lang w:eastAsia="en-US"/>
        </w:rPr>
        <w:t>Zakona</w:t>
      </w:r>
      <w:r w:rsidR="00BD18B9">
        <w:rPr>
          <w:lang w:eastAsia="en-US"/>
        </w:rPr>
        <w:t xml:space="preserve"> dodaju se članci 17.</w:t>
      </w:r>
      <w:r w:rsidR="00C36ED3">
        <w:rPr>
          <w:lang w:eastAsia="en-US"/>
        </w:rPr>
        <w:t>a i 17.b kojima se</w:t>
      </w:r>
      <w:r w:rsidR="007B5A36">
        <w:rPr>
          <w:lang w:eastAsia="en-US"/>
        </w:rPr>
        <w:t xml:space="preserve"> briše </w:t>
      </w:r>
      <w:r w:rsidRPr="00B57AD8">
        <w:rPr>
          <w:lang w:eastAsia="en-US"/>
        </w:rPr>
        <w:t>rok za usklađenje temeljnog kapitala jednostavnog društva s ograničenom odgovornošću i društva s ograničenom odgovornošću</w:t>
      </w:r>
      <w:r w:rsidRPr="00B57AD8">
        <w:t xml:space="preserve"> </w:t>
      </w:r>
      <w:r w:rsidRPr="00B57AD8">
        <w:rPr>
          <w:lang w:eastAsia="en-US"/>
        </w:rPr>
        <w:t xml:space="preserve">te uloga komanditora u komanditnom društvu. </w:t>
      </w:r>
    </w:p>
    <w:p w:rsidR="00B57AD8" w:rsidRPr="00B57AD8" w:rsidRDefault="00B57AD8" w:rsidP="00B57AD8">
      <w:pPr>
        <w:widowControl w:val="0"/>
        <w:tabs>
          <w:tab w:val="left" w:pos="-720"/>
        </w:tabs>
        <w:suppressAutoHyphens/>
        <w:snapToGrid w:val="0"/>
        <w:spacing w:line="276" w:lineRule="auto"/>
        <w:jc w:val="both"/>
        <w:rPr>
          <w:lang w:eastAsia="en-US"/>
        </w:rPr>
      </w:pPr>
    </w:p>
    <w:p w:rsidR="00B57AD8" w:rsidRPr="00B57AD8" w:rsidRDefault="00B57AD8" w:rsidP="00B57AD8">
      <w:pPr>
        <w:widowControl w:val="0"/>
        <w:tabs>
          <w:tab w:val="left" w:pos="-720"/>
        </w:tabs>
        <w:suppressAutoHyphens/>
        <w:snapToGrid w:val="0"/>
        <w:spacing w:line="276" w:lineRule="auto"/>
        <w:jc w:val="both"/>
        <w:rPr>
          <w:lang w:eastAsia="en-US"/>
        </w:rPr>
      </w:pPr>
      <w:r w:rsidRPr="00B57AD8">
        <w:rPr>
          <w:lang w:eastAsia="en-US"/>
        </w:rPr>
        <w:tab/>
      </w:r>
      <w:r w:rsidR="00BD18B9">
        <w:rPr>
          <w:lang w:eastAsia="en-US"/>
        </w:rPr>
        <w:tab/>
      </w:r>
      <w:r w:rsidRPr="00B57AD8">
        <w:rPr>
          <w:lang w:eastAsia="en-US"/>
        </w:rPr>
        <w:t xml:space="preserve">Predloženim izmjenama Zakona rasterećuje se gospodarstvo troškova koje bi inače moglo imati vezano uz usklađenje temeljnog kapitala, nominalnog iznosa dionica i poslovnih udjela te uloga komanditora sa zahtjevima koji se u pogledu tih iznosa uvode izmjenama Zakona o trgovačkim društvima. Propisujući da je rok za usklađenje u dioničkim društvima godina dana od uvođenja eura kao službene valute Republike Hrvatske dioničkim društvima omogućeno je da odluku o usklađenju donesu na (redovitoj) glavnoj skupštini koju su dužni održati jednom godišnje i u čijem radu sudjeluje javni bilježnik. </w:t>
      </w:r>
    </w:p>
    <w:p w:rsidR="00B57AD8" w:rsidRPr="00B57AD8" w:rsidRDefault="00B57AD8" w:rsidP="00B57AD8">
      <w:pPr>
        <w:widowControl w:val="0"/>
        <w:tabs>
          <w:tab w:val="left" w:pos="-720"/>
        </w:tabs>
        <w:suppressAutoHyphens/>
        <w:snapToGrid w:val="0"/>
        <w:spacing w:line="276" w:lineRule="auto"/>
        <w:jc w:val="both"/>
        <w:rPr>
          <w:lang w:eastAsia="en-US"/>
        </w:rPr>
      </w:pPr>
    </w:p>
    <w:p w:rsidR="00BD18B9" w:rsidRDefault="00B57AD8" w:rsidP="00B57AD8">
      <w:pPr>
        <w:widowControl w:val="0"/>
        <w:tabs>
          <w:tab w:val="left" w:pos="-720"/>
        </w:tabs>
        <w:suppressAutoHyphens/>
        <w:snapToGrid w:val="0"/>
        <w:spacing w:line="276" w:lineRule="auto"/>
        <w:jc w:val="both"/>
        <w:rPr>
          <w:lang w:eastAsia="en-US"/>
        </w:rPr>
      </w:pPr>
      <w:r w:rsidRPr="00B57AD8">
        <w:rPr>
          <w:lang w:eastAsia="en-US"/>
        </w:rPr>
        <w:tab/>
      </w:r>
      <w:r w:rsidR="00BD18B9">
        <w:rPr>
          <w:lang w:eastAsia="en-US"/>
        </w:rPr>
        <w:tab/>
      </w:r>
      <w:r w:rsidRPr="00B57AD8">
        <w:rPr>
          <w:lang w:eastAsia="en-US"/>
        </w:rPr>
        <w:t xml:space="preserve">Za društva s ograničenom odgovornošću isti se učinak ostvaruje tako što se propisuje da se usklađenje mora provesti prilikom prve izmjene društvenog ugovora, statusne promjene ili promjene poslovnog udjela, a kod komanditnog društva tako što se propisuje da se usklađenje mora provesti prilikom prve izmjene društvenog ugovora. Time se postiže da usklađenje ne dovodi ni do kakvog dodatnog troška jer se usklađenje provodi u okviru postupka koji se provodi povodom izmjene društvenog ugovora iz nekog drugog razloga, pa ukupni troškovi odgovaraju onim troškovima koje bi poduzetnici svakako imali, sve kada i ne bi provodili usklađenje. </w:t>
      </w:r>
    </w:p>
    <w:p w:rsidR="00BD18B9" w:rsidRDefault="00BD18B9" w:rsidP="00B57AD8">
      <w:pPr>
        <w:widowControl w:val="0"/>
        <w:tabs>
          <w:tab w:val="left" w:pos="-720"/>
        </w:tabs>
        <w:suppressAutoHyphens/>
        <w:snapToGrid w:val="0"/>
        <w:spacing w:line="276" w:lineRule="auto"/>
        <w:jc w:val="both"/>
        <w:rPr>
          <w:lang w:eastAsia="en-US"/>
        </w:rPr>
      </w:pPr>
    </w:p>
    <w:p w:rsidR="00B57AD8" w:rsidRPr="00B57AD8" w:rsidRDefault="00BD18B9" w:rsidP="00B57AD8">
      <w:pPr>
        <w:widowControl w:val="0"/>
        <w:tabs>
          <w:tab w:val="left" w:pos="-720"/>
        </w:tabs>
        <w:suppressAutoHyphens/>
        <w:snapToGrid w:val="0"/>
        <w:spacing w:line="276" w:lineRule="auto"/>
        <w:jc w:val="both"/>
        <w:rPr>
          <w:lang w:eastAsia="en-US"/>
        </w:rPr>
      </w:pPr>
      <w:r>
        <w:rPr>
          <w:lang w:eastAsia="en-US"/>
        </w:rPr>
        <w:tab/>
      </w:r>
      <w:r>
        <w:rPr>
          <w:lang w:eastAsia="en-US"/>
        </w:rPr>
        <w:tab/>
      </w:r>
      <w:r w:rsidR="00B57AD8" w:rsidRPr="00B57AD8">
        <w:rPr>
          <w:lang w:eastAsia="en-US"/>
        </w:rPr>
        <w:t>Želi li neko trgovačko društvo provesti usklađenje prije bilo koje druge izmjene društvenog ugovora (a za što nema nikakve obveze), to može učiniti o svom trošku.</w:t>
      </w:r>
    </w:p>
    <w:p w:rsidR="00984565" w:rsidRPr="00984565" w:rsidRDefault="00984565" w:rsidP="00984565">
      <w:pPr>
        <w:ind w:left="5103"/>
        <w:jc w:val="center"/>
        <w:rPr>
          <w:rFonts w:eastAsia="Calibri"/>
          <w:lang w:eastAsia="en-US"/>
        </w:rPr>
      </w:pPr>
    </w:p>
    <w:p w:rsidR="00984565" w:rsidRPr="00BD18B9" w:rsidRDefault="00984565" w:rsidP="00984565">
      <w:pPr>
        <w:ind w:left="5103"/>
        <w:jc w:val="center"/>
        <w:rPr>
          <w:rFonts w:eastAsia="Calibri"/>
          <w:lang w:eastAsia="en-US"/>
        </w:rPr>
      </w:pPr>
      <w:r w:rsidRPr="00BD18B9">
        <w:rPr>
          <w:rFonts w:eastAsia="Calibri"/>
          <w:lang w:eastAsia="en-US"/>
        </w:rPr>
        <w:t>PREDSJEDNIK</w:t>
      </w:r>
    </w:p>
    <w:p w:rsidR="000F7061" w:rsidRPr="00984565" w:rsidRDefault="000F7061" w:rsidP="00BD18B9">
      <w:pPr>
        <w:rPr>
          <w:rFonts w:eastAsia="Calibri"/>
          <w:b/>
          <w:lang w:eastAsia="en-US"/>
        </w:rPr>
      </w:pPr>
    </w:p>
    <w:p w:rsidR="000860F7" w:rsidRPr="000820BD" w:rsidRDefault="00984565" w:rsidP="000820BD">
      <w:pPr>
        <w:ind w:left="5103"/>
        <w:jc w:val="center"/>
        <w:rPr>
          <w:rFonts w:eastAsia="Calibri"/>
          <w:lang w:eastAsia="en-US"/>
        </w:rPr>
      </w:pPr>
      <w:r w:rsidRPr="00984565">
        <w:rPr>
          <w:rFonts w:eastAsia="Calibri"/>
          <w:lang w:eastAsia="en-US"/>
        </w:rPr>
        <w:t>mr. sc. Andrej Plenkovi</w:t>
      </w:r>
      <w:r w:rsidR="00AE6524">
        <w:rPr>
          <w:rFonts w:eastAsia="Calibri"/>
          <w:lang w:eastAsia="en-US"/>
        </w:rPr>
        <w:t>ć</w:t>
      </w:r>
    </w:p>
    <w:sectPr w:rsidR="000860F7" w:rsidRPr="000820BD" w:rsidSect="00C664F8">
      <w:footerReference w:type="default" r:id="rId9"/>
      <w:pgSz w:w="11906" w:h="16838"/>
      <w:pgMar w:top="1417" w:right="1417" w:bottom="1417" w:left="1417"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651" w:rsidRDefault="00627651">
      <w:r>
        <w:separator/>
      </w:r>
    </w:p>
  </w:endnote>
  <w:endnote w:type="continuationSeparator" w:id="0">
    <w:p w:rsidR="00627651" w:rsidRDefault="0062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F8" w:rsidRDefault="00C664F8">
    <w:pPr>
      <w:pStyle w:val="Footer"/>
      <w:jc w:val="center"/>
    </w:pPr>
    <w:r>
      <w:fldChar w:fldCharType="begin"/>
    </w:r>
    <w:r>
      <w:instrText>PAGE   \* MERGEFORMAT</w:instrText>
    </w:r>
    <w:r>
      <w:fldChar w:fldCharType="separate"/>
    </w:r>
    <w:r w:rsidR="00130DF6" w:rsidRPr="00130DF6">
      <w:rPr>
        <w:noProof/>
        <w:lang w:val="hr-HR"/>
      </w:rPr>
      <w:t>3</w:t>
    </w:r>
    <w:r>
      <w:fldChar w:fldCharType="end"/>
    </w:r>
  </w:p>
  <w:p w:rsidR="00C664F8" w:rsidRDefault="00C6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651" w:rsidRDefault="00627651">
      <w:r>
        <w:separator/>
      </w:r>
    </w:p>
  </w:footnote>
  <w:footnote w:type="continuationSeparator" w:id="0">
    <w:p w:rsidR="00627651" w:rsidRDefault="00627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07F73"/>
    <w:multiLevelType w:val="hybridMultilevel"/>
    <w:tmpl w:val="CDA81C10"/>
    <w:lvl w:ilvl="0" w:tplc="94D8A3E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FE2"/>
    <w:rsid w:val="00001DF4"/>
    <w:rsid w:val="0000701C"/>
    <w:rsid w:val="00012468"/>
    <w:rsid w:val="00030DC0"/>
    <w:rsid w:val="000642DB"/>
    <w:rsid w:val="00077E77"/>
    <w:rsid w:val="000820BD"/>
    <w:rsid w:val="000860F7"/>
    <w:rsid w:val="000F7061"/>
    <w:rsid w:val="0010784F"/>
    <w:rsid w:val="001118A0"/>
    <w:rsid w:val="00130DF6"/>
    <w:rsid w:val="001F4384"/>
    <w:rsid w:val="00216E22"/>
    <w:rsid w:val="00226AB5"/>
    <w:rsid w:val="00252787"/>
    <w:rsid w:val="00254687"/>
    <w:rsid w:val="00290A2F"/>
    <w:rsid w:val="002F1534"/>
    <w:rsid w:val="00393DE4"/>
    <w:rsid w:val="003A1545"/>
    <w:rsid w:val="003E4978"/>
    <w:rsid w:val="0046134E"/>
    <w:rsid w:val="005149FA"/>
    <w:rsid w:val="00522145"/>
    <w:rsid w:val="00556740"/>
    <w:rsid w:val="00583ACA"/>
    <w:rsid w:val="005B64D6"/>
    <w:rsid w:val="005E195E"/>
    <w:rsid w:val="005F7DF6"/>
    <w:rsid w:val="00627651"/>
    <w:rsid w:val="00673F8A"/>
    <w:rsid w:val="006A0114"/>
    <w:rsid w:val="006C58B8"/>
    <w:rsid w:val="006D472D"/>
    <w:rsid w:val="006F773C"/>
    <w:rsid w:val="00701679"/>
    <w:rsid w:val="00735604"/>
    <w:rsid w:val="0076187B"/>
    <w:rsid w:val="00780A1C"/>
    <w:rsid w:val="007B5A36"/>
    <w:rsid w:val="007C1FE2"/>
    <w:rsid w:val="007D3DF7"/>
    <w:rsid w:val="007F14E4"/>
    <w:rsid w:val="008B728C"/>
    <w:rsid w:val="00922B69"/>
    <w:rsid w:val="009662DD"/>
    <w:rsid w:val="00984565"/>
    <w:rsid w:val="009C0C98"/>
    <w:rsid w:val="009C7AA4"/>
    <w:rsid w:val="00A24D77"/>
    <w:rsid w:val="00A24FFA"/>
    <w:rsid w:val="00A42C7F"/>
    <w:rsid w:val="00A8475A"/>
    <w:rsid w:val="00AA29BE"/>
    <w:rsid w:val="00AD6B2F"/>
    <w:rsid w:val="00AE6524"/>
    <w:rsid w:val="00B33496"/>
    <w:rsid w:val="00B57AD8"/>
    <w:rsid w:val="00BA7ACD"/>
    <w:rsid w:val="00BD18B9"/>
    <w:rsid w:val="00BF445B"/>
    <w:rsid w:val="00C11AA9"/>
    <w:rsid w:val="00C36ED3"/>
    <w:rsid w:val="00C664F8"/>
    <w:rsid w:val="00C76502"/>
    <w:rsid w:val="00C95C67"/>
    <w:rsid w:val="00C96393"/>
    <w:rsid w:val="00CA310A"/>
    <w:rsid w:val="00CA538D"/>
    <w:rsid w:val="00CC7515"/>
    <w:rsid w:val="00D20033"/>
    <w:rsid w:val="00D73764"/>
    <w:rsid w:val="00DB6C0D"/>
    <w:rsid w:val="00E036A9"/>
    <w:rsid w:val="00E32278"/>
    <w:rsid w:val="00E510FA"/>
    <w:rsid w:val="00E525C3"/>
    <w:rsid w:val="00E535A4"/>
    <w:rsid w:val="00E64481"/>
    <w:rsid w:val="00E64664"/>
    <w:rsid w:val="00EF67E2"/>
    <w:rsid w:val="00F46A6C"/>
    <w:rsid w:val="00FA7751"/>
    <w:rsid w:val="00FB6E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7441DB"/>
  <w15:docId w15:val="{97A0D977-038D-4687-B41D-1DC301CD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536"/>
        <w:tab w:val="right" w:pos="9072"/>
      </w:tabs>
    </w:pPr>
    <w:rPr>
      <w:lang w:val="en-US" w:eastAsia="en-US"/>
    </w:rPr>
  </w:style>
  <w:style w:type="character" w:customStyle="1" w:styleId="HeaderChar">
    <w:name w:val="Header Char"/>
    <w:link w:val="Header"/>
    <w:uiPriority w:val="99"/>
    <w:rPr>
      <w:rFonts w:cs="Times New Roman"/>
      <w:sz w:val="24"/>
    </w:rPr>
  </w:style>
  <w:style w:type="paragraph" w:styleId="Footer">
    <w:name w:val="footer"/>
    <w:basedOn w:val="Normal"/>
    <w:link w:val="FooterChar"/>
    <w:uiPriority w:val="99"/>
    <w:pPr>
      <w:tabs>
        <w:tab w:val="center" w:pos="4536"/>
        <w:tab w:val="right" w:pos="9072"/>
      </w:tabs>
    </w:pPr>
    <w:rPr>
      <w:lang w:val="en-US" w:eastAsia="en-US"/>
    </w:rPr>
  </w:style>
  <w:style w:type="character" w:customStyle="1" w:styleId="FooterChar">
    <w:name w:val="Footer Char"/>
    <w:link w:val="Footer"/>
    <w:uiPriority w:val="99"/>
    <w:rPr>
      <w:rFonts w:cs="Times New Roman"/>
      <w:sz w:val="24"/>
    </w:rPr>
  </w:style>
  <w:style w:type="character" w:styleId="CommentReference">
    <w:name w:val="annotation reference"/>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semiHidden/>
    <w:rPr>
      <w:rFonts w:cs="Times New Roman"/>
      <w:sz w:val="20"/>
      <w:szCs w:val="20"/>
      <w:lang w:val="hr-HR" w:eastAsia="hr-HR"/>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Pr>
      <w:rFonts w:cs="Times New Roman"/>
      <w:b/>
      <w:bCs/>
      <w:sz w:val="20"/>
      <w:szCs w:val="20"/>
      <w:lang w:val="hr-HR" w:eastAsia="hr-HR"/>
    </w:rPr>
  </w:style>
  <w:style w:type="paragraph" w:styleId="BalloonText">
    <w:name w:val="Balloon Text"/>
    <w:basedOn w:val="Normal"/>
    <w:link w:val="BalloonTextChar"/>
    <w:semiHidden/>
    <w:rPr>
      <w:rFonts w:ascii="Tahoma" w:eastAsia="Tahoma" w:hAnsi="Tahoma" w:cs="Tahoma"/>
      <w:sz w:val="16"/>
      <w:szCs w:val="16"/>
    </w:rPr>
  </w:style>
  <w:style w:type="character" w:customStyle="1" w:styleId="BalloonTextChar">
    <w:name w:val="Balloon Text Char"/>
    <w:link w:val="BalloonText"/>
    <w:semiHidden/>
    <w:rPr>
      <w:rFonts w:cs="Times New Roman"/>
      <w:sz w:val="2"/>
      <w:lang w:val="hr-HR" w:eastAsia="hr-HR"/>
    </w:rPr>
  </w:style>
  <w:style w:type="paragraph" w:styleId="ListParagraph">
    <w:name w:val="List Paragraph"/>
    <w:basedOn w:val="Normal"/>
    <w:uiPriority w:val="34"/>
    <w:qFormat/>
    <w:rsid w:val="00B57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4FC8-B69F-465E-8E6F-CED23F2C8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754</Words>
  <Characters>4302</Characters>
  <Application>Microsoft Office Word</Application>
  <DocSecurity>0</DocSecurity>
  <Lines>35</Lines>
  <Paragraphs>10</Paragraphs>
  <Slides>-2147483648</Slides>
  <Notes>-2147483648</Notes>
  <HiddenSlides>-2147483648</HiddenSlide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TAJNIŠTVO MINISTARSTVA</vt:lpstr>
      <vt:lpstr>TAJNIŠTVO MINISTARSTVA</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creator>Željko Čvorak</dc:creator>
  <cp:lastModifiedBy>Sanja Duspara</cp:lastModifiedBy>
  <cp:revision>17</cp:revision>
  <cp:lastPrinted>2023-01-18T14:12:00Z</cp:lastPrinted>
  <dcterms:created xsi:type="dcterms:W3CDTF">2023-01-19T06:37:00Z</dcterms:created>
  <dcterms:modified xsi:type="dcterms:W3CDTF">2023-01-19T13:26:00Z</dcterms:modified>
</cp:coreProperties>
</file>