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390" w14:textId="77777777" w:rsidR="001C3CA2" w:rsidRPr="00D270B5" w:rsidRDefault="001C3CA2" w:rsidP="000E3DCF">
      <w:pPr>
        <w:tabs>
          <w:tab w:val="left" w:pos="1418"/>
        </w:tabs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B477A06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302139A8" w14:textId="77777777" w:rsidR="001C3CA2" w:rsidRPr="00D270B5" w:rsidRDefault="001C3CA2" w:rsidP="001C3CA2"/>
    <w:p w14:paraId="05ADB714" w14:textId="77777777" w:rsidR="001C3CA2" w:rsidRPr="00D270B5" w:rsidRDefault="001C3CA2" w:rsidP="001C3CA2"/>
    <w:p w14:paraId="745533F5" w14:textId="77777777" w:rsidR="001C3CA2" w:rsidRPr="00D270B5" w:rsidRDefault="001C3CA2" w:rsidP="001C3CA2"/>
    <w:p w14:paraId="03B738F7" w14:textId="77777777" w:rsidR="001C3CA2" w:rsidRPr="00D270B5" w:rsidRDefault="001C3CA2" w:rsidP="001C3CA2"/>
    <w:p w14:paraId="2711120E" w14:textId="77777777" w:rsidR="001C3CA2" w:rsidRPr="00D270B5" w:rsidRDefault="001C3CA2" w:rsidP="001C3CA2"/>
    <w:p w14:paraId="54EE7103" w14:textId="77777777" w:rsidR="001C3CA2" w:rsidRPr="00D270B5" w:rsidRDefault="001C3CA2" w:rsidP="001C3CA2"/>
    <w:p w14:paraId="5A725655" w14:textId="77777777" w:rsidR="001C3CA2" w:rsidRPr="00D270B5" w:rsidRDefault="001C3CA2" w:rsidP="001C3CA2"/>
    <w:p w14:paraId="6F66D756" w14:textId="77777777" w:rsidR="001C3CA2" w:rsidRPr="00D270B5" w:rsidRDefault="001C3CA2" w:rsidP="001C3CA2"/>
    <w:p w14:paraId="1985E398" w14:textId="39CB8317" w:rsidR="001C3CA2" w:rsidRPr="00D270B5" w:rsidRDefault="001C3CA2" w:rsidP="001C3CA2">
      <w:pPr>
        <w:jc w:val="right"/>
      </w:pPr>
      <w:r>
        <w:t xml:space="preserve">Zagreb, </w:t>
      </w:r>
      <w:r w:rsidR="00EF1D66">
        <w:t xml:space="preserve"> </w:t>
      </w:r>
      <w:r w:rsidR="00C4507A">
        <w:t>13.</w:t>
      </w:r>
      <w:r w:rsidR="00EF1D66">
        <w:t xml:space="preserve"> </w:t>
      </w:r>
      <w:r w:rsidR="00C4507A">
        <w:t>sr</w:t>
      </w:r>
      <w:r w:rsidR="009B76CA">
        <w:t>pnja</w:t>
      </w:r>
      <w:r w:rsidR="006E70D7">
        <w:t xml:space="preserve"> 202</w:t>
      </w:r>
      <w:r w:rsidR="009B76CA">
        <w:t>3</w:t>
      </w:r>
      <w:r w:rsidR="006E70D7">
        <w:t>.</w:t>
      </w:r>
    </w:p>
    <w:p w14:paraId="4078FA29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7C21DCB8" w14:textId="77777777" w:rsidR="001C3CA2" w:rsidRPr="00D270B5" w:rsidRDefault="001C3CA2" w:rsidP="001C3CA2">
      <w:pPr>
        <w:jc w:val="right"/>
      </w:pPr>
    </w:p>
    <w:p w14:paraId="3A1D7947" w14:textId="77777777" w:rsidR="001C3CA2" w:rsidRPr="00D270B5" w:rsidRDefault="001C3CA2" w:rsidP="001C3CA2">
      <w:pPr>
        <w:jc w:val="right"/>
      </w:pPr>
    </w:p>
    <w:p w14:paraId="17C26B24" w14:textId="77777777" w:rsidR="001C3CA2" w:rsidRPr="00D270B5" w:rsidRDefault="001C3CA2" w:rsidP="001C3CA2">
      <w:pPr>
        <w:jc w:val="right"/>
      </w:pPr>
    </w:p>
    <w:p w14:paraId="18950F75" w14:textId="77777777" w:rsidR="001C3CA2" w:rsidRPr="00D270B5" w:rsidRDefault="001C3CA2" w:rsidP="001C3CA2">
      <w:pPr>
        <w:jc w:val="right"/>
      </w:pPr>
    </w:p>
    <w:p w14:paraId="297ECB01" w14:textId="77777777" w:rsidR="001C3CA2" w:rsidRPr="00D270B5" w:rsidRDefault="001C3CA2" w:rsidP="001C3CA2">
      <w:pPr>
        <w:jc w:val="right"/>
      </w:pPr>
    </w:p>
    <w:p w14:paraId="003EB47E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009EF20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C3CA2" w:rsidRPr="00D270B5" w14:paraId="79F2F79E" w14:textId="77777777" w:rsidTr="0091100C">
        <w:tc>
          <w:tcPr>
            <w:tcW w:w="1951" w:type="dxa"/>
          </w:tcPr>
          <w:p w14:paraId="6CB8EA56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0D02D8FF" w14:textId="77777777" w:rsidR="001C3CA2" w:rsidRPr="00D270B5" w:rsidRDefault="001C3CA2" w:rsidP="006E70D7"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414B6F26" w14:textId="77777777" w:rsidR="001C3CA2" w:rsidRPr="00D270B5" w:rsidRDefault="001C3CA2" w:rsidP="0091100C">
            <w:pPr>
              <w:jc w:val="both"/>
            </w:pPr>
          </w:p>
          <w:p w14:paraId="05F3EDB5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79125172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ECB75BA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C3CA2" w:rsidRPr="00D270B5" w14:paraId="678CA085" w14:textId="77777777" w:rsidTr="0091100C">
        <w:tc>
          <w:tcPr>
            <w:tcW w:w="1951" w:type="dxa"/>
          </w:tcPr>
          <w:p w14:paraId="6E704F63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5A27B9A" w14:textId="77777777" w:rsidR="001C3CA2" w:rsidRPr="00D270B5" w:rsidRDefault="001C3CA2" w:rsidP="006E70D7"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256CBFDA" w14:textId="77777777" w:rsidR="001C3CA2" w:rsidRPr="00D270B5" w:rsidRDefault="001C3CA2" w:rsidP="0091100C">
            <w:pPr>
              <w:jc w:val="both"/>
            </w:pPr>
          </w:p>
          <w:p w14:paraId="5808E02A" w14:textId="276249AE" w:rsidR="001C3CA2" w:rsidRPr="005E3A0D" w:rsidRDefault="006E70D7" w:rsidP="0091100C">
            <w:pPr>
              <w:jc w:val="both"/>
              <w:rPr>
                <w:i/>
              </w:rPr>
            </w:pPr>
            <w:r>
              <w:t>Godišnje izvješće o radu Agencije za zaštitu osobnih podataka za razdoblje od 1. siječnja do 31. prosinca 202</w:t>
            </w:r>
            <w:r w:rsidR="009B76CA">
              <w:t>2</w:t>
            </w:r>
            <w:r w:rsidR="00904384">
              <w:t xml:space="preserve">. godine </w:t>
            </w:r>
            <w:r>
              <w:t>– mišljenje Vlade</w:t>
            </w:r>
            <w:r w:rsidR="009B76CA">
              <w:t xml:space="preserve"> Republike Hrvatske</w:t>
            </w:r>
          </w:p>
        </w:tc>
      </w:tr>
    </w:tbl>
    <w:p w14:paraId="18F6F26C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t>__________________________________________________________________________</w:t>
      </w:r>
    </w:p>
    <w:p w14:paraId="54BEE67C" w14:textId="77777777" w:rsidR="001C3CA2" w:rsidRPr="00D270B5" w:rsidRDefault="001C3CA2" w:rsidP="001C3CA2"/>
    <w:p w14:paraId="13730951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2DC8AD" w14:textId="45B01D8A" w:rsidR="006E70D7" w:rsidRPr="006E70D7" w:rsidRDefault="006E70D7" w:rsidP="006E70D7">
      <w:pPr>
        <w:spacing w:line="259" w:lineRule="auto"/>
        <w:ind w:right="85"/>
        <w:rPr>
          <w:color w:val="000000"/>
          <w:szCs w:val="22"/>
        </w:rPr>
      </w:pPr>
    </w:p>
    <w:p w14:paraId="462D764C" w14:textId="67725167" w:rsidR="006E70D7" w:rsidRPr="00904384" w:rsidRDefault="00904384" w:rsidP="00904384">
      <w:pPr>
        <w:spacing w:line="265" w:lineRule="auto"/>
        <w:ind w:left="10" w:right="135" w:hanging="10"/>
        <w:jc w:val="right"/>
        <w:rPr>
          <w:i/>
          <w:color w:val="000000"/>
          <w:szCs w:val="22"/>
        </w:rPr>
      </w:pPr>
      <w:r w:rsidRPr="00904384">
        <w:rPr>
          <w:i/>
          <w:color w:val="000000"/>
          <w:szCs w:val="22"/>
        </w:rPr>
        <w:t>PRIJEDLOG</w:t>
      </w:r>
    </w:p>
    <w:p w14:paraId="5920129B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3E76ABB6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69A63211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KLASA: </w:t>
      </w:r>
    </w:p>
    <w:p w14:paraId="27DBA4EC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URBROJ: </w:t>
      </w:r>
    </w:p>
    <w:p w14:paraId="2D59BE0B" w14:textId="77777777" w:rsidR="00904384" w:rsidRDefault="00904384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</w:p>
    <w:p w14:paraId="3052B70B" w14:textId="78BDF574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Zagreb, </w:t>
      </w:r>
      <w:r w:rsidR="00904384">
        <w:rPr>
          <w:color w:val="000000"/>
          <w:szCs w:val="22"/>
        </w:rPr>
        <w:tab/>
      </w:r>
    </w:p>
    <w:p w14:paraId="7044FB82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21719441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1D5135FE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  <w:r w:rsidRPr="006E70D7">
        <w:rPr>
          <w:b/>
          <w:color w:val="000000"/>
          <w:szCs w:val="22"/>
        </w:rPr>
        <w:tab/>
        <w:t xml:space="preserve"> 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</w:p>
    <w:p w14:paraId="4F91037A" w14:textId="77777777" w:rsidR="006E70D7" w:rsidRPr="006E70D7" w:rsidRDefault="006E70D7" w:rsidP="006E70D7">
      <w:pPr>
        <w:tabs>
          <w:tab w:val="center" w:pos="1276"/>
          <w:tab w:val="center" w:pos="2126"/>
          <w:tab w:val="center" w:pos="2832"/>
          <w:tab w:val="center" w:pos="3542"/>
          <w:tab w:val="center" w:pos="6614"/>
        </w:tabs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  <w:r w:rsidRPr="006E70D7">
        <w:rPr>
          <w:b/>
          <w:color w:val="000000"/>
          <w:szCs w:val="22"/>
        </w:rPr>
        <w:tab/>
        <w:t xml:space="preserve"> 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PREDSJEDNIKU HRVATSKOGA SABORA </w:t>
      </w:r>
    </w:p>
    <w:p w14:paraId="093F2DA0" w14:textId="77777777" w:rsidR="006E70D7" w:rsidRPr="006E70D7" w:rsidRDefault="006E70D7" w:rsidP="006E70D7">
      <w:pPr>
        <w:spacing w:line="259" w:lineRule="auto"/>
        <w:ind w:right="514"/>
        <w:jc w:val="center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57C5FF7B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61E6FFE7" w14:textId="77777777" w:rsidR="006E70D7" w:rsidRPr="006E70D7" w:rsidRDefault="006E70D7" w:rsidP="006E70D7">
      <w:pPr>
        <w:spacing w:after="20"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75F4222C" w14:textId="4B690971" w:rsidR="006E70D7" w:rsidRPr="006E70D7" w:rsidRDefault="006E70D7" w:rsidP="00904384">
      <w:pPr>
        <w:tabs>
          <w:tab w:val="left" w:pos="1418"/>
        </w:tabs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PREDMET:</w:t>
      </w:r>
      <w:r>
        <w:rPr>
          <w:color w:val="000000"/>
          <w:szCs w:val="22"/>
        </w:rPr>
        <w:tab/>
      </w:r>
      <w:r w:rsidRPr="006E70D7">
        <w:rPr>
          <w:color w:val="000000"/>
          <w:szCs w:val="22"/>
        </w:rPr>
        <w:t xml:space="preserve">Godišnje izvješće o radu Agencije za zaštitu osobnih podataka za razdoblje od </w:t>
      </w:r>
    </w:p>
    <w:p w14:paraId="31CFE959" w14:textId="072AD430" w:rsidR="006E70D7" w:rsidRPr="006E70D7" w:rsidRDefault="006E70D7" w:rsidP="00904384">
      <w:pPr>
        <w:spacing w:after="5" w:line="260" w:lineRule="auto"/>
        <w:ind w:left="720" w:right="134" w:firstLine="72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1. siječnja do 31. prosinca 202</w:t>
      </w:r>
      <w:r w:rsidR="00EF1D66">
        <w:rPr>
          <w:color w:val="000000"/>
          <w:szCs w:val="22"/>
        </w:rPr>
        <w:t>2</w:t>
      </w:r>
      <w:r w:rsidRPr="006E70D7">
        <w:rPr>
          <w:color w:val="000000"/>
          <w:szCs w:val="22"/>
        </w:rPr>
        <w:t xml:space="preserve">. </w:t>
      </w:r>
      <w:r w:rsidR="00904384">
        <w:rPr>
          <w:color w:val="000000"/>
          <w:szCs w:val="22"/>
        </w:rPr>
        <w:t xml:space="preserve">godine </w:t>
      </w:r>
      <w:r w:rsidRPr="006E70D7">
        <w:rPr>
          <w:color w:val="000000"/>
          <w:szCs w:val="22"/>
        </w:rPr>
        <w:t xml:space="preserve">- mišljenje Vlade </w:t>
      </w:r>
    </w:p>
    <w:p w14:paraId="1037BC73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45453555" w14:textId="5974E683" w:rsidR="006E70D7" w:rsidRPr="006E70D7" w:rsidRDefault="006E70D7" w:rsidP="00904384">
      <w:pPr>
        <w:tabs>
          <w:tab w:val="left" w:pos="1418"/>
          <w:tab w:val="right" w:pos="9219"/>
        </w:tabs>
        <w:spacing w:after="5" w:line="260" w:lineRule="auto"/>
        <w:ind w:left="-15"/>
        <w:rPr>
          <w:color w:val="000000"/>
          <w:szCs w:val="22"/>
        </w:rPr>
      </w:pPr>
      <w:r w:rsidRPr="006E70D7">
        <w:rPr>
          <w:color w:val="000000"/>
          <w:szCs w:val="22"/>
        </w:rPr>
        <w:t>Veza:</w:t>
      </w:r>
      <w:r w:rsidR="00904384">
        <w:rPr>
          <w:color w:val="000000"/>
          <w:szCs w:val="22"/>
        </w:rPr>
        <w:tab/>
      </w:r>
      <w:r w:rsidRPr="006E70D7">
        <w:rPr>
          <w:color w:val="000000"/>
          <w:szCs w:val="22"/>
        </w:rPr>
        <w:t xml:space="preserve">Pismo Hrvatskoga sabora, KLASA: </w:t>
      </w:r>
      <w:r w:rsidR="00EF1D66">
        <w:rPr>
          <w:color w:val="000000"/>
          <w:szCs w:val="22"/>
        </w:rPr>
        <w:t>021-03/23-09/18</w:t>
      </w:r>
      <w:r w:rsidRPr="006E70D7">
        <w:rPr>
          <w:color w:val="000000"/>
          <w:szCs w:val="22"/>
        </w:rPr>
        <w:t xml:space="preserve">, URBROJ: </w:t>
      </w:r>
      <w:r w:rsidR="00EF1D66">
        <w:rPr>
          <w:color w:val="000000"/>
          <w:szCs w:val="22"/>
        </w:rPr>
        <w:t>65-23-03</w:t>
      </w:r>
      <w:r w:rsidRPr="006E70D7">
        <w:rPr>
          <w:color w:val="000000"/>
          <w:szCs w:val="22"/>
        </w:rPr>
        <w:t xml:space="preserve">, od </w:t>
      </w:r>
    </w:p>
    <w:p w14:paraId="0B1BE881" w14:textId="18775B85" w:rsidR="006E70D7" w:rsidRPr="006E70D7" w:rsidRDefault="00DF1067" w:rsidP="00904384">
      <w:pPr>
        <w:spacing w:after="5" w:line="260" w:lineRule="auto"/>
        <w:ind w:left="720" w:right="134" w:firstLine="698"/>
        <w:jc w:val="both"/>
        <w:rPr>
          <w:color w:val="000000"/>
          <w:szCs w:val="22"/>
        </w:rPr>
      </w:pPr>
      <w:r>
        <w:rPr>
          <w:color w:val="000000"/>
          <w:szCs w:val="22"/>
        </w:rPr>
        <w:t>30</w:t>
      </w:r>
      <w:r w:rsidR="006E70D7" w:rsidRPr="006E70D7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ožujka</w:t>
      </w:r>
      <w:r w:rsidR="006E70D7" w:rsidRPr="006E70D7">
        <w:rPr>
          <w:color w:val="000000"/>
          <w:szCs w:val="22"/>
        </w:rPr>
        <w:t xml:space="preserve"> 202</w:t>
      </w:r>
      <w:r w:rsidR="00EF1D66">
        <w:rPr>
          <w:color w:val="000000"/>
          <w:szCs w:val="22"/>
        </w:rPr>
        <w:t>3</w:t>
      </w:r>
      <w:r w:rsidR="006E70D7" w:rsidRPr="006E70D7">
        <w:rPr>
          <w:color w:val="000000"/>
          <w:szCs w:val="22"/>
        </w:rPr>
        <w:t xml:space="preserve">.  </w:t>
      </w:r>
    </w:p>
    <w:p w14:paraId="48B3628C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24D86BDA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49185564" w14:textId="6366C22A" w:rsidR="006E70D7" w:rsidRPr="006E70D7" w:rsidRDefault="00904384" w:rsidP="00904384">
      <w:pPr>
        <w:spacing w:line="265" w:lineRule="auto"/>
        <w:ind w:right="135"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="006E70D7" w:rsidRPr="006E70D7">
        <w:rPr>
          <w:color w:val="000000"/>
          <w:szCs w:val="22"/>
        </w:rPr>
        <w:t>Na temelju članka 122. stavka 2. Poslovnika Hrvatskoga sabora (</w:t>
      </w:r>
      <w:r>
        <w:rPr>
          <w:color w:val="000000"/>
          <w:szCs w:val="22"/>
        </w:rPr>
        <w:t>„</w:t>
      </w:r>
      <w:r w:rsidR="006E70D7" w:rsidRPr="006E70D7">
        <w:rPr>
          <w:color w:val="000000"/>
          <w:szCs w:val="22"/>
        </w:rPr>
        <w:t>Narodne novine</w:t>
      </w:r>
      <w:r>
        <w:rPr>
          <w:color w:val="000000"/>
          <w:szCs w:val="22"/>
        </w:rPr>
        <w:t>“</w:t>
      </w:r>
      <w:r w:rsidR="006E70D7" w:rsidRPr="006E70D7">
        <w:rPr>
          <w:color w:val="000000"/>
          <w:szCs w:val="22"/>
        </w:rPr>
        <w:t>, br. 81/13</w:t>
      </w:r>
      <w:r>
        <w:rPr>
          <w:color w:val="000000"/>
          <w:szCs w:val="22"/>
        </w:rPr>
        <w:t>.</w:t>
      </w:r>
      <w:r w:rsidR="006E70D7" w:rsidRPr="006E70D7">
        <w:rPr>
          <w:color w:val="000000"/>
          <w:szCs w:val="22"/>
        </w:rPr>
        <w:t>, 113/16</w:t>
      </w:r>
      <w:r>
        <w:rPr>
          <w:color w:val="000000"/>
          <w:szCs w:val="22"/>
        </w:rPr>
        <w:t>.</w:t>
      </w:r>
      <w:r w:rsidR="006E70D7" w:rsidRPr="006E70D7">
        <w:rPr>
          <w:color w:val="000000"/>
          <w:szCs w:val="22"/>
        </w:rPr>
        <w:t>, 69/17</w:t>
      </w:r>
      <w:r>
        <w:rPr>
          <w:color w:val="000000"/>
          <w:szCs w:val="22"/>
        </w:rPr>
        <w:t>.</w:t>
      </w:r>
      <w:r w:rsidR="006E70D7" w:rsidRPr="006E70D7">
        <w:rPr>
          <w:color w:val="000000"/>
          <w:szCs w:val="22"/>
        </w:rPr>
        <w:t>, 29/18</w:t>
      </w:r>
      <w:r>
        <w:rPr>
          <w:color w:val="000000"/>
          <w:szCs w:val="22"/>
        </w:rPr>
        <w:t>.</w:t>
      </w:r>
      <w:r w:rsidR="006E70D7">
        <w:rPr>
          <w:color w:val="000000"/>
          <w:szCs w:val="22"/>
        </w:rPr>
        <w:t xml:space="preserve">, </w:t>
      </w:r>
      <w:r w:rsidR="006E70D7" w:rsidRPr="006E70D7">
        <w:rPr>
          <w:color w:val="000000"/>
          <w:szCs w:val="22"/>
        </w:rPr>
        <w:t>53/20</w:t>
      </w:r>
      <w:r>
        <w:rPr>
          <w:color w:val="000000"/>
          <w:szCs w:val="22"/>
        </w:rPr>
        <w:t>.</w:t>
      </w:r>
      <w:r w:rsidR="006E70D7">
        <w:rPr>
          <w:color w:val="000000"/>
          <w:szCs w:val="22"/>
        </w:rPr>
        <w:t>, 119/20</w:t>
      </w:r>
      <w:r>
        <w:rPr>
          <w:color w:val="000000"/>
          <w:szCs w:val="22"/>
        </w:rPr>
        <w:t>.</w:t>
      </w:r>
      <w:r w:rsidR="006E70D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– Odluka Ustavnog suda Republike Hrvatske </w:t>
      </w:r>
      <w:r w:rsidR="006E70D7">
        <w:rPr>
          <w:color w:val="000000"/>
          <w:szCs w:val="22"/>
        </w:rPr>
        <w:t>i 123/20</w:t>
      </w:r>
      <w:r>
        <w:rPr>
          <w:color w:val="000000"/>
          <w:szCs w:val="22"/>
        </w:rPr>
        <w:t>.</w:t>
      </w:r>
      <w:r w:rsidR="006E70D7" w:rsidRPr="006E70D7">
        <w:rPr>
          <w:color w:val="000000"/>
          <w:szCs w:val="22"/>
        </w:rPr>
        <w:t>), Vlada Republike Hrvatske o Godišnjem izvješću o radu Agencije za zaštitu osobnih podataka za razdoblje od 1. siječnja do 31. prosinca 202</w:t>
      </w:r>
      <w:r w:rsidR="00EF1D66">
        <w:rPr>
          <w:color w:val="000000"/>
          <w:szCs w:val="22"/>
        </w:rPr>
        <w:t>2</w:t>
      </w:r>
      <w:r w:rsidR="006E70D7" w:rsidRPr="006E70D7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godine</w:t>
      </w:r>
      <w:r w:rsidR="00AF62BE">
        <w:rPr>
          <w:color w:val="000000"/>
          <w:szCs w:val="22"/>
        </w:rPr>
        <w:t>,</w:t>
      </w:r>
      <w:bookmarkStart w:id="0" w:name="_GoBack"/>
      <w:bookmarkEnd w:id="0"/>
      <w:r>
        <w:rPr>
          <w:color w:val="000000"/>
          <w:szCs w:val="22"/>
        </w:rPr>
        <w:t xml:space="preserve"> </w:t>
      </w:r>
      <w:r w:rsidR="006E70D7" w:rsidRPr="006E70D7">
        <w:rPr>
          <w:color w:val="000000"/>
          <w:szCs w:val="22"/>
        </w:rPr>
        <w:t xml:space="preserve">daje sljedeće </w:t>
      </w:r>
    </w:p>
    <w:p w14:paraId="4590BBD0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00D1C1DC" w14:textId="00E0A051" w:rsidR="006E70D7" w:rsidRPr="006E70D7" w:rsidRDefault="006E70D7" w:rsidP="00904384">
      <w:pPr>
        <w:tabs>
          <w:tab w:val="left" w:pos="1418"/>
        </w:tabs>
        <w:spacing w:line="259" w:lineRule="auto"/>
        <w:jc w:val="center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  <w:r w:rsidRPr="006E70D7">
        <w:rPr>
          <w:b/>
          <w:color w:val="000000"/>
          <w:szCs w:val="22"/>
        </w:rPr>
        <w:t xml:space="preserve">M I Š L J E N J E </w:t>
      </w:r>
    </w:p>
    <w:p w14:paraId="0A06D404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43004EAF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7DD75B83" w14:textId="5054C21A" w:rsidR="006E70D7" w:rsidRPr="006E70D7" w:rsidRDefault="006E70D7" w:rsidP="006E70D7">
      <w:pPr>
        <w:spacing w:after="5" w:line="260" w:lineRule="auto"/>
        <w:ind w:left="-15" w:right="134" w:firstLine="1416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Vlada Republike Hrvatske nema primjedbi na Godišnje izvješće o radu Agencije za zaštitu osobnih podataka za razdoblje od 1. siječnja do 31. prosinca 20</w:t>
      </w:r>
      <w:r w:rsidR="00241568">
        <w:rPr>
          <w:color w:val="000000"/>
          <w:szCs w:val="22"/>
        </w:rPr>
        <w:t>2</w:t>
      </w:r>
      <w:r w:rsidR="00EF1D66">
        <w:rPr>
          <w:color w:val="000000"/>
          <w:szCs w:val="22"/>
        </w:rPr>
        <w:t>2</w:t>
      </w:r>
      <w:r w:rsidRPr="006E70D7">
        <w:rPr>
          <w:color w:val="000000"/>
          <w:szCs w:val="22"/>
        </w:rPr>
        <w:t>.</w:t>
      </w:r>
      <w:r w:rsidR="00904384">
        <w:rPr>
          <w:color w:val="000000"/>
          <w:szCs w:val="22"/>
        </w:rPr>
        <w:t xml:space="preserve"> godine</w:t>
      </w:r>
      <w:r w:rsidRPr="006E70D7">
        <w:rPr>
          <w:color w:val="000000"/>
          <w:szCs w:val="22"/>
        </w:rPr>
        <w:t xml:space="preserve">, koje je predsjedniku Hrvatskoga sabora dostavila Agencija za </w:t>
      </w:r>
      <w:r w:rsidRPr="006E70D7">
        <w:rPr>
          <w:color w:val="000000"/>
          <w:szCs w:val="22"/>
        </w:rPr>
        <w:lastRenderedPageBreak/>
        <w:t>zaštitu osobnih podataka</w:t>
      </w:r>
      <w:r w:rsidR="000C03FA">
        <w:rPr>
          <w:color w:val="000000"/>
          <w:szCs w:val="22"/>
        </w:rPr>
        <w:t xml:space="preserve"> </w:t>
      </w:r>
      <w:r w:rsidR="000C03FA" w:rsidRPr="000C03FA">
        <w:rPr>
          <w:color w:val="000000"/>
          <w:szCs w:val="22"/>
        </w:rPr>
        <w:t>aktom, KLASA: 023-03/</w:t>
      </w:r>
      <w:r w:rsidR="000C03FA">
        <w:rPr>
          <w:color w:val="000000"/>
          <w:szCs w:val="22"/>
        </w:rPr>
        <w:t>23</w:t>
      </w:r>
      <w:r w:rsidR="000C03FA" w:rsidRPr="000C03FA">
        <w:rPr>
          <w:color w:val="000000"/>
          <w:szCs w:val="22"/>
        </w:rPr>
        <w:t xml:space="preserve">-01/01, URBROJ: </w:t>
      </w:r>
      <w:r w:rsidR="000C03FA">
        <w:rPr>
          <w:color w:val="000000"/>
          <w:szCs w:val="22"/>
        </w:rPr>
        <w:t>5</w:t>
      </w:r>
      <w:r w:rsidR="000E3DCF">
        <w:rPr>
          <w:color w:val="000000"/>
          <w:szCs w:val="22"/>
        </w:rPr>
        <w:t>76</w:t>
      </w:r>
      <w:r w:rsidR="000C03FA">
        <w:rPr>
          <w:color w:val="000000"/>
          <w:szCs w:val="22"/>
        </w:rPr>
        <w:t>-01/05-23-0</w:t>
      </w:r>
      <w:r w:rsidR="000E3DCF">
        <w:rPr>
          <w:color w:val="000000"/>
          <w:szCs w:val="22"/>
        </w:rPr>
        <w:t>2</w:t>
      </w:r>
      <w:r w:rsidR="000C03FA" w:rsidRPr="000C03FA">
        <w:rPr>
          <w:color w:val="000000"/>
          <w:szCs w:val="22"/>
        </w:rPr>
        <w:t xml:space="preserve">, od 28. ožujka </w:t>
      </w:r>
      <w:r w:rsidR="000C03FA">
        <w:rPr>
          <w:color w:val="000000"/>
          <w:szCs w:val="22"/>
        </w:rPr>
        <w:t>2023</w:t>
      </w:r>
      <w:r w:rsidR="000C03FA" w:rsidRPr="000C03FA">
        <w:rPr>
          <w:color w:val="000000"/>
          <w:szCs w:val="22"/>
        </w:rPr>
        <w:t xml:space="preserve">.  </w:t>
      </w:r>
    </w:p>
    <w:p w14:paraId="49DEA122" w14:textId="77777777" w:rsidR="006E70D7" w:rsidRPr="006E70D7" w:rsidRDefault="006E70D7" w:rsidP="006E70D7">
      <w:pPr>
        <w:spacing w:after="29"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  <w:r w:rsidRPr="006E70D7">
        <w:rPr>
          <w:color w:val="000000"/>
          <w:szCs w:val="22"/>
        </w:rPr>
        <w:tab/>
        <w:t xml:space="preserve"> </w:t>
      </w:r>
      <w:r w:rsidRPr="006E70D7">
        <w:rPr>
          <w:color w:val="000000"/>
          <w:szCs w:val="22"/>
        </w:rPr>
        <w:tab/>
      </w:r>
      <w:r w:rsidRPr="006E70D7">
        <w:rPr>
          <w:rFonts w:ascii="Calibri" w:eastAsia="Calibri" w:hAnsi="Calibri" w:cs="Calibri"/>
          <w:color w:val="1F497D"/>
          <w:szCs w:val="22"/>
        </w:rPr>
        <w:t xml:space="preserve"> </w:t>
      </w:r>
    </w:p>
    <w:p w14:paraId="7FF0F6C1" w14:textId="73445266" w:rsidR="00241568" w:rsidRDefault="00EF1D66" w:rsidP="00241568">
      <w:pPr>
        <w:spacing w:after="5" w:line="260" w:lineRule="auto"/>
        <w:ind w:right="134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6E70D7">
        <w:rPr>
          <w:color w:val="000000"/>
          <w:szCs w:val="22"/>
        </w:rPr>
        <w:t>Za svoje predstavnike, koji će u vezi s iznesenim mišljenjem biti nazočni na sjednicama Hrvatskoga sabora i njegovih radnih tijela, Vlada je odredila ministr</w:t>
      </w:r>
      <w:r>
        <w:rPr>
          <w:color w:val="000000"/>
          <w:szCs w:val="22"/>
        </w:rPr>
        <w:t>a</w:t>
      </w:r>
      <w:r w:rsidRPr="006E70D7">
        <w:rPr>
          <w:color w:val="000000"/>
          <w:szCs w:val="22"/>
        </w:rPr>
        <w:t xml:space="preserve"> pravosuđa i uprave dr</w:t>
      </w:r>
      <w:r>
        <w:rPr>
          <w:color w:val="000000"/>
          <w:szCs w:val="22"/>
        </w:rPr>
        <w:t xml:space="preserve">. sc. Ivana Malenicu </w:t>
      </w:r>
      <w:r w:rsidR="00904384">
        <w:rPr>
          <w:color w:val="000000"/>
          <w:szCs w:val="22"/>
        </w:rPr>
        <w:t>i</w:t>
      </w:r>
      <w:r>
        <w:rPr>
          <w:color w:val="000000"/>
          <w:szCs w:val="22"/>
        </w:rPr>
        <w:t xml:space="preserve"> </w:t>
      </w:r>
      <w:r w:rsidR="00904384">
        <w:rPr>
          <w:color w:val="000000"/>
          <w:szCs w:val="22"/>
        </w:rPr>
        <w:t>državne tajnike Vedranu Šimundžu Nikolić, Juru Martinovića i</w:t>
      </w:r>
      <w:r>
        <w:rPr>
          <w:color w:val="000000"/>
          <w:szCs w:val="22"/>
        </w:rPr>
        <w:t xml:space="preserve"> </w:t>
      </w:r>
      <w:r w:rsidRPr="006E70D7">
        <w:rPr>
          <w:color w:val="000000"/>
          <w:szCs w:val="22"/>
        </w:rPr>
        <w:t>Sanjina Rukavinu.</w:t>
      </w:r>
    </w:p>
    <w:p w14:paraId="3E711B85" w14:textId="77777777" w:rsidR="00EF1D66" w:rsidRDefault="00EF1D66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27102CE3" w14:textId="0A48C10D" w:rsidR="00904384" w:rsidRDefault="00904384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140B8FB1" w14:textId="36C28BDA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PREDSJEDNIK</w:t>
      </w:r>
    </w:p>
    <w:p w14:paraId="607BED1B" w14:textId="2875B089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</w:p>
    <w:p w14:paraId="46024F83" w14:textId="77777777" w:rsidR="00904384" w:rsidRDefault="00904384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</w:p>
    <w:p w14:paraId="54FE92FB" w14:textId="13663268" w:rsidR="00162200" w:rsidRPr="006E70D7" w:rsidRDefault="00241568" w:rsidP="00904384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mr. sc. Andrej Plenković</w:t>
      </w:r>
    </w:p>
    <w:sectPr w:rsidR="00162200" w:rsidRPr="006E70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3C6D" w14:textId="77777777" w:rsidR="00D30FCC" w:rsidRDefault="00D30FCC">
      <w:r>
        <w:separator/>
      </w:r>
    </w:p>
  </w:endnote>
  <w:endnote w:type="continuationSeparator" w:id="0">
    <w:p w14:paraId="779C9DD9" w14:textId="77777777" w:rsidR="00D30FCC" w:rsidRDefault="00D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8F2D" w14:textId="77777777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5" w14:textId="77777777" w:rsidR="00162200" w:rsidRDefault="0016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7" w14:textId="12F2B54E" w:rsidR="00162200" w:rsidRPr="00D775F1" w:rsidRDefault="00162200" w:rsidP="00D775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9" w14:textId="77777777" w:rsidR="00162200" w:rsidRDefault="0016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210D" w14:textId="77777777" w:rsidR="00D30FCC" w:rsidRDefault="00D30FCC">
      <w:r>
        <w:separator/>
      </w:r>
    </w:p>
  </w:footnote>
  <w:footnote w:type="continuationSeparator" w:id="0">
    <w:p w14:paraId="6420CA56" w14:textId="77777777" w:rsidR="00D30FCC" w:rsidRDefault="00D3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3" w14:textId="77777777" w:rsidR="00162200" w:rsidRDefault="0016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4" w14:textId="77777777" w:rsidR="00162200" w:rsidRDefault="0016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4F8" w14:textId="77777777" w:rsidR="00162200" w:rsidRDefault="0016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0"/>
    <w:rsid w:val="000C03FA"/>
    <w:rsid w:val="000E3DCF"/>
    <w:rsid w:val="000E6199"/>
    <w:rsid w:val="00162200"/>
    <w:rsid w:val="001C3CA2"/>
    <w:rsid w:val="00241568"/>
    <w:rsid w:val="002E100B"/>
    <w:rsid w:val="00312F48"/>
    <w:rsid w:val="00351332"/>
    <w:rsid w:val="003C333F"/>
    <w:rsid w:val="004C38A8"/>
    <w:rsid w:val="005B67DD"/>
    <w:rsid w:val="005E3A0D"/>
    <w:rsid w:val="00644518"/>
    <w:rsid w:val="00670FA9"/>
    <w:rsid w:val="006C6519"/>
    <w:rsid w:val="006E70D7"/>
    <w:rsid w:val="007D6812"/>
    <w:rsid w:val="008836B5"/>
    <w:rsid w:val="008F437F"/>
    <w:rsid w:val="00904384"/>
    <w:rsid w:val="009B76CA"/>
    <w:rsid w:val="00A241C2"/>
    <w:rsid w:val="00A60D7D"/>
    <w:rsid w:val="00AA2D30"/>
    <w:rsid w:val="00AF62BE"/>
    <w:rsid w:val="00BE2587"/>
    <w:rsid w:val="00C4507A"/>
    <w:rsid w:val="00C65429"/>
    <w:rsid w:val="00CE23CA"/>
    <w:rsid w:val="00D30FCC"/>
    <w:rsid w:val="00D775F1"/>
    <w:rsid w:val="00DC6269"/>
    <w:rsid w:val="00DF1067"/>
    <w:rsid w:val="00EF1D66"/>
    <w:rsid w:val="00F0134D"/>
    <w:rsid w:val="00F83404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4D7"/>
  <w15:docId w15:val="{B1FDCB9B-9CA3-440E-A0C9-26664D0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AZJMDCZ6QSYZ-7492995-12329</_dlc_DocId>
    <_dlc_DocIdUrl xmlns="a494813a-d0d8-4dad-94cb-0d196f36ba15">
      <Url>https://ekoordinacije.vlada.hr/unutarnja-vanjska-politika/_layouts/15/DocIdRedir.aspx?ID=AZJMDCZ6QSYZ-7492995-12329</Url>
      <Description>AZJMDCZ6QSYZ-7492995-12329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12D7A-3AD6-477D-A350-3C57C2DA7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47284-B929-44AC-8E3E-89CFB4F22C3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F06F7B-CE72-4532-BEF2-829497091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FC545-E0A8-4A9F-9430-F3676877E0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Marina Tatalović</cp:lastModifiedBy>
  <cp:revision>5</cp:revision>
  <cp:lastPrinted>2013-10-21T09:54:00Z</cp:lastPrinted>
  <dcterms:created xsi:type="dcterms:W3CDTF">2023-07-05T13:28:00Z</dcterms:created>
  <dcterms:modified xsi:type="dcterms:W3CDTF">2023-07-07T09:52:00Z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ff252466-f2b0-4a46-ac2e-543fbe3b6896</vt:lpwstr>
  </property>
  <property fmtid="{D5CDD505-2E9C-101B-9397-08002B2CF9AE}" pid="3" name="ContentTypeId">
    <vt:lpwstr>0x010100B067BDC0524608488A6F0AA2AC437412</vt:lpwstr>
  </property>
</Properties>
</file>