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FF793" w14:textId="77777777" w:rsidR="00C226F3" w:rsidRPr="00437BDC" w:rsidRDefault="00C226F3" w:rsidP="00C226F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5C7E4A0" wp14:editId="109ACD48">
            <wp:extent cx="501015" cy="683895"/>
            <wp:effectExtent l="0" t="0" r="0" b="1905"/>
            <wp:docPr id="1" name="Slika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9C408" w14:textId="77777777" w:rsidR="00C226F3" w:rsidRPr="00437BDC" w:rsidRDefault="00C226F3" w:rsidP="00C226F3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2E8223AD" w14:textId="02591BAC" w:rsidR="00C226F3" w:rsidRPr="00437BDC" w:rsidRDefault="00C226F3" w:rsidP="00C226F3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BC7BA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Zagreb, 27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srpnja 2023.</w:t>
      </w:r>
    </w:p>
    <w:p w14:paraId="519F633C" w14:textId="77777777" w:rsidR="00C226F3" w:rsidRPr="00437BDC" w:rsidRDefault="00C226F3" w:rsidP="00C226F3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AAEE842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31128A8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54519876" w14:textId="77777777" w:rsidR="00C226F3" w:rsidRPr="00437BDC" w:rsidRDefault="00C226F3" w:rsidP="00C226F3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2C221" w14:textId="77777777" w:rsidR="00C226F3" w:rsidRPr="00437BDC" w:rsidRDefault="00C226F3" w:rsidP="00C226F3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6EE4EF8" w14:textId="6AFE5A6F" w:rsidR="00C226F3" w:rsidRPr="0051366C" w:rsidRDefault="00C226F3" w:rsidP="00C226F3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1" w:name="_Hlk73018352"/>
      <w:r w:rsidRPr="0051366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Poslovnik o načinu rada Povjerenstva za odlučivanje o sukobu interesa </w:t>
      </w:r>
      <w:bookmarkEnd w:id="1"/>
      <w:r w:rsidRPr="0051366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– mišljenje Vlade </w:t>
      </w:r>
    </w:p>
    <w:p w14:paraId="0F5857EA" w14:textId="77777777" w:rsidR="00C226F3" w:rsidRPr="00437BDC" w:rsidRDefault="00C226F3" w:rsidP="00C226F3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B315AFD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F7C717B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41A3FCC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E0E2CDC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0DBACCB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80BC6B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3C91217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C7BF31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0FE958A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1BBA7B3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71D4C54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06053C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403BD04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E7723C9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BA4ADFD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B37FD3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C3BB557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9A8B5D4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8545D28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786AAE4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54569AC2" w14:textId="77777777" w:rsidR="00C226F3" w:rsidRPr="0052771F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52771F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197BEB95" w14:textId="77777777" w:rsidR="00C226F3" w:rsidRPr="0052771F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u w:val="single"/>
          <w:lang w:eastAsia="hr-HR"/>
        </w:rPr>
      </w:pPr>
    </w:p>
    <w:p w14:paraId="42096435" w14:textId="77777777" w:rsidR="00C226F3" w:rsidRPr="00437BDC" w:rsidRDefault="00C226F3" w:rsidP="00C226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D561E1E" w14:textId="77777777" w:rsidR="00C226F3" w:rsidRPr="00437BDC" w:rsidRDefault="00C226F3" w:rsidP="00C226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PRIJEDLOG</w:t>
      </w:r>
    </w:p>
    <w:p w14:paraId="6BCE4F12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4BC4E36" w14:textId="77777777" w:rsidR="00C226F3" w:rsidRPr="00333A24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KLASA: </w:t>
      </w: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</w:p>
    <w:p w14:paraId="27116461" w14:textId="77777777" w:rsidR="00C226F3" w:rsidRPr="00333A24" w:rsidRDefault="00C226F3" w:rsidP="00C226F3">
      <w:pPr>
        <w:tabs>
          <w:tab w:val="left" w:pos="709"/>
          <w:tab w:val="left" w:pos="1418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URBROJ: </w:t>
      </w: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</w:p>
    <w:p w14:paraId="6144B341" w14:textId="77777777" w:rsidR="00C226F3" w:rsidRPr="00333A24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39DB289" w14:textId="77777777" w:rsidR="00C226F3" w:rsidRPr="00333A24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333A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Zagreb,</w:t>
      </w:r>
    </w:p>
    <w:p w14:paraId="73D6F726" w14:textId="77777777" w:rsidR="00C226F3" w:rsidRPr="00437BDC" w:rsidRDefault="00C226F3" w:rsidP="00C226F3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8D474A7" w14:textId="77777777" w:rsidR="00C226F3" w:rsidRPr="00437BDC" w:rsidRDefault="00C226F3" w:rsidP="00C226F3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98BEA49" w14:textId="77777777" w:rsidR="00C226F3" w:rsidRPr="00437BDC" w:rsidRDefault="00C226F3" w:rsidP="00C226F3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77A7AE29" w14:textId="77777777" w:rsidR="00C226F3" w:rsidRPr="00437BDC" w:rsidRDefault="00C226F3" w:rsidP="00C226F3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6D14B36" w14:textId="77777777" w:rsidR="00C226F3" w:rsidRPr="00437BDC" w:rsidRDefault="00C226F3" w:rsidP="00C226F3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63F3B3F" w14:textId="77777777" w:rsidR="00C226F3" w:rsidRPr="00437BDC" w:rsidRDefault="00C226F3" w:rsidP="00C226F3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2D0B7A0" w14:textId="3AE04D42" w:rsidR="00C226F3" w:rsidRDefault="00C226F3" w:rsidP="00C226F3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bookmarkStart w:id="2" w:name="_Hlk103345439"/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Poslovnik o načinu rada Povjerenstva za odlučivanje o sukobu interesa</w:t>
      </w:r>
      <w:bookmarkEnd w:id="2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2C2169DD" w14:textId="77777777" w:rsidR="00C226F3" w:rsidRPr="00437BDC" w:rsidRDefault="00C226F3" w:rsidP="00C226F3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- mišljenje Vlade </w:t>
      </w:r>
    </w:p>
    <w:p w14:paraId="18E71CFA" w14:textId="77777777" w:rsidR="00C226F3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54F668D" w14:textId="77777777" w:rsidR="00C226F3" w:rsidRPr="00437BDC" w:rsidRDefault="00C226F3" w:rsidP="00C226F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21E3739" w14:textId="1FAF3D26" w:rsidR="00C226F3" w:rsidRPr="00437BDC" w:rsidRDefault="00C226F3" w:rsidP="00C226F3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Pismo Hrvatskoga sabora, 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KLASA: 02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1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-03/2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3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-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09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/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4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2, URBROJ: 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65-2</w:t>
      </w:r>
      <w:r w:rsidR="00942A69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3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-03, 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od 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15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. 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lipnja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 202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3</w:t>
      </w:r>
      <w:r w:rsidRPr="00CC2EE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.</w:t>
      </w:r>
    </w:p>
    <w:p w14:paraId="5C392CE5" w14:textId="77777777" w:rsidR="00C226F3" w:rsidRPr="00437BDC" w:rsidRDefault="00C226F3" w:rsidP="00C226F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87C26F6" w14:textId="77777777" w:rsidR="00C226F3" w:rsidRDefault="00C226F3" w:rsidP="00C226F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EF66B5" w14:textId="7180ABE0" w:rsidR="00C226F3" w:rsidRPr="00437BDC" w:rsidRDefault="00C226F3" w:rsidP="00C226F3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Na temelju članka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122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stavka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Poslovnika Hrvatskoga sabora 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113/16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69/17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.,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53/20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119/20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-</w:t>
      </w:r>
      <w:r>
        <w:rPr>
          <w:rFonts w:ascii="Arial" w:hAnsi="Arial" w:cs="Arial"/>
          <w:sz w:val="36"/>
          <w:szCs w:val="36"/>
        </w:rPr>
        <w:t xml:space="preserve"> </w:t>
      </w:r>
      <w:r w:rsidRPr="00A0060A">
        <w:rPr>
          <w:rFonts w:ascii="Times New Roman" w:hAnsi="Times New Roman" w:cs="Times New Roman"/>
          <w:sz w:val="24"/>
          <w:szCs w:val="24"/>
        </w:rPr>
        <w:t>O</w:t>
      </w:r>
      <w:r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dluka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Ustavnog suda Republike Hrvatske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</w:t>
      </w:r>
      <w:r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</w:t>
      </w:r>
      <w:r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.),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Vlada Republike Hrvatske o 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Poslovniku o načinu rada Povjerenstva za odlučivanje o sukobu interesa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daje sljedeće</w:t>
      </w:r>
    </w:p>
    <w:p w14:paraId="14442890" w14:textId="77777777" w:rsidR="00C226F3" w:rsidRDefault="00C226F3" w:rsidP="00C2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5D4EB11" w14:textId="77777777" w:rsidR="00C226F3" w:rsidRPr="00437BDC" w:rsidRDefault="00C226F3" w:rsidP="00C2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44A9AFB" w14:textId="77777777" w:rsidR="00C226F3" w:rsidRPr="00437BDC" w:rsidRDefault="00C226F3" w:rsidP="00C2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5D2864AD" w14:textId="77777777" w:rsidR="00C226F3" w:rsidRDefault="00C226F3" w:rsidP="00C2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1AB245A" w14:textId="77777777" w:rsidR="00C226F3" w:rsidRPr="00437BDC" w:rsidRDefault="00C226F3" w:rsidP="00C2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EC4B98F" w14:textId="03C0D403" w:rsidR="005E5DBD" w:rsidRDefault="00C226F3" w:rsidP="005E5DBD">
      <w:pPr>
        <w:spacing w:after="240" w:line="240" w:lineRule="auto"/>
        <w:ind w:firstLine="1276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U odnosu na</w:t>
      </w:r>
      <w:r w:rsidRPr="002D757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Poslovnik o načinu rada Povjerenstva za odlučivanje o sukobu interesa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(u daljnjem tekstu: Poslovnik) </w:t>
      </w:r>
      <w:r w:rsidRPr="002D757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donesenog na sjednici Povjerenstva za odlučivanje o sukobu interesa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2D757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lipnja </w:t>
      </w:r>
      <w:r w:rsidRPr="002D7572">
        <w:rPr>
          <w:rFonts w:ascii="Times New Roman" w:eastAsia="Times New Roman" w:hAnsi="Times New Roman" w:cs="Times New Roman"/>
          <w:sz w:val="24"/>
          <w:szCs w:val="24"/>
          <w:lang w:eastAsia="x-none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2D7572">
        <w:rPr>
          <w:rFonts w:ascii="Times New Roman" w:eastAsia="Times New Roman" w:hAnsi="Times New Roman" w:cs="Times New Roman"/>
          <w:sz w:val="24"/>
          <w:szCs w:val="24"/>
          <w:lang w:eastAsia="x-none"/>
        </w:rPr>
        <w:t>.,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Vlada Republike Hrvatske </w:t>
      </w:r>
      <w:r w:rsid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iznosi sljedeće primjedbe</w:t>
      </w:r>
      <w:r w:rsidR="006F005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E8328C" w:rsidRPr="00E8328C">
        <w:rPr>
          <w:rFonts w:ascii="Arial" w:hAnsi="Arial" w:cs="Arial"/>
          <w:sz w:val="21"/>
          <w:szCs w:val="21"/>
        </w:rPr>
        <w:t xml:space="preserve"> </w:t>
      </w:r>
    </w:p>
    <w:p w14:paraId="6F189FBA" w14:textId="77B6D928" w:rsidR="00160683" w:rsidRDefault="00E8328C" w:rsidP="005E5DBD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Predlaže se </w:t>
      </w:r>
      <w:r w:rsidR="00942A69">
        <w:rPr>
          <w:rFonts w:ascii="Times New Roman" w:eastAsia="Times New Roman" w:hAnsi="Times New Roman" w:cs="Times New Roman"/>
          <w:sz w:val="24"/>
          <w:szCs w:val="24"/>
          <w:lang w:eastAsia="x-none"/>
        </w:rPr>
        <w:t>preambulu Poslovnika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dopuniti na na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čin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da se nazna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i da je pravni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temelj za dono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š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enje Poslovnika članak 32. stavak 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podstavak 3. Zakona o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sprječavanju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sukoba interesa (,,Narodne novine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, broj l43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/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2l - u daljnjem tekstu: Zakon).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8FCAE28" w14:textId="2E05FAD8" w:rsidR="00E8328C" w:rsidRPr="00E8328C" w:rsidRDefault="00E8328C" w:rsidP="005E5DBD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odnosu na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članak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5. Poslovnika skre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ć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emo pozornost da je izdavanje i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uporaba </w:t>
      </w:r>
      <w:r w:rsidR="00A366AE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službene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iskaznice u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državnim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tijelima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ure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đe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na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Zakonom o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službenoj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iskaznici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(,,Narodne novine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, broj 30/23).</w:t>
      </w:r>
    </w:p>
    <w:p w14:paraId="60B1DA4B" w14:textId="2EAF097D" w:rsidR="00E8328C" w:rsidRPr="00E8328C" w:rsidRDefault="00E8328C" w:rsidP="00E8328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lanku 12. stavku 1. to</w:t>
      </w:r>
      <w:r w:rsidR="005E5DBD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ki 5. Poslovnika potrebno je brisati </w:t>
      </w:r>
      <w:r w:rsidR="005E5DBD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riječ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: ,,ovim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4EE8F42D" w14:textId="4DE84CD2" w:rsidR="00E8328C" w:rsidRPr="00E8328C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odnosu na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lanak 13. stavak 2. Poslovnika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primjećujemo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da je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lankom 37.stavkom 2. Zakona propisana ovlast predsjednika Povjerenstva da odredi jednog od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lanova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Povjerenstva kao svog zamjenika koji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će ga zamjenjivati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slučaju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spriječenosti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ili odsutnosti,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ali ne i ovlast da se zamjeniku mo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ž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e imenovati njegov zamjenik u obavljanju poslova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predsjednika Povjerenstva u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slučaju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njegove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spriječenosti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ili odsutnosti. S tim u vezi,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potrebno je obratiti pa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ž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nju i na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lanke 14. stavak 4. i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9. stavak 3. Poslovnika.</w:t>
      </w:r>
    </w:p>
    <w:p w14:paraId="55FED86B" w14:textId="1D75C896" w:rsidR="00E8328C" w:rsidRPr="00E8328C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U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15. stavku 1. Poslovnika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predlaže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se jasnije odrediti rok za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upu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ć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ivanje poziva za sjednicu Povjerenstva.</w:t>
      </w:r>
    </w:p>
    <w:p w14:paraId="14E959F1" w14:textId="49E75053" w:rsidR="00E8328C" w:rsidRPr="00E8328C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lanku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24. stavku 4. Poslovnika potrebno je brisati rije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i: ,,i sistematizaciji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radnih mjesta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radi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usklađivanja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naziva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pravilnika s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om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46. stavkom 2. Zakona.</w:t>
      </w:r>
    </w:p>
    <w:p w14:paraId="55201C2D" w14:textId="2B314DC9" w:rsidR="00E8328C" w:rsidRPr="00E8328C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28. stavku 1. Poslovnika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predlaže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se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provjeriti je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l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u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navođenju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akata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izostavljen akt iz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lanka 26. stavka 7. </w:t>
      </w:r>
      <w:r w:rsidR="00942A69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oslovnika.</w:t>
      </w:r>
    </w:p>
    <w:p w14:paraId="4C7B4AE1" w14:textId="595B08C2" w:rsidR="00E8328C" w:rsidRPr="00E8328C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31. stavku 3. Poslovnika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za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rije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i: ,,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točaka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l. i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2.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potrebno je dodati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rije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i:,, </w:t>
      </w:r>
      <w:r w:rsidR="000C3DFC" w:rsidRPr="000C3DFC">
        <w:rPr>
          <w:rFonts w:ascii="Times New Roman" w:eastAsia="Times New Roman" w:hAnsi="Times New Roman" w:cs="Times New Roman"/>
          <w:i/>
          <w:iCs/>
          <w:sz w:val="24"/>
          <w:szCs w:val="24"/>
          <w:lang w:eastAsia="x-none"/>
        </w:rPr>
        <w:t>ovog</w:t>
      </w:r>
      <w:r w:rsidRPr="00E8328C">
        <w:rPr>
          <w:rFonts w:ascii="Times New Roman" w:eastAsia="Times New Roman" w:hAnsi="Times New Roman" w:cs="Times New Roman"/>
          <w:i/>
          <w:iCs/>
          <w:sz w:val="24"/>
          <w:szCs w:val="24"/>
          <w:lang w:eastAsia="x-none"/>
        </w:rPr>
        <w:t xml:space="preserve"> Poslovnika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4D9E72ED" w14:textId="7E6D6C1D" w:rsidR="00C226F3" w:rsidRDefault="00E8328C" w:rsidP="000C3DFC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č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lanku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37. stavku 1. Poslovnika potrebno je ispraviti broj ,,Narodnih novina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kojima je objavljen Pravilnik o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načinu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radi i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odlučivanja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Povjerenstva za </w:t>
      </w:r>
      <w:r w:rsidR="000C3DFC"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odlučivanje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sukobu interesa. Isti je objavljen u ,,Narodnim novinama</w:t>
      </w:r>
      <w:r w:rsidR="00160683">
        <w:rPr>
          <w:rFonts w:ascii="Times New Roman" w:eastAsia="Times New Roman" w:hAnsi="Times New Roman" w:cs="Times New Roman"/>
          <w:sz w:val="24"/>
          <w:szCs w:val="24"/>
          <w:lang w:eastAsia="x-none"/>
        </w:rPr>
        <w:t>“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broj </w:t>
      </w:r>
      <w:r w:rsidR="005A58DD">
        <w:rPr>
          <w:rFonts w:ascii="Times New Roman" w:eastAsia="Times New Roman" w:hAnsi="Times New Roman" w:cs="Times New Roman"/>
          <w:sz w:val="24"/>
          <w:szCs w:val="24"/>
          <w:lang w:eastAsia="x-none"/>
        </w:rPr>
        <w:t>105/2014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, a ne u b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roju 114/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0C3DFC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E8328C">
        <w:rPr>
          <w:rFonts w:ascii="Times New Roman" w:eastAsia="Times New Roman" w:hAnsi="Times New Roman" w:cs="Times New Roman"/>
          <w:sz w:val="24"/>
          <w:szCs w:val="24"/>
          <w:lang w:eastAsia="x-none"/>
        </w:rPr>
        <w:t>4 kako je navedeno.</w:t>
      </w:r>
    </w:p>
    <w:p w14:paraId="0E636BF0" w14:textId="1AA570FD" w:rsidR="00C226F3" w:rsidRPr="00187E4A" w:rsidRDefault="00C226F3" w:rsidP="000C3DFC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4429F">
        <w:rPr>
          <w:rFonts w:ascii="Times New Roman" w:eastAsia="Times New Roman" w:hAnsi="Times New Roman" w:cs="Times New Roman"/>
          <w:sz w:val="24"/>
          <w:szCs w:val="24"/>
          <w:lang w:eastAsia="x-none"/>
        </w:rPr>
        <w:t>Za svoje predstavnike, koji će u vezi s iznesenim mišljenjem biti nazočni na sjednicama Hrvatskoga sabora i njegovih radnih tijela, Vlada je odredila min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istra pravosuđa i uprave </w:t>
      </w:r>
      <w:r w:rsidRPr="0014429F">
        <w:rPr>
          <w:rFonts w:ascii="Times New Roman" w:eastAsia="Times New Roman" w:hAnsi="Times New Roman" w:cs="Times New Roman"/>
          <w:sz w:val="24"/>
          <w:szCs w:val="24"/>
          <w:lang w:eastAsia="x-none"/>
        </w:rPr>
        <w:t>dr.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4429F">
        <w:rPr>
          <w:rFonts w:ascii="Times New Roman" w:eastAsia="Times New Roman" w:hAnsi="Times New Roman" w:cs="Times New Roman"/>
          <w:sz w:val="24"/>
          <w:szCs w:val="24"/>
          <w:lang w:eastAsia="x-none"/>
        </w:rPr>
        <w:t>sc. Ivana Malenicu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</w:t>
      </w:r>
      <w:r w:rsidRPr="0014429F">
        <w:rPr>
          <w:rFonts w:ascii="Times New Roman" w:eastAsia="Times New Roman" w:hAnsi="Times New Roman" w:cs="Times New Roman"/>
          <w:sz w:val="24"/>
          <w:szCs w:val="24"/>
          <w:lang w:eastAsia="x-none"/>
        </w:rPr>
        <w:t>državne tajnike</w:t>
      </w:r>
      <w:r w:rsidR="00942A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 Ministarstvu pravosuđa i uprave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D29BB">
        <w:rPr>
          <w:rFonts w:ascii="Times New Roman" w:eastAsia="Times New Roman" w:hAnsi="Times New Roman" w:cs="Times New Roman"/>
          <w:sz w:val="24"/>
          <w:szCs w:val="24"/>
          <w:lang w:eastAsia="x-none"/>
        </w:rPr>
        <w:t>Vedranu Šimundžu Nikolić</w:t>
      </w:r>
      <w:r w:rsidRPr="0014429F">
        <w:rPr>
          <w:rFonts w:ascii="Times New Roman" w:eastAsia="Times New Roman" w:hAnsi="Times New Roman" w:cs="Times New Roman"/>
          <w:sz w:val="24"/>
          <w:szCs w:val="24"/>
          <w:lang w:eastAsia="x-none"/>
        </w:rPr>
        <w:t>, Sanji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na Rukavinu i Juru Martinovića.</w:t>
      </w:r>
    </w:p>
    <w:p w14:paraId="36BC212E" w14:textId="77777777" w:rsidR="00160683" w:rsidRDefault="0016068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DFD0B0" w14:textId="77777777" w:rsidR="00160683" w:rsidRDefault="0016068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309C2C" w14:textId="6E56E017" w:rsidR="00C226F3" w:rsidRPr="00187E4A" w:rsidRDefault="00C226F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E4A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3EE4107D" w14:textId="2CAADF50" w:rsidR="00C226F3" w:rsidRDefault="00C226F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45C154" w14:textId="77777777" w:rsidR="00160683" w:rsidRPr="00187E4A" w:rsidRDefault="0016068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595058" w14:textId="77777777" w:rsidR="00C226F3" w:rsidRDefault="00C226F3" w:rsidP="00C226F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E4A">
        <w:rPr>
          <w:rFonts w:ascii="Times New Roman" w:eastAsia="Calibri" w:hAnsi="Times New Roman" w:cs="Times New Roman"/>
          <w:sz w:val="24"/>
          <w:szCs w:val="24"/>
        </w:rPr>
        <w:t>mr. sc. Andrej Plenković</w:t>
      </w:r>
    </w:p>
    <w:p w14:paraId="536C1E01" w14:textId="77777777" w:rsidR="00C226F3" w:rsidRPr="00D006AE" w:rsidRDefault="00C226F3" w:rsidP="00C226F3"/>
    <w:p w14:paraId="52E14D50" w14:textId="77777777" w:rsidR="00EE6883" w:rsidRDefault="00EE6883"/>
    <w:sectPr w:rsidR="00EE6883" w:rsidSect="00505424">
      <w:headerReference w:type="even" r:id="rId12"/>
      <w:head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EF215" w14:textId="77777777" w:rsidR="00B40881" w:rsidRDefault="00B40881">
      <w:pPr>
        <w:spacing w:after="0" w:line="240" w:lineRule="auto"/>
      </w:pPr>
      <w:r>
        <w:separator/>
      </w:r>
    </w:p>
  </w:endnote>
  <w:endnote w:type="continuationSeparator" w:id="0">
    <w:p w14:paraId="07B831E6" w14:textId="77777777" w:rsidR="00B40881" w:rsidRDefault="00B4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D57ED" w14:textId="77777777" w:rsidR="00B40881" w:rsidRDefault="00B40881">
      <w:pPr>
        <w:spacing w:after="0" w:line="240" w:lineRule="auto"/>
      </w:pPr>
      <w:r>
        <w:separator/>
      </w:r>
    </w:p>
  </w:footnote>
  <w:footnote w:type="continuationSeparator" w:id="0">
    <w:p w14:paraId="37845E7B" w14:textId="77777777" w:rsidR="00B40881" w:rsidRDefault="00B4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0013" w14:textId="77777777" w:rsidR="00F869DB" w:rsidRDefault="006F0054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689A63B" w14:textId="77777777" w:rsidR="00F869DB" w:rsidRDefault="00BC7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B164F" w14:textId="1255929D" w:rsidR="00F869DB" w:rsidRPr="002E378F" w:rsidRDefault="006F0054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BC7BA9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0E53D774" w14:textId="77777777" w:rsidR="00F869DB" w:rsidRDefault="00BC7B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570A8"/>
    <w:multiLevelType w:val="hybridMultilevel"/>
    <w:tmpl w:val="E78202F8"/>
    <w:lvl w:ilvl="0" w:tplc="D890AB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FF"/>
    <w:rsid w:val="000C3DFC"/>
    <w:rsid w:val="0015194E"/>
    <w:rsid w:val="00160683"/>
    <w:rsid w:val="002D29BB"/>
    <w:rsid w:val="004E407B"/>
    <w:rsid w:val="00500762"/>
    <w:rsid w:val="005A58DD"/>
    <w:rsid w:val="005E5DBD"/>
    <w:rsid w:val="00632502"/>
    <w:rsid w:val="006C2A3A"/>
    <w:rsid w:val="006F0054"/>
    <w:rsid w:val="008D0CFF"/>
    <w:rsid w:val="00942A69"/>
    <w:rsid w:val="00A366AE"/>
    <w:rsid w:val="00B40881"/>
    <w:rsid w:val="00BC7BA9"/>
    <w:rsid w:val="00C226F3"/>
    <w:rsid w:val="00E466A5"/>
    <w:rsid w:val="00E8328C"/>
    <w:rsid w:val="00E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F586"/>
  <w15:chartTrackingRefBased/>
  <w15:docId w15:val="{7E56FEF0-76AB-4954-A828-099BA5D9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6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26F3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C226F3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C22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AZJMDCZ6QSYZ-7492995-12626</_dlc_DocId>
    <_dlc_DocIdUrl xmlns="a494813a-d0d8-4dad-94cb-0d196f36ba15">
      <Url>https://ekoordinacije.vlada.hr/unutarnja-vanjska-politika/_layouts/15/DocIdRedir.aspx?ID=AZJMDCZ6QSYZ-7492995-12626</Url>
      <Description>AZJMDCZ6QSYZ-7492995-12626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CEFE18-5007-4DAF-930A-29C8565BD9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EAA215-DA4F-4F32-BEA2-5D1AD0C30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5B50F5-87C3-4800-AF8E-5B4E09B5A5DC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F88BFFF-B8C6-4320-B508-54AE1E675D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Čupić</dc:creator>
  <cp:keywords/>
  <dc:description/>
  <cp:lastModifiedBy>Mladen Duvnjak</cp:lastModifiedBy>
  <cp:revision>3</cp:revision>
  <dcterms:created xsi:type="dcterms:W3CDTF">2023-07-10T13:05:00Z</dcterms:created>
  <dcterms:modified xsi:type="dcterms:W3CDTF">2023-07-20T14:12:00Z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36313239-b8bd-4104-b891-6e6571c72d98</vt:lpwstr>
  </property>
  <property fmtid="{D5CDD505-2E9C-101B-9397-08002B2CF9AE}" pid="3" name="ContentTypeId">
    <vt:lpwstr>0x010100B067BDC0524608488A6F0AA2AC437412</vt:lpwstr>
  </property>
  <property fmtid="{D5CDD505-2E9C-101B-9397-08002B2CF9AE}" pid="4" name="_dlc_DocIdItemGuid">
    <vt:lpwstr>bdb0081f-12d2-4f18-bfee-73950922ede2</vt:lpwstr>
  </property>
</Properties>
</file>