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9A7D" w14:textId="77777777" w:rsidR="00A961B8" w:rsidRPr="00AD6292" w:rsidRDefault="00A961B8" w:rsidP="00A961B8">
      <w:pPr>
        <w:jc w:val="center"/>
      </w:pPr>
      <w:r w:rsidRPr="00AD6292">
        <w:rPr>
          <w:noProof/>
        </w:rPr>
        <w:drawing>
          <wp:inline distT="0" distB="0" distL="0" distR="0" wp14:anchorId="640A1372" wp14:editId="7198F47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AD6292">
        <w:fldChar w:fldCharType="begin"/>
      </w:r>
      <w:r w:rsidRPr="00AD6292">
        <w:instrText xml:space="preserve"> INCLUDEPICTURE "http://www.inet.hr/~box/images/grb-rh.gif" \* MERGEFORMATINET </w:instrText>
      </w:r>
      <w:r w:rsidR="00C25799" w:rsidRPr="00AD6292">
        <w:fldChar w:fldCharType="end"/>
      </w:r>
    </w:p>
    <w:p w14:paraId="10F4871A" w14:textId="77777777" w:rsidR="00A961B8" w:rsidRPr="00AD6292" w:rsidRDefault="00A961B8" w:rsidP="00A961B8">
      <w:pPr>
        <w:spacing w:before="60" w:after="1680"/>
        <w:jc w:val="center"/>
        <w:rPr>
          <w:sz w:val="28"/>
        </w:rPr>
      </w:pPr>
      <w:r w:rsidRPr="00AD6292">
        <w:rPr>
          <w:sz w:val="28"/>
        </w:rPr>
        <w:t>VLADA REPUBLIKE HRVATSKE</w:t>
      </w:r>
    </w:p>
    <w:p w14:paraId="0FEFB42F" w14:textId="77777777" w:rsidR="00A961B8" w:rsidRPr="00AD6292" w:rsidRDefault="00A961B8" w:rsidP="00A961B8"/>
    <w:p w14:paraId="79E02A57" w14:textId="79BA640D" w:rsidR="00A961B8" w:rsidRPr="00AD6292" w:rsidRDefault="00A961B8" w:rsidP="00A961B8">
      <w:pPr>
        <w:spacing w:after="2400"/>
        <w:jc w:val="right"/>
      </w:pPr>
      <w:r w:rsidRPr="00AD6292">
        <w:t xml:space="preserve">Zagreb, </w:t>
      </w:r>
      <w:r w:rsidR="006A3507">
        <w:t>2. studenoga</w:t>
      </w:r>
      <w:r w:rsidR="00FE6E89" w:rsidRPr="00AD6292">
        <w:t xml:space="preserve"> </w:t>
      </w:r>
      <w:r w:rsidR="00D748C9" w:rsidRPr="00AD6292">
        <w:t>2023</w:t>
      </w:r>
      <w:r w:rsidRPr="00AD6292">
        <w:t>.</w:t>
      </w:r>
    </w:p>
    <w:p w14:paraId="27C53F72" w14:textId="77777777" w:rsidR="00A961B8" w:rsidRPr="00AD6292" w:rsidRDefault="00A961B8" w:rsidP="00A961B8">
      <w:pPr>
        <w:spacing w:line="360" w:lineRule="auto"/>
      </w:pPr>
      <w:r w:rsidRPr="00AD6292">
        <w:t>__________________________________________________________________________</w:t>
      </w:r>
    </w:p>
    <w:p w14:paraId="551FCB5C" w14:textId="77777777" w:rsidR="00A961B8" w:rsidRPr="00AD6292" w:rsidRDefault="00A961B8" w:rsidP="00A961B8">
      <w:pPr>
        <w:tabs>
          <w:tab w:val="right" w:pos="1701"/>
          <w:tab w:val="left" w:pos="1843"/>
        </w:tabs>
        <w:spacing w:line="360" w:lineRule="auto"/>
        <w:ind w:left="1843" w:hanging="1843"/>
        <w:rPr>
          <w:b/>
          <w:smallCaps/>
        </w:rPr>
        <w:sectPr w:rsidR="00A961B8" w:rsidRPr="00AD6292" w:rsidSect="00A961B8">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AD6292" w14:paraId="04354C38" w14:textId="77777777" w:rsidTr="006977AD">
        <w:tc>
          <w:tcPr>
            <w:tcW w:w="1951" w:type="dxa"/>
          </w:tcPr>
          <w:p w14:paraId="3FC9652F" w14:textId="77777777" w:rsidR="00A961B8" w:rsidRPr="00AD6292" w:rsidRDefault="00A961B8" w:rsidP="006977AD">
            <w:pPr>
              <w:spacing w:line="360" w:lineRule="auto"/>
              <w:jc w:val="right"/>
            </w:pPr>
            <w:r w:rsidRPr="00AD6292">
              <w:rPr>
                <w:b/>
                <w:smallCaps/>
              </w:rPr>
              <w:t>Predlagatelj</w:t>
            </w:r>
            <w:r w:rsidRPr="00AD6292">
              <w:rPr>
                <w:b/>
              </w:rPr>
              <w:t>:</w:t>
            </w:r>
          </w:p>
        </w:tc>
        <w:tc>
          <w:tcPr>
            <w:tcW w:w="7229" w:type="dxa"/>
          </w:tcPr>
          <w:p w14:paraId="2C3B90F8" w14:textId="77777777" w:rsidR="00A961B8" w:rsidRPr="00AD6292" w:rsidRDefault="00A961B8" w:rsidP="006977AD">
            <w:pPr>
              <w:spacing w:line="360" w:lineRule="auto"/>
            </w:pPr>
            <w:r w:rsidRPr="00AD6292">
              <w:t>Ministarstvo gospodarstva i održivog razvoja</w:t>
            </w:r>
          </w:p>
        </w:tc>
      </w:tr>
    </w:tbl>
    <w:p w14:paraId="0BB9B6D2" w14:textId="77777777" w:rsidR="00A961B8" w:rsidRPr="00AD6292" w:rsidRDefault="00A961B8" w:rsidP="00A961B8">
      <w:pPr>
        <w:spacing w:line="360" w:lineRule="auto"/>
      </w:pPr>
      <w:r w:rsidRPr="00AD6292">
        <w:t>__________________________________________________________________________</w:t>
      </w:r>
    </w:p>
    <w:p w14:paraId="6EA74BC9" w14:textId="77777777" w:rsidR="00A961B8" w:rsidRPr="00AD6292" w:rsidRDefault="00A961B8" w:rsidP="00A961B8">
      <w:pPr>
        <w:tabs>
          <w:tab w:val="right" w:pos="1701"/>
          <w:tab w:val="left" w:pos="1843"/>
        </w:tabs>
        <w:spacing w:line="360" w:lineRule="auto"/>
        <w:ind w:left="1843" w:hanging="1843"/>
        <w:rPr>
          <w:b/>
          <w:smallCaps/>
        </w:rPr>
        <w:sectPr w:rsidR="00A961B8" w:rsidRPr="00AD6292"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AD6292" w14:paraId="61528491" w14:textId="77777777" w:rsidTr="006977AD">
        <w:tc>
          <w:tcPr>
            <w:tcW w:w="1951" w:type="dxa"/>
          </w:tcPr>
          <w:p w14:paraId="23135263" w14:textId="77777777" w:rsidR="00A961B8" w:rsidRPr="00AD6292" w:rsidRDefault="00A961B8" w:rsidP="006977AD">
            <w:pPr>
              <w:spacing w:line="360" w:lineRule="auto"/>
              <w:jc w:val="right"/>
            </w:pPr>
            <w:r w:rsidRPr="00AD6292">
              <w:rPr>
                <w:b/>
                <w:smallCaps/>
              </w:rPr>
              <w:t>Predmet</w:t>
            </w:r>
            <w:r w:rsidRPr="00AD6292">
              <w:rPr>
                <w:b/>
              </w:rPr>
              <w:t>:</w:t>
            </w:r>
          </w:p>
        </w:tc>
        <w:tc>
          <w:tcPr>
            <w:tcW w:w="7229" w:type="dxa"/>
          </w:tcPr>
          <w:p w14:paraId="78EA4675" w14:textId="3B9F5A98" w:rsidR="005127A1" w:rsidRPr="00AD6292" w:rsidRDefault="00C541A4" w:rsidP="005127A1">
            <w:pPr>
              <w:jc w:val="both"/>
            </w:pPr>
            <w:r w:rsidRPr="00AD6292">
              <w:t>Prijedlog uredbe</w:t>
            </w:r>
            <w:r w:rsidR="00EF7874" w:rsidRPr="00AD6292">
              <w:t xml:space="preserve"> </w:t>
            </w:r>
            <w:r w:rsidR="005127A1" w:rsidRPr="00AD6292">
              <w:t xml:space="preserve">o provedbi Uredbe (EU) 2022/1925 Europskog parlamenta i </w:t>
            </w:r>
            <w:r w:rsidR="005A3F5E">
              <w:t>V</w:t>
            </w:r>
            <w:r w:rsidR="005127A1" w:rsidRPr="00AD6292">
              <w:t>ijeća od 14. rujna 2022. o pravednim tržištima s mogućnošću neograničenog tržišnog natjecanja u digitalnom sektoru i izmjeni direktiva (EU) 2019/1937 i (EU) 2020/1828 (Akt o digitalnim tržištima)</w:t>
            </w:r>
          </w:p>
          <w:p w14:paraId="06AE21C7" w14:textId="4E9E0026" w:rsidR="00A961B8" w:rsidRPr="00AD6292" w:rsidRDefault="00A961B8" w:rsidP="00832002">
            <w:pPr>
              <w:jc w:val="both"/>
            </w:pPr>
          </w:p>
        </w:tc>
      </w:tr>
    </w:tbl>
    <w:p w14:paraId="35B48E23" w14:textId="77777777" w:rsidR="00A961B8" w:rsidRPr="00AD6292" w:rsidRDefault="00A961B8" w:rsidP="00A961B8">
      <w:pPr>
        <w:tabs>
          <w:tab w:val="left" w:pos="1843"/>
        </w:tabs>
        <w:spacing w:line="360" w:lineRule="auto"/>
        <w:ind w:left="1843" w:hanging="1843"/>
      </w:pPr>
      <w:r w:rsidRPr="00AD6292">
        <w:t>__________________________________________________________________________</w:t>
      </w:r>
    </w:p>
    <w:p w14:paraId="6ABD97EC" w14:textId="77777777" w:rsidR="00A961B8" w:rsidRPr="00AD6292" w:rsidRDefault="00A961B8" w:rsidP="00A961B8"/>
    <w:p w14:paraId="067A3651" w14:textId="77777777" w:rsidR="00A961B8" w:rsidRPr="00AD6292" w:rsidRDefault="00A961B8" w:rsidP="00A961B8"/>
    <w:p w14:paraId="19828563" w14:textId="77777777" w:rsidR="00A961B8" w:rsidRPr="00AD6292" w:rsidRDefault="00A961B8" w:rsidP="00A961B8"/>
    <w:p w14:paraId="3F43F723" w14:textId="77777777" w:rsidR="00A961B8" w:rsidRPr="00AD6292" w:rsidRDefault="00A961B8" w:rsidP="00A961B8"/>
    <w:p w14:paraId="2D6CE131" w14:textId="77777777" w:rsidR="00A961B8" w:rsidRPr="00AD6292" w:rsidRDefault="00A961B8" w:rsidP="00A961B8"/>
    <w:p w14:paraId="4507E8B8" w14:textId="77777777" w:rsidR="00A961B8" w:rsidRPr="00AD6292" w:rsidRDefault="00A961B8" w:rsidP="00A961B8"/>
    <w:p w14:paraId="5B77C577" w14:textId="77777777" w:rsidR="00A961B8" w:rsidRPr="00AD6292" w:rsidRDefault="00A961B8" w:rsidP="00A961B8"/>
    <w:p w14:paraId="1CDF5248" w14:textId="77777777" w:rsidR="00A961B8" w:rsidRPr="00AD6292" w:rsidRDefault="00A961B8" w:rsidP="00A961B8"/>
    <w:p w14:paraId="3E6444C9" w14:textId="77777777" w:rsidR="00A961B8" w:rsidRPr="00AD6292" w:rsidRDefault="00A961B8" w:rsidP="00A961B8"/>
    <w:p w14:paraId="27AFA871" w14:textId="77777777" w:rsidR="00A961B8" w:rsidRPr="00AD6292" w:rsidRDefault="00A961B8" w:rsidP="00A961B8"/>
    <w:p w14:paraId="18DDAD3A" w14:textId="77777777" w:rsidR="00A961B8" w:rsidRPr="00AD6292" w:rsidRDefault="00A961B8" w:rsidP="00A961B8"/>
    <w:p w14:paraId="0B4B4A10" w14:textId="77777777" w:rsidR="00A961B8" w:rsidRPr="00AD6292" w:rsidRDefault="00A961B8" w:rsidP="00A961B8"/>
    <w:p w14:paraId="6264FFEF" w14:textId="77777777" w:rsidR="00A961B8" w:rsidRPr="00AD6292" w:rsidRDefault="00A961B8" w:rsidP="00A961B8"/>
    <w:p w14:paraId="57BB4F89" w14:textId="77777777" w:rsidR="00A961B8" w:rsidRPr="00AD6292" w:rsidRDefault="00A961B8" w:rsidP="00A961B8"/>
    <w:p w14:paraId="47E72132" w14:textId="77777777" w:rsidR="00A961B8" w:rsidRPr="00AD6292" w:rsidRDefault="00A961B8" w:rsidP="00A961B8"/>
    <w:p w14:paraId="2F1464FE" w14:textId="77777777" w:rsidR="000C467A" w:rsidRPr="00AD6292" w:rsidRDefault="000C467A" w:rsidP="00A961B8">
      <w:pPr>
        <w:tabs>
          <w:tab w:val="left" w:pos="0"/>
          <w:tab w:val="left" w:pos="142"/>
          <w:tab w:val="right" w:pos="1701"/>
          <w:tab w:val="left" w:pos="1843"/>
        </w:tabs>
        <w:spacing w:line="360" w:lineRule="auto"/>
        <w:rPr>
          <w:b/>
          <w:smallCaps/>
        </w:rPr>
        <w:sectPr w:rsidR="000C467A" w:rsidRPr="00AD6292" w:rsidSect="000C467A">
          <w:footerReference w:type="default" r:id="rId14"/>
          <w:footerReference w:type="first" r:id="rId15"/>
          <w:type w:val="continuous"/>
          <w:pgSz w:w="11906" w:h="16838"/>
          <w:pgMar w:top="993" w:right="1417" w:bottom="1417" w:left="1417" w:header="709" w:footer="658" w:gutter="0"/>
          <w:cols w:space="708"/>
          <w:docGrid w:linePitch="360"/>
        </w:sectPr>
      </w:pPr>
    </w:p>
    <w:p w14:paraId="429081B5" w14:textId="72297EAA" w:rsidR="0052648C" w:rsidRPr="00AD6292" w:rsidRDefault="0066493E" w:rsidP="0052648C">
      <w:pPr>
        <w:shd w:val="clear" w:color="auto" w:fill="FFFFFF"/>
        <w:jc w:val="both"/>
        <w:textAlignment w:val="baseline"/>
        <w:rPr>
          <w:color w:val="231F20"/>
        </w:rPr>
      </w:pPr>
      <w:r w:rsidRPr="00AD6292">
        <w:rPr>
          <w:color w:val="231F20"/>
        </w:rPr>
        <w:lastRenderedPageBreak/>
        <w:tab/>
      </w:r>
    </w:p>
    <w:p w14:paraId="1B8A7D49" w14:textId="2CF024A9" w:rsidR="0052648C" w:rsidRPr="00AD6292" w:rsidRDefault="0052648C" w:rsidP="00832002">
      <w:pPr>
        <w:spacing w:after="48"/>
        <w:jc w:val="both"/>
        <w:textAlignment w:val="baseline"/>
        <w:rPr>
          <w:color w:val="231F20"/>
        </w:rPr>
      </w:pPr>
      <w:r w:rsidRPr="00AD6292">
        <w:rPr>
          <w:color w:val="231F20"/>
        </w:rPr>
        <w:tab/>
      </w:r>
      <w:r w:rsidR="00832002" w:rsidRPr="00AD6292">
        <w:rPr>
          <w:color w:val="231F20"/>
        </w:rPr>
        <w:t>Na temelju članka 30. stavka 2. Zakona o Vladi Republike Hrvatske, (Narodne novine, br. 150/11, 119/14, 93/16, 116/18 i 80/22), Vlada Republike Hrvatske je na sjednici održanoj _______ 2023. donijela</w:t>
      </w:r>
    </w:p>
    <w:p w14:paraId="2AF52892" w14:textId="77777777" w:rsidR="0052648C" w:rsidRPr="00AD6292" w:rsidRDefault="0052648C" w:rsidP="0052648C">
      <w:pPr>
        <w:shd w:val="clear" w:color="auto" w:fill="FFFFFF"/>
        <w:jc w:val="both"/>
        <w:textAlignment w:val="baseline"/>
        <w:rPr>
          <w:color w:val="231F20"/>
        </w:rPr>
      </w:pPr>
    </w:p>
    <w:p w14:paraId="1A2234B8" w14:textId="77777777" w:rsidR="0052648C" w:rsidRPr="00AD6292" w:rsidRDefault="0052648C" w:rsidP="0052648C">
      <w:pPr>
        <w:shd w:val="clear" w:color="auto" w:fill="FFFFFF"/>
        <w:jc w:val="center"/>
        <w:textAlignment w:val="baseline"/>
        <w:rPr>
          <w:b/>
          <w:bCs/>
          <w:color w:val="231F20"/>
          <w:sz w:val="29"/>
          <w:szCs w:val="29"/>
        </w:rPr>
      </w:pPr>
      <w:r w:rsidRPr="00AD6292">
        <w:rPr>
          <w:b/>
          <w:bCs/>
          <w:color w:val="231F20"/>
          <w:sz w:val="29"/>
          <w:szCs w:val="29"/>
        </w:rPr>
        <w:t>U R E D B U</w:t>
      </w:r>
    </w:p>
    <w:p w14:paraId="2D4D3BDB" w14:textId="77777777" w:rsidR="0052648C" w:rsidRPr="00AD6292" w:rsidRDefault="0052648C" w:rsidP="0052648C">
      <w:pPr>
        <w:shd w:val="clear" w:color="auto" w:fill="FFFFFF"/>
        <w:jc w:val="center"/>
        <w:textAlignment w:val="baseline"/>
        <w:rPr>
          <w:b/>
          <w:bCs/>
          <w:color w:val="231F20"/>
        </w:rPr>
      </w:pPr>
    </w:p>
    <w:p w14:paraId="239550D8" w14:textId="16D5836F" w:rsidR="00832002" w:rsidRPr="00AD6292" w:rsidRDefault="0052648C" w:rsidP="00832002">
      <w:pPr>
        <w:shd w:val="clear" w:color="auto" w:fill="FFFFFF"/>
        <w:jc w:val="center"/>
        <w:textAlignment w:val="baseline"/>
        <w:rPr>
          <w:b/>
          <w:bCs/>
          <w:color w:val="231F20"/>
        </w:rPr>
      </w:pPr>
      <w:r w:rsidRPr="00AD6292">
        <w:rPr>
          <w:b/>
          <w:bCs/>
          <w:color w:val="231F20"/>
        </w:rPr>
        <w:t xml:space="preserve">o </w:t>
      </w:r>
      <w:r w:rsidR="00832002" w:rsidRPr="00AD6292">
        <w:rPr>
          <w:b/>
          <w:bCs/>
          <w:color w:val="231F20"/>
        </w:rPr>
        <w:t>provedbi Uredbe (EU) 2022/1925 Europskog parlamenta i vijeća od 14. rujna 2022. o pravednim tržištima s mogućnošću neograničenog tržišnog natjecanja u digitalnom sektoru i izmjeni direktiva (EU) 2019/1937 i (EU) 2020/1828 (Akt o digitalnim tržištima)</w:t>
      </w:r>
    </w:p>
    <w:p w14:paraId="4B63451F" w14:textId="77777777" w:rsidR="00832002" w:rsidRPr="00AD6292" w:rsidRDefault="00832002" w:rsidP="0014349B">
      <w:pPr>
        <w:spacing w:before="103" w:after="48"/>
        <w:textAlignment w:val="baseline"/>
        <w:rPr>
          <w:color w:val="231F20"/>
        </w:rPr>
      </w:pPr>
    </w:p>
    <w:p w14:paraId="0B2AC702" w14:textId="3AB84CB3" w:rsidR="00832002" w:rsidRPr="00AD6292" w:rsidRDefault="00832002" w:rsidP="00C77CB7">
      <w:pPr>
        <w:spacing w:before="103" w:after="48"/>
        <w:jc w:val="center"/>
        <w:textAlignment w:val="baseline"/>
        <w:rPr>
          <w:color w:val="231F20"/>
        </w:rPr>
      </w:pPr>
      <w:r w:rsidRPr="00AD6292">
        <w:rPr>
          <w:color w:val="231F20"/>
        </w:rPr>
        <w:t>Članak 1.</w:t>
      </w:r>
    </w:p>
    <w:p w14:paraId="0321430A" w14:textId="5B07A612" w:rsidR="00832002" w:rsidRPr="00AD6292" w:rsidRDefault="00832002" w:rsidP="00AD6292">
      <w:pPr>
        <w:spacing w:before="103" w:after="48"/>
        <w:jc w:val="both"/>
        <w:textAlignment w:val="baseline"/>
        <w:rPr>
          <w:color w:val="231F20"/>
        </w:rPr>
      </w:pPr>
      <w:r w:rsidRPr="00AD6292">
        <w:rPr>
          <w:color w:val="231F20"/>
        </w:rPr>
        <w:t xml:space="preserve">Ovom Uredbom </w:t>
      </w:r>
      <w:r w:rsidR="005E16BE">
        <w:rPr>
          <w:color w:val="231F20"/>
        </w:rPr>
        <w:t>određuje</w:t>
      </w:r>
      <w:r w:rsidR="00C77CB7" w:rsidRPr="00AD6292">
        <w:rPr>
          <w:color w:val="231F20"/>
        </w:rPr>
        <w:t xml:space="preserve"> se nadležno tijel</w:t>
      </w:r>
      <w:r w:rsidR="00F931D9" w:rsidRPr="00AD6292">
        <w:rPr>
          <w:color w:val="231F20"/>
        </w:rPr>
        <w:t>o</w:t>
      </w:r>
      <w:r w:rsidR="00C77CB7" w:rsidRPr="00AD6292">
        <w:rPr>
          <w:color w:val="231F20"/>
        </w:rPr>
        <w:t xml:space="preserve"> i obveze nadležnog tijela u</w:t>
      </w:r>
      <w:r w:rsidR="008C1907" w:rsidRPr="00AD6292">
        <w:rPr>
          <w:color w:val="231F20"/>
        </w:rPr>
        <w:t xml:space="preserve"> svrhu</w:t>
      </w:r>
      <w:r w:rsidR="00AD6292" w:rsidRPr="00AD6292">
        <w:rPr>
          <w:color w:val="231F20"/>
        </w:rPr>
        <w:t xml:space="preserve"> suradnje i koordinacije s Europskom komisijom</w:t>
      </w:r>
      <w:r w:rsidR="00F931D9" w:rsidRPr="00AD6292">
        <w:rPr>
          <w:color w:val="231F20"/>
        </w:rPr>
        <w:t xml:space="preserve"> </w:t>
      </w:r>
      <w:r w:rsidR="008C1907" w:rsidRPr="00AD6292">
        <w:rPr>
          <w:color w:val="231F20"/>
        </w:rPr>
        <w:t xml:space="preserve">iz razloga osiguranja neograničenog tržišnog natjecanja, </w:t>
      </w:r>
      <w:r w:rsidR="00F931D9" w:rsidRPr="00AD6292">
        <w:rPr>
          <w:color w:val="231F20"/>
        </w:rPr>
        <w:t xml:space="preserve">čime se osiguravaju pretpostavke za provedbu </w:t>
      </w:r>
      <w:r w:rsidRPr="00AD6292">
        <w:rPr>
          <w:color w:val="231F20"/>
        </w:rPr>
        <w:t xml:space="preserve">Uredbe (EU) 2022/1925 Europskog parlamenta i Vijeća od 14. rujna 2022. o pravednim tržištima s mogućnošću neograničenog tržišnog natjecanja u digitalnom sektoru i izmjeni direktiva (EU) 2019/1937 i (EU) 2020/1828  </w:t>
      </w:r>
      <w:r w:rsidR="00F931D9" w:rsidRPr="00AD6292">
        <w:rPr>
          <w:color w:val="231F20"/>
        </w:rPr>
        <w:t>(</w:t>
      </w:r>
      <w:r w:rsidR="0081790E">
        <w:rPr>
          <w:color w:val="231F20"/>
        </w:rPr>
        <w:t>dalje u tekstu</w:t>
      </w:r>
      <w:r w:rsidR="00F931D9" w:rsidRPr="00AD6292">
        <w:rPr>
          <w:color w:val="231F20"/>
        </w:rPr>
        <w:t>:</w:t>
      </w:r>
      <w:r w:rsidRPr="00AD6292">
        <w:rPr>
          <w:color w:val="231F20"/>
        </w:rPr>
        <w:t xml:space="preserve"> Uredba (EU) 2022/1925).</w:t>
      </w:r>
    </w:p>
    <w:p w14:paraId="2E1589A9" w14:textId="77777777" w:rsidR="00832002" w:rsidRPr="00AD6292" w:rsidRDefault="00832002" w:rsidP="00C77CB7">
      <w:pPr>
        <w:ind w:left="360"/>
        <w:jc w:val="both"/>
        <w:textAlignment w:val="baseline"/>
        <w:rPr>
          <w:color w:val="231F20"/>
        </w:rPr>
      </w:pPr>
    </w:p>
    <w:p w14:paraId="0B4EE6A0" w14:textId="77777777" w:rsidR="00832002" w:rsidRPr="00AD6292" w:rsidRDefault="00832002" w:rsidP="00832002">
      <w:pPr>
        <w:spacing w:before="103" w:after="48"/>
        <w:jc w:val="center"/>
        <w:textAlignment w:val="baseline"/>
        <w:rPr>
          <w:color w:val="231F20"/>
        </w:rPr>
      </w:pPr>
      <w:r w:rsidRPr="00AD6292">
        <w:rPr>
          <w:color w:val="231F20"/>
        </w:rPr>
        <w:t>Članak 2.</w:t>
      </w:r>
    </w:p>
    <w:p w14:paraId="6677CD4B" w14:textId="59B5D7B1" w:rsidR="005E16BE" w:rsidRPr="005E16BE" w:rsidRDefault="00164A22" w:rsidP="005E16BE">
      <w:pPr>
        <w:pStyle w:val="ListParagraph"/>
        <w:numPr>
          <w:ilvl w:val="0"/>
          <w:numId w:val="35"/>
        </w:numPr>
        <w:tabs>
          <w:tab w:val="left" w:pos="284"/>
        </w:tabs>
        <w:spacing w:before="103" w:after="48"/>
        <w:ind w:left="0" w:firstLine="0"/>
        <w:jc w:val="both"/>
        <w:textAlignment w:val="baseline"/>
        <w:rPr>
          <w:color w:val="231F20"/>
        </w:rPr>
      </w:pPr>
      <w:r>
        <w:rPr>
          <w:color w:val="231F20"/>
        </w:rPr>
        <w:t xml:space="preserve">  </w:t>
      </w:r>
      <w:r w:rsidR="00832002" w:rsidRPr="00164A22">
        <w:rPr>
          <w:color w:val="231F20"/>
        </w:rPr>
        <w:t xml:space="preserve">Pojmovi </w:t>
      </w:r>
      <w:r w:rsidR="00F931D9" w:rsidRPr="00164A22">
        <w:rPr>
          <w:color w:val="231F20"/>
        </w:rPr>
        <w:t>koji se koriste u ovoj</w:t>
      </w:r>
      <w:r w:rsidR="00832002" w:rsidRPr="00164A22">
        <w:rPr>
          <w:color w:val="231F20"/>
        </w:rPr>
        <w:t xml:space="preserve"> Uredb</w:t>
      </w:r>
      <w:r w:rsidR="00F931D9" w:rsidRPr="00164A22">
        <w:rPr>
          <w:color w:val="231F20"/>
        </w:rPr>
        <w:t>i</w:t>
      </w:r>
      <w:r w:rsidR="00832002" w:rsidRPr="00164A22">
        <w:rPr>
          <w:color w:val="231F20"/>
        </w:rPr>
        <w:t xml:space="preserve"> imaju jednako značenje kao pojmovi </w:t>
      </w:r>
      <w:r w:rsidR="00F931D9" w:rsidRPr="00164A22">
        <w:rPr>
          <w:color w:val="231F20"/>
        </w:rPr>
        <w:t xml:space="preserve">uporabljeni u </w:t>
      </w:r>
      <w:r w:rsidR="00832002" w:rsidRPr="00164A22">
        <w:rPr>
          <w:color w:val="231F20"/>
        </w:rPr>
        <w:t>Uredb</w:t>
      </w:r>
      <w:r w:rsidR="00F931D9" w:rsidRPr="00164A22">
        <w:rPr>
          <w:color w:val="231F20"/>
        </w:rPr>
        <w:t>i</w:t>
      </w:r>
      <w:r w:rsidR="00832002" w:rsidRPr="00164A22">
        <w:rPr>
          <w:color w:val="231F20"/>
        </w:rPr>
        <w:t xml:space="preserve"> (EU) 2022/1925.</w:t>
      </w:r>
    </w:p>
    <w:p w14:paraId="000D31A9" w14:textId="29FB5327" w:rsidR="00832002" w:rsidRPr="00164A22" w:rsidRDefault="00164A22" w:rsidP="00164A22">
      <w:pPr>
        <w:pStyle w:val="ListParagraph"/>
        <w:numPr>
          <w:ilvl w:val="0"/>
          <w:numId w:val="35"/>
        </w:numPr>
        <w:tabs>
          <w:tab w:val="left" w:pos="284"/>
        </w:tabs>
        <w:spacing w:before="103" w:after="48"/>
        <w:ind w:left="0" w:firstLine="0"/>
        <w:jc w:val="both"/>
        <w:textAlignment w:val="baseline"/>
        <w:rPr>
          <w:color w:val="231F20"/>
        </w:rPr>
      </w:pPr>
      <w:r>
        <w:rPr>
          <w:color w:val="231F20"/>
        </w:rPr>
        <w:t xml:space="preserve">  </w:t>
      </w:r>
      <w:r w:rsidR="00832002" w:rsidRPr="00164A22">
        <w:rPr>
          <w:color w:val="231F20"/>
        </w:rPr>
        <w:t>Izrazi određeni ovom Uredbom, a koji imaju rodno značenje, odnose se jednako na muški i ženski rod.</w:t>
      </w:r>
    </w:p>
    <w:p w14:paraId="50DC5EFA" w14:textId="77777777" w:rsidR="00832002" w:rsidRPr="00AD6292" w:rsidRDefault="00832002" w:rsidP="0014349B">
      <w:pPr>
        <w:textAlignment w:val="baseline"/>
        <w:rPr>
          <w:color w:val="231F20"/>
          <w:sz w:val="29"/>
          <w:szCs w:val="29"/>
        </w:rPr>
      </w:pPr>
    </w:p>
    <w:p w14:paraId="5C4B0FEF" w14:textId="5C00BD81" w:rsidR="00F931D9" w:rsidRPr="00AD6292" w:rsidRDefault="00832002" w:rsidP="00AD6292">
      <w:pPr>
        <w:spacing w:before="103" w:after="48"/>
        <w:jc w:val="center"/>
        <w:textAlignment w:val="baseline"/>
        <w:rPr>
          <w:color w:val="231F20"/>
        </w:rPr>
      </w:pPr>
      <w:r w:rsidRPr="00AD6292">
        <w:rPr>
          <w:color w:val="231F20"/>
        </w:rPr>
        <w:t xml:space="preserve">Članak </w:t>
      </w:r>
      <w:r w:rsidR="00F931D9" w:rsidRPr="00AD6292">
        <w:rPr>
          <w:color w:val="231F20"/>
        </w:rPr>
        <w:t>3</w:t>
      </w:r>
      <w:r w:rsidRPr="00AD6292">
        <w:rPr>
          <w:color w:val="231F20"/>
        </w:rPr>
        <w:t>.</w:t>
      </w:r>
    </w:p>
    <w:p w14:paraId="0BCCBAD7" w14:textId="3B291E18" w:rsidR="008C1907" w:rsidRPr="00164A22" w:rsidRDefault="00164A22" w:rsidP="005E16BE">
      <w:pPr>
        <w:spacing w:before="103" w:after="48"/>
        <w:jc w:val="both"/>
        <w:textAlignment w:val="baseline"/>
        <w:rPr>
          <w:color w:val="231F20"/>
        </w:rPr>
      </w:pPr>
      <w:r>
        <w:rPr>
          <w:color w:val="231F20"/>
        </w:rPr>
        <w:t xml:space="preserve">(1)  </w:t>
      </w:r>
      <w:r w:rsidR="00832002" w:rsidRPr="00164A22">
        <w:rPr>
          <w:color w:val="231F20"/>
        </w:rPr>
        <w:t>Nadležno tijelo za provedbu Uredbe (EU) 2022/1925 te ove Uredbe je Agencija za</w:t>
      </w:r>
      <w:r w:rsidR="005E16BE">
        <w:rPr>
          <w:color w:val="231F20"/>
        </w:rPr>
        <w:t xml:space="preserve"> </w:t>
      </w:r>
      <w:r w:rsidR="00832002" w:rsidRPr="00164A22">
        <w:rPr>
          <w:color w:val="231F20"/>
        </w:rPr>
        <w:t xml:space="preserve">zaštitu tržišnog natjecanja (dalje u tekstu: </w:t>
      </w:r>
      <w:r w:rsidR="008C1907" w:rsidRPr="00164A22">
        <w:rPr>
          <w:color w:val="231F20"/>
        </w:rPr>
        <w:t>nadležno</w:t>
      </w:r>
      <w:r w:rsidR="00832002" w:rsidRPr="00164A22">
        <w:rPr>
          <w:color w:val="231F20"/>
        </w:rPr>
        <w:t xml:space="preserve"> tijelo).</w:t>
      </w:r>
    </w:p>
    <w:p w14:paraId="3443784A" w14:textId="5B4C35A6" w:rsidR="00832002" w:rsidRPr="00AD6292" w:rsidRDefault="00164A22" w:rsidP="00AD6292">
      <w:pPr>
        <w:spacing w:before="103" w:after="48"/>
        <w:textAlignment w:val="baseline"/>
        <w:rPr>
          <w:color w:val="231F20"/>
        </w:rPr>
      </w:pPr>
      <w:r>
        <w:rPr>
          <w:color w:val="231F20"/>
        </w:rPr>
        <w:t xml:space="preserve">(2)  </w:t>
      </w:r>
      <w:r w:rsidR="00832002" w:rsidRPr="00AD6292">
        <w:rPr>
          <w:color w:val="231F20"/>
        </w:rPr>
        <w:t>N</w:t>
      </w:r>
      <w:r w:rsidR="008C1907" w:rsidRPr="00AD6292">
        <w:rPr>
          <w:color w:val="231F20"/>
        </w:rPr>
        <w:t>adležno</w:t>
      </w:r>
      <w:r w:rsidR="00832002" w:rsidRPr="00AD6292">
        <w:rPr>
          <w:color w:val="231F20"/>
        </w:rPr>
        <w:t xml:space="preserve"> tijelo iz stavka 1. ovoga članka obavlja sljedeće poslove:</w:t>
      </w:r>
    </w:p>
    <w:p w14:paraId="1B6A70F9" w14:textId="6B633E73" w:rsidR="00832002" w:rsidRPr="00AD6292" w:rsidRDefault="008C1907" w:rsidP="00AD6292">
      <w:pPr>
        <w:spacing w:before="103" w:after="48"/>
        <w:jc w:val="both"/>
        <w:textAlignment w:val="baseline"/>
        <w:rPr>
          <w:color w:val="231F20"/>
        </w:rPr>
      </w:pPr>
      <w:r w:rsidRPr="00AD6292">
        <w:rPr>
          <w:color w:val="231F20"/>
        </w:rPr>
        <w:t xml:space="preserve">- </w:t>
      </w:r>
      <w:r w:rsidR="00832002" w:rsidRPr="00AD6292">
        <w:rPr>
          <w:color w:val="231F20"/>
        </w:rPr>
        <w:t xml:space="preserve">pisanim putem obavješćuje Europsku komisiju o namjeri pokretanja postupka protiv nadzornika pristupa u smislu propisa o zaštiti tržišnog natjecanja, prije ili odmah nakon pokretanja takve radnje </w:t>
      </w:r>
    </w:p>
    <w:p w14:paraId="5D7CBBE0" w14:textId="595FBBAF" w:rsidR="00832002" w:rsidRPr="00AD6292" w:rsidRDefault="008C1907" w:rsidP="00AD6292">
      <w:pPr>
        <w:spacing w:before="103" w:after="48"/>
        <w:jc w:val="both"/>
        <w:textAlignment w:val="baseline"/>
        <w:rPr>
          <w:color w:val="231F20"/>
        </w:rPr>
      </w:pPr>
      <w:r w:rsidRPr="00AD6292">
        <w:rPr>
          <w:color w:val="231F20"/>
        </w:rPr>
        <w:t xml:space="preserve">- </w:t>
      </w:r>
      <w:r w:rsidR="00832002" w:rsidRPr="00AD6292">
        <w:rPr>
          <w:color w:val="231F20"/>
        </w:rPr>
        <w:t>obavješćuje Europsku komisiju o svojim mjerama izvršavanja, uključujući dostavu svih informacija u svezi činjeničnih ili pravnih pitanja te povjerljivih informacija putem Europske mreže za tržišno natjecanje</w:t>
      </w:r>
    </w:p>
    <w:p w14:paraId="15405BCA" w14:textId="48B016CB" w:rsidR="00832002" w:rsidRPr="00AD6292" w:rsidRDefault="008C1907" w:rsidP="00AD6292">
      <w:pPr>
        <w:spacing w:before="103" w:after="48"/>
        <w:jc w:val="both"/>
        <w:textAlignment w:val="baseline"/>
        <w:rPr>
          <w:color w:val="231F20"/>
        </w:rPr>
      </w:pPr>
      <w:r w:rsidRPr="00AD6292">
        <w:rPr>
          <w:color w:val="231F20"/>
        </w:rPr>
        <w:t xml:space="preserve">- </w:t>
      </w:r>
      <w:r w:rsidR="00832002" w:rsidRPr="00AD6292">
        <w:rPr>
          <w:color w:val="231F20"/>
        </w:rPr>
        <w:t xml:space="preserve">u slučaju namjere donošenja obveza prema nadzorniku pristupa u smislu propisa o zaštiti tržišnog natjecanja, najkasnije 30 dana prije donošenja tih obveza, Europskoj komisiji dostavlja nacrt mjere s obrazloženjem </w:t>
      </w:r>
    </w:p>
    <w:p w14:paraId="26549F8E" w14:textId="41493EF2" w:rsidR="00AD6292" w:rsidRPr="00AD6292" w:rsidRDefault="008C1907" w:rsidP="00AD6292">
      <w:pPr>
        <w:spacing w:before="103" w:after="48"/>
        <w:jc w:val="both"/>
        <w:textAlignment w:val="baseline"/>
        <w:rPr>
          <w:color w:val="231F20"/>
        </w:rPr>
      </w:pPr>
      <w:r w:rsidRPr="00AD6292">
        <w:rPr>
          <w:color w:val="231F20"/>
        </w:rPr>
        <w:lastRenderedPageBreak/>
        <w:t xml:space="preserve">-  </w:t>
      </w:r>
      <w:r w:rsidR="00832002" w:rsidRPr="00AD6292">
        <w:rPr>
          <w:color w:val="231F20"/>
        </w:rPr>
        <w:t>u slučaju donošenja privremenih mjera u smislu propisa o zaštiti tržišnog natjecanja, dostavlja Europskoj komisiji nacrt predviđenih mjera što je prije moguće, a najkasnije odmah nakon donošenja takvih mjera.</w:t>
      </w:r>
    </w:p>
    <w:p w14:paraId="75C5ACC2" w14:textId="25701A32" w:rsidR="00832002" w:rsidRPr="00AD6292" w:rsidRDefault="00164A22" w:rsidP="00AD6292">
      <w:pPr>
        <w:spacing w:before="103" w:after="48"/>
        <w:jc w:val="both"/>
        <w:textAlignment w:val="baseline"/>
        <w:rPr>
          <w:color w:val="231F20"/>
        </w:rPr>
      </w:pPr>
      <w:r w:rsidRPr="00AF1D0D">
        <w:rPr>
          <w:color w:val="231F20"/>
        </w:rPr>
        <w:t xml:space="preserve">(3)  </w:t>
      </w:r>
      <w:r w:rsidR="00832002" w:rsidRPr="00AF1D0D">
        <w:rPr>
          <w:color w:val="231F20"/>
        </w:rPr>
        <w:t>Ako je n</w:t>
      </w:r>
      <w:r w:rsidR="008C1907" w:rsidRPr="00AF1D0D">
        <w:rPr>
          <w:color w:val="231F20"/>
        </w:rPr>
        <w:t xml:space="preserve">adležno </w:t>
      </w:r>
      <w:r w:rsidR="00832002" w:rsidRPr="00AF1D0D">
        <w:rPr>
          <w:color w:val="231F20"/>
        </w:rPr>
        <w:t xml:space="preserve">tijelo već poduzelo radnje u smislu propisa o zaštiti tržišnog natjecanja, u odnosu na postupanja nadzornika pristupa protiv kojeg je Europska komisija pokrenula postupak temeljem Uredbe (EU) 2022/1925, </w:t>
      </w:r>
      <w:r w:rsidR="008C1907" w:rsidRPr="00AF1D0D">
        <w:rPr>
          <w:color w:val="231F20"/>
        </w:rPr>
        <w:t>nadležno</w:t>
      </w:r>
      <w:r w:rsidR="00832002" w:rsidRPr="00AF1D0D">
        <w:rPr>
          <w:color w:val="231F20"/>
        </w:rPr>
        <w:t xml:space="preserve"> tijelo će obustaviti postupak i obavijestiti Europsku komisiju o rezultatima provedenih radnji.</w:t>
      </w:r>
    </w:p>
    <w:p w14:paraId="3B818AEF" w14:textId="18B3D332" w:rsidR="00832002" w:rsidRPr="00AD6292" w:rsidRDefault="00164A22" w:rsidP="00AD6292">
      <w:pPr>
        <w:spacing w:before="103" w:after="48"/>
        <w:jc w:val="both"/>
        <w:textAlignment w:val="baseline"/>
        <w:rPr>
          <w:color w:val="231F20"/>
        </w:rPr>
      </w:pPr>
      <w:r>
        <w:rPr>
          <w:color w:val="231F20"/>
        </w:rPr>
        <w:t xml:space="preserve">(4)  </w:t>
      </w:r>
      <w:r w:rsidR="00832002" w:rsidRPr="00AD6292">
        <w:rPr>
          <w:color w:val="231F20"/>
        </w:rPr>
        <w:t xml:space="preserve">Informacije razmijenjene na temelju </w:t>
      </w:r>
      <w:r w:rsidR="008C1907" w:rsidRPr="00AD6292">
        <w:rPr>
          <w:color w:val="231F20"/>
        </w:rPr>
        <w:t>ovog članka</w:t>
      </w:r>
      <w:r w:rsidR="00832002" w:rsidRPr="00AD6292">
        <w:rPr>
          <w:color w:val="231F20"/>
        </w:rPr>
        <w:t xml:space="preserve"> razmjenjuju se i upotrebljavaju samo u svrhu primjene ove Uredbe i propisa o zaštiti tržišnog natjecanja.</w:t>
      </w:r>
    </w:p>
    <w:p w14:paraId="73BBC16C" w14:textId="0F1B3E44" w:rsidR="00832002" w:rsidRPr="00AD6292" w:rsidRDefault="00164A22" w:rsidP="00AD6292">
      <w:pPr>
        <w:spacing w:before="103" w:after="48"/>
        <w:jc w:val="both"/>
        <w:textAlignment w:val="baseline"/>
        <w:rPr>
          <w:color w:val="231F20"/>
        </w:rPr>
      </w:pPr>
      <w:r>
        <w:rPr>
          <w:color w:val="231F20"/>
        </w:rPr>
        <w:t xml:space="preserve">(5)  </w:t>
      </w:r>
      <w:r w:rsidR="00832002" w:rsidRPr="00AD6292">
        <w:rPr>
          <w:color w:val="231F20"/>
        </w:rPr>
        <w:t xml:space="preserve">U slučaju kada Europska komisija pokrene postupak temeljem Uredbe (EU) 2022/1925, </w:t>
      </w:r>
      <w:r w:rsidR="008C1907" w:rsidRPr="00AD6292">
        <w:rPr>
          <w:color w:val="231F20"/>
        </w:rPr>
        <w:t>nadležno</w:t>
      </w:r>
      <w:r w:rsidR="00832002" w:rsidRPr="00AD6292">
        <w:rPr>
          <w:color w:val="231F20"/>
        </w:rPr>
        <w:t xml:space="preserve"> tijelo nije ovlašteno provoditi radnje u smislu propisa o zaštiti tržišnog natjecanja.</w:t>
      </w:r>
    </w:p>
    <w:p w14:paraId="309E32BE" w14:textId="77777777" w:rsidR="0014349B" w:rsidRPr="00AD6292" w:rsidRDefault="0014349B" w:rsidP="0014349B">
      <w:pPr>
        <w:textAlignment w:val="baseline"/>
        <w:rPr>
          <w:color w:val="231F20"/>
        </w:rPr>
      </w:pPr>
    </w:p>
    <w:p w14:paraId="0A240C82" w14:textId="5D42854D" w:rsidR="00832002" w:rsidRPr="00AD6292" w:rsidRDefault="00832002" w:rsidP="003709D5">
      <w:pPr>
        <w:spacing w:before="103" w:after="48"/>
        <w:jc w:val="center"/>
        <w:textAlignment w:val="baseline"/>
        <w:rPr>
          <w:color w:val="231F20"/>
        </w:rPr>
      </w:pPr>
      <w:r w:rsidRPr="00AD6292">
        <w:rPr>
          <w:color w:val="231F20"/>
        </w:rPr>
        <w:t xml:space="preserve">Članak </w:t>
      </w:r>
      <w:r w:rsidR="00AD6292">
        <w:rPr>
          <w:color w:val="231F20"/>
        </w:rPr>
        <w:t>4</w:t>
      </w:r>
      <w:r w:rsidRPr="00AD6292">
        <w:rPr>
          <w:color w:val="231F20"/>
        </w:rPr>
        <w:t>.</w:t>
      </w:r>
    </w:p>
    <w:p w14:paraId="24009A24" w14:textId="77777777" w:rsidR="00832002" w:rsidRPr="00AD6292" w:rsidRDefault="00832002" w:rsidP="003709D5">
      <w:pPr>
        <w:spacing w:before="103" w:after="48"/>
        <w:textAlignment w:val="baseline"/>
        <w:rPr>
          <w:color w:val="231F20"/>
        </w:rPr>
      </w:pPr>
      <w:r w:rsidRPr="00AD6292">
        <w:rPr>
          <w:color w:val="231F20"/>
        </w:rPr>
        <w:t>Ova Uredba stupa na snagu osmoga dana od dana objave u „Narodnim novinama“.</w:t>
      </w:r>
    </w:p>
    <w:p w14:paraId="4626126C" w14:textId="77777777" w:rsidR="00832002" w:rsidRPr="00AD6292" w:rsidRDefault="00832002" w:rsidP="00832002">
      <w:pPr>
        <w:ind w:left="408"/>
        <w:textAlignment w:val="baseline"/>
        <w:rPr>
          <w:color w:val="231F20"/>
        </w:rPr>
      </w:pPr>
      <w:bookmarkStart w:id="0" w:name="_GoBack"/>
      <w:bookmarkEnd w:id="0"/>
    </w:p>
    <w:p w14:paraId="5E6BA606" w14:textId="77777777" w:rsidR="003709D5" w:rsidRDefault="003709D5" w:rsidP="00832002">
      <w:pPr>
        <w:ind w:left="408"/>
        <w:textAlignment w:val="baseline"/>
        <w:rPr>
          <w:color w:val="231F20"/>
        </w:rPr>
      </w:pPr>
    </w:p>
    <w:p w14:paraId="3D9D8DAE" w14:textId="4623C19B" w:rsidR="00832002" w:rsidRPr="00AD6292" w:rsidRDefault="00832002" w:rsidP="00832002">
      <w:pPr>
        <w:ind w:left="408"/>
        <w:textAlignment w:val="baseline"/>
        <w:rPr>
          <w:color w:val="231F20"/>
        </w:rPr>
      </w:pPr>
      <w:r w:rsidRPr="00AD6292">
        <w:rPr>
          <w:color w:val="231F20"/>
        </w:rPr>
        <w:t>K</w:t>
      </w:r>
      <w:r w:rsidR="005A3F5E" w:rsidRPr="00AD6292">
        <w:rPr>
          <w:color w:val="231F20"/>
        </w:rPr>
        <w:t>LASA</w:t>
      </w:r>
      <w:r w:rsidRPr="00AD6292">
        <w:rPr>
          <w:color w:val="231F20"/>
        </w:rPr>
        <w:t xml:space="preserve">: </w:t>
      </w:r>
    </w:p>
    <w:p w14:paraId="60511AE2" w14:textId="46178E9C" w:rsidR="00832002" w:rsidRPr="00AD6292" w:rsidRDefault="00832002" w:rsidP="00832002">
      <w:pPr>
        <w:ind w:left="408"/>
        <w:textAlignment w:val="baseline"/>
        <w:rPr>
          <w:color w:val="231F20"/>
        </w:rPr>
      </w:pPr>
      <w:r w:rsidRPr="00AD6292">
        <w:rPr>
          <w:color w:val="231F20"/>
        </w:rPr>
        <w:t>U</w:t>
      </w:r>
      <w:r w:rsidR="005A3F5E" w:rsidRPr="00AD6292">
        <w:rPr>
          <w:color w:val="231F20"/>
        </w:rPr>
        <w:t>RBROJ</w:t>
      </w:r>
      <w:r w:rsidRPr="00AD6292">
        <w:rPr>
          <w:color w:val="231F20"/>
        </w:rPr>
        <w:t xml:space="preserve">: </w:t>
      </w:r>
    </w:p>
    <w:p w14:paraId="228145AB" w14:textId="77777777" w:rsidR="00832002" w:rsidRPr="00AD6292" w:rsidRDefault="00832002" w:rsidP="00832002">
      <w:pPr>
        <w:ind w:left="408"/>
        <w:textAlignment w:val="baseline"/>
        <w:rPr>
          <w:color w:val="231F20"/>
        </w:rPr>
      </w:pPr>
      <w:r w:rsidRPr="00AD6292">
        <w:rPr>
          <w:color w:val="231F20"/>
        </w:rPr>
        <w:t>Zagreb, ______ 2023.</w:t>
      </w:r>
    </w:p>
    <w:p w14:paraId="545A645F" w14:textId="77777777" w:rsidR="00832002" w:rsidRPr="00445ED5" w:rsidRDefault="00832002" w:rsidP="00832002">
      <w:pPr>
        <w:ind w:left="2712"/>
        <w:jc w:val="center"/>
        <w:textAlignment w:val="baseline"/>
        <w:rPr>
          <w:color w:val="231F20"/>
        </w:rPr>
      </w:pPr>
      <w:r w:rsidRPr="00AD6292">
        <w:rPr>
          <w:color w:val="231F20"/>
        </w:rPr>
        <w:t>Predsjednik</w:t>
      </w:r>
      <w:r w:rsidRPr="00AD6292">
        <w:rPr>
          <w:color w:val="231F20"/>
        </w:rPr>
        <w:br/>
      </w:r>
      <w:r w:rsidRPr="00445ED5">
        <w:rPr>
          <w:bCs/>
          <w:color w:val="231F20"/>
          <w:bdr w:val="none" w:sz="0" w:space="0" w:color="auto" w:frame="1"/>
        </w:rPr>
        <w:t xml:space="preserve">mr. </w:t>
      </w:r>
      <w:proofErr w:type="spellStart"/>
      <w:r w:rsidRPr="00445ED5">
        <w:rPr>
          <w:bCs/>
          <w:color w:val="231F20"/>
          <w:bdr w:val="none" w:sz="0" w:space="0" w:color="auto" w:frame="1"/>
        </w:rPr>
        <w:t>sc</w:t>
      </w:r>
      <w:proofErr w:type="spellEnd"/>
      <w:r w:rsidRPr="00445ED5">
        <w:rPr>
          <w:bCs/>
          <w:color w:val="231F20"/>
          <w:bdr w:val="none" w:sz="0" w:space="0" w:color="auto" w:frame="1"/>
        </w:rPr>
        <w:t>. Andrej Plenković</w:t>
      </w:r>
    </w:p>
    <w:p w14:paraId="2AC973A5" w14:textId="77777777" w:rsidR="00832002" w:rsidRPr="00AD6292" w:rsidRDefault="00832002" w:rsidP="00832002">
      <w:pPr>
        <w:spacing w:after="160" w:line="259" w:lineRule="auto"/>
        <w:jc w:val="both"/>
        <w:rPr>
          <w:rFonts w:asciiTheme="minorHAnsi" w:eastAsiaTheme="minorHAnsi" w:hAnsiTheme="minorHAnsi" w:cstheme="minorBidi"/>
          <w:kern w:val="2"/>
          <w:sz w:val="22"/>
          <w:szCs w:val="22"/>
          <w:lang w:eastAsia="en-US"/>
          <w14:ligatures w14:val="standardContextual"/>
        </w:rPr>
      </w:pPr>
    </w:p>
    <w:p w14:paraId="0D664056" w14:textId="77777777" w:rsidR="00832002" w:rsidRPr="00AD6292" w:rsidRDefault="00832002" w:rsidP="00832002">
      <w:pPr>
        <w:jc w:val="center"/>
        <w:rPr>
          <w:rFonts w:eastAsia="Calibri"/>
          <w:b/>
          <w:kern w:val="2"/>
          <w:lang w:eastAsia="en-US"/>
          <w14:ligatures w14:val="standardContextual"/>
        </w:rPr>
      </w:pPr>
    </w:p>
    <w:p w14:paraId="26BEC9FB" w14:textId="77777777" w:rsidR="00832002" w:rsidRPr="00AD6292" w:rsidRDefault="00832002" w:rsidP="00832002">
      <w:pPr>
        <w:jc w:val="center"/>
        <w:rPr>
          <w:rFonts w:eastAsia="Calibri"/>
          <w:b/>
          <w:kern w:val="2"/>
          <w:lang w:eastAsia="en-US"/>
          <w14:ligatures w14:val="standardContextual"/>
        </w:rPr>
      </w:pPr>
    </w:p>
    <w:p w14:paraId="00577881" w14:textId="77777777" w:rsidR="00832002" w:rsidRPr="00AD6292" w:rsidRDefault="00832002" w:rsidP="00832002">
      <w:pPr>
        <w:jc w:val="center"/>
        <w:rPr>
          <w:rFonts w:eastAsia="Calibri"/>
          <w:b/>
          <w:kern w:val="2"/>
          <w:lang w:eastAsia="en-US"/>
          <w14:ligatures w14:val="standardContextual"/>
        </w:rPr>
      </w:pPr>
    </w:p>
    <w:p w14:paraId="11B6ECFD" w14:textId="754DE5E9" w:rsidR="00715297" w:rsidRPr="00AD6292" w:rsidRDefault="00715297" w:rsidP="00715297">
      <w:pPr>
        <w:rPr>
          <w:rFonts w:eastAsia="Calibri"/>
          <w:b/>
          <w:kern w:val="2"/>
          <w:lang w:eastAsia="en-US"/>
          <w14:ligatures w14:val="standardContextual"/>
        </w:rPr>
      </w:pPr>
    </w:p>
    <w:p w14:paraId="487A1C12" w14:textId="0F93C545" w:rsidR="008C1907" w:rsidRPr="00AD6292" w:rsidRDefault="008C1907" w:rsidP="00715297">
      <w:pPr>
        <w:rPr>
          <w:rFonts w:eastAsia="Calibri"/>
          <w:b/>
          <w:kern w:val="2"/>
          <w:lang w:eastAsia="en-US"/>
          <w14:ligatures w14:val="standardContextual"/>
        </w:rPr>
      </w:pPr>
    </w:p>
    <w:p w14:paraId="33039CAB" w14:textId="2C9E133B" w:rsidR="008C1907" w:rsidRPr="00AD6292" w:rsidRDefault="008C1907" w:rsidP="00715297">
      <w:pPr>
        <w:rPr>
          <w:rFonts w:eastAsia="Calibri"/>
          <w:b/>
          <w:kern w:val="2"/>
          <w:lang w:eastAsia="en-US"/>
          <w14:ligatures w14:val="standardContextual"/>
        </w:rPr>
      </w:pPr>
    </w:p>
    <w:p w14:paraId="4754805F" w14:textId="0FCD905C" w:rsidR="008C1907" w:rsidRPr="00AD6292" w:rsidRDefault="008C1907" w:rsidP="00715297">
      <w:pPr>
        <w:rPr>
          <w:rFonts w:eastAsia="Calibri"/>
          <w:b/>
          <w:kern w:val="2"/>
          <w:lang w:eastAsia="en-US"/>
          <w14:ligatures w14:val="standardContextual"/>
        </w:rPr>
      </w:pPr>
    </w:p>
    <w:p w14:paraId="5C27D6B6" w14:textId="7F64F448" w:rsidR="008C1907" w:rsidRPr="00AD6292" w:rsidRDefault="008C1907" w:rsidP="00715297">
      <w:pPr>
        <w:rPr>
          <w:rFonts w:eastAsia="Calibri"/>
          <w:b/>
          <w:kern w:val="2"/>
          <w:lang w:eastAsia="en-US"/>
          <w14:ligatures w14:val="standardContextual"/>
        </w:rPr>
      </w:pPr>
    </w:p>
    <w:p w14:paraId="5EFC6B23" w14:textId="14A6F6A8" w:rsidR="008C1907" w:rsidRPr="00AD6292" w:rsidRDefault="008C1907" w:rsidP="00715297">
      <w:pPr>
        <w:rPr>
          <w:rFonts w:eastAsia="Calibri"/>
          <w:b/>
          <w:kern w:val="2"/>
          <w:lang w:eastAsia="en-US"/>
          <w14:ligatures w14:val="standardContextual"/>
        </w:rPr>
      </w:pPr>
    </w:p>
    <w:p w14:paraId="645155CF" w14:textId="1F55CAAE" w:rsidR="008C1907" w:rsidRPr="00AD6292" w:rsidRDefault="008C1907" w:rsidP="00715297">
      <w:pPr>
        <w:rPr>
          <w:rFonts w:eastAsia="Calibri"/>
          <w:b/>
          <w:kern w:val="2"/>
          <w:lang w:eastAsia="en-US"/>
          <w14:ligatures w14:val="standardContextual"/>
        </w:rPr>
      </w:pPr>
    </w:p>
    <w:p w14:paraId="394D3EF1" w14:textId="63747333" w:rsidR="008C1907" w:rsidRPr="00AD6292" w:rsidRDefault="008C1907" w:rsidP="00715297">
      <w:pPr>
        <w:rPr>
          <w:rFonts w:eastAsia="Calibri"/>
          <w:b/>
          <w:kern w:val="2"/>
          <w:lang w:eastAsia="en-US"/>
          <w14:ligatures w14:val="standardContextual"/>
        </w:rPr>
      </w:pPr>
    </w:p>
    <w:p w14:paraId="05744898" w14:textId="59119342" w:rsidR="008C1907" w:rsidRPr="00AD6292" w:rsidRDefault="008C1907" w:rsidP="00715297">
      <w:pPr>
        <w:rPr>
          <w:rFonts w:eastAsia="Calibri"/>
          <w:b/>
          <w:kern w:val="2"/>
          <w:lang w:eastAsia="en-US"/>
          <w14:ligatures w14:val="standardContextual"/>
        </w:rPr>
      </w:pPr>
    </w:p>
    <w:p w14:paraId="124B32FB" w14:textId="69EF7F27" w:rsidR="008C1907" w:rsidRPr="00AD6292" w:rsidRDefault="008C1907" w:rsidP="00715297">
      <w:pPr>
        <w:rPr>
          <w:rFonts w:eastAsia="Calibri"/>
          <w:b/>
          <w:kern w:val="2"/>
          <w:lang w:eastAsia="en-US"/>
          <w14:ligatures w14:val="standardContextual"/>
        </w:rPr>
      </w:pPr>
    </w:p>
    <w:p w14:paraId="23EDEF4F" w14:textId="7A027200" w:rsidR="008C1907" w:rsidRPr="00AD6292" w:rsidRDefault="008C1907" w:rsidP="00715297">
      <w:pPr>
        <w:rPr>
          <w:rFonts w:eastAsia="Calibri"/>
          <w:b/>
          <w:kern w:val="2"/>
          <w:lang w:eastAsia="en-US"/>
          <w14:ligatures w14:val="standardContextual"/>
        </w:rPr>
      </w:pPr>
    </w:p>
    <w:p w14:paraId="4ADC7511" w14:textId="0683EBD0" w:rsidR="008C1907" w:rsidRPr="00AD6292" w:rsidRDefault="008C1907" w:rsidP="00715297">
      <w:pPr>
        <w:rPr>
          <w:rFonts w:eastAsia="Calibri"/>
          <w:b/>
          <w:kern w:val="2"/>
          <w:lang w:eastAsia="en-US"/>
          <w14:ligatures w14:val="standardContextual"/>
        </w:rPr>
      </w:pPr>
    </w:p>
    <w:p w14:paraId="0DFA4DDA" w14:textId="56895C04" w:rsidR="008C1907" w:rsidRPr="00AD6292" w:rsidRDefault="008C1907" w:rsidP="00715297">
      <w:pPr>
        <w:rPr>
          <w:rFonts w:eastAsia="Calibri"/>
          <w:b/>
          <w:kern w:val="2"/>
          <w:lang w:eastAsia="en-US"/>
          <w14:ligatures w14:val="standardContextual"/>
        </w:rPr>
      </w:pPr>
    </w:p>
    <w:p w14:paraId="6E9BEBA7" w14:textId="6EAC5C94" w:rsidR="008C1907" w:rsidRPr="00AD6292" w:rsidRDefault="008C1907" w:rsidP="00715297">
      <w:pPr>
        <w:rPr>
          <w:rFonts w:eastAsia="Calibri"/>
          <w:b/>
          <w:kern w:val="2"/>
          <w:lang w:eastAsia="en-US"/>
          <w14:ligatures w14:val="standardContextual"/>
        </w:rPr>
      </w:pPr>
    </w:p>
    <w:p w14:paraId="65687DCB" w14:textId="74AEC177" w:rsidR="008C1907" w:rsidRPr="00AD6292" w:rsidRDefault="008C1907" w:rsidP="00715297">
      <w:pPr>
        <w:rPr>
          <w:rFonts w:eastAsia="Calibri"/>
          <w:b/>
          <w:kern w:val="2"/>
          <w:lang w:eastAsia="en-US"/>
          <w14:ligatures w14:val="standardContextual"/>
        </w:rPr>
      </w:pPr>
    </w:p>
    <w:p w14:paraId="6F40E192" w14:textId="271A9B3F" w:rsidR="008C1907" w:rsidRPr="00AD6292" w:rsidRDefault="008C1907" w:rsidP="00715297">
      <w:pPr>
        <w:rPr>
          <w:rFonts w:eastAsia="Calibri"/>
          <w:b/>
          <w:kern w:val="2"/>
          <w:lang w:eastAsia="en-US"/>
          <w14:ligatures w14:val="standardContextual"/>
        </w:rPr>
      </w:pPr>
    </w:p>
    <w:p w14:paraId="42C28772" w14:textId="3BD2E5CC" w:rsidR="008C1907" w:rsidRPr="00AD6292" w:rsidRDefault="008C1907" w:rsidP="00715297">
      <w:pPr>
        <w:rPr>
          <w:rFonts w:eastAsia="Calibri"/>
          <w:b/>
          <w:kern w:val="2"/>
          <w:lang w:eastAsia="en-US"/>
          <w14:ligatures w14:val="standardContextual"/>
        </w:rPr>
      </w:pPr>
    </w:p>
    <w:p w14:paraId="24C6A498" w14:textId="73A51AC1" w:rsidR="008C1907" w:rsidRPr="00AD6292" w:rsidRDefault="008C1907" w:rsidP="00715297">
      <w:pPr>
        <w:rPr>
          <w:rFonts w:eastAsia="Calibri"/>
          <w:b/>
          <w:kern w:val="2"/>
          <w:lang w:eastAsia="en-US"/>
          <w14:ligatures w14:val="standardContextual"/>
        </w:rPr>
      </w:pPr>
    </w:p>
    <w:p w14:paraId="20005F84" w14:textId="495D191A" w:rsidR="008C1907" w:rsidRPr="00AD6292" w:rsidRDefault="008C1907" w:rsidP="00715297">
      <w:pPr>
        <w:rPr>
          <w:rFonts w:eastAsia="Calibri"/>
          <w:b/>
          <w:kern w:val="2"/>
          <w:lang w:eastAsia="en-US"/>
          <w14:ligatures w14:val="standardContextual"/>
        </w:rPr>
      </w:pPr>
    </w:p>
    <w:p w14:paraId="1398E599" w14:textId="6BACC851" w:rsidR="008C1907" w:rsidRPr="00AD6292" w:rsidRDefault="008C1907" w:rsidP="00715297">
      <w:pPr>
        <w:rPr>
          <w:rFonts w:eastAsia="Calibri"/>
          <w:b/>
          <w:kern w:val="2"/>
          <w:lang w:eastAsia="en-US"/>
          <w14:ligatures w14:val="standardContextual"/>
        </w:rPr>
      </w:pPr>
    </w:p>
    <w:p w14:paraId="5E8DABEF" w14:textId="400D75E5" w:rsidR="008C1907" w:rsidRDefault="008C1907" w:rsidP="00715297">
      <w:pPr>
        <w:rPr>
          <w:rFonts w:eastAsia="Calibri"/>
          <w:b/>
          <w:kern w:val="2"/>
          <w:lang w:eastAsia="en-US"/>
          <w14:ligatures w14:val="standardContextual"/>
        </w:rPr>
      </w:pPr>
    </w:p>
    <w:p w14:paraId="5F70A7FC" w14:textId="7FE9478F" w:rsidR="0014349B" w:rsidRDefault="0014349B" w:rsidP="00715297">
      <w:pPr>
        <w:rPr>
          <w:rFonts w:eastAsia="Calibri"/>
          <w:b/>
          <w:kern w:val="2"/>
          <w:lang w:eastAsia="en-US"/>
          <w14:ligatures w14:val="standardContextual"/>
        </w:rPr>
      </w:pPr>
    </w:p>
    <w:p w14:paraId="336B310F" w14:textId="3245ECE2" w:rsidR="0014349B" w:rsidRDefault="0014349B" w:rsidP="00715297">
      <w:pPr>
        <w:rPr>
          <w:rFonts w:eastAsia="Calibri"/>
          <w:b/>
          <w:kern w:val="2"/>
          <w:lang w:eastAsia="en-US"/>
          <w14:ligatures w14:val="standardContextual"/>
        </w:rPr>
      </w:pPr>
    </w:p>
    <w:p w14:paraId="3F9D6B2D" w14:textId="1525655B" w:rsidR="0014349B" w:rsidRDefault="0014349B" w:rsidP="00715297">
      <w:pPr>
        <w:rPr>
          <w:rFonts w:eastAsia="Calibri"/>
          <w:b/>
          <w:kern w:val="2"/>
          <w:lang w:eastAsia="en-US"/>
          <w14:ligatures w14:val="standardContextual"/>
        </w:rPr>
      </w:pPr>
    </w:p>
    <w:p w14:paraId="1A170AF2" w14:textId="77777777" w:rsidR="0014349B" w:rsidRDefault="0014349B" w:rsidP="00715297">
      <w:pPr>
        <w:rPr>
          <w:rFonts w:eastAsia="Calibri"/>
          <w:b/>
          <w:kern w:val="2"/>
          <w:lang w:eastAsia="en-US"/>
          <w14:ligatures w14:val="standardContextual"/>
        </w:rPr>
      </w:pPr>
    </w:p>
    <w:p w14:paraId="123E25B5" w14:textId="77777777" w:rsidR="00164A22" w:rsidRDefault="00164A22" w:rsidP="00715297">
      <w:pPr>
        <w:rPr>
          <w:rFonts w:eastAsia="Calibri"/>
          <w:b/>
          <w:kern w:val="2"/>
          <w:lang w:eastAsia="en-US"/>
          <w14:ligatures w14:val="standardContextual"/>
        </w:rPr>
      </w:pPr>
    </w:p>
    <w:p w14:paraId="3148F99D" w14:textId="77777777" w:rsidR="00164A22" w:rsidRPr="00AD6292" w:rsidRDefault="00164A22" w:rsidP="00715297">
      <w:pPr>
        <w:rPr>
          <w:rFonts w:eastAsia="Calibri"/>
          <w:b/>
          <w:kern w:val="2"/>
          <w:lang w:eastAsia="en-US"/>
          <w14:ligatures w14:val="standardContextual"/>
        </w:rPr>
      </w:pPr>
    </w:p>
    <w:p w14:paraId="1E455389" w14:textId="77777777" w:rsidR="008C1907" w:rsidRPr="00AD6292" w:rsidRDefault="008C1907" w:rsidP="00715297">
      <w:pPr>
        <w:rPr>
          <w:rFonts w:eastAsia="Calibri"/>
          <w:b/>
          <w:kern w:val="2"/>
          <w:lang w:eastAsia="en-US"/>
          <w14:ligatures w14:val="standardContextual"/>
        </w:rPr>
      </w:pPr>
    </w:p>
    <w:p w14:paraId="00F5C8F9" w14:textId="13BB40F0" w:rsidR="00832002" w:rsidRPr="00AD6292" w:rsidRDefault="00832002" w:rsidP="00715297">
      <w:pPr>
        <w:jc w:val="center"/>
        <w:rPr>
          <w:rFonts w:eastAsia="Calibri"/>
          <w:b/>
          <w:kern w:val="2"/>
          <w:lang w:eastAsia="en-US"/>
          <w14:ligatures w14:val="standardContextual"/>
        </w:rPr>
      </w:pPr>
      <w:r w:rsidRPr="00AD6292">
        <w:rPr>
          <w:rFonts w:eastAsia="Calibri"/>
          <w:b/>
          <w:kern w:val="2"/>
          <w:lang w:eastAsia="en-US"/>
          <w14:ligatures w14:val="standardContextual"/>
        </w:rPr>
        <w:t>OBRAZLOŽENJE</w:t>
      </w:r>
    </w:p>
    <w:p w14:paraId="702BA99B" w14:textId="77777777" w:rsidR="00832002" w:rsidRPr="00AD6292" w:rsidRDefault="00832002" w:rsidP="00832002">
      <w:pPr>
        <w:ind w:firstLine="708"/>
        <w:jc w:val="both"/>
        <w:rPr>
          <w:rFonts w:eastAsia="Calibri"/>
          <w:kern w:val="2"/>
          <w:lang w:eastAsia="en-US"/>
          <w14:ligatures w14:val="standardContextual"/>
        </w:rPr>
      </w:pPr>
    </w:p>
    <w:p w14:paraId="5616A581" w14:textId="77777777" w:rsidR="0083200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t>Ova provedbena Uredba donosi se zbog dužnosti provedbe pravne stečevine Europske unije i osiguranja provedbenog okvira za pravilno funkcioniranje unutarnjeg tržišta Europske unije vezano uz digitalna tržišta.</w:t>
      </w:r>
    </w:p>
    <w:p w14:paraId="5CA1A296" w14:textId="77777777" w:rsidR="00EE3C5B" w:rsidRDefault="00EE3C5B" w:rsidP="00832002">
      <w:pPr>
        <w:ind w:firstLine="708"/>
        <w:jc w:val="both"/>
        <w:rPr>
          <w:rFonts w:eastAsia="Calibri"/>
          <w:kern w:val="2"/>
          <w:lang w:eastAsia="en-US"/>
          <w14:ligatures w14:val="standardContextual"/>
        </w:rPr>
      </w:pPr>
    </w:p>
    <w:p w14:paraId="247BB272" w14:textId="6A69CA33" w:rsidR="00EE3C5B" w:rsidRPr="00AD6292" w:rsidRDefault="00EE3C5B" w:rsidP="00832002">
      <w:pPr>
        <w:ind w:firstLine="708"/>
        <w:jc w:val="both"/>
        <w:rPr>
          <w:rFonts w:eastAsia="Calibri"/>
          <w:kern w:val="2"/>
          <w:lang w:eastAsia="en-US"/>
          <w14:ligatures w14:val="standardContextual"/>
        </w:rPr>
      </w:pPr>
      <w:r>
        <w:rPr>
          <w:rFonts w:eastAsia="Calibri"/>
          <w:kern w:val="2"/>
          <w:lang w:eastAsia="en-US"/>
          <w14:ligatures w14:val="standardContextual"/>
        </w:rPr>
        <w:t>Budući se istom ne propisuju prekršajne odredbe, kao niti posebni upravni postupak, za pravni instrument provedbe određena provedbena uredba Vlade, umjesto provedbenog zakona.</w:t>
      </w:r>
    </w:p>
    <w:p w14:paraId="3DD83788" w14:textId="77777777" w:rsidR="00832002" w:rsidRPr="00AD6292" w:rsidRDefault="00832002" w:rsidP="00832002">
      <w:pPr>
        <w:ind w:firstLine="708"/>
        <w:jc w:val="both"/>
        <w:rPr>
          <w:rFonts w:eastAsia="Calibri"/>
          <w:kern w:val="2"/>
          <w:lang w:eastAsia="en-US"/>
          <w14:ligatures w14:val="standardContextual"/>
        </w:rPr>
      </w:pPr>
    </w:p>
    <w:p w14:paraId="2AD724F0" w14:textId="74EA0FE0" w:rsidR="00832002" w:rsidRPr="00AD629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t xml:space="preserve">Ovom se provedbenom Uredbom </w:t>
      </w:r>
      <w:r w:rsidR="005127A1" w:rsidRPr="00AD6292">
        <w:rPr>
          <w:rFonts w:eastAsia="Calibri"/>
          <w:kern w:val="2"/>
          <w:lang w:eastAsia="en-US"/>
          <w14:ligatures w14:val="standardContextual"/>
        </w:rPr>
        <w:t>pobliže</w:t>
      </w:r>
      <w:r w:rsidRPr="00AD6292">
        <w:rPr>
          <w:rFonts w:eastAsia="Calibri"/>
          <w:kern w:val="2"/>
          <w:lang w:eastAsia="en-US"/>
          <w14:ligatures w14:val="standardContextual"/>
        </w:rPr>
        <w:t xml:space="preserve"> propisuje provedba Uredbe (EU) 2022/1925 Europskog parlamenta i Vijeća od 14. rujna 2022. o pravednim tržištima s mogućnošću neograničenog tržišnog natjecanja u digitalnom sektoru i izmjeni direktiva (EU) 2019/1937 i (EU) 2020/1828 (SL L 265, 12.10.2022.; u daljnjem tekstu: </w:t>
      </w:r>
      <w:bookmarkStart w:id="1" w:name="_Hlk130306151"/>
      <w:r w:rsidRPr="00AD6292">
        <w:rPr>
          <w:rFonts w:eastAsia="Calibri"/>
          <w:kern w:val="2"/>
          <w:lang w:eastAsia="en-US"/>
          <w14:ligatures w14:val="standardContextual"/>
        </w:rPr>
        <w:t>Uredba (EU) 2022/1925</w:t>
      </w:r>
      <w:bookmarkEnd w:id="1"/>
      <w:r w:rsidRPr="00AD6292">
        <w:rPr>
          <w:rFonts w:eastAsia="Calibri"/>
          <w:kern w:val="2"/>
          <w:lang w:eastAsia="en-US"/>
          <w14:ligatures w14:val="standardContextual"/>
        </w:rPr>
        <w:t>).</w:t>
      </w:r>
    </w:p>
    <w:p w14:paraId="7ED323FD" w14:textId="77777777" w:rsidR="00832002" w:rsidRPr="00AD6292" w:rsidRDefault="00832002" w:rsidP="005127A1">
      <w:pPr>
        <w:jc w:val="both"/>
        <w:rPr>
          <w:rFonts w:eastAsia="Calibri"/>
          <w:kern w:val="2"/>
          <w:lang w:eastAsia="en-US"/>
          <w14:ligatures w14:val="standardContextual"/>
        </w:rPr>
      </w:pPr>
    </w:p>
    <w:p w14:paraId="05189AE6" w14:textId="77777777" w:rsidR="00832002" w:rsidRPr="00AD629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t xml:space="preserve">Uredbom (EU) 2022/1925 osiguravaju se pravila za mogućnost neograničenog tržišnog natjecanja i pravednost za tržišta u digitalnom sektoru općenito, a osobito za poslovne korisnike i krajnje korisnike osnovnih usluga platforme koje pružaju nadzornici pristupa. </w:t>
      </w:r>
    </w:p>
    <w:p w14:paraId="0F75981C" w14:textId="77777777" w:rsidR="005127A1" w:rsidRPr="00AD6292" w:rsidRDefault="005127A1" w:rsidP="00832002">
      <w:pPr>
        <w:ind w:firstLine="708"/>
        <w:jc w:val="both"/>
        <w:rPr>
          <w:rFonts w:eastAsia="Calibri"/>
          <w:kern w:val="2"/>
          <w:lang w:eastAsia="en-US"/>
          <w14:ligatures w14:val="standardContextual"/>
        </w:rPr>
      </w:pPr>
    </w:p>
    <w:p w14:paraId="1BFB11F2" w14:textId="77777777" w:rsidR="00832002" w:rsidRPr="00AD629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t xml:space="preserve">Poslovnim i krajnjim korisnicima osnovnih usluga platforme koje pružaju nadzornici pristupa trebalo bi se osigurati primjerene regulatorne zaštitne mjere od nepoštenih praksi nadzornika pristupa kako bi se olakšalo prekogranično poslovanje unutar Europske unije i na taj način poboljšalo pravilno funkcioniranje unutarnjeg tržišta. </w:t>
      </w:r>
    </w:p>
    <w:p w14:paraId="09EC20B9" w14:textId="77777777" w:rsidR="00832002" w:rsidRPr="00AD6292" w:rsidRDefault="00832002" w:rsidP="00832002">
      <w:pPr>
        <w:ind w:firstLine="708"/>
        <w:jc w:val="both"/>
        <w:rPr>
          <w:rFonts w:eastAsia="Calibri"/>
          <w:kern w:val="2"/>
          <w:lang w:eastAsia="en-US"/>
          <w14:ligatures w14:val="standardContextual"/>
        </w:rPr>
      </w:pPr>
    </w:p>
    <w:p w14:paraId="42B00856" w14:textId="77777777" w:rsidR="00832002" w:rsidRPr="00AD629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t>Također se nastoji ostvariti cilj koji je komplementaran cilju zaštite tržišnog natjecanja na nekom tržištu, a to je osigurati da tržišta na kojima djeluju nadzornici pristupa budu i ostanu pravedna te da na njima postoji mogućnost neograničenog tržišnog natjecanja neovisno o stvarnim, mogućim ili pretpostavljenim učincima postupanja određenog nadzornika pristupa, na natjecanje na određenom tržištu.</w:t>
      </w:r>
    </w:p>
    <w:p w14:paraId="763CAEBE" w14:textId="77777777" w:rsidR="00832002" w:rsidRPr="00AD6292" w:rsidRDefault="00832002" w:rsidP="00832002">
      <w:pPr>
        <w:ind w:firstLine="708"/>
        <w:jc w:val="both"/>
        <w:rPr>
          <w:rFonts w:eastAsia="Calibri"/>
          <w:kern w:val="2"/>
          <w:lang w:eastAsia="en-US"/>
          <w14:ligatures w14:val="standardContextual"/>
        </w:rPr>
      </w:pPr>
    </w:p>
    <w:p w14:paraId="1108B79F" w14:textId="77777777" w:rsidR="00832002" w:rsidRPr="00AD6292" w:rsidRDefault="00832002" w:rsidP="00832002">
      <w:pPr>
        <w:ind w:firstLine="708"/>
        <w:jc w:val="both"/>
        <w:rPr>
          <w:rFonts w:eastAsia="Calibri"/>
          <w:kern w:val="2"/>
          <w:lang w:eastAsia="en-US"/>
          <w14:ligatures w14:val="standardContextual"/>
        </w:rPr>
      </w:pPr>
      <w:r w:rsidRPr="00AD6292">
        <w:rPr>
          <w:rFonts w:eastAsia="Calibri"/>
          <w:kern w:val="2"/>
          <w:lang w:eastAsia="en-US"/>
          <w14:ligatures w14:val="standardContextual"/>
        </w:rPr>
        <w:lastRenderedPageBreak/>
        <w:t xml:space="preserve">Uredba (EU) 2022/1925 primjenjuje </w:t>
      </w:r>
      <w:bookmarkStart w:id="2" w:name="_Hlk129867293"/>
      <w:r w:rsidRPr="00AD6292">
        <w:rPr>
          <w:rFonts w:eastAsia="Calibri"/>
          <w:kern w:val="2"/>
          <w:lang w:eastAsia="en-US"/>
          <w14:ligatures w14:val="standardContextual"/>
        </w:rPr>
        <w:t xml:space="preserve">se na osnovne usluge platforme koje nadzornici pristupa pružaju ili nude poslovnim korisnicima s poslovnim </w:t>
      </w:r>
      <w:proofErr w:type="spellStart"/>
      <w:r w:rsidRPr="00AD6292">
        <w:rPr>
          <w:rFonts w:eastAsia="Calibri"/>
          <w:kern w:val="2"/>
          <w:lang w:eastAsia="en-US"/>
          <w14:ligatures w14:val="standardContextual"/>
        </w:rPr>
        <w:t>nastanom</w:t>
      </w:r>
      <w:proofErr w:type="spellEnd"/>
      <w:r w:rsidRPr="00AD6292">
        <w:rPr>
          <w:rFonts w:eastAsia="Calibri"/>
          <w:kern w:val="2"/>
          <w:lang w:eastAsia="en-US"/>
          <w14:ligatures w14:val="standardContextual"/>
        </w:rPr>
        <w:t xml:space="preserve"> u Europskoj uniji ili krajnjim korisnicima koji imaju poslovni </w:t>
      </w:r>
      <w:proofErr w:type="spellStart"/>
      <w:r w:rsidRPr="00AD6292">
        <w:rPr>
          <w:rFonts w:eastAsia="Calibri"/>
          <w:kern w:val="2"/>
          <w:lang w:eastAsia="en-US"/>
          <w14:ligatures w14:val="standardContextual"/>
        </w:rPr>
        <w:t>nastan</w:t>
      </w:r>
      <w:proofErr w:type="spellEnd"/>
      <w:r w:rsidRPr="00AD6292">
        <w:rPr>
          <w:rFonts w:eastAsia="Calibri"/>
          <w:kern w:val="2"/>
          <w:lang w:eastAsia="en-US"/>
          <w14:ligatures w14:val="standardContextual"/>
        </w:rPr>
        <w:t xml:space="preserve"> ili se nalaze u Europskoj uniji, bez obzira na mjesto poslovnog </w:t>
      </w:r>
      <w:proofErr w:type="spellStart"/>
      <w:r w:rsidRPr="00AD6292">
        <w:rPr>
          <w:rFonts w:eastAsia="Calibri"/>
          <w:kern w:val="2"/>
          <w:lang w:eastAsia="en-US"/>
          <w14:ligatures w14:val="standardContextual"/>
        </w:rPr>
        <w:t>nastana</w:t>
      </w:r>
      <w:proofErr w:type="spellEnd"/>
      <w:r w:rsidRPr="00AD6292">
        <w:rPr>
          <w:rFonts w:eastAsia="Calibri"/>
          <w:kern w:val="2"/>
          <w:lang w:eastAsia="en-US"/>
          <w14:ligatures w14:val="standardContextual"/>
        </w:rPr>
        <w:t xml:space="preserve"> ili boravišta nadzornika pristupa i bez obzira na pravo koje se inače primjenjuje na pružanje usluge.</w:t>
      </w:r>
    </w:p>
    <w:bookmarkEnd w:id="2"/>
    <w:p w14:paraId="16790756" w14:textId="77777777" w:rsidR="00832002" w:rsidRPr="00AD6292" w:rsidRDefault="00832002" w:rsidP="00832002">
      <w:pPr>
        <w:ind w:firstLine="708"/>
        <w:jc w:val="both"/>
        <w:rPr>
          <w:rFonts w:eastAsia="Calibri"/>
          <w:kern w:val="2"/>
          <w:lang w:eastAsia="en-US"/>
          <w14:ligatures w14:val="standardContextual"/>
        </w:rPr>
      </w:pPr>
    </w:p>
    <w:p w14:paraId="64D63C94" w14:textId="62BF559E" w:rsidR="00832002" w:rsidRPr="00AD6292" w:rsidRDefault="00832002" w:rsidP="0014349B">
      <w:pPr>
        <w:ind w:firstLine="708"/>
        <w:jc w:val="both"/>
        <w:rPr>
          <w:rFonts w:eastAsia="Calibri"/>
          <w:kern w:val="2"/>
          <w:lang w:eastAsia="en-US"/>
          <w14:ligatures w14:val="standardContextual"/>
        </w:rPr>
      </w:pPr>
      <w:r w:rsidRPr="00AD6292">
        <w:rPr>
          <w:rFonts w:eastAsia="Calibri"/>
          <w:kern w:val="2"/>
          <w:lang w:eastAsia="en-US"/>
          <w14:ligatures w14:val="standardContextual"/>
        </w:rPr>
        <w:t>Ovom se Uredbom</w:t>
      </w:r>
      <w:r w:rsidR="0014349B">
        <w:rPr>
          <w:rFonts w:eastAsia="Calibri"/>
          <w:kern w:val="2"/>
          <w:lang w:eastAsia="en-US"/>
          <w14:ligatures w14:val="standardContextual"/>
        </w:rPr>
        <w:t xml:space="preserve"> o</w:t>
      </w:r>
      <w:r w:rsidRPr="00AD6292">
        <w:rPr>
          <w:rFonts w:eastAsia="Calibri"/>
          <w:kern w:val="2"/>
          <w:lang w:eastAsia="en-US"/>
          <w14:ligatures w14:val="standardContextual"/>
        </w:rPr>
        <w:t>dređuje nacionalno nadležno tijelo i njegove zadaće</w:t>
      </w:r>
      <w:r w:rsidR="0014349B">
        <w:rPr>
          <w:rFonts w:eastAsia="Calibri"/>
          <w:kern w:val="2"/>
          <w:lang w:eastAsia="en-US"/>
          <w14:ligatures w14:val="standardContextual"/>
        </w:rPr>
        <w:t>.</w:t>
      </w:r>
    </w:p>
    <w:p w14:paraId="46A7991D" w14:textId="77777777" w:rsidR="00832002" w:rsidRPr="00AD6292" w:rsidRDefault="00832002" w:rsidP="00832002">
      <w:pPr>
        <w:jc w:val="both"/>
        <w:rPr>
          <w:rFonts w:eastAsia="Calibri"/>
          <w:b/>
          <w:kern w:val="2"/>
          <w:lang w:eastAsia="en-US"/>
          <w14:ligatures w14:val="standardContextual"/>
        </w:rPr>
      </w:pPr>
    </w:p>
    <w:sectPr w:rsidR="00832002" w:rsidRPr="00AD6292" w:rsidSect="001046D3">
      <w:headerReference w:type="default" r:id="rId16"/>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F90B" w14:textId="77777777" w:rsidR="00D66B69" w:rsidRDefault="00D66B69">
      <w:r>
        <w:separator/>
      </w:r>
    </w:p>
  </w:endnote>
  <w:endnote w:type="continuationSeparator" w:id="0">
    <w:p w14:paraId="0CC6A150" w14:textId="77777777" w:rsidR="00D66B69" w:rsidRDefault="00D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1AEF"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1D14" w14:textId="77777777" w:rsidR="00C541A4" w:rsidRDefault="00C541A4">
    <w:pPr>
      <w:pStyle w:val="Footer"/>
    </w:pPr>
  </w:p>
  <w:p w14:paraId="11DE7DCA"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D903"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9523D21"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A835" w14:textId="77777777" w:rsidR="00D66B69" w:rsidRDefault="00D66B69">
      <w:r>
        <w:separator/>
      </w:r>
    </w:p>
  </w:footnote>
  <w:footnote w:type="continuationSeparator" w:id="0">
    <w:p w14:paraId="017952B0" w14:textId="77777777" w:rsidR="00D66B69" w:rsidRDefault="00D6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0D0D" w14:textId="7BCF8649" w:rsidR="00C541A4" w:rsidRDefault="00C541A4">
    <w:pPr>
      <w:pStyle w:val="Header"/>
      <w:jc w:val="center"/>
    </w:pPr>
  </w:p>
  <w:p w14:paraId="3BA98EDA"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B763E"/>
    <w:multiLevelType w:val="multilevel"/>
    <w:tmpl w:val="707CC5DC"/>
    <w:numStyleLink w:val="Style2"/>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1E39B5"/>
    <w:multiLevelType w:val="hybridMultilevel"/>
    <w:tmpl w:val="08A61A78"/>
    <w:lvl w:ilvl="0" w:tplc="851E2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584C3F"/>
    <w:multiLevelType w:val="multilevel"/>
    <w:tmpl w:val="ABD822B8"/>
    <w:numStyleLink w:val="Style1"/>
  </w:abstractNum>
  <w:abstractNum w:abstractNumId="9"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026963"/>
    <w:multiLevelType w:val="multilevel"/>
    <w:tmpl w:val="ABD822B8"/>
    <w:numStyleLink w:val="Style1"/>
  </w:abstractNum>
  <w:abstractNum w:abstractNumId="20"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5B76118B"/>
    <w:multiLevelType w:val="multilevel"/>
    <w:tmpl w:val="ABD822B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6C6078"/>
    <w:multiLevelType w:val="hybridMultilevel"/>
    <w:tmpl w:val="6E74DD86"/>
    <w:lvl w:ilvl="0" w:tplc="5F549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57C1640"/>
    <w:multiLevelType w:val="multilevel"/>
    <w:tmpl w:val="ABD822B8"/>
    <w:numStyleLink w:val="Style1"/>
  </w:abstractNum>
  <w:abstractNum w:abstractNumId="25"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8"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34" w15:restartNumberingAfterBreak="0">
    <w:nsid w:val="7CA40414"/>
    <w:multiLevelType w:val="multilevel"/>
    <w:tmpl w:val="707CC5D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042858"/>
    <w:multiLevelType w:val="hybridMultilevel"/>
    <w:tmpl w:val="60C84C64"/>
    <w:lvl w:ilvl="0" w:tplc="0C0C95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6"/>
  </w:num>
  <w:num w:numId="3">
    <w:abstractNumId w:val="10"/>
  </w:num>
  <w:num w:numId="4">
    <w:abstractNumId w:val="3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0"/>
  </w:num>
  <w:num w:numId="8">
    <w:abstractNumId w:val="33"/>
  </w:num>
  <w:num w:numId="9">
    <w:abstractNumId w:val="14"/>
  </w:num>
  <w:num w:numId="10">
    <w:abstractNumId w:val="13"/>
  </w:num>
  <w:num w:numId="11">
    <w:abstractNumId w:val="17"/>
  </w:num>
  <w:num w:numId="12">
    <w:abstractNumId w:val="9"/>
  </w:num>
  <w:num w:numId="13">
    <w:abstractNumId w:val="12"/>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8"/>
  </w:num>
  <w:num w:numId="19">
    <w:abstractNumId w:val="15"/>
  </w:num>
  <w:num w:numId="20">
    <w:abstractNumId w:val="0"/>
  </w:num>
  <w:num w:numId="21">
    <w:abstractNumId w:val="11"/>
  </w:num>
  <w:num w:numId="22">
    <w:abstractNumId w:val="3"/>
  </w:num>
  <w:num w:numId="23">
    <w:abstractNumId w:val="32"/>
  </w:num>
  <w:num w:numId="24">
    <w:abstractNumId w:val="31"/>
  </w:num>
  <w:num w:numId="25">
    <w:abstractNumId w:val="1"/>
  </w:num>
  <w:num w:numId="26">
    <w:abstractNumId w:val="6"/>
  </w:num>
  <w:num w:numId="27">
    <w:abstractNumId w:val="29"/>
  </w:num>
  <w:num w:numId="28">
    <w:abstractNumId w:val="16"/>
  </w:num>
  <w:num w:numId="29">
    <w:abstractNumId w:val="34"/>
  </w:num>
  <w:num w:numId="30">
    <w:abstractNumId w:val="2"/>
  </w:num>
  <w:num w:numId="31">
    <w:abstractNumId w:val="22"/>
  </w:num>
  <w:num w:numId="32">
    <w:abstractNumId w:val="24"/>
  </w:num>
  <w:num w:numId="33">
    <w:abstractNumId w:val="19"/>
  </w:num>
  <w:num w:numId="34">
    <w:abstractNumId w:val="8"/>
  </w:num>
  <w:num w:numId="35">
    <w:abstractNumId w:val="35"/>
  </w:num>
  <w:num w:numId="36">
    <w:abstractNumId w:val="23"/>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1C16"/>
    <w:rsid w:val="00063040"/>
    <w:rsid w:val="00063956"/>
    <w:rsid w:val="000653D4"/>
    <w:rsid w:val="00066DE6"/>
    <w:rsid w:val="00067E8F"/>
    <w:rsid w:val="00070212"/>
    <w:rsid w:val="000705BF"/>
    <w:rsid w:val="00071C17"/>
    <w:rsid w:val="0008026F"/>
    <w:rsid w:val="000808F5"/>
    <w:rsid w:val="00084D8F"/>
    <w:rsid w:val="00086C52"/>
    <w:rsid w:val="0009139D"/>
    <w:rsid w:val="00096BB9"/>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4349B"/>
    <w:rsid w:val="001524DF"/>
    <w:rsid w:val="00152B49"/>
    <w:rsid w:val="0015507B"/>
    <w:rsid w:val="0015624A"/>
    <w:rsid w:val="001576E8"/>
    <w:rsid w:val="00157EC9"/>
    <w:rsid w:val="001613C7"/>
    <w:rsid w:val="00162981"/>
    <w:rsid w:val="001638CD"/>
    <w:rsid w:val="00164A22"/>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064A"/>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09D5"/>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3AD0"/>
    <w:rsid w:val="0044493E"/>
    <w:rsid w:val="00445ED5"/>
    <w:rsid w:val="004465FE"/>
    <w:rsid w:val="00447879"/>
    <w:rsid w:val="004536BC"/>
    <w:rsid w:val="00454B3A"/>
    <w:rsid w:val="00454BD6"/>
    <w:rsid w:val="00455451"/>
    <w:rsid w:val="00460740"/>
    <w:rsid w:val="004609A7"/>
    <w:rsid w:val="0046359E"/>
    <w:rsid w:val="00463CFB"/>
    <w:rsid w:val="004673E4"/>
    <w:rsid w:val="00467D4C"/>
    <w:rsid w:val="00472229"/>
    <w:rsid w:val="004731CB"/>
    <w:rsid w:val="00473600"/>
    <w:rsid w:val="00486F8C"/>
    <w:rsid w:val="00490B93"/>
    <w:rsid w:val="004944E6"/>
    <w:rsid w:val="004951D7"/>
    <w:rsid w:val="00496A4D"/>
    <w:rsid w:val="00497007"/>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27A1"/>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3F5E"/>
    <w:rsid w:val="005A533D"/>
    <w:rsid w:val="005B075C"/>
    <w:rsid w:val="005B27A8"/>
    <w:rsid w:val="005B3101"/>
    <w:rsid w:val="005B48F3"/>
    <w:rsid w:val="005B5188"/>
    <w:rsid w:val="005C471F"/>
    <w:rsid w:val="005C6C3F"/>
    <w:rsid w:val="005D0604"/>
    <w:rsid w:val="005D3761"/>
    <w:rsid w:val="005E16BE"/>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4EA9"/>
    <w:rsid w:val="006154AD"/>
    <w:rsid w:val="00617101"/>
    <w:rsid w:val="006210C2"/>
    <w:rsid w:val="006231FF"/>
    <w:rsid w:val="00625EE9"/>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3507"/>
    <w:rsid w:val="006A5693"/>
    <w:rsid w:val="006A60A8"/>
    <w:rsid w:val="006A7BAD"/>
    <w:rsid w:val="006B099C"/>
    <w:rsid w:val="006B30CF"/>
    <w:rsid w:val="006B3D2F"/>
    <w:rsid w:val="006B415A"/>
    <w:rsid w:val="006B63FB"/>
    <w:rsid w:val="006B746F"/>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5297"/>
    <w:rsid w:val="007174D0"/>
    <w:rsid w:val="00723BD4"/>
    <w:rsid w:val="007278AA"/>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90E"/>
    <w:rsid w:val="00817F5A"/>
    <w:rsid w:val="008206F2"/>
    <w:rsid w:val="008212B4"/>
    <w:rsid w:val="00822D03"/>
    <w:rsid w:val="008233B9"/>
    <w:rsid w:val="00823CE8"/>
    <w:rsid w:val="00825165"/>
    <w:rsid w:val="008252CB"/>
    <w:rsid w:val="00831B6A"/>
    <w:rsid w:val="00832002"/>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1907"/>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1ABA"/>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292"/>
    <w:rsid w:val="00AD69AD"/>
    <w:rsid w:val="00AD6A0D"/>
    <w:rsid w:val="00AE020A"/>
    <w:rsid w:val="00AE023A"/>
    <w:rsid w:val="00AE05B5"/>
    <w:rsid w:val="00AF09A9"/>
    <w:rsid w:val="00AF1D0D"/>
    <w:rsid w:val="00AF3A32"/>
    <w:rsid w:val="00AF3A9C"/>
    <w:rsid w:val="00AF56A9"/>
    <w:rsid w:val="00AF6880"/>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45E"/>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77CB7"/>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66B69"/>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54C"/>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3C5B"/>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31D9"/>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27AE3"/>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numbering" w:customStyle="1" w:styleId="Style2">
    <w:name w:val="Style2"/>
    <w:uiPriority w:val="99"/>
    <w:rsid w:val="00832002"/>
    <w:pPr>
      <w:numPr>
        <w:numId w:val="29"/>
      </w:numPr>
    </w:pPr>
  </w:style>
  <w:style w:type="numbering" w:customStyle="1" w:styleId="Style1">
    <w:name w:val="Style1"/>
    <w:uiPriority w:val="99"/>
    <w:rsid w:val="0083200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AZJMDCZ6QSYZ-1849078857-32440</_dlc_DocId>
    <_dlc_DocIdUrl xmlns="a494813a-d0d8-4dad-94cb-0d196f36ba15">
      <Url>https://ekoordinacije.vlada.hr/koordinacija-gospodarstvo/_layouts/15/DocIdRedir.aspx?ID=AZJMDCZ6QSYZ-1849078857-32440</Url>
      <Description>AZJMDCZ6QSYZ-1849078857-32440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1020-E6BF-44A1-B72F-65130A9F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2ED99-F34D-4156-83FF-F47FDE68BC78}">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3E4067E-E444-4586-A5D5-A2C7FF7409D0}">
  <ds:schemaRefs>
    <ds:schemaRef ds:uri="http://schemas.microsoft.com/sharepoint/v3/contenttype/forms"/>
  </ds:schemaRefs>
</ds:datastoreItem>
</file>

<file path=customXml/itemProps4.xml><?xml version="1.0" encoding="utf-8"?>
<ds:datastoreItem xmlns:ds="http://schemas.openxmlformats.org/officeDocument/2006/customXml" ds:itemID="{311FE2ED-024E-4E33-B492-993D7548816F}">
  <ds:schemaRefs>
    <ds:schemaRef ds:uri="http://schemas.microsoft.com/sharepoint/events"/>
  </ds:schemaRefs>
</ds:datastoreItem>
</file>

<file path=customXml/itemProps5.xml><?xml version="1.0" encoding="utf-8"?>
<ds:datastoreItem xmlns:ds="http://schemas.openxmlformats.org/officeDocument/2006/customXml" ds:itemID="{22E06803-9754-4655-8238-C019FD2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Ines Uglešić</cp:lastModifiedBy>
  <cp:revision>10</cp:revision>
  <cp:lastPrinted>2023-05-18T07:40:00Z</cp:lastPrinted>
  <dcterms:created xsi:type="dcterms:W3CDTF">2023-05-18T07:54:00Z</dcterms:created>
  <dcterms:modified xsi:type="dcterms:W3CDTF">2023-10-30T09:52:00Z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c076fda1-e2a6-419f-96b9-23b238f77896</vt:lpwstr>
  </property>
</Properties>
</file>