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F9AFB" w14:textId="77777777" w:rsidR="00586467" w:rsidRDefault="00586467" w:rsidP="00586467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4C66" w14:textId="77777777" w:rsidR="00586467" w:rsidRDefault="00586467" w:rsidP="00586467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4B34CE41" w14:textId="77777777" w:rsidR="00586467" w:rsidRDefault="00586467" w:rsidP="00586467"/>
    <w:p w14:paraId="43D96E5A" w14:textId="77777777" w:rsidR="00586467" w:rsidRDefault="00586467" w:rsidP="00586467">
      <w:pPr>
        <w:spacing w:after="2400"/>
        <w:jc w:val="right"/>
      </w:pPr>
      <w:r w:rsidRPr="00586467">
        <w:t>Zagreb, 11. svibnja 2023.</w:t>
      </w:r>
    </w:p>
    <w:p w14:paraId="076B4B44" w14:textId="77777777" w:rsidR="00586467" w:rsidRDefault="00586467" w:rsidP="00586467">
      <w:pPr>
        <w:spacing w:line="360" w:lineRule="auto"/>
      </w:pPr>
      <w: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586467" w14:paraId="17EA6ED5" w14:textId="77777777" w:rsidTr="00586467">
        <w:tc>
          <w:tcPr>
            <w:tcW w:w="1949" w:type="dxa"/>
            <w:hideMark/>
          </w:tcPr>
          <w:p w14:paraId="3A3317A4" w14:textId="77777777" w:rsidR="00586467" w:rsidRDefault="00586467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123" w:type="dxa"/>
            <w:hideMark/>
          </w:tcPr>
          <w:p w14:paraId="551EC14C" w14:textId="77777777" w:rsidR="00586467" w:rsidRDefault="00586467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7AA9C46" w14:textId="77777777" w:rsidR="00586467" w:rsidRDefault="00586467" w:rsidP="00586467">
      <w:pPr>
        <w:spacing w:line="360" w:lineRule="auto"/>
      </w:pPr>
      <w: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586467" w14:paraId="4BD13FF3" w14:textId="77777777" w:rsidTr="00586467">
        <w:tc>
          <w:tcPr>
            <w:tcW w:w="1940" w:type="dxa"/>
            <w:hideMark/>
          </w:tcPr>
          <w:p w14:paraId="0739FA6E" w14:textId="77777777" w:rsidR="00586467" w:rsidRDefault="00586467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131" w:type="dxa"/>
            <w:hideMark/>
          </w:tcPr>
          <w:p w14:paraId="56490EFF" w14:textId="77777777" w:rsidR="00586467" w:rsidRPr="00586467" w:rsidRDefault="00586467" w:rsidP="00586467">
            <w:pPr>
              <w:spacing w:line="360" w:lineRule="auto"/>
              <w:jc w:val="both"/>
            </w:pPr>
            <w:r w:rsidRPr="00586467">
              <w:t xml:space="preserve">Prijedlog odluke </w:t>
            </w:r>
            <w:r w:rsidRPr="00586467">
              <w:rPr>
                <w:szCs w:val="24"/>
              </w:rPr>
              <w:t>o financijskom doprinosu Republike Hrvatske Europskom sudu za ljudska prava</w:t>
            </w:r>
            <w:r w:rsidRPr="00586467">
              <w:t xml:space="preserve"> </w:t>
            </w:r>
          </w:p>
        </w:tc>
      </w:tr>
    </w:tbl>
    <w:p w14:paraId="358F3C06" w14:textId="77777777" w:rsidR="00586467" w:rsidRDefault="00586467" w:rsidP="00586467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52FE777D" w14:textId="77777777" w:rsidR="00586467" w:rsidRDefault="00586467" w:rsidP="00586467"/>
    <w:p w14:paraId="073AD0ED" w14:textId="77777777" w:rsidR="00586467" w:rsidRDefault="00586467" w:rsidP="00586467"/>
    <w:p w14:paraId="766DD7C1" w14:textId="77777777" w:rsidR="00586467" w:rsidRDefault="00586467" w:rsidP="00586467"/>
    <w:p w14:paraId="6EFB0823" w14:textId="77777777" w:rsidR="00586467" w:rsidRDefault="00586467" w:rsidP="00586467"/>
    <w:p w14:paraId="2F741ED4" w14:textId="77777777" w:rsidR="00586467" w:rsidRDefault="00586467" w:rsidP="00586467"/>
    <w:p w14:paraId="14CF6517" w14:textId="77777777" w:rsidR="00586467" w:rsidRDefault="00586467" w:rsidP="00586467"/>
    <w:p w14:paraId="7365CE10" w14:textId="77777777" w:rsidR="00586467" w:rsidRDefault="00586467" w:rsidP="00586467"/>
    <w:p w14:paraId="239F2A2F" w14:textId="77777777" w:rsidR="00586467" w:rsidRDefault="00586467" w:rsidP="00586467"/>
    <w:p w14:paraId="2C2215FB" w14:textId="77777777" w:rsidR="00586467" w:rsidRDefault="00586467" w:rsidP="00586467"/>
    <w:p w14:paraId="32B20DE9" w14:textId="77777777" w:rsidR="00586467" w:rsidRDefault="00586467" w:rsidP="00586467"/>
    <w:p w14:paraId="73CC614F" w14:textId="77777777" w:rsidR="00586467" w:rsidRDefault="00586467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</w:pPr>
    </w:p>
    <w:p w14:paraId="6CEDF72F" w14:textId="77777777" w:rsidR="00586467" w:rsidRDefault="00586467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  <w:sectPr w:rsidR="00586467" w:rsidSect="00834E20"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720" w:footer="720" w:gutter="0"/>
          <w:paperSrc w:first="7" w:other="7"/>
          <w:cols w:space="720"/>
          <w:titlePg/>
        </w:sectPr>
      </w:pPr>
    </w:p>
    <w:p w14:paraId="0030B379" w14:textId="77777777" w:rsidR="00131824" w:rsidRPr="00586467" w:rsidRDefault="00131824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i/>
          <w:szCs w:val="24"/>
          <w:lang w:val="hr-HR"/>
        </w:rPr>
      </w:pPr>
      <w:r w:rsidRPr="00586467">
        <w:rPr>
          <w:i/>
          <w:szCs w:val="24"/>
          <w:lang w:val="de-DE"/>
        </w:rPr>
        <w:lastRenderedPageBreak/>
        <w:t>PRIJEDLOG</w:t>
      </w:r>
    </w:p>
    <w:p w14:paraId="6761E3EC" w14:textId="77777777" w:rsidR="00AE0866" w:rsidRDefault="00AE0866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  <w:szCs w:val="24"/>
          <w:lang w:val="de-DE"/>
        </w:rPr>
      </w:pPr>
    </w:p>
    <w:p w14:paraId="3171D311" w14:textId="77777777" w:rsidR="00586467" w:rsidRDefault="00586467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  <w:szCs w:val="24"/>
          <w:lang w:val="de-DE"/>
        </w:rPr>
      </w:pPr>
    </w:p>
    <w:p w14:paraId="47AFCD06" w14:textId="67AB50CF" w:rsidR="00CA7BAA" w:rsidRPr="00441C61" w:rsidRDefault="00CA7BAA" w:rsidP="001654A7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441C61">
        <w:t>Na temelju članka</w:t>
      </w:r>
      <w:r w:rsidR="001D4868">
        <w:t xml:space="preserve"> 8. i članka </w:t>
      </w:r>
      <w:r w:rsidRPr="00441C61">
        <w:t>31. stavka 2. Zakona o Vladi Republike Hrvatske (Narodne novine, broj 150/11, 119/14, 93/16, 116/18 i 80/22), Vlada Republike Hrvatske je na sjednici održanoj _______ 2023. godine donijela</w:t>
      </w:r>
    </w:p>
    <w:p w14:paraId="3E5940D0" w14:textId="77777777" w:rsidR="00CA7BAA" w:rsidRPr="00441C61" w:rsidRDefault="00CA7BAA" w:rsidP="001654A7">
      <w:pPr>
        <w:pStyle w:val="BodyText2"/>
        <w:spacing w:after="0" w:line="240" w:lineRule="auto"/>
        <w:jc w:val="both"/>
        <w:rPr>
          <w:szCs w:val="24"/>
          <w:lang w:val="hr-HR"/>
        </w:rPr>
      </w:pPr>
    </w:p>
    <w:p w14:paraId="0118390B" w14:textId="77777777" w:rsidR="00CA7BAA" w:rsidRPr="00E9509F" w:rsidRDefault="00CA7BAA" w:rsidP="00CA7BAA">
      <w:pPr>
        <w:jc w:val="center"/>
        <w:rPr>
          <w:b/>
          <w:szCs w:val="24"/>
          <w:lang w:val="de-DE"/>
        </w:rPr>
      </w:pPr>
    </w:p>
    <w:p w14:paraId="1951076E" w14:textId="77777777" w:rsidR="00CA7BAA" w:rsidRPr="00441C61" w:rsidRDefault="00CA7BAA" w:rsidP="00CA7BAA">
      <w:pPr>
        <w:jc w:val="center"/>
        <w:rPr>
          <w:b/>
          <w:szCs w:val="24"/>
        </w:rPr>
      </w:pPr>
      <w:r w:rsidRPr="00441C61">
        <w:rPr>
          <w:b/>
          <w:szCs w:val="24"/>
        </w:rPr>
        <w:t>ODLUKU</w:t>
      </w:r>
    </w:p>
    <w:p w14:paraId="5496D5C9" w14:textId="77777777" w:rsidR="00CA7BAA" w:rsidRPr="00441C61" w:rsidRDefault="00CA7BAA" w:rsidP="00CA7BAA">
      <w:pPr>
        <w:jc w:val="center"/>
        <w:rPr>
          <w:b/>
          <w:szCs w:val="24"/>
        </w:rPr>
      </w:pPr>
      <w:bookmarkStart w:id="0" w:name="_Hlk134602730"/>
    </w:p>
    <w:p w14:paraId="399468A8" w14:textId="77777777" w:rsidR="00CA7BAA" w:rsidRPr="00441C61" w:rsidRDefault="00CA7BAA" w:rsidP="00CA7BAA">
      <w:pPr>
        <w:jc w:val="center"/>
        <w:rPr>
          <w:b/>
          <w:szCs w:val="24"/>
        </w:rPr>
      </w:pPr>
      <w:bookmarkStart w:id="1" w:name="_Hlk129003004"/>
      <w:r>
        <w:rPr>
          <w:b/>
          <w:szCs w:val="24"/>
        </w:rPr>
        <w:t>o</w:t>
      </w:r>
      <w:r w:rsidRPr="00441C61">
        <w:rPr>
          <w:b/>
          <w:szCs w:val="24"/>
        </w:rPr>
        <w:t xml:space="preserve"> </w:t>
      </w:r>
      <w:r>
        <w:rPr>
          <w:b/>
          <w:szCs w:val="24"/>
        </w:rPr>
        <w:t xml:space="preserve">financijskom </w:t>
      </w:r>
      <w:r w:rsidRPr="00441C61">
        <w:rPr>
          <w:b/>
          <w:szCs w:val="24"/>
        </w:rPr>
        <w:t xml:space="preserve">doprinosu </w:t>
      </w:r>
      <w:r>
        <w:rPr>
          <w:b/>
          <w:szCs w:val="24"/>
        </w:rPr>
        <w:t>Republike Hrvatske Europskom sudu za ljudska prava</w:t>
      </w:r>
    </w:p>
    <w:bookmarkEnd w:id="0"/>
    <w:bookmarkEnd w:id="1"/>
    <w:p w14:paraId="0D7FD518" w14:textId="77777777" w:rsidR="00CA7BAA" w:rsidRPr="00441C61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Cs w:val="24"/>
          <w:lang w:val="pt-BR"/>
        </w:rPr>
      </w:pPr>
    </w:p>
    <w:p w14:paraId="7C1EA7F2" w14:textId="77777777" w:rsidR="00CA7BAA" w:rsidRPr="00441C61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Cs w:val="24"/>
          <w:lang w:val="pt-BR"/>
        </w:rPr>
      </w:pPr>
    </w:p>
    <w:p w14:paraId="3F1DF1E4" w14:textId="77777777" w:rsidR="00CA7BAA" w:rsidRPr="00E9509F" w:rsidRDefault="00CA7BAA" w:rsidP="00CA7BAA">
      <w:pPr>
        <w:jc w:val="center"/>
        <w:rPr>
          <w:b/>
          <w:color w:val="000000" w:themeColor="text1"/>
          <w:szCs w:val="24"/>
          <w:lang w:val="pt-BR"/>
        </w:rPr>
      </w:pPr>
      <w:r w:rsidRPr="00E9509F">
        <w:rPr>
          <w:b/>
          <w:color w:val="000000" w:themeColor="text1"/>
          <w:szCs w:val="24"/>
          <w:lang w:val="pt-BR"/>
        </w:rPr>
        <w:t>I.</w:t>
      </w:r>
    </w:p>
    <w:p w14:paraId="7AD57EC8" w14:textId="3F72FBC9" w:rsidR="00CA7BAA" w:rsidRPr="00E9509F" w:rsidRDefault="00CA7BAA" w:rsidP="00CA7BAA">
      <w:pPr>
        <w:ind w:firstLine="720"/>
        <w:jc w:val="both"/>
        <w:rPr>
          <w:color w:val="000000" w:themeColor="text1"/>
          <w:szCs w:val="24"/>
          <w:lang w:val="pt-BR"/>
        </w:rPr>
      </w:pPr>
      <w:r>
        <w:rPr>
          <w:color w:val="000000" w:themeColor="text1"/>
          <w:szCs w:val="24"/>
          <w:lang w:val="pt-BR"/>
        </w:rPr>
        <w:t>Vlada</w:t>
      </w:r>
      <w:r w:rsidRPr="00E9509F">
        <w:rPr>
          <w:color w:val="000000" w:themeColor="text1"/>
          <w:szCs w:val="24"/>
          <w:lang w:val="pt-BR"/>
        </w:rPr>
        <w:t xml:space="preserve"> Republike Hrvatske </w:t>
      </w:r>
      <w:r>
        <w:rPr>
          <w:color w:val="000000" w:themeColor="text1"/>
          <w:szCs w:val="24"/>
          <w:lang w:val="pt-BR"/>
        </w:rPr>
        <w:t xml:space="preserve">donosi odluku o </w:t>
      </w:r>
      <w:r w:rsidR="00C55D04">
        <w:rPr>
          <w:color w:val="000000" w:themeColor="text1"/>
          <w:szCs w:val="24"/>
          <w:lang w:val="pt-BR"/>
        </w:rPr>
        <w:t xml:space="preserve">financijskom </w:t>
      </w:r>
      <w:r>
        <w:rPr>
          <w:color w:val="000000" w:themeColor="text1"/>
          <w:szCs w:val="24"/>
          <w:lang w:val="pt-BR"/>
        </w:rPr>
        <w:t>doprinosu Europskom sudu za ljudska prava</w:t>
      </w:r>
      <w:r w:rsidRPr="00E9509F">
        <w:rPr>
          <w:color w:val="000000" w:themeColor="text1"/>
          <w:szCs w:val="24"/>
          <w:lang w:val="pt-BR"/>
        </w:rPr>
        <w:t xml:space="preserve"> u </w:t>
      </w:r>
      <w:r w:rsidR="00C55D04">
        <w:rPr>
          <w:color w:val="000000" w:themeColor="text1"/>
          <w:szCs w:val="24"/>
          <w:lang w:val="pt-BR"/>
        </w:rPr>
        <w:t xml:space="preserve">sveukupnom </w:t>
      </w:r>
      <w:r w:rsidRPr="00E9509F">
        <w:rPr>
          <w:color w:val="000000" w:themeColor="text1"/>
          <w:szCs w:val="24"/>
          <w:lang w:val="pt-BR"/>
        </w:rPr>
        <w:t xml:space="preserve">iznosu od </w:t>
      </w:r>
      <w:r>
        <w:rPr>
          <w:color w:val="000000" w:themeColor="text1"/>
          <w:szCs w:val="24"/>
          <w:lang w:val="pt-BR"/>
        </w:rPr>
        <w:t>10</w:t>
      </w:r>
      <w:r w:rsidRPr="00E9509F">
        <w:rPr>
          <w:color w:val="000000" w:themeColor="text1"/>
          <w:szCs w:val="24"/>
          <w:lang w:val="pt-BR"/>
        </w:rPr>
        <w:t xml:space="preserve">0.000,00 </w:t>
      </w:r>
      <w:r>
        <w:rPr>
          <w:color w:val="000000" w:themeColor="text1"/>
          <w:szCs w:val="24"/>
          <w:lang w:val="pt-BR"/>
        </w:rPr>
        <w:t>EUR</w:t>
      </w:r>
      <w:r w:rsidRPr="003345E1">
        <w:rPr>
          <w:szCs w:val="24"/>
          <w:lang w:val="pt-BR"/>
        </w:rPr>
        <w:t xml:space="preserve"> tijekom razdoblja od 2023. do 2025. godine</w:t>
      </w:r>
      <w:r w:rsidRPr="00E9509F">
        <w:rPr>
          <w:color w:val="000000" w:themeColor="text1"/>
          <w:szCs w:val="24"/>
          <w:lang w:val="pt-BR"/>
        </w:rPr>
        <w:t xml:space="preserve">. </w:t>
      </w:r>
    </w:p>
    <w:p w14:paraId="6B6DBF61" w14:textId="77777777" w:rsidR="00CA7BAA" w:rsidRPr="00E9509F" w:rsidRDefault="00CA7BAA" w:rsidP="00CA7BAA">
      <w:pPr>
        <w:ind w:firstLine="720"/>
        <w:jc w:val="both"/>
        <w:rPr>
          <w:color w:val="000000" w:themeColor="text1"/>
          <w:szCs w:val="24"/>
          <w:lang w:val="pt-BR"/>
        </w:rPr>
      </w:pPr>
    </w:p>
    <w:p w14:paraId="6C53EED6" w14:textId="77777777" w:rsidR="00CA7BAA" w:rsidRPr="003345E1" w:rsidRDefault="00CA7BAA" w:rsidP="00CA7BAA">
      <w:pPr>
        <w:jc w:val="center"/>
        <w:rPr>
          <w:b/>
          <w:bCs/>
          <w:color w:val="000000" w:themeColor="text1"/>
          <w:szCs w:val="24"/>
          <w:lang w:val="pt-BR"/>
        </w:rPr>
      </w:pPr>
      <w:r w:rsidRPr="003345E1">
        <w:rPr>
          <w:b/>
          <w:bCs/>
          <w:color w:val="000000" w:themeColor="text1"/>
          <w:szCs w:val="24"/>
          <w:lang w:val="pt-BR"/>
        </w:rPr>
        <w:t>II.</w:t>
      </w:r>
    </w:p>
    <w:p w14:paraId="6AFE78A8" w14:textId="77777777" w:rsidR="00CA7BAA" w:rsidRPr="003345E1" w:rsidRDefault="00CA7BAA" w:rsidP="00CA7BAA">
      <w:pPr>
        <w:ind w:firstLine="720"/>
        <w:jc w:val="both"/>
        <w:rPr>
          <w:color w:val="000000" w:themeColor="text1"/>
          <w:szCs w:val="24"/>
          <w:lang w:val="pt-BR"/>
        </w:rPr>
      </w:pPr>
      <w:r w:rsidRPr="003345E1">
        <w:rPr>
          <w:color w:val="000000" w:themeColor="text1"/>
          <w:szCs w:val="24"/>
          <w:lang w:val="pt-BR"/>
        </w:rPr>
        <w:t>Zadužuje se Ministarstvo vanjskih i europskih poslova za pripremu, ugovaranje i izvršenje aktivnosti iz točke I. ove Odluke.</w:t>
      </w:r>
    </w:p>
    <w:p w14:paraId="3F67BB0B" w14:textId="77777777" w:rsidR="00CA7BAA" w:rsidRPr="003345E1" w:rsidRDefault="00CA7BAA" w:rsidP="00CA7BAA">
      <w:pPr>
        <w:ind w:firstLine="720"/>
        <w:jc w:val="both"/>
        <w:rPr>
          <w:color w:val="000000" w:themeColor="text1"/>
          <w:szCs w:val="24"/>
          <w:lang w:val="pt-BR"/>
        </w:rPr>
      </w:pPr>
    </w:p>
    <w:p w14:paraId="097F7223" w14:textId="77777777" w:rsidR="00CA7BAA" w:rsidRPr="003345E1" w:rsidRDefault="00CA7BAA" w:rsidP="00CA7BAA">
      <w:pPr>
        <w:jc w:val="center"/>
        <w:rPr>
          <w:b/>
          <w:color w:val="000000" w:themeColor="text1"/>
          <w:szCs w:val="24"/>
          <w:lang w:val="pt-BR"/>
        </w:rPr>
      </w:pPr>
    </w:p>
    <w:p w14:paraId="794A53B8" w14:textId="77777777" w:rsidR="00CA7BAA" w:rsidRPr="003345E1" w:rsidRDefault="00CA7BAA" w:rsidP="00CA7BAA">
      <w:pPr>
        <w:jc w:val="center"/>
        <w:rPr>
          <w:b/>
          <w:color w:val="000000" w:themeColor="text1"/>
          <w:szCs w:val="24"/>
          <w:lang w:val="pt-BR"/>
        </w:rPr>
      </w:pPr>
      <w:r w:rsidRPr="003345E1">
        <w:rPr>
          <w:b/>
          <w:color w:val="000000" w:themeColor="text1"/>
          <w:szCs w:val="24"/>
          <w:lang w:val="pt-BR"/>
        </w:rPr>
        <w:t xml:space="preserve">III. </w:t>
      </w:r>
    </w:p>
    <w:p w14:paraId="337AC416" w14:textId="579CE039" w:rsidR="00CA7BAA" w:rsidRPr="003345E1" w:rsidRDefault="00CA7BAA" w:rsidP="00CA7BAA">
      <w:pPr>
        <w:ind w:firstLine="720"/>
        <w:jc w:val="both"/>
        <w:rPr>
          <w:color w:val="000000" w:themeColor="text1"/>
          <w:szCs w:val="24"/>
          <w:lang w:val="pt-BR"/>
        </w:rPr>
      </w:pPr>
      <w:bookmarkStart w:id="2" w:name="_Hlk127779812"/>
      <w:r>
        <w:rPr>
          <w:color w:val="000000" w:themeColor="text1"/>
          <w:szCs w:val="24"/>
          <w:lang w:val="pt-BR"/>
        </w:rPr>
        <w:t xml:space="preserve">Financijska sredstva za provedbu Odluke o </w:t>
      </w:r>
      <w:r w:rsidR="00D833DD">
        <w:rPr>
          <w:color w:val="000000" w:themeColor="text1"/>
          <w:szCs w:val="24"/>
          <w:lang w:val="pt-BR"/>
        </w:rPr>
        <w:t xml:space="preserve">financijskom </w:t>
      </w:r>
      <w:bookmarkStart w:id="3" w:name="_GoBack"/>
      <w:bookmarkEnd w:id="3"/>
      <w:r w:rsidRPr="00A65303">
        <w:rPr>
          <w:color w:val="000000" w:themeColor="text1"/>
          <w:szCs w:val="24"/>
          <w:lang w:val="pt-BR"/>
        </w:rPr>
        <w:t xml:space="preserve">doprinosu </w:t>
      </w:r>
      <w:r>
        <w:rPr>
          <w:color w:val="000000" w:themeColor="text1"/>
          <w:szCs w:val="24"/>
          <w:lang w:val="pt-BR"/>
        </w:rPr>
        <w:t>Europskom sudu za ljudska prava osigurana su u Državnom proračunu Republike Hrvatske za 2023. godinu i projekcijama za 2024. i 2025. na razdjelu 048 Ministarstvo vanjskih i europskih poslova.</w:t>
      </w:r>
    </w:p>
    <w:bookmarkEnd w:id="2"/>
    <w:p w14:paraId="07C15EC8" w14:textId="77777777" w:rsidR="00CA7BAA" w:rsidRPr="003345E1" w:rsidRDefault="00CA7BAA" w:rsidP="00CA7BAA">
      <w:pPr>
        <w:jc w:val="center"/>
        <w:rPr>
          <w:b/>
          <w:color w:val="000000" w:themeColor="text1"/>
          <w:szCs w:val="24"/>
          <w:lang w:val="pt-BR"/>
        </w:rPr>
      </w:pPr>
    </w:p>
    <w:p w14:paraId="205DC984" w14:textId="77777777" w:rsidR="00CA7BAA" w:rsidRDefault="00CA7BAA" w:rsidP="00CA7BAA">
      <w:pPr>
        <w:jc w:val="center"/>
        <w:rPr>
          <w:b/>
          <w:color w:val="000000" w:themeColor="text1"/>
          <w:szCs w:val="24"/>
        </w:rPr>
      </w:pPr>
      <w:r w:rsidRPr="00441C61">
        <w:rPr>
          <w:b/>
          <w:color w:val="000000" w:themeColor="text1"/>
          <w:szCs w:val="24"/>
        </w:rPr>
        <w:t>IV.</w:t>
      </w:r>
      <w:r>
        <w:rPr>
          <w:b/>
          <w:color w:val="000000" w:themeColor="text1"/>
          <w:szCs w:val="24"/>
        </w:rPr>
        <w:t xml:space="preserve"> </w:t>
      </w:r>
    </w:p>
    <w:p w14:paraId="4908A2E5" w14:textId="77777777" w:rsidR="00CA7BAA" w:rsidRPr="00441C61" w:rsidRDefault="00CA7BAA" w:rsidP="00CA7BAA">
      <w:pPr>
        <w:ind w:firstLine="720"/>
        <w:jc w:val="both"/>
        <w:rPr>
          <w:color w:val="000000" w:themeColor="text1"/>
          <w:szCs w:val="24"/>
        </w:rPr>
      </w:pPr>
      <w:r w:rsidRPr="00441C61">
        <w:rPr>
          <w:color w:val="000000" w:themeColor="text1"/>
          <w:szCs w:val="24"/>
        </w:rPr>
        <w:t>Ova Odluka stupa na snagu danom donošenja.</w:t>
      </w:r>
    </w:p>
    <w:p w14:paraId="6B5E1224" w14:textId="77777777" w:rsidR="00CA7BAA" w:rsidRPr="00441C61" w:rsidRDefault="00CA7BAA" w:rsidP="00CA7BAA">
      <w:pPr>
        <w:ind w:firstLine="720"/>
        <w:jc w:val="both"/>
        <w:rPr>
          <w:color w:val="000000" w:themeColor="text1"/>
          <w:szCs w:val="24"/>
        </w:rPr>
      </w:pPr>
    </w:p>
    <w:p w14:paraId="12EADEF3" w14:textId="77777777" w:rsidR="00CA7BAA" w:rsidRPr="00441C61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24"/>
          <w:lang w:val="hr-HR"/>
        </w:rPr>
      </w:pPr>
    </w:p>
    <w:p w14:paraId="5777CB18" w14:textId="77777777" w:rsidR="00CA7BAA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24"/>
          <w:lang w:val="hr-HR"/>
        </w:rPr>
      </w:pPr>
    </w:p>
    <w:p w14:paraId="29B7481D" w14:textId="77777777" w:rsidR="00CA7BAA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24"/>
          <w:lang w:val="hr-HR"/>
        </w:rPr>
      </w:pPr>
    </w:p>
    <w:p w14:paraId="775645B1" w14:textId="77777777" w:rsidR="00CA7BAA" w:rsidRPr="00441C61" w:rsidRDefault="00CA7BA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24"/>
          <w:lang w:val="hr-HR"/>
        </w:rPr>
      </w:pPr>
    </w:p>
    <w:p w14:paraId="43BC8A3E" w14:textId="77777777" w:rsidR="00CA7BAA" w:rsidRPr="00E9509F" w:rsidRDefault="00CA7BAA" w:rsidP="00CA7BAA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KLASA:</w:t>
      </w:r>
    </w:p>
    <w:p w14:paraId="33103894" w14:textId="77777777" w:rsidR="00CA7BAA" w:rsidRPr="00E9509F" w:rsidRDefault="00CA7BAA" w:rsidP="00CA7BAA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URBROJ:</w:t>
      </w:r>
    </w:p>
    <w:p w14:paraId="10574742" w14:textId="77777777" w:rsidR="00CA7BAA" w:rsidRPr="00E9509F" w:rsidRDefault="00CA7BAA" w:rsidP="00CA7BAA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Zagreb,</w:t>
      </w:r>
      <w:r w:rsidRPr="00E9509F">
        <w:rPr>
          <w:rFonts w:eastAsia="Calibri"/>
          <w:color w:val="000000" w:themeColor="text1"/>
          <w:szCs w:val="24"/>
          <w:lang w:val="de-DE"/>
        </w:rPr>
        <w:tab/>
        <w:t>___________ 2023.</w:t>
      </w:r>
    </w:p>
    <w:p w14:paraId="7F555902" w14:textId="77777777" w:rsidR="00CA7BAA" w:rsidRPr="00E9509F" w:rsidRDefault="00CA7BAA" w:rsidP="00CA7BAA">
      <w:pPr>
        <w:spacing w:line="20" w:lineRule="atLeast"/>
        <w:jc w:val="both"/>
        <w:rPr>
          <w:rFonts w:eastAsia="Calibri"/>
          <w:b/>
          <w:color w:val="000000" w:themeColor="text1"/>
          <w:szCs w:val="24"/>
          <w:lang w:val="de-DE"/>
        </w:rPr>
      </w:pPr>
    </w:p>
    <w:p w14:paraId="7DCF4E50" w14:textId="77777777" w:rsidR="00CA7BAA" w:rsidRDefault="00CA7BAA" w:rsidP="00CA7BAA">
      <w:pPr>
        <w:spacing w:line="20" w:lineRule="atLeast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</w:p>
    <w:p w14:paraId="14FC5AE9" w14:textId="77777777" w:rsidR="00CA7BAA" w:rsidRDefault="00CA7BAA" w:rsidP="00CA7BAA">
      <w:pPr>
        <w:spacing w:line="20" w:lineRule="atLeast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</w:p>
    <w:p w14:paraId="30385C43" w14:textId="77777777" w:rsidR="00CA7BAA" w:rsidRPr="00E9509F" w:rsidRDefault="00CA7BAA" w:rsidP="00CA7BAA">
      <w:pPr>
        <w:spacing w:line="20" w:lineRule="atLeast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P R E D S J E D N I K</w:t>
      </w:r>
    </w:p>
    <w:p w14:paraId="7D3831FB" w14:textId="77777777" w:rsidR="00CA7BAA" w:rsidRPr="00E9509F" w:rsidRDefault="00CA7BAA" w:rsidP="00CA7BAA">
      <w:pPr>
        <w:spacing w:line="20" w:lineRule="atLeast"/>
        <w:ind w:left="9984" w:firstLine="708"/>
        <w:jc w:val="center"/>
        <w:rPr>
          <w:rFonts w:eastAsia="Calibri"/>
          <w:color w:val="000000" w:themeColor="text1"/>
          <w:szCs w:val="24"/>
          <w:lang w:val="de-DE"/>
        </w:rPr>
      </w:pPr>
    </w:p>
    <w:p w14:paraId="6FE25A80" w14:textId="77777777" w:rsidR="00CA7BAA" w:rsidRPr="00E9509F" w:rsidRDefault="00CA7BAA" w:rsidP="00CA7BAA">
      <w:pPr>
        <w:spacing w:line="20" w:lineRule="atLeast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lastRenderedPageBreak/>
        <w:t>mr. sc. Andrej Plenković</w:t>
      </w:r>
    </w:p>
    <w:p w14:paraId="59B6C521" w14:textId="77777777" w:rsidR="00CA7BAA" w:rsidRPr="00441C61" w:rsidRDefault="00CA7BAA" w:rsidP="00CA7BAA">
      <w:pPr>
        <w:pStyle w:val="BodyText2"/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b/>
          <w:spacing w:val="60"/>
          <w:szCs w:val="24"/>
          <w:lang w:val="de-DE"/>
        </w:rPr>
      </w:pPr>
    </w:p>
    <w:p w14:paraId="53B55ABA" w14:textId="77777777" w:rsidR="00CA7BAA" w:rsidRDefault="00CA7BAA" w:rsidP="00CA7BAA">
      <w:pPr>
        <w:rPr>
          <w:b/>
          <w:spacing w:val="60"/>
          <w:szCs w:val="24"/>
          <w:lang w:val="de-DE"/>
        </w:rPr>
      </w:pPr>
      <w:r>
        <w:rPr>
          <w:b/>
          <w:spacing w:val="60"/>
          <w:szCs w:val="24"/>
          <w:lang w:val="de-DE"/>
        </w:rPr>
        <w:br w:type="page"/>
      </w:r>
    </w:p>
    <w:p w14:paraId="6F66864E" w14:textId="77777777" w:rsidR="00CA7BAA" w:rsidRPr="00E9509F" w:rsidRDefault="00CA7BAA" w:rsidP="00CA7BAA">
      <w:pPr>
        <w:tabs>
          <w:tab w:val="center" w:pos="7380"/>
        </w:tabs>
        <w:jc w:val="center"/>
        <w:rPr>
          <w:b/>
          <w:color w:val="000000" w:themeColor="text1"/>
          <w:szCs w:val="24"/>
          <w:lang w:val="de-DE"/>
        </w:rPr>
      </w:pPr>
      <w:r w:rsidRPr="00E9509F">
        <w:rPr>
          <w:b/>
          <w:color w:val="000000" w:themeColor="text1"/>
          <w:szCs w:val="24"/>
          <w:lang w:val="de-DE"/>
        </w:rPr>
        <w:lastRenderedPageBreak/>
        <w:t xml:space="preserve">OBRAZLOŽENJE </w:t>
      </w:r>
    </w:p>
    <w:p w14:paraId="4B3B5E63" w14:textId="77777777" w:rsidR="00CA7BAA" w:rsidRPr="00E9509F" w:rsidRDefault="00CA7BAA" w:rsidP="00CA7BAA">
      <w:pPr>
        <w:tabs>
          <w:tab w:val="center" w:pos="7380"/>
        </w:tabs>
        <w:jc w:val="center"/>
        <w:rPr>
          <w:color w:val="000000" w:themeColor="text1"/>
          <w:szCs w:val="24"/>
          <w:lang w:val="de-DE"/>
        </w:rPr>
      </w:pPr>
    </w:p>
    <w:p w14:paraId="3FA0E623" w14:textId="77777777" w:rsidR="00CA7BAA" w:rsidRDefault="00CA7BAA" w:rsidP="00CA7BA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129080785"/>
      <w:bookmarkStart w:id="5" w:name="_Hlk127781345"/>
      <w:r w:rsidRPr="006D13F7">
        <w:rPr>
          <w:rFonts w:ascii="Times New Roman" w:hAnsi="Times New Roman" w:cs="Times New Roman"/>
          <w:color w:val="000000"/>
          <w:sz w:val="24"/>
          <w:szCs w:val="24"/>
        </w:rPr>
        <w:t>Europski sud za ljudska prava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(ESLJP)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je nadzorno tijelo Europske konvencije za zaštitu ljudskih prava i temeljnih sloboda (stupila na snagu 1953.),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koji temeljem pojedinačnih pritužbi građana utvrđuje povrede prava zajamčenih Konvencijom, a kao stalno tijelo djeluje od 1998. </w:t>
      </w:r>
      <w:bookmarkStart w:id="6" w:name="_Hlk134525656"/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Konvencija sadrži popis prava i sloboda koje su </w:t>
      </w:r>
      <w:r>
        <w:rPr>
          <w:rFonts w:ascii="Times New Roman" w:hAnsi="Times New Roman" w:cs="Times New Roman"/>
          <w:color w:val="000000"/>
          <w:sz w:val="24"/>
          <w:szCs w:val="24"/>
        </w:rPr>
        <w:t>države članice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 dužne jamčiti svakome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pojedincu.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6"/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Konvencijski sustav zaštite se temelji na načelu supsidijarnosti, što znači da su </w:t>
      </w:r>
      <w:r w:rsidRPr="00A65303">
        <w:rPr>
          <w:rFonts w:ascii="Times New Roman" w:hAnsi="Times New Roman" w:cs="Times New Roman"/>
          <w:color w:val="000000"/>
          <w:sz w:val="24"/>
          <w:szCs w:val="24"/>
        </w:rPr>
        <w:t xml:space="preserve">države članice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primarno odgovorne za zaštitu ljudskih prava i temeljnih sloboda svojih građana te su dužne ispraviti moguće povrede i spriječiti njihovo ponavljanje.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AA9B551" w14:textId="77777777" w:rsidR="00CA7BAA" w:rsidRPr="006D13F7" w:rsidRDefault="00CA7BAA" w:rsidP="00CA7BA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DADC7" w14:textId="77777777" w:rsidR="00CA7BAA" w:rsidRDefault="00CA7BAA" w:rsidP="00CA7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sjednici u studenom 2020. u Ateni, Odbor ministara Vijeća Europe istaknuo je izuzetan doprinos sustava konvencija Vijeća Europe zaštiti ljudskih prava i vladavine prava u Europi te je naglašena važnost osiguranja odgovarajućeg iznosa financijskih sredstava za uspješan rad ESLJP i ubrzanje rješavanja otvorenih predmeta. </w:t>
      </w:r>
      <w:r w:rsidRPr="00BF3378">
        <w:rPr>
          <w:rFonts w:ascii="Times New Roman" w:hAnsi="Times New Roman" w:cs="Times New Roman"/>
          <w:sz w:val="24"/>
          <w:szCs w:val="24"/>
        </w:rPr>
        <w:t xml:space="preserve">Krajem ožujka 2021. </w:t>
      </w:r>
      <w:r>
        <w:rPr>
          <w:rFonts w:ascii="Times New Roman" w:hAnsi="Times New Roman" w:cs="Times New Roman"/>
          <w:sz w:val="24"/>
          <w:szCs w:val="24"/>
        </w:rPr>
        <w:t>Tajništvo</w:t>
      </w:r>
      <w:r w:rsidRPr="00BF3378">
        <w:rPr>
          <w:rFonts w:ascii="Times New Roman" w:hAnsi="Times New Roman" w:cs="Times New Roman"/>
          <w:sz w:val="24"/>
          <w:szCs w:val="24"/>
        </w:rPr>
        <w:t xml:space="preserve"> ESLJP uputilo je svim d</w:t>
      </w:r>
      <w:r>
        <w:rPr>
          <w:rFonts w:ascii="Times New Roman" w:hAnsi="Times New Roman" w:cs="Times New Roman"/>
          <w:sz w:val="24"/>
          <w:szCs w:val="24"/>
        </w:rPr>
        <w:t>ržavama članicama</w:t>
      </w:r>
      <w:r w:rsidRPr="00BF3378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ijeća Europe pismo s </w:t>
      </w:r>
      <w:r w:rsidRPr="00BF3378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>om na davanje</w:t>
      </w:r>
      <w:r w:rsidRPr="00BF3378">
        <w:rPr>
          <w:rFonts w:ascii="Times New Roman" w:hAnsi="Times New Roman" w:cs="Times New Roman"/>
          <w:sz w:val="24"/>
          <w:szCs w:val="24"/>
        </w:rPr>
        <w:t xml:space="preserve"> dobrovoljnog doprinosa ESLJP. U pismu se navodi kako </w:t>
      </w:r>
      <w:r>
        <w:rPr>
          <w:rFonts w:ascii="Times New Roman" w:hAnsi="Times New Roman" w:cs="Times New Roman"/>
          <w:sz w:val="24"/>
          <w:szCs w:val="24"/>
        </w:rPr>
        <w:t xml:space="preserve">je Tajništvo Suda razvilo </w:t>
      </w:r>
      <w:r w:rsidRPr="00460A90">
        <w:rPr>
          <w:rFonts w:ascii="Times New Roman" w:hAnsi="Times New Roman" w:cs="Times New Roman"/>
          <w:sz w:val="24"/>
          <w:szCs w:val="24"/>
        </w:rPr>
        <w:t>strategiju obrade predmeta kojom će Sud prilagoditi svoju postojeću politiku prioriteta kako bi se usredotočio na predmete posebn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0A90">
        <w:rPr>
          <w:rFonts w:ascii="Times New Roman" w:hAnsi="Times New Roman" w:cs="Times New Roman"/>
          <w:sz w:val="24"/>
          <w:szCs w:val="24"/>
        </w:rPr>
        <w:t xml:space="preserve"> važne za razvoj sustava Konvencija te će u tom kontekstu Sud svoju pozornost usmjeriti na </w:t>
      </w:r>
      <w:r>
        <w:rPr>
          <w:rFonts w:ascii="Times New Roman" w:hAnsi="Times New Roman" w:cs="Times New Roman"/>
          <w:sz w:val="24"/>
          <w:szCs w:val="24"/>
        </w:rPr>
        <w:t>žurno</w:t>
      </w:r>
      <w:r w:rsidRPr="00460A90">
        <w:rPr>
          <w:rFonts w:ascii="Times New Roman" w:hAnsi="Times New Roman" w:cs="Times New Roman"/>
          <w:sz w:val="24"/>
          <w:szCs w:val="24"/>
        </w:rPr>
        <w:t xml:space="preserve"> donošenje presuda u prioritetnim predmetima, čime će se povećati neposredni učinak i relevantnost Suda u državama članicama.</w:t>
      </w:r>
      <w:r>
        <w:rPr>
          <w:rFonts w:ascii="Times New Roman" w:hAnsi="Times New Roman" w:cs="Times New Roman"/>
          <w:sz w:val="24"/>
          <w:szCs w:val="24"/>
        </w:rPr>
        <w:t xml:space="preserve"> Dodatni financijski doprinosi država </w:t>
      </w:r>
      <w:r w:rsidRPr="00BF3378">
        <w:rPr>
          <w:rFonts w:ascii="Times New Roman" w:hAnsi="Times New Roman" w:cs="Times New Roman"/>
          <w:sz w:val="24"/>
          <w:szCs w:val="24"/>
        </w:rPr>
        <w:t>omoguć</w:t>
      </w:r>
      <w:r>
        <w:rPr>
          <w:rFonts w:ascii="Times New Roman" w:hAnsi="Times New Roman" w:cs="Times New Roman"/>
          <w:sz w:val="24"/>
          <w:szCs w:val="24"/>
        </w:rPr>
        <w:t>it će</w:t>
      </w:r>
      <w:r w:rsidRPr="00BF3378">
        <w:rPr>
          <w:rFonts w:ascii="Times New Roman" w:hAnsi="Times New Roman" w:cs="Times New Roman"/>
          <w:sz w:val="24"/>
          <w:szCs w:val="24"/>
        </w:rPr>
        <w:t xml:space="preserve"> ESLJP </w:t>
      </w:r>
      <w:r>
        <w:rPr>
          <w:rFonts w:ascii="Times New Roman" w:hAnsi="Times New Roman" w:cs="Times New Roman"/>
          <w:sz w:val="24"/>
          <w:szCs w:val="24"/>
        </w:rPr>
        <w:t>jačanje ljudskih potencijala Suda</w:t>
      </w:r>
      <w:r w:rsidRPr="00BF3378">
        <w:rPr>
          <w:rFonts w:ascii="Times New Roman" w:hAnsi="Times New Roman" w:cs="Times New Roman"/>
          <w:sz w:val="24"/>
          <w:szCs w:val="24"/>
        </w:rPr>
        <w:t xml:space="preserve"> s ciljem povećanja </w:t>
      </w:r>
      <w:r w:rsidRPr="007761E7">
        <w:rPr>
          <w:rFonts w:ascii="Times New Roman" w:hAnsi="Times New Roman" w:cs="Times New Roman"/>
          <w:sz w:val="24"/>
          <w:szCs w:val="24"/>
        </w:rPr>
        <w:t xml:space="preserve">razine produktivnosti </w:t>
      </w:r>
      <w:r>
        <w:rPr>
          <w:rFonts w:ascii="Times New Roman" w:hAnsi="Times New Roman" w:cs="Times New Roman"/>
          <w:sz w:val="24"/>
          <w:szCs w:val="24"/>
        </w:rPr>
        <w:t>te mogućnosti</w:t>
      </w:r>
      <w:r w:rsidRPr="00BF3378">
        <w:rPr>
          <w:rFonts w:ascii="Times New Roman" w:hAnsi="Times New Roman" w:cs="Times New Roman"/>
          <w:sz w:val="24"/>
          <w:szCs w:val="24"/>
        </w:rPr>
        <w:t xml:space="preserve"> za obradu </w:t>
      </w:r>
      <w:r w:rsidRPr="002131DD">
        <w:rPr>
          <w:rFonts w:ascii="Times New Roman" w:hAnsi="Times New Roman" w:cs="Times New Roman"/>
          <w:sz w:val="24"/>
          <w:szCs w:val="24"/>
        </w:rPr>
        <w:t xml:space="preserve">prioritetnim </w:t>
      </w:r>
      <w:r w:rsidRPr="00BF3378">
        <w:rPr>
          <w:rFonts w:ascii="Times New Roman" w:hAnsi="Times New Roman" w:cs="Times New Roman"/>
          <w:sz w:val="24"/>
          <w:szCs w:val="24"/>
        </w:rPr>
        <w:t>predmeta.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0A4D3" w14:textId="77777777" w:rsidR="00CA7BAA" w:rsidRDefault="00CA7BAA" w:rsidP="00CA7B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602478" w14:textId="77777777" w:rsidR="00CA7BAA" w:rsidRPr="00E763CA" w:rsidRDefault="00CA7BAA" w:rsidP="00CA7BA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Sukladno navedenom, Vlada RH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financijski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će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doprinijeti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 xml:space="preserve">Sudu </w:t>
      </w:r>
      <w:r>
        <w:rPr>
          <w:rFonts w:ascii="Times New Roman" w:hAnsi="Times New Roman" w:cs="Times New Roman"/>
          <w:color w:val="000000"/>
          <w:sz w:val="24"/>
          <w:szCs w:val="24"/>
        </w:rPr>
        <w:t>u iznosu od 1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00.000,00 EUR</w:t>
      </w:r>
      <w:r w:rsidRPr="00460A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3F7">
        <w:rPr>
          <w:rFonts w:ascii="Times New Roman" w:hAnsi="Times New Roman" w:cs="Times New Roman"/>
          <w:color w:val="000000"/>
          <w:sz w:val="24"/>
          <w:szCs w:val="24"/>
        </w:rPr>
        <w:t>tijekom predstojećeg trogodišnjeg razdoblja. F</w:t>
      </w:r>
      <w:bookmarkStart w:id="7" w:name="x__Hlk127779812"/>
      <w:r w:rsidRPr="006D13F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inancijska sredstva za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doprinos </w:t>
      </w:r>
      <w:r w:rsidRPr="006D13F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Republike Hrvatske </w:t>
      </w:r>
      <w:r w:rsidRPr="00E763CA">
        <w:rPr>
          <w:rFonts w:ascii="Times New Roman" w:hAnsi="Times New Roman" w:cs="Times New Roman"/>
          <w:color w:val="000000"/>
          <w:sz w:val="24"/>
          <w:szCs w:val="24"/>
        </w:rPr>
        <w:t>osigurana su u Državnom proračunu Republike Hrvatske za 2023. i projekcijama za 2024. i 2025. iz izvora 11 Opći prihodi i primici na razdjelu 048 Ministarstvo vanjskih i europskih poslova, glavi 04805 Ministarstvo vanjskih i europskih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poslova</w:t>
      </w:r>
      <w:r w:rsidRPr="00E763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4"/>
      <w:bookmarkEnd w:id="5"/>
      <w:bookmarkEnd w:id="7"/>
    </w:p>
    <w:p w14:paraId="0A39430F" w14:textId="5A064E8E" w:rsidR="00B470EA" w:rsidRPr="00586467" w:rsidRDefault="00B470EA" w:rsidP="00CA7BAA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eastAsia="en-US"/>
        </w:rPr>
      </w:pPr>
    </w:p>
    <w:sectPr w:rsidR="00B470EA" w:rsidRPr="00586467" w:rsidSect="00834E20">
      <w:pgSz w:w="11907" w:h="16840" w:code="9"/>
      <w:pgMar w:top="1418" w:right="1418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6BB5" w14:textId="77777777" w:rsidR="00DC7D2A" w:rsidRDefault="00DC7D2A">
      <w:r>
        <w:separator/>
      </w:r>
    </w:p>
  </w:endnote>
  <w:endnote w:type="continuationSeparator" w:id="0">
    <w:p w14:paraId="419BDF09" w14:textId="77777777" w:rsidR="00DC7D2A" w:rsidRDefault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404AF" w14:textId="77777777"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47A74" w14:textId="77777777" w:rsidR="00E52297" w:rsidRDefault="00E5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9205" w14:textId="00B00BD6"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3D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BA7D97" w14:textId="77777777" w:rsidR="00E52297" w:rsidRDefault="00E52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FF379" w14:textId="77777777" w:rsidR="00586467" w:rsidRPr="00CE78D1" w:rsidRDefault="00586467" w:rsidP="00586467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7BC469E" w14:textId="77777777" w:rsidR="00586467" w:rsidRDefault="0058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4D85" w14:textId="77777777" w:rsidR="00DC7D2A" w:rsidRDefault="00DC7D2A">
      <w:r>
        <w:separator/>
      </w:r>
    </w:p>
  </w:footnote>
  <w:footnote w:type="continuationSeparator" w:id="0">
    <w:p w14:paraId="7280D48F" w14:textId="77777777" w:rsidR="00DC7D2A" w:rsidRDefault="00DC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187E" w14:textId="77777777" w:rsidR="00E52297" w:rsidRDefault="00E52297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14:paraId="40588287" w14:textId="77777777" w:rsidR="00E52297" w:rsidRDefault="00E52297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1F"/>
    <w:multiLevelType w:val="hybridMultilevel"/>
    <w:tmpl w:val="C7742E24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249"/>
    <w:multiLevelType w:val="hybridMultilevel"/>
    <w:tmpl w:val="C1182C94"/>
    <w:lvl w:ilvl="0" w:tplc="52EA4BEA">
      <w:start w:val="1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09A2F96"/>
    <w:multiLevelType w:val="hybridMultilevel"/>
    <w:tmpl w:val="B262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0405C"/>
    <w:multiLevelType w:val="hybridMultilevel"/>
    <w:tmpl w:val="B2A61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D5A35"/>
    <w:multiLevelType w:val="hybridMultilevel"/>
    <w:tmpl w:val="D026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B7C37"/>
    <w:multiLevelType w:val="hybridMultilevel"/>
    <w:tmpl w:val="565ED8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BFF"/>
    <w:multiLevelType w:val="hybridMultilevel"/>
    <w:tmpl w:val="2A20745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075"/>
    <w:multiLevelType w:val="hybridMultilevel"/>
    <w:tmpl w:val="84669E5A"/>
    <w:lvl w:ilvl="0" w:tplc="041A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B1DE9"/>
    <w:multiLevelType w:val="hybridMultilevel"/>
    <w:tmpl w:val="79EE1368"/>
    <w:lvl w:ilvl="0" w:tplc="99E8C6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D4E40"/>
    <w:multiLevelType w:val="singleLevel"/>
    <w:tmpl w:val="8BC0A642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8B37FF"/>
    <w:multiLevelType w:val="hybridMultilevel"/>
    <w:tmpl w:val="D848ECAE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D70384"/>
    <w:multiLevelType w:val="hybridMultilevel"/>
    <w:tmpl w:val="0652BEA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9"/>
    <w:lvlOverride w:ilvl="0">
      <w:lvl w:ilvl="0">
        <w:start w:val="5"/>
        <w:numFmt w:val="lowerLetter"/>
        <w:lvlText w:val="(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1"/>
    <w:rsid w:val="0000074A"/>
    <w:rsid w:val="00002D2E"/>
    <w:rsid w:val="00003DEB"/>
    <w:rsid w:val="00004484"/>
    <w:rsid w:val="00006593"/>
    <w:rsid w:val="00010040"/>
    <w:rsid w:val="0001727A"/>
    <w:rsid w:val="00022A01"/>
    <w:rsid w:val="000234ED"/>
    <w:rsid w:val="00024FAA"/>
    <w:rsid w:val="000265B1"/>
    <w:rsid w:val="000323F2"/>
    <w:rsid w:val="00035115"/>
    <w:rsid w:val="00044067"/>
    <w:rsid w:val="00046F8A"/>
    <w:rsid w:val="000608CE"/>
    <w:rsid w:val="0006472B"/>
    <w:rsid w:val="0007024B"/>
    <w:rsid w:val="00074E5A"/>
    <w:rsid w:val="000817F1"/>
    <w:rsid w:val="00084B93"/>
    <w:rsid w:val="000860FF"/>
    <w:rsid w:val="00086589"/>
    <w:rsid w:val="00086AEF"/>
    <w:rsid w:val="00094571"/>
    <w:rsid w:val="000946B0"/>
    <w:rsid w:val="00094774"/>
    <w:rsid w:val="000B0AB0"/>
    <w:rsid w:val="000C0CBC"/>
    <w:rsid w:val="000C3120"/>
    <w:rsid w:val="000C331B"/>
    <w:rsid w:val="000C3E8D"/>
    <w:rsid w:val="000D19B6"/>
    <w:rsid w:val="000D1B3E"/>
    <w:rsid w:val="000D2123"/>
    <w:rsid w:val="000D5813"/>
    <w:rsid w:val="000E5676"/>
    <w:rsid w:val="000E7461"/>
    <w:rsid w:val="000E7A0C"/>
    <w:rsid w:val="00111780"/>
    <w:rsid w:val="00111F7A"/>
    <w:rsid w:val="00116349"/>
    <w:rsid w:val="00125A66"/>
    <w:rsid w:val="00131824"/>
    <w:rsid w:val="001418D1"/>
    <w:rsid w:val="0015149F"/>
    <w:rsid w:val="00156BB7"/>
    <w:rsid w:val="00161D5E"/>
    <w:rsid w:val="001654A7"/>
    <w:rsid w:val="00166245"/>
    <w:rsid w:val="00166550"/>
    <w:rsid w:val="00171778"/>
    <w:rsid w:val="001725F0"/>
    <w:rsid w:val="00173E2B"/>
    <w:rsid w:val="0018002F"/>
    <w:rsid w:val="00182054"/>
    <w:rsid w:val="001820F1"/>
    <w:rsid w:val="001868D9"/>
    <w:rsid w:val="001959D4"/>
    <w:rsid w:val="001A3255"/>
    <w:rsid w:val="001A43BC"/>
    <w:rsid w:val="001A7199"/>
    <w:rsid w:val="001B04D0"/>
    <w:rsid w:val="001B4ACF"/>
    <w:rsid w:val="001C562C"/>
    <w:rsid w:val="001D4868"/>
    <w:rsid w:val="001D6ADB"/>
    <w:rsid w:val="001E10A6"/>
    <w:rsid w:val="001F3ECC"/>
    <w:rsid w:val="001F5CBA"/>
    <w:rsid w:val="00203098"/>
    <w:rsid w:val="002110DB"/>
    <w:rsid w:val="002131DD"/>
    <w:rsid w:val="00227654"/>
    <w:rsid w:val="002318AC"/>
    <w:rsid w:val="00233842"/>
    <w:rsid w:val="00243F12"/>
    <w:rsid w:val="002467BE"/>
    <w:rsid w:val="00263201"/>
    <w:rsid w:val="00270AE6"/>
    <w:rsid w:val="002801A0"/>
    <w:rsid w:val="00282977"/>
    <w:rsid w:val="00284B53"/>
    <w:rsid w:val="00286FDD"/>
    <w:rsid w:val="002973B8"/>
    <w:rsid w:val="00297D4F"/>
    <w:rsid w:val="002A0B34"/>
    <w:rsid w:val="002A5557"/>
    <w:rsid w:val="002A56B8"/>
    <w:rsid w:val="002B0D74"/>
    <w:rsid w:val="002B4090"/>
    <w:rsid w:val="002B58FE"/>
    <w:rsid w:val="002B5EE5"/>
    <w:rsid w:val="002C2D34"/>
    <w:rsid w:val="002C4620"/>
    <w:rsid w:val="002E550E"/>
    <w:rsid w:val="002F35A8"/>
    <w:rsid w:val="002F7548"/>
    <w:rsid w:val="00300C8D"/>
    <w:rsid w:val="00301905"/>
    <w:rsid w:val="00306619"/>
    <w:rsid w:val="0031560B"/>
    <w:rsid w:val="00326EFB"/>
    <w:rsid w:val="00330CF9"/>
    <w:rsid w:val="003321C5"/>
    <w:rsid w:val="00342A26"/>
    <w:rsid w:val="003448EA"/>
    <w:rsid w:val="0034571C"/>
    <w:rsid w:val="0035056C"/>
    <w:rsid w:val="003530FF"/>
    <w:rsid w:val="00361B08"/>
    <w:rsid w:val="00362888"/>
    <w:rsid w:val="00364315"/>
    <w:rsid w:val="003666EA"/>
    <w:rsid w:val="00372396"/>
    <w:rsid w:val="00380F0B"/>
    <w:rsid w:val="00391B99"/>
    <w:rsid w:val="00395232"/>
    <w:rsid w:val="003A34BC"/>
    <w:rsid w:val="003A7676"/>
    <w:rsid w:val="003B0393"/>
    <w:rsid w:val="003B100E"/>
    <w:rsid w:val="003B44C7"/>
    <w:rsid w:val="003B58BA"/>
    <w:rsid w:val="003C204C"/>
    <w:rsid w:val="003D2561"/>
    <w:rsid w:val="003E2841"/>
    <w:rsid w:val="003E7FF9"/>
    <w:rsid w:val="004005D9"/>
    <w:rsid w:val="00401C86"/>
    <w:rsid w:val="004122CB"/>
    <w:rsid w:val="004145CA"/>
    <w:rsid w:val="00415796"/>
    <w:rsid w:val="00424075"/>
    <w:rsid w:val="00430D65"/>
    <w:rsid w:val="004330E4"/>
    <w:rsid w:val="004403C6"/>
    <w:rsid w:val="004411C0"/>
    <w:rsid w:val="00441C61"/>
    <w:rsid w:val="0044255A"/>
    <w:rsid w:val="00450BC1"/>
    <w:rsid w:val="004548A4"/>
    <w:rsid w:val="004566DA"/>
    <w:rsid w:val="00460A90"/>
    <w:rsid w:val="00462726"/>
    <w:rsid w:val="00463814"/>
    <w:rsid w:val="004648ED"/>
    <w:rsid w:val="00465C56"/>
    <w:rsid w:val="00466750"/>
    <w:rsid w:val="0048088F"/>
    <w:rsid w:val="004855E0"/>
    <w:rsid w:val="00485B54"/>
    <w:rsid w:val="00485F89"/>
    <w:rsid w:val="00487F06"/>
    <w:rsid w:val="004B40E1"/>
    <w:rsid w:val="004B5B93"/>
    <w:rsid w:val="004B5DE6"/>
    <w:rsid w:val="004C3247"/>
    <w:rsid w:val="004C6E09"/>
    <w:rsid w:val="004C6FC8"/>
    <w:rsid w:val="004D04BF"/>
    <w:rsid w:val="004D3D42"/>
    <w:rsid w:val="004F3517"/>
    <w:rsid w:val="004F7F6C"/>
    <w:rsid w:val="00512416"/>
    <w:rsid w:val="0052602A"/>
    <w:rsid w:val="00541FA0"/>
    <w:rsid w:val="005437B6"/>
    <w:rsid w:val="0055179B"/>
    <w:rsid w:val="0055307B"/>
    <w:rsid w:val="00554259"/>
    <w:rsid w:val="0055617B"/>
    <w:rsid w:val="00586467"/>
    <w:rsid w:val="00586713"/>
    <w:rsid w:val="00590991"/>
    <w:rsid w:val="00590E27"/>
    <w:rsid w:val="00592E28"/>
    <w:rsid w:val="005A1097"/>
    <w:rsid w:val="005A16B8"/>
    <w:rsid w:val="005A4DE8"/>
    <w:rsid w:val="005A68C9"/>
    <w:rsid w:val="005B49EC"/>
    <w:rsid w:val="005B5D43"/>
    <w:rsid w:val="005B6393"/>
    <w:rsid w:val="005D6BB0"/>
    <w:rsid w:val="005E5576"/>
    <w:rsid w:val="005E6BD2"/>
    <w:rsid w:val="005F09D5"/>
    <w:rsid w:val="005F1C14"/>
    <w:rsid w:val="00604D9C"/>
    <w:rsid w:val="006059CE"/>
    <w:rsid w:val="0060790E"/>
    <w:rsid w:val="00607C37"/>
    <w:rsid w:val="0061111B"/>
    <w:rsid w:val="0061432F"/>
    <w:rsid w:val="00615993"/>
    <w:rsid w:val="00630955"/>
    <w:rsid w:val="006365CE"/>
    <w:rsid w:val="0064016D"/>
    <w:rsid w:val="00640A91"/>
    <w:rsid w:val="00640A94"/>
    <w:rsid w:val="006457E3"/>
    <w:rsid w:val="00645CD6"/>
    <w:rsid w:val="00651D62"/>
    <w:rsid w:val="00653BBF"/>
    <w:rsid w:val="00657CCF"/>
    <w:rsid w:val="006625D2"/>
    <w:rsid w:val="00666A7C"/>
    <w:rsid w:val="00676D24"/>
    <w:rsid w:val="00677296"/>
    <w:rsid w:val="00685100"/>
    <w:rsid w:val="00686E15"/>
    <w:rsid w:val="0068702D"/>
    <w:rsid w:val="0068727C"/>
    <w:rsid w:val="006926D6"/>
    <w:rsid w:val="0069746E"/>
    <w:rsid w:val="006A0DC1"/>
    <w:rsid w:val="006B2972"/>
    <w:rsid w:val="006C462F"/>
    <w:rsid w:val="006C4A36"/>
    <w:rsid w:val="006D13F7"/>
    <w:rsid w:val="006E5DA5"/>
    <w:rsid w:val="006F273A"/>
    <w:rsid w:val="006F6635"/>
    <w:rsid w:val="006F67E1"/>
    <w:rsid w:val="006F77B3"/>
    <w:rsid w:val="006F78A5"/>
    <w:rsid w:val="007011D6"/>
    <w:rsid w:val="00703F52"/>
    <w:rsid w:val="007074E2"/>
    <w:rsid w:val="007121DE"/>
    <w:rsid w:val="007161A7"/>
    <w:rsid w:val="00721971"/>
    <w:rsid w:val="00722C1A"/>
    <w:rsid w:val="00723E51"/>
    <w:rsid w:val="007334F5"/>
    <w:rsid w:val="007336AD"/>
    <w:rsid w:val="00756EC1"/>
    <w:rsid w:val="00761A9D"/>
    <w:rsid w:val="0077363E"/>
    <w:rsid w:val="007761E7"/>
    <w:rsid w:val="0078503D"/>
    <w:rsid w:val="007920E4"/>
    <w:rsid w:val="007A0A18"/>
    <w:rsid w:val="007A0E69"/>
    <w:rsid w:val="007A3619"/>
    <w:rsid w:val="007A639B"/>
    <w:rsid w:val="007B36FE"/>
    <w:rsid w:val="007C4EA0"/>
    <w:rsid w:val="007C63BA"/>
    <w:rsid w:val="007D6DC2"/>
    <w:rsid w:val="007D7297"/>
    <w:rsid w:val="007E1EF7"/>
    <w:rsid w:val="007F2495"/>
    <w:rsid w:val="007F4717"/>
    <w:rsid w:val="007F7DB5"/>
    <w:rsid w:val="0080516B"/>
    <w:rsid w:val="00812B13"/>
    <w:rsid w:val="00816067"/>
    <w:rsid w:val="00832818"/>
    <w:rsid w:val="00834E20"/>
    <w:rsid w:val="00835A9A"/>
    <w:rsid w:val="00850A66"/>
    <w:rsid w:val="008634AF"/>
    <w:rsid w:val="008677DD"/>
    <w:rsid w:val="008712D5"/>
    <w:rsid w:val="00871601"/>
    <w:rsid w:val="00883C89"/>
    <w:rsid w:val="0089402C"/>
    <w:rsid w:val="008A01A9"/>
    <w:rsid w:val="008A0965"/>
    <w:rsid w:val="008A7B82"/>
    <w:rsid w:val="008B05E1"/>
    <w:rsid w:val="008B3518"/>
    <w:rsid w:val="008B76B5"/>
    <w:rsid w:val="008C32D7"/>
    <w:rsid w:val="008D2B8C"/>
    <w:rsid w:val="008D790B"/>
    <w:rsid w:val="008E4A59"/>
    <w:rsid w:val="008F04BB"/>
    <w:rsid w:val="008F1FAB"/>
    <w:rsid w:val="008F6179"/>
    <w:rsid w:val="00901DB8"/>
    <w:rsid w:val="00913186"/>
    <w:rsid w:val="00915605"/>
    <w:rsid w:val="00915A26"/>
    <w:rsid w:val="009336B5"/>
    <w:rsid w:val="00943257"/>
    <w:rsid w:val="0094473D"/>
    <w:rsid w:val="00946FB6"/>
    <w:rsid w:val="00947EC5"/>
    <w:rsid w:val="00951060"/>
    <w:rsid w:val="00960004"/>
    <w:rsid w:val="0096431F"/>
    <w:rsid w:val="00965DE8"/>
    <w:rsid w:val="009670D9"/>
    <w:rsid w:val="00980028"/>
    <w:rsid w:val="00983D1B"/>
    <w:rsid w:val="0098681E"/>
    <w:rsid w:val="00990DE2"/>
    <w:rsid w:val="0099547D"/>
    <w:rsid w:val="009A0515"/>
    <w:rsid w:val="009A114A"/>
    <w:rsid w:val="009A3258"/>
    <w:rsid w:val="009A6B4E"/>
    <w:rsid w:val="009A7BE6"/>
    <w:rsid w:val="009B5CEE"/>
    <w:rsid w:val="009D1B14"/>
    <w:rsid w:val="009D71DE"/>
    <w:rsid w:val="009E4733"/>
    <w:rsid w:val="009F774B"/>
    <w:rsid w:val="00A03AF7"/>
    <w:rsid w:val="00A139C2"/>
    <w:rsid w:val="00A232A2"/>
    <w:rsid w:val="00A24CED"/>
    <w:rsid w:val="00A2543F"/>
    <w:rsid w:val="00A256BE"/>
    <w:rsid w:val="00A2680C"/>
    <w:rsid w:val="00A30E09"/>
    <w:rsid w:val="00A31C17"/>
    <w:rsid w:val="00A348EA"/>
    <w:rsid w:val="00A366C0"/>
    <w:rsid w:val="00A40ED4"/>
    <w:rsid w:val="00A43F44"/>
    <w:rsid w:val="00A45E0C"/>
    <w:rsid w:val="00A45E8E"/>
    <w:rsid w:val="00A56245"/>
    <w:rsid w:val="00A64B63"/>
    <w:rsid w:val="00A65303"/>
    <w:rsid w:val="00A672A4"/>
    <w:rsid w:val="00A72E64"/>
    <w:rsid w:val="00A861A8"/>
    <w:rsid w:val="00AA0266"/>
    <w:rsid w:val="00AA0D1C"/>
    <w:rsid w:val="00AA3161"/>
    <w:rsid w:val="00AA385B"/>
    <w:rsid w:val="00AA4A77"/>
    <w:rsid w:val="00AA565B"/>
    <w:rsid w:val="00AB1258"/>
    <w:rsid w:val="00AB71AF"/>
    <w:rsid w:val="00AC6874"/>
    <w:rsid w:val="00AD7CCD"/>
    <w:rsid w:val="00AE0866"/>
    <w:rsid w:val="00AE1803"/>
    <w:rsid w:val="00AE268E"/>
    <w:rsid w:val="00AE62B2"/>
    <w:rsid w:val="00B0036B"/>
    <w:rsid w:val="00B00DE0"/>
    <w:rsid w:val="00B04557"/>
    <w:rsid w:val="00B2037C"/>
    <w:rsid w:val="00B21484"/>
    <w:rsid w:val="00B26613"/>
    <w:rsid w:val="00B3452D"/>
    <w:rsid w:val="00B40276"/>
    <w:rsid w:val="00B407B5"/>
    <w:rsid w:val="00B45541"/>
    <w:rsid w:val="00B46BAB"/>
    <w:rsid w:val="00B470EA"/>
    <w:rsid w:val="00B47DE3"/>
    <w:rsid w:val="00B51596"/>
    <w:rsid w:val="00B5683C"/>
    <w:rsid w:val="00B62BAE"/>
    <w:rsid w:val="00B8132D"/>
    <w:rsid w:val="00B86DE7"/>
    <w:rsid w:val="00B91D10"/>
    <w:rsid w:val="00B92120"/>
    <w:rsid w:val="00B92E43"/>
    <w:rsid w:val="00B96037"/>
    <w:rsid w:val="00BA2C26"/>
    <w:rsid w:val="00BB2087"/>
    <w:rsid w:val="00BC1F62"/>
    <w:rsid w:val="00BC48AA"/>
    <w:rsid w:val="00BC4E09"/>
    <w:rsid w:val="00BD1AF3"/>
    <w:rsid w:val="00BD31D4"/>
    <w:rsid w:val="00BD7299"/>
    <w:rsid w:val="00BE17F9"/>
    <w:rsid w:val="00BE3B9B"/>
    <w:rsid w:val="00BE7529"/>
    <w:rsid w:val="00BF032F"/>
    <w:rsid w:val="00BF3378"/>
    <w:rsid w:val="00BF675F"/>
    <w:rsid w:val="00C0158C"/>
    <w:rsid w:val="00C01E42"/>
    <w:rsid w:val="00C035BF"/>
    <w:rsid w:val="00C0385A"/>
    <w:rsid w:val="00C05510"/>
    <w:rsid w:val="00C072B9"/>
    <w:rsid w:val="00C144DD"/>
    <w:rsid w:val="00C161B2"/>
    <w:rsid w:val="00C173CF"/>
    <w:rsid w:val="00C30580"/>
    <w:rsid w:val="00C34713"/>
    <w:rsid w:val="00C34FE9"/>
    <w:rsid w:val="00C43B46"/>
    <w:rsid w:val="00C44F3C"/>
    <w:rsid w:val="00C55D04"/>
    <w:rsid w:val="00C70AB6"/>
    <w:rsid w:val="00C761B9"/>
    <w:rsid w:val="00C80529"/>
    <w:rsid w:val="00C80A71"/>
    <w:rsid w:val="00C82D21"/>
    <w:rsid w:val="00C85037"/>
    <w:rsid w:val="00C8795C"/>
    <w:rsid w:val="00C95596"/>
    <w:rsid w:val="00CA6247"/>
    <w:rsid w:val="00CA7BAA"/>
    <w:rsid w:val="00CB1862"/>
    <w:rsid w:val="00CB22DE"/>
    <w:rsid w:val="00CB362F"/>
    <w:rsid w:val="00CB4B0E"/>
    <w:rsid w:val="00CB730B"/>
    <w:rsid w:val="00CC2578"/>
    <w:rsid w:val="00CC3E6D"/>
    <w:rsid w:val="00CD08A4"/>
    <w:rsid w:val="00CD7C50"/>
    <w:rsid w:val="00CE59C3"/>
    <w:rsid w:val="00CF1185"/>
    <w:rsid w:val="00CF54EC"/>
    <w:rsid w:val="00D13895"/>
    <w:rsid w:val="00D26C75"/>
    <w:rsid w:val="00D3491A"/>
    <w:rsid w:val="00D36C42"/>
    <w:rsid w:val="00D44850"/>
    <w:rsid w:val="00D52622"/>
    <w:rsid w:val="00D541C1"/>
    <w:rsid w:val="00D56267"/>
    <w:rsid w:val="00D61EA7"/>
    <w:rsid w:val="00D62F3E"/>
    <w:rsid w:val="00D66730"/>
    <w:rsid w:val="00D824EF"/>
    <w:rsid w:val="00D833DD"/>
    <w:rsid w:val="00D870A4"/>
    <w:rsid w:val="00D93B7C"/>
    <w:rsid w:val="00D94D0E"/>
    <w:rsid w:val="00D96A8E"/>
    <w:rsid w:val="00DA2545"/>
    <w:rsid w:val="00DA3684"/>
    <w:rsid w:val="00DB7A3A"/>
    <w:rsid w:val="00DC3341"/>
    <w:rsid w:val="00DC3A3C"/>
    <w:rsid w:val="00DC3AF8"/>
    <w:rsid w:val="00DC737E"/>
    <w:rsid w:val="00DC7D1A"/>
    <w:rsid w:val="00DC7D2A"/>
    <w:rsid w:val="00DE290A"/>
    <w:rsid w:val="00DF649C"/>
    <w:rsid w:val="00DF7F24"/>
    <w:rsid w:val="00E037AC"/>
    <w:rsid w:val="00E10B6F"/>
    <w:rsid w:val="00E11C3F"/>
    <w:rsid w:val="00E13A7F"/>
    <w:rsid w:val="00E140E4"/>
    <w:rsid w:val="00E20A2F"/>
    <w:rsid w:val="00E2441E"/>
    <w:rsid w:val="00E30F0C"/>
    <w:rsid w:val="00E35A50"/>
    <w:rsid w:val="00E40F09"/>
    <w:rsid w:val="00E4184D"/>
    <w:rsid w:val="00E465F3"/>
    <w:rsid w:val="00E52297"/>
    <w:rsid w:val="00E560DA"/>
    <w:rsid w:val="00E57988"/>
    <w:rsid w:val="00E6233C"/>
    <w:rsid w:val="00E63160"/>
    <w:rsid w:val="00E65C44"/>
    <w:rsid w:val="00E66128"/>
    <w:rsid w:val="00E72764"/>
    <w:rsid w:val="00E75AF9"/>
    <w:rsid w:val="00E8174A"/>
    <w:rsid w:val="00E83BB8"/>
    <w:rsid w:val="00E90943"/>
    <w:rsid w:val="00E928E3"/>
    <w:rsid w:val="00E9358A"/>
    <w:rsid w:val="00E9509F"/>
    <w:rsid w:val="00E961D6"/>
    <w:rsid w:val="00EB150C"/>
    <w:rsid w:val="00EB3357"/>
    <w:rsid w:val="00EC2353"/>
    <w:rsid w:val="00EC2A61"/>
    <w:rsid w:val="00EC3C17"/>
    <w:rsid w:val="00EC6562"/>
    <w:rsid w:val="00ED4F19"/>
    <w:rsid w:val="00ED5A0E"/>
    <w:rsid w:val="00EE1CD2"/>
    <w:rsid w:val="00EE359B"/>
    <w:rsid w:val="00EE4392"/>
    <w:rsid w:val="00EE5ACD"/>
    <w:rsid w:val="00EE6E11"/>
    <w:rsid w:val="00EE6EB8"/>
    <w:rsid w:val="00EF1F72"/>
    <w:rsid w:val="00EF3BD4"/>
    <w:rsid w:val="00F21235"/>
    <w:rsid w:val="00F26100"/>
    <w:rsid w:val="00F2781A"/>
    <w:rsid w:val="00F35C93"/>
    <w:rsid w:val="00F601E2"/>
    <w:rsid w:val="00F636F1"/>
    <w:rsid w:val="00F66243"/>
    <w:rsid w:val="00F715F6"/>
    <w:rsid w:val="00F73703"/>
    <w:rsid w:val="00F74222"/>
    <w:rsid w:val="00F76A51"/>
    <w:rsid w:val="00F8333F"/>
    <w:rsid w:val="00F85F18"/>
    <w:rsid w:val="00F9502D"/>
    <w:rsid w:val="00F9602F"/>
    <w:rsid w:val="00FA63C1"/>
    <w:rsid w:val="00FB6E58"/>
    <w:rsid w:val="00FB7DF9"/>
    <w:rsid w:val="00FC1986"/>
    <w:rsid w:val="00FC4510"/>
    <w:rsid w:val="00FC6A85"/>
    <w:rsid w:val="00FE0582"/>
    <w:rsid w:val="00FE2EC9"/>
    <w:rsid w:val="00FE5DC3"/>
    <w:rsid w:val="00FE77D3"/>
    <w:rsid w:val="00FE797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5089A7"/>
  <w15:docId w15:val="{C5BFD572-BF38-461D-B9EF-BE10237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15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364315"/>
    <w:pPr>
      <w:keepNext/>
      <w:spacing w:before="240" w:after="60"/>
      <w:outlineLvl w:val="0"/>
    </w:pPr>
    <w:rPr>
      <w:rFonts w:ascii="Geometr231 Lt BT" w:hAnsi="Geometr231 Lt BT"/>
      <w:b/>
      <w:kern w:val="28"/>
      <w:sz w:val="28"/>
    </w:rPr>
  </w:style>
  <w:style w:type="paragraph" w:styleId="Heading2">
    <w:name w:val="heading 2"/>
    <w:basedOn w:val="Normal"/>
    <w:next w:val="Normal"/>
    <w:qFormat/>
    <w:rsid w:val="00364315"/>
    <w:pPr>
      <w:keepNext/>
      <w:spacing w:before="240" w:after="60"/>
      <w:outlineLvl w:val="1"/>
    </w:pPr>
    <w:rPr>
      <w:rFonts w:ascii="Geometr231 Lt BT" w:hAnsi="Geometr231 Lt BT"/>
      <w:b/>
      <w:i/>
    </w:rPr>
  </w:style>
  <w:style w:type="paragraph" w:styleId="Heading3">
    <w:name w:val="heading 3"/>
    <w:basedOn w:val="Normal"/>
    <w:next w:val="Normal"/>
    <w:qFormat/>
    <w:rsid w:val="0036431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43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64315"/>
    <w:pPr>
      <w:keepNext/>
      <w:tabs>
        <w:tab w:val="center" w:pos="900"/>
      </w:tabs>
      <w:ind w:left="1418" w:right="51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364315"/>
    <w:pPr>
      <w:keepNext/>
      <w:tabs>
        <w:tab w:val="center" w:pos="2160"/>
      </w:tabs>
      <w:ind w:left="1418" w:right="-4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364315"/>
    <w:pPr>
      <w:keepNext/>
      <w:tabs>
        <w:tab w:val="center" w:pos="900"/>
        <w:tab w:val="left" w:pos="2268"/>
      </w:tabs>
      <w:spacing w:line="340" w:lineRule="atLeast"/>
      <w:ind w:left="1418" w:right="51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364315"/>
    <w:pPr>
      <w:keepNext/>
      <w:ind w:left="6480"/>
      <w:jc w:val="center"/>
      <w:outlineLvl w:val="7"/>
    </w:pPr>
    <w:rPr>
      <w:b/>
      <w:i/>
      <w:spacing w:val="80"/>
    </w:rPr>
  </w:style>
  <w:style w:type="paragraph" w:styleId="Heading9">
    <w:name w:val="heading 9"/>
    <w:basedOn w:val="Normal"/>
    <w:next w:val="Normal"/>
    <w:qFormat/>
    <w:rsid w:val="00364315"/>
    <w:pPr>
      <w:keepNext/>
      <w:ind w:left="1531"/>
      <w:outlineLvl w:val="8"/>
    </w:pPr>
    <w:rPr>
      <w:b/>
      <w:i/>
      <w:color w:val="000000"/>
      <w:spacing w:val="4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64315"/>
    <w:pPr>
      <w:ind w:left="360" w:hanging="360"/>
    </w:pPr>
  </w:style>
  <w:style w:type="paragraph" w:styleId="Closing">
    <w:name w:val="Closing"/>
    <w:basedOn w:val="Normal"/>
    <w:rsid w:val="00364315"/>
    <w:pPr>
      <w:ind w:left="4320"/>
    </w:pPr>
  </w:style>
  <w:style w:type="paragraph" w:styleId="BodyText">
    <w:name w:val="Body Text"/>
    <w:basedOn w:val="Normal"/>
    <w:rsid w:val="00364315"/>
    <w:pPr>
      <w:spacing w:after="120"/>
    </w:pPr>
  </w:style>
  <w:style w:type="paragraph" w:styleId="BodyTextIndent">
    <w:name w:val="Body Text Indent"/>
    <w:basedOn w:val="Normal"/>
    <w:rsid w:val="00364315"/>
    <w:pPr>
      <w:spacing w:after="120"/>
      <w:ind w:left="360"/>
    </w:pPr>
  </w:style>
  <w:style w:type="paragraph" w:customStyle="1" w:styleId="BodyText4">
    <w:name w:val="Body Text 4"/>
    <w:basedOn w:val="BodyTextIndent"/>
    <w:rsid w:val="00364315"/>
  </w:style>
  <w:style w:type="paragraph" w:styleId="Header">
    <w:name w:val="header"/>
    <w:basedOn w:val="Normal"/>
    <w:rsid w:val="00364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315"/>
  </w:style>
  <w:style w:type="paragraph" w:styleId="BalloonText">
    <w:name w:val="Balloon Text"/>
    <w:basedOn w:val="Normal"/>
    <w:semiHidden/>
    <w:rsid w:val="00CF54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15796"/>
    <w:pPr>
      <w:spacing w:after="120" w:line="480" w:lineRule="auto"/>
    </w:pPr>
  </w:style>
  <w:style w:type="character" w:customStyle="1" w:styleId="DrazenMilkovic">
    <w:name w:val="Drazen Milkovic"/>
    <w:semiHidden/>
    <w:rsid w:val="00E57988"/>
    <w:rPr>
      <w:rFonts w:ascii="Arial" w:hAnsi="Arial" w:cs="Arial"/>
      <w:color w:val="000080"/>
      <w:sz w:val="20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06472B"/>
    <w:pPr>
      <w:spacing w:after="160" w:line="240" w:lineRule="exact"/>
    </w:pPr>
    <w:rPr>
      <w:rFonts w:ascii="Tahoma" w:hAnsi="Tahoma"/>
      <w:sz w:val="20"/>
      <w:lang w:eastAsia="en-US"/>
    </w:rPr>
  </w:style>
  <w:style w:type="character" w:styleId="Hyperlink">
    <w:name w:val="Hyperlink"/>
    <w:rsid w:val="002F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1727A"/>
    <w:pPr>
      <w:spacing w:before="100" w:beforeAutospacing="1" w:after="100" w:afterAutospacing="1"/>
    </w:pPr>
    <w:rPr>
      <w:szCs w:val="24"/>
      <w:lang w:val="hr-HR"/>
    </w:rPr>
  </w:style>
  <w:style w:type="paragraph" w:styleId="NoSpacing">
    <w:name w:val="No Spacing"/>
    <w:basedOn w:val="Normal"/>
    <w:uiPriority w:val="1"/>
    <w:qFormat/>
    <w:rsid w:val="006D13F7"/>
    <w:rPr>
      <w:rFonts w:ascii="Calibri" w:eastAsiaTheme="minorHAnsi" w:hAnsi="Calibri" w:cs="Calibri"/>
      <w:sz w:val="22"/>
      <w:szCs w:val="22"/>
      <w:lang w:val="hr-HR"/>
    </w:rPr>
  </w:style>
  <w:style w:type="table" w:styleId="TableGrid">
    <w:name w:val="Table Grid"/>
    <w:basedOn w:val="TableNormal"/>
    <w:rsid w:val="005864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864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65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956C-97A2-4273-BB5D-13E6C9D4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MPPI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creator>Krešo Antonović</dc:creator>
  <cp:lastModifiedBy>Ivana Marinković</cp:lastModifiedBy>
  <cp:revision>30</cp:revision>
  <cp:lastPrinted>2023-03-08T11:41:00Z</cp:lastPrinted>
  <dcterms:created xsi:type="dcterms:W3CDTF">2023-05-09T13:54:00Z</dcterms:created>
  <dcterms:modified xsi:type="dcterms:W3CDTF">2023-05-11T07:46:00Z</dcterms:modified>
</cp:coreProperties>
</file>