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6F555" w14:textId="77777777" w:rsidR="00E138E8" w:rsidRPr="00E138E8" w:rsidRDefault="00E138E8" w:rsidP="00E1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8E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DD65D4" wp14:editId="319860A4">
            <wp:extent cx="504825" cy="6858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E8AFB" w14:textId="77777777" w:rsidR="00E138E8" w:rsidRPr="00E138E8" w:rsidRDefault="00E138E8" w:rsidP="00E13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138E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1969580" w14:textId="77777777" w:rsidR="00E138E8" w:rsidRP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F232ED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98AFBA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9A2F30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11C40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5BEF6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2B9293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A2D584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5E0B3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EA1243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CB6902" w14:textId="39B0854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E5D8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138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travnja 2023. </w:t>
      </w:r>
    </w:p>
    <w:p w14:paraId="1B88554F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D7A89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2B482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3B7CB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EB50C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46014" w14:textId="77777777" w:rsidR="00E138E8" w:rsidRPr="00E138E8" w:rsidRDefault="00E138E8" w:rsidP="00E13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79"/>
      </w:tblGrid>
      <w:tr w:rsidR="00E138E8" w:rsidRPr="00E138E8" w14:paraId="721A5455" w14:textId="77777777" w:rsidTr="00E138E8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66CD7C" w14:textId="77777777" w:rsidR="00E138E8" w:rsidRPr="00E138E8" w:rsidRDefault="00E138E8" w:rsidP="00E1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8E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5EF4E" w14:textId="77777777" w:rsidR="00E138E8" w:rsidRPr="00E138E8" w:rsidRDefault="00E138E8" w:rsidP="00E1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mora, prometa i infrastrukture</w:t>
            </w:r>
          </w:p>
        </w:tc>
      </w:tr>
      <w:tr w:rsidR="00E138E8" w:rsidRPr="00E138E8" w14:paraId="0C663DA2" w14:textId="77777777" w:rsidTr="00E138E8">
        <w:trPr>
          <w:trHeight w:val="184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22847" w14:textId="77777777" w:rsidR="00E138E8" w:rsidRPr="00E138E8" w:rsidRDefault="00E138E8" w:rsidP="00E1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8E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E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01F1B" w14:textId="77777777" w:rsidR="00E138E8" w:rsidRPr="00E138E8" w:rsidRDefault="00E138E8" w:rsidP="00E1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Odluke </w:t>
            </w:r>
            <w:r w:rsidRPr="00E1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 </w:t>
            </w:r>
            <w:r w:rsidRPr="00E138E8">
              <w:rPr>
                <w:rFonts w:ascii="Times New Roman" w:eastAsia="Calibri" w:hAnsi="Times New Roman" w:cs="Times New Roman"/>
                <w:sz w:val="24"/>
                <w:szCs w:val="24"/>
              </w:rPr>
              <w:t>izmjenama i dopunama br. 7 Ugovora o koncesiji za financiranje, građenje, upravljanje i održavanje „Jadranske autoceste“ – dionica Dragonja - Pula i Kanfanar - Pazin - Matulji</w:t>
            </w:r>
          </w:p>
        </w:tc>
      </w:tr>
    </w:tbl>
    <w:p w14:paraId="495715D7" w14:textId="77777777" w:rsidR="00E138E8" w:rsidRP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DB678" w14:textId="565E8483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030E7487" w14:textId="5C9917D6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783460CE" w14:textId="0C72BD8B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28DE36F8" w14:textId="6FEF87C8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5338ECA1" w14:textId="49DAC8C2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6954A65F" w14:textId="6F7F79ED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08757D20" w14:textId="1E4DEA33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2E1E7B7F" w14:textId="6274903A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2CCDD9C9" w14:textId="7028D041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68CA3E74" w14:textId="31CAD743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DB0E720" w14:textId="169FA2E6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05391718" w14:textId="7A379668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19217CE" w14:textId="1CA815C7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775821E5" w14:textId="0B194DA6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64C48BBB" w14:textId="63316823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7974F36F" w14:textId="16ABD8AC" w:rsid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198F86C0" w14:textId="77777777" w:rsidR="00E138E8" w:rsidRPr="00E138E8" w:rsidRDefault="00E138E8" w:rsidP="00E138E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E138E8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209 | vlada.gov.hr</w:t>
      </w:r>
    </w:p>
    <w:p w14:paraId="59A3EEF6" w14:textId="77777777" w:rsidR="00E138E8" w:rsidRPr="00E138E8" w:rsidRDefault="00E138E8" w:rsidP="00E138E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138E8" w:rsidRPr="00E138E8">
          <w:pgSz w:w="11906" w:h="16838"/>
          <w:pgMar w:top="1418" w:right="1418" w:bottom="1418" w:left="1418" w:header="709" w:footer="658" w:gutter="0"/>
          <w:cols w:space="720"/>
        </w:sectPr>
      </w:pPr>
    </w:p>
    <w:p w14:paraId="2AA960CA" w14:textId="57710E7F" w:rsidR="00966114" w:rsidRPr="004E5D84" w:rsidRDefault="004E5D84" w:rsidP="004E5D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D84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3EF2E752" w14:textId="77777777" w:rsidR="00966114" w:rsidRPr="00966114" w:rsidRDefault="00966114" w:rsidP="0096611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603704F" w14:textId="67377A44" w:rsidR="00966114" w:rsidRDefault="00966114" w:rsidP="0096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5A5E90" w14:textId="77777777" w:rsidR="00966114" w:rsidRDefault="00966114" w:rsidP="0096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8CBCF" w14:textId="19625E96" w:rsidR="00833BC3" w:rsidRDefault="00833BC3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2DD6">
        <w:rPr>
          <w:rFonts w:ascii="Times New Roman" w:hAnsi="Times New Roman" w:cs="Times New Roman"/>
          <w:sz w:val="24"/>
          <w:szCs w:val="24"/>
        </w:rPr>
        <w:t>Na temelju članka 31</w:t>
      </w:r>
      <w:r w:rsidR="000A61FC" w:rsidRPr="00F02DD6">
        <w:rPr>
          <w:rFonts w:ascii="Times New Roman" w:hAnsi="Times New Roman" w:cs="Times New Roman"/>
          <w:sz w:val="24"/>
          <w:szCs w:val="24"/>
        </w:rPr>
        <w:t>.</w:t>
      </w:r>
      <w:r w:rsidRPr="00F02DD6">
        <w:rPr>
          <w:rFonts w:ascii="Times New Roman" w:hAnsi="Times New Roman" w:cs="Times New Roman"/>
          <w:sz w:val="24"/>
          <w:szCs w:val="24"/>
        </w:rPr>
        <w:t xml:space="preserve"> </w:t>
      </w:r>
      <w:r w:rsidR="00B83F45">
        <w:rPr>
          <w:rFonts w:ascii="Times New Roman" w:hAnsi="Times New Roman" w:cs="Times New Roman"/>
          <w:sz w:val="24"/>
          <w:szCs w:val="24"/>
        </w:rPr>
        <w:t xml:space="preserve">stavka 2. </w:t>
      </w:r>
      <w:r w:rsidRPr="00F02DD6">
        <w:rPr>
          <w:rFonts w:ascii="Times New Roman" w:hAnsi="Times New Roman" w:cs="Times New Roman"/>
          <w:sz w:val="24"/>
          <w:szCs w:val="24"/>
        </w:rPr>
        <w:t xml:space="preserve">Zakona o </w:t>
      </w:r>
      <w:r w:rsidR="00B66077" w:rsidRPr="00F02DD6">
        <w:rPr>
          <w:rFonts w:ascii="Times New Roman" w:hAnsi="Times New Roman" w:cs="Times New Roman"/>
          <w:sz w:val="24"/>
          <w:szCs w:val="24"/>
        </w:rPr>
        <w:t>V</w:t>
      </w:r>
      <w:r w:rsidRPr="00F02DD6">
        <w:rPr>
          <w:rFonts w:ascii="Times New Roman" w:hAnsi="Times New Roman" w:cs="Times New Roman"/>
          <w:sz w:val="24"/>
          <w:szCs w:val="24"/>
        </w:rPr>
        <w:t xml:space="preserve">ladi Republike Hrvatske </w:t>
      </w:r>
      <w:r w:rsidR="00966114" w:rsidRPr="00966114">
        <w:rPr>
          <w:rFonts w:ascii="Times New Roman" w:eastAsia="Times New Roman" w:hAnsi="Times New Roman" w:cs="Times New Roman"/>
          <w:bCs/>
          <w:sz w:val="24"/>
          <w:szCs w:val="24"/>
        </w:rPr>
        <w:t>(»Narodne novine«, br. 150/11, 119/14, 93/16, 116/18 i 80/22)</w:t>
      </w:r>
      <w:r w:rsidRPr="00F02DD6">
        <w:rPr>
          <w:rFonts w:ascii="Times New Roman" w:hAnsi="Times New Roman" w:cs="Times New Roman"/>
          <w:sz w:val="24"/>
          <w:szCs w:val="24"/>
        </w:rPr>
        <w:t xml:space="preserve">, </w:t>
      </w:r>
      <w:r w:rsidR="00446E5D">
        <w:rPr>
          <w:rFonts w:ascii="Times New Roman" w:hAnsi="Times New Roman" w:cs="Times New Roman"/>
          <w:sz w:val="24"/>
          <w:szCs w:val="24"/>
        </w:rPr>
        <w:t xml:space="preserve">a u vezi </w:t>
      </w:r>
      <w:r w:rsidRPr="00F02DD6">
        <w:rPr>
          <w:rFonts w:ascii="Times New Roman" w:hAnsi="Times New Roman" w:cs="Times New Roman"/>
          <w:sz w:val="24"/>
          <w:szCs w:val="24"/>
        </w:rPr>
        <w:t>člank</w:t>
      </w:r>
      <w:r w:rsidR="001215F9" w:rsidRPr="00F02DD6">
        <w:rPr>
          <w:rFonts w:ascii="Times New Roman" w:hAnsi="Times New Roman" w:cs="Times New Roman"/>
          <w:sz w:val="24"/>
          <w:szCs w:val="24"/>
        </w:rPr>
        <w:t>a</w:t>
      </w:r>
      <w:r w:rsidRPr="00F02DD6">
        <w:rPr>
          <w:rFonts w:ascii="Times New Roman" w:hAnsi="Times New Roman" w:cs="Times New Roman"/>
          <w:sz w:val="24"/>
          <w:szCs w:val="24"/>
        </w:rPr>
        <w:t xml:space="preserve"> 78. Zakona o cestama </w:t>
      </w:r>
      <w:r w:rsidR="00966114" w:rsidRPr="00966114">
        <w:rPr>
          <w:rFonts w:ascii="Times New Roman" w:eastAsia="Times New Roman" w:hAnsi="Times New Roman" w:cs="Times New Roman"/>
          <w:bCs/>
          <w:sz w:val="24"/>
          <w:szCs w:val="24"/>
        </w:rPr>
        <w:t>(»Narodne novine«, br. 84/11, 22/13, 54/13, 148/13, 110/19, 144/21 i 114/22)</w:t>
      </w:r>
      <w:r w:rsidR="001215F9" w:rsidRPr="00F02DD6">
        <w:rPr>
          <w:rFonts w:ascii="Times New Roman" w:hAnsi="Times New Roman" w:cs="Times New Roman"/>
          <w:sz w:val="24"/>
          <w:szCs w:val="24"/>
        </w:rPr>
        <w:t>,</w:t>
      </w:r>
      <w:r w:rsidR="00913DA4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Vlada Republike Hrvatske je na sjednici održanoj </w:t>
      </w:r>
      <w:r w:rsidR="006A1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</w:t>
      </w:r>
      <w:r w:rsidR="006A1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</w:t>
      </w:r>
      <w:r w:rsidR="00913DA4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2023. godine </w:t>
      </w:r>
      <w:r w:rsidR="00913DA4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donijela</w:t>
      </w:r>
      <w:r w:rsidR="000A61FC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28F949A" w14:textId="63EAAEAD" w:rsidR="00F02DD6" w:rsidRDefault="00F02DD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3C000F" w14:textId="77777777" w:rsidR="00966114" w:rsidRPr="00F02DD6" w:rsidRDefault="00966114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44879A" w14:textId="6ECBAC1D" w:rsidR="00913DA4" w:rsidRDefault="00913DA4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F02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</w:t>
      </w:r>
      <w:r w:rsidR="00034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Pr="00F02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D</w:t>
      </w:r>
      <w:r w:rsidR="00034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Pr="00F02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L</w:t>
      </w:r>
      <w:r w:rsidR="00034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Pr="00F02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U</w:t>
      </w:r>
      <w:r w:rsidR="00034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Pr="00F02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K</w:t>
      </w:r>
      <w:r w:rsidR="00034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Pr="00F02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U</w:t>
      </w:r>
    </w:p>
    <w:p w14:paraId="0D2C8025" w14:textId="77777777" w:rsidR="00966114" w:rsidRPr="00F02DD6" w:rsidRDefault="00966114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14:paraId="4512E680" w14:textId="279FA461" w:rsidR="006A1AC2" w:rsidRPr="00966114" w:rsidRDefault="00966114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</w:pPr>
      <w:r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o</w:t>
      </w:r>
      <w:r w:rsidR="00913DA4"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izmjenama i dopunama </w:t>
      </w:r>
      <w:r w:rsidR="0081277D"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br. </w:t>
      </w:r>
      <w:r w:rsidR="005D0797"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7</w:t>
      </w:r>
      <w:r w:rsidR="0081277D"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</w:t>
      </w:r>
      <w:r w:rsidR="00913DA4"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Ugovora o koncesiji za financiranje, građenje, upravljanje i održavanje „Jadranske autoceste“ – dionica Dragonja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-</w:t>
      </w:r>
      <w:r w:rsidR="00913DA4"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Pula i Kanfanar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-</w:t>
      </w:r>
      <w:r w:rsidR="00913DA4"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Pazin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>-</w:t>
      </w:r>
      <w:r w:rsidR="00913DA4" w:rsidRPr="0096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r-HR"/>
        </w:rPr>
        <w:t xml:space="preserve"> Matulji</w:t>
      </w:r>
    </w:p>
    <w:p w14:paraId="0121A840" w14:textId="77777777" w:rsidR="006A1AC2" w:rsidRDefault="006A1AC2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405A5F" w14:textId="3271D3F0" w:rsidR="00913DA4" w:rsidRDefault="00913DA4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0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</w:t>
      </w:r>
    </w:p>
    <w:p w14:paraId="519D81F7" w14:textId="77777777" w:rsidR="00966114" w:rsidRDefault="00966114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6D7AE0D" w14:textId="6B7DB9C6" w:rsidR="00913DA4" w:rsidRDefault="004A2372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2DD6">
        <w:rPr>
          <w:rFonts w:ascii="Times New Roman" w:hAnsi="Times New Roman" w:cs="Times New Roman"/>
          <w:sz w:val="24"/>
          <w:szCs w:val="24"/>
        </w:rPr>
        <w:t xml:space="preserve">Republika Hrvatska kao davatelj koncesije i društvo </w:t>
      </w:r>
      <w:r w:rsidR="00996B36" w:rsidRPr="00F02DD6">
        <w:rPr>
          <w:rFonts w:ascii="Times New Roman" w:hAnsi="Times New Roman" w:cs="Times New Roman"/>
          <w:sz w:val="24"/>
          <w:szCs w:val="24"/>
        </w:rPr>
        <w:t>Bina</w:t>
      </w:r>
      <w:r w:rsidRPr="00F02DD6">
        <w:rPr>
          <w:rFonts w:ascii="Times New Roman" w:hAnsi="Times New Roman" w:cs="Times New Roman"/>
          <w:sz w:val="24"/>
          <w:szCs w:val="24"/>
        </w:rPr>
        <w:t xml:space="preserve"> </w:t>
      </w:r>
      <w:r w:rsidR="00966114">
        <w:rPr>
          <w:rFonts w:ascii="Times New Roman" w:hAnsi="Times New Roman" w:cs="Times New Roman"/>
          <w:sz w:val="24"/>
          <w:szCs w:val="24"/>
        </w:rPr>
        <w:t>-</w:t>
      </w:r>
      <w:r w:rsidRPr="00F02DD6">
        <w:rPr>
          <w:rFonts w:ascii="Times New Roman" w:hAnsi="Times New Roman" w:cs="Times New Roman"/>
          <w:sz w:val="24"/>
          <w:szCs w:val="24"/>
        </w:rPr>
        <w:t xml:space="preserve"> Istra d.d.</w:t>
      </w:r>
      <w:r w:rsidR="005F1F18" w:rsidRPr="00F02DD6">
        <w:rPr>
          <w:rFonts w:ascii="Times New Roman" w:hAnsi="Times New Roman" w:cs="Times New Roman"/>
          <w:sz w:val="24"/>
          <w:szCs w:val="24"/>
        </w:rPr>
        <w:t xml:space="preserve">, Lupoglav, Zrinščak 57 kao Koncesionar sklopit će Ugovor o izmjenama i dopunama </w:t>
      </w:r>
      <w:r w:rsidR="0081277D" w:rsidRPr="00F02DD6">
        <w:rPr>
          <w:rFonts w:ascii="Times New Roman" w:hAnsi="Times New Roman" w:cs="Times New Roman"/>
          <w:sz w:val="24"/>
          <w:szCs w:val="24"/>
        </w:rPr>
        <w:t xml:space="preserve">br. </w:t>
      </w:r>
      <w:r w:rsidR="005D0797">
        <w:rPr>
          <w:rFonts w:ascii="Times New Roman" w:hAnsi="Times New Roman" w:cs="Times New Roman"/>
          <w:sz w:val="24"/>
          <w:szCs w:val="24"/>
        </w:rPr>
        <w:t>7</w:t>
      </w:r>
      <w:r w:rsidR="0081277D" w:rsidRPr="00F02DD6">
        <w:rPr>
          <w:rFonts w:ascii="Times New Roman" w:hAnsi="Times New Roman" w:cs="Times New Roman"/>
          <w:sz w:val="24"/>
          <w:szCs w:val="24"/>
        </w:rPr>
        <w:t xml:space="preserve"> </w:t>
      </w:r>
      <w:r w:rsidR="005F1F18" w:rsidRPr="00F02DD6">
        <w:rPr>
          <w:rFonts w:ascii="Times New Roman" w:hAnsi="Times New Roman" w:cs="Times New Roman"/>
          <w:sz w:val="24"/>
          <w:szCs w:val="24"/>
        </w:rPr>
        <w:t>Ugovora o koncesiji za financiranje, građenje, upravljanje i održavanje „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Jadranske autoceste“ – dionica Dragonja 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Pula i Kanfanar 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Pazin 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Matulj</w:t>
      </w:r>
      <w:r w:rsidR="000C7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sklopljenog 25. rujna 1995.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izmijenjenog i dopunjenog 18. rujna 1997.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27. kolovoza 1999.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25. veljače 2003.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="004D06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25. kolovoza 2008.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06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listopada 2018. </w:t>
      </w:r>
      <w:r w:rsidR="005F1F18" w:rsidRPr="00F0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4.studenog 2020.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="004D06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(dalje u tekstu: Ugovor br.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1E2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koji je dostavilo Ministarstvo mora, prometa i infrastrukture aktom KLAS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E2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4D0695" w:rsidRPr="004D06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06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  <w:r w:rsidR="004D06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</w:t>
      </w:r>
      <w:r w:rsidR="001E2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URBROJ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1E2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______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  <w:r w:rsidR="001E2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 od </w:t>
      </w:r>
      <w:r w:rsidR="00BC48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</w:t>
      </w:r>
      <w:r w:rsidR="009661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  <w:r w:rsidR="00BC48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 202</w:t>
      </w:r>
      <w:r w:rsidR="00EE3C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914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E2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14:paraId="2B3D0F43" w14:textId="77777777" w:rsidR="001E22E0" w:rsidRPr="00F02DD6" w:rsidRDefault="001E22E0" w:rsidP="0096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F4319" w14:textId="77777777" w:rsidR="00996B36" w:rsidRPr="00F02DD6" w:rsidRDefault="00996B36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0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</w:t>
      </w:r>
    </w:p>
    <w:p w14:paraId="6A714857" w14:textId="77777777" w:rsidR="00966114" w:rsidRDefault="00966114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3DF40C" w14:textId="2C198788" w:rsidR="00B83F45" w:rsidRPr="007E6A51" w:rsidRDefault="00B83F45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Trajanje koncesije se mijenja i Izmijenjen i dopunjen i konsolidiran Ugovor o koncesiji, odnosno koncesija ističe najkasnije 1</w:t>
      </w:r>
      <w:r w:rsidR="005D079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mjeseci nakon </w:t>
      </w:r>
      <w:r w:rsidR="00FA62A5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planiranog 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datuma otplate duga, odnosno ističe najkasnije dana 15. </w:t>
      </w:r>
      <w:r w:rsidR="005D079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prosinca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143B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="005D079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41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godine. </w:t>
      </w:r>
    </w:p>
    <w:p w14:paraId="3D55CC47" w14:textId="77777777" w:rsidR="00966114" w:rsidRPr="007E6A51" w:rsidRDefault="00966114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CC81B4C" w14:textId="1F8A9883" w:rsidR="00A63285" w:rsidRPr="007E6A51" w:rsidRDefault="00B83F45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slučaju ako Koncesionar u cijelosti ispuni sve svoje obveze prema Financijskim dokumentima </w:t>
      </w:r>
      <w:r w:rsidR="000C7C8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planirani datum otplate duga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odnosno dana 15. prosinca </w:t>
      </w:r>
      <w:r w:rsidR="001143B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="00CF5F22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40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 ili nakon toga, trajanje Izmijenjenog i dopunjenog i konsolidiranog Ugovora o koncesiji, odnosno koncesije skratit će se i isteći će na datum koji nastupi 90 dana nakon datuma takvog ispunjenja obveza Koncesionara.</w:t>
      </w:r>
      <w:r w:rsidR="00A63285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23098F77" w14:textId="77777777" w:rsidR="00966114" w:rsidRPr="007E6A51" w:rsidRDefault="00966114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3CBE928" w14:textId="77777777" w:rsidR="00996B36" w:rsidRPr="007E6A51" w:rsidRDefault="00996B36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</w:t>
      </w:r>
    </w:p>
    <w:p w14:paraId="42F618B9" w14:textId="77777777" w:rsidR="00966114" w:rsidRPr="007E6A51" w:rsidRDefault="00966114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BC865E" w14:textId="299D3C63" w:rsidR="00996B36" w:rsidRPr="007E6A51" w:rsidRDefault="00996B3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 mora, prometa i infrastrukture potpisat će Ugovor 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br. </w:t>
      </w:r>
      <w:r w:rsidR="00CF5F22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kao i sve druge ugovore predviđene Ugovorom br. </w:t>
      </w:r>
      <w:r w:rsidR="00CF5F22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potrebn</w:t>
      </w:r>
      <w:r w:rsidR="00FA62A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izvršavanje Ugovora br. </w:t>
      </w:r>
      <w:r w:rsidR="00CF5F22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8A769E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uključujući Izravni ugovor o financij</w:t>
      </w:r>
      <w:r w:rsidR="00743C20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skom doprinosu koji je Prilog 20</w:t>
      </w:r>
      <w:r w:rsidR="0096611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A769E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277D" w:rsidRPr="007E6A51">
        <w:rPr>
          <w:rFonts w:ascii="Times New Roman" w:hAnsi="Times New Roman" w:cs="Times New Roman"/>
          <w:sz w:val="24"/>
          <w:szCs w:val="24"/>
        </w:rPr>
        <w:t>Izmijenjenog i dopunjenog i konsolidiranog</w:t>
      </w:r>
      <w:r w:rsidR="0081277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B114B" w:rsidRPr="007E6A51">
        <w:rPr>
          <w:rFonts w:ascii="Times New Roman" w:hAnsi="Times New Roman" w:cs="Times New Roman"/>
          <w:sz w:val="24"/>
          <w:szCs w:val="24"/>
        </w:rPr>
        <w:t>Ugovora o koncesiji</w:t>
      </w:r>
      <w:r w:rsidR="000A61FC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Tripartitni ugovor koji je Prilog </w:t>
      </w:r>
      <w:r w:rsidR="00743C20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96611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43C20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277D" w:rsidRPr="007E6A51">
        <w:rPr>
          <w:rFonts w:ascii="Times New Roman" w:hAnsi="Times New Roman" w:cs="Times New Roman"/>
          <w:sz w:val="24"/>
          <w:szCs w:val="24"/>
        </w:rPr>
        <w:t>Izmijenjenog i dopunjenog i konsolidiranog</w:t>
      </w:r>
      <w:r w:rsidR="0081277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B114B" w:rsidRPr="007E6A51">
        <w:rPr>
          <w:rFonts w:ascii="Times New Roman" w:hAnsi="Times New Roman" w:cs="Times New Roman"/>
          <w:sz w:val="24"/>
          <w:szCs w:val="24"/>
        </w:rPr>
        <w:t>Ugovora o koncesiji</w:t>
      </w:r>
      <w:r w:rsidR="008A769E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12CF83B9" w14:textId="77777777" w:rsidR="00966114" w:rsidRPr="007E6A51" w:rsidRDefault="00966114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B7B67AA" w14:textId="102266D4" w:rsidR="007B3AD8" w:rsidRPr="007E6A51" w:rsidRDefault="007B3AD8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</w:t>
      </w:r>
    </w:p>
    <w:p w14:paraId="2EE4DDDA" w14:textId="77777777" w:rsidR="00966114" w:rsidRPr="007E6A51" w:rsidRDefault="00966114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44C259" w14:textId="4E06959F" w:rsidR="005F1F18" w:rsidRPr="007E6A51" w:rsidRDefault="007B3AD8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br. </w:t>
      </w:r>
      <w:r w:rsidR="00591442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Izravni ugovor o financijskom doprinosu i Tripartitni ugovor sklopit će se nakon isteka razdoblja mirovanja od 15 dana od dana 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objave ove Odluke u </w:t>
      </w:r>
      <w:r w:rsidR="00966114" w:rsidRPr="007E6A5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966114" w:rsidRPr="007E6A5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0E08A40" w14:textId="77777777" w:rsidR="001E22E0" w:rsidRPr="007E6A51" w:rsidRDefault="001E22E0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24A2BF" w14:textId="77777777" w:rsidR="00AC6C10" w:rsidRPr="007E6A51" w:rsidRDefault="00AC6C10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V.</w:t>
      </w:r>
    </w:p>
    <w:p w14:paraId="2BD01FF8" w14:textId="77777777" w:rsidR="00007BB6" w:rsidRPr="007E6A51" w:rsidRDefault="00007BB6" w:rsidP="00007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847000" w14:textId="6A674535" w:rsidR="000E6725" w:rsidRPr="007E6A51" w:rsidRDefault="000E6725" w:rsidP="00007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Protiv ove Odluke žalba nije dopuštena, ali se može pokrenuti upravni spor podnošenjem tužbe Upravnom sudu u Zagrebu, u roku od 30 dana od dana 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objave ove</w:t>
      </w:r>
      <w:r w:rsidR="0096611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Odluke u </w:t>
      </w:r>
      <w:r w:rsidR="00966114" w:rsidRPr="007E6A5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966114" w:rsidRPr="007E6A5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7242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6D6F379" w14:textId="77777777" w:rsidR="00007BB6" w:rsidRPr="007E6A51" w:rsidRDefault="00007BB6" w:rsidP="00007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C97827" w14:textId="77777777" w:rsidR="000E6725" w:rsidRPr="007E6A51" w:rsidRDefault="000E6725" w:rsidP="0096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VI.</w:t>
      </w:r>
    </w:p>
    <w:p w14:paraId="78BE219A" w14:textId="77777777" w:rsidR="00007BB6" w:rsidRPr="007E6A51" w:rsidRDefault="00007BB6" w:rsidP="00007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136D4D" w14:textId="4F472E0A" w:rsidR="00AC6C10" w:rsidRPr="007E6A51" w:rsidRDefault="00AC6C10" w:rsidP="00007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</w:t>
      </w:r>
      <w:r w:rsidR="00727F97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F4E8E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objavit će se u </w:t>
      </w:r>
      <w:r w:rsidR="00966114" w:rsidRPr="007E6A5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F4E8E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007BB6" w:rsidRPr="007E6A5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B52216C" w14:textId="77777777" w:rsidR="00007BB6" w:rsidRPr="007E6A51" w:rsidRDefault="00007BB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6436C7" w14:textId="77777777" w:rsidR="00007BB6" w:rsidRPr="007E6A51" w:rsidRDefault="00007BB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6F8071" w14:textId="77777777" w:rsidR="00007BB6" w:rsidRPr="007E6A51" w:rsidRDefault="00007BB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54E37D" w14:textId="66966361" w:rsidR="00472425" w:rsidRPr="007E6A51" w:rsidRDefault="00472425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</w:p>
    <w:p w14:paraId="67A7F4F2" w14:textId="77777777" w:rsidR="00472425" w:rsidRPr="007E6A51" w:rsidRDefault="00472425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</w:p>
    <w:p w14:paraId="316CCD25" w14:textId="1BC732A0" w:rsidR="00472425" w:rsidRPr="007E6A51" w:rsidRDefault="00472425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007BB6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 </w:t>
      </w: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EE3CD5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14:paraId="3606C721" w14:textId="77777777" w:rsidR="00E605E6" w:rsidRPr="007E6A51" w:rsidRDefault="00E605E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1209CA" w14:textId="77777777" w:rsidR="006A1AC2" w:rsidRPr="007E6A51" w:rsidRDefault="006A1AC2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0E6B30" w14:textId="77777777" w:rsidR="006A1AC2" w:rsidRPr="007E6A51" w:rsidRDefault="006A1AC2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BD3509" w14:textId="77777777" w:rsidR="00007BB6" w:rsidRPr="007E6A51" w:rsidRDefault="00007BB6" w:rsidP="00007BB6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P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R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S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N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I</w:t>
      </w:r>
      <w:r w:rsidRPr="007E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val="x-none"/>
        </w:rPr>
        <w:t>K</w:t>
      </w:r>
    </w:p>
    <w:p w14:paraId="32A881AC" w14:textId="77777777" w:rsidR="00007BB6" w:rsidRPr="007E6A51" w:rsidRDefault="00007BB6" w:rsidP="00007BB6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837071" w14:textId="77777777" w:rsidR="00007BB6" w:rsidRPr="007E6A51" w:rsidRDefault="00007BB6" w:rsidP="00007BB6">
      <w:pPr>
        <w:suppressAutoHyphens/>
        <w:spacing w:after="0" w:line="240" w:lineRule="auto"/>
        <w:ind w:left="16941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1E7D4112" w14:textId="77777777" w:rsidR="00007BB6" w:rsidRPr="007E6A51" w:rsidRDefault="00007BB6" w:rsidP="00007BB6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6A51">
        <w:rPr>
          <w:rFonts w:ascii="Times New Roman" w:eastAsia="Times New Roman" w:hAnsi="Times New Roman" w:cs="Times New Roman"/>
          <w:b/>
          <w:sz w:val="24"/>
          <w:szCs w:val="24"/>
        </w:rPr>
        <w:t>mr. sc. Andrej Plenković, v. r.</w:t>
      </w:r>
    </w:p>
    <w:p w14:paraId="40BBB771" w14:textId="77777777" w:rsidR="00E605E6" w:rsidRPr="007E6A51" w:rsidRDefault="00E605E6" w:rsidP="00966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793846" w14:textId="77777777" w:rsidR="00AC6C10" w:rsidRPr="007E6A51" w:rsidRDefault="00AC6C10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70C78B" w14:textId="77777777" w:rsidR="00F02DD6" w:rsidRPr="007E6A51" w:rsidRDefault="00F02DD6" w:rsidP="009661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 w:type="page"/>
      </w:r>
    </w:p>
    <w:p w14:paraId="05C412F1" w14:textId="77777777" w:rsidR="00007BB6" w:rsidRPr="007E6A51" w:rsidRDefault="00007BB6" w:rsidP="00007BB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7E6A51">
        <w:rPr>
          <w:rFonts w:ascii="Times New Roman" w:eastAsia="MS Mincho" w:hAnsi="Times New Roman" w:cs="Times New Roman"/>
          <w:b/>
          <w:sz w:val="36"/>
          <w:szCs w:val="36"/>
        </w:rPr>
        <w:lastRenderedPageBreak/>
        <w:t>O B R A Z L O Ž E NJ E</w:t>
      </w:r>
    </w:p>
    <w:p w14:paraId="730E7610" w14:textId="77777777" w:rsidR="00007BB6" w:rsidRPr="007E6A51" w:rsidRDefault="00007BB6" w:rsidP="0096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4FFF7F" w14:textId="1A3E9790" w:rsidR="00A63285" w:rsidRPr="007E6A51" w:rsidRDefault="00357DD8" w:rsidP="0096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Istarski ipsilon autocesta je duljine 145 km koja povezuje Istru te istar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 regiju s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ostatkom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Hrvatske. 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</w:t>
      </w:r>
      <w:r w:rsidR="00A878E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Republike Hrvatske 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dodijelila </w:t>
      </w:r>
      <w:r w:rsidR="0023072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oncesiju</w:t>
      </w:r>
      <w:r w:rsidR="0023072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društvu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AB9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Bina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5AB9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Istra d.d.</w:t>
      </w:r>
      <w:r w:rsidR="00743C20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u skladu s ugovorom o koncesiji sklopljenim 25. rujna 1995.</w:t>
      </w:r>
      <w:r w:rsidR="0023072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godine, a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72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 o koncesiji </w:t>
      </w:r>
      <w:r w:rsidR="0023072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izmijenjen i dopunjen </w:t>
      </w:r>
      <w:r w:rsidR="00FA0409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šest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puta od njegova sklapanja, </w:t>
      </w:r>
      <w:r w:rsidR="0023072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to 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18. rujna 1997.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, 27. kolovoza 1999.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, 25. veljače 2003.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5940E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 kolovoza 2008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CF5F2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40E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listopada 2018.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A878E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F2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i 4.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F2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studenog 2020.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godine.</w:t>
      </w:r>
    </w:p>
    <w:p w14:paraId="43097BAF" w14:textId="77777777" w:rsidR="00390711" w:rsidRPr="007E6A51" w:rsidRDefault="00BD66FD" w:rsidP="00966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DACC87" w14:textId="590C655E" w:rsidR="00BD66FD" w:rsidRPr="007E6A51" w:rsidRDefault="00B321D2" w:rsidP="00966114">
      <w:pPr>
        <w:pStyle w:val="Bodytext20"/>
        <w:tabs>
          <w:tab w:val="left" w:pos="39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23072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Odluka odnosi se na predložen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izmjen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dopun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B3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br. </w:t>
      </w:r>
      <w:r w:rsidR="00CF5F2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95B3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BE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Ugovora o koncesiji radi provedbe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</w:t>
      </w:r>
      <w:r w:rsidR="005940E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CF5F2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i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CF5F2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2B2-3</w:t>
      </w:r>
      <w:r w:rsidR="00BD66F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Projekta. </w:t>
      </w:r>
      <w:r w:rsidR="00CF5F2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Podfaza</w:t>
      </w:r>
      <w:r w:rsidR="00CF5F2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2B2-2 sastoji se od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dopune na puni profil (izgradnja drugog kolnika) na dionici Tunel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Učka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Matulji koja je dio autoceste A8 Kanfanar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Pazin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Lupoglav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Matulji. Predviđeno je da se i postojeća brza cesta na određenim dijelovima rekonstruira kako bi se poboljšali projektni element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je obuhvaćena zaštita od buke kako za novi tako i za postojeći kolnik.  Ukupna duljina dionice je 10,30 kilometara te se sastoji od </w:t>
      </w:r>
      <w:r w:rsidR="00443CA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pod-dionica: </w:t>
      </w:r>
      <w:r w:rsidR="005F1EB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2B2-2-1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1EB2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Dio A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Proširenje odmorišta Kvarner, 2B2-2-1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Dio B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izgradnja 2 dodatne kolničke trake između završetka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2B2-1 (drugi kolnički trak od čvora Vranja do tunela Učka/Portala Kvarner uključujući i drugu cijev tunela Učka čija gradnja je u tijeku)  i početka faze 2B2-2 (1,3 km), 2B2-2-2 Odmorište Kvarner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Veprinac (2,8 km), 2B2-2-3 Veprinac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Anđeli (3,5 km), 2B2-2-4 Anđeli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Frančići (1,6 km) i 2B2-2-5 Frančići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Matulji (1,2 km).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Podfaza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2B2-3 sastoji se od </w:t>
      </w:r>
      <w:r w:rsidR="00077A4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pod-dionice 2B2-3-1 odnosno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dupliranj</w:t>
      </w:r>
      <w:r w:rsidR="00110F9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</w:t>
      </w:r>
      <w:r w:rsidR="000D2473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Mirna (duljine 1.354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m)  </w:t>
      </w:r>
      <w:r w:rsidR="00077A4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te pod-dionice 2B2-3-2 tj.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dupliranj</w:t>
      </w:r>
      <w:r w:rsidR="00077A4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vijadukta Limska Draga  (</w:t>
      </w:r>
      <w:r w:rsidR="000D2473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duljine 552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m) na zapadnom kraku Istarskog Ipsilona, di</w:t>
      </w:r>
      <w:r w:rsidR="0096799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onici autoceste A9 Umag </w:t>
      </w:r>
      <w:r w:rsidR="00007BB6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99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</w:t>
      </w:r>
      <w:r w:rsidR="00077A4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689414" w14:textId="77777777" w:rsidR="00007BB6" w:rsidRPr="007E6A51" w:rsidRDefault="00007BB6" w:rsidP="00966114">
      <w:pPr>
        <w:pStyle w:val="docplain"/>
        <w:shd w:val="clear" w:color="auto" w:fill="FFFFFF"/>
        <w:spacing w:before="0" w:beforeAutospacing="0" w:after="0" w:afterAutospacing="0"/>
        <w:jc w:val="both"/>
      </w:pPr>
    </w:p>
    <w:p w14:paraId="2DE53CB9" w14:textId="4EABFD61" w:rsidR="001F13D0" w:rsidRPr="007E6A51" w:rsidRDefault="001F13D0" w:rsidP="00966114">
      <w:pPr>
        <w:pStyle w:val="docplain"/>
        <w:shd w:val="clear" w:color="auto" w:fill="FFFFFF"/>
        <w:spacing w:before="0" w:beforeAutospacing="0" w:after="0" w:afterAutospacing="0"/>
        <w:jc w:val="both"/>
      </w:pPr>
      <w:r w:rsidRPr="007E6A51">
        <w:t xml:space="preserve">Pravni temelj za </w:t>
      </w:r>
      <w:r w:rsidRPr="007E6A51">
        <w:rPr>
          <w:rFonts w:eastAsia="Arial"/>
          <w:color w:val="000000" w:themeColor="text1"/>
          <w:lang w:eastAsia="en-US"/>
        </w:rPr>
        <w:t xml:space="preserve">sklapanje Ugovora </w:t>
      </w:r>
      <w:r w:rsidR="00795B31" w:rsidRPr="007E6A51">
        <w:rPr>
          <w:rFonts w:eastAsia="Arial"/>
          <w:color w:val="000000" w:themeColor="text1"/>
          <w:lang w:eastAsia="en-US"/>
        </w:rPr>
        <w:t xml:space="preserve">br. </w:t>
      </w:r>
      <w:r w:rsidR="00967997" w:rsidRPr="007E6A51">
        <w:rPr>
          <w:rFonts w:eastAsia="Arial"/>
          <w:color w:val="000000" w:themeColor="text1"/>
          <w:lang w:eastAsia="en-US"/>
        </w:rPr>
        <w:t>7</w:t>
      </w:r>
      <w:r w:rsidR="00795B31" w:rsidRPr="007E6A51">
        <w:rPr>
          <w:rFonts w:eastAsia="Arial"/>
          <w:color w:val="000000" w:themeColor="text1"/>
          <w:lang w:eastAsia="en-US"/>
        </w:rPr>
        <w:t xml:space="preserve"> </w:t>
      </w:r>
      <w:r w:rsidRPr="007E6A51">
        <w:t>bez pokretanja novog postupka davanja koncesije predstavlja članak 62. stavak (5) točka (2) i stavak (</w:t>
      </w:r>
      <w:r w:rsidR="001F68AC" w:rsidRPr="007E6A51">
        <w:t>9</w:t>
      </w:r>
      <w:r w:rsidRPr="007E6A51">
        <w:t>) Zakona o koncesijama</w:t>
      </w:r>
      <w:r w:rsidR="00007BB6" w:rsidRPr="007E6A51">
        <w:t xml:space="preserve"> </w:t>
      </w:r>
      <w:r w:rsidR="00007BB6" w:rsidRPr="007E6A51">
        <w:rPr>
          <w:bCs/>
        </w:rPr>
        <w:t>(»Narodne novine«, br. 69/17 i 107/20</w:t>
      </w:r>
      <w:r w:rsidR="00EF4C97" w:rsidRPr="007E6A51">
        <w:rPr>
          <w:bCs/>
        </w:rPr>
        <w:t xml:space="preserve"> - </w:t>
      </w:r>
      <w:r w:rsidR="00034908" w:rsidRPr="007E6A51">
        <w:rPr>
          <w:color w:val="000000"/>
        </w:rPr>
        <w:t>dalje u tekstu: Zakon o koncesijama</w:t>
      </w:r>
      <w:r w:rsidR="00007BB6" w:rsidRPr="007E6A51">
        <w:rPr>
          <w:bCs/>
        </w:rPr>
        <w:t>)</w:t>
      </w:r>
      <w:r w:rsidRPr="007E6A51">
        <w:t xml:space="preserve">. </w:t>
      </w:r>
    </w:p>
    <w:p w14:paraId="4E574B57" w14:textId="77777777" w:rsidR="001F13D0" w:rsidRPr="007E6A51" w:rsidRDefault="001F13D0" w:rsidP="00966114">
      <w:pPr>
        <w:pStyle w:val="docplain"/>
        <w:shd w:val="clear" w:color="auto" w:fill="FFFFFF"/>
        <w:spacing w:before="0" w:beforeAutospacing="0" w:after="0" w:afterAutospacing="0"/>
        <w:jc w:val="both"/>
      </w:pPr>
    </w:p>
    <w:p w14:paraId="05F2230C" w14:textId="67D1DE36" w:rsidR="001F13D0" w:rsidRPr="007E6A51" w:rsidRDefault="001F13D0" w:rsidP="00966114">
      <w:pPr>
        <w:pStyle w:val="docplain"/>
        <w:shd w:val="clear" w:color="auto" w:fill="FFFFFF"/>
        <w:spacing w:before="0" w:beforeAutospacing="0" w:after="0" w:afterAutospacing="0"/>
        <w:jc w:val="both"/>
      </w:pPr>
      <w:r w:rsidRPr="007E6A51">
        <w:t>Predmetnim odredbama u hrvatsko zakonodavstvo je preuzeta odredba članka 43 (1) (b) Direktive 2014/23/EU  Europskog parlamenta i Vijeća od 26. veljače 2014. o dodjeli ugovora o koncesiji (SL L 94, 28. 3. 2014.) (u daljnjem tekstu: Direktiva 2014/23/EU).</w:t>
      </w:r>
    </w:p>
    <w:p w14:paraId="75297972" w14:textId="017417A2" w:rsidR="0025315C" w:rsidRPr="007E6A51" w:rsidRDefault="0025315C" w:rsidP="00966114">
      <w:pPr>
        <w:pStyle w:val="docplain"/>
        <w:shd w:val="clear" w:color="auto" w:fill="FFFFFF"/>
        <w:spacing w:before="0" w:beforeAutospacing="0" w:after="0" w:afterAutospacing="0"/>
        <w:jc w:val="both"/>
      </w:pPr>
    </w:p>
    <w:p w14:paraId="532506B8" w14:textId="58E79116" w:rsidR="006E5AB9" w:rsidRPr="007E6A51" w:rsidRDefault="006E5AB9" w:rsidP="00966114">
      <w:pPr>
        <w:pStyle w:val="NormalWeb"/>
        <w:spacing w:before="0" w:beforeAutospacing="0" w:after="0" w:afterAutospacing="0"/>
        <w:jc w:val="both"/>
        <w:rPr>
          <w:color w:val="000000" w:themeColor="text1"/>
          <w:lang w:val="hr-HR"/>
        </w:rPr>
      </w:pPr>
      <w:r w:rsidRPr="007E6A51">
        <w:rPr>
          <w:color w:val="000000" w:themeColor="text1"/>
          <w:lang w:val="hr-HR"/>
        </w:rPr>
        <w:t xml:space="preserve">Obzirom da </w:t>
      </w:r>
      <w:r w:rsidR="00BD66FD" w:rsidRPr="007E6A51">
        <w:rPr>
          <w:color w:val="000000" w:themeColor="text1"/>
          <w:lang w:val="hr-HR"/>
        </w:rPr>
        <w:t>postojeć</w:t>
      </w:r>
      <w:r w:rsidRPr="007E6A51">
        <w:rPr>
          <w:color w:val="000000" w:themeColor="text1"/>
          <w:lang w:val="hr-HR"/>
        </w:rPr>
        <w:t>i</w:t>
      </w:r>
      <w:r w:rsidR="00BD66FD" w:rsidRPr="007E6A51">
        <w:rPr>
          <w:color w:val="000000" w:themeColor="text1"/>
          <w:lang w:val="hr-HR"/>
        </w:rPr>
        <w:t xml:space="preserve"> Ugovor o koncesiji</w:t>
      </w:r>
      <w:r w:rsidRPr="007E6A51">
        <w:rPr>
          <w:color w:val="000000" w:themeColor="text1"/>
          <w:lang w:val="hr-HR"/>
        </w:rPr>
        <w:t xml:space="preserve"> nije predvidio uvjete i rokove izgradnje </w:t>
      </w:r>
      <w:r w:rsidR="009D3AC7" w:rsidRPr="007E6A51">
        <w:rPr>
          <w:color w:val="000000" w:themeColor="text1"/>
          <w:lang w:val="hr-HR"/>
        </w:rPr>
        <w:t>Podfaze</w:t>
      </w:r>
      <w:r w:rsidRPr="007E6A51">
        <w:rPr>
          <w:color w:val="000000" w:themeColor="text1"/>
          <w:lang w:val="hr-HR"/>
        </w:rPr>
        <w:t xml:space="preserve"> 2B</w:t>
      </w:r>
      <w:r w:rsidR="005940E5" w:rsidRPr="007E6A51">
        <w:rPr>
          <w:color w:val="000000" w:themeColor="text1"/>
          <w:lang w:val="hr-HR"/>
        </w:rPr>
        <w:t>2-</w:t>
      </w:r>
      <w:r w:rsidR="00967997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Podfaze</w:t>
      </w:r>
      <w:r w:rsidR="00967997" w:rsidRPr="007E6A51">
        <w:rPr>
          <w:color w:val="000000" w:themeColor="text1"/>
          <w:lang w:val="hr-HR"/>
        </w:rPr>
        <w:t xml:space="preserve"> 2B2-3</w:t>
      </w:r>
      <w:r w:rsidR="00BD66FD" w:rsidRPr="007E6A51">
        <w:rPr>
          <w:color w:val="000000" w:themeColor="text1"/>
          <w:lang w:val="hr-HR"/>
        </w:rPr>
        <w:t xml:space="preserve">, </w:t>
      </w:r>
      <w:r w:rsidRPr="007E6A51">
        <w:rPr>
          <w:color w:val="000000" w:themeColor="text1"/>
          <w:lang w:val="hr-HR"/>
        </w:rPr>
        <w:t xml:space="preserve">te obzirom da </w:t>
      </w:r>
      <w:r w:rsidR="00BD66FD" w:rsidRPr="007E6A51">
        <w:rPr>
          <w:color w:val="000000" w:themeColor="text1"/>
          <w:lang w:val="hr-HR"/>
        </w:rPr>
        <w:t xml:space="preserve">postojeće tarife i Financijski doprinos nisu </w:t>
      </w:r>
      <w:r w:rsidRPr="007E6A51">
        <w:rPr>
          <w:color w:val="000000" w:themeColor="text1"/>
          <w:lang w:val="hr-HR"/>
        </w:rPr>
        <w:t xml:space="preserve">omogućavali </w:t>
      </w:r>
      <w:r w:rsidR="00BD66FD" w:rsidRPr="007E6A51">
        <w:rPr>
          <w:color w:val="000000" w:themeColor="text1"/>
          <w:lang w:val="hr-HR"/>
        </w:rPr>
        <w:t>nadoknad</w:t>
      </w:r>
      <w:r w:rsidRPr="007E6A51">
        <w:rPr>
          <w:color w:val="000000" w:themeColor="text1"/>
          <w:lang w:val="hr-HR"/>
        </w:rPr>
        <w:t xml:space="preserve">u za </w:t>
      </w:r>
      <w:r w:rsidR="00BD66FD" w:rsidRPr="007E6A51">
        <w:rPr>
          <w:color w:val="000000" w:themeColor="text1"/>
          <w:lang w:val="hr-HR"/>
        </w:rPr>
        <w:t xml:space="preserve">radove </w:t>
      </w:r>
      <w:r w:rsidR="009D3AC7" w:rsidRPr="007E6A51">
        <w:rPr>
          <w:color w:val="000000" w:themeColor="text1"/>
          <w:lang w:val="hr-HR"/>
        </w:rPr>
        <w:t>Podfaze</w:t>
      </w:r>
      <w:r w:rsidR="00BD66FD" w:rsidRPr="007E6A51">
        <w:rPr>
          <w:color w:val="000000" w:themeColor="text1"/>
          <w:lang w:val="hr-HR"/>
        </w:rPr>
        <w:t xml:space="preserve"> 2B</w:t>
      </w:r>
      <w:r w:rsidR="005940E5" w:rsidRPr="007E6A51">
        <w:rPr>
          <w:color w:val="000000" w:themeColor="text1"/>
          <w:lang w:val="hr-HR"/>
        </w:rPr>
        <w:t>2-</w:t>
      </w:r>
      <w:r w:rsidR="002C1B53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Podfaze</w:t>
      </w:r>
      <w:r w:rsidR="002C1B53" w:rsidRPr="007E6A51">
        <w:rPr>
          <w:color w:val="000000" w:themeColor="text1"/>
          <w:lang w:val="hr-HR"/>
        </w:rPr>
        <w:t xml:space="preserve"> 2B2-3</w:t>
      </w:r>
      <w:r w:rsidR="00BD66FD" w:rsidRPr="007E6A51">
        <w:rPr>
          <w:color w:val="000000" w:themeColor="text1"/>
          <w:lang w:val="hr-HR"/>
        </w:rPr>
        <w:t xml:space="preserve"> jer troškovi izgradnje </w:t>
      </w:r>
      <w:r w:rsidR="009D3AC7" w:rsidRPr="007E6A51">
        <w:rPr>
          <w:color w:val="000000" w:themeColor="text1"/>
          <w:lang w:val="hr-HR"/>
        </w:rPr>
        <w:t>Podfaze</w:t>
      </w:r>
      <w:r w:rsidR="00BD66FD" w:rsidRPr="007E6A51">
        <w:rPr>
          <w:color w:val="000000" w:themeColor="text1"/>
          <w:lang w:val="hr-HR"/>
        </w:rPr>
        <w:t xml:space="preserve"> 2B</w:t>
      </w:r>
      <w:r w:rsidR="005940E5" w:rsidRPr="007E6A51">
        <w:rPr>
          <w:color w:val="000000" w:themeColor="text1"/>
          <w:lang w:val="hr-HR"/>
        </w:rPr>
        <w:t>2-</w:t>
      </w:r>
      <w:r w:rsidR="002C1B53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Podfaze</w:t>
      </w:r>
      <w:r w:rsidR="002C1B53" w:rsidRPr="007E6A51">
        <w:rPr>
          <w:color w:val="000000" w:themeColor="text1"/>
          <w:lang w:val="hr-HR"/>
        </w:rPr>
        <w:t xml:space="preserve"> 2B2-3</w:t>
      </w:r>
      <w:r w:rsidR="00BD66FD" w:rsidRPr="007E6A51">
        <w:rPr>
          <w:color w:val="000000" w:themeColor="text1"/>
          <w:lang w:val="hr-HR"/>
        </w:rPr>
        <w:t xml:space="preserve"> nisu uzeti u obzir u dosadašnjem Mehanizmu financijskog doprinosa</w:t>
      </w:r>
      <w:r w:rsidRPr="007E6A51">
        <w:rPr>
          <w:color w:val="000000" w:themeColor="text1"/>
          <w:lang w:val="hr-HR"/>
        </w:rPr>
        <w:t>,</w:t>
      </w:r>
      <w:r w:rsidR="00307A90" w:rsidRPr="007E6A51">
        <w:rPr>
          <w:color w:val="000000" w:themeColor="text1"/>
          <w:lang w:val="hr-HR"/>
        </w:rPr>
        <w:t xml:space="preserve"> došlo je do potrebe sklapanja </w:t>
      </w:r>
      <w:r w:rsidR="00795B31" w:rsidRPr="007E6A51">
        <w:rPr>
          <w:color w:val="000000" w:themeColor="text1"/>
          <w:lang w:val="hr-HR"/>
        </w:rPr>
        <w:t>u</w:t>
      </w:r>
      <w:r w:rsidRPr="007E6A51">
        <w:rPr>
          <w:color w:val="000000" w:themeColor="text1"/>
          <w:lang w:val="hr-HR"/>
        </w:rPr>
        <w:t xml:space="preserve">govora o izmjenama i dopunama </w:t>
      </w:r>
      <w:r w:rsidR="00795B31" w:rsidRPr="007E6A51">
        <w:rPr>
          <w:color w:val="000000" w:themeColor="text1"/>
          <w:lang w:val="hr-HR"/>
        </w:rPr>
        <w:t xml:space="preserve">postojećeg </w:t>
      </w:r>
      <w:r w:rsidRPr="007E6A51">
        <w:rPr>
          <w:color w:val="000000" w:themeColor="text1"/>
          <w:lang w:val="hr-HR"/>
        </w:rPr>
        <w:t>Ugovora o koncesiji</w:t>
      </w:r>
      <w:r w:rsidR="00BD66FD" w:rsidRPr="007E6A51">
        <w:rPr>
          <w:color w:val="000000" w:themeColor="text1"/>
          <w:lang w:val="hr-HR"/>
        </w:rPr>
        <w:t xml:space="preserve">. </w:t>
      </w:r>
      <w:r w:rsidRPr="007E6A51">
        <w:rPr>
          <w:color w:val="000000" w:themeColor="text1"/>
          <w:lang w:val="hr-HR"/>
        </w:rPr>
        <w:t>Naime, o</w:t>
      </w:r>
      <w:r w:rsidR="00BD66FD" w:rsidRPr="007E6A51">
        <w:rPr>
          <w:color w:val="000000" w:themeColor="text1"/>
          <w:lang w:val="hr-HR"/>
        </w:rPr>
        <w:t xml:space="preserve">čekuje se da će izgradnja </w:t>
      </w:r>
      <w:r w:rsidR="009D3AC7" w:rsidRPr="007E6A51">
        <w:rPr>
          <w:color w:val="000000" w:themeColor="text1"/>
          <w:lang w:val="hr-HR"/>
        </w:rPr>
        <w:t>Podfaze</w:t>
      </w:r>
      <w:r w:rsidR="00BD66FD" w:rsidRPr="007E6A51">
        <w:rPr>
          <w:color w:val="000000" w:themeColor="text1"/>
          <w:lang w:val="hr-HR"/>
        </w:rPr>
        <w:t xml:space="preserve"> 2B</w:t>
      </w:r>
      <w:r w:rsidR="005940E5" w:rsidRPr="007E6A51">
        <w:rPr>
          <w:color w:val="000000" w:themeColor="text1"/>
          <w:lang w:val="hr-HR"/>
        </w:rPr>
        <w:t>2-</w:t>
      </w:r>
      <w:r w:rsidR="00AB6AD1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Podfaze</w:t>
      </w:r>
      <w:r w:rsidR="00AB6AD1" w:rsidRPr="007E6A51">
        <w:rPr>
          <w:color w:val="000000" w:themeColor="text1"/>
          <w:lang w:val="hr-HR"/>
        </w:rPr>
        <w:t xml:space="preserve"> 2B2-3</w:t>
      </w:r>
      <w:r w:rsidR="00BD66FD" w:rsidRPr="007E6A51">
        <w:rPr>
          <w:color w:val="000000" w:themeColor="text1"/>
          <w:lang w:val="hr-HR"/>
        </w:rPr>
        <w:t xml:space="preserve"> dovesti do niza ključnih koristi za građane i korisnike Autoceste uključujući:</w:t>
      </w:r>
      <w:r w:rsidR="00E2435C" w:rsidRPr="007E6A51">
        <w:rPr>
          <w:lang w:val="hr-HR"/>
        </w:rPr>
        <w:t xml:space="preserve"> </w:t>
      </w:r>
      <w:r w:rsidR="00E2435C" w:rsidRPr="007E6A51">
        <w:rPr>
          <w:color w:val="000000" w:themeColor="text1"/>
          <w:lang w:val="hr-HR"/>
        </w:rPr>
        <w:t>povećanje razine sigurnosti</w:t>
      </w:r>
      <w:r w:rsidR="00AB6AD1" w:rsidRPr="007E6A51">
        <w:rPr>
          <w:color w:val="000000" w:themeColor="text1"/>
          <w:lang w:val="hr-HR"/>
        </w:rPr>
        <w:t xml:space="preserve"> ovih dionica Autoceste</w:t>
      </w:r>
      <w:r w:rsidR="00E2435C" w:rsidRPr="007E6A51">
        <w:rPr>
          <w:color w:val="000000" w:themeColor="text1"/>
          <w:lang w:val="hr-HR"/>
        </w:rPr>
        <w:t>, smanjenje zagušenja, skraćivanje vremena putovanja, unaprjeđenje zaštite okoliša, nadogradnju sveobuhvatne Transeuropske prometne mreže ("TEN-T") čime se primjereno povezuje Istra s ostatkom Republike Hrvatske, poboljšava gospodarska i socijalna kohezija te se ostvaruju znatne gospodarske koristi</w:t>
      </w:r>
      <w:r w:rsidR="004952B5" w:rsidRPr="007E6A51">
        <w:rPr>
          <w:color w:val="000000" w:themeColor="text1"/>
          <w:lang w:val="hr-HR"/>
        </w:rPr>
        <w:t xml:space="preserve">. </w:t>
      </w:r>
    </w:p>
    <w:p w14:paraId="29491A56" w14:textId="77777777" w:rsidR="00EF4C97" w:rsidRPr="007E6A51" w:rsidRDefault="00EF4C97" w:rsidP="00966114">
      <w:pPr>
        <w:pStyle w:val="NormalWeb"/>
        <w:spacing w:before="0" w:beforeAutospacing="0" w:after="0" w:afterAutospacing="0"/>
        <w:jc w:val="both"/>
        <w:rPr>
          <w:color w:val="000000" w:themeColor="text1"/>
          <w:lang w:val="hr-HR"/>
        </w:rPr>
      </w:pPr>
    </w:p>
    <w:p w14:paraId="4E7FA7DF" w14:textId="7946B98C" w:rsidR="009E020A" w:rsidRPr="007E6A51" w:rsidRDefault="007116D8" w:rsidP="00966114">
      <w:pPr>
        <w:pStyle w:val="NormalWeb"/>
        <w:spacing w:before="0" w:beforeAutospacing="0" w:after="0" w:afterAutospacing="0"/>
        <w:jc w:val="both"/>
        <w:rPr>
          <w:color w:val="000000" w:themeColor="text1"/>
          <w:lang w:val="hr-HR"/>
        </w:rPr>
      </w:pPr>
      <w:r w:rsidRPr="007E6A51">
        <w:rPr>
          <w:color w:val="000000" w:themeColor="text1"/>
          <w:lang w:val="hr-HR"/>
        </w:rPr>
        <w:t xml:space="preserve">Određivanje dodatnog (drugog) koncesionara za obavljanje djelatnosti koja bi kao predmet koncesije imala samo </w:t>
      </w:r>
      <w:r w:rsidR="009D3AC7" w:rsidRPr="007E6A51">
        <w:rPr>
          <w:color w:val="000000" w:themeColor="text1"/>
          <w:lang w:val="hr-HR"/>
        </w:rPr>
        <w:t>Podfazu</w:t>
      </w:r>
      <w:r w:rsidRPr="007E6A51">
        <w:rPr>
          <w:color w:val="000000" w:themeColor="text1"/>
          <w:lang w:val="hr-HR"/>
        </w:rPr>
        <w:t xml:space="preserve"> 2B</w:t>
      </w:r>
      <w:r w:rsidR="009D491D" w:rsidRPr="007E6A51">
        <w:rPr>
          <w:color w:val="000000" w:themeColor="text1"/>
          <w:lang w:val="hr-HR"/>
        </w:rPr>
        <w:t>2-</w:t>
      </w:r>
      <w:r w:rsidR="004952B5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Podfazu</w:t>
      </w:r>
      <w:r w:rsidR="004952B5" w:rsidRPr="007E6A51">
        <w:rPr>
          <w:color w:val="000000" w:themeColor="text1"/>
          <w:lang w:val="hr-HR"/>
        </w:rPr>
        <w:t xml:space="preserve"> 2B2-3</w:t>
      </w:r>
      <w:r w:rsidR="001F13D0" w:rsidRPr="007E6A51">
        <w:rPr>
          <w:color w:val="000000" w:themeColor="text1"/>
          <w:lang w:val="hr-HR"/>
        </w:rPr>
        <w:t xml:space="preserve"> prouzročil</w:t>
      </w:r>
      <w:r w:rsidRPr="007E6A51">
        <w:rPr>
          <w:color w:val="000000" w:themeColor="text1"/>
          <w:lang w:val="hr-HR"/>
        </w:rPr>
        <w:t>o</w:t>
      </w:r>
      <w:r w:rsidR="001F13D0" w:rsidRPr="007E6A51">
        <w:rPr>
          <w:color w:val="000000" w:themeColor="text1"/>
          <w:lang w:val="hr-HR"/>
        </w:rPr>
        <w:t xml:space="preserve"> </w:t>
      </w:r>
      <w:r w:rsidR="00307A90" w:rsidRPr="007E6A51">
        <w:rPr>
          <w:color w:val="000000" w:themeColor="text1"/>
          <w:lang w:val="hr-HR"/>
        </w:rPr>
        <w:t xml:space="preserve">bi </w:t>
      </w:r>
      <w:r w:rsidR="001F13D0" w:rsidRPr="007E6A51">
        <w:rPr>
          <w:color w:val="000000" w:themeColor="text1"/>
          <w:lang w:val="hr-HR"/>
        </w:rPr>
        <w:t>značajne poteškoće i znatno povećanje troškova za davatelja koncesije</w:t>
      </w:r>
      <w:r w:rsidR="006B3968" w:rsidRPr="007E6A51">
        <w:rPr>
          <w:color w:val="000000" w:themeColor="text1"/>
          <w:lang w:val="hr-HR"/>
        </w:rPr>
        <w:t xml:space="preserve"> te isto nije moguće zbog gospodarskih odnosno tehničkih razloga</w:t>
      </w:r>
      <w:r w:rsidR="001F13D0" w:rsidRPr="007E6A51">
        <w:rPr>
          <w:color w:val="000000" w:themeColor="text1"/>
          <w:lang w:val="hr-HR"/>
        </w:rPr>
        <w:t xml:space="preserve">. </w:t>
      </w:r>
      <w:r w:rsidR="006B3968" w:rsidRPr="007E6A51">
        <w:rPr>
          <w:color w:val="000000" w:themeColor="text1"/>
          <w:lang w:val="hr-HR"/>
        </w:rPr>
        <w:t>Naime</w:t>
      </w:r>
      <w:r w:rsidR="001F13D0" w:rsidRPr="007E6A51">
        <w:rPr>
          <w:color w:val="000000" w:themeColor="text1"/>
          <w:lang w:val="hr-HR"/>
        </w:rPr>
        <w:t xml:space="preserve">, određivanje dodatnog (drugog) koncesionara za obavljanje djelatnosti koja bi kao predmet koncesije imala samo </w:t>
      </w:r>
      <w:r w:rsidR="009D3AC7" w:rsidRPr="007E6A51">
        <w:rPr>
          <w:color w:val="000000" w:themeColor="text1"/>
          <w:lang w:val="hr-HR"/>
        </w:rPr>
        <w:t>Podfazu</w:t>
      </w:r>
      <w:r w:rsidR="001F13D0" w:rsidRPr="007E6A51">
        <w:rPr>
          <w:color w:val="000000" w:themeColor="text1"/>
          <w:lang w:val="hr-HR"/>
        </w:rPr>
        <w:t xml:space="preserve"> 2B</w:t>
      </w:r>
      <w:r w:rsidR="009D491D" w:rsidRPr="007E6A51">
        <w:rPr>
          <w:color w:val="000000" w:themeColor="text1"/>
          <w:lang w:val="hr-HR"/>
        </w:rPr>
        <w:t>2-</w:t>
      </w:r>
      <w:r w:rsidR="004952B5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Podfazu</w:t>
      </w:r>
      <w:r w:rsidR="004952B5" w:rsidRPr="007E6A51">
        <w:rPr>
          <w:color w:val="000000" w:themeColor="text1"/>
          <w:lang w:val="hr-HR"/>
        </w:rPr>
        <w:t xml:space="preserve"> 2B2-3</w:t>
      </w:r>
      <w:r w:rsidR="001F13D0" w:rsidRPr="007E6A51">
        <w:rPr>
          <w:color w:val="000000" w:themeColor="text1"/>
          <w:lang w:val="hr-HR"/>
        </w:rPr>
        <w:t xml:space="preserve">, a koji bi obavljao svoju djelatnost paralelno s postojećim Koncesionarom za ostale, već izgrađene </w:t>
      </w:r>
      <w:r w:rsidR="001F13D0" w:rsidRPr="007E6A51">
        <w:rPr>
          <w:color w:val="000000" w:themeColor="text1"/>
          <w:lang w:val="hr-HR"/>
        </w:rPr>
        <w:lastRenderedPageBreak/>
        <w:t>segmente autoceste, nije</w:t>
      </w:r>
      <w:r w:rsidR="009E020A" w:rsidRPr="007E6A51">
        <w:rPr>
          <w:color w:val="000000" w:themeColor="text1"/>
          <w:lang w:val="hr-HR"/>
        </w:rPr>
        <w:t xml:space="preserve"> izvediv</w:t>
      </w:r>
      <w:r w:rsidR="006B3968" w:rsidRPr="007E6A51">
        <w:rPr>
          <w:color w:val="000000" w:themeColor="text1"/>
          <w:lang w:val="hr-HR"/>
        </w:rPr>
        <w:t xml:space="preserve">o jer </w:t>
      </w:r>
      <w:r w:rsidR="009E020A" w:rsidRPr="007E6A51">
        <w:rPr>
          <w:color w:val="000000" w:themeColor="text1"/>
          <w:lang w:val="hr-HR"/>
        </w:rPr>
        <w:t xml:space="preserve">cestarinu nije moguće naplaćivati odvojeno za postojećeg </w:t>
      </w:r>
      <w:r w:rsidR="00307A90" w:rsidRPr="007E6A51">
        <w:rPr>
          <w:color w:val="000000" w:themeColor="text1"/>
          <w:lang w:val="hr-HR"/>
        </w:rPr>
        <w:t>K</w:t>
      </w:r>
      <w:r w:rsidR="009E020A" w:rsidRPr="007E6A51">
        <w:rPr>
          <w:color w:val="000000" w:themeColor="text1"/>
          <w:lang w:val="hr-HR"/>
        </w:rPr>
        <w:t xml:space="preserve">oncesionara i za novog koncesionara, novi koncesionar za potrebe financiranja izgradnje </w:t>
      </w:r>
      <w:r w:rsidR="009D3AC7" w:rsidRPr="007E6A51">
        <w:rPr>
          <w:color w:val="000000" w:themeColor="text1"/>
          <w:lang w:val="hr-HR"/>
        </w:rPr>
        <w:t>Podfaze</w:t>
      </w:r>
      <w:r w:rsidR="009E020A" w:rsidRPr="007E6A51">
        <w:rPr>
          <w:color w:val="000000" w:themeColor="text1"/>
          <w:lang w:val="hr-HR"/>
        </w:rPr>
        <w:t xml:space="preserve"> 2B</w:t>
      </w:r>
      <w:r w:rsidR="009D491D" w:rsidRPr="007E6A51">
        <w:rPr>
          <w:color w:val="000000" w:themeColor="text1"/>
          <w:lang w:val="hr-HR"/>
        </w:rPr>
        <w:t>2-</w:t>
      </w:r>
      <w:r w:rsidR="004952B5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Podfaze</w:t>
      </w:r>
      <w:r w:rsidR="004952B5" w:rsidRPr="007E6A51">
        <w:rPr>
          <w:color w:val="000000" w:themeColor="text1"/>
          <w:lang w:val="hr-HR"/>
        </w:rPr>
        <w:t xml:space="preserve"> 2B2-3</w:t>
      </w:r>
      <w:r w:rsidR="009E020A" w:rsidRPr="007E6A51">
        <w:rPr>
          <w:color w:val="000000" w:themeColor="text1"/>
          <w:lang w:val="hr-HR"/>
        </w:rPr>
        <w:t xml:space="preserve"> ne bi mogao koristiti cestarine naplaćene od strane postojećeg Koncesionara za korištenje drugih dijelova Autoceste te bi kao jedini mogući izvor sredstava za financiranje izgradnje </w:t>
      </w:r>
      <w:r w:rsidR="009D3AC7" w:rsidRPr="007E6A51">
        <w:rPr>
          <w:color w:val="000000" w:themeColor="text1"/>
          <w:lang w:val="hr-HR"/>
        </w:rPr>
        <w:t>Podfaze</w:t>
      </w:r>
      <w:r w:rsidR="009E020A" w:rsidRPr="007E6A51">
        <w:rPr>
          <w:color w:val="000000" w:themeColor="text1"/>
          <w:lang w:val="hr-HR"/>
        </w:rPr>
        <w:t xml:space="preserve"> 2B</w:t>
      </w:r>
      <w:r w:rsidR="009D491D" w:rsidRPr="007E6A51">
        <w:rPr>
          <w:color w:val="000000" w:themeColor="text1"/>
          <w:lang w:val="hr-HR"/>
        </w:rPr>
        <w:t>2-</w:t>
      </w:r>
      <w:r w:rsidR="001372F1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Podfaze</w:t>
      </w:r>
      <w:r w:rsidR="001372F1" w:rsidRPr="007E6A51">
        <w:rPr>
          <w:color w:val="000000" w:themeColor="text1"/>
          <w:lang w:val="hr-HR"/>
        </w:rPr>
        <w:t xml:space="preserve"> 2B2-3</w:t>
      </w:r>
      <w:r w:rsidR="009E020A" w:rsidRPr="007E6A51">
        <w:rPr>
          <w:color w:val="000000" w:themeColor="text1"/>
          <w:lang w:val="hr-HR"/>
        </w:rPr>
        <w:t xml:space="preserve"> preostalo financiranje od strane davatelja koncesije, iz tehničkih razloga nije moguće podijeliti odgovornosti i zaduženja između postojećeg Koncesionara i novog koncesionara, za upravljanje i održavanje postojećih sekcija </w:t>
      </w:r>
      <w:r w:rsidR="00307A90" w:rsidRPr="007E6A51">
        <w:rPr>
          <w:color w:val="000000" w:themeColor="text1"/>
          <w:lang w:val="hr-HR"/>
        </w:rPr>
        <w:t>A</w:t>
      </w:r>
      <w:r w:rsidR="009E020A" w:rsidRPr="007E6A51">
        <w:rPr>
          <w:color w:val="000000" w:themeColor="text1"/>
          <w:lang w:val="hr-HR"/>
        </w:rPr>
        <w:t xml:space="preserve">utoceste </w:t>
      </w:r>
      <w:r w:rsidR="006B3968" w:rsidRPr="007E6A51">
        <w:rPr>
          <w:color w:val="000000" w:themeColor="text1"/>
          <w:lang w:val="hr-HR"/>
        </w:rPr>
        <w:t>odnosno</w:t>
      </w:r>
      <w:r w:rsidR="009E020A" w:rsidRPr="007E6A51">
        <w:rPr>
          <w:color w:val="000000" w:themeColor="text1"/>
          <w:lang w:val="hr-HR"/>
        </w:rPr>
        <w:t xml:space="preserve"> sekcija obuhvaćenih u </w:t>
      </w:r>
      <w:r w:rsidR="009D3AC7" w:rsidRPr="007E6A51">
        <w:rPr>
          <w:color w:val="000000" w:themeColor="text1"/>
          <w:lang w:val="hr-HR"/>
        </w:rPr>
        <w:t>Podfazi</w:t>
      </w:r>
      <w:r w:rsidR="009E020A" w:rsidRPr="007E6A51">
        <w:rPr>
          <w:color w:val="000000" w:themeColor="text1"/>
          <w:lang w:val="hr-HR"/>
        </w:rPr>
        <w:t xml:space="preserve"> 2B</w:t>
      </w:r>
      <w:r w:rsidR="009D491D" w:rsidRPr="007E6A51">
        <w:rPr>
          <w:color w:val="000000" w:themeColor="text1"/>
          <w:lang w:val="hr-HR"/>
        </w:rPr>
        <w:t>2-</w:t>
      </w:r>
      <w:r w:rsidR="001372F1" w:rsidRPr="007E6A51">
        <w:rPr>
          <w:color w:val="000000" w:themeColor="text1"/>
          <w:lang w:val="hr-HR"/>
        </w:rPr>
        <w:t xml:space="preserve">2 i </w:t>
      </w:r>
      <w:r w:rsidR="009D3AC7" w:rsidRPr="007E6A51">
        <w:rPr>
          <w:color w:val="000000" w:themeColor="text1"/>
          <w:lang w:val="hr-HR"/>
        </w:rPr>
        <w:t>Podfazi</w:t>
      </w:r>
      <w:r w:rsidR="001372F1" w:rsidRPr="007E6A51">
        <w:rPr>
          <w:color w:val="000000" w:themeColor="text1"/>
          <w:lang w:val="hr-HR"/>
        </w:rPr>
        <w:t xml:space="preserve"> 2B2-3</w:t>
      </w:r>
      <w:r w:rsidR="009E020A" w:rsidRPr="007E6A51">
        <w:rPr>
          <w:color w:val="000000" w:themeColor="text1"/>
          <w:lang w:val="hr-HR"/>
        </w:rPr>
        <w:t xml:space="preserve">). </w:t>
      </w:r>
    </w:p>
    <w:p w14:paraId="5EB2E013" w14:textId="77777777" w:rsidR="007703C8" w:rsidRPr="007E6A51" w:rsidRDefault="007703C8" w:rsidP="00966114">
      <w:pPr>
        <w:pStyle w:val="NormalWeb"/>
        <w:spacing w:before="0" w:beforeAutospacing="0" w:after="0" w:afterAutospacing="0"/>
        <w:jc w:val="both"/>
        <w:rPr>
          <w:color w:val="000000" w:themeColor="text1"/>
          <w:lang w:val="hr-HR"/>
        </w:rPr>
      </w:pPr>
    </w:p>
    <w:p w14:paraId="1257E67D" w14:textId="0271B17E" w:rsidR="00C1517A" w:rsidRPr="007E6A51" w:rsidRDefault="009E020A" w:rsidP="00966114">
      <w:pPr>
        <w:pStyle w:val="NormalWeb"/>
        <w:spacing w:before="0" w:beforeAutospacing="0" w:after="0" w:afterAutospacing="0"/>
        <w:jc w:val="both"/>
        <w:rPr>
          <w:color w:val="484848"/>
          <w:lang w:val="hr-HR"/>
        </w:rPr>
      </w:pPr>
      <w:r w:rsidRPr="007E6A51">
        <w:rPr>
          <w:color w:val="000000" w:themeColor="text1"/>
          <w:lang w:val="hr-HR"/>
        </w:rPr>
        <w:t>Davatelj koncesije je utvrdio da povećanje vrijednosti koncesije temeljem predložen</w:t>
      </w:r>
      <w:r w:rsidR="00307A90" w:rsidRPr="007E6A51">
        <w:rPr>
          <w:color w:val="000000" w:themeColor="text1"/>
          <w:lang w:val="hr-HR"/>
        </w:rPr>
        <w:t xml:space="preserve">og </w:t>
      </w:r>
      <w:r w:rsidR="00307A90" w:rsidRPr="007E6A51">
        <w:rPr>
          <w:rFonts w:eastAsia="Arial"/>
          <w:color w:val="000000" w:themeColor="text1"/>
          <w:lang w:val="hr-HR"/>
        </w:rPr>
        <w:t xml:space="preserve">Ugovora </w:t>
      </w:r>
      <w:r w:rsidR="00D77DB4" w:rsidRPr="007E6A51">
        <w:rPr>
          <w:rFonts w:eastAsia="Arial"/>
          <w:color w:val="000000" w:themeColor="text1"/>
          <w:lang w:val="hr-HR"/>
        </w:rPr>
        <w:t xml:space="preserve">br. </w:t>
      </w:r>
      <w:r w:rsidR="001372F1" w:rsidRPr="007E6A51">
        <w:rPr>
          <w:rFonts w:eastAsia="Arial"/>
          <w:color w:val="000000" w:themeColor="text1"/>
          <w:lang w:val="hr-HR"/>
        </w:rPr>
        <w:t>7</w:t>
      </w:r>
      <w:r w:rsidR="00D77DB4" w:rsidRPr="007E6A51">
        <w:rPr>
          <w:rFonts w:eastAsia="Arial"/>
          <w:color w:val="000000" w:themeColor="text1"/>
          <w:lang w:val="hr-HR"/>
        </w:rPr>
        <w:t xml:space="preserve"> </w:t>
      </w:r>
      <w:r w:rsidR="00DD34E8" w:rsidRPr="007E6A51">
        <w:rPr>
          <w:color w:val="000000" w:themeColor="text1"/>
          <w:lang w:val="hr-HR"/>
        </w:rPr>
        <w:t>ne prelazi vrijednost od 50% vrijednosti u odnosu na postojeći Ugovor o koncesiji</w:t>
      </w:r>
      <w:r w:rsidR="00307A90" w:rsidRPr="007E6A51">
        <w:rPr>
          <w:color w:val="000000" w:themeColor="text1"/>
          <w:lang w:val="hr-HR"/>
        </w:rPr>
        <w:t>.</w:t>
      </w:r>
    </w:p>
    <w:p w14:paraId="5117894C" w14:textId="77777777" w:rsidR="007703C8" w:rsidRPr="007E6A51" w:rsidRDefault="007703C8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20008" w14:textId="74CE92F5" w:rsidR="00C1517A" w:rsidRPr="007E6A51" w:rsidRDefault="00C1517A" w:rsidP="0096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uprava za tržišno natjecanje Europske Komisije (</w:t>
      </w:r>
      <w:r w:rsidRPr="007E6A5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Directorate-General (DG) for Competition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) je u svoj</w:t>
      </w:r>
      <w:r w:rsidR="00924913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oj odluci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</w:t>
      </w:r>
      <w:r w:rsidR="00EE3CD5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6C79" w:rsidRPr="007E6A51">
        <w:rPr>
          <w:rFonts w:ascii="Times New Roman" w:hAnsi="Times New Roman" w:cs="Times New Roman"/>
          <w:sz w:val="24"/>
          <w:szCs w:val="24"/>
        </w:rPr>
        <w:t xml:space="preserve">03. </w:t>
      </w:r>
      <w:r w:rsidR="00254DAC" w:rsidRPr="007E6A51">
        <w:rPr>
          <w:rFonts w:ascii="Times New Roman" w:hAnsi="Times New Roman" w:cs="Times New Roman"/>
          <w:sz w:val="24"/>
          <w:szCs w:val="24"/>
        </w:rPr>
        <w:t>veljače</w:t>
      </w:r>
      <w:r w:rsidR="00EE1728"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hAnsi="Times New Roman" w:cs="Times New Roman"/>
          <w:sz w:val="24"/>
          <w:szCs w:val="24"/>
        </w:rPr>
        <w:t>20</w:t>
      </w:r>
      <w:r w:rsidR="009D491D" w:rsidRPr="007E6A51">
        <w:rPr>
          <w:rFonts w:ascii="Times New Roman" w:hAnsi="Times New Roman" w:cs="Times New Roman"/>
          <w:sz w:val="24"/>
          <w:szCs w:val="24"/>
        </w:rPr>
        <w:t>2</w:t>
      </w:r>
      <w:r w:rsidR="00EE3CD5" w:rsidRPr="007E6A51">
        <w:rPr>
          <w:rFonts w:ascii="Times New Roman" w:hAnsi="Times New Roman" w:cs="Times New Roman"/>
          <w:sz w:val="24"/>
          <w:szCs w:val="24"/>
        </w:rPr>
        <w:t>3</w:t>
      </w:r>
      <w:r w:rsidRPr="007E6A51">
        <w:rPr>
          <w:rFonts w:ascii="Times New Roman" w:hAnsi="Times New Roman" w:cs="Times New Roman"/>
          <w:sz w:val="24"/>
          <w:szCs w:val="24"/>
        </w:rPr>
        <w:t xml:space="preserve">. </w:t>
      </w:r>
      <w:r w:rsidR="007703C8" w:rsidRPr="007E6A51">
        <w:rPr>
          <w:rFonts w:ascii="Times New Roman" w:hAnsi="Times New Roman" w:cs="Times New Roman"/>
          <w:sz w:val="24"/>
          <w:szCs w:val="24"/>
        </w:rPr>
        <w:t xml:space="preserve">godine </w:t>
      </w:r>
      <w:r w:rsidRPr="007E6A51">
        <w:rPr>
          <w:rFonts w:ascii="Times New Roman" w:hAnsi="Times New Roman" w:cs="Times New Roman"/>
          <w:sz w:val="24"/>
          <w:szCs w:val="24"/>
        </w:rPr>
        <w:t xml:space="preserve">potvrdila da </w:t>
      </w:r>
      <w:r w:rsidR="002B114B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</w:t>
      </w:r>
      <w:r w:rsidR="00D77DB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br. </w:t>
      </w:r>
      <w:r w:rsidR="001372F1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D77DB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E6A51">
        <w:rPr>
          <w:rFonts w:ascii="Times New Roman" w:hAnsi="Times New Roman" w:cs="Times New Roman"/>
          <w:sz w:val="24"/>
          <w:szCs w:val="24"/>
        </w:rPr>
        <w:t xml:space="preserve">ispunjava uvjete iz članka 43 (1) (b) Direktive 2014/23/EU. </w:t>
      </w:r>
    </w:p>
    <w:p w14:paraId="06381CB5" w14:textId="77777777" w:rsidR="00C1517A" w:rsidRPr="007E6A51" w:rsidRDefault="00C1517A" w:rsidP="00966114">
      <w:pPr>
        <w:pStyle w:val="docplain"/>
        <w:shd w:val="clear" w:color="auto" w:fill="FFFFFF"/>
        <w:spacing w:before="0" w:beforeAutospacing="0" w:after="0" w:afterAutospacing="0"/>
        <w:jc w:val="both"/>
      </w:pPr>
    </w:p>
    <w:p w14:paraId="31B21183" w14:textId="1137BD29" w:rsidR="00C1517A" w:rsidRPr="007E6A51" w:rsidRDefault="00C1517A" w:rsidP="00966114">
      <w:pPr>
        <w:pStyle w:val="docplain"/>
        <w:shd w:val="clear" w:color="auto" w:fill="FFFFFF"/>
        <w:spacing w:before="0" w:beforeAutospacing="0" w:after="0" w:afterAutospacing="0"/>
        <w:jc w:val="both"/>
      </w:pPr>
      <w:r w:rsidRPr="007E6A51">
        <w:t xml:space="preserve">S obzirom da </w:t>
      </w:r>
      <w:r w:rsidR="002264AA" w:rsidRPr="007E6A51">
        <w:t xml:space="preserve">je odredbama </w:t>
      </w:r>
      <w:r w:rsidRPr="007E6A51">
        <w:t>člank</w:t>
      </w:r>
      <w:r w:rsidR="002264AA" w:rsidRPr="007E6A51">
        <w:t>a</w:t>
      </w:r>
      <w:r w:rsidRPr="007E6A51">
        <w:t xml:space="preserve"> 62. stavak (5) točka (2) i stavak (</w:t>
      </w:r>
      <w:r w:rsidR="007A655F" w:rsidRPr="007E6A51">
        <w:t>9</w:t>
      </w:r>
      <w:r w:rsidRPr="007E6A51">
        <w:t xml:space="preserve">) Zakona o koncesijama </w:t>
      </w:r>
      <w:r w:rsidR="002264AA" w:rsidRPr="007E6A51">
        <w:t xml:space="preserve">preuzet </w:t>
      </w:r>
      <w:r w:rsidRPr="007E6A51">
        <w:t xml:space="preserve">članak 43 (1) (b) Direktive 2014/23/EZ, svi argumenti izneseni u </w:t>
      </w:r>
      <w:r w:rsidR="00924913" w:rsidRPr="007E6A51">
        <w:t xml:space="preserve">odluci </w:t>
      </w:r>
      <w:r w:rsidRPr="007E6A51">
        <w:t xml:space="preserve">Europske </w:t>
      </w:r>
      <w:r w:rsidR="00924913" w:rsidRPr="007E6A51">
        <w:t>k</w:t>
      </w:r>
      <w:r w:rsidRPr="007E6A51">
        <w:t xml:space="preserve">omisije od dana </w:t>
      </w:r>
      <w:r w:rsidR="00006C79" w:rsidRPr="007E6A51">
        <w:t xml:space="preserve">03. </w:t>
      </w:r>
      <w:r w:rsidR="00254DAC" w:rsidRPr="007E6A51">
        <w:t xml:space="preserve">veljače </w:t>
      </w:r>
      <w:r w:rsidRPr="007E6A51">
        <w:t>20</w:t>
      </w:r>
      <w:r w:rsidR="009D491D" w:rsidRPr="007E6A51">
        <w:t>2</w:t>
      </w:r>
      <w:r w:rsidR="00EE3CD5" w:rsidRPr="007E6A51">
        <w:t>3</w:t>
      </w:r>
      <w:r w:rsidRPr="007E6A51">
        <w:t>.</w:t>
      </w:r>
      <w:r w:rsidR="007703C8" w:rsidRPr="007E6A51">
        <w:t xml:space="preserve"> godine</w:t>
      </w:r>
      <w:r w:rsidRPr="007E6A51">
        <w:t xml:space="preserve">, temeljem kojih je Opća uprava za tržišno natjecanje Europske Komisije utvrdila da su u konkretnom slučaju ispunjeni uvjeti za primjenu članka 43. (1) (b) Direktive 2014/23/EU na </w:t>
      </w:r>
      <w:r w:rsidR="002B114B" w:rsidRPr="007E6A51">
        <w:t xml:space="preserve">Ugovor </w:t>
      </w:r>
      <w:r w:rsidR="00D77DB4" w:rsidRPr="007E6A51">
        <w:t xml:space="preserve">br. </w:t>
      </w:r>
      <w:r w:rsidR="001372F1" w:rsidRPr="007E6A51">
        <w:t>7</w:t>
      </w:r>
      <w:r w:rsidRPr="007E6A51">
        <w:t xml:space="preserve">, također su primjenjivi na </w:t>
      </w:r>
      <w:r w:rsidR="003022E1" w:rsidRPr="007E6A51">
        <w:t xml:space="preserve">Ugovor </w:t>
      </w:r>
      <w:r w:rsidR="00D77DB4" w:rsidRPr="007E6A51">
        <w:t xml:space="preserve">br. </w:t>
      </w:r>
      <w:r w:rsidR="001372F1" w:rsidRPr="007E6A51">
        <w:t>7</w:t>
      </w:r>
      <w:r w:rsidR="00D77DB4" w:rsidRPr="007E6A51">
        <w:t xml:space="preserve"> </w:t>
      </w:r>
      <w:r w:rsidRPr="007E6A51">
        <w:t>i opravdavaju primjenu člank</w:t>
      </w:r>
      <w:r w:rsidR="002264AA" w:rsidRPr="007E6A51">
        <w:t>a</w:t>
      </w:r>
      <w:r w:rsidRPr="007E6A51">
        <w:t xml:space="preserve"> 62. stavak (5) točka (2) i stavak (</w:t>
      </w:r>
      <w:r w:rsidR="007A655F" w:rsidRPr="007E6A51">
        <w:t>9</w:t>
      </w:r>
      <w:r w:rsidRPr="007E6A51">
        <w:t xml:space="preserve">) Zakona o koncesijama na konkretan slučaj izmjene </w:t>
      </w:r>
      <w:r w:rsidR="00D77DB4" w:rsidRPr="007E6A51">
        <w:t xml:space="preserve">postojećeg </w:t>
      </w:r>
      <w:r w:rsidRPr="007E6A51">
        <w:t xml:space="preserve">Ugovora o koncesiji. </w:t>
      </w:r>
    </w:p>
    <w:p w14:paraId="1756AC8D" w14:textId="77777777" w:rsidR="0025315C" w:rsidRPr="007E6A51" w:rsidRDefault="0025315C" w:rsidP="00966114">
      <w:pPr>
        <w:pStyle w:val="docplain"/>
        <w:shd w:val="clear" w:color="auto" w:fill="FFFFFF"/>
        <w:spacing w:before="0" w:beforeAutospacing="0" w:after="0" w:afterAutospacing="0"/>
        <w:jc w:val="both"/>
      </w:pPr>
    </w:p>
    <w:p w14:paraId="73266E84" w14:textId="66CB1A74" w:rsidR="00E605E6" w:rsidRPr="007E6A51" w:rsidRDefault="0025315C" w:rsidP="00966114">
      <w:pPr>
        <w:pStyle w:val="Bodytext20"/>
        <w:shd w:val="clear" w:color="auto" w:fill="auto"/>
        <w:tabs>
          <w:tab w:val="left" w:pos="39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vezi predloženog Ugovora br. </w:t>
      </w:r>
      <w:r w:rsidR="001372F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, nema većih izmjena, osim produžetka r</w:t>
      </w:r>
      <w:r w:rsidR="00154BE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oka koncesije i </w:t>
      </w:r>
      <w:r w:rsidR="00FA62A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detaljnijeg </w:t>
      </w:r>
      <w:r w:rsidR="00154BE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definiranja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</w:t>
      </w:r>
      <w:r w:rsidR="00154BE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372F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i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1372F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2B2-3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budući da je najveći dio izmjena napravljen u Ugovoru br. 5 iz </w:t>
      </w:r>
      <w:r w:rsidR="00154BE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2018. godine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 se je ukupni rizik uravnotežio u korist Republike Hrvatske.</w:t>
      </w:r>
    </w:p>
    <w:p w14:paraId="7C30BC56" w14:textId="77777777" w:rsidR="007703C8" w:rsidRPr="007E6A51" w:rsidRDefault="007703C8" w:rsidP="00966114">
      <w:pPr>
        <w:pStyle w:val="docplain"/>
        <w:shd w:val="clear" w:color="auto" w:fill="FFFFFF"/>
        <w:spacing w:before="0" w:beforeAutospacing="0" w:after="0" w:afterAutospacing="0"/>
        <w:ind w:left="1"/>
        <w:jc w:val="both"/>
      </w:pPr>
    </w:p>
    <w:p w14:paraId="246AC13B" w14:textId="1B6ABFDC" w:rsidR="0052231A" w:rsidRPr="007E6A51" w:rsidRDefault="0052231A" w:rsidP="00966114">
      <w:pPr>
        <w:pStyle w:val="docplain"/>
        <w:shd w:val="clear" w:color="auto" w:fill="FFFFFF"/>
        <w:spacing w:before="0" w:beforeAutospacing="0" w:after="0" w:afterAutospacing="0"/>
        <w:ind w:left="1"/>
        <w:jc w:val="both"/>
      </w:pPr>
      <w:r w:rsidRPr="007E6A51">
        <w:t xml:space="preserve">U pogledu razvoja </w:t>
      </w:r>
      <w:r w:rsidR="009D3AC7" w:rsidRPr="007E6A51">
        <w:t>Podfaze</w:t>
      </w:r>
      <w:r w:rsidRPr="007E6A51">
        <w:t xml:space="preserve"> 2B2-</w:t>
      </w:r>
      <w:r w:rsidR="00F246D5" w:rsidRPr="007E6A51">
        <w:t xml:space="preserve">2 i </w:t>
      </w:r>
      <w:r w:rsidR="009D3AC7" w:rsidRPr="007E6A51">
        <w:t>Podfaze</w:t>
      </w:r>
      <w:r w:rsidR="00F246D5" w:rsidRPr="007E6A51">
        <w:t xml:space="preserve"> 2B2-3 </w:t>
      </w:r>
      <w:r w:rsidRPr="007E6A51">
        <w:t xml:space="preserve"> namjerava se produljiti trajanje koncesije </w:t>
      </w:r>
      <w:r w:rsidR="000208ED" w:rsidRPr="007E6A51">
        <w:t xml:space="preserve">formalno </w:t>
      </w:r>
      <w:r w:rsidRPr="007E6A51">
        <w:t>za razdoblje od</w:t>
      </w:r>
      <w:r w:rsidR="000208ED" w:rsidRPr="007E6A51">
        <w:t xml:space="preserve"> dvije i pol</w:t>
      </w:r>
      <w:r w:rsidRPr="007E6A51">
        <w:t xml:space="preserve"> godin</w:t>
      </w:r>
      <w:r w:rsidR="00F246D5" w:rsidRPr="007E6A51">
        <w:t>e</w:t>
      </w:r>
      <w:r w:rsidR="000208ED" w:rsidRPr="007E6A51">
        <w:t>, no efektivno za tri godine</w:t>
      </w:r>
      <w:r w:rsidRPr="007E6A51">
        <w:t>.  Naime, koncesija će biti produljena od trenutačnog formalnog završnog datuma 15. lipnja 203</w:t>
      </w:r>
      <w:r w:rsidR="00B52E31" w:rsidRPr="007E6A51">
        <w:t>9</w:t>
      </w:r>
      <w:r w:rsidRPr="007E6A51">
        <w:t>.</w:t>
      </w:r>
      <w:r w:rsidR="007703C8" w:rsidRPr="007E6A51">
        <w:t xml:space="preserve"> godine</w:t>
      </w:r>
      <w:r w:rsidRPr="007E6A51">
        <w:t xml:space="preserve"> do formalnog završnog datuma 15.</w:t>
      </w:r>
      <w:r w:rsidR="00B52E31" w:rsidRPr="007E6A51">
        <w:t xml:space="preserve"> prosinca</w:t>
      </w:r>
      <w:r w:rsidRPr="007E6A51">
        <w:t xml:space="preserve"> 20</w:t>
      </w:r>
      <w:r w:rsidR="00B52E31" w:rsidRPr="007E6A51">
        <w:t>41</w:t>
      </w:r>
      <w:r w:rsidRPr="007E6A51">
        <w:t>.</w:t>
      </w:r>
      <w:r w:rsidR="007703C8" w:rsidRPr="007E6A51">
        <w:t xml:space="preserve"> godine</w:t>
      </w:r>
      <w:r w:rsidRPr="007E6A51">
        <w:t>, uz očekivani raniji istek Izmijenjenog i dopunjenog i konsolidiranog Ugovora o koncesiji, odnosno Koncesije oko dana 15. ožujka 20</w:t>
      </w:r>
      <w:r w:rsidR="00B52E31" w:rsidRPr="007E6A51">
        <w:t>41</w:t>
      </w:r>
      <w:r w:rsidR="00154BEA" w:rsidRPr="007E6A51">
        <w:t xml:space="preserve">. </w:t>
      </w:r>
      <w:r w:rsidR="007703C8" w:rsidRPr="007E6A51">
        <w:t xml:space="preserve">godine </w:t>
      </w:r>
      <w:r w:rsidR="00154BEA" w:rsidRPr="007E6A51">
        <w:t>ukoliko se kreditne obveze Koncesionara</w:t>
      </w:r>
      <w:r w:rsidR="00ED22DA" w:rsidRPr="007E6A51">
        <w:t xml:space="preserve"> otplate do 15</w:t>
      </w:r>
      <w:r w:rsidR="005D4DAD" w:rsidRPr="007E6A51">
        <w:t>.</w:t>
      </w:r>
      <w:r w:rsidR="00154BEA" w:rsidRPr="007E6A51">
        <w:t xml:space="preserve"> prosinca 20</w:t>
      </w:r>
      <w:r w:rsidR="00B52E31" w:rsidRPr="007E6A51">
        <w:t>40</w:t>
      </w:r>
      <w:r w:rsidR="00154BEA" w:rsidRPr="007E6A51">
        <w:t>.</w:t>
      </w:r>
      <w:r w:rsidR="007703C8" w:rsidRPr="007E6A51">
        <w:t xml:space="preserve"> godine.</w:t>
      </w:r>
      <w:r w:rsidR="00FA0409" w:rsidRPr="007E6A51">
        <w:t xml:space="preserve"> Prema inicijalnom ugovoru o koncesiji predviđen je istek koncesije koncem 2041. godine tako da se ovim produženjem ostaje unutar inicijalnog roka dodjele koncesije.</w:t>
      </w:r>
      <w:r w:rsidR="00154BEA" w:rsidRPr="007E6A51">
        <w:t xml:space="preserve"> </w:t>
      </w:r>
      <w:r w:rsidRPr="007E6A51">
        <w:t xml:space="preserve">Razlog za produljenje je u suštini dvojak: (i) da bi se omogućila dulja amortizacija duga i dostatno financiranje </w:t>
      </w:r>
      <w:r w:rsidR="00FA62A5" w:rsidRPr="007E6A51">
        <w:t xml:space="preserve">otplate duga za </w:t>
      </w:r>
      <w:r w:rsidRPr="007E6A51">
        <w:t>radov</w:t>
      </w:r>
      <w:r w:rsidR="00FA62A5" w:rsidRPr="007E6A51">
        <w:t>e</w:t>
      </w:r>
      <w:r w:rsidRPr="007E6A51">
        <w:t xml:space="preserve"> na izgradnji iz prihoda od cestarine; te (ii) da bi se uskladila duljina koncesije s rokom dospijeća dugoročnog duga kojim se financiraju radovi na izgradnji. </w:t>
      </w:r>
    </w:p>
    <w:p w14:paraId="19698AE9" w14:textId="77777777" w:rsidR="007703C8" w:rsidRPr="007E6A51" w:rsidRDefault="007703C8" w:rsidP="00966114">
      <w:pPr>
        <w:pStyle w:val="docplain"/>
        <w:shd w:val="clear" w:color="auto" w:fill="FFFFFF"/>
        <w:spacing w:before="0" w:beforeAutospacing="0" w:after="0" w:afterAutospacing="0"/>
        <w:ind w:left="1"/>
        <w:jc w:val="both"/>
      </w:pPr>
    </w:p>
    <w:p w14:paraId="2E83B0E7" w14:textId="794F367F" w:rsidR="0052231A" w:rsidRPr="007E6A51" w:rsidRDefault="005F29CD" w:rsidP="00966114">
      <w:pPr>
        <w:pStyle w:val="docplain"/>
        <w:shd w:val="clear" w:color="auto" w:fill="FFFFFF"/>
        <w:spacing w:before="0" w:beforeAutospacing="0" w:after="0" w:afterAutospacing="0"/>
        <w:ind w:left="1"/>
        <w:jc w:val="both"/>
      </w:pPr>
      <w:r w:rsidRPr="007E6A51">
        <w:t>Efektivno r</w:t>
      </w:r>
      <w:r w:rsidR="0052231A" w:rsidRPr="007E6A51">
        <w:t xml:space="preserve">azdoblje produljenja od </w:t>
      </w:r>
      <w:r w:rsidR="00B52E31" w:rsidRPr="007E6A51">
        <w:t>tri</w:t>
      </w:r>
      <w:r w:rsidR="0052231A" w:rsidRPr="007E6A51">
        <w:t xml:space="preserve"> godin</w:t>
      </w:r>
      <w:r w:rsidR="00B52E31" w:rsidRPr="007E6A51">
        <w:t>e</w:t>
      </w:r>
      <w:r w:rsidR="0052231A" w:rsidRPr="007E6A51">
        <w:t xml:space="preserve"> </w:t>
      </w:r>
      <w:r w:rsidR="009D3AC7" w:rsidRPr="007E6A51">
        <w:t>kraće</w:t>
      </w:r>
      <w:r w:rsidR="0052231A" w:rsidRPr="007E6A51">
        <w:t xml:space="preserve"> je </w:t>
      </w:r>
      <w:r w:rsidR="00B52E31" w:rsidRPr="007E6A51">
        <w:t>nego</w:t>
      </w:r>
      <w:r w:rsidRPr="007E6A51">
        <w:t xml:space="preserve"> </w:t>
      </w:r>
      <w:r w:rsidR="0052231A" w:rsidRPr="007E6A51">
        <w:t xml:space="preserve">prethodno produljenje koje je Vlada odobrila odlukom </w:t>
      </w:r>
      <w:r w:rsidR="008A46DB" w:rsidRPr="007E6A51">
        <w:t>8</w:t>
      </w:r>
      <w:r w:rsidR="0052231A" w:rsidRPr="007E6A51">
        <w:t xml:space="preserve">. </w:t>
      </w:r>
      <w:r w:rsidR="008A46DB" w:rsidRPr="007E6A51">
        <w:t>listopada</w:t>
      </w:r>
      <w:r w:rsidR="0052231A" w:rsidRPr="007E6A51">
        <w:t xml:space="preserve"> 20</w:t>
      </w:r>
      <w:r w:rsidR="008A46DB" w:rsidRPr="007E6A51">
        <w:t>20</w:t>
      </w:r>
      <w:r w:rsidR="0052231A" w:rsidRPr="007E6A51">
        <w:t>.</w:t>
      </w:r>
      <w:r w:rsidR="007703C8" w:rsidRPr="007E6A51">
        <w:t xml:space="preserve"> godine</w:t>
      </w:r>
      <w:r w:rsidR="0052231A" w:rsidRPr="007E6A51">
        <w:t xml:space="preserve"> (Klasa: </w:t>
      </w:r>
      <w:r w:rsidR="008A46DB" w:rsidRPr="007E6A51">
        <w:t>022-03/20-04/364</w:t>
      </w:r>
      <w:r w:rsidR="0052231A" w:rsidRPr="007E6A51">
        <w:t xml:space="preserve">; Urbroj: </w:t>
      </w:r>
      <w:r w:rsidR="008A46DB" w:rsidRPr="007E6A51">
        <w:t>50301-05/20-20-2</w:t>
      </w:r>
      <w:r w:rsidR="0052231A" w:rsidRPr="007E6A51">
        <w:t xml:space="preserve">) u vezi s radovima iz ranije </w:t>
      </w:r>
      <w:r w:rsidR="009D3AC7" w:rsidRPr="007E6A51">
        <w:t>Podfaze</w:t>
      </w:r>
      <w:r w:rsidR="0052231A" w:rsidRPr="007E6A51">
        <w:t xml:space="preserve"> 2B</w:t>
      </w:r>
      <w:r w:rsidR="008A46DB" w:rsidRPr="007E6A51">
        <w:t>2-1</w:t>
      </w:r>
      <w:r w:rsidR="0052231A" w:rsidRPr="007E6A51">
        <w:t xml:space="preserve">, a to usprkos činjenici da su troškovi radova u </w:t>
      </w:r>
      <w:r w:rsidR="009D3AC7" w:rsidRPr="007E6A51">
        <w:t>okviru Podfaze</w:t>
      </w:r>
      <w:r w:rsidR="0052231A" w:rsidRPr="007E6A51">
        <w:t xml:space="preserve"> 2B2-</w:t>
      </w:r>
      <w:r w:rsidR="008A46DB" w:rsidRPr="007E6A51">
        <w:t>2 i 2B2-3</w:t>
      </w:r>
      <w:r w:rsidR="0052231A" w:rsidRPr="007E6A51">
        <w:t xml:space="preserve"> veći. </w:t>
      </w:r>
    </w:p>
    <w:p w14:paraId="386FA6A3" w14:textId="77777777" w:rsidR="007703C8" w:rsidRPr="007E6A51" w:rsidRDefault="007703C8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657CD" w14:textId="3C6E28A5" w:rsidR="00E605E6" w:rsidRPr="007E6A51" w:rsidRDefault="00E605E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Procijenjena vrijednost investicije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Podfaze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</w:t>
      </w:r>
      <w:r w:rsidR="0052231A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2-</w:t>
      </w:r>
      <w:r w:rsidR="00ED31E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i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Podfaze</w:t>
      </w:r>
      <w:r w:rsidR="00ED31E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2B2-3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 w:rsidR="00C5502F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199</w:t>
      </w:r>
      <w:r w:rsidR="00A43BE8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milijuna EUR-a </w:t>
      </w:r>
      <w:r w:rsidR="00254DAC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6C79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(vrijednost 31. prosinac 2022. godine) </w:t>
      </w:r>
      <w:r w:rsidR="00C5502F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uvećano za 14 milijuna eura za ostale građevinske radove Pod-faze 2B2-2 i Podfaze 2B2-3 </w:t>
      </w:r>
      <w:r w:rsidR="00C914D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te je ista</w:t>
      </w:r>
      <w:r w:rsidR="00C914D7" w:rsidRPr="007E6A51">
        <w:t xml:space="preserve"> </w:t>
      </w:r>
      <w:r w:rsidR="00C914D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prilično zahtjevna jer zona radova </w:t>
      </w:r>
      <w:r w:rsidR="00997CBE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Podfaze 2B2-2 </w:t>
      </w:r>
      <w:r w:rsidR="00997CBE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prolazi dijelom kroz brdsko područje s visokim kamenim usjecima na kojem su predviđena kompleksna rješenja zaštite pokosa usjeka te dijelom kroz naseljeno područje zaleđa Opatije u kojem su, zbog ograničavanja utjecaja zahvata na okolne stambene objekte, predviđeni strmi pokosi uz opsežnu geotehničku zaštitu, dok objekt Podfaze 2B2-3 - drugi objekt mosta Mirna koji premošćuje dolinu Mirne u kojoj su aluvijalni nanosi duboki i do 70 m zahtijeva izvođenje tehnički i vremenski zahtjevnog temeljenja na pilotima. Nadalje, izgradnja ove dvije podfaze odvijat će se neposredno uz postojeći kolnik uz posebnu regulaciju prometa radi sigurnosti prometa te sigurnosti gradilišta.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adovi na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predmetnim podfazama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trebali bi trajati </w:t>
      </w:r>
      <w:r w:rsidR="005F29CD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nešto duže od tr</w:t>
      </w:r>
      <w:r w:rsidR="00C914D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tijekom kojih će bit</w:t>
      </w:r>
      <w:r w:rsidR="00FA62A5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angažirano </w:t>
      </w:r>
      <w:r w:rsidR="00323CD4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prosjeku oko </w:t>
      </w:r>
      <w:r w:rsidR="00C124C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00 radnika te gotovo stotinjak</w:t>
      </w:r>
      <w:r w:rsidR="00924913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građevinskih</w:t>
      </w:r>
      <w:r w:rsidR="00ED22DA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strojeva. Po završetku koncesije investicija ostaje u </w:t>
      </w:r>
      <w:r w:rsidR="00FA62A5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lasništvu R</w:t>
      </w:r>
      <w:r w:rsidR="00E654F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epublike Hrvatske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očekuje da će ulaganje u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Podfazu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</w:t>
      </w:r>
      <w:r w:rsidR="00C914D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2-</w:t>
      </w:r>
      <w:r w:rsidR="00E654F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i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Podfazu</w:t>
      </w:r>
      <w:r w:rsidR="00E654F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2B2-3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utjecati na rast BDP-a </w:t>
      </w:r>
      <w:r w:rsidR="00BD3CE1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za 0,5</w:t>
      </w:r>
      <w:r w:rsidR="00E654F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D3CE1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8B7279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030AB3" w14:textId="77777777" w:rsidR="00E605E6" w:rsidRPr="007E6A51" w:rsidRDefault="00E605E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E237B" w14:textId="19D9D8E1" w:rsidR="00E605E6" w:rsidRPr="007E6A51" w:rsidRDefault="009D3AC7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Podfaza</w:t>
      </w:r>
      <w:r w:rsidR="00E605E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</w:t>
      </w:r>
      <w:r w:rsidR="0052231A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2-</w:t>
      </w:r>
      <w:r w:rsidR="00E654F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i 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Podfaza</w:t>
      </w:r>
      <w:r w:rsidR="00E654F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2B2-3</w:t>
      </w:r>
      <w:r w:rsidR="00E605E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</w:t>
      </w:r>
      <w:r w:rsidR="0052231A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t će</w:t>
      </w:r>
      <w:r w:rsidR="00E605E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značajan impuls  ulaganja u gospodarstvo. Oko 95% radova izvod</w:t>
      </w:r>
      <w:r w:rsidR="0052231A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it će</w:t>
      </w:r>
      <w:r w:rsidR="00E605E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građevinske kompanije kao podizvođači. Investicija će omogućiti dodatnih</w:t>
      </w:r>
      <w:r w:rsidR="00323CD4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, u prosjeku,</w:t>
      </w:r>
      <w:r w:rsidR="00E605E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3CD4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605E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00 zaposlenih</w:t>
      </w:r>
      <w:r w:rsidR="00954293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vršnim periodima i do 7</w:t>
      </w:r>
      <w:r w:rsidR="00323CD4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00)</w:t>
      </w:r>
      <w:r w:rsidR="00C124C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razdoblju građenja te</w:t>
      </w:r>
      <w:r w:rsidR="00E605E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dodatnih </w:t>
      </w:r>
      <w:r w:rsidR="00F841B1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605E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zaposlenih u razdoblju održavanja. </w:t>
      </w:r>
    </w:p>
    <w:p w14:paraId="77641732" w14:textId="77777777" w:rsidR="00E605E6" w:rsidRPr="007E6A51" w:rsidRDefault="00E605E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AE08F" w14:textId="4F8588C7" w:rsidR="00E605E6" w:rsidRPr="007E6A51" w:rsidRDefault="00E605E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Očekivani pozitivni utjecaj na porez na dohodak</w:t>
      </w:r>
      <w:r w:rsidR="00802C9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prirez istome, </w:t>
      </w:r>
      <w:r w:rsidR="00FB6CE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te ostala davanja</w:t>
      </w:r>
      <w:r w:rsidR="00802C9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plaću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iznosit će</w:t>
      </w:r>
      <w:r w:rsidR="0077000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7,71</w:t>
      </w:r>
      <w:r w:rsidR="009C5A7C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milijuna EUR-a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građenja, </w:t>
      </w:r>
      <w:r w:rsidR="00802C9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dodatnih</w:t>
      </w:r>
      <w:r w:rsidR="0077000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4,45</w:t>
      </w:r>
      <w:r w:rsidR="009C5A7C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milijuna EUR-a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802C9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ista davanja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održavanja u razdoblju u kojem se produljuje koncesija, što sve predstavlja  </w:t>
      </w:r>
      <w:r w:rsidR="00BE4669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sveukupno</w:t>
      </w:r>
      <w:r w:rsidR="00410783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12,16</w:t>
      </w:r>
      <w:r w:rsidR="009C5A7C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milijuna EUR-a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2C9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dodatnih prihoda državnoj i lokalnoj razini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4669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uslijed</w:t>
      </w:r>
      <w:r w:rsidR="00802C9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realizacije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Podfaze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</w:t>
      </w:r>
      <w:r w:rsidR="009608F9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2-</w:t>
      </w:r>
      <w:r w:rsidR="00FB7A22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i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Podfaze</w:t>
      </w:r>
      <w:r w:rsidR="00FB7A22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2B2-3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27EE8B" w14:textId="77777777" w:rsidR="00034908" w:rsidRPr="007E6A51" w:rsidRDefault="00E605E6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A3FB0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Očekuje se da će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Podfaza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</w:t>
      </w:r>
      <w:r w:rsidR="002B14A3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2-</w:t>
      </w:r>
      <w:r w:rsidR="00985E7A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i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Podfaza</w:t>
      </w:r>
      <w:r w:rsidR="00985E7A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2B2-3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4669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pozitivno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utjecati na plaćanje PDV-a, to jest </w:t>
      </w:r>
      <w:r w:rsidR="00254DAC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58,97 milijuna EUR-a 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produžetka koncesije te dodatnih </w:t>
      </w:r>
      <w:r w:rsidR="000A6EF2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4,43 milijuna EUR-a 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PDV-a na cestarinu koja će se prikupljati na novoj dionici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Podfaze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</w:t>
      </w:r>
      <w:r w:rsidR="00DA4989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2-</w:t>
      </w:r>
      <w:r w:rsidR="00A614F6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sveukupno predstavlja </w:t>
      </w:r>
      <w:r w:rsidR="003F39CF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63,40</w:t>
      </w:r>
      <w:r w:rsidR="00AE6C71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4DAC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milijuna EUR-a 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dodatnog PDV-a na cestarinu zbog ulaganja u </w:t>
      </w:r>
      <w:r w:rsidR="009D3AC7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Podfazu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2B</w:t>
      </w:r>
      <w:r w:rsidR="00DA4989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2-</w:t>
      </w:r>
      <w:r w:rsidR="00AE6C71"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E6A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14:paraId="003935BF" w14:textId="7E1E3D95" w:rsidR="00C124C0" w:rsidRPr="007E6A51" w:rsidRDefault="00BC74CF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Procijenjena plaćanja od strane Koncedenta Koncesionaru na temelju postojećeg ugovora koncesiji iznose</w:t>
      </w:r>
      <w:r w:rsidR="000A6EF2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46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0A6EF2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3F39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milijuna EUR-a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 kraja koncesije dok procijenjena plaćanja od strane Koncedenta Koncesionaru na temelju novog ugovora o koncesiji iznose</w:t>
      </w:r>
      <w:r w:rsidR="003F39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5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51</w:t>
      </w:r>
      <w:r w:rsidR="003F39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3F39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milijuna EUR-a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 kraja koncesije</w:t>
      </w:r>
      <w:r w:rsidR="00D05E50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4E11B63C" w14:textId="77777777" w:rsidR="00034908" w:rsidRPr="007E6A51" w:rsidRDefault="00034908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6F2D3D" w14:textId="692D70BE" w:rsidR="00C124C0" w:rsidRPr="007E6A51" w:rsidRDefault="00BA39B5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Pored </w:t>
      </w:r>
      <w:r w:rsidR="00DA40DB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spomenutog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utjecaja na državni prora</w:t>
      </w:r>
      <w:r w:rsidR="005F0A24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čun</w:t>
      </w:r>
      <w:r w:rsidR="00DA40DB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5F0A24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izgradnja </w:t>
      </w:r>
      <w:r w:rsidR="009D3AC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Podfaze</w:t>
      </w:r>
      <w:r w:rsidR="005F0A24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2B</w:t>
      </w:r>
      <w:r w:rsidR="004A163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2-</w:t>
      </w:r>
      <w:r w:rsidR="007415F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 i </w:t>
      </w:r>
      <w:r w:rsidR="009D3AC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Podfaze</w:t>
      </w:r>
      <w:r w:rsidR="007415F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2B2-3</w:t>
      </w:r>
      <w:r w:rsidR="005F0A24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05E50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C124C0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vrijednosti</w:t>
      </w:r>
      <w:r w:rsidR="00CC3A9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05E50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 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199 milijuna eura 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(vrijednost 31. prosinac 2022. godine) 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uvećano za 14 milijuna eura za ostale građevinske radove Pod-faze 2B2-2 i Podfaze 2B2-3 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 strane Koncesionara, 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generirat će</w:t>
      </w:r>
      <w:r w:rsidR="00DA40DB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dodatne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prihode</w:t>
      </w:r>
      <w:r w:rsidR="00AD70A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cestarina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će isti</w:t>
      </w:r>
      <w:r w:rsidR="00DA40DB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osnova poreza</w:t>
      </w:r>
      <w:r w:rsidR="00931B6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ostalih davanja vezanih uz realizaciju </w:t>
      </w:r>
      <w:r w:rsidR="009D3AC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Podfaze</w:t>
      </w:r>
      <w:r w:rsidR="00931B6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2B2-</w:t>
      </w:r>
      <w:r w:rsidR="00CC3A9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 i </w:t>
      </w:r>
      <w:r w:rsidR="009D3AC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Podfaze</w:t>
      </w:r>
      <w:r w:rsidR="00CC3A9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2B2-3</w:t>
      </w:r>
      <w:r w:rsidR="00E5023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povećati prihode proračun</w:t>
      </w:r>
      <w:r w:rsidR="0025315C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</w:t>
      </w:r>
      <w:r w:rsidR="009E1A80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epublike Hrvatske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</w:t>
      </w:r>
      <w:r w:rsidR="00CC3A9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866E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75</w:t>
      </w:r>
      <w:r w:rsidR="00CC3A9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,5</w:t>
      </w:r>
      <w:r w:rsidR="00C866E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CC3A9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milijuna EUR-a 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odnosu na stanje da se iste ne ugovore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1FE6047B" w14:textId="77777777" w:rsidR="00034908" w:rsidRPr="007E6A51" w:rsidRDefault="00034908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488A8D" w14:textId="04A3F59B" w:rsidR="00BA39B5" w:rsidRPr="007E6A51" w:rsidRDefault="0071308D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Mehanizam koncesijske naknade ostaje nepromijenjen. </w:t>
      </w:r>
      <w:r w:rsidR="00FA040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Ukupno gledajući, izgradnjom Pod-faze 2B2-2 i Podfaze 2B2-3 i s uplatom pripadajućih poreza i ostalih davanja te nakon obračuna koncesijske naknade, R</w:t>
      </w:r>
      <w:r w:rsidR="0003490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epublika Hrvatska </w:t>
      </w:r>
      <w:r w:rsidR="00FA040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će imati negativan ukupan neto financijski učinak od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24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milijuna EUR-a </w:t>
      </w:r>
      <w:r w:rsidR="000C7C8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obzirom da je u odnosu na Podfazu 2B2-1 </w:t>
      </w:r>
      <w:r w:rsidR="00FA040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C7C8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produljenje koncesije sada dvije</w:t>
      </w:r>
      <w:r w:rsidR="00FA040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 kraće</w:t>
      </w:r>
      <w:r w:rsidR="00697A41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C7C8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zbog toga će se generirati</w:t>
      </w:r>
      <w:r w:rsidR="00697A41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manje prihod</w:t>
      </w:r>
      <w:r w:rsidR="000C7C8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697A41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cestarina i </w:t>
      </w:r>
      <w:r w:rsidR="000C7C8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uplata </w:t>
      </w:r>
      <w:r w:rsidR="00697A41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PDV-a</w:t>
      </w:r>
      <w:r w:rsidR="000C7C8E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drugih davanja u Državni proračun.</w:t>
      </w:r>
      <w:r w:rsidR="00697A41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</w:t>
      </w:r>
    </w:p>
    <w:p w14:paraId="69044879" w14:textId="77777777" w:rsidR="00FA0409" w:rsidRPr="007E6A51" w:rsidRDefault="00FA0409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D1AA10" w14:textId="2D252FAE" w:rsidR="00265275" w:rsidRPr="007E6A51" w:rsidRDefault="003579EE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isteku trajanja koncesije, odnosno u polovici eksploatacijskog vijeka,</w:t>
      </w:r>
      <w:r w:rsidR="005F0A24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31B6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Koncedentu u potpunosti ostaju, 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pored postojećih do sada izgrađenih dionica Istarskog ipsilona od strane 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Koncesionara u iznosu troška izgradnje od</w:t>
      </w:r>
      <w:r w:rsidR="005D1F43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955,60 milijuna EUR-a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31B6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nova dionica od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199 milijuna eura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(vrijednost 31. prosinca 2022. godine) 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uvećano za 14 milijuna eura za ostale građevinske radove Pod-faze 2B2-2 i Podfaze 2B2-3 milijuna EUR-a </w:t>
      </w:r>
      <w:r w:rsidR="00931B6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što </w:t>
      </w:r>
      <w:r w:rsidR="00BC74CF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sveukupno predstavlja iznos troška izgradnje dionica Istarskog ipsilona od strane Koncesionara od 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1.168</w:t>
      </w:r>
      <w:r w:rsidR="005D1F43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A9714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5D1F43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milijuna EUR-a</w:t>
      </w:r>
      <w:r w:rsidR="00931B6D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3B1DC59" w14:textId="01F01365" w:rsidR="00586D9F" w:rsidRPr="007E6A51" w:rsidRDefault="00586D9F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122206" w14:textId="1A9795D0" w:rsidR="00586D9F" w:rsidRPr="007E6A51" w:rsidRDefault="00586D9F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Puštanjem u promet </w:t>
      </w:r>
      <w:r w:rsidR="009D3AC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Podfaze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2B2-2 i </w:t>
      </w:r>
      <w:r w:rsidR="009D3AC7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Podfaze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2B2-3, zahvaljujući kraćem vremenu i većoj udobnosti putovanja, očekuje se povećanje broja korisnika infrastrukture i turista. Ulaganje u infrastrukturu istarskog ipsilona doprinijelo je povećanju prihoda od turističkog sektora za više od 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1,2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milijardi </w:t>
      </w:r>
      <w:r w:rsidR="00006C79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eura </w:t>
      </w:r>
      <w:r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posljednjih 9 godina budući da preko 90% turista u Istru dolazi automobilom koristeći Istarski Ipsilon.</w:t>
      </w:r>
    </w:p>
    <w:p w14:paraId="56A49F1F" w14:textId="3769AA4B" w:rsidR="009D3AC7" w:rsidRPr="007E6A51" w:rsidRDefault="009D3AC7" w:rsidP="0096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07CC2" w14:textId="199079FD" w:rsidR="002264AA" w:rsidRPr="007E6A51" w:rsidRDefault="007F77B4" w:rsidP="00966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odredbama članka 64. Zakona o koncesijama, </w:t>
      </w:r>
      <w:r w:rsidR="002264A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Republika Hrvatska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je,</w:t>
      </w:r>
      <w:r w:rsidR="002264A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djelujući </w:t>
      </w:r>
      <w:r w:rsidR="003022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putem</w:t>
      </w:r>
      <w:r w:rsidR="002264A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Ministarstva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mora, prometa i infrastrukture, u svojstvu davatelja koncesije, prije donošenja ove Odluke u odnosu na Ugovor </w:t>
      </w:r>
      <w:r w:rsidR="00D77DB4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br. 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77DB4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ishodila očitovanje Ministarstva </w:t>
      </w:r>
      <w:r w:rsidR="003022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inancija te mišljenja ostalih nadležnih središnjih tijela državne uprave iz područja davanja koncesije</w:t>
      </w:r>
      <w:r w:rsidR="003022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nadležnog državnog odvjetništva.</w:t>
      </w:r>
    </w:p>
    <w:p w14:paraId="20878420" w14:textId="77777777" w:rsidR="00034908" w:rsidRPr="007E6A51" w:rsidRDefault="00034908" w:rsidP="00966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F0BF2" w14:textId="09E490B3" w:rsidR="00CB65E1" w:rsidRPr="007E6A51" w:rsidRDefault="004E5E61" w:rsidP="00966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Republika Hrvatska pokrenula je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B114B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517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studenog</w:t>
      </w:r>
      <w:r w:rsidR="00C1517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9D491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517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4908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postupak</w:t>
      </w:r>
      <w:r w:rsidR="00C1517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prijave državne potpore pod brojem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17A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SA.</w:t>
      </w:r>
      <w:r w:rsidR="00E2435C" w:rsidRPr="007E6A51">
        <w:t xml:space="preserve"> 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103361</w:t>
      </w:r>
      <w:r w:rsidR="009D491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</w:t>
      </w:r>
      <w:r w:rsidR="009C1C0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491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/N)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 Europskom Komisijom 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je nakon provedenog postupka, 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Europska </w:t>
      </w:r>
      <w:r w:rsidR="0039071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Komisija zaključila da se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14B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Ugovorom </w:t>
      </w:r>
      <w:r w:rsidR="00D77DB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br. </w:t>
      </w:r>
      <w:r w:rsidR="00E2435C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D77DB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 provedbe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</w:t>
      </w:r>
      <w:r w:rsidR="009D491D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i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2B2-3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Projekta</w:t>
      </w:r>
      <w:r w:rsidR="0039071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potiče rast i aktiviraju ulaganja, uz ograničen utjecaj na korisnike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71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autoceste, u skladu s pravilima EU-a o državnim potporama i javnoj nabavi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da je produljenje koncesije razmjerno iznosu potrebnom za financiranje radova koji su nužni za 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 i 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izgradnju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</w:t>
      </w:r>
      <w:r w:rsidR="00ED3ED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i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2B2-3</w:t>
      </w:r>
      <w:r w:rsidR="00A63285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439F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Odluka Vlade o </w:t>
      </w:r>
      <w:r w:rsidR="002B114B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Ugovoru </w:t>
      </w:r>
      <w:r w:rsidR="00D77DB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br. </w:t>
      </w:r>
      <w:r w:rsidR="00E2435C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D77DB4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sklapanje </w:t>
      </w:r>
      <w:r w:rsidR="00CB65E1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Ugovora </w:t>
      </w:r>
      <w:r w:rsidR="00D77DB4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br. </w:t>
      </w:r>
      <w:r w:rsidR="00E2435C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="002B114B" w:rsidRPr="007E6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kao i </w:t>
      </w:r>
      <w:r w:rsidR="002B114B" w:rsidRPr="007E6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Izravnog ugovora o financijskom doprinosu i Tripartitnog ugovora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39F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omogućit će Koncesionaru financiranje, građenje, upravljanje i održavanje</w:t>
      </w:r>
      <w:r w:rsidR="000461B8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BF439F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</w:t>
      </w:r>
      <w:r w:rsidR="00ED3ED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i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2B2-3</w:t>
      </w:r>
      <w:r w:rsidR="00BF439F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65E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AA2B36" w14:textId="77777777" w:rsidR="00CB65E1" w:rsidRPr="007E6A51" w:rsidRDefault="00CB65E1" w:rsidP="0096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8B0D3" w14:textId="4C388119" w:rsidR="00CB65E1" w:rsidRPr="00154BEA" w:rsidRDefault="00CB65E1" w:rsidP="0096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članku 56. Zakona o koncesijama, a u svrhu omogućavanja financiranja građenja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</w:t>
      </w:r>
      <w:r w:rsidR="00ED3ED1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i </w:t>
      </w:r>
      <w:r w:rsidR="009D3AC7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Podfaze</w:t>
      </w:r>
      <w:r w:rsidR="00E2435C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2B2-3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ovom Odlukom Vlada je odobrila i sklapanje Izravnog ugovora o financijskom doprinosu koji je Prilog </w:t>
      </w:r>
      <w:r w:rsidR="00876E8E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908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DB4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Izmijenjenog i dopunjenog i konsolidiranog </w:t>
      </w:r>
      <w:r w:rsidR="002B114B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Ugovora o koncesiji 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Tripartitnog ugovora koji je Prilog </w:t>
      </w:r>
      <w:r w:rsidR="00876E8E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34908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DB4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Izmijenjenog i dopunjenog i konsolidiranog </w:t>
      </w:r>
      <w:r w:rsidR="002B114B"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Ugovora o koncesiji</w:t>
      </w:r>
      <w:r w:rsidRPr="007E6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B4724E" w14:textId="77777777" w:rsidR="00BD66FD" w:rsidRPr="00154BEA" w:rsidRDefault="001E22E0" w:rsidP="00966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D66FD" w:rsidRPr="00154BEA" w:rsidSect="009661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92AC" w16cex:dateUtc="2022-12-08T15:43:00Z"/>
  <w16cex:commentExtensible w16cex:durableId="273C9664" w16cex:dateUtc="2022-12-08T15:59:00Z"/>
  <w16cex:commentExtensible w16cex:durableId="273C97D5" w16cex:dateUtc="2022-12-08T16:05:00Z"/>
  <w16cex:commentExtensible w16cex:durableId="273C97EC" w16cex:dateUtc="2022-12-08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E9229" w16cid:durableId="273C92AC"/>
  <w16cid:commentId w16cid:paraId="4E83802F" w16cid:durableId="273C9664"/>
  <w16cid:commentId w16cid:paraId="106638C3" w16cid:durableId="273C97D5"/>
  <w16cid:commentId w16cid:paraId="28628956" w16cid:durableId="273C97EC"/>
  <w16cid:commentId w16cid:paraId="78D61904" w16cid:durableId="273C92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C3C1" w14:textId="77777777" w:rsidR="004A5F05" w:rsidRDefault="004A5F05" w:rsidP="00BD66FD">
      <w:pPr>
        <w:spacing w:after="0" w:line="240" w:lineRule="auto"/>
      </w:pPr>
      <w:r>
        <w:separator/>
      </w:r>
    </w:p>
  </w:endnote>
  <w:endnote w:type="continuationSeparator" w:id="0">
    <w:p w14:paraId="54F11273" w14:textId="77777777" w:rsidR="004A5F05" w:rsidRDefault="004A5F05" w:rsidP="00BD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C2AA" w14:textId="77777777" w:rsidR="004A5F05" w:rsidRDefault="004A5F05" w:rsidP="00BD66FD">
      <w:pPr>
        <w:spacing w:after="0" w:line="240" w:lineRule="auto"/>
      </w:pPr>
      <w:r>
        <w:separator/>
      </w:r>
    </w:p>
  </w:footnote>
  <w:footnote w:type="continuationSeparator" w:id="0">
    <w:p w14:paraId="54B6393B" w14:textId="77777777" w:rsidR="004A5F05" w:rsidRDefault="004A5F05" w:rsidP="00BD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908"/>
    <w:multiLevelType w:val="multilevel"/>
    <w:tmpl w:val="A86010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FF7A53"/>
    <w:multiLevelType w:val="multilevel"/>
    <w:tmpl w:val="39C0F0B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D324E9"/>
    <w:multiLevelType w:val="hybridMultilevel"/>
    <w:tmpl w:val="8994686A"/>
    <w:lvl w:ilvl="0" w:tplc="1C4E225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58EC"/>
    <w:multiLevelType w:val="multilevel"/>
    <w:tmpl w:val="4D7E54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F00273"/>
    <w:multiLevelType w:val="multilevel"/>
    <w:tmpl w:val="53BCD69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C3"/>
    <w:rsid w:val="00006C79"/>
    <w:rsid w:val="00007BB6"/>
    <w:rsid w:val="000208ED"/>
    <w:rsid w:val="00034908"/>
    <w:rsid w:val="000461B8"/>
    <w:rsid w:val="00053CD3"/>
    <w:rsid w:val="00073AF8"/>
    <w:rsid w:val="00077A47"/>
    <w:rsid w:val="000A61FC"/>
    <w:rsid w:val="000A6EF2"/>
    <w:rsid w:val="000A7F04"/>
    <w:rsid w:val="000B25A2"/>
    <w:rsid w:val="000B4E8C"/>
    <w:rsid w:val="000C7C8E"/>
    <w:rsid w:val="000D2473"/>
    <w:rsid w:val="000E6725"/>
    <w:rsid w:val="00106AB9"/>
    <w:rsid w:val="00107BE6"/>
    <w:rsid w:val="00110F9A"/>
    <w:rsid w:val="001143B9"/>
    <w:rsid w:val="001215F9"/>
    <w:rsid w:val="001372F1"/>
    <w:rsid w:val="00154BEA"/>
    <w:rsid w:val="0015766B"/>
    <w:rsid w:val="00162277"/>
    <w:rsid w:val="00187B26"/>
    <w:rsid w:val="001B22D2"/>
    <w:rsid w:val="001C36D8"/>
    <w:rsid w:val="001E028D"/>
    <w:rsid w:val="001E22E0"/>
    <w:rsid w:val="001F0099"/>
    <w:rsid w:val="001F13D0"/>
    <w:rsid w:val="001F68AC"/>
    <w:rsid w:val="0020717A"/>
    <w:rsid w:val="002264AA"/>
    <w:rsid w:val="00227062"/>
    <w:rsid w:val="0023072C"/>
    <w:rsid w:val="0025315C"/>
    <w:rsid w:val="002540AC"/>
    <w:rsid w:val="00254DAC"/>
    <w:rsid w:val="0026040D"/>
    <w:rsid w:val="00265275"/>
    <w:rsid w:val="002B114B"/>
    <w:rsid w:val="002B14A3"/>
    <w:rsid w:val="002C1B53"/>
    <w:rsid w:val="002C4D9A"/>
    <w:rsid w:val="002D21F2"/>
    <w:rsid w:val="002E2B15"/>
    <w:rsid w:val="002E3A50"/>
    <w:rsid w:val="002E7EFC"/>
    <w:rsid w:val="003022E1"/>
    <w:rsid w:val="00307A90"/>
    <w:rsid w:val="003235F0"/>
    <w:rsid w:val="00323CD4"/>
    <w:rsid w:val="00351959"/>
    <w:rsid w:val="003579EE"/>
    <w:rsid w:val="00357DD8"/>
    <w:rsid w:val="00364DE4"/>
    <w:rsid w:val="0038791E"/>
    <w:rsid w:val="00390711"/>
    <w:rsid w:val="003F39CF"/>
    <w:rsid w:val="00410783"/>
    <w:rsid w:val="004247C0"/>
    <w:rsid w:val="00443CA5"/>
    <w:rsid w:val="00446E5D"/>
    <w:rsid w:val="004563E5"/>
    <w:rsid w:val="00465F9F"/>
    <w:rsid w:val="00472425"/>
    <w:rsid w:val="00475470"/>
    <w:rsid w:val="004952B5"/>
    <w:rsid w:val="004A0F8F"/>
    <w:rsid w:val="004A163F"/>
    <w:rsid w:val="004A2372"/>
    <w:rsid w:val="004A5F05"/>
    <w:rsid w:val="004D0695"/>
    <w:rsid w:val="004D35A5"/>
    <w:rsid w:val="004E5D84"/>
    <w:rsid w:val="004E5E61"/>
    <w:rsid w:val="004F3142"/>
    <w:rsid w:val="004F4E8E"/>
    <w:rsid w:val="00507BA3"/>
    <w:rsid w:val="0052231A"/>
    <w:rsid w:val="0052668E"/>
    <w:rsid w:val="00527F75"/>
    <w:rsid w:val="00565C18"/>
    <w:rsid w:val="005714DA"/>
    <w:rsid w:val="00571B26"/>
    <w:rsid w:val="00586D9F"/>
    <w:rsid w:val="00591442"/>
    <w:rsid w:val="005940E5"/>
    <w:rsid w:val="005A33BE"/>
    <w:rsid w:val="005B5351"/>
    <w:rsid w:val="005C61EA"/>
    <w:rsid w:val="005D0797"/>
    <w:rsid w:val="005D1F43"/>
    <w:rsid w:val="005D4DAD"/>
    <w:rsid w:val="005F0A24"/>
    <w:rsid w:val="005F1EB2"/>
    <w:rsid w:val="005F1F18"/>
    <w:rsid w:val="005F29CD"/>
    <w:rsid w:val="005F5398"/>
    <w:rsid w:val="006010AE"/>
    <w:rsid w:val="006038ED"/>
    <w:rsid w:val="006074A6"/>
    <w:rsid w:val="00613EBE"/>
    <w:rsid w:val="00622EA0"/>
    <w:rsid w:val="006447A1"/>
    <w:rsid w:val="006710AD"/>
    <w:rsid w:val="006910C3"/>
    <w:rsid w:val="00697A41"/>
    <w:rsid w:val="006A1AC2"/>
    <w:rsid w:val="006B3968"/>
    <w:rsid w:val="006C09B1"/>
    <w:rsid w:val="006E354C"/>
    <w:rsid w:val="006E5AB9"/>
    <w:rsid w:val="006E7815"/>
    <w:rsid w:val="00711395"/>
    <w:rsid w:val="007116D8"/>
    <w:rsid w:val="0071308D"/>
    <w:rsid w:val="00727F97"/>
    <w:rsid w:val="00740110"/>
    <w:rsid w:val="007415F9"/>
    <w:rsid w:val="00743C20"/>
    <w:rsid w:val="00770007"/>
    <w:rsid w:val="007703C8"/>
    <w:rsid w:val="0077102B"/>
    <w:rsid w:val="0078439A"/>
    <w:rsid w:val="00790C70"/>
    <w:rsid w:val="00791FC1"/>
    <w:rsid w:val="00795B31"/>
    <w:rsid w:val="00797586"/>
    <w:rsid w:val="007A6453"/>
    <w:rsid w:val="007A655F"/>
    <w:rsid w:val="007B3AD8"/>
    <w:rsid w:val="007E6A51"/>
    <w:rsid w:val="007F77B4"/>
    <w:rsid w:val="007F7A6C"/>
    <w:rsid w:val="00802C96"/>
    <w:rsid w:val="0081277D"/>
    <w:rsid w:val="008150FB"/>
    <w:rsid w:val="008201A0"/>
    <w:rsid w:val="0083135A"/>
    <w:rsid w:val="00833BC3"/>
    <w:rsid w:val="00835B3A"/>
    <w:rsid w:val="00842625"/>
    <w:rsid w:val="00876E8E"/>
    <w:rsid w:val="00883902"/>
    <w:rsid w:val="008A46DB"/>
    <w:rsid w:val="008A769E"/>
    <w:rsid w:val="008B7279"/>
    <w:rsid w:val="008D4160"/>
    <w:rsid w:val="008E5F29"/>
    <w:rsid w:val="00913DA4"/>
    <w:rsid w:val="00924913"/>
    <w:rsid w:val="00931B6D"/>
    <w:rsid w:val="009345B1"/>
    <w:rsid w:val="00934B21"/>
    <w:rsid w:val="00946618"/>
    <w:rsid w:val="00954293"/>
    <w:rsid w:val="009608F9"/>
    <w:rsid w:val="009656D4"/>
    <w:rsid w:val="00966114"/>
    <w:rsid w:val="00967997"/>
    <w:rsid w:val="00985E7A"/>
    <w:rsid w:val="00986BF4"/>
    <w:rsid w:val="00996B36"/>
    <w:rsid w:val="00997CBE"/>
    <w:rsid w:val="009A3FB0"/>
    <w:rsid w:val="009C1C07"/>
    <w:rsid w:val="009C5A7C"/>
    <w:rsid w:val="009D3AC7"/>
    <w:rsid w:val="009D491D"/>
    <w:rsid w:val="009D7FD9"/>
    <w:rsid w:val="009E020A"/>
    <w:rsid w:val="009E1341"/>
    <w:rsid w:val="009E1A80"/>
    <w:rsid w:val="00A07252"/>
    <w:rsid w:val="00A24B00"/>
    <w:rsid w:val="00A36C5B"/>
    <w:rsid w:val="00A43BE8"/>
    <w:rsid w:val="00A60AC1"/>
    <w:rsid w:val="00A614F6"/>
    <w:rsid w:val="00A63285"/>
    <w:rsid w:val="00A7521A"/>
    <w:rsid w:val="00A878EC"/>
    <w:rsid w:val="00A928BA"/>
    <w:rsid w:val="00A97148"/>
    <w:rsid w:val="00AB6AD1"/>
    <w:rsid w:val="00AB7E2D"/>
    <w:rsid w:val="00AC2BA4"/>
    <w:rsid w:val="00AC5005"/>
    <w:rsid w:val="00AC6C10"/>
    <w:rsid w:val="00AD70A7"/>
    <w:rsid w:val="00AE6C71"/>
    <w:rsid w:val="00AF2E06"/>
    <w:rsid w:val="00B2373D"/>
    <w:rsid w:val="00B321D2"/>
    <w:rsid w:val="00B45DEF"/>
    <w:rsid w:val="00B50B51"/>
    <w:rsid w:val="00B52E31"/>
    <w:rsid w:val="00B60140"/>
    <w:rsid w:val="00B66077"/>
    <w:rsid w:val="00B83A4E"/>
    <w:rsid w:val="00B83F45"/>
    <w:rsid w:val="00B91E04"/>
    <w:rsid w:val="00B91E30"/>
    <w:rsid w:val="00B978EC"/>
    <w:rsid w:val="00BA39B5"/>
    <w:rsid w:val="00BC4809"/>
    <w:rsid w:val="00BC74CF"/>
    <w:rsid w:val="00BD3CE1"/>
    <w:rsid w:val="00BD66FD"/>
    <w:rsid w:val="00BE4669"/>
    <w:rsid w:val="00BF439F"/>
    <w:rsid w:val="00C124C0"/>
    <w:rsid w:val="00C1517A"/>
    <w:rsid w:val="00C5502F"/>
    <w:rsid w:val="00C866EE"/>
    <w:rsid w:val="00C914D7"/>
    <w:rsid w:val="00CB65E1"/>
    <w:rsid w:val="00CC3A9D"/>
    <w:rsid w:val="00CD139B"/>
    <w:rsid w:val="00CF5F22"/>
    <w:rsid w:val="00D05E50"/>
    <w:rsid w:val="00D53DA8"/>
    <w:rsid w:val="00D77DB4"/>
    <w:rsid w:val="00D91964"/>
    <w:rsid w:val="00D95D82"/>
    <w:rsid w:val="00DA40DB"/>
    <w:rsid w:val="00DA4989"/>
    <w:rsid w:val="00DD34E8"/>
    <w:rsid w:val="00DE2C8C"/>
    <w:rsid w:val="00E138E8"/>
    <w:rsid w:val="00E17E61"/>
    <w:rsid w:val="00E2435C"/>
    <w:rsid w:val="00E50239"/>
    <w:rsid w:val="00E605E6"/>
    <w:rsid w:val="00E654F0"/>
    <w:rsid w:val="00E71359"/>
    <w:rsid w:val="00E72F38"/>
    <w:rsid w:val="00E86E0C"/>
    <w:rsid w:val="00E87FEC"/>
    <w:rsid w:val="00EA4D4B"/>
    <w:rsid w:val="00EA51BD"/>
    <w:rsid w:val="00EB3C9C"/>
    <w:rsid w:val="00EC3545"/>
    <w:rsid w:val="00ED22DA"/>
    <w:rsid w:val="00ED31E0"/>
    <w:rsid w:val="00ED3ED1"/>
    <w:rsid w:val="00EE0B8D"/>
    <w:rsid w:val="00EE1728"/>
    <w:rsid w:val="00EE3CD5"/>
    <w:rsid w:val="00EE51C2"/>
    <w:rsid w:val="00EF08D1"/>
    <w:rsid w:val="00EF4C97"/>
    <w:rsid w:val="00F02DD6"/>
    <w:rsid w:val="00F059CC"/>
    <w:rsid w:val="00F246D5"/>
    <w:rsid w:val="00F56076"/>
    <w:rsid w:val="00F61249"/>
    <w:rsid w:val="00F74B4D"/>
    <w:rsid w:val="00F74F68"/>
    <w:rsid w:val="00F841B1"/>
    <w:rsid w:val="00F93003"/>
    <w:rsid w:val="00FA0409"/>
    <w:rsid w:val="00FA1FD9"/>
    <w:rsid w:val="00FA62A5"/>
    <w:rsid w:val="00FB32DE"/>
    <w:rsid w:val="00FB6CE7"/>
    <w:rsid w:val="00FB7A22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778"/>
  <w15:docId w15:val="{F09FB2A5-4743-4F92-BE05-8F90895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basedOn w:val="DefaultParagraphFont"/>
    <w:rsid w:val="00BD66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en-US" w:bidi="en-US"/>
    </w:rPr>
  </w:style>
  <w:style w:type="character" w:customStyle="1" w:styleId="Bodytext88ptBold">
    <w:name w:val="Body text (8) + 8 pt;Bold"/>
    <w:basedOn w:val="DefaultParagraphFont"/>
    <w:rsid w:val="00BD66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BD66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66FD"/>
    <w:rPr>
      <w:rFonts w:ascii="Microsoft Sans Serif" w:eastAsia="Microsoft Sans Serif" w:hAnsi="Microsoft Sans Serif" w:cs="Microsoft Sans Serif"/>
      <w:color w:val="000000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66FD"/>
    <w:rPr>
      <w:vertAlign w:val="superscript"/>
    </w:rPr>
  </w:style>
  <w:style w:type="character" w:customStyle="1" w:styleId="Bodytext2">
    <w:name w:val="Body text (2)_"/>
    <w:basedOn w:val="DefaultParagraphFont"/>
    <w:link w:val="Bodytext20"/>
    <w:rsid w:val="00BD66F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8pt">
    <w:name w:val="Body text (8) + 8 pt"/>
    <w:basedOn w:val="DefaultParagraphFont"/>
    <w:rsid w:val="00BD66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en-US" w:bidi="en-US"/>
    </w:rPr>
  </w:style>
  <w:style w:type="paragraph" w:customStyle="1" w:styleId="Bodytext20">
    <w:name w:val="Body text (2)"/>
    <w:basedOn w:val="Normal"/>
    <w:link w:val="Bodytext2"/>
    <w:rsid w:val="00BD66FD"/>
    <w:pPr>
      <w:widowControl w:val="0"/>
      <w:shd w:val="clear" w:color="auto" w:fill="FFFFFF"/>
      <w:spacing w:after="0" w:line="216" w:lineRule="exact"/>
      <w:ind w:hanging="800"/>
    </w:pPr>
    <w:rPr>
      <w:rFonts w:ascii="Arial" w:eastAsia="Arial" w:hAnsi="Arial" w:cs="Arial"/>
      <w:sz w:val="18"/>
      <w:szCs w:val="18"/>
    </w:rPr>
  </w:style>
  <w:style w:type="character" w:customStyle="1" w:styleId="Footnote">
    <w:name w:val="Footnote_"/>
    <w:basedOn w:val="DefaultParagraphFont"/>
    <w:link w:val="Footnote0"/>
    <w:rsid w:val="00BD66F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Footnote8ptBold">
    <w:name w:val="Footnote + 8 pt;Bold"/>
    <w:basedOn w:val="Footnote"/>
    <w:rsid w:val="00BD66FD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hr-HR" w:eastAsia="en-US" w:bidi="en-US"/>
    </w:rPr>
  </w:style>
  <w:style w:type="character" w:customStyle="1" w:styleId="Footnote8pt">
    <w:name w:val="Footnote + 8 pt"/>
    <w:basedOn w:val="Footnote"/>
    <w:rsid w:val="00BD66FD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hr-HR" w:eastAsia="en-US" w:bidi="en-US"/>
    </w:rPr>
  </w:style>
  <w:style w:type="character" w:customStyle="1" w:styleId="FootnoteItalic">
    <w:name w:val="Footnote + Italic"/>
    <w:basedOn w:val="Footnote"/>
    <w:rsid w:val="00BD66FD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hr-HR" w:eastAsia="en-US" w:bidi="en-US"/>
    </w:rPr>
  </w:style>
  <w:style w:type="paragraph" w:customStyle="1" w:styleId="Footnote0">
    <w:name w:val="Footnote"/>
    <w:basedOn w:val="Normal"/>
    <w:link w:val="Footnote"/>
    <w:rsid w:val="00BD66FD"/>
    <w:pPr>
      <w:widowControl w:val="0"/>
      <w:shd w:val="clear" w:color="auto" w:fill="FFFFFF"/>
      <w:spacing w:after="0" w:line="192" w:lineRule="exact"/>
      <w:ind w:hanging="440"/>
      <w:jc w:val="both"/>
    </w:pPr>
    <w:rPr>
      <w:rFonts w:ascii="Arial" w:eastAsia="Arial" w:hAnsi="Arial" w:cs="Arial"/>
      <w:sz w:val="15"/>
      <w:szCs w:val="15"/>
    </w:rPr>
  </w:style>
  <w:style w:type="paragraph" w:styleId="NormalWeb">
    <w:name w:val="Normal (Web)"/>
    <w:basedOn w:val="Normal"/>
    <w:uiPriority w:val="99"/>
    <w:unhideWhenUsed/>
    <w:rsid w:val="006E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plain">
    <w:name w:val="doc_plain"/>
    <w:basedOn w:val="Normal"/>
    <w:rsid w:val="00C1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D6"/>
  </w:style>
  <w:style w:type="paragraph" w:styleId="Footer">
    <w:name w:val="footer"/>
    <w:basedOn w:val="Normal"/>
    <w:link w:val="FooterChar"/>
    <w:uiPriority w:val="99"/>
    <w:unhideWhenUsed/>
    <w:rsid w:val="00F0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D6"/>
  </w:style>
  <w:style w:type="paragraph" w:styleId="BodyText">
    <w:name w:val="Body Text"/>
    <w:basedOn w:val="Normal"/>
    <w:link w:val="BodyTextChar"/>
    <w:rsid w:val="006A1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1AC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4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8CFD-F699-4DBE-ADA5-F08AA16E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2499</Words>
  <Characters>14246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Barberić</dc:creator>
  <cp:lastModifiedBy>Domagoj Dodig</cp:lastModifiedBy>
  <cp:revision>3</cp:revision>
  <cp:lastPrinted>2018-09-04T11:44:00Z</cp:lastPrinted>
  <dcterms:created xsi:type="dcterms:W3CDTF">2023-04-11T12:39:00Z</dcterms:created>
  <dcterms:modified xsi:type="dcterms:W3CDTF">2023-04-12T10:02:00Z</dcterms:modified>
</cp:coreProperties>
</file>