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D253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  <w:r w:rsidRPr="00667B6C">
        <w:rPr>
          <w:rFonts w:eastAsia="Times New Roman" w:cs="Times New Roman"/>
          <w:b/>
          <w:szCs w:val="24"/>
          <w:lang w:val="hr-HR"/>
        </w:rPr>
        <w:t xml:space="preserve">                     </w:t>
      </w:r>
    </w:p>
    <w:p w14:paraId="57FFD254" w14:textId="77777777" w:rsidR="00667B6C" w:rsidRPr="00667B6C" w:rsidRDefault="00667B6C" w:rsidP="00667B6C">
      <w:pPr>
        <w:jc w:val="center"/>
        <w:rPr>
          <w:rFonts w:eastAsia="Times New Roman" w:cs="Times New Roman"/>
          <w:szCs w:val="24"/>
          <w:lang w:val="hr-HR"/>
        </w:rPr>
      </w:pPr>
      <w:r w:rsidRPr="00667B6C">
        <w:rPr>
          <w:rFonts w:eastAsia="Times New Roman" w:cs="Times New Roman"/>
          <w:noProof/>
          <w:szCs w:val="24"/>
          <w:lang w:val="hr-HR" w:eastAsia="hr-HR"/>
        </w:rPr>
        <w:drawing>
          <wp:inline distT="0" distB="0" distL="0" distR="0" wp14:anchorId="57FFD2B2" wp14:editId="57FFD2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B6C">
        <w:rPr>
          <w:rFonts w:eastAsia="Times New Roman" w:cs="Times New Roman"/>
          <w:szCs w:val="24"/>
          <w:lang w:val="hr-HR"/>
        </w:rPr>
        <w:fldChar w:fldCharType="begin"/>
      </w:r>
      <w:r w:rsidRPr="00667B6C">
        <w:rPr>
          <w:rFonts w:eastAsia="Times New Roman" w:cs="Times New Roman"/>
          <w:szCs w:val="24"/>
          <w:lang w:val="hr-HR"/>
        </w:rPr>
        <w:instrText xml:space="preserve"> INCLUDEPICTURE "http://www.inet.hr/~box/images/grb-rh.gif" \* MERGEFORMATINET </w:instrText>
      </w:r>
      <w:r w:rsidRPr="00667B6C">
        <w:rPr>
          <w:rFonts w:eastAsia="Times New Roman" w:cs="Times New Roman"/>
          <w:szCs w:val="24"/>
          <w:lang w:val="hr-HR"/>
        </w:rPr>
        <w:fldChar w:fldCharType="end"/>
      </w:r>
    </w:p>
    <w:p w14:paraId="57FFD255" w14:textId="77777777" w:rsidR="00667B6C" w:rsidRPr="00667B6C" w:rsidRDefault="00667B6C" w:rsidP="00667B6C">
      <w:pPr>
        <w:spacing w:before="60" w:after="1680"/>
        <w:jc w:val="center"/>
        <w:rPr>
          <w:rFonts w:eastAsia="Times New Roman" w:cs="Times New Roman"/>
          <w:szCs w:val="24"/>
          <w:lang w:val="hr-HR"/>
        </w:rPr>
      </w:pPr>
      <w:r w:rsidRPr="00667B6C">
        <w:rPr>
          <w:rFonts w:eastAsia="Times New Roman" w:cs="Times New Roman"/>
          <w:szCs w:val="24"/>
          <w:lang w:val="hr-HR"/>
        </w:rPr>
        <w:t>VLADA REPUBLIKE HRVATSKE</w:t>
      </w:r>
    </w:p>
    <w:p w14:paraId="57FFD256" w14:textId="77777777" w:rsidR="00667B6C" w:rsidRPr="00667B6C" w:rsidRDefault="00667B6C" w:rsidP="00667B6C">
      <w:pPr>
        <w:rPr>
          <w:rFonts w:eastAsia="Times New Roman" w:cs="Times New Roman"/>
          <w:szCs w:val="24"/>
          <w:lang w:val="hr-HR"/>
        </w:rPr>
      </w:pPr>
    </w:p>
    <w:p w14:paraId="57FFD257" w14:textId="6F42F51E" w:rsidR="00667B6C" w:rsidRPr="00667B6C" w:rsidRDefault="00667B6C" w:rsidP="00667B6C">
      <w:pPr>
        <w:tabs>
          <w:tab w:val="right" w:pos="9070"/>
        </w:tabs>
        <w:spacing w:after="2400"/>
        <w:rPr>
          <w:rFonts w:eastAsia="Times New Roman" w:cs="Times New Roman"/>
          <w:b/>
          <w:szCs w:val="24"/>
          <w:lang w:val="hr-HR"/>
        </w:rPr>
      </w:pPr>
      <w:r w:rsidRPr="00667B6C">
        <w:rPr>
          <w:rFonts w:eastAsia="Times New Roman" w:cs="Times New Roman"/>
          <w:b/>
          <w:szCs w:val="24"/>
          <w:lang w:val="hr-HR"/>
        </w:rPr>
        <w:tab/>
      </w:r>
      <w:r w:rsidR="00EE48DB">
        <w:rPr>
          <w:rFonts w:eastAsia="Times New Roman" w:cs="Times New Roman"/>
          <w:szCs w:val="24"/>
          <w:lang w:val="hr-HR"/>
        </w:rPr>
        <w:t xml:space="preserve">Zagreb, </w:t>
      </w:r>
      <w:r w:rsidR="009A3ECD">
        <w:rPr>
          <w:rFonts w:eastAsia="Times New Roman" w:cs="Times New Roman"/>
          <w:szCs w:val="24"/>
          <w:lang w:val="hr-HR"/>
        </w:rPr>
        <w:t>20. trav</w:t>
      </w:r>
      <w:r w:rsidR="00EE48DB">
        <w:rPr>
          <w:rFonts w:eastAsia="Times New Roman" w:cs="Times New Roman"/>
          <w:szCs w:val="24"/>
          <w:lang w:val="hr-HR"/>
        </w:rPr>
        <w:t>nj</w:t>
      </w:r>
      <w:r w:rsidR="009A3ECD">
        <w:rPr>
          <w:rFonts w:eastAsia="Times New Roman" w:cs="Times New Roman"/>
          <w:szCs w:val="24"/>
          <w:lang w:val="hr-HR"/>
        </w:rPr>
        <w:t>a</w:t>
      </w:r>
      <w:bookmarkStart w:id="0" w:name="_GoBack"/>
      <w:bookmarkEnd w:id="0"/>
      <w:r w:rsidR="00CD56FB">
        <w:rPr>
          <w:rFonts w:eastAsia="Times New Roman" w:cs="Times New Roman"/>
          <w:szCs w:val="24"/>
          <w:lang w:val="hr-HR"/>
        </w:rPr>
        <w:t xml:space="preserve"> 2023</w:t>
      </w:r>
      <w:r w:rsidRPr="00667B6C">
        <w:rPr>
          <w:rFonts w:eastAsia="Times New Roman" w:cs="Times New Roman"/>
          <w:szCs w:val="24"/>
          <w:lang w:val="hr-HR"/>
        </w:rPr>
        <w:t>.</w:t>
      </w:r>
    </w:p>
    <w:p w14:paraId="57FFD258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59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  <w:r w:rsidRPr="00667B6C">
        <w:rPr>
          <w:rFonts w:eastAsia="Times New Roman" w:cs="Times New Roman"/>
          <w:b/>
          <w:szCs w:val="24"/>
          <w:lang w:val="hr-HR"/>
        </w:rPr>
        <w:t>PREDLAGATELJ:</w:t>
      </w:r>
      <w:r w:rsidRPr="00667B6C">
        <w:rPr>
          <w:rFonts w:eastAsia="Times New Roman" w:cs="Times New Roman"/>
          <w:b/>
          <w:szCs w:val="24"/>
          <w:lang w:val="hr-HR"/>
        </w:rPr>
        <w:tab/>
      </w:r>
      <w:r w:rsidRPr="00667B6C">
        <w:rPr>
          <w:rFonts w:eastAsia="Times New Roman" w:cs="Times New Roman"/>
          <w:szCs w:val="24"/>
          <w:lang w:val="hr-HR"/>
        </w:rPr>
        <w:t>Ministarstvo gospodarstva i održivog razvoja</w:t>
      </w:r>
    </w:p>
    <w:p w14:paraId="57FFD25A" w14:textId="77777777" w:rsidR="00667B6C" w:rsidRPr="00667B6C" w:rsidRDefault="00667B6C" w:rsidP="00667B6C">
      <w:pPr>
        <w:pBdr>
          <w:bottom w:val="single" w:sz="4" w:space="1" w:color="auto"/>
        </w:pBdr>
        <w:rPr>
          <w:rFonts w:eastAsia="Times New Roman" w:cs="Times New Roman"/>
          <w:b/>
          <w:szCs w:val="24"/>
          <w:lang w:val="hr-HR"/>
        </w:rPr>
      </w:pPr>
    </w:p>
    <w:p w14:paraId="57FFD25B" w14:textId="77777777" w:rsidR="00667B6C" w:rsidRPr="00667B6C" w:rsidRDefault="00667B6C" w:rsidP="00667B6C">
      <w:pPr>
        <w:ind w:left="2124" w:hanging="1416"/>
        <w:rPr>
          <w:rFonts w:eastAsia="Times New Roman" w:cs="Times New Roman"/>
          <w:b/>
          <w:szCs w:val="24"/>
          <w:lang w:val="hr-HR"/>
        </w:rPr>
      </w:pPr>
    </w:p>
    <w:p w14:paraId="57FFD25C" w14:textId="77777777" w:rsidR="00667B6C" w:rsidRPr="00667B6C" w:rsidRDefault="00667B6C" w:rsidP="00667B6C">
      <w:pPr>
        <w:spacing w:line="276" w:lineRule="auto"/>
        <w:ind w:left="1276" w:hanging="1276"/>
        <w:jc w:val="both"/>
        <w:rPr>
          <w:rFonts w:eastAsia="Times New Roman" w:cs="Times New Roman"/>
          <w:b/>
          <w:szCs w:val="24"/>
          <w:lang w:val="hr-HR"/>
        </w:rPr>
      </w:pPr>
      <w:r w:rsidRPr="00667B6C">
        <w:rPr>
          <w:rFonts w:eastAsia="Times New Roman" w:cs="Times New Roman"/>
          <w:b/>
          <w:szCs w:val="24"/>
          <w:lang w:val="hr-HR"/>
        </w:rPr>
        <w:t xml:space="preserve">PREDMET: </w:t>
      </w:r>
      <w:r w:rsidRPr="007335D5">
        <w:rPr>
          <w:rFonts w:eastAsia="Times New Roman" w:cs="Times New Roman"/>
          <w:szCs w:val="24"/>
          <w:lang w:val="hr-HR"/>
        </w:rPr>
        <w:t>O</w:t>
      </w:r>
      <w:r w:rsidR="007335D5" w:rsidRPr="007335D5">
        <w:rPr>
          <w:rFonts w:eastAsia="Times New Roman" w:cs="Times New Roman"/>
          <w:szCs w:val="24"/>
          <w:lang w:val="hr-HR"/>
        </w:rPr>
        <w:t>dluka</w:t>
      </w:r>
      <w:r w:rsidRPr="007335D5">
        <w:rPr>
          <w:rFonts w:eastAsia="Times New Roman" w:cs="Times New Roman"/>
          <w:szCs w:val="24"/>
          <w:lang w:val="hr-HR"/>
        </w:rPr>
        <w:t xml:space="preserve"> o dopuni Odluke o određivanju iznosa razlike između jediničnih cijena za centralne toplinske sustave i zatvorene toplinske sustave u odnosu na krajnje cijene isporučene toplinske energije</w:t>
      </w:r>
    </w:p>
    <w:p w14:paraId="57FFD25D" w14:textId="77777777" w:rsidR="00667B6C" w:rsidRPr="00667B6C" w:rsidRDefault="00667B6C" w:rsidP="00667B6C">
      <w:pPr>
        <w:pBdr>
          <w:bottom w:val="single" w:sz="4" w:space="1" w:color="auto"/>
        </w:pBdr>
        <w:rPr>
          <w:rFonts w:eastAsia="Times New Roman" w:cs="Times New Roman"/>
          <w:b/>
          <w:szCs w:val="24"/>
          <w:lang w:val="hr-HR"/>
        </w:rPr>
      </w:pPr>
    </w:p>
    <w:p w14:paraId="57FFD25E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5F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0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1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2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3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4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5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6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7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8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9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A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B" w14:textId="77777777" w:rsid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C" w14:textId="77777777" w:rsid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D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E" w14:textId="77777777" w:rsidR="00667B6C" w:rsidRPr="00667B6C" w:rsidRDefault="00667B6C" w:rsidP="00667B6C">
      <w:pPr>
        <w:rPr>
          <w:rFonts w:eastAsia="Times New Roman" w:cs="Times New Roman"/>
          <w:b/>
          <w:szCs w:val="24"/>
          <w:lang w:val="hr-HR"/>
        </w:rPr>
      </w:pPr>
    </w:p>
    <w:p w14:paraId="57FFD26F" w14:textId="77777777" w:rsidR="00667B6C" w:rsidRPr="00667B6C" w:rsidRDefault="00667B6C" w:rsidP="00667B6C">
      <w:pPr>
        <w:rPr>
          <w:rFonts w:eastAsia="Times New Roman" w:cs="Times New Roman"/>
          <w:szCs w:val="24"/>
          <w:lang w:val="hr-HR"/>
        </w:rPr>
      </w:pPr>
    </w:p>
    <w:p w14:paraId="57FFD270" w14:textId="77777777" w:rsidR="00667B6C" w:rsidRPr="00667B6C" w:rsidRDefault="00667B6C" w:rsidP="00667B6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color w:val="404040"/>
          <w:spacing w:val="20"/>
          <w:sz w:val="22"/>
          <w:lang w:val="hr-HR" w:eastAsia="hr-HR"/>
        </w:rPr>
      </w:pPr>
      <w:r w:rsidRPr="00667B6C">
        <w:rPr>
          <w:rFonts w:eastAsia="Times New Roman" w:cs="Times New Roman"/>
          <w:color w:val="404040"/>
          <w:spacing w:val="20"/>
          <w:sz w:val="22"/>
          <w:lang w:val="hr-HR" w:eastAsia="hr-HR"/>
        </w:rPr>
        <w:t>Banski dvori | Trg Sv. Marka 2  | 10000 Zagreb | tel. 01 4569 222 | vlada.gov.hr</w:t>
      </w:r>
    </w:p>
    <w:p w14:paraId="57FFD271" w14:textId="77777777" w:rsidR="00667B6C" w:rsidRPr="00CD56FB" w:rsidRDefault="00667B6C" w:rsidP="00CD56FB">
      <w:pPr>
        <w:spacing w:beforeAutospacing="1"/>
        <w:ind w:left="3540" w:firstLine="708"/>
        <w:rPr>
          <w:rFonts w:eastAsia="Times New Roman" w:cs="Times New Roman"/>
          <w:szCs w:val="24"/>
          <w:lang w:val="hr-HR" w:eastAsia="hr-HR"/>
        </w:rPr>
      </w:pPr>
      <w:r w:rsidRPr="00667B6C">
        <w:rPr>
          <w:rFonts w:eastAsia="Times New Roman" w:cs="Times New Roman"/>
          <w:b/>
          <w:szCs w:val="24"/>
          <w:lang w:val="hr-HR"/>
        </w:rPr>
        <w:t xml:space="preserve"> </w:t>
      </w:r>
    </w:p>
    <w:p w14:paraId="57FFD272" w14:textId="77777777" w:rsidR="00A12FF2" w:rsidRDefault="00A12FF2" w:rsidP="00870F5C">
      <w:pPr>
        <w:shd w:val="clear" w:color="auto" w:fill="FFFFFF"/>
        <w:spacing w:after="48"/>
        <w:jc w:val="center"/>
        <w:textAlignment w:val="baseline"/>
        <w:rPr>
          <w:rFonts w:eastAsia="Times New Roman" w:cs="Times New Roman"/>
          <w:b/>
          <w:bCs/>
          <w:caps/>
          <w:color w:val="231F20"/>
          <w:szCs w:val="24"/>
          <w:lang w:val="hr-HR"/>
        </w:rPr>
      </w:pP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lastRenderedPageBreak/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ab/>
      </w:r>
      <w:r w:rsidR="001C3ABE">
        <w:rPr>
          <w:rFonts w:eastAsia="Times New Roman" w:cs="Times New Roman"/>
          <w:b/>
          <w:bCs/>
          <w:caps/>
          <w:color w:val="231F20"/>
          <w:szCs w:val="24"/>
          <w:lang w:val="hr-HR"/>
        </w:rPr>
        <w:t xml:space="preserve">                                 </w:t>
      </w:r>
      <w:r>
        <w:rPr>
          <w:rFonts w:eastAsia="Times New Roman" w:cs="Times New Roman"/>
          <w:b/>
          <w:bCs/>
          <w:caps/>
          <w:color w:val="231F20"/>
          <w:szCs w:val="24"/>
          <w:lang w:val="hr-HR"/>
        </w:rPr>
        <w:t>PRIJEDLOG</w:t>
      </w:r>
    </w:p>
    <w:p w14:paraId="57FFD273" w14:textId="77777777" w:rsidR="00ED2C20" w:rsidRDefault="00ED2C20" w:rsidP="001C3ABE">
      <w:pPr>
        <w:shd w:val="clear" w:color="auto" w:fill="FFFFFF"/>
        <w:spacing w:after="48"/>
        <w:textAlignment w:val="baseline"/>
        <w:rPr>
          <w:rFonts w:eastAsia="Times New Roman" w:cs="Times New Roman"/>
          <w:b/>
          <w:bCs/>
          <w:color w:val="231F20"/>
          <w:sz w:val="22"/>
          <w:lang w:val="hr-HR"/>
        </w:rPr>
      </w:pPr>
    </w:p>
    <w:p w14:paraId="57FFD274" w14:textId="77777777" w:rsidR="00870F5C" w:rsidRPr="00870F5C" w:rsidRDefault="0047103C" w:rsidP="00CB2477">
      <w:pPr>
        <w:shd w:val="clear" w:color="auto" w:fill="FFFFFF"/>
        <w:spacing w:after="48"/>
        <w:jc w:val="both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>
        <w:rPr>
          <w:rFonts w:eastAsia="Times New Roman" w:cs="Times New Roman"/>
          <w:color w:val="231F20"/>
          <w:szCs w:val="24"/>
          <w:lang w:val="hr-HR"/>
        </w:rPr>
        <w:t xml:space="preserve">Na temelju </w:t>
      </w:r>
      <w:r w:rsidR="00E3207D">
        <w:rPr>
          <w:rFonts w:eastAsia="Times New Roman" w:cs="Times New Roman"/>
          <w:color w:val="231F20"/>
          <w:szCs w:val="24"/>
          <w:lang w:val="hr-HR"/>
        </w:rPr>
        <w:t>članka 31. stavka 2</w:t>
      </w:r>
      <w:r w:rsidR="002A6E16" w:rsidRPr="00870F5C">
        <w:rPr>
          <w:rFonts w:eastAsia="Times New Roman" w:cs="Times New Roman"/>
          <w:color w:val="231F20"/>
          <w:szCs w:val="24"/>
          <w:lang w:val="hr-HR"/>
        </w:rPr>
        <w:t xml:space="preserve">. </w:t>
      </w:r>
      <w:r w:rsidR="001C3ABE">
        <w:rPr>
          <w:rFonts w:eastAsia="Times New Roman" w:cs="Times New Roman"/>
          <w:color w:val="231F20"/>
          <w:szCs w:val="24"/>
          <w:lang w:val="hr-HR"/>
        </w:rPr>
        <w:t xml:space="preserve">Zakona o Vladi Republike Hrvatske </w:t>
      </w:r>
      <w:r w:rsidR="001C3ABE" w:rsidRPr="00870F5C">
        <w:rPr>
          <w:rFonts w:eastAsia="Times New Roman" w:cs="Times New Roman"/>
          <w:color w:val="231F20"/>
          <w:szCs w:val="24"/>
          <w:lang w:val="hr-HR"/>
        </w:rPr>
        <w:t>(</w:t>
      </w:r>
      <w:r w:rsidR="001C3ABE">
        <w:rPr>
          <w:rFonts w:eastAsia="Times New Roman" w:cs="Times New Roman"/>
          <w:color w:val="231F20"/>
          <w:szCs w:val="24"/>
          <w:lang w:val="hr-HR"/>
        </w:rPr>
        <w:t>„</w:t>
      </w:r>
      <w:r w:rsidR="001C3ABE" w:rsidRPr="00870F5C">
        <w:rPr>
          <w:rFonts w:eastAsia="Times New Roman" w:cs="Times New Roman"/>
          <w:color w:val="231F20"/>
          <w:szCs w:val="24"/>
          <w:lang w:val="hr-HR"/>
        </w:rPr>
        <w:t>Narodne novine</w:t>
      </w:r>
      <w:r w:rsidR="001C3ABE">
        <w:rPr>
          <w:rFonts w:eastAsia="Times New Roman" w:cs="Times New Roman"/>
          <w:color w:val="231F20"/>
          <w:szCs w:val="24"/>
          <w:lang w:val="hr-HR"/>
        </w:rPr>
        <w:t>“</w:t>
      </w:r>
      <w:r w:rsidR="001C3ABE" w:rsidRPr="00870F5C">
        <w:rPr>
          <w:rFonts w:eastAsia="Times New Roman" w:cs="Times New Roman"/>
          <w:color w:val="231F20"/>
          <w:szCs w:val="24"/>
          <w:lang w:val="hr-HR"/>
        </w:rPr>
        <w:t>, br</w:t>
      </w:r>
      <w:r w:rsidR="001C3ABE">
        <w:rPr>
          <w:rFonts w:eastAsia="Times New Roman" w:cs="Times New Roman"/>
          <w:color w:val="231F20"/>
          <w:szCs w:val="24"/>
          <w:lang w:val="hr-HR"/>
        </w:rPr>
        <w:t xml:space="preserve">oj 150/11, 119/14, 93/16, 116/18 i </w:t>
      </w:r>
      <w:r w:rsidR="001C3ABE" w:rsidRPr="001C3ABE">
        <w:rPr>
          <w:rFonts w:eastAsia="Times New Roman" w:cs="Times New Roman"/>
          <w:color w:val="231F20"/>
          <w:szCs w:val="24"/>
          <w:lang w:val="hr-HR"/>
        </w:rPr>
        <w:t xml:space="preserve"> 80/22</w:t>
      </w:r>
      <w:r w:rsidR="001C3ABE">
        <w:rPr>
          <w:rFonts w:eastAsia="Times New Roman" w:cs="Times New Roman"/>
          <w:color w:val="231F20"/>
          <w:szCs w:val="24"/>
          <w:lang w:val="hr-HR"/>
        </w:rPr>
        <w:t>)</w:t>
      </w:r>
      <w:r>
        <w:rPr>
          <w:rFonts w:eastAsia="Times New Roman" w:cs="Times New Roman"/>
          <w:color w:val="231F20"/>
          <w:szCs w:val="24"/>
          <w:lang w:val="hr-HR"/>
        </w:rPr>
        <w:t xml:space="preserve"> </w:t>
      </w:r>
      <w:r w:rsidR="002A6E16">
        <w:rPr>
          <w:rFonts w:eastAsia="Times New Roman" w:cs="Times New Roman"/>
          <w:color w:val="231F20"/>
          <w:szCs w:val="24"/>
          <w:lang w:val="hr-HR"/>
        </w:rPr>
        <w:t xml:space="preserve"> u vezi s</w:t>
      </w:r>
      <w:r w:rsidR="002A6E16" w:rsidRPr="002A6E16">
        <w:rPr>
          <w:rFonts w:eastAsia="Times New Roman" w:cs="Times New Roman"/>
          <w:color w:val="231F20"/>
          <w:szCs w:val="24"/>
          <w:lang w:val="hr-HR"/>
        </w:rPr>
        <w:t xml:space="preserve"> </w:t>
      </w:r>
      <w:r w:rsidR="002A6E16">
        <w:rPr>
          <w:rFonts w:eastAsia="Times New Roman" w:cs="Times New Roman"/>
          <w:color w:val="231F20"/>
          <w:szCs w:val="24"/>
          <w:lang w:val="hr-HR"/>
        </w:rPr>
        <w:t>člankom 11. stavkom 1</w:t>
      </w:r>
      <w:r w:rsidR="002A6E16" w:rsidRPr="00870F5C">
        <w:rPr>
          <w:rFonts w:eastAsia="Times New Roman" w:cs="Times New Roman"/>
          <w:color w:val="231F20"/>
          <w:szCs w:val="24"/>
          <w:lang w:val="hr-HR"/>
        </w:rPr>
        <w:t>. Uredbe o otklanjanju poremećaja na domaćem tržištu energije (</w:t>
      </w:r>
      <w:r w:rsidR="002A6E16">
        <w:rPr>
          <w:rFonts w:eastAsia="Times New Roman" w:cs="Times New Roman"/>
          <w:color w:val="231F20"/>
          <w:szCs w:val="24"/>
          <w:lang w:val="hr-HR"/>
        </w:rPr>
        <w:t>„</w:t>
      </w:r>
      <w:r w:rsidR="002A6E16" w:rsidRPr="00870F5C">
        <w:rPr>
          <w:rFonts w:eastAsia="Times New Roman" w:cs="Times New Roman"/>
          <w:color w:val="231F20"/>
          <w:szCs w:val="24"/>
          <w:lang w:val="hr-HR"/>
        </w:rPr>
        <w:t>Narodne novine</w:t>
      </w:r>
      <w:r w:rsidR="002A6E16">
        <w:rPr>
          <w:rFonts w:eastAsia="Times New Roman" w:cs="Times New Roman"/>
          <w:color w:val="231F20"/>
          <w:szCs w:val="24"/>
          <w:lang w:val="hr-HR"/>
        </w:rPr>
        <w:t>“</w:t>
      </w:r>
      <w:r w:rsidR="002A6E16" w:rsidRPr="00870F5C">
        <w:rPr>
          <w:rFonts w:eastAsia="Times New Roman" w:cs="Times New Roman"/>
          <w:color w:val="231F20"/>
          <w:szCs w:val="24"/>
          <w:lang w:val="hr-HR"/>
        </w:rPr>
        <w:t>, br</w:t>
      </w:r>
      <w:r w:rsidR="002A6E16">
        <w:rPr>
          <w:rFonts w:eastAsia="Times New Roman" w:cs="Times New Roman"/>
          <w:color w:val="231F20"/>
          <w:szCs w:val="24"/>
          <w:lang w:val="hr-HR"/>
        </w:rPr>
        <w:t>oj 31/23</w:t>
      </w:r>
      <w:r w:rsidR="002A6E16" w:rsidRPr="00870F5C">
        <w:rPr>
          <w:rFonts w:eastAsia="Times New Roman" w:cs="Times New Roman"/>
          <w:color w:val="231F20"/>
          <w:szCs w:val="24"/>
          <w:lang w:val="hr-HR"/>
        </w:rPr>
        <w:t>)</w:t>
      </w:r>
      <w:r w:rsidR="002A6E16">
        <w:rPr>
          <w:rFonts w:eastAsia="Times New Roman" w:cs="Times New Roman"/>
          <w:color w:val="231F20"/>
          <w:szCs w:val="24"/>
          <w:lang w:val="hr-HR"/>
        </w:rPr>
        <w:t xml:space="preserve">  </w:t>
      </w:r>
      <w:r w:rsidR="00870F5C" w:rsidRPr="00870F5C">
        <w:rPr>
          <w:rFonts w:eastAsia="Times New Roman" w:cs="Times New Roman"/>
          <w:color w:val="231F20"/>
          <w:szCs w:val="24"/>
          <w:lang w:val="hr-HR"/>
        </w:rPr>
        <w:t>Vlada Republike Hr</w:t>
      </w:r>
      <w:r w:rsidR="00567D6D">
        <w:rPr>
          <w:rFonts w:eastAsia="Times New Roman" w:cs="Times New Roman"/>
          <w:color w:val="231F20"/>
          <w:szCs w:val="24"/>
          <w:lang w:val="hr-HR"/>
        </w:rPr>
        <w:t xml:space="preserve">vatske je na sjednici održanoj </w:t>
      </w:r>
      <w:r w:rsidR="006F56EB">
        <w:rPr>
          <w:rFonts w:eastAsia="Times New Roman" w:cs="Times New Roman"/>
          <w:color w:val="231F20"/>
          <w:szCs w:val="24"/>
          <w:lang w:val="hr-HR"/>
        </w:rPr>
        <w:t>_________</w:t>
      </w:r>
      <w:r w:rsidR="00870F5C" w:rsidRPr="00870F5C">
        <w:rPr>
          <w:rFonts w:eastAsia="Times New Roman" w:cs="Times New Roman"/>
          <w:color w:val="231F20"/>
          <w:szCs w:val="24"/>
          <w:lang w:val="hr-HR"/>
        </w:rPr>
        <w:t xml:space="preserve"> 2023. donijela</w:t>
      </w:r>
    </w:p>
    <w:p w14:paraId="57FFD275" w14:textId="77777777" w:rsidR="001C3ABE" w:rsidRDefault="001C3ABE" w:rsidP="00E9458A">
      <w:pPr>
        <w:shd w:val="clear" w:color="auto" w:fill="FFFFFF"/>
        <w:spacing w:before="153"/>
        <w:textAlignment w:val="baseline"/>
        <w:rPr>
          <w:rFonts w:eastAsia="Times New Roman" w:cs="Times New Roman"/>
          <w:b/>
          <w:bCs/>
          <w:color w:val="231F20"/>
          <w:sz w:val="38"/>
          <w:szCs w:val="38"/>
          <w:lang w:val="hr-HR"/>
        </w:rPr>
      </w:pPr>
    </w:p>
    <w:p w14:paraId="57FFD276" w14:textId="77777777" w:rsidR="00ED2C20" w:rsidRPr="001C3ABE" w:rsidRDefault="00870F5C" w:rsidP="00ED2C20">
      <w:pPr>
        <w:shd w:val="clear" w:color="auto" w:fill="FFFFFF"/>
        <w:spacing w:before="153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val="hr-HR"/>
        </w:rPr>
      </w:pPr>
      <w:r w:rsidRPr="001C3ABE">
        <w:rPr>
          <w:rFonts w:eastAsia="Times New Roman" w:cs="Times New Roman"/>
          <w:b/>
          <w:bCs/>
          <w:color w:val="231F20"/>
          <w:szCs w:val="24"/>
          <w:lang w:val="hr-HR"/>
        </w:rPr>
        <w:t>ODLUKU</w:t>
      </w:r>
    </w:p>
    <w:p w14:paraId="57FFD277" w14:textId="77777777" w:rsidR="006F56EB" w:rsidRPr="001C3ABE" w:rsidRDefault="006F56EB" w:rsidP="006F56EB">
      <w:pPr>
        <w:shd w:val="clear" w:color="auto" w:fill="FFFFFF"/>
        <w:spacing w:before="68" w:after="72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val="hr-HR"/>
        </w:rPr>
      </w:pPr>
      <w:r w:rsidRPr="001C3ABE">
        <w:rPr>
          <w:rFonts w:eastAsia="Times New Roman" w:cs="Times New Roman"/>
          <w:b/>
          <w:bCs/>
          <w:color w:val="231F20"/>
          <w:szCs w:val="24"/>
          <w:lang w:val="hr-HR"/>
        </w:rPr>
        <w:t xml:space="preserve">O </w:t>
      </w:r>
      <w:r w:rsidR="00BC06DC">
        <w:rPr>
          <w:rFonts w:eastAsia="Times New Roman" w:cs="Times New Roman"/>
          <w:b/>
          <w:bCs/>
          <w:color w:val="231F20"/>
          <w:szCs w:val="24"/>
          <w:lang w:val="hr-HR"/>
        </w:rPr>
        <w:t>DOPUNI</w:t>
      </w:r>
      <w:r w:rsidRPr="001C3ABE">
        <w:rPr>
          <w:rFonts w:eastAsia="Times New Roman" w:cs="Times New Roman"/>
          <w:b/>
          <w:bCs/>
          <w:color w:val="231F20"/>
          <w:szCs w:val="24"/>
          <w:lang w:val="hr-HR"/>
        </w:rPr>
        <w:t xml:space="preserve"> ODLUKE</w:t>
      </w:r>
    </w:p>
    <w:p w14:paraId="57FFD278" w14:textId="77777777" w:rsidR="00870F5C" w:rsidRPr="001C3ABE" w:rsidRDefault="00870F5C" w:rsidP="00870F5C">
      <w:pPr>
        <w:shd w:val="clear" w:color="auto" w:fill="FFFFFF"/>
        <w:spacing w:before="68" w:after="72"/>
        <w:jc w:val="center"/>
        <w:textAlignment w:val="baseline"/>
        <w:rPr>
          <w:rFonts w:eastAsia="Times New Roman" w:cs="Times New Roman"/>
          <w:b/>
          <w:bCs/>
          <w:color w:val="231F20"/>
          <w:szCs w:val="24"/>
          <w:lang w:val="hr-HR"/>
        </w:rPr>
      </w:pPr>
      <w:bookmarkStart w:id="1" w:name="_Hlk131064759"/>
      <w:r w:rsidRPr="001C3ABE">
        <w:rPr>
          <w:rFonts w:eastAsia="Times New Roman" w:cs="Times New Roman"/>
          <w:b/>
          <w:bCs/>
          <w:color w:val="231F20"/>
          <w:szCs w:val="24"/>
          <w:lang w:val="hr-HR"/>
        </w:rPr>
        <w:t>O ODREĐIVANJU IZNOSA RAZLIKE IZMEĐU JEDINIČNIH CIJENA ZA CENTRALNE TOPLINSKE SUSTAVE I ZATVORENE TOPLINSKE SUSTAVE U ODNOSU NA KRAJNJE CIJENE ISPORUČENE TOPLINSKE ENERGIJE</w:t>
      </w:r>
    </w:p>
    <w:p w14:paraId="57FFD279" w14:textId="77777777" w:rsidR="001C3ABE" w:rsidRDefault="001C3ABE" w:rsidP="00E9458A">
      <w:pPr>
        <w:shd w:val="clear" w:color="auto" w:fill="FFFFFF"/>
        <w:spacing w:before="68" w:after="72"/>
        <w:textAlignment w:val="baseline"/>
        <w:rPr>
          <w:rFonts w:eastAsia="Times New Roman" w:cs="Times New Roman"/>
          <w:b/>
          <w:bCs/>
          <w:color w:val="231F20"/>
          <w:sz w:val="29"/>
          <w:szCs w:val="29"/>
          <w:lang w:val="hr-HR"/>
        </w:rPr>
      </w:pPr>
    </w:p>
    <w:bookmarkEnd w:id="1"/>
    <w:p w14:paraId="57FFD27A" w14:textId="77777777" w:rsidR="00870F5C" w:rsidRPr="006F150F" w:rsidRDefault="00A74E58" w:rsidP="00870F5C">
      <w:pPr>
        <w:shd w:val="clear" w:color="auto" w:fill="FFFFFF"/>
        <w:spacing w:before="34" w:after="48"/>
        <w:jc w:val="center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>
        <w:rPr>
          <w:rFonts w:eastAsia="Times New Roman" w:cs="Times New Roman"/>
          <w:color w:val="231F20"/>
          <w:szCs w:val="24"/>
          <w:lang w:val="hr-HR"/>
        </w:rPr>
        <w:t>I</w:t>
      </w:r>
      <w:r w:rsidR="006F150F" w:rsidRPr="006F150F">
        <w:rPr>
          <w:rFonts w:eastAsia="Times New Roman" w:cs="Times New Roman"/>
          <w:color w:val="231F20"/>
          <w:szCs w:val="24"/>
          <w:lang w:val="hr-HR"/>
        </w:rPr>
        <w:t>.</w:t>
      </w:r>
    </w:p>
    <w:p w14:paraId="57FFD27B" w14:textId="77777777" w:rsidR="000268E1" w:rsidRDefault="000268E1" w:rsidP="006F56EB">
      <w:pPr>
        <w:shd w:val="clear" w:color="auto" w:fill="FFFFFF"/>
        <w:spacing w:after="48"/>
        <w:jc w:val="both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7C" w14:textId="77777777" w:rsidR="00870F5C" w:rsidRDefault="006F56EB" w:rsidP="00E9458A">
      <w:pPr>
        <w:shd w:val="clear" w:color="auto" w:fill="FFFFFF"/>
        <w:spacing w:after="48"/>
        <w:ind w:firstLine="720"/>
        <w:jc w:val="both"/>
        <w:textAlignment w:val="baseline"/>
        <w:rPr>
          <w:rFonts w:eastAsia="Times New Roman" w:cs="Times New Roman"/>
          <w:szCs w:val="24"/>
          <w:lang w:val="hr-HR"/>
        </w:rPr>
      </w:pPr>
      <w:r w:rsidRPr="001C3ABE">
        <w:rPr>
          <w:rFonts w:eastAsia="Times New Roman" w:cs="Times New Roman"/>
          <w:szCs w:val="24"/>
          <w:lang w:val="hr-HR"/>
        </w:rPr>
        <w:t xml:space="preserve">U </w:t>
      </w:r>
      <w:bookmarkStart w:id="2" w:name="_Hlk131065667"/>
      <w:r w:rsidRPr="001C3ABE">
        <w:rPr>
          <w:rFonts w:eastAsia="Times New Roman" w:cs="Times New Roman"/>
          <w:szCs w:val="24"/>
          <w:lang w:val="hr-HR"/>
        </w:rPr>
        <w:t>Odluci</w:t>
      </w:r>
      <w:r w:rsidRPr="001C3ABE">
        <w:t xml:space="preserve"> </w:t>
      </w:r>
      <w:r w:rsidRPr="001C3ABE">
        <w:rPr>
          <w:rFonts w:eastAsia="Times New Roman" w:cs="Times New Roman"/>
          <w:szCs w:val="24"/>
          <w:lang w:val="hr-HR"/>
        </w:rPr>
        <w:t xml:space="preserve">o određivanju iznosa razlike između jediničnih cijena za centralne toplinske sustave i zatvorene toplinske sustave u odnosu na krajnje cijene isporučene toplinske energije </w:t>
      </w:r>
      <w:bookmarkEnd w:id="2"/>
      <w:r w:rsidRPr="001C3ABE">
        <w:rPr>
          <w:rFonts w:eastAsia="Times New Roman" w:cs="Times New Roman"/>
          <w:szCs w:val="24"/>
          <w:lang w:val="hr-HR"/>
        </w:rPr>
        <w:t xml:space="preserve">(„Narodne novine“, broj 28/23), </w:t>
      </w:r>
      <w:bookmarkStart w:id="3" w:name="_Hlk131065535"/>
      <w:r w:rsidR="00BC06DC">
        <w:rPr>
          <w:rFonts w:eastAsia="Times New Roman" w:cs="Times New Roman"/>
          <w:szCs w:val="24"/>
          <w:lang w:val="hr-HR"/>
        </w:rPr>
        <w:t xml:space="preserve">iza </w:t>
      </w:r>
      <w:r w:rsidRPr="001C3ABE">
        <w:rPr>
          <w:rFonts w:eastAsia="Times New Roman" w:cs="Times New Roman"/>
          <w:szCs w:val="24"/>
          <w:lang w:val="hr-HR"/>
        </w:rPr>
        <w:t xml:space="preserve"> </w:t>
      </w:r>
      <w:r w:rsidR="00BC06DC">
        <w:rPr>
          <w:rFonts w:eastAsia="Times New Roman" w:cs="Times New Roman"/>
          <w:szCs w:val="24"/>
          <w:lang w:val="hr-HR"/>
        </w:rPr>
        <w:t xml:space="preserve">točke </w:t>
      </w:r>
      <w:r w:rsidRPr="001C3ABE">
        <w:rPr>
          <w:rFonts w:eastAsia="Times New Roman" w:cs="Times New Roman"/>
          <w:szCs w:val="24"/>
          <w:lang w:val="hr-HR"/>
        </w:rPr>
        <w:t>II.</w:t>
      </w:r>
      <w:r w:rsidR="00BC06DC">
        <w:rPr>
          <w:rFonts w:eastAsia="Times New Roman" w:cs="Times New Roman"/>
          <w:szCs w:val="24"/>
          <w:lang w:val="hr-HR"/>
        </w:rPr>
        <w:t xml:space="preserve"> dodaje se točka II. a koja glasi: </w:t>
      </w:r>
      <w:r w:rsidRPr="001C3ABE">
        <w:rPr>
          <w:rFonts w:eastAsia="Times New Roman" w:cs="Times New Roman"/>
          <w:szCs w:val="24"/>
          <w:lang w:val="hr-HR"/>
        </w:rPr>
        <w:t xml:space="preserve"> </w:t>
      </w:r>
    </w:p>
    <w:p w14:paraId="57FFD27D" w14:textId="77777777" w:rsidR="009524C5" w:rsidRDefault="009524C5" w:rsidP="006F56EB">
      <w:pPr>
        <w:shd w:val="clear" w:color="auto" w:fill="FFFFFF"/>
        <w:spacing w:after="48"/>
        <w:jc w:val="both"/>
        <w:textAlignment w:val="baseline"/>
        <w:rPr>
          <w:rFonts w:eastAsia="Times New Roman" w:cs="Times New Roman"/>
          <w:szCs w:val="24"/>
          <w:lang w:val="hr-HR"/>
        </w:rPr>
      </w:pPr>
    </w:p>
    <w:p w14:paraId="57FFD27E" w14:textId="77777777" w:rsidR="009524C5" w:rsidRPr="001C3ABE" w:rsidRDefault="009524C5" w:rsidP="00E9458A">
      <w:pPr>
        <w:shd w:val="clear" w:color="auto" w:fill="FFFFFF"/>
        <w:spacing w:after="48" w:line="480" w:lineRule="auto"/>
        <w:ind w:left="4320"/>
        <w:jc w:val="both"/>
        <w:textAlignment w:val="baseline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 xml:space="preserve">     </w:t>
      </w:r>
      <w:r w:rsidR="00E9458A">
        <w:rPr>
          <w:rFonts w:eastAsia="Times New Roman" w:cs="Times New Roman"/>
          <w:szCs w:val="24"/>
          <w:lang w:val="hr-HR"/>
        </w:rPr>
        <w:t>„</w:t>
      </w:r>
      <w:r>
        <w:rPr>
          <w:rFonts w:eastAsia="Times New Roman" w:cs="Times New Roman"/>
          <w:szCs w:val="24"/>
          <w:lang w:val="hr-HR"/>
        </w:rPr>
        <w:t xml:space="preserve"> II. a</w:t>
      </w:r>
    </w:p>
    <w:bookmarkEnd w:id="3"/>
    <w:p w14:paraId="57FFD27F" w14:textId="77777777" w:rsidR="006F150F" w:rsidRPr="001C3ABE" w:rsidRDefault="009524C5" w:rsidP="00E9458A">
      <w:pPr>
        <w:shd w:val="clear" w:color="auto" w:fill="FFFFFF"/>
        <w:spacing w:after="48"/>
        <w:ind w:firstLine="720"/>
        <w:jc w:val="both"/>
        <w:textAlignment w:val="baseline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Iznos razlike između jediničnih cijena u odnosu na krajnje cijene isporučene toplinske e</w:t>
      </w:r>
      <w:r w:rsidR="00567D6D">
        <w:rPr>
          <w:rFonts w:eastAsia="Times New Roman" w:cs="Times New Roman"/>
          <w:szCs w:val="24"/>
          <w:lang w:val="hr-HR"/>
        </w:rPr>
        <w:t xml:space="preserve">nergije iz točke I. ove Odluke </w:t>
      </w:r>
      <w:r>
        <w:rPr>
          <w:rFonts w:eastAsia="Times New Roman" w:cs="Times New Roman"/>
          <w:szCs w:val="24"/>
          <w:lang w:val="hr-HR"/>
        </w:rPr>
        <w:t>određuje se za energetski subjekt za centralne toplinske sustave za razdo</w:t>
      </w:r>
      <w:r w:rsidR="00E9458A">
        <w:rPr>
          <w:rFonts w:eastAsia="Times New Roman" w:cs="Times New Roman"/>
          <w:szCs w:val="24"/>
          <w:lang w:val="hr-HR"/>
        </w:rPr>
        <w:t>blje od 1. listopada 2022. do 30. rujna</w:t>
      </w:r>
      <w:r>
        <w:rPr>
          <w:rFonts w:eastAsia="Times New Roman" w:cs="Times New Roman"/>
          <w:szCs w:val="24"/>
          <w:lang w:val="hr-HR"/>
        </w:rPr>
        <w:t xml:space="preserve"> 2023. kako slijedi: </w:t>
      </w:r>
    </w:p>
    <w:p w14:paraId="57FFD280" w14:textId="77777777" w:rsidR="006F150F" w:rsidRPr="001C3ABE" w:rsidRDefault="006F150F" w:rsidP="006F150F">
      <w:pPr>
        <w:shd w:val="clear" w:color="auto" w:fill="FFFFFF"/>
        <w:spacing w:after="48"/>
        <w:jc w:val="both"/>
        <w:textAlignment w:val="baseline"/>
        <w:rPr>
          <w:rFonts w:eastAsia="Times New Roman" w:cs="Times New Roman"/>
          <w:szCs w:val="24"/>
          <w:lang w:val="hr-HR"/>
        </w:rPr>
      </w:pPr>
    </w:p>
    <w:tbl>
      <w:tblPr>
        <w:tblW w:w="11625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981"/>
        <w:gridCol w:w="1733"/>
        <w:gridCol w:w="21"/>
        <w:gridCol w:w="5809"/>
      </w:tblGrid>
      <w:tr w:rsidR="001C3ABE" w:rsidRPr="001C3ABE" w14:paraId="57FFD288" w14:textId="77777777" w:rsidTr="006F150F">
        <w:trPr>
          <w:trHeight w:val="603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1" w14:textId="77777777" w:rsidR="00870F5C" w:rsidRPr="001C3ABE" w:rsidRDefault="00870F5C" w:rsidP="00870F5C">
            <w:pPr>
              <w:jc w:val="center"/>
              <w:rPr>
                <w:rFonts w:ascii="Minion Pro" w:eastAsia="Times New Roman" w:hAnsi="Minion Pro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Energetski subjekt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2" w14:textId="77777777" w:rsidR="00870F5C" w:rsidRPr="001C3ABE" w:rsidRDefault="00870F5C" w:rsidP="00870F5C">
            <w:pPr>
              <w:jc w:val="center"/>
              <w:rPr>
                <w:rFonts w:ascii="Minion Pro" w:eastAsia="Times New Roman" w:hAnsi="Minion Pro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Centralni</w:t>
            </w: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br/>
              <w:t>toplinski sustav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3" w14:textId="77777777" w:rsidR="00870F5C" w:rsidRPr="001C3ABE" w:rsidRDefault="00870F5C" w:rsidP="00870F5C">
            <w:pPr>
              <w:jc w:val="center"/>
              <w:rPr>
                <w:rFonts w:ascii="Minion Pro" w:eastAsia="Times New Roman" w:hAnsi="Minion Pro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Tarifni model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FD284" w14:textId="77777777" w:rsidR="00870F5C" w:rsidRPr="001C3ABE" w:rsidRDefault="00870F5C" w:rsidP="00870F5C">
            <w:pPr>
              <w:jc w:val="center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5" w14:textId="77777777" w:rsidR="00870F5C" w:rsidRPr="001C3ABE" w:rsidRDefault="00870F5C" w:rsidP="00870F5C">
            <w:pPr>
              <w:jc w:val="center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Iznos razlike</w:t>
            </w: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br/>
            </w:r>
          </w:p>
          <w:p w14:paraId="57FFD286" w14:textId="77777777" w:rsidR="0087580B" w:rsidRPr="001C3ABE" w:rsidRDefault="0087580B" w:rsidP="00870F5C">
            <w:pPr>
              <w:jc w:val="center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(kn/t)</w:t>
            </w:r>
          </w:p>
          <w:p w14:paraId="57FFD287" w14:textId="77777777" w:rsidR="0087580B" w:rsidRPr="001C3ABE" w:rsidRDefault="0087580B" w:rsidP="00870F5C">
            <w:pPr>
              <w:jc w:val="center"/>
              <w:rPr>
                <w:rFonts w:ascii="Minion Pro" w:eastAsia="Times New Roman" w:hAnsi="Minion Pro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hr-HR"/>
              </w:rPr>
              <w:t>(EUR/t)</w:t>
            </w:r>
          </w:p>
        </w:tc>
      </w:tr>
      <w:tr w:rsidR="001C3ABE" w:rsidRPr="001C3ABE" w14:paraId="57FFD28F" w14:textId="77777777" w:rsidTr="006F150F">
        <w:trPr>
          <w:trHeight w:val="470"/>
        </w:trPr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9" w14:textId="77777777" w:rsidR="00870F5C" w:rsidRPr="001C3ABE" w:rsidRDefault="00870F5C" w:rsidP="00870F5C">
            <w:pPr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bookmarkStart w:id="4" w:name="_Hlk131065324"/>
            <w:bookmarkStart w:id="5" w:name="_Hlk131065381"/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HEP – Toplinarstvo d.o.o.</w:t>
            </w:r>
          </w:p>
          <w:p w14:paraId="57FFD28A" w14:textId="77777777" w:rsidR="00870F5C" w:rsidRPr="001C3ABE" w:rsidRDefault="00870F5C" w:rsidP="00870F5C">
            <w:pPr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Zagreb</w:t>
            </w:r>
            <w:bookmarkEnd w:id="4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B" w14:textId="77777777" w:rsidR="00870F5C" w:rsidRPr="001C3ABE" w:rsidRDefault="00870F5C" w:rsidP="00870F5C">
            <w:pPr>
              <w:rPr>
                <w:rFonts w:eastAsia="Times New Roman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val="hr-HR"/>
              </w:rPr>
              <w:t>ZAGREB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C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TM3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FD28D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8E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370,446</w:t>
            </w:r>
            <w:r w:rsidR="00ED6640"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0</w:t>
            </w: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 xml:space="preserve"> kn/t (49,1666 </w:t>
            </w:r>
            <w:r w:rsidR="00ED6640"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EUR/t</w:t>
            </w: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)</w:t>
            </w:r>
          </w:p>
        </w:tc>
      </w:tr>
      <w:tr w:rsidR="001C3ABE" w:rsidRPr="001C3ABE" w14:paraId="57FFD295" w14:textId="77777777" w:rsidTr="006F150F">
        <w:trPr>
          <w:trHeight w:val="578"/>
        </w:trPr>
        <w:tc>
          <w:tcPr>
            <w:tcW w:w="2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FFD290" w14:textId="77777777" w:rsidR="00870F5C" w:rsidRPr="001C3ABE" w:rsidRDefault="00870F5C" w:rsidP="00870F5C">
            <w:pPr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91" w14:textId="77777777" w:rsidR="00870F5C" w:rsidRPr="001C3ABE" w:rsidRDefault="00870F5C" w:rsidP="00870F5C">
            <w:pPr>
              <w:rPr>
                <w:rFonts w:eastAsia="Times New Roman" w:cs="Times New Roman"/>
                <w:sz w:val="22"/>
                <w:lang w:val="hr-HR"/>
              </w:rPr>
            </w:pPr>
            <w:r w:rsidRPr="001C3AB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val="hr-HR"/>
              </w:rPr>
              <w:t>OSIJEK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92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TM3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FD293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FD294" w14:textId="77777777" w:rsidR="00870F5C" w:rsidRPr="001C3ABE" w:rsidRDefault="00870F5C" w:rsidP="00870F5C">
            <w:pPr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</w:pP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180,7186 kn/t (23,9854</w:t>
            </w:r>
            <w:r w:rsidR="00ED6640"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EUR/t</w:t>
            </w:r>
            <w:r w:rsidRPr="001C3ABE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val="hr-HR"/>
              </w:rPr>
              <w:t>)</w:t>
            </w:r>
          </w:p>
        </w:tc>
      </w:tr>
      <w:bookmarkEnd w:id="5"/>
    </w:tbl>
    <w:p w14:paraId="57FFD296" w14:textId="77777777" w:rsidR="00870F5C" w:rsidRDefault="00870F5C" w:rsidP="00870F5C">
      <w:pPr>
        <w:rPr>
          <w:rFonts w:eastAsia="Times New Roman" w:cs="Times New Roman"/>
          <w:szCs w:val="24"/>
          <w:lang w:val="hr-HR"/>
        </w:rPr>
      </w:pPr>
    </w:p>
    <w:p w14:paraId="57FFD297" w14:textId="77777777" w:rsidR="000268E1" w:rsidRPr="00870F5C" w:rsidRDefault="000268E1" w:rsidP="006F150F">
      <w:pPr>
        <w:shd w:val="clear" w:color="auto" w:fill="FFFFFF"/>
        <w:spacing w:after="48"/>
        <w:jc w:val="both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98" w14:textId="77777777" w:rsidR="00870F5C" w:rsidRDefault="00E9458A" w:rsidP="00E9458A">
      <w:pPr>
        <w:shd w:val="clear" w:color="auto" w:fill="FFFFFF"/>
        <w:spacing w:before="34" w:after="48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>
        <w:rPr>
          <w:rFonts w:eastAsia="Times New Roman" w:cs="Times New Roman"/>
          <w:color w:val="231F20"/>
          <w:szCs w:val="24"/>
          <w:lang w:val="hr-HR"/>
        </w:rPr>
        <w:t xml:space="preserve">                                                                               </w:t>
      </w:r>
      <w:r w:rsidR="000268E1">
        <w:rPr>
          <w:rFonts w:eastAsia="Times New Roman" w:cs="Times New Roman"/>
          <w:color w:val="231F20"/>
          <w:szCs w:val="24"/>
          <w:lang w:val="hr-HR"/>
        </w:rPr>
        <w:t>II</w:t>
      </w:r>
      <w:r w:rsidR="006F150F">
        <w:rPr>
          <w:rFonts w:eastAsia="Times New Roman" w:cs="Times New Roman"/>
          <w:color w:val="231F20"/>
          <w:szCs w:val="24"/>
          <w:lang w:val="hr-HR"/>
        </w:rPr>
        <w:t>.</w:t>
      </w:r>
    </w:p>
    <w:p w14:paraId="57FFD299" w14:textId="77777777" w:rsidR="000268E1" w:rsidRDefault="000268E1" w:rsidP="00870F5C">
      <w:pPr>
        <w:shd w:val="clear" w:color="auto" w:fill="FFFFFF"/>
        <w:ind w:left="408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9A" w14:textId="77777777" w:rsidR="000268E1" w:rsidRDefault="000268E1" w:rsidP="00C51CA8">
      <w:pPr>
        <w:shd w:val="clear" w:color="auto" w:fill="FFFFFF"/>
        <w:jc w:val="both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>
        <w:rPr>
          <w:color w:val="231F20"/>
          <w:shd w:val="clear" w:color="auto" w:fill="FFFFFF"/>
        </w:rPr>
        <w:t xml:space="preserve">Ova Odluka </w:t>
      </w:r>
      <w:r w:rsidR="00567D6D">
        <w:rPr>
          <w:color w:val="231F20"/>
          <w:shd w:val="clear" w:color="auto" w:fill="FFFFFF"/>
        </w:rPr>
        <w:t xml:space="preserve">stupa na snagu </w:t>
      </w:r>
      <w:r w:rsidR="0087580B">
        <w:rPr>
          <w:color w:val="231F20"/>
          <w:shd w:val="clear" w:color="auto" w:fill="FFFFFF"/>
        </w:rPr>
        <w:t>prvoga</w:t>
      </w:r>
      <w:r>
        <w:rPr>
          <w:color w:val="231F20"/>
          <w:shd w:val="clear" w:color="auto" w:fill="FFFFFF"/>
        </w:rPr>
        <w:t xml:space="preserve"> dana od dana objave u “Narodnim novinama”.</w:t>
      </w:r>
    </w:p>
    <w:p w14:paraId="57FFD29B" w14:textId="77777777" w:rsidR="000268E1" w:rsidRDefault="000268E1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9C" w14:textId="77777777" w:rsidR="000268E1" w:rsidRDefault="000268E1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9D" w14:textId="77777777" w:rsidR="00870F5C" w:rsidRPr="00870F5C" w:rsidRDefault="00870F5C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 w:rsidRPr="00870F5C">
        <w:rPr>
          <w:rFonts w:eastAsia="Times New Roman" w:cs="Times New Roman"/>
          <w:color w:val="231F20"/>
          <w:szCs w:val="24"/>
          <w:lang w:val="hr-HR"/>
        </w:rPr>
        <w:t xml:space="preserve">Klasa: </w:t>
      </w:r>
    </w:p>
    <w:p w14:paraId="57FFD29E" w14:textId="77777777" w:rsidR="00870F5C" w:rsidRPr="00870F5C" w:rsidRDefault="00870F5C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 w:rsidRPr="00870F5C">
        <w:rPr>
          <w:rFonts w:eastAsia="Times New Roman" w:cs="Times New Roman"/>
          <w:color w:val="231F20"/>
          <w:szCs w:val="24"/>
          <w:lang w:val="hr-HR"/>
        </w:rPr>
        <w:t xml:space="preserve">Urbroj: </w:t>
      </w:r>
    </w:p>
    <w:p w14:paraId="57FFD29F" w14:textId="77777777" w:rsidR="00870F5C" w:rsidRDefault="00870F5C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 w:rsidRPr="00870F5C">
        <w:rPr>
          <w:rFonts w:eastAsia="Times New Roman" w:cs="Times New Roman"/>
          <w:color w:val="231F20"/>
          <w:szCs w:val="24"/>
          <w:lang w:val="hr-HR"/>
        </w:rPr>
        <w:t xml:space="preserve">Zagreb, </w:t>
      </w:r>
    </w:p>
    <w:p w14:paraId="57FFD2A0" w14:textId="77777777" w:rsidR="00BC5F52" w:rsidRPr="00870F5C" w:rsidRDefault="00BC5F52" w:rsidP="00BC5F52">
      <w:pPr>
        <w:shd w:val="clear" w:color="auto" w:fill="FFFFFF"/>
        <w:textAlignment w:val="baseline"/>
        <w:rPr>
          <w:rFonts w:eastAsia="Times New Roman" w:cs="Times New Roman"/>
          <w:color w:val="231F20"/>
          <w:szCs w:val="24"/>
          <w:lang w:val="hr-HR"/>
        </w:rPr>
      </w:pPr>
    </w:p>
    <w:p w14:paraId="57FFD2A1" w14:textId="77777777" w:rsidR="00684D48" w:rsidRPr="00DE3A5E" w:rsidRDefault="00870F5C" w:rsidP="00DE3A5E">
      <w:pPr>
        <w:shd w:val="clear" w:color="auto" w:fill="FFFFFF"/>
        <w:ind w:left="2712"/>
        <w:jc w:val="center"/>
        <w:textAlignment w:val="baseline"/>
        <w:rPr>
          <w:rFonts w:eastAsia="Times New Roman" w:cs="Times New Roman"/>
          <w:color w:val="231F20"/>
          <w:szCs w:val="24"/>
          <w:lang w:val="hr-HR"/>
        </w:rPr>
      </w:pPr>
      <w:r w:rsidRPr="00870F5C">
        <w:rPr>
          <w:rFonts w:eastAsia="Times New Roman" w:cs="Times New Roman"/>
          <w:color w:val="231F20"/>
          <w:szCs w:val="24"/>
          <w:lang w:val="hr-HR"/>
        </w:rPr>
        <w:t>Predsjednik</w:t>
      </w:r>
      <w:r w:rsidRPr="00870F5C">
        <w:rPr>
          <w:rFonts w:ascii="Minion Pro" w:eastAsia="Times New Roman" w:hAnsi="Minion Pro" w:cs="Times New Roman"/>
          <w:color w:val="231F20"/>
          <w:szCs w:val="24"/>
          <w:lang w:val="hr-HR"/>
        </w:rPr>
        <w:br/>
      </w:r>
      <w:r w:rsidR="00CE35D6">
        <w:rPr>
          <w:rFonts w:ascii="Minion Pro" w:eastAsia="Times New Roman" w:hAnsi="Minion Pro" w:cs="Times New Roman"/>
          <w:b/>
          <w:bCs/>
          <w:color w:val="231F20"/>
          <w:szCs w:val="24"/>
          <w:bdr w:val="none" w:sz="0" w:space="0" w:color="auto" w:frame="1"/>
          <w:lang w:val="hr-HR"/>
        </w:rPr>
        <w:t>mr. sc. Andrej Plenković</w:t>
      </w:r>
    </w:p>
    <w:p w14:paraId="57FFD2A2" w14:textId="77777777" w:rsidR="00684D48" w:rsidRDefault="00684D48" w:rsidP="00684D48">
      <w:pPr>
        <w:jc w:val="center"/>
        <w:rPr>
          <w:rFonts w:cs="Times New Roman"/>
          <w:b/>
          <w:bCs/>
          <w:szCs w:val="24"/>
        </w:rPr>
      </w:pPr>
    </w:p>
    <w:p w14:paraId="57FFD2A3" w14:textId="77777777" w:rsidR="00684D48" w:rsidRDefault="00684D48" w:rsidP="00684D48">
      <w:pPr>
        <w:jc w:val="center"/>
        <w:rPr>
          <w:rFonts w:cs="Times New Roman"/>
          <w:b/>
          <w:bCs/>
          <w:szCs w:val="24"/>
        </w:rPr>
      </w:pPr>
    </w:p>
    <w:p w14:paraId="57FFD2A4" w14:textId="77777777" w:rsidR="00684D48" w:rsidRDefault="00684D48" w:rsidP="00684D48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OBRAZLOŽENJE</w:t>
      </w:r>
    </w:p>
    <w:p w14:paraId="57FFD2A5" w14:textId="77777777" w:rsidR="00684D48" w:rsidRDefault="00684D48" w:rsidP="00684D48">
      <w:pPr>
        <w:jc w:val="center"/>
        <w:rPr>
          <w:rFonts w:cs="Times New Roman"/>
          <w:b/>
          <w:bCs/>
          <w:szCs w:val="24"/>
        </w:rPr>
      </w:pPr>
    </w:p>
    <w:p w14:paraId="57FFD2A6" w14:textId="77777777" w:rsidR="000C0CBA" w:rsidRDefault="00684D48" w:rsidP="000C0CBA">
      <w:pPr>
        <w:pStyle w:val="Default"/>
        <w:jc w:val="both"/>
      </w:pPr>
      <w:r w:rsidRPr="00C71F34">
        <w:rPr>
          <w:bCs/>
        </w:rPr>
        <w:t xml:space="preserve">U skladu s odredbama Uredbe o otklanjanju poremećaja na domaćem tržištu energije </w:t>
      </w:r>
      <w:r w:rsidRPr="00C71F34">
        <w:t>(„Narodne novine“, br. 104/22., 106/22., 121/22. i 156/22)</w:t>
      </w:r>
      <w:r w:rsidRPr="00C71F34">
        <w:rPr>
          <w:bCs/>
        </w:rPr>
        <w:t xml:space="preserve">, </w:t>
      </w:r>
      <w:r w:rsidR="00910DD8" w:rsidRPr="00C71F34">
        <w:rPr>
          <w:bCs/>
        </w:rPr>
        <w:t xml:space="preserve">donesena je </w:t>
      </w:r>
      <w:r w:rsidR="00910DD8" w:rsidRPr="00C71F34">
        <w:t>Odluka o određivanju iznosa razlike između jediničnih cijena za centralne toplinske sustave i zatvorene toplinske sustave u odnosu na krajnje cijene isporučene toplinske energije</w:t>
      </w:r>
      <w:r w:rsidR="00DE3A5E">
        <w:t>,</w:t>
      </w:r>
      <w:r w:rsidR="009D7289" w:rsidRPr="00C71F34">
        <w:t xml:space="preserve"> N</w:t>
      </w:r>
      <w:r w:rsidR="00DE3A5E">
        <w:t>arodne novine, broj</w:t>
      </w:r>
      <w:r w:rsidR="009D7289" w:rsidRPr="00C71F34">
        <w:t xml:space="preserve"> 28/23) u kojoj </w:t>
      </w:r>
      <w:r w:rsidR="009D7289" w:rsidRPr="00C71F34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za tarifni model TM3 nije određen iznos razlike </w:t>
      </w:r>
      <w:r w:rsidR="009D7289" w:rsidRPr="00C71F34">
        <w:t>između jediničnih cijena u odnosu na krajnje cijene isporučene toplinske energije za centralne toplinske sustave energetskog subjekta HEP-TOPLINARSTVO d.o.o.</w:t>
      </w:r>
    </w:p>
    <w:p w14:paraId="57FFD2A7" w14:textId="77777777" w:rsidR="000C0CBA" w:rsidRDefault="00910DD8" w:rsidP="000C0CBA">
      <w:pPr>
        <w:pStyle w:val="Default"/>
        <w:jc w:val="both"/>
      </w:pPr>
      <w:r w:rsidRPr="00C71F34">
        <w:t xml:space="preserve">U Odluci </w:t>
      </w:r>
      <w:r w:rsidR="00E37197" w:rsidRPr="00C71F34">
        <w:t>su</w:t>
      </w:r>
      <w:r w:rsidRPr="00C71F34">
        <w:t xml:space="preserve"> izostavljeni </w:t>
      </w:r>
      <w:r w:rsidR="009D7289" w:rsidRPr="00C71F34">
        <w:t xml:space="preserve">krajnji </w:t>
      </w:r>
      <w:r w:rsidRPr="00C71F34">
        <w:t xml:space="preserve">kupci u okviru tarife TM3 </w:t>
      </w:r>
      <w:r w:rsidR="00E37197" w:rsidRPr="00C71F34">
        <w:t xml:space="preserve">na centralnim toplinskim sustavima u Osijeku i Zagrebu </w:t>
      </w:r>
      <w:r w:rsidRPr="00C71F34">
        <w:t>koji zbog načina priključenja na mrežu imaju obračun izražen u EUR/t p</w:t>
      </w:r>
      <w:r w:rsidR="009D7289" w:rsidRPr="00C71F34">
        <w:t>ot</w:t>
      </w:r>
      <w:r w:rsidR="000B4399" w:rsidRPr="00C71F34">
        <w:t>rošene energije na priključku stoga</w:t>
      </w:r>
      <w:r w:rsidR="009D7289" w:rsidRPr="00C71F34">
        <w:t xml:space="preserve"> im je potrebno ispostaviti račune za isporučenu toplin</w:t>
      </w:r>
      <w:r w:rsidR="000B4399" w:rsidRPr="00C71F34">
        <w:t>sku energiju za ožujak 2023.</w:t>
      </w:r>
      <w:r w:rsidR="00DE3A5E">
        <w:t xml:space="preserve"> godine</w:t>
      </w:r>
      <w:r w:rsidR="000B4399" w:rsidRPr="00C71F34">
        <w:t xml:space="preserve"> </w:t>
      </w:r>
      <w:r w:rsidR="009D7289" w:rsidRPr="00C71F34">
        <w:t>bez umanjenja za navedenu razliku odnosno poštujući novu jediničnu cijenu za proizvodnju toplinske energije koju je donijela H</w:t>
      </w:r>
      <w:r w:rsidR="00DE3A5E">
        <w:t>rvatska energetska regulatorna agencija (u daljnjem tekstu: HERA)</w:t>
      </w:r>
      <w:r w:rsidR="009D7289" w:rsidRPr="00C71F34">
        <w:t xml:space="preserve"> Odlukom od 30. rujna 2022. temeljem čl</w:t>
      </w:r>
      <w:r w:rsidR="00DE3A5E">
        <w:t>anka</w:t>
      </w:r>
      <w:r w:rsidR="009D7289" w:rsidRPr="00C71F34">
        <w:t xml:space="preserve"> 4. st</w:t>
      </w:r>
      <w:r w:rsidR="00DE3A5E">
        <w:t>avka</w:t>
      </w:r>
      <w:r w:rsidR="009D7289" w:rsidRPr="00C71F34">
        <w:t xml:space="preserve"> 2. Uredbe o otklanjanju poremećaja na domaćem tržištu energije (N</w:t>
      </w:r>
      <w:r w:rsidR="00DE3A5E">
        <w:t xml:space="preserve">arodne novine, br. </w:t>
      </w:r>
      <w:r w:rsidR="009D7289" w:rsidRPr="00C71F34">
        <w:t xml:space="preserve"> 104/22, 106/22, 121/22 i 156/22).</w:t>
      </w:r>
    </w:p>
    <w:p w14:paraId="57FFD2A8" w14:textId="77777777" w:rsidR="000C0CBA" w:rsidRDefault="00B61E5D" w:rsidP="000C0CBA">
      <w:pPr>
        <w:pStyle w:val="Default"/>
        <w:jc w:val="both"/>
      </w:pPr>
      <w:r w:rsidRPr="00C71F34">
        <w:t xml:space="preserve">Krajnji kupci u okviru tarife TM3 na centralnim toplinskim sustavima u Osijeku i Zagrebu </w:t>
      </w:r>
      <w:r w:rsidR="009B72F8" w:rsidRPr="00C71F34">
        <w:t xml:space="preserve">kao što su </w:t>
      </w:r>
      <w:r w:rsidRPr="00C71F34">
        <w:t>osnovne škole, bolnice, srednje škole, fakulteti i trgovačka društva,</w:t>
      </w:r>
      <w:r w:rsidR="000B4399" w:rsidRPr="00C71F34">
        <w:t xml:space="preserve"> </w:t>
      </w:r>
      <w:r w:rsidR="009B72F8" w:rsidRPr="00C71F34">
        <w:t xml:space="preserve">spojeni </w:t>
      </w:r>
      <w:r w:rsidR="000B4399" w:rsidRPr="00C71F34">
        <w:t xml:space="preserve"> su </w:t>
      </w:r>
      <w:r w:rsidR="009B72F8" w:rsidRPr="00C71F34">
        <w:t>na</w:t>
      </w:r>
      <w:r w:rsidR="000B4399" w:rsidRPr="00C71F34">
        <w:t xml:space="preserve"> parovodnu mrežu (medij para), i</w:t>
      </w:r>
      <w:r w:rsidRPr="00C71F34">
        <w:t xml:space="preserve"> toplinsku energiju koriste za grijanje prostora i zagrijavanje potrošn</w:t>
      </w:r>
      <w:r w:rsidR="000B4399" w:rsidRPr="00C71F34">
        <w:t>j</w:t>
      </w:r>
      <w:r w:rsidRPr="00C71F34">
        <w:t>e tople vode</w:t>
      </w:r>
      <w:r w:rsidR="00DE3A5E">
        <w:t xml:space="preserve"> </w:t>
      </w:r>
      <w:r w:rsidR="00C20F85">
        <w:t xml:space="preserve"> i </w:t>
      </w:r>
      <w:r w:rsidR="00910DD8" w:rsidRPr="00C71F34">
        <w:t>predstavljaju istovjetnu kategoriju</w:t>
      </w:r>
      <w:r w:rsidR="00F50B1F" w:rsidRPr="00C71F34">
        <w:t xml:space="preserve"> kupaca iz </w:t>
      </w:r>
      <w:r w:rsidR="00910DD8" w:rsidRPr="00C71F34">
        <w:t>tarifnih stavki</w:t>
      </w:r>
      <w:r w:rsidR="00F50B1F" w:rsidRPr="00C71F34">
        <w:t xml:space="preserve"> TM2</w:t>
      </w:r>
      <w:r w:rsidR="009B72F8" w:rsidRPr="00C71F34">
        <w:t xml:space="preserve"> koji su spojeni su na vrelovodnu mrežu (medij vrela voda).</w:t>
      </w:r>
    </w:p>
    <w:p w14:paraId="57FFD2A9" w14:textId="77777777" w:rsidR="000C0CBA" w:rsidRDefault="000B4399" w:rsidP="000C0CBA">
      <w:pPr>
        <w:pStyle w:val="Default"/>
        <w:jc w:val="both"/>
      </w:pPr>
      <w:r w:rsidRPr="00C71F34">
        <w:t>Sukladno Odluci HERA-e od 30. rujna 2022. jedinična cijena proizvodnje toplinske energije u centralnom toplinskom sustavu grada Zagreba za tarifni model TM3 porasla je s 30,8650 €/t na 77,1564 €/t, što čini porast od 149,98%, dok je cijena u centralnom toplinskom sustavu grada Osijeka za tarifni model TM3 porasla s 27,5111 €/t na 52,6635 €/t, što čini porast od 91,43%.</w:t>
      </w:r>
    </w:p>
    <w:p w14:paraId="57FFD2AA" w14:textId="77777777" w:rsidR="000C0CBA" w:rsidRDefault="00DE3A5E" w:rsidP="000C0CBA">
      <w:pPr>
        <w:pStyle w:val="Default"/>
        <w:jc w:val="both"/>
        <w:rPr>
          <w:b/>
        </w:rPr>
      </w:pPr>
      <w:r w:rsidRPr="00323147">
        <w:t>Uredbom</w:t>
      </w:r>
      <w:r w:rsidR="00323147" w:rsidRPr="00323147">
        <w:t xml:space="preserve"> </w:t>
      </w:r>
      <w:r w:rsidR="00323147" w:rsidRPr="00323147">
        <w:rPr>
          <w:rFonts w:eastAsia="Times New Roman"/>
          <w:color w:val="auto"/>
        </w:rPr>
        <w:t xml:space="preserve">o otklanjanju poremećaja na domaćem tržištu energije („Narodne novine“, broj 31/23) </w:t>
      </w:r>
      <w:r w:rsidR="00323147" w:rsidRPr="00323147">
        <w:t>člankom 11. stavkom 1. produljeno je važenje Odluke  o određivanju iznosa razlike između jediničnih cijena za centralne toplinske sustave i zatvorene toplinske sustave u odnosu na krajnje cijene isporučene toplinske energije</w:t>
      </w:r>
      <w:r w:rsidR="00C20F85">
        <w:rPr>
          <w:b/>
        </w:rPr>
        <w:t xml:space="preserve"> (</w:t>
      </w:r>
      <w:r w:rsidR="00323147" w:rsidRPr="00323147">
        <w:t>Narodne novine, broj 28/23)</w:t>
      </w:r>
      <w:r w:rsidR="00DB5054">
        <w:t xml:space="preserve"> do donošenja</w:t>
      </w:r>
      <w:r w:rsidR="00323147" w:rsidRPr="00323147">
        <w:t xml:space="preserve"> nove odluke koju je potrebno donijeti do 31.</w:t>
      </w:r>
      <w:r w:rsidR="00323147">
        <w:rPr>
          <w:b/>
        </w:rPr>
        <w:t xml:space="preserve"> </w:t>
      </w:r>
      <w:r w:rsidR="00323147" w:rsidRPr="000C0CBA">
        <w:t>listopada 2023.</w:t>
      </w:r>
      <w:r w:rsidR="00C20F85" w:rsidRPr="000C0CBA">
        <w:t>godine.</w:t>
      </w:r>
    </w:p>
    <w:p w14:paraId="57FFD2AB" w14:textId="77777777" w:rsidR="00401405" w:rsidRPr="000C0CBA" w:rsidRDefault="000B4399" w:rsidP="000C0CBA">
      <w:pPr>
        <w:pStyle w:val="Default"/>
        <w:jc w:val="both"/>
      </w:pPr>
      <w:r w:rsidRPr="00C71F34">
        <w:t xml:space="preserve">Kako bi svi </w:t>
      </w:r>
      <w:r w:rsidR="00B61E5D" w:rsidRPr="00C71F34">
        <w:t>krajnji kupci koji toplinsku energiju koriste za grijanje prostora i zagr</w:t>
      </w:r>
      <w:r w:rsidRPr="00C71F34">
        <w:t>ijavanje potrošne tople vode</w:t>
      </w:r>
      <w:r w:rsidR="00DE3A5E">
        <w:t xml:space="preserve"> </w:t>
      </w:r>
      <w:r w:rsidRPr="00C71F34">
        <w:rPr>
          <w:rStyle w:val="BodytextBold"/>
          <w:rFonts w:ascii="Times New Roman" w:hAnsi="Times New Roman" w:cs="Times New Roman"/>
          <w:b w:val="0"/>
          <w:sz w:val="24"/>
          <w:szCs w:val="24"/>
        </w:rPr>
        <w:t>bil</w:t>
      </w:r>
      <w:r w:rsidR="00B61E5D" w:rsidRPr="00C71F34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i subvencionirani </w:t>
      </w:r>
      <w:r w:rsidRPr="00C71F34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neovisno o priključku te </w:t>
      </w:r>
      <w:r w:rsidRPr="00C71F34">
        <w:t>k</w:t>
      </w:r>
      <w:r w:rsidR="00910DD8" w:rsidRPr="00C71F34">
        <w:t xml:space="preserve">ako bi se nadoknadila razlika u cijeni svim krajnjim kupcima iste kategorije potrebno je donijeti </w:t>
      </w:r>
      <w:r w:rsidR="00E37197" w:rsidRPr="00C71F34">
        <w:t>Odluk</w:t>
      </w:r>
      <w:r w:rsidR="00DE3A5E">
        <w:t>u o dopuni navedene Odluke</w:t>
      </w:r>
      <w:r w:rsidR="00E37197" w:rsidRPr="00C71F34">
        <w:t xml:space="preserve">. </w:t>
      </w:r>
    </w:p>
    <w:p w14:paraId="57FFD2AC" w14:textId="77777777" w:rsidR="00CF76AB" w:rsidRDefault="00CF76AB" w:rsidP="00910DD8">
      <w:pPr>
        <w:pStyle w:val="Default"/>
        <w:jc w:val="both"/>
      </w:pPr>
    </w:p>
    <w:p w14:paraId="57FFD2AD" w14:textId="77777777" w:rsidR="00CF76AB" w:rsidRDefault="00CF76AB" w:rsidP="00910DD8">
      <w:pPr>
        <w:pStyle w:val="Default"/>
        <w:jc w:val="both"/>
      </w:pPr>
    </w:p>
    <w:p w14:paraId="57FFD2AE" w14:textId="77777777" w:rsidR="00CF76AB" w:rsidRDefault="00CF76AB" w:rsidP="00910DD8">
      <w:pPr>
        <w:pStyle w:val="Default"/>
        <w:jc w:val="both"/>
      </w:pPr>
    </w:p>
    <w:p w14:paraId="57FFD2AF" w14:textId="77777777" w:rsidR="00CF76AB" w:rsidRDefault="00CF76AB" w:rsidP="00910DD8">
      <w:pPr>
        <w:pStyle w:val="Default"/>
        <w:jc w:val="both"/>
      </w:pPr>
    </w:p>
    <w:p w14:paraId="57FFD2B0" w14:textId="77777777" w:rsidR="00CF76AB" w:rsidRDefault="00CF76AB" w:rsidP="00910DD8">
      <w:pPr>
        <w:pStyle w:val="Default"/>
        <w:jc w:val="both"/>
      </w:pPr>
    </w:p>
    <w:p w14:paraId="57FFD2B1" w14:textId="77777777" w:rsidR="00CF4AA7" w:rsidRPr="00910DD8" w:rsidRDefault="00CF4AA7" w:rsidP="00CF4AA7">
      <w:pPr>
        <w:pStyle w:val="Default"/>
        <w:jc w:val="both"/>
        <w:rPr>
          <w:bCs/>
        </w:rPr>
      </w:pPr>
    </w:p>
    <w:sectPr w:rsidR="00CF4AA7" w:rsidRPr="00910DD8" w:rsidSect="00110046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D2B6" w14:textId="77777777" w:rsidR="00EB32AE" w:rsidRDefault="00EB32AE" w:rsidP="003007CE">
      <w:r>
        <w:separator/>
      </w:r>
    </w:p>
  </w:endnote>
  <w:endnote w:type="continuationSeparator" w:id="0">
    <w:p w14:paraId="57FFD2B7" w14:textId="77777777" w:rsidR="00EB32AE" w:rsidRDefault="00EB32AE" w:rsidP="0030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0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FD2B8" w14:textId="7FDF6450" w:rsidR="003007CE" w:rsidRDefault="00300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7FFD2B9" w14:textId="77777777" w:rsidR="003007CE" w:rsidRDefault="0030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D2B4" w14:textId="77777777" w:rsidR="00EB32AE" w:rsidRDefault="00EB32AE" w:rsidP="003007CE">
      <w:r>
        <w:separator/>
      </w:r>
    </w:p>
  </w:footnote>
  <w:footnote w:type="continuationSeparator" w:id="0">
    <w:p w14:paraId="57FFD2B5" w14:textId="77777777" w:rsidR="00EB32AE" w:rsidRDefault="00EB32AE" w:rsidP="0030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C"/>
    <w:rsid w:val="000268E1"/>
    <w:rsid w:val="000809E8"/>
    <w:rsid w:val="000B4399"/>
    <w:rsid w:val="000C0CBA"/>
    <w:rsid w:val="000C365B"/>
    <w:rsid w:val="00110046"/>
    <w:rsid w:val="00122D67"/>
    <w:rsid w:val="001C3ABE"/>
    <w:rsid w:val="0024560C"/>
    <w:rsid w:val="002A6E16"/>
    <w:rsid w:val="002C0752"/>
    <w:rsid w:val="003007CE"/>
    <w:rsid w:val="00323147"/>
    <w:rsid w:val="00392F63"/>
    <w:rsid w:val="003B45BB"/>
    <w:rsid w:val="00401405"/>
    <w:rsid w:val="00421566"/>
    <w:rsid w:val="0047103C"/>
    <w:rsid w:val="004B7305"/>
    <w:rsid w:val="00567D6D"/>
    <w:rsid w:val="005941E9"/>
    <w:rsid w:val="0063390E"/>
    <w:rsid w:val="00667B6C"/>
    <w:rsid w:val="00684D48"/>
    <w:rsid w:val="006B7FE5"/>
    <w:rsid w:val="006F150F"/>
    <w:rsid w:val="006F56EB"/>
    <w:rsid w:val="00707093"/>
    <w:rsid w:val="0072669F"/>
    <w:rsid w:val="007335D5"/>
    <w:rsid w:val="00743EED"/>
    <w:rsid w:val="007F3ACC"/>
    <w:rsid w:val="00832A9E"/>
    <w:rsid w:val="00870F5C"/>
    <w:rsid w:val="0087580B"/>
    <w:rsid w:val="008822B9"/>
    <w:rsid w:val="008942E6"/>
    <w:rsid w:val="008B0CC6"/>
    <w:rsid w:val="008C564B"/>
    <w:rsid w:val="00910DD8"/>
    <w:rsid w:val="00912EE8"/>
    <w:rsid w:val="009524C5"/>
    <w:rsid w:val="009A3ECD"/>
    <w:rsid w:val="009B72F8"/>
    <w:rsid w:val="009D7289"/>
    <w:rsid w:val="009E0658"/>
    <w:rsid w:val="009E2C9D"/>
    <w:rsid w:val="00A12FF2"/>
    <w:rsid w:val="00A42543"/>
    <w:rsid w:val="00A53C3B"/>
    <w:rsid w:val="00A70E1F"/>
    <w:rsid w:val="00A74E58"/>
    <w:rsid w:val="00B61E5D"/>
    <w:rsid w:val="00B71445"/>
    <w:rsid w:val="00B97431"/>
    <w:rsid w:val="00BC06DC"/>
    <w:rsid w:val="00BC5F52"/>
    <w:rsid w:val="00C05618"/>
    <w:rsid w:val="00C20F85"/>
    <w:rsid w:val="00C51CA8"/>
    <w:rsid w:val="00C71F34"/>
    <w:rsid w:val="00CB2477"/>
    <w:rsid w:val="00CD56FB"/>
    <w:rsid w:val="00CE35D6"/>
    <w:rsid w:val="00CF4AA7"/>
    <w:rsid w:val="00CF76AB"/>
    <w:rsid w:val="00DB5054"/>
    <w:rsid w:val="00DE3A5E"/>
    <w:rsid w:val="00E03B62"/>
    <w:rsid w:val="00E1739B"/>
    <w:rsid w:val="00E3207D"/>
    <w:rsid w:val="00E37197"/>
    <w:rsid w:val="00E9458A"/>
    <w:rsid w:val="00EB32AE"/>
    <w:rsid w:val="00ED2C20"/>
    <w:rsid w:val="00ED41A8"/>
    <w:rsid w:val="00ED6640"/>
    <w:rsid w:val="00EE48DB"/>
    <w:rsid w:val="00F211A6"/>
    <w:rsid w:val="00F25B76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D253"/>
  <w15:chartTrackingRefBased/>
  <w15:docId w15:val="{93135510-8A3B-4220-AFDF-0433233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4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3762">
    <w:name w:val="box_473762"/>
    <w:basedOn w:val="Normal"/>
    <w:rsid w:val="00870F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bold">
    <w:name w:val="bold"/>
    <w:basedOn w:val="DefaultParagraphFont"/>
    <w:rsid w:val="00870F5C"/>
  </w:style>
  <w:style w:type="paragraph" w:customStyle="1" w:styleId="t-9">
    <w:name w:val="t-9"/>
    <w:basedOn w:val="Normal"/>
    <w:rsid w:val="00870F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0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CE"/>
    <w:rPr>
      <w:rFonts w:ascii="Times New Roman" w:hAnsi="Times New Roman"/>
      <w:sz w:val="24"/>
    </w:rPr>
  </w:style>
  <w:style w:type="paragraph" w:customStyle="1" w:styleId="Default">
    <w:name w:val="Default"/>
    <w:uiPriority w:val="99"/>
    <w:semiHidden/>
    <w:rsid w:val="00684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Bodytext">
    <w:name w:val="Body text_"/>
    <w:basedOn w:val="DefaultParagraphFont"/>
    <w:link w:val="Tijeloteksta1"/>
    <w:rsid w:val="00CF76A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CF76A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r-HR"/>
    </w:rPr>
  </w:style>
  <w:style w:type="paragraph" w:customStyle="1" w:styleId="Tijeloteksta1">
    <w:name w:val="Tijelo teksta1"/>
    <w:basedOn w:val="Normal"/>
    <w:link w:val="Bodytext"/>
    <w:rsid w:val="00CF76AB"/>
    <w:pPr>
      <w:widowControl w:val="0"/>
      <w:shd w:val="clear" w:color="auto" w:fill="FFFFFF"/>
      <w:spacing w:after="120" w:line="230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Bodytext7">
    <w:name w:val="Body text (7)_"/>
    <w:basedOn w:val="DefaultParagraphFont"/>
    <w:link w:val="Bodytext70"/>
    <w:rsid w:val="00CF76AB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F76AB"/>
    <w:pPr>
      <w:widowControl w:val="0"/>
      <w:shd w:val="clear" w:color="auto" w:fill="FFFFFF"/>
      <w:spacing w:before="240" w:after="240" w:line="288" w:lineRule="exact"/>
      <w:ind w:hanging="1440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Bodytext4Exact">
    <w:name w:val="Body text (4) Exact"/>
    <w:basedOn w:val="DefaultParagraphFont"/>
    <w:link w:val="Bodytext4"/>
    <w:rsid w:val="00CF4AA7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CF4AA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AZJMDCZ6QSYZ-1849078857-26818</_dlc_DocId>
    <_dlc_DocIdUrl xmlns="a494813a-d0d8-4dad-94cb-0d196f36ba15">
      <Url>https://ekoordinacije.vlada.hr/koordinacija-gospodarstvo/_layouts/15/DocIdRedir.aspx?ID=AZJMDCZ6QSYZ-1849078857-26818</Url>
      <Description>AZJMDCZ6QSYZ-1849078857-26818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B1D6-AD6B-45CD-BA44-F895DA17B297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456BD2-363E-48D9-9991-8A1ACCBEC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08EA2-B9C8-4038-95CC-F6DEC50F0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29FEBA-B22F-47B4-AE80-B58929A33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1F6FE-6F50-44EB-8441-0DC6CBEE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Mustajbegović</dc:creator>
  <cp:keywords/>
  <dc:description/>
  <cp:lastModifiedBy>Sonja Tučkar</cp:lastModifiedBy>
  <cp:revision>5</cp:revision>
  <cp:lastPrinted>2023-04-12T11:07:00Z</cp:lastPrinted>
  <dcterms:created xsi:type="dcterms:W3CDTF">2023-04-12T11:15:00Z</dcterms:created>
  <dcterms:modified xsi:type="dcterms:W3CDTF">2023-04-18T10:45:00Z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6c3024fb-a1c7-44b8-be85-7db3c6fecc78</vt:lpwstr>
  </property>
</Properties>
</file>