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9B5D" w14:textId="77777777" w:rsidR="00FA0DF7" w:rsidRPr="00FA0DF7" w:rsidRDefault="00FA0DF7" w:rsidP="00FA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2E46C8" w14:textId="77777777" w:rsidR="00FA0DF7" w:rsidRPr="00FA0DF7" w:rsidRDefault="00FA0DF7" w:rsidP="00FA0D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  <w:t xml:space="preserve">   </w:t>
      </w:r>
      <w:r w:rsidRPr="00FA0DF7">
        <w:rPr>
          <w:rFonts w:ascii="Times New Roman" w:eastAsia="Times New Roman" w:hAnsi="Times New Roman" w:cs="Times New Roman"/>
          <w:b/>
          <w:bCs/>
          <w:noProof/>
          <w:spacing w:val="6"/>
          <w:sz w:val="24"/>
          <w:szCs w:val="24"/>
        </w:rPr>
        <w:drawing>
          <wp:inline distT="0" distB="0" distL="0" distR="0" wp14:anchorId="1B1D3A51" wp14:editId="4B52FDCE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E3435" w14:textId="77777777" w:rsidR="00FA0DF7" w:rsidRPr="00FA0DF7" w:rsidRDefault="00FA0DF7" w:rsidP="00FA0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05AF05" w14:textId="77777777" w:rsidR="00FA0DF7" w:rsidRPr="00FA0DF7" w:rsidRDefault="00FA0DF7" w:rsidP="00FA0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0A181D86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5A3154D3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9016DE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FCA11EB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1E6B52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07E182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632553" w14:textId="77777777" w:rsidR="00FA0DF7" w:rsidRPr="00FA0DF7" w:rsidRDefault="00FA0DF7" w:rsidP="00FA0DF7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9BA69D" w14:textId="6D5717C9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27</w:t>
      </w:r>
      <w:bookmarkStart w:id="0" w:name="_GoBack"/>
      <w:bookmarkEnd w:id="0"/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travnja 2023. </w:t>
      </w:r>
    </w:p>
    <w:p w14:paraId="5553971F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2D9620C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8931B68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8F55B3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D79A9C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952F968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F370777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D261D4B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A3EC7DF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869925" w14:textId="77777777" w:rsidR="00FA0DF7" w:rsidRPr="00FA0DF7" w:rsidRDefault="00FA0DF7" w:rsidP="00FA0D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ADDFD5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FA0DF7" w:rsidRPr="00FA0DF7" w14:paraId="1D2A278F" w14:textId="77777777" w:rsidTr="00AD4255">
        <w:tc>
          <w:tcPr>
            <w:tcW w:w="1951" w:type="dxa"/>
          </w:tcPr>
          <w:p w14:paraId="0470BB7C" w14:textId="77777777" w:rsidR="00FA0DF7" w:rsidRPr="00FA0DF7" w:rsidRDefault="00FA0DF7" w:rsidP="00FA0D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0D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3D53400" w14:textId="77777777" w:rsidR="00FA0DF7" w:rsidRPr="00FA0DF7" w:rsidRDefault="00FA0DF7" w:rsidP="00FA0D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0DF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F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5538C76E" w14:textId="77777777" w:rsidR="00FA0DF7" w:rsidRPr="00FA0DF7" w:rsidRDefault="00FA0DF7" w:rsidP="00FA0D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E47A24C" w14:textId="73AB3312" w:rsidR="00FA0DF7" w:rsidRPr="00FA0DF7" w:rsidRDefault="00FA0DF7" w:rsidP="00FA0D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0D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poljoprivrede</w:t>
            </w:r>
          </w:p>
        </w:tc>
      </w:tr>
    </w:tbl>
    <w:p w14:paraId="753C6CCB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14:paraId="2A268B67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p w14:paraId="23BEB860" w14:textId="3DE80EA6" w:rsidR="00FA0DF7" w:rsidRPr="00FA0DF7" w:rsidRDefault="00FA0DF7" w:rsidP="00FA0DF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t>Predmet</w:t>
      </w:r>
      <w:r w:rsidRPr="00FA0D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uredbe o financijskoj strukturi omotnice za program izravnih plaćanja u 2022. godini</w:t>
      </w:r>
    </w:p>
    <w:p w14:paraId="66B3F910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DF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14:paraId="2166D1E0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8E49E8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DB6005A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3869F0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45217C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4227148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60ABD4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FACA13C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B23DA2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F34A98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815B6C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99D0C89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F6B67E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C3C7A2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CE4CBF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630C62" w14:textId="77777777" w:rsidR="00FA0DF7" w:rsidRPr="00FA0DF7" w:rsidRDefault="00FA0DF7" w:rsidP="00FA0D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DEF302" w14:textId="77777777" w:rsidR="00FA0DF7" w:rsidRPr="00FA0DF7" w:rsidRDefault="00FA0DF7" w:rsidP="00FA0DF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0"/>
          <w:lang w:eastAsia="en-US"/>
        </w:rPr>
      </w:pPr>
      <w:r w:rsidRPr="00FA0DF7">
        <w:rPr>
          <w:rFonts w:ascii="Times New Roman" w:eastAsia="Calibri" w:hAnsi="Times New Roman" w:cs="Times New Roman"/>
          <w:spacing w:val="20"/>
          <w:lang w:eastAsia="en-US"/>
        </w:rPr>
        <w:t>Banski dvori | Trg Sv. Marka 2 | 10000 Zagreb | tel. 01 4569 222 | vlada.gov.hr</w:t>
      </w:r>
    </w:p>
    <w:p w14:paraId="25CF2CBC" w14:textId="736211EF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DCDB0" w14:textId="77777777" w:rsidR="00690D3C" w:rsidRPr="00690D3C" w:rsidRDefault="00690D3C" w:rsidP="00690D3C">
      <w:pPr>
        <w:spacing w:after="0"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0D3C">
        <w:rPr>
          <w:rFonts w:ascii="Times New Roman" w:eastAsiaTheme="minorHAnsi" w:hAnsi="Times New Roman" w:cs="Times New Roman"/>
          <w:sz w:val="24"/>
          <w:szCs w:val="24"/>
          <w:lang w:eastAsia="en-US"/>
        </w:rPr>
        <w:t>PRIJEDLOG</w:t>
      </w:r>
    </w:p>
    <w:p w14:paraId="02700B41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E2AFB" w14:textId="34E66D70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Zakona o poljoprivredi (</w:t>
      </w:r>
      <w:r w:rsidR="00D3060B" w:rsidRPr="00CA2004">
        <w:rPr>
          <w:rFonts w:ascii="Times New Roman" w:eastAsia="Times New Roman" w:hAnsi="Times New Roman" w:cs="Times New Roman"/>
          <w:sz w:val="24"/>
          <w:szCs w:val="24"/>
        </w:rPr>
        <w:t>Narodne novine, broj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2781" w:rsidRPr="00CA200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032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 xml:space="preserve"> 42/20</w:t>
      </w:r>
      <w:r w:rsidR="00E032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38B" w:rsidRPr="0089538B">
        <w:rPr>
          <w:rFonts w:ascii="Times New Roman" w:eastAsia="Times New Roman" w:hAnsi="Times New Roman" w:cs="Times New Roman"/>
          <w:sz w:val="24"/>
          <w:szCs w:val="24"/>
        </w:rPr>
        <w:t>, 127/20</w:t>
      </w:r>
      <w:r w:rsidR="00E032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38B" w:rsidRPr="0089538B">
        <w:rPr>
          <w:rFonts w:ascii="Times New Roman" w:eastAsia="Times New Roman" w:hAnsi="Times New Roman" w:cs="Times New Roman"/>
          <w:sz w:val="24"/>
          <w:szCs w:val="24"/>
        </w:rPr>
        <w:t xml:space="preserve"> – Odluka Ustavnog suda Republike Hrvatske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38B" w:rsidRPr="0089538B">
        <w:rPr>
          <w:rFonts w:ascii="Times New Roman" w:eastAsia="Times New Roman" w:hAnsi="Times New Roman" w:cs="Times New Roman"/>
          <w:sz w:val="24"/>
          <w:szCs w:val="24"/>
        </w:rPr>
        <w:t>52/21</w:t>
      </w:r>
      <w:r w:rsidR="00E032DD" w:rsidRPr="00630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ED0" w:rsidRPr="006301F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032DD" w:rsidRPr="00CB0006">
        <w:rPr>
          <w:rFonts w:ascii="Times New Roman" w:eastAsia="Times New Roman" w:hAnsi="Times New Roman" w:cs="Times New Roman"/>
          <w:sz w:val="24"/>
          <w:szCs w:val="24"/>
        </w:rPr>
        <w:t>152</w:t>
      </w:r>
      <w:r w:rsidR="00736ED0" w:rsidRPr="00CB0006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E032DD" w:rsidRPr="00CB00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), Vlada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Republike Hrvatske je na sjednici održanoj </w:t>
      </w:r>
      <w:r w:rsidR="00053807" w:rsidRPr="00CA200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C10A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857A5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4C239548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2CA8B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0F2BD" w14:textId="77777777" w:rsidR="006C4717" w:rsidRPr="00673DA8" w:rsidRDefault="006C4717" w:rsidP="00673DA8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D3060B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5E2D17FF" w14:textId="77777777" w:rsidR="00D3060B" w:rsidRPr="00673DA8" w:rsidRDefault="00D3060B" w:rsidP="00673DA8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E7B97" w14:textId="124C81B9" w:rsidR="006C4717" w:rsidRPr="00673DA8" w:rsidRDefault="00D3060B" w:rsidP="00673DA8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8504022"/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o financijskoj strukturi omotnice za</w:t>
      </w:r>
      <w:r w:rsidR="002C1762" w:rsidRPr="00673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38B" w:rsidRPr="00673DA8">
        <w:rPr>
          <w:rFonts w:ascii="Times New Roman" w:eastAsia="Times New Roman" w:hAnsi="Times New Roman" w:cs="Times New Roman"/>
          <w:b/>
          <w:sz w:val="24"/>
          <w:szCs w:val="24"/>
        </w:rPr>
        <w:t>program izravnih plaćanja u 202</w:t>
      </w:r>
      <w:r w:rsidR="00736ED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73DA8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bookmarkEnd w:id="1"/>
    <w:p w14:paraId="3BC217A8" w14:textId="77777777" w:rsidR="006C4717" w:rsidRPr="00CA2004" w:rsidRDefault="006C4717" w:rsidP="0067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25BCE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1.</w:t>
      </w:r>
    </w:p>
    <w:p w14:paraId="7B58A428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E86D3" w14:textId="2F0A097F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>Ovom se Uredbom utvrđuje financijska struktura omotnice za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program izravnih plaćanja u 202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koju čine sredstva Europskog fonda za jamstva u poljoprivredi </w:t>
      </w:r>
      <w:r w:rsidR="00E20F26" w:rsidRPr="00CA2004">
        <w:rPr>
          <w:rFonts w:ascii="Times New Roman" w:eastAsia="Times New Roman" w:hAnsi="Times New Roman" w:cs="Times New Roman"/>
          <w:sz w:val="24"/>
          <w:szCs w:val="24"/>
        </w:rPr>
        <w:t>(u daljnjem tekstu: EFJP)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A6FC88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2C9DE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2.</w:t>
      </w:r>
    </w:p>
    <w:p w14:paraId="4A772908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DFA83" w14:textId="77777777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>Ovom se Uredbom osigurava provedba sljedećih uredbi Europske unije:</w:t>
      </w:r>
    </w:p>
    <w:p w14:paraId="0E304EEE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0C40B" w14:textId="77777777" w:rsidR="006C4717" w:rsidRPr="00CA2004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4418" w:rsidRPr="00CA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Uredbe (EU) br. 1306/2013 Europskog parlamenta i Vijeća od 17. prosinca 2013. o financiranju, upravljanju i nadzoru zajedničke poljoprivredne politike i o stavljanju izvan snage uredaba Vijeća (EEZ) br. 352/78, (EZ) br. 165/94, (EZ) br. 2799/98, (EZ) br. 814/2000, (EZ) br. 1290/2005 i (EZ) 485/2008 (SL L 347, 20.12.2013.) (u daljnjem tekstu: Uredba (EU) br. 1306/2013)</w:t>
      </w:r>
    </w:p>
    <w:p w14:paraId="2B7DD40E" w14:textId="77777777" w:rsidR="00D3060B" w:rsidRPr="00CA2004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138DB" w14:textId="082F23C5" w:rsidR="000B088E" w:rsidRDefault="006C4717" w:rsidP="000B088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F4418" w:rsidRPr="00CA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</w:t>
      </w:r>
      <w:r w:rsidR="00D3060B" w:rsidRPr="00CA2004">
        <w:rPr>
          <w:rFonts w:ascii="Times New Roman" w:eastAsia="Times New Roman" w:hAnsi="Times New Roman" w:cs="Times New Roman"/>
          <w:sz w:val="24"/>
          <w:szCs w:val="24"/>
        </w:rPr>
        <w:t xml:space="preserve"> (EZ) br. 73/2009 (SL L 347, 20.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12.2013.)</w:t>
      </w:r>
      <w:r w:rsidR="00803A94" w:rsidRPr="00CA2004">
        <w:rPr>
          <w:rFonts w:ascii="Times New Roman" w:eastAsia="Times New Roman" w:hAnsi="Times New Roman" w:cs="Times New Roman"/>
          <w:sz w:val="24"/>
          <w:szCs w:val="24"/>
        </w:rPr>
        <w:t xml:space="preserve"> kako je posljednji put izmijenjena </w:t>
      </w:r>
      <w:r w:rsidR="00736ED0" w:rsidRPr="00736ED0">
        <w:rPr>
          <w:rFonts w:ascii="Times New Roman" w:eastAsia="Times New Roman" w:hAnsi="Times New Roman" w:cs="Times New Roman"/>
          <w:sz w:val="24"/>
          <w:szCs w:val="24"/>
        </w:rPr>
        <w:t>Delegiran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736ED0" w:rsidRPr="00736ED0">
        <w:rPr>
          <w:rFonts w:ascii="Times New Roman" w:eastAsia="Times New Roman" w:hAnsi="Times New Roman" w:cs="Times New Roman"/>
          <w:sz w:val="24"/>
          <w:szCs w:val="24"/>
        </w:rPr>
        <w:t xml:space="preserve"> uredb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736ED0" w:rsidRPr="00736ED0">
        <w:rPr>
          <w:rFonts w:ascii="Times New Roman" w:eastAsia="Times New Roman" w:hAnsi="Times New Roman" w:cs="Times New Roman"/>
          <w:sz w:val="24"/>
          <w:szCs w:val="24"/>
        </w:rPr>
        <w:t xml:space="preserve"> Komisije (EU) 2022/42 оd 8. studenoga 2021. o izmjeni priloga II. i III. Uredbi (EU) br. 1307/2013 Europskog parlamenta i Vijeća u pogledu nacionalnih i neto gornjih granica za izravna plaćanja za određene države članice za kalendarsku godinu 2022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ED0" w:rsidRPr="00736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88E">
        <w:rPr>
          <w:rFonts w:ascii="Times New Roman" w:eastAsia="Times New Roman" w:hAnsi="Times New Roman" w:cs="Times New Roman"/>
          <w:sz w:val="24"/>
          <w:szCs w:val="24"/>
        </w:rPr>
        <w:t>(SL L</w:t>
      </w:r>
      <w:r w:rsidR="00736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ED0" w:rsidRPr="00736ED0">
        <w:rPr>
          <w:rFonts w:ascii="Times New Roman" w:eastAsia="Times New Roman" w:hAnsi="Times New Roman" w:cs="Times New Roman"/>
          <w:sz w:val="24"/>
          <w:szCs w:val="24"/>
        </w:rPr>
        <w:t>9, 14.1.2022</w:t>
      </w:r>
      <w:r w:rsidR="000B08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(u daljnjem tekstu: Uredba (EU) br. 1307/2013)</w:t>
      </w:r>
    </w:p>
    <w:p w14:paraId="5E3E7AC0" w14:textId="77777777" w:rsidR="00D3060B" w:rsidRPr="00CA2004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54B47" w14:textId="034307A1" w:rsidR="00D3060B" w:rsidRDefault="00742D96" w:rsidP="0089538B">
      <w:pPr>
        <w:pStyle w:val="Default"/>
        <w:ind w:left="567" w:hanging="567"/>
        <w:jc w:val="both"/>
        <w:rPr>
          <w:rFonts w:ascii="Times New Roman" w:eastAsia="Times New Roman" w:hAnsi="Times New Roman" w:cs="Times New Roman"/>
        </w:rPr>
      </w:pPr>
      <w:r w:rsidRPr="00CA2004">
        <w:rPr>
          <w:rFonts w:ascii="Times New Roman" w:eastAsia="Times New Roman" w:hAnsi="Times New Roman" w:cs="Times New Roman"/>
        </w:rPr>
        <w:t>3</w:t>
      </w:r>
      <w:r w:rsidR="006C4717" w:rsidRPr="00CA2004">
        <w:rPr>
          <w:rFonts w:ascii="Times New Roman" w:eastAsia="Times New Roman" w:hAnsi="Times New Roman" w:cs="Times New Roman"/>
        </w:rPr>
        <w:t xml:space="preserve">. </w:t>
      </w:r>
      <w:r w:rsidR="005F4418" w:rsidRPr="00CA2004">
        <w:rPr>
          <w:rFonts w:ascii="Times New Roman" w:eastAsia="Times New Roman" w:hAnsi="Times New Roman" w:cs="Times New Roman"/>
        </w:rPr>
        <w:tab/>
      </w:r>
      <w:r w:rsidR="00736ED0" w:rsidRPr="00736ED0">
        <w:rPr>
          <w:rFonts w:ascii="Times New Roman" w:eastAsia="Times New Roman" w:hAnsi="Times New Roman" w:cs="Times New Roman"/>
        </w:rPr>
        <w:t>Provedben</w:t>
      </w:r>
      <w:r w:rsidR="00736ED0">
        <w:rPr>
          <w:rFonts w:ascii="Times New Roman" w:eastAsia="Times New Roman" w:hAnsi="Times New Roman" w:cs="Times New Roman"/>
        </w:rPr>
        <w:t>e</w:t>
      </w:r>
      <w:r w:rsidR="00736ED0" w:rsidRPr="00736ED0">
        <w:rPr>
          <w:rFonts w:ascii="Times New Roman" w:eastAsia="Times New Roman" w:hAnsi="Times New Roman" w:cs="Times New Roman"/>
        </w:rPr>
        <w:t xml:space="preserve"> uredb</w:t>
      </w:r>
      <w:r w:rsidR="00736ED0">
        <w:rPr>
          <w:rFonts w:ascii="Times New Roman" w:eastAsia="Times New Roman" w:hAnsi="Times New Roman" w:cs="Times New Roman"/>
        </w:rPr>
        <w:t>e</w:t>
      </w:r>
      <w:r w:rsidR="00736ED0" w:rsidRPr="00736ED0">
        <w:rPr>
          <w:rFonts w:ascii="Times New Roman" w:eastAsia="Times New Roman" w:hAnsi="Times New Roman" w:cs="Times New Roman"/>
        </w:rPr>
        <w:t xml:space="preserve"> Komisije (EU) 2022/1161 оd 5. srpnja 2022. o utvrđivanju gornjih granica proračuna za 2022. primjenjivih na određene programe izravne </w:t>
      </w:r>
      <w:r w:rsidR="00736ED0" w:rsidRPr="00736ED0">
        <w:rPr>
          <w:rFonts w:ascii="Times New Roman" w:eastAsia="Times New Roman" w:hAnsi="Times New Roman" w:cs="Times New Roman"/>
        </w:rPr>
        <w:lastRenderedPageBreak/>
        <w:t xml:space="preserve">potpore predviđene Uredbom (EU) br. 1307/2013 Europskog parlamenta i Vijeća. </w:t>
      </w:r>
      <w:r w:rsidR="00EF3C22" w:rsidRPr="00CA2004">
        <w:rPr>
          <w:rFonts w:ascii="Times New Roman" w:eastAsia="Times New Roman" w:hAnsi="Times New Roman" w:cs="Times New Roman"/>
        </w:rPr>
        <w:t>(</w:t>
      </w:r>
      <w:r w:rsidR="0089538B">
        <w:rPr>
          <w:rFonts w:ascii="Times New Roman" w:eastAsia="Times New Roman" w:hAnsi="Times New Roman" w:cs="Times New Roman"/>
        </w:rPr>
        <w:t>SL</w:t>
      </w:r>
      <w:r w:rsidR="00736ED0" w:rsidRPr="00736ED0">
        <w:rPr>
          <w:rFonts w:ascii="Times New Roman" w:eastAsia="Times New Roman" w:hAnsi="Times New Roman" w:cs="Times New Roman"/>
        </w:rPr>
        <w:t xml:space="preserve"> L 179, 6.7.2022</w:t>
      </w:r>
      <w:r w:rsidR="00EF3C22" w:rsidRPr="00CA2004">
        <w:rPr>
          <w:rFonts w:ascii="Times New Roman" w:eastAsia="Times New Roman" w:hAnsi="Times New Roman" w:cs="Times New Roman"/>
        </w:rPr>
        <w:t xml:space="preserve">) (u daljnjem tekstu: Provedbena uredba Komisije (EU) </w:t>
      </w:r>
      <w:r w:rsidR="0089538B">
        <w:rPr>
          <w:rFonts w:ascii="Times New Roman" w:eastAsia="Times New Roman" w:hAnsi="Times New Roman" w:cs="Times New Roman"/>
        </w:rPr>
        <w:t>202</w:t>
      </w:r>
      <w:r w:rsidR="00736ED0">
        <w:rPr>
          <w:rFonts w:ascii="Times New Roman" w:eastAsia="Times New Roman" w:hAnsi="Times New Roman" w:cs="Times New Roman"/>
        </w:rPr>
        <w:t>2</w:t>
      </w:r>
      <w:r w:rsidR="00EF3C22" w:rsidRPr="00CA2004">
        <w:rPr>
          <w:rFonts w:ascii="Times New Roman" w:eastAsia="Times New Roman" w:hAnsi="Times New Roman" w:cs="Times New Roman"/>
        </w:rPr>
        <w:t>/</w:t>
      </w:r>
      <w:r w:rsidR="0089538B">
        <w:rPr>
          <w:rFonts w:ascii="Times New Roman" w:eastAsia="Times New Roman" w:hAnsi="Times New Roman" w:cs="Times New Roman"/>
        </w:rPr>
        <w:t>11</w:t>
      </w:r>
      <w:r w:rsidR="00736ED0">
        <w:rPr>
          <w:rFonts w:ascii="Times New Roman" w:eastAsia="Times New Roman" w:hAnsi="Times New Roman" w:cs="Times New Roman"/>
        </w:rPr>
        <w:t>61</w:t>
      </w:r>
      <w:r w:rsidR="00EF3C22" w:rsidRPr="00CA2004">
        <w:rPr>
          <w:rFonts w:ascii="Times New Roman" w:eastAsia="Times New Roman" w:hAnsi="Times New Roman" w:cs="Times New Roman"/>
        </w:rPr>
        <w:t>).</w:t>
      </w:r>
    </w:p>
    <w:p w14:paraId="3D88670F" w14:textId="77777777" w:rsidR="006301FD" w:rsidRDefault="006301FD" w:rsidP="0089538B">
      <w:pPr>
        <w:pStyle w:val="Default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8A67D78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3.</w:t>
      </w:r>
    </w:p>
    <w:p w14:paraId="76282D0C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517FF" w14:textId="29E36387" w:rsidR="006C4717" w:rsidRPr="00CA2004" w:rsidRDefault="00B7217A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acionalna gornja granica za financiranje </w:t>
      </w:r>
      <w:r w:rsidR="002C17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A63411">
        <w:rPr>
          <w:rFonts w:ascii="Times New Roman" w:eastAsia="Times New Roman" w:hAnsi="Times New Roman" w:cs="Times New Roman"/>
          <w:sz w:val="24"/>
          <w:szCs w:val="24"/>
        </w:rPr>
        <w:t>rograma izravnih plaćanja u 202</w:t>
      </w:r>
      <w:r w:rsidR="00785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. godini iz sredstava </w:t>
      </w:r>
      <w:r w:rsidR="00E20F26" w:rsidRPr="00CA2004">
        <w:rPr>
          <w:rFonts w:ascii="Times New Roman" w:eastAsia="Times New Roman" w:hAnsi="Times New Roman" w:cs="Times New Roman"/>
          <w:sz w:val="24"/>
          <w:szCs w:val="24"/>
        </w:rPr>
        <w:t>EFJP</w:t>
      </w:r>
      <w:r w:rsidR="00D3060B" w:rsidRPr="00CA2004">
        <w:rPr>
          <w:rFonts w:ascii="Times New Roman" w:eastAsia="Times New Roman" w:hAnsi="Times New Roman" w:cs="Times New Roman"/>
          <w:sz w:val="24"/>
          <w:szCs w:val="24"/>
        </w:rPr>
        <w:t>-a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utvrđuje se sukladno:</w:t>
      </w:r>
    </w:p>
    <w:p w14:paraId="21868E8B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73C8B" w14:textId="77777777" w:rsidR="00D3060B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1. Prilogu II. Uredbe (EU) br. 1307/2013 </w:t>
      </w:r>
    </w:p>
    <w:p w14:paraId="107A765E" w14:textId="08E4791D" w:rsidR="006C4717" w:rsidRPr="00CA2004" w:rsidRDefault="001B47C4" w:rsidP="00D3060B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CA2004">
        <w:rPr>
          <w:rFonts w:ascii="Times New Roman" w:eastAsia="Times New Roman" w:hAnsi="Times New Roman" w:cs="Times New Roman"/>
          <w:color w:val="auto"/>
        </w:rPr>
        <w:t>2</w:t>
      </w:r>
      <w:r w:rsidR="006C4717" w:rsidRPr="00CA2004">
        <w:rPr>
          <w:rFonts w:ascii="Times New Roman" w:eastAsia="Times New Roman" w:hAnsi="Times New Roman" w:cs="Times New Roman"/>
          <w:color w:val="auto"/>
        </w:rPr>
        <w:t>. Prov</w:t>
      </w:r>
      <w:r w:rsidR="002C1762">
        <w:rPr>
          <w:rFonts w:ascii="Times New Roman" w:eastAsia="Times New Roman" w:hAnsi="Times New Roman" w:cs="Times New Roman"/>
          <w:color w:val="auto"/>
        </w:rPr>
        <w:t>e</w:t>
      </w:r>
      <w:r w:rsidR="0089538B">
        <w:rPr>
          <w:rFonts w:ascii="Times New Roman" w:eastAsia="Times New Roman" w:hAnsi="Times New Roman" w:cs="Times New Roman"/>
          <w:color w:val="auto"/>
        </w:rPr>
        <w:t>dbenoj uredbi Komisije (EU) 202</w:t>
      </w:r>
      <w:r w:rsidR="00785AA5">
        <w:rPr>
          <w:rFonts w:ascii="Times New Roman" w:eastAsia="Times New Roman" w:hAnsi="Times New Roman" w:cs="Times New Roman"/>
          <w:color w:val="auto"/>
        </w:rPr>
        <w:t>2</w:t>
      </w:r>
      <w:r w:rsidR="006C4717" w:rsidRPr="00CA2004">
        <w:rPr>
          <w:rFonts w:ascii="Times New Roman" w:eastAsia="Times New Roman" w:hAnsi="Times New Roman" w:cs="Times New Roman"/>
          <w:color w:val="auto"/>
        </w:rPr>
        <w:t>/</w:t>
      </w:r>
      <w:r w:rsidR="0089538B">
        <w:rPr>
          <w:rFonts w:ascii="Times New Roman" w:eastAsia="Times New Roman" w:hAnsi="Times New Roman" w:cs="Times New Roman"/>
          <w:color w:val="auto"/>
        </w:rPr>
        <w:t>11</w:t>
      </w:r>
      <w:r w:rsidR="00785AA5">
        <w:rPr>
          <w:rFonts w:ascii="Times New Roman" w:eastAsia="Times New Roman" w:hAnsi="Times New Roman" w:cs="Times New Roman"/>
          <w:color w:val="auto"/>
        </w:rPr>
        <w:t>61</w:t>
      </w:r>
      <w:r w:rsidR="0089538B">
        <w:rPr>
          <w:rFonts w:ascii="Times New Roman" w:eastAsia="Times New Roman" w:hAnsi="Times New Roman" w:cs="Times New Roman"/>
          <w:color w:val="auto"/>
        </w:rPr>
        <w:t>.</w:t>
      </w:r>
    </w:p>
    <w:p w14:paraId="451BADC5" w14:textId="77777777" w:rsidR="00D3060B" w:rsidRPr="00CA2004" w:rsidRDefault="00D3060B" w:rsidP="00D3060B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51E62C31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4.</w:t>
      </w:r>
    </w:p>
    <w:p w14:paraId="063A3489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E8495" w14:textId="6C25416A" w:rsidR="00D3060B" w:rsidRPr="00CA2004" w:rsidRDefault="00785AA5" w:rsidP="004C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4717" w:rsidRPr="00CB0006">
        <w:rPr>
          <w:rFonts w:ascii="Times New Roman" w:eastAsia="Times New Roman" w:hAnsi="Times New Roman" w:cs="Times New Roman"/>
          <w:sz w:val="24"/>
          <w:szCs w:val="24"/>
        </w:rPr>
        <w:t>zravn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38B" w:rsidRPr="00CB0006">
        <w:rPr>
          <w:rFonts w:ascii="Times New Roman" w:eastAsia="Times New Roman" w:hAnsi="Times New Roman" w:cs="Times New Roman"/>
          <w:sz w:val="24"/>
          <w:szCs w:val="24"/>
        </w:rPr>
        <w:t xml:space="preserve"> plaćanja u 202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717" w:rsidRPr="00CB0006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BB1DFC" w:rsidRPr="00CB0006">
        <w:rPr>
          <w:rFonts w:ascii="Times New Roman" w:eastAsia="Times New Roman" w:hAnsi="Times New Roman" w:cs="Times New Roman"/>
          <w:sz w:val="24"/>
          <w:szCs w:val="24"/>
        </w:rPr>
        <w:t xml:space="preserve">utvrđuju </w:t>
      </w:r>
      <w:r w:rsidR="006C4717" w:rsidRPr="00CB0006">
        <w:rPr>
          <w:rFonts w:ascii="Times New Roman" w:eastAsia="Times New Roman" w:hAnsi="Times New Roman" w:cs="Times New Roman"/>
          <w:sz w:val="24"/>
          <w:szCs w:val="24"/>
        </w:rPr>
        <w:t>se sukladno</w:t>
      </w:r>
      <w:r w:rsidR="00DA4D18" w:rsidRPr="00CB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17" w:rsidRPr="00CB0006">
        <w:rPr>
          <w:rFonts w:ascii="Times New Roman" w:eastAsia="Times New Roman" w:hAnsi="Times New Roman" w:cs="Times New Roman"/>
          <w:sz w:val="24"/>
          <w:szCs w:val="24"/>
        </w:rPr>
        <w:t xml:space="preserve">Prilogu 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6C4717" w:rsidRPr="00CB0006">
        <w:rPr>
          <w:rFonts w:ascii="Times New Roman" w:eastAsia="Times New Roman" w:hAnsi="Times New Roman" w:cs="Times New Roman"/>
          <w:sz w:val="24"/>
          <w:szCs w:val="24"/>
        </w:rPr>
        <w:t>. Uredbe (EU) br. 1307/2013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 xml:space="preserve"> i osiguranim sredstvima u Državnom proračunu Republike Hrvatske za </w:t>
      </w:r>
      <w:r w:rsidR="0089538B" w:rsidRPr="00CB0006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godinu i projekcijama za 20</w:t>
      </w:r>
      <w:r w:rsidR="0089538B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godinu (Narodne novine, broj</w:t>
      </w:r>
      <w:r w:rsidR="00E02376" w:rsidRPr="00CB0006">
        <w:rPr>
          <w:rFonts w:ascii="Times New Roman" w:eastAsia="Times New Roman" w:hAnsi="Times New Roman" w:cs="Times New Roman"/>
          <w:sz w:val="24"/>
          <w:szCs w:val="24"/>
        </w:rPr>
        <w:t xml:space="preserve"> 140/21., 46/22., 62/22., 131/22., 144/22. i 152/22.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) i Državnom proračunu Republike Hrvatske za 20</w:t>
      </w:r>
      <w:r w:rsidR="0089538B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godinu i projekcijama za 202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 xml:space="preserve">. godinu (Narodne novine, broj </w:t>
      </w:r>
      <w:r w:rsidR="00D71EA4" w:rsidRPr="00CB0006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C20E11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1EA4" w:rsidRPr="00CB00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) na razdjelu 060 M</w:t>
      </w:r>
      <w:r w:rsidR="002C1762" w:rsidRPr="00CB00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538B" w:rsidRPr="00CB0006">
        <w:rPr>
          <w:rFonts w:ascii="Times New Roman" w:eastAsia="Times New Roman" w:hAnsi="Times New Roman" w:cs="Times New Roman"/>
          <w:sz w:val="24"/>
          <w:szCs w:val="24"/>
        </w:rPr>
        <w:t>nistarstvo poljoprivrede za 202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i 20</w:t>
      </w:r>
      <w:r w:rsidR="0089538B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>. godinu, na pozicij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ama</w:t>
      </w:r>
      <w:r w:rsidR="0031119F" w:rsidRPr="00CB0006">
        <w:rPr>
          <w:rFonts w:ascii="Times New Roman" w:eastAsia="Times New Roman" w:hAnsi="Times New Roman" w:cs="Times New Roman"/>
          <w:sz w:val="24"/>
          <w:szCs w:val="24"/>
        </w:rPr>
        <w:t xml:space="preserve"> A819058 – ZPP Izravna plaćanja poljoprivrednim proizvođačima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C698C" w:rsidRPr="004C698C">
        <w:rPr>
          <w:rFonts w:ascii="Times New Roman" w:eastAsia="Times New Roman" w:hAnsi="Times New Roman" w:cs="Times New Roman"/>
          <w:sz w:val="24"/>
          <w:szCs w:val="24"/>
        </w:rPr>
        <w:t xml:space="preserve">A865037 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698C" w:rsidRPr="004C698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trateški plan 2023-2027 – Izravna plaćanja poljoprivrednim proizvođačima.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11275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Članak 5.</w:t>
      </w:r>
    </w:p>
    <w:p w14:paraId="667E0A89" w14:textId="77777777" w:rsidR="00D3060B" w:rsidRPr="00CA2004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672987" w14:textId="3D1B5408" w:rsidR="006C4717" w:rsidRPr="00EC10AB" w:rsidRDefault="0031119F" w:rsidP="00EC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AB">
        <w:rPr>
          <w:rFonts w:ascii="Times New Roman" w:eastAsia="Times New Roman" w:hAnsi="Times New Roman" w:cs="Times New Roman"/>
          <w:sz w:val="24"/>
          <w:szCs w:val="24"/>
        </w:rPr>
        <w:t xml:space="preserve">Financijska struktura omotnice za financiranje programa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izravnih plaćanja u 202</w:t>
      </w:r>
      <w:r w:rsidR="00785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717" w:rsidRPr="00EC10AB">
        <w:rPr>
          <w:rFonts w:ascii="Times New Roman" w:eastAsia="Times New Roman" w:hAnsi="Times New Roman" w:cs="Times New Roman"/>
          <w:sz w:val="24"/>
          <w:szCs w:val="24"/>
        </w:rPr>
        <w:t>. godini sukladno člancima 3. i 4. ove Uredbe</w:t>
      </w:r>
      <w:r w:rsidR="00E20F26" w:rsidRPr="00EC1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17" w:rsidRPr="00EC10AB">
        <w:rPr>
          <w:rFonts w:ascii="Times New Roman" w:eastAsia="Times New Roman" w:hAnsi="Times New Roman" w:cs="Times New Roman"/>
          <w:sz w:val="24"/>
          <w:szCs w:val="24"/>
        </w:rPr>
        <w:t>je:</w:t>
      </w:r>
    </w:p>
    <w:p w14:paraId="6CB0C7E7" w14:textId="77777777" w:rsidR="00D3060B" w:rsidRPr="00CA2004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66"/>
        <w:gridCol w:w="4394"/>
      </w:tblGrid>
      <w:tr w:rsidR="00785AA5" w:rsidRPr="0059640C" w14:paraId="5ACAA08F" w14:textId="77777777" w:rsidTr="00CB0006">
        <w:trPr>
          <w:trHeight w:val="612"/>
          <w:jc w:val="center"/>
        </w:trPr>
        <w:tc>
          <w:tcPr>
            <w:tcW w:w="2575" w:type="pct"/>
            <w:vMerge w:val="restart"/>
            <w:vAlign w:val="center"/>
            <w:hideMark/>
          </w:tcPr>
          <w:p w14:paraId="54F1DB08" w14:textId="58F53AB6" w:rsidR="00785AA5" w:rsidRPr="0059640C" w:rsidRDefault="00785AA5" w:rsidP="00D306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izravnih plaćanja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2022. godini</w:t>
            </w:r>
          </w:p>
        </w:tc>
        <w:tc>
          <w:tcPr>
            <w:tcW w:w="2425" w:type="pct"/>
          </w:tcPr>
          <w:p w14:paraId="2E4E95A4" w14:textId="05E6EA94" w:rsidR="00785AA5" w:rsidRPr="0059640C" w:rsidRDefault="00785AA5" w:rsidP="00D30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Nacionalna gornja granica za financiranje programa izravnih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plaćanja u 202</w:t>
            </w:r>
            <w:r w:rsidR="00C15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godini iz sredstava EFJP-a </w:t>
            </w:r>
          </w:p>
          <w:p w14:paraId="17CF84FB" w14:textId="77777777" w:rsidR="00785AA5" w:rsidRPr="0059640C" w:rsidRDefault="00785AA5" w:rsidP="00F85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(iz članka 3. ove Uredbe)</w:t>
            </w:r>
          </w:p>
        </w:tc>
      </w:tr>
      <w:tr w:rsidR="00785AA5" w:rsidRPr="0059640C" w14:paraId="26B0C306" w14:textId="77777777" w:rsidTr="00CB0006">
        <w:trPr>
          <w:trHeight w:val="332"/>
          <w:jc w:val="center"/>
        </w:trPr>
        <w:tc>
          <w:tcPr>
            <w:tcW w:w="2575" w:type="pct"/>
            <w:vMerge/>
            <w:vAlign w:val="center"/>
          </w:tcPr>
          <w:p w14:paraId="2A7E73DA" w14:textId="77777777" w:rsidR="00785AA5" w:rsidRPr="0059640C" w:rsidRDefault="00785AA5" w:rsidP="00D3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1B2C4DF" w14:textId="24BE2AB8" w:rsidR="00785AA5" w:rsidRPr="0059640C" w:rsidRDefault="00785AA5" w:rsidP="00D3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eurima</w:t>
            </w: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85AA5" w:rsidRPr="0059640C" w14:paraId="4464B919" w14:textId="77777777" w:rsidTr="00CB0006">
        <w:trPr>
          <w:jc w:val="center"/>
        </w:trPr>
        <w:tc>
          <w:tcPr>
            <w:tcW w:w="2575" w:type="pct"/>
            <w:vAlign w:val="center"/>
            <w:hideMark/>
          </w:tcPr>
          <w:p w14:paraId="663676F3" w14:textId="77777777" w:rsidR="00785AA5" w:rsidRPr="00C20E11" w:rsidRDefault="00785AA5" w:rsidP="00A634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Osnovno plaćanje</w:t>
            </w:r>
          </w:p>
        </w:tc>
        <w:tc>
          <w:tcPr>
            <w:tcW w:w="2425" w:type="pct"/>
            <w:shd w:val="clear" w:color="auto" w:fill="auto"/>
          </w:tcPr>
          <w:p w14:paraId="4FA43FE4" w14:textId="0B007C4D" w:rsidR="00785AA5" w:rsidRPr="00C20E11" w:rsidDel="00B91FF0" w:rsidRDefault="00785AA5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73.388.000</w:t>
            </w:r>
          </w:p>
        </w:tc>
      </w:tr>
      <w:tr w:rsidR="00785AA5" w:rsidRPr="0059640C" w14:paraId="4E2951EA" w14:textId="77777777" w:rsidTr="00CB0006">
        <w:trPr>
          <w:jc w:val="center"/>
        </w:trPr>
        <w:tc>
          <w:tcPr>
            <w:tcW w:w="2575" w:type="pct"/>
            <w:vAlign w:val="center"/>
            <w:hideMark/>
          </w:tcPr>
          <w:p w14:paraId="671DDB1B" w14:textId="7351F254" w:rsidR="00785AA5" w:rsidRPr="00C20E11" w:rsidRDefault="00785AA5" w:rsidP="00A634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Plaćanje za poljoprivredne prakse korisne za klimu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okoliš </w:t>
            </w: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"zeleno plaćanje"</w:t>
            </w:r>
          </w:p>
        </w:tc>
        <w:tc>
          <w:tcPr>
            <w:tcW w:w="2425" w:type="pct"/>
            <w:shd w:val="clear" w:color="auto" w:fill="auto"/>
          </w:tcPr>
          <w:p w14:paraId="783334C7" w14:textId="77777777" w:rsidR="00785AA5" w:rsidRPr="00C20E11" w:rsidRDefault="00785AA5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A15D" w14:textId="77777777" w:rsidR="00785AA5" w:rsidRPr="00C20E11" w:rsidRDefault="00785AA5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43ED" w14:textId="7296EF05" w:rsidR="00785AA5" w:rsidRPr="00C20E11" w:rsidDel="00B91FF0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120.968.000</w:t>
            </w:r>
          </w:p>
        </w:tc>
      </w:tr>
      <w:tr w:rsidR="00785AA5" w:rsidRPr="0059640C" w14:paraId="28D0A2A4" w14:textId="77777777" w:rsidTr="00CB0006">
        <w:trPr>
          <w:jc w:val="center"/>
        </w:trPr>
        <w:tc>
          <w:tcPr>
            <w:tcW w:w="2575" w:type="pct"/>
            <w:hideMark/>
          </w:tcPr>
          <w:p w14:paraId="22384FAF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Preraspodijeljeno plaćanje</w:t>
            </w:r>
          </w:p>
        </w:tc>
        <w:tc>
          <w:tcPr>
            <w:tcW w:w="2425" w:type="pct"/>
            <w:shd w:val="clear" w:color="auto" w:fill="auto"/>
          </w:tcPr>
          <w:p w14:paraId="6824F6D2" w14:textId="77777777" w:rsidR="00785AA5" w:rsidRPr="00C20E11" w:rsidRDefault="00785AA5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A52C" w14:textId="2CE86623" w:rsidR="00785AA5" w:rsidRPr="00C20E11" w:rsidDel="00B91FF0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40.323.000</w:t>
            </w:r>
          </w:p>
        </w:tc>
      </w:tr>
      <w:tr w:rsidR="00785AA5" w:rsidRPr="0059640C" w14:paraId="0D49E1B0" w14:textId="77777777" w:rsidTr="00CB0006">
        <w:trPr>
          <w:jc w:val="center"/>
        </w:trPr>
        <w:tc>
          <w:tcPr>
            <w:tcW w:w="2575" w:type="pct"/>
            <w:hideMark/>
          </w:tcPr>
          <w:p w14:paraId="66FC2818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Plaćanje za mlade poljoprivrednike</w:t>
            </w:r>
          </w:p>
        </w:tc>
        <w:tc>
          <w:tcPr>
            <w:tcW w:w="2425" w:type="pct"/>
            <w:shd w:val="clear" w:color="auto" w:fill="auto"/>
          </w:tcPr>
          <w:p w14:paraId="631F3ADA" w14:textId="77777777" w:rsidR="00785AA5" w:rsidRPr="00C20E11" w:rsidRDefault="00785AA5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B897" w14:textId="39E1C356" w:rsidR="00785AA5" w:rsidRPr="00C20E11" w:rsidDel="00B91FF0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8.065.000</w:t>
            </w:r>
          </w:p>
        </w:tc>
      </w:tr>
      <w:tr w:rsidR="00785AA5" w:rsidRPr="0059640C" w14:paraId="32004C18" w14:textId="77777777" w:rsidTr="00CB0006">
        <w:trPr>
          <w:jc w:val="center"/>
        </w:trPr>
        <w:tc>
          <w:tcPr>
            <w:tcW w:w="2575" w:type="pct"/>
            <w:hideMark/>
          </w:tcPr>
          <w:p w14:paraId="6663D236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Proizvodno vezana potpora:</w:t>
            </w:r>
          </w:p>
        </w:tc>
        <w:tc>
          <w:tcPr>
            <w:tcW w:w="2425" w:type="pct"/>
            <w:shd w:val="clear" w:color="auto" w:fill="auto"/>
          </w:tcPr>
          <w:p w14:paraId="0AE8E8A0" w14:textId="77777777" w:rsidR="00785AA5" w:rsidRPr="00C20E11" w:rsidRDefault="00785AA5" w:rsidP="00A63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5F7A" w14:textId="5FFA31D9" w:rsidR="00785AA5" w:rsidRPr="00C20E11" w:rsidDel="00B91FF0" w:rsidRDefault="00785AA5" w:rsidP="00A634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60.484.000</w:t>
            </w:r>
          </w:p>
        </w:tc>
      </w:tr>
      <w:tr w:rsidR="00785AA5" w:rsidRPr="0059640C" w14:paraId="2B4333D8" w14:textId="77777777" w:rsidTr="00CB0006">
        <w:trPr>
          <w:jc w:val="center"/>
        </w:trPr>
        <w:tc>
          <w:tcPr>
            <w:tcW w:w="2575" w:type="pct"/>
          </w:tcPr>
          <w:p w14:paraId="507404E4" w14:textId="77777777" w:rsidR="00785AA5" w:rsidRPr="00C20E11" w:rsidRDefault="00785AA5" w:rsidP="00A63411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krave u proizvodnji mlijeka</w:t>
            </w:r>
          </w:p>
        </w:tc>
        <w:tc>
          <w:tcPr>
            <w:tcW w:w="2425" w:type="pct"/>
            <w:shd w:val="clear" w:color="auto" w:fill="auto"/>
          </w:tcPr>
          <w:p w14:paraId="45E93241" w14:textId="330F1D86" w:rsidR="00785AA5" w:rsidRPr="00C20E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19.918.000</w:t>
            </w:r>
          </w:p>
        </w:tc>
      </w:tr>
      <w:tr w:rsidR="00785AA5" w:rsidRPr="0059640C" w14:paraId="30114F2C" w14:textId="77777777" w:rsidTr="00CB0006">
        <w:trPr>
          <w:jc w:val="center"/>
        </w:trPr>
        <w:tc>
          <w:tcPr>
            <w:tcW w:w="2575" w:type="pct"/>
          </w:tcPr>
          <w:p w14:paraId="4C28BC76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tov goveda </w:t>
            </w:r>
          </w:p>
        </w:tc>
        <w:tc>
          <w:tcPr>
            <w:tcW w:w="2425" w:type="pct"/>
            <w:shd w:val="clear" w:color="auto" w:fill="auto"/>
          </w:tcPr>
          <w:p w14:paraId="1F8D5D0F" w14:textId="4F8D8059" w:rsidR="00785AA5" w:rsidRPr="00C20E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12.622.000</w:t>
            </w:r>
          </w:p>
        </w:tc>
      </w:tr>
      <w:tr w:rsidR="00785AA5" w:rsidRPr="0059640C" w14:paraId="079F4C30" w14:textId="77777777" w:rsidTr="00CB0006">
        <w:trPr>
          <w:jc w:val="center"/>
        </w:trPr>
        <w:tc>
          <w:tcPr>
            <w:tcW w:w="2575" w:type="pct"/>
          </w:tcPr>
          <w:p w14:paraId="231726B3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krave dojilje</w:t>
            </w:r>
          </w:p>
        </w:tc>
        <w:tc>
          <w:tcPr>
            <w:tcW w:w="2425" w:type="pct"/>
            <w:shd w:val="clear" w:color="auto" w:fill="auto"/>
          </w:tcPr>
          <w:p w14:paraId="567D94CF" w14:textId="121C6897" w:rsidR="00785AA5" w:rsidRPr="00C20E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6.452.000</w:t>
            </w:r>
          </w:p>
        </w:tc>
      </w:tr>
      <w:tr w:rsidR="00785AA5" w:rsidRPr="0059640C" w14:paraId="3D108F97" w14:textId="77777777" w:rsidTr="00CB0006">
        <w:trPr>
          <w:jc w:val="center"/>
        </w:trPr>
        <w:tc>
          <w:tcPr>
            <w:tcW w:w="2575" w:type="pct"/>
          </w:tcPr>
          <w:p w14:paraId="053A8902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ovce i koze</w:t>
            </w:r>
          </w:p>
        </w:tc>
        <w:tc>
          <w:tcPr>
            <w:tcW w:w="2425" w:type="pct"/>
            <w:shd w:val="clear" w:color="auto" w:fill="auto"/>
          </w:tcPr>
          <w:p w14:paraId="683B32CA" w14:textId="21D4AEAE" w:rsidR="00785AA5" w:rsidRPr="00C20E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4.758.000</w:t>
            </w:r>
          </w:p>
        </w:tc>
      </w:tr>
      <w:tr w:rsidR="00785AA5" w:rsidRPr="0059640C" w14:paraId="6C827A5A" w14:textId="77777777" w:rsidTr="00CB0006">
        <w:trPr>
          <w:jc w:val="center"/>
        </w:trPr>
        <w:tc>
          <w:tcPr>
            <w:tcW w:w="2575" w:type="pct"/>
          </w:tcPr>
          <w:p w14:paraId="3F615F89" w14:textId="77777777" w:rsidR="00785AA5" w:rsidRPr="00C20E11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proizvodnja povrća</w:t>
            </w:r>
          </w:p>
        </w:tc>
        <w:tc>
          <w:tcPr>
            <w:tcW w:w="2425" w:type="pct"/>
            <w:shd w:val="clear" w:color="auto" w:fill="auto"/>
          </w:tcPr>
          <w:p w14:paraId="6F21EA4B" w14:textId="06B44178" w:rsidR="00785AA5" w:rsidRPr="00C20E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.895.000</w:t>
            </w:r>
          </w:p>
        </w:tc>
      </w:tr>
      <w:tr w:rsidR="00785AA5" w:rsidRPr="0059640C" w14:paraId="5EE96018" w14:textId="77777777" w:rsidTr="00CB0006">
        <w:trPr>
          <w:jc w:val="center"/>
        </w:trPr>
        <w:tc>
          <w:tcPr>
            <w:tcW w:w="2575" w:type="pct"/>
          </w:tcPr>
          <w:p w14:paraId="649CB559" w14:textId="77777777" w:rsidR="00785AA5" w:rsidRPr="0059640C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proizvodnja voća</w:t>
            </w:r>
          </w:p>
        </w:tc>
        <w:tc>
          <w:tcPr>
            <w:tcW w:w="2425" w:type="pct"/>
            <w:shd w:val="clear" w:color="auto" w:fill="auto"/>
          </w:tcPr>
          <w:p w14:paraId="14F718EA" w14:textId="78EE6E4F" w:rsidR="00785AA5" w:rsidRPr="00A634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2.016.000</w:t>
            </w:r>
          </w:p>
        </w:tc>
      </w:tr>
      <w:tr w:rsidR="00785AA5" w:rsidRPr="0059640C" w14:paraId="3BE70699" w14:textId="77777777" w:rsidTr="00CB0006">
        <w:trPr>
          <w:jc w:val="center"/>
        </w:trPr>
        <w:tc>
          <w:tcPr>
            <w:tcW w:w="2575" w:type="pct"/>
          </w:tcPr>
          <w:p w14:paraId="3A18667D" w14:textId="77777777" w:rsidR="00785AA5" w:rsidRPr="0059640C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šećerna repa</w:t>
            </w:r>
          </w:p>
        </w:tc>
        <w:tc>
          <w:tcPr>
            <w:tcW w:w="2425" w:type="pct"/>
            <w:shd w:val="clear" w:color="auto" w:fill="auto"/>
          </w:tcPr>
          <w:p w14:paraId="60BBF911" w14:textId="1A196A18" w:rsidR="00785AA5" w:rsidRPr="00A634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4.758.000</w:t>
            </w:r>
          </w:p>
        </w:tc>
      </w:tr>
      <w:tr w:rsidR="00785AA5" w:rsidRPr="0059640C" w14:paraId="0DCB02F6" w14:textId="77777777" w:rsidTr="00CB0006">
        <w:trPr>
          <w:jc w:val="center"/>
        </w:trPr>
        <w:tc>
          <w:tcPr>
            <w:tcW w:w="2575" w:type="pct"/>
          </w:tcPr>
          <w:p w14:paraId="28F4EC82" w14:textId="77777777" w:rsidR="00785AA5" w:rsidRPr="0059640C" w:rsidRDefault="00785AA5" w:rsidP="00A634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proteinski usjevi</w:t>
            </w:r>
          </w:p>
        </w:tc>
        <w:tc>
          <w:tcPr>
            <w:tcW w:w="2425" w:type="pct"/>
            <w:shd w:val="clear" w:color="auto" w:fill="auto"/>
          </w:tcPr>
          <w:p w14:paraId="4C32C1AE" w14:textId="7F7781C3" w:rsidR="00785AA5" w:rsidRPr="00A63411" w:rsidRDefault="00785AA5" w:rsidP="00A63411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8.065.000</w:t>
            </w:r>
          </w:p>
        </w:tc>
      </w:tr>
      <w:tr w:rsidR="00785AA5" w:rsidRPr="0059640C" w14:paraId="1CEA3DD7" w14:textId="77777777" w:rsidTr="00CB0006">
        <w:trPr>
          <w:jc w:val="center"/>
        </w:trPr>
        <w:tc>
          <w:tcPr>
            <w:tcW w:w="2575" w:type="pct"/>
            <w:hideMark/>
          </w:tcPr>
          <w:p w14:paraId="403D601F" w14:textId="77777777" w:rsidR="00785AA5" w:rsidRPr="0059640C" w:rsidRDefault="00785AA5" w:rsidP="000536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6B7B416A" w14:textId="1A415CA7" w:rsidR="00785AA5" w:rsidRPr="00A63411" w:rsidDel="00B91FF0" w:rsidRDefault="00785AA5" w:rsidP="0005362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403.228.000</w:t>
            </w:r>
          </w:p>
        </w:tc>
      </w:tr>
    </w:tbl>
    <w:p w14:paraId="4330550E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E821" w14:textId="77777777" w:rsidR="002700A1" w:rsidRDefault="002700A1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03BCE88" w14:textId="2E3EBBA1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CF4A42"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16F0616" w14:textId="77777777" w:rsidR="00340443" w:rsidRPr="00CA2004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922D5" w14:textId="26F212C2" w:rsidR="006C4717" w:rsidRDefault="00C1564A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81788C">
        <w:rPr>
          <w:rFonts w:ascii="Times New Roman" w:eastAsia="Times New Roman" w:hAnsi="Times New Roman" w:cs="Times New Roman"/>
          <w:sz w:val="24"/>
          <w:szCs w:val="24"/>
        </w:rPr>
        <w:t xml:space="preserve">Za razdoblje do </w:t>
      </w:r>
      <w:r w:rsidRPr="00C1564A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 xml:space="preserve"> prosinca</w:t>
      </w:r>
      <w:r w:rsidRPr="00C1564A">
        <w:rPr>
          <w:rFonts w:ascii="Times New Roman" w:eastAsia="Times New Roman" w:hAnsi="Times New Roman" w:cs="Times New Roman"/>
          <w:sz w:val="24"/>
          <w:szCs w:val="24"/>
        </w:rPr>
        <w:t xml:space="preserve"> 2022. godine</w:t>
      </w:r>
      <w:r w:rsidR="0081788C">
        <w:rPr>
          <w:rFonts w:ascii="Times New Roman" w:eastAsia="Times New Roman" w:hAnsi="Times New Roman" w:cs="Times New Roman"/>
          <w:sz w:val="24"/>
          <w:szCs w:val="24"/>
        </w:rPr>
        <w:t xml:space="preserve">, preračunavanje iznosa za financiranje programa </w:t>
      </w:r>
      <w:r w:rsidRPr="00C1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izravnih plaćanja u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>. godini iz članaka 3. i 4. ove Uredbe izvrš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 se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prema tečaju Europske središnje banke na dan </w:t>
      </w:r>
      <w:r w:rsidR="003F253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. rujna </w:t>
      </w:r>
      <w:r w:rsidR="0089538B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8A60CA" w:rsidRPr="00CA2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 xml:space="preserve"> koji iznosi 7,</w:t>
      </w:r>
      <w:r>
        <w:rPr>
          <w:rFonts w:ascii="Times New Roman" w:eastAsia="Times New Roman" w:hAnsi="Times New Roman" w:cs="Times New Roman"/>
          <w:sz w:val="24"/>
          <w:szCs w:val="24"/>
        </w:rPr>
        <w:t>5240</w:t>
      </w:r>
      <w:r w:rsidR="00DF068A"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17" w:rsidRPr="00CA2004">
        <w:rPr>
          <w:rFonts w:ascii="Times New Roman" w:eastAsia="Times New Roman" w:hAnsi="Times New Roman" w:cs="Times New Roman"/>
          <w:sz w:val="24"/>
          <w:szCs w:val="24"/>
        </w:rPr>
        <w:t>kuna za euro, sukladno članku 106. stavku 3. Uredbe (EU) br. 1306/2013.</w:t>
      </w:r>
    </w:p>
    <w:p w14:paraId="4A17F6A5" w14:textId="77777777" w:rsidR="00E02376" w:rsidRDefault="00E02376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5941B" w14:textId="18C60F42" w:rsidR="00C1564A" w:rsidRPr="00CA2004" w:rsidRDefault="00C1564A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Od 1.</w:t>
      </w:r>
      <w:r w:rsidR="00270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2023. godine </w:t>
      </w:r>
      <w:r w:rsidRPr="00C1564A">
        <w:rPr>
          <w:rFonts w:ascii="Times New Roman" w:eastAsia="Times New Roman" w:hAnsi="Times New Roman" w:cs="Times New Roman"/>
          <w:sz w:val="24"/>
          <w:szCs w:val="24"/>
        </w:rPr>
        <w:t>financiranje programa izravnih plaćanja u 2022. godini iz članaka 3. i 4. ove Uredbe izvršiti će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eurima.</w:t>
      </w:r>
    </w:p>
    <w:p w14:paraId="6254271E" w14:textId="77777777" w:rsidR="00E31BA2" w:rsidRPr="00CA2004" w:rsidRDefault="00E31BA2" w:rsidP="00626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D9E56" w14:textId="77777777" w:rsidR="006C4717" w:rsidRPr="00673DA8" w:rsidRDefault="006C4717" w:rsidP="00673DA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CF4A42"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673D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75602D6B" w14:textId="77777777" w:rsidR="00340443" w:rsidRPr="00CA2004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B5C75" w14:textId="0F377E0E" w:rsidR="006C4717" w:rsidRPr="00CA2004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Ova Uredba stupa na snagu prvoga dana od dana objave u 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40443" w:rsidRPr="00CA2004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A2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6AE45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88EFD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27EEB" w14:textId="77777777" w:rsidR="006D72AB" w:rsidRPr="00CA2004" w:rsidRDefault="00EC496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8BAC46" w14:textId="77777777" w:rsidR="00340443" w:rsidRPr="00CA2004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CEE7D" w14:textId="77777777" w:rsidR="00246FDC" w:rsidRPr="00246FDC" w:rsidRDefault="00246FDC" w:rsidP="0024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DC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3326093A" w14:textId="77777777" w:rsidR="00246FDC" w:rsidRPr="00246FDC" w:rsidRDefault="00246FDC" w:rsidP="0024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DC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31AE189C" w14:textId="553CCB6A" w:rsidR="00765EC2" w:rsidRDefault="00246FDC" w:rsidP="0024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DC">
        <w:rPr>
          <w:rFonts w:ascii="Times New Roman" w:eastAsia="Times New Roman" w:hAnsi="Times New Roman" w:cs="Times New Roman"/>
          <w:sz w:val="24"/>
          <w:szCs w:val="24"/>
        </w:rPr>
        <w:t>Zagreb, ____________</w:t>
      </w:r>
    </w:p>
    <w:p w14:paraId="7EF2D416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F51C5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4C5F4" w14:textId="77777777" w:rsidR="00345086" w:rsidRPr="00345086" w:rsidRDefault="00345086" w:rsidP="00345086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086">
        <w:rPr>
          <w:rFonts w:ascii="Times New Roman" w:eastAsiaTheme="minorHAnsi" w:hAnsi="Times New Roman" w:cs="Times New Roman"/>
          <w:sz w:val="24"/>
          <w:szCs w:val="24"/>
          <w:lang w:eastAsia="en-US"/>
        </w:rPr>
        <w:t>PREDSJEDNIK</w:t>
      </w:r>
    </w:p>
    <w:p w14:paraId="5D7AFCE7" w14:textId="77777777" w:rsidR="00345086" w:rsidRPr="00345086" w:rsidRDefault="00345086" w:rsidP="003450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450CE6" w14:textId="77777777" w:rsidR="00345086" w:rsidRPr="00345086" w:rsidRDefault="00345086" w:rsidP="00345086">
      <w:pPr>
        <w:spacing w:after="0" w:line="240" w:lineRule="auto"/>
        <w:ind w:left="4956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mr. sc. Andrej Plenković</w:t>
      </w:r>
    </w:p>
    <w:p w14:paraId="7AB0BD1E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41DD5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970FC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5003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A3C1D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0E0C6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C0DA2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3DA71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FEBAD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148C2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E82EB" w14:textId="77777777" w:rsidR="00765EC2" w:rsidRDefault="00765EC2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824BC" w14:textId="77777777" w:rsidR="00673DA8" w:rsidRDefault="00673DA8" w:rsidP="0076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52C44" w14:textId="77777777" w:rsidR="00785AA5" w:rsidRDefault="00785AA5" w:rsidP="0076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5F024" w14:textId="77777777" w:rsidR="00CB0006" w:rsidRDefault="00CB0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6B14525" w14:textId="0DC19320" w:rsidR="00765EC2" w:rsidRPr="00765EC2" w:rsidRDefault="00765EC2" w:rsidP="00CB00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 UREDBE O FINANCIJSKOJ STRUKTURI OMOTNICE ZA PROGRAM IZRAVNIH PLAĆANJA U 20</w:t>
      </w:r>
      <w:r w:rsidR="00C555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7E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65EC2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3948D6A3" w14:textId="77777777" w:rsidR="00CB0006" w:rsidRDefault="00CB0006" w:rsidP="00CB00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652C4" w14:textId="6E4A73C9" w:rsidR="00765EC2" w:rsidRPr="00765EC2" w:rsidRDefault="00765EC2" w:rsidP="00CB00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5291F721" w14:textId="5EB92C94" w:rsidR="00765EC2" w:rsidRPr="00765EC2" w:rsidRDefault="00765EC2" w:rsidP="00CB00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>Sukladno članku 23. stavku 4. Zakona o poljoprivredi (Narodne novine, broj 118/18</w:t>
      </w:r>
      <w:r w:rsidR="00D71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, 42/20</w:t>
      </w:r>
      <w:r w:rsidR="00D71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, 127/20</w:t>
      </w:r>
      <w:r w:rsidR="00D71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 xml:space="preserve"> – Odluka Ustavnog suda Republike Hrvatske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0E11" w:rsidRPr="00C20E11">
        <w:rPr>
          <w:rFonts w:ascii="Times New Roman" w:eastAsia="Times New Roman" w:hAnsi="Times New Roman" w:cs="Times New Roman"/>
          <w:sz w:val="24"/>
          <w:szCs w:val="24"/>
        </w:rPr>
        <w:t>52/</w:t>
      </w:r>
      <w:r w:rsidR="00C20E11" w:rsidRPr="00CB000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71EA4" w:rsidRPr="00CB00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7E85" w:rsidRPr="00CB000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71EA4" w:rsidRPr="00CB0006">
        <w:rPr>
          <w:rFonts w:ascii="Times New Roman" w:eastAsia="Times New Roman" w:hAnsi="Times New Roman" w:cs="Times New Roman"/>
          <w:sz w:val="24"/>
          <w:szCs w:val="24"/>
        </w:rPr>
        <w:t>152</w:t>
      </w:r>
      <w:r w:rsidR="00787E85" w:rsidRPr="00CB0006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D71EA4" w:rsidRPr="00CB00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) Vlada Republike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Hrvatske za svaku godinu propisuje financijsku strukturu omotnice za provedbu mjera iz programa izravnih plaćanja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2833B" w14:textId="7CD96285" w:rsidR="00765EC2" w:rsidRPr="00765EC2" w:rsidRDefault="00765EC2" w:rsidP="00CB00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Prilogom II. 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 (EZ) br. 73/2009, </w:t>
      </w:r>
      <w:r w:rsidRPr="000F415F">
        <w:rPr>
          <w:rFonts w:ascii="Times New Roman" w:eastAsia="Times New Roman" w:hAnsi="Times New Roman" w:cs="Times New Roman"/>
          <w:sz w:val="24"/>
          <w:szCs w:val="24"/>
        </w:rPr>
        <w:t xml:space="preserve">koji je izmijenjen </w:t>
      </w:r>
      <w:r w:rsidR="00923492" w:rsidRPr="00923492">
        <w:rPr>
          <w:rFonts w:ascii="Times New Roman" w:eastAsia="Times New Roman" w:hAnsi="Times New Roman" w:cs="Times New Roman"/>
          <w:sz w:val="24"/>
          <w:szCs w:val="24"/>
        </w:rPr>
        <w:t>Delegiranom uredbom Komisije (EU) 2022/42 оd 8. studenoga 2021. o izmjeni priloga II. i III. Uredbi (EU) br. 1307/2013 Europskog parlamenta i Vijeća u pogledu nacionalnih i neto gornjih granica za izravna plaćanja za određene države članice za kalendarsku godinu 2022.</w:t>
      </w:r>
      <w:r w:rsidRPr="000F41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propisane su godišnje nacionalne gornje granice za financiranje programa izravnih plaćanja iz Europskog fonda za jamstva u poljoprivredi (EFJP). </w:t>
      </w:r>
    </w:p>
    <w:p w14:paraId="6A00ADBD" w14:textId="096E159F" w:rsidR="00787E85" w:rsidRPr="00787E85" w:rsidRDefault="00787E85" w:rsidP="00CB0006">
      <w:pPr>
        <w:pStyle w:val="xmso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</w:t>
      </w: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 Ugovor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 o pristupanju, Republika Hrvatska se do 2021. godine nalazila u razdoblju postupnog uvođenja financiranja programa izravnih plaćanja iz Europskog fonda za jamstva u poljoprivredi, a razliku do utvrđenog godišnjeg plafona za financiranje programa izravnih plaćanja mogla je nadoplatiti iz vlastitih proračunskih sredstava kao dopunska nacionalna izravna plaćanja. </w:t>
      </w:r>
    </w:p>
    <w:p w14:paraId="37162A11" w14:textId="00F01D29" w:rsidR="00787E85" w:rsidRPr="00787E85" w:rsidRDefault="00787E85" w:rsidP="00CB0006">
      <w:pPr>
        <w:pStyle w:val="xmso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Do 2021. godine Uredbama o financijskoj strukturi omotnice za program izravnih plaćanja u pojedinoj proizvodnoj godini utvrđivala se struktura raspodjele sredstava osiguranih u državnom proračunu kojima se financira 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rogram izravnih plaćanja u okviru Zajedničke poljoprivredne politike EU i to u dijelu hrvatskog učešća ili dopunskih nacionalnih izravnih plaćanja. </w:t>
      </w:r>
    </w:p>
    <w:p w14:paraId="6858920F" w14:textId="169B56E2" w:rsidR="00787E85" w:rsidRPr="00787E85" w:rsidRDefault="00787E85" w:rsidP="00CB0006">
      <w:pPr>
        <w:pStyle w:val="xmso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Od 2022. godine 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7E85">
        <w:rPr>
          <w:rFonts w:ascii="Times New Roman" w:eastAsia="Times New Roman" w:hAnsi="Times New Roman" w:cs="Times New Roman"/>
          <w:sz w:val="24"/>
          <w:szCs w:val="24"/>
        </w:rPr>
        <w:t>rogram izravnih plaćanja u potpunosti se financira iz Europskog fonda za jamstva u poljoprivredi (EFJP) te više nema dopunskih nacionalnih izravnih plaćanja iz Državnog proračuna, međutim Uredbom o financijskoj strukturi omotnice za program izravnih plaćanja u 2022. godini ipak je potrebno transponirati raspodjelu sredstava za izravna plaćanja propisanih Uredbom (EU) br. 1307/2013 i Provedbenom uredbom Komisije (EU) 2022/1161. Naime, u Provedbenoj uredbi br. 2021/1161 iznosi za proizvodno vezana plaćanja (PVP) navedeni su na agregatnoj razini, dok bi se Uredbom o financijskoj strukturi omotnice za program izravnih plaćanja u 2022. godini propisali iznosi po pojedinim mjerama u skladu s notificiranim iznosima prema EK.</w:t>
      </w:r>
    </w:p>
    <w:p w14:paraId="521802DF" w14:textId="6060DD4A" w:rsidR="00787E85" w:rsidRDefault="00787E85" w:rsidP="00CB0006">
      <w:pPr>
        <w:pStyle w:val="xmso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Nacionalna gornja granica ili omotnica za izravna plaćanja za 2022. godinu koja se financira iz Europskog fonda za jamstva u poljoprivredi (EFJP) iznosi 403.228.000 EUR i propisana je u Prilogu II. Uredbe (EU) br. 1307/2013, dok je struktura raspodjele omotnice po mjerama iz </w:t>
      </w:r>
      <w:r w:rsidR="00E02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7E85">
        <w:rPr>
          <w:rFonts w:ascii="Times New Roman" w:eastAsia="Times New Roman" w:hAnsi="Times New Roman" w:cs="Times New Roman"/>
          <w:sz w:val="24"/>
          <w:szCs w:val="24"/>
        </w:rPr>
        <w:t xml:space="preserve">rograma izravnih plaćanja koja se financira iz istog </w:t>
      </w:r>
      <w:r w:rsidRPr="00787E85">
        <w:rPr>
          <w:rFonts w:ascii="Times New Roman" w:eastAsia="Times New Roman" w:hAnsi="Times New Roman" w:cs="Times New Roman"/>
          <w:sz w:val="24"/>
          <w:szCs w:val="24"/>
        </w:rPr>
        <w:lastRenderedPageBreak/>
        <w:t>fonda za 2022. godinu propisana Provedbenom uredbom Komisije (EU) 2022/1161 оd 5. srpnja 2022. o utvrđivanju gornjih granica proračuna za 2022. primjenjivih na određene programe izravne potpore predviđene Uredbom (EU) br. 1307/2013 Europskog parlamenta i Vijeća.</w:t>
      </w:r>
    </w:p>
    <w:p w14:paraId="5AF4AA15" w14:textId="6C4B7A9D" w:rsidR="000B088E" w:rsidRDefault="00765EC2" w:rsidP="00CB0006">
      <w:pPr>
        <w:pStyle w:val="xmso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izravna plaćanja u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planirana su sredstva u Državnom pro</w:t>
      </w:r>
      <w:r w:rsidR="000F41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ačunu Republike Hrvatske za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i projekcijama za 20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i u Državnom proračunu za 20</w:t>
      </w:r>
      <w:r w:rsidR="00C20E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i projekcijama za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godinu na proračunsk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aktivnosti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A819058 ZPP – Izravna plaćanja poljoprivrednim proizvođačima na izvoru </w:t>
      </w:r>
      <w:r w:rsidR="003440ED">
        <w:rPr>
          <w:rFonts w:ascii="Times New Roman" w:eastAsia="Times New Roman" w:hAnsi="Times New Roman" w:cs="Times New Roman"/>
          <w:sz w:val="24"/>
          <w:szCs w:val="24"/>
        </w:rPr>
        <w:t>551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 xml:space="preserve"> i na </w:t>
      </w:r>
      <w:r w:rsidR="004C698C" w:rsidRPr="004C698C">
        <w:rPr>
          <w:rFonts w:ascii="Times New Roman" w:eastAsia="Times New Roman" w:hAnsi="Times New Roman" w:cs="Times New Roman"/>
          <w:sz w:val="24"/>
          <w:szCs w:val="24"/>
        </w:rPr>
        <w:t xml:space="preserve">A865037 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698C" w:rsidRPr="004C698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trateški plan 2023-2027 – Izravna plaćanja poljoprivrednim proizvođačima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7D640F" w14:textId="4872E621" w:rsidR="00340443" w:rsidRPr="00CA2004" w:rsidRDefault="00765EC2" w:rsidP="00CB00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Plaćanja za mjere iz </w:t>
      </w:r>
      <w:r w:rsidR="00D71E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rograma izrav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>nih plaćanja u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godini mog</w:t>
      </w:r>
      <w:r w:rsidR="009324D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se izvršiti avansno u razdoblju od 1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>. listopada do 30. studenog 202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. godine, te u još maksimalno dva obrok</w:t>
      </w:r>
      <w:r w:rsidR="0005362A">
        <w:rPr>
          <w:rFonts w:ascii="Times New Roman" w:eastAsia="Times New Roman" w:hAnsi="Times New Roman" w:cs="Times New Roman"/>
          <w:sz w:val="24"/>
          <w:szCs w:val="24"/>
        </w:rPr>
        <w:t>a u</w:t>
      </w:r>
      <w:r w:rsidR="00B83F99">
        <w:rPr>
          <w:rFonts w:ascii="Times New Roman" w:eastAsia="Times New Roman" w:hAnsi="Times New Roman" w:cs="Times New Roman"/>
          <w:sz w:val="24"/>
          <w:szCs w:val="24"/>
        </w:rPr>
        <w:t xml:space="preserve"> razdoblju od 1. </w:t>
      </w:r>
      <w:r w:rsidR="00B83F99" w:rsidRPr="00CB0006">
        <w:rPr>
          <w:rFonts w:ascii="Times New Roman" w:eastAsia="Times New Roman" w:hAnsi="Times New Roman" w:cs="Times New Roman"/>
          <w:sz w:val="24"/>
          <w:szCs w:val="24"/>
        </w:rPr>
        <w:t>prosinca 202</w:t>
      </w:r>
      <w:r w:rsidR="00787E85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. do 30. lipnja 20</w:t>
      </w:r>
      <w:r w:rsidR="00B83F99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E85" w:rsidRPr="00CB00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3F99" w:rsidRPr="00CB0006">
        <w:rPr>
          <w:rFonts w:ascii="Times New Roman" w:eastAsia="Times New Roman" w:hAnsi="Times New Roman" w:cs="Times New Roman"/>
          <w:sz w:val="24"/>
          <w:szCs w:val="24"/>
        </w:rPr>
        <w:t>. godine. U 202</w:t>
      </w:r>
      <w:r w:rsidR="00787E85" w:rsidRPr="00CB00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. godini izvršena je isplata</w:t>
      </w:r>
      <w:r w:rsidR="0005362A" w:rsidRPr="00CB0006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 xml:space="preserve"> u iznosu od </w:t>
      </w:r>
      <w:r w:rsidR="004C698C" w:rsidRPr="004C69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698C" w:rsidRPr="004C698C">
        <w:rPr>
          <w:rFonts w:ascii="Times New Roman" w:eastAsia="Times New Roman" w:hAnsi="Times New Roman" w:cs="Times New Roman"/>
          <w:sz w:val="24"/>
          <w:szCs w:val="24"/>
        </w:rPr>
        <w:t xml:space="preserve">3.471.367,62 </w:t>
      </w:r>
      <w:r w:rsidR="004C698C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CB0006">
        <w:rPr>
          <w:rFonts w:ascii="Times New Roman" w:eastAsia="Times New Roman" w:hAnsi="Times New Roman" w:cs="Times New Roman"/>
          <w:sz w:val="24"/>
          <w:szCs w:val="24"/>
        </w:rPr>
        <w:t>. Prema dosadašnjoj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dinamici plaćanja prvi obrok se isplaćuje u veljači, kako bi se poljoprivrednicima pravovremeno osigurala obrtna sredstva za pripremu proljetne sjetve, a drugi u svibnju. S obzirom na </w:t>
      </w:r>
      <w:r w:rsidR="00787E85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>rokove za isplatu, predlaže se stup</w:t>
      </w:r>
      <w:r w:rsidR="007B7320">
        <w:rPr>
          <w:rFonts w:ascii="Times New Roman" w:eastAsia="Times New Roman" w:hAnsi="Times New Roman" w:cs="Times New Roman"/>
          <w:sz w:val="24"/>
          <w:szCs w:val="24"/>
        </w:rPr>
        <w:t>anje Uredbe</w:t>
      </w:r>
      <w:r w:rsidRPr="00765EC2">
        <w:rPr>
          <w:rFonts w:ascii="Times New Roman" w:eastAsia="Times New Roman" w:hAnsi="Times New Roman" w:cs="Times New Roman"/>
          <w:sz w:val="24"/>
          <w:szCs w:val="24"/>
        </w:rPr>
        <w:t xml:space="preserve"> na snagu prvoga dana od dana objave u Narodnim novinama.</w:t>
      </w:r>
    </w:p>
    <w:sectPr w:rsidR="00340443" w:rsidRPr="00CA2004" w:rsidSect="00D3060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593D" w14:textId="77777777" w:rsidR="008332D7" w:rsidRDefault="008332D7" w:rsidP="00496E50">
      <w:pPr>
        <w:spacing w:after="0" w:line="240" w:lineRule="auto"/>
      </w:pPr>
      <w:r>
        <w:separator/>
      </w:r>
    </w:p>
  </w:endnote>
  <w:endnote w:type="continuationSeparator" w:id="0">
    <w:p w14:paraId="152DFADB" w14:textId="77777777" w:rsidR="008332D7" w:rsidRDefault="008332D7" w:rsidP="004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5F21" w14:textId="77777777" w:rsidR="008332D7" w:rsidRDefault="008332D7" w:rsidP="00496E50">
      <w:pPr>
        <w:spacing w:after="0" w:line="240" w:lineRule="auto"/>
      </w:pPr>
      <w:r>
        <w:separator/>
      </w:r>
    </w:p>
  </w:footnote>
  <w:footnote w:type="continuationSeparator" w:id="0">
    <w:p w14:paraId="561B1D50" w14:textId="77777777" w:rsidR="008332D7" w:rsidRDefault="008332D7" w:rsidP="0049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6FB"/>
    <w:multiLevelType w:val="hybridMultilevel"/>
    <w:tmpl w:val="A7E81472"/>
    <w:lvl w:ilvl="0" w:tplc="23B2C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23E"/>
    <w:multiLevelType w:val="hybridMultilevel"/>
    <w:tmpl w:val="01022BD4"/>
    <w:lvl w:ilvl="0" w:tplc="02CE1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D"/>
    <w:rsid w:val="00015013"/>
    <w:rsid w:val="000370C6"/>
    <w:rsid w:val="00040B2B"/>
    <w:rsid w:val="00044B32"/>
    <w:rsid w:val="000473D6"/>
    <w:rsid w:val="0005362A"/>
    <w:rsid w:val="00053807"/>
    <w:rsid w:val="00060F5C"/>
    <w:rsid w:val="00062F9F"/>
    <w:rsid w:val="0006436E"/>
    <w:rsid w:val="000923B2"/>
    <w:rsid w:val="000A4B13"/>
    <w:rsid w:val="000B088E"/>
    <w:rsid w:val="000D3746"/>
    <w:rsid w:val="000D449D"/>
    <w:rsid w:val="000D6597"/>
    <w:rsid w:val="000F2830"/>
    <w:rsid w:val="000F415F"/>
    <w:rsid w:val="0010252C"/>
    <w:rsid w:val="00134099"/>
    <w:rsid w:val="001353DB"/>
    <w:rsid w:val="00136518"/>
    <w:rsid w:val="001378AF"/>
    <w:rsid w:val="00154EB3"/>
    <w:rsid w:val="00156886"/>
    <w:rsid w:val="001628FA"/>
    <w:rsid w:val="001B47C4"/>
    <w:rsid w:val="001D039B"/>
    <w:rsid w:val="001D1718"/>
    <w:rsid w:val="001E7316"/>
    <w:rsid w:val="00212285"/>
    <w:rsid w:val="00221313"/>
    <w:rsid w:val="002271B3"/>
    <w:rsid w:val="002332C5"/>
    <w:rsid w:val="00237DD9"/>
    <w:rsid w:val="00246FDC"/>
    <w:rsid w:val="00254C35"/>
    <w:rsid w:val="00257778"/>
    <w:rsid w:val="0026265E"/>
    <w:rsid w:val="002700A1"/>
    <w:rsid w:val="002709A8"/>
    <w:rsid w:val="00280A61"/>
    <w:rsid w:val="002947CB"/>
    <w:rsid w:val="00294FA2"/>
    <w:rsid w:val="002B02CA"/>
    <w:rsid w:val="002C1762"/>
    <w:rsid w:val="002C7C16"/>
    <w:rsid w:val="002D24E8"/>
    <w:rsid w:val="002E106E"/>
    <w:rsid w:val="0031119F"/>
    <w:rsid w:val="00326EC9"/>
    <w:rsid w:val="003273F7"/>
    <w:rsid w:val="0033775D"/>
    <w:rsid w:val="00340443"/>
    <w:rsid w:val="003440ED"/>
    <w:rsid w:val="00345086"/>
    <w:rsid w:val="003549D6"/>
    <w:rsid w:val="00366625"/>
    <w:rsid w:val="0039660E"/>
    <w:rsid w:val="003B05E5"/>
    <w:rsid w:val="003B475D"/>
    <w:rsid w:val="003D2955"/>
    <w:rsid w:val="003D6E89"/>
    <w:rsid w:val="003E1197"/>
    <w:rsid w:val="003E4E25"/>
    <w:rsid w:val="003F0D0B"/>
    <w:rsid w:val="003F253F"/>
    <w:rsid w:val="00403A37"/>
    <w:rsid w:val="0040506A"/>
    <w:rsid w:val="00445B89"/>
    <w:rsid w:val="00457E5C"/>
    <w:rsid w:val="00481553"/>
    <w:rsid w:val="00490D84"/>
    <w:rsid w:val="00496E50"/>
    <w:rsid w:val="004A2AB5"/>
    <w:rsid w:val="004A7696"/>
    <w:rsid w:val="004C5F76"/>
    <w:rsid w:val="004C698C"/>
    <w:rsid w:val="004F7F27"/>
    <w:rsid w:val="00540AFB"/>
    <w:rsid w:val="0057170F"/>
    <w:rsid w:val="005803A3"/>
    <w:rsid w:val="0059640C"/>
    <w:rsid w:val="005F1A13"/>
    <w:rsid w:val="005F4418"/>
    <w:rsid w:val="006103B8"/>
    <w:rsid w:val="006266F6"/>
    <w:rsid w:val="006301FD"/>
    <w:rsid w:val="00660450"/>
    <w:rsid w:val="00671105"/>
    <w:rsid w:val="00673DA8"/>
    <w:rsid w:val="006869ED"/>
    <w:rsid w:val="00690D3C"/>
    <w:rsid w:val="006A29BA"/>
    <w:rsid w:val="006A6D14"/>
    <w:rsid w:val="006A7B9F"/>
    <w:rsid w:val="006B3DFD"/>
    <w:rsid w:val="006C4717"/>
    <w:rsid w:val="006D2EF5"/>
    <w:rsid w:val="006D72AB"/>
    <w:rsid w:val="006E17E3"/>
    <w:rsid w:val="0070271E"/>
    <w:rsid w:val="00713B28"/>
    <w:rsid w:val="00714053"/>
    <w:rsid w:val="0072265A"/>
    <w:rsid w:val="00734CDD"/>
    <w:rsid w:val="00736ED0"/>
    <w:rsid w:val="00742D96"/>
    <w:rsid w:val="00765EC2"/>
    <w:rsid w:val="00785AA5"/>
    <w:rsid w:val="00787E85"/>
    <w:rsid w:val="007A0E6B"/>
    <w:rsid w:val="007A3BAE"/>
    <w:rsid w:val="007A6407"/>
    <w:rsid w:val="007B0E2D"/>
    <w:rsid w:val="007B16BF"/>
    <w:rsid w:val="007B18AB"/>
    <w:rsid w:val="007B5E01"/>
    <w:rsid w:val="007B7320"/>
    <w:rsid w:val="007C29FA"/>
    <w:rsid w:val="007F2263"/>
    <w:rsid w:val="007F6A4D"/>
    <w:rsid w:val="00803A94"/>
    <w:rsid w:val="0080489A"/>
    <w:rsid w:val="00805315"/>
    <w:rsid w:val="0081788C"/>
    <w:rsid w:val="008332D7"/>
    <w:rsid w:val="00856601"/>
    <w:rsid w:val="008615A5"/>
    <w:rsid w:val="008653B2"/>
    <w:rsid w:val="0087183E"/>
    <w:rsid w:val="00872DA8"/>
    <w:rsid w:val="00874A0F"/>
    <w:rsid w:val="0089538B"/>
    <w:rsid w:val="008A60CA"/>
    <w:rsid w:val="008C18E6"/>
    <w:rsid w:val="008D6C2C"/>
    <w:rsid w:val="00901A35"/>
    <w:rsid w:val="00907982"/>
    <w:rsid w:val="0091461C"/>
    <w:rsid w:val="00920B8F"/>
    <w:rsid w:val="00923492"/>
    <w:rsid w:val="00924997"/>
    <w:rsid w:val="009324DD"/>
    <w:rsid w:val="009401F1"/>
    <w:rsid w:val="009665F5"/>
    <w:rsid w:val="00984CFE"/>
    <w:rsid w:val="00984F96"/>
    <w:rsid w:val="00991943"/>
    <w:rsid w:val="009B74CF"/>
    <w:rsid w:val="009C1113"/>
    <w:rsid w:val="009C3F28"/>
    <w:rsid w:val="009D1889"/>
    <w:rsid w:val="009E2D2F"/>
    <w:rsid w:val="00A20769"/>
    <w:rsid w:val="00A26A77"/>
    <w:rsid w:val="00A40B7C"/>
    <w:rsid w:val="00A54304"/>
    <w:rsid w:val="00A63411"/>
    <w:rsid w:val="00A66049"/>
    <w:rsid w:val="00A75BC7"/>
    <w:rsid w:val="00A80C12"/>
    <w:rsid w:val="00A94F9B"/>
    <w:rsid w:val="00AB4D3C"/>
    <w:rsid w:val="00AB6D78"/>
    <w:rsid w:val="00AE0C4B"/>
    <w:rsid w:val="00AE4CBB"/>
    <w:rsid w:val="00AF285F"/>
    <w:rsid w:val="00B05667"/>
    <w:rsid w:val="00B064A4"/>
    <w:rsid w:val="00B228FE"/>
    <w:rsid w:val="00B37A26"/>
    <w:rsid w:val="00B437D4"/>
    <w:rsid w:val="00B475F9"/>
    <w:rsid w:val="00B621C5"/>
    <w:rsid w:val="00B7217A"/>
    <w:rsid w:val="00B83BC3"/>
    <w:rsid w:val="00B83F99"/>
    <w:rsid w:val="00B91FF0"/>
    <w:rsid w:val="00B928DF"/>
    <w:rsid w:val="00BB1DFC"/>
    <w:rsid w:val="00BB364A"/>
    <w:rsid w:val="00BC1B77"/>
    <w:rsid w:val="00BC47E0"/>
    <w:rsid w:val="00BE0FB1"/>
    <w:rsid w:val="00BE7AA5"/>
    <w:rsid w:val="00BF30BF"/>
    <w:rsid w:val="00C02CFD"/>
    <w:rsid w:val="00C15181"/>
    <w:rsid w:val="00C1564A"/>
    <w:rsid w:val="00C20E11"/>
    <w:rsid w:val="00C30AC0"/>
    <w:rsid w:val="00C33DF8"/>
    <w:rsid w:val="00C46A74"/>
    <w:rsid w:val="00C53653"/>
    <w:rsid w:val="00C55589"/>
    <w:rsid w:val="00C868F5"/>
    <w:rsid w:val="00C86B9D"/>
    <w:rsid w:val="00C877A5"/>
    <w:rsid w:val="00C93FCE"/>
    <w:rsid w:val="00CA2004"/>
    <w:rsid w:val="00CA6737"/>
    <w:rsid w:val="00CB0006"/>
    <w:rsid w:val="00CB0DF3"/>
    <w:rsid w:val="00CC7B35"/>
    <w:rsid w:val="00CE3200"/>
    <w:rsid w:val="00CF4A42"/>
    <w:rsid w:val="00D2347E"/>
    <w:rsid w:val="00D3060B"/>
    <w:rsid w:val="00D54C4D"/>
    <w:rsid w:val="00D71EA4"/>
    <w:rsid w:val="00D74FD9"/>
    <w:rsid w:val="00D82781"/>
    <w:rsid w:val="00DA246B"/>
    <w:rsid w:val="00DA4D18"/>
    <w:rsid w:val="00DD7FF7"/>
    <w:rsid w:val="00DE17BD"/>
    <w:rsid w:val="00DF068A"/>
    <w:rsid w:val="00DF7A7E"/>
    <w:rsid w:val="00E02376"/>
    <w:rsid w:val="00E032DD"/>
    <w:rsid w:val="00E0511B"/>
    <w:rsid w:val="00E20F26"/>
    <w:rsid w:val="00E23E68"/>
    <w:rsid w:val="00E31BA2"/>
    <w:rsid w:val="00E53306"/>
    <w:rsid w:val="00E734D4"/>
    <w:rsid w:val="00E943B6"/>
    <w:rsid w:val="00EA4C78"/>
    <w:rsid w:val="00EC10AB"/>
    <w:rsid w:val="00EC1AEA"/>
    <w:rsid w:val="00EC4967"/>
    <w:rsid w:val="00EC59CE"/>
    <w:rsid w:val="00EF3C22"/>
    <w:rsid w:val="00EF710F"/>
    <w:rsid w:val="00F01A2A"/>
    <w:rsid w:val="00F029DE"/>
    <w:rsid w:val="00F30DE3"/>
    <w:rsid w:val="00F555DD"/>
    <w:rsid w:val="00F562D8"/>
    <w:rsid w:val="00F80313"/>
    <w:rsid w:val="00F857A5"/>
    <w:rsid w:val="00FA0DF7"/>
    <w:rsid w:val="00FB5DF0"/>
    <w:rsid w:val="00FC24EC"/>
    <w:rsid w:val="00FE7A09"/>
    <w:rsid w:val="00FF195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0FE2C"/>
  <w15:docId w15:val="{4D776B2D-A53B-4C53-9ECB-D43A7F9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717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50"/>
  </w:style>
  <w:style w:type="paragraph" w:styleId="Footer">
    <w:name w:val="footer"/>
    <w:basedOn w:val="Normal"/>
    <w:link w:val="Footer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50"/>
  </w:style>
  <w:style w:type="paragraph" w:styleId="ListParagraph">
    <w:name w:val="List Paragraph"/>
    <w:basedOn w:val="Normal"/>
    <w:uiPriority w:val="34"/>
    <w:qFormat/>
    <w:rsid w:val="00053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3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3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eetkatablice1">
    <w:name w:val="Rešetka tablice1"/>
    <w:basedOn w:val="TableNormal"/>
    <w:next w:val="TableGrid"/>
    <w:rsid w:val="003D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87E85"/>
    <w:pPr>
      <w:spacing w:after="160" w:line="252" w:lineRule="auto"/>
    </w:pPr>
    <w:rPr>
      <w:rFonts w:ascii="Calibri" w:eastAsiaTheme="minorHAnsi" w:hAnsi="Calibri" w:cs="Calibri"/>
    </w:rPr>
  </w:style>
  <w:style w:type="paragraph" w:customStyle="1" w:styleId="oj-doc-ti">
    <w:name w:val="oj-doc-ti"/>
    <w:basedOn w:val="Normal"/>
    <w:rsid w:val="00E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year-date">
    <w:name w:val="oj-year-date"/>
    <w:basedOn w:val="Normal"/>
    <w:rsid w:val="00E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1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AZJMDCZ6QSYZ-1849078857-26712</_dlc_DocId>
    <_dlc_DocIdUrl xmlns="a494813a-d0d8-4dad-94cb-0d196f36ba15">
      <Url>https://ekoordinacije.vlada.hr/koordinacija-gospodarstvo/_layouts/15/DocIdRedir.aspx?ID=AZJMDCZ6QSYZ-1849078857-26712</Url>
      <Description>AZJMDCZ6QSYZ-1849078857-26712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5D8F-9ACE-4346-87F3-3378C557BC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F6A9C-120D-4401-8411-C4FA43CF1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4FD4-1D4C-46EF-A66F-B615E6E0DB9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ABE479-F1E7-46C2-BC8A-9BBE27E47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CEE898-4633-4E17-856E-41B0063B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Gezim Ramqaj</dc:creator>
  <cp:lastModifiedBy>Sunčica Marini</cp:lastModifiedBy>
  <cp:revision>3</cp:revision>
  <cp:lastPrinted>2022-01-04T12:52:00Z</cp:lastPrinted>
  <dcterms:created xsi:type="dcterms:W3CDTF">2023-04-05T07:29:00Z</dcterms:created>
  <dcterms:modified xsi:type="dcterms:W3CDTF">2023-04-19T12:57:00Z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8c4b973a-7765-4933-920c-ff14670afa14</vt:lpwstr>
  </property>
</Properties>
</file>