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9C" w:rsidRPr="00CB439C" w:rsidRDefault="00CB439C" w:rsidP="00CB439C"/>
    <w:p w:rsidR="00CB439C" w:rsidRPr="00CB439C" w:rsidRDefault="00CB439C" w:rsidP="00CB439C"/>
    <w:p w:rsidR="00B34242" w:rsidRDefault="00B34242" w:rsidP="00CB439C"/>
    <w:p w:rsidR="00B34242" w:rsidRDefault="00B34242" w:rsidP="00CB439C"/>
    <w:p w:rsidR="00B34242" w:rsidRDefault="00B34242" w:rsidP="00CB439C"/>
    <w:p w:rsidR="00CB439C" w:rsidRPr="00CB439C" w:rsidRDefault="00CB439C" w:rsidP="00CB439C">
      <w:r w:rsidRPr="00CB439C">
        <w:t xml:space="preserve">KLASA: </w:t>
      </w:r>
      <w:r w:rsidR="00B34242">
        <w:tab/>
      </w:r>
    </w:p>
    <w:p w:rsidR="00CB439C" w:rsidRDefault="00CB439C" w:rsidP="00CB439C">
      <w:r w:rsidRPr="00CB439C">
        <w:t xml:space="preserve">URBROJ: </w:t>
      </w:r>
      <w:r w:rsidR="00B34242">
        <w:tab/>
      </w:r>
    </w:p>
    <w:p w:rsidR="00B34242" w:rsidRPr="00CB439C" w:rsidRDefault="00B34242" w:rsidP="00CB439C"/>
    <w:p w:rsidR="00CB439C" w:rsidRPr="00CB439C" w:rsidRDefault="00CB439C" w:rsidP="00CB439C">
      <w:r w:rsidRPr="00CB439C">
        <w:t xml:space="preserve">Zagreb, </w:t>
      </w:r>
      <w:r w:rsidR="00B34242">
        <w:tab/>
        <w:t>16. veljače 2023.</w:t>
      </w:r>
    </w:p>
    <w:p w:rsidR="00CB439C" w:rsidRPr="00CB439C" w:rsidRDefault="00CB439C" w:rsidP="00CB439C">
      <w:r w:rsidRPr="00CB439C">
        <w:rPr>
          <w:b/>
        </w:rPr>
        <w:t xml:space="preserve"> </w:t>
      </w:r>
    </w:p>
    <w:p w:rsidR="00CB439C" w:rsidRPr="00CB439C" w:rsidRDefault="00CB439C" w:rsidP="00CB439C">
      <w:r w:rsidRPr="00CB439C">
        <w:rPr>
          <w:b/>
        </w:rPr>
        <w:t xml:space="preserve"> </w:t>
      </w:r>
    </w:p>
    <w:p w:rsidR="00CB439C" w:rsidRPr="00CB439C" w:rsidRDefault="00CB439C" w:rsidP="00CB439C">
      <w:r w:rsidRPr="00CB439C">
        <w:rPr>
          <w:b/>
        </w:rPr>
        <w:t xml:space="preserve"> </w:t>
      </w:r>
      <w:r w:rsidRPr="00CB439C">
        <w:rPr>
          <w:b/>
        </w:rPr>
        <w:tab/>
        <w:t xml:space="preserve">  </w:t>
      </w:r>
      <w:r w:rsidRPr="00CB439C">
        <w:rPr>
          <w:b/>
        </w:rPr>
        <w:tab/>
        <w:t xml:space="preserve"> </w:t>
      </w:r>
      <w:r w:rsidRPr="00CB439C">
        <w:rPr>
          <w:b/>
        </w:rPr>
        <w:tab/>
        <w:t xml:space="preserve"> </w:t>
      </w:r>
      <w:r w:rsidRPr="00CB439C">
        <w:rPr>
          <w:b/>
        </w:rPr>
        <w:tab/>
        <w:t xml:space="preserve"> </w:t>
      </w:r>
      <w:r w:rsidRPr="00CB439C">
        <w:rPr>
          <w:b/>
        </w:rPr>
        <w:tab/>
        <w:t xml:space="preserve"> </w:t>
      </w:r>
    </w:p>
    <w:p w:rsidR="00CB439C" w:rsidRPr="00CB439C" w:rsidRDefault="00CB439C" w:rsidP="00CB439C">
      <w:r w:rsidRPr="00CB439C">
        <w:rPr>
          <w:b/>
        </w:rPr>
        <w:t xml:space="preserve"> </w:t>
      </w:r>
      <w:r w:rsidRPr="00CB439C">
        <w:rPr>
          <w:b/>
        </w:rPr>
        <w:tab/>
        <w:t xml:space="preserve">  </w:t>
      </w:r>
      <w:r w:rsidRPr="00CB439C">
        <w:rPr>
          <w:b/>
        </w:rPr>
        <w:tab/>
        <w:t xml:space="preserve"> </w:t>
      </w:r>
      <w:r w:rsidRPr="00CB439C">
        <w:rPr>
          <w:b/>
        </w:rPr>
        <w:tab/>
        <w:t xml:space="preserve"> </w:t>
      </w:r>
      <w:r w:rsidRPr="00CB439C">
        <w:rPr>
          <w:b/>
        </w:rPr>
        <w:tab/>
        <w:t xml:space="preserve"> </w:t>
      </w:r>
      <w:r w:rsidRPr="00CB439C">
        <w:rPr>
          <w:b/>
        </w:rPr>
        <w:tab/>
        <w:t xml:space="preserve">PREDSJEDNIKU HRVATSKOGA SABORA </w:t>
      </w:r>
    </w:p>
    <w:p w:rsidR="00CB439C" w:rsidRPr="00CB439C" w:rsidRDefault="00CB439C" w:rsidP="00CB439C">
      <w:r w:rsidRPr="00CB439C">
        <w:rPr>
          <w:b/>
        </w:rPr>
        <w:t xml:space="preserve"> </w:t>
      </w:r>
    </w:p>
    <w:p w:rsidR="00CB439C" w:rsidRPr="00CB439C" w:rsidRDefault="00CB439C" w:rsidP="00CB439C">
      <w:r w:rsidRPr="00CB439C">
        <w:t xml:space="preserve"> </w:t>
      </w:r>
    </w:p>
    <w:p w:rsidR="00CB439C" w:rsidRPr="00CB439C" w:rsidRDefault="00CB439C" w:rsidP="00CB439C">
      <w:r w:rsidRPr="00CB439C">
        <w:t xml:space="preserve"> </w:t>
      </w:r>
    </w:p>
    <w:p w:rsidR="00CB439C" w:rsidRPr="00CB439C" w:rsidRDefault="00CB439C" w:rsidP="00B34242">
      <w:pPr>
        <w:ind w:left="1418" w:hanging="1418"/>
        <w:jc w:val="both"/>
      </w:pPr>
      <w:r w:rsidRPr="00CB439C">
        <w:t>PREDMET:</w:t>
      </w:r>
      <w:r w:rsidRPr="00CB439C">
        <w:tab/>
      </w:r>
      <w:bookmarkStart w:id="0" w:name="_Hlk127262936"/>
      <w:r w:rsidRPr="00CB439C">
        <w:t xml:space="preserve">Prijedlog za pokretanje pitanja povjerenja Andreju Plenkoviću, predsjedniku Vlade </w:t>
      </w:r>
      <w:r w:rsidR="005F39E9">
        <w:t xml:space="preserve">Republike Hrvatske </w:t>
      </w:r>
      <w:r w:rsidRPr="00CB439C">
        <w:t xml:space="preserve">(predlagatelji: 33 zastupnika u Hrvatskome saboru) </w:t>
      </w:r>
      <w:bookmarkEnd w:id="0"/>
      <w:r w:rsidR="008735D3">
        <w:t>–</w:t>
      </w:r>
      <w:r w:rsidR="008735D3" w:rsidRPr="00CB439C">
        <w:t xml:space="preserve"> </w:t>
      </w:r>
      <w:r w:rsidRPr="00CB439C">
        <w:t>očitovanje Vlade Republike Hrvatske</w:t>
      </w:r>
    </w:p>
    <w:p w:rsidR="00CB439C" w:rsidRPr="00CB439C" w:rsidRDefault="00CB439C" w:rsidP="00CB439C">
      <w:pPr>
        <w:jc w:val="both"/>
      </w:pPr>
      <w:r w:rsidRPr="00CB439C">
        <w:t xml:space="preserve"> </w:t>
      </w:r>
    </w:p>
    <w:p w:rsidR="00CB439C" w:rsidRDefault="00CB439C" w:rsidP="00B34242">
      <w:pPr>
        <w:ind w:left="1418" w:hanging="1418"/>
        <w:jc w:val="both"/>
      </w:pPr>
      <w:r w:rsidRPr="00CB439C">
        <w:t>Veza:</w:t>
      </w:r>
      <w:r w:rsidR="008735D3">
        <w:tab/>
      </w:r>
      <w:r w:rsidRPr="00CB439C">
        <w:t xml:space="preserve">Pismo Hrvatskoga sabora, KLASA: 021-03/23-08/09, URBROJ: 65-23-03, </w:t>
      </w:r>
      <w:r w:rsidR="008735D3">
        <w:br/>
      </w:r>
      <w:r w:rsidR="008735D3" w:rsidRPr="00CB439C">
        <w:t>od</w:t>
      </w:r>
      <w:r w:rsidR="008735D3" w:rsidRPr="00CB439C" w:rsidDel="008735D3">
        <w:t xml:space="preserve"> </w:t>
      </w:r>
      <w:r w:rsidRPr="00CB439C">
        <w:t>9.</w:t>
      </w:r>
      <w:r w:rsidR="008735D3">
        <w:t> </w:t>
      </w:r>
      <w:r w:rsidRPr="00CB439C">
        <w:t xml:space="preserve">veljače 2023.   </w:t>
      </w:r>
    </w:p>
    <w:p w:rsidR="00B34242" w:rsidRPr="00CB439C" w:rsidRDefault="00B34242" w:rsidP="00B34242">
      <w:pPr>
        <w:ind w:left="1418" w:hanging="1418"/>
        <w:jc w:val="both"/>
      </w:pPr>
    </w:p>
    <w:p w:rsidR="00CB439C" w:rsidRPr="00CB439C" w:rsidRDefault="00B34242" w:rsidP="006F3811">
      <w:pPr>
        <w:spacing w:before="240"/>
        <w:ind w:firstLine="708"/>
        <w:jc w:val="both"/>
      </w:pPr>
      <w:r>
        <w:tab/>
      </w:r>
      <w:r w:rsidR="00CB439C" w:rsidRPr="00CB439C">
        <w:t xml:space="preserve">Na temelju članka 125. stavka 4. Poslovnika Hrvatskoga sabora („Narodne novine“, br. 81/13., 113/16., 69/17., 29/18., 53/20., 119/20. </w:t>
      </w:r>
      <w:r w:rsidR="008735D3">
        <w:t>–</w:t>
      </w:r>
      <w:r w:rsidR="008735D3" w:rsidRPr="00CB439C">
        <w:t xml:space="preserve"> </w:t>
      </w:r>
      <w:r w:rsidR="00CB439C" w:rsidRPr="00CB439C">
        <w:t>Odluka Ustavnog suda Republike Hrvatske i 123/20.), Vlada Republike Hrvatske o Prijedlogu za pokretanje pitanja povjerenja Andreju Plenkoviću, predsjedniku Vlade</w:t>
      </w:r>
      <w:r w:rsidR="005F39E9" w:rsidRPr="005F39E9">
        <w:t xml:space="preserve"> </w:t>
      </w:r>
      <w:r w:rsidR="005F39E9">
        <w:t>Republike Hrvatske</w:t>
      </w:r>
      <w:r w:rsidR="00CB439C" w:rsidRPr="00CB439C">
        <w:t>, daje sljedeće</w:t>
      </w:r>
    </w:p>
    <w:p w:rsidR="00CB439C" w:rsidRPr="00CB439C" w:rsidRDefault="00CB439C" w:rsidP="00CB439C"/>
    <w:p w:rsidR="00CB439C" w:rsidRPr="00CB439C" w:rsidRDefault="00CB439C" w:rsidP="00CB439C"/>
    <w:p w:rsidR="00CB439C" w:rsidRDefault="00CB439C" w:rsidP="00EF4199">
      <w:pPr>
        <w:jc w:val="center"/>
        <w:rPr>
          <w:b/>
        </w:rPr>
      </w:pPr>
      <w:r w:rsidRPr="00CB439C">
        <w:rPr>
          <w:b/>
        </w:rPr>
        <w:t>O Č I T O V A N J E</w:t>
      </w:r>
    </w:p>
    <w:p w:rsidR="00EF4199" w:rsidRPr="00EF4199" w:rsidRDefault="00EF4199" w:rsidP="00EF4199">
      <w:pPr>
        <w:jc w:val="center"/>
        <w:rPr>
          <w:b/>
        </w:rPr>
      </w:pPr>
    </w:p>
    <w:p w:rsidR="00CB439C" w:rsidRPr="00CB439C" w:rsidRDefault="00B34242" w:rsidP="006F3811">
      <w:pPr>
        <w:spacing w:before="240"/>
        <w:ind w:firstLine="708"/>
        <w:jc w:val="both"/>
      </w:pPr>
      <w:r>
        <w:tab/>
      </w:r>
      <w:r w:rsidR="00CB439C" w:rsidRPr="00CB439C">
        <w:t>Vlada Republike Hrvatske odbija sve navode iz Prijedloga za pokretanje pitanja povjerenja Andreju Plenkoviću, predsjedniku Vlade kao neutemeljene te ističe da nema osnove za izglasavanje nepovjerenja predsjedniku Vlade. Svoje stajalište Vlada temelji na činjenicama koje se navode u nastavku ovoga očitovanja.</w:t>
      </w:r>
      <w:r w:rsidR="00FE6119">
        <w:t xml:space="preserve"> </w:t>
      </w:r>
    </w:p>
    <w:p w:rsidR="00FD09D8" w:rsidRDefault="00B34242" w:rsidP="006F3811">
      <w:pPr>
        <w:spacing w:before="240"/>
        <w:ind w:firstLine="708"/>
        <w:jc w:val="both"/>
      </w:pPr>
      <w:r>
        <w:tab/>
      </w:r>
      <w:r w:rsidR="00CB439C" w:rsidRPr="00CB439C">
        <w:t xml:space="preserve">Prijedlog </w:t>
      </w:r>
      <w:r w:rsidR="008735D3">
        <w:t>je</w:t>
      </w:r>
      <w:r w:rsidR="008735D3" w:rsidRPr="00CB439C">
        <w:t xml:space="preserve"> </w:t>
      </w:r>
      <w:r w:rsidR="00CB439C" w:rsidRPr="00CB439C">
        <w:t xml:space="preserve">još jedan </w:t>
      </w:r>
      <w:r w:rsidR="005F39E9">
        <w:t xml:space="preserve">loš </w:t>
      </w:r>
      <w:r w:rsidR="00CB439C" w:rsidRPr="00CB439C">
        <w:t xml:space="preserve">uradak oporbe koji se </w:t>
      </w:r>
      <w:r w:rsidR="008735D3">
        <w:t>zasniva</w:t>
      </w:r>
      <w:r w:rsidR="008735D3" w:rsidRPr="00CB439C">
        <w:t xml:space="preserve"> </w:t>
      </w:r>
      <w:r w:rsidR="00CB439C" w:rsidRPr="00CB439C">
        <w:t>na n</w:t>
      </w:r>
      <w:r w:rsidR="00255634">
        <w:t>izu neistina i netočnih tvrdnji</w:t>
      </w:r>
      <w:r w:rsidR="008735D3">
        <w:t>.</w:t>
      </w:r>
      <w:r w:rsidR="00FD09D8">
        <w:t xml:space="preserve"> </w:t>
      </w:r>
      <w:r w:rsidR="008735D3">
        <w:t>Jedina mu je svrha skren</w:t>
      </w:r>
      <w:r w:rsidR="005F39E9">
        <w:t>uti</w:t>
      </w:r>
      <w:r w:rsidR="008735D3">
        <w:t xml:space="preserve"> </w:t>
      </w:r>
      <w:r w:rsidR="00FE6119">
        <w:t>pozornost</w:t>
      </w:r>
      <w:r w:rsidR="005F39E9">
        <w:t xml:space="preserve"> na postojanje oporbe koja ne daje nikakav</w:t>
      </w:r>
      <w:r w:rsidR="00FE6119">
        <w:t xml:space="preserve"> </w:t>
      </w:r>
      <w:r w:rsidR="00E30525">
        <w:t xml:space="preserve">konstruktivan </w:t>
      </w:r>
      <w:r w:rsidR="00FD09D8">
        <w:t xml:space="preserve">doprinos zaštiti građana i gospodarstva </w:t>
      </w:r>
      <w:r w:rsidR="00EF4199">
        <w:t>u isprepletenim krizama, niti ostvarivanju nacionalnih strateških ciljeva</w:t>
      </w:r>
      <w:r w:rsidR="00FD09D8">
        <w:t xml:space="preserve">. </w:t>
      </w:r>
    </w:p>
    <w:p w:rsidR="00CB439C" w:rsidRDefault="00B34242" w:rsidP="006F3811">
      <w:pPr>
        <w:spacing w:before="240"/>
        <w:ind w:firstLine="709"/>
        <w:jc w:val="both"/>
      </w:pPr>
      <w:r>
        <w:tab/>
      </w:r>
      <w:r w:rsidR="001739E5" w:rsidRPr="001739E5">
        <w:t>Od 33 zastupnika koji su potpisali ovaj Prijedlog, čak 29 njih je pokazalo svoje pravo lice u prosincu prošle godine kada je odbilo izglasati sudjelovanje Republike Hrvatske u Misiji Europske unije za vojnu pomoć Ukrajini.</w:t>
      </w:r>
    </w:p>
    <w:p w:rsidR="00AF2065" w:rsidRPr="00CB439C" w:rsidRDefault="00AF2065" w:rsidP="00EF4199">
      <w:pPr>
        <w:jc w:val="both"/>
      </w:pPr>
    </w:p>
    <w:p w:rsidR="00CB439C" w:rsidRDefault="00B34242" w:rsidP="00104E11">
      <w:pPr>
        <w:ind w:firstLine="708"/>
        <w:jc w:val="both"/>
        <w:rPr>
          <w:b/>
        </w:rPr>
      </w:pPr>
      <w:r>
        <w:rPr>
          <w:b/>
        </w:rPr>
        <w:tab/>
      </w:r>
      <w:r w:rsidR="004D45C2">
        <w:rPr>
          <w:b/>
        </w:rPr>
        <w:t xml:space="preserve">Ad </w:t>
      </w:r>
      <w:r w:rsidR="004F1489" w:rsidRPr="004F1489">
        <w:rPr>
          <w:b/>
        </w:rPr>
        <w:t xml:space="preserve">1. </w:t>
      </w:r>
    </w:p>
    <w:p w:rsidR="00542740" w:rsidRDefault="00B34242" w:rsidP="006F3811">
      <w:pPr>
        <w:spacing w:before="240"/>
        <w:ind w:firstLine="708"/>
        <w:jc w:val="both"/>
      </w:pPr>
      <w:r>
        <w:tab/>
      </w:r>
      <w:r w:rsidR="00550041" w:rsidRPr="000D3CD6">
        <w:t>U vezi s navodima</w:t>
      </w:r>
      <w:r w:rsidR="00EF4649" w:rsidRPr="000D3CD6">
        <w:t xml:space="preserve"> </w:t>
      </w:r>
      <w:r w:rsidR="00542740" w:rsidRPr="000D3CD6">
        <w:t xml:space="preserve">predlagatelja kojima se </w:t>
      </w:r>
      <w:r w:rsidR="00550041" w:rsidRPr="000D3CD6">
        <w:t xml:space="preserve">pripisuje </w:t>
      </w:r>
      <w:r w:rsidR="00A830A9" w:rsidRPr="000D3CD6">
        <w:t>povezanost s</w:t>
      </w:r>
      <w:r w:rsidR="00542740" w:rsidRPr="000D3CD6">
        <w:t xml:space="preserve"> korupcijskim aferama, potpuno</w:t>
      </w:r>
      <w:r w:rsidR="00542740">
        <w:t xml:space="preserve"> je neistinita tvrdnja predlagatelja da je predsjednik Vlade kompromitiran </w:t>
      </w:r>
      <w:r w:rsidR="00725BA4">
        <w:lastRenderedPageBreak/>
        <w:t xml:space="preserve">tekstualnim </w:t>
      </w:r>
      <w:r w:rsidR="007908A4">
        <w:t>porukama</w:t>
      </w:r>
      <w:r w:rsidR="000613A3">
        <w:t xml:space="preserve"> koje su objavljene </w:t>
      </w:r>
      <w:r w:rsidR="00550041">
        <w:t>u medijima</w:t>
      </w:r>
      <w:r w:rsidR="000613A3">
        <w:t xml:space="preserve">. Navedene </w:t>
      </w:r>
      <w:r w:rsidR="00725BA4">
        <w:t xml:space="preserve">tekstualne </w:t>
      </w:r>
      <w:r w:rsidR="000613A3">
        <w:t xml:space="preserve">poruke ničim ne ukazuju </w:t>
      </w:r>
      <w:r w:rsidR="00587F27">
        <w:t xml:space="preserve">na </w:t>
      </w:r>
      <w:r w:rsidR="004D45C2">
        <w:t xml:space="preserve">povezanost </w:t>
      </w:r>
      <w:r w:rsidR="000613A3">
        <w:t>predsjednik</w:t>
      </w:r>
      <w:r w:rsidR="004D45C2">
        <w:t>a</w:t>
      </w:r>
      <w:r w:rsidR="000613A3">
        <w:t xml:space="preserve"> Vlade</w:t>
      </w:r>
      <w:r w:rsidR="004D45C2">
        <w:t xml:space="preserve"> s</w:t>
      </w:r>
      <w:r w:rsidR="000613A3">
        <w:t xml:space="preserve"> </w:t>
      </w:r>
      <w:r w:rsidR="00FF591D">
        <w:t>bilo</w:t>
      </w:r>
      <w:r w:rsidR="004D45C2">
        <w:t xml:space="preserve"> kakvim </w:t>
      </w:r>
      <w:r w:rsidR="0041578F">
        <w:t>dvojbenim radnjama</w:t>
      </w:r>
      <w:r w:rsidR="00FF591D">
        <w:t xml:space="preserve">. </w:t>
      </w:r>
      <w:r w:rsidR="000613A3">
        <w:t xml:space="preserve"> </w:t>
      </w:r>
    </w:p>
    <w:p w:rsidR="00CB439C" w:rsidRDefault="00B34242" w:rsidP="00EF4199">
      <w:pPr>
        <w:spacing w:before="240"/>
        <w:ind w:firstLine="708"/>
        <w:jc w:val="both"/>
      </w:pPr>
      <w:r>
        <w:tab/>
      </w:r>
      <w:r w:rsidR="00CB439C" w:rsidRPr="00CB439C">
        <w:t xml:space="preserve">Vlada </w:t>
      </w:r>
      <w:r w:rsidR="004D45C2">
        <w:t xml:space="preserve">Republike Hrvatske kontinuirano </w:t>
      </w:r>
      <w:r w:rsidR="00EF4199">
        <w:t xml:space="preserve">vodi politiku snažne borbe </w:t>
      </w:r>
      <w:r w:rsidR="00EF4199">
        <w:br/>
      </w:r>
      <w:r w:rsidR="00CB439C" w:rsidRPr="00CB439C">
        <w:t>protiv korupcije</w:t>
      </w:r>
      <w:r w:rsidR="00550041">
        <w:t xml:space="preserve"> i</w:t>
      </w:r>
      <w:r w:rsidR="00550041" w:rsidRPr="00CB439C">
        <w:t xml:space="preserve"> </w:t>
      </w:r>
      <w:r w:rsidR="00CB439C" w:rsidRPr="00CB439C">
        <w:t>ne</w:t>
      </w:r>
      <w:r w:rsidR="00EF4199">
        <w:t>postojanja</w:t>
      </w:r>
      <w:r w:rsidR="00CB439C" w:rsidRPr="00CB439C">
        <w:t xml:space="preserve"> "nedodirljivih"</w:t>
      </w:r>
      <w:r w:rsidR="00EF4199">
        <w:t xml:space="preserve"> te je </w:t>
      </w:r>
      <w:r w:rsidR="00550041">
        <w:t xml:space="preserve">privržena zaštiti </w:t>
      </w:r>
      <w:r w:rsidR="00CB439C" w:rsidRPr="00CB439C">
        <w:t>neovisnost</w:t>
      </w:r>
      <w:r w:rsidR="00550041">
        <w:t>i</w:t>
      </w:r>
      <w:r w:rsidR="00CB439C" w:rsidRPr="00CB439C">
        <w:t xml:space="preserve"> svih pravosudnih i istražnih tijela. U prilog </w:t>
      </w:r>
      <w:r w:rsidR="00550041">
        <w:t>tome</w:t>
      </w:r>
      <w:r w:rsidR="00CB439C" w:rsidRPr="00CB439C">
        <w:t xml:space="preserve"> </w:t>
      </w:r>
      <w:r w:rsidR="00550041" w:rsidRPr="00CB439C">
        <w:t xml:space="preserve">upravo </w:t>
      </w:r>
      <w:r w:rsidR="00CB439C" w:rsidRPr="00CB439C">
        <w:t>govore istrage i postupci</w:t>
      </w:r>
      <w:r w:rsidR="00550041">
        <w:t>,</w:t>
      </w:r>
      <w:r w:rsidR="00CB439C" w:rsidRPr="00CB439C">
        <w:t xml:space="preserve"> </w:t>
      </w:r>
      <w:r w:rsidR="00553D6E" w:rsidRPr="00CB439C">
        <w:t>među ostalim</w:t>
      </w:r>
      <w:r w:rsidR="00550041">
        <w:t>,</w:t>
      </w:r>
      <w:r w:rsidR="00CB439C" w:rsidRPr="00CB439C">
        <w:t xml:space="preserve"> i protiv dužnosnika u Vladi</w:t>
      </w:r>
      <w:r w:rsidR="002F7307">
        <w:t xml:space="preserve">. </w:t>
      </w:r>
      <w:r w:rsidR="00CB439C" w:rsidRPr="00CB439C">
        <w:t xml:space="preserve">Borba protiv korupcije podrazumijeva istraživanje i pokretanje postupaka, a izostanak istraga i postupaka </w:t>
      </w:r>
      <w:r w:rsidR="00550041">
        <w:t>sigurno</w:t>
      </w:r>
      <w:r w:rsidR="00550041" w:rsidRPr="00CB439C">
        <w:t xml:space="preserve"> </w:t>
      </w:r>
      <w:r w:rsidR="00EF4199">
        <w:t xml:space="preserve">ne bi bio </w:t>
      </w:r>
      <w:r w:rsidR="00550041">
        <w:t>dokaz</w:t>
      </w:r>
      <w:r w:rsidR="00CB439C" w:rsidRPr="00CB439C">
        <w:t xml:space="preserve"> </w:t>
      </w:r>
      <w:r w:rsidR="00550041" w:rsidRPr="00CB439C">
        <w:t>nepostojanj</w:t>
      </w:r>
      <w:r w:rsidR="00550041">
        <w:t>a</w:t>
      </w:r>
      <w:r w:rsidR="00550041" w:rsidRPr="00CB439C">
        <w:t xml:space="preserve"> </w:t>
      </w:r>
      <w:r w:rsidR="00CB439C" w:rsidRPr="00CB439C">
        <w:t xml:space="preserve">korupcije, </w:t>
      </w:r>
      <w:r w:rsidR="0052055F">
        <w:t xml:space="preserve">nego </w:t>
      </w:r>
      <w:r w:rsidR="00550041">
        <w:t>znak izostanka</w:t>
      </w:r>
      <w:r w:rsidR="00550041" w:rsidRPr="00CB439C">
        <w:t xml:space="preserve"> </w:t>
      </w:r>
      <w:r w:rsidR="00CB439C" w:rsidRPr="00CB439C">
        <w:t>borbe protiv korupcije.</w:t>
      </w:r>
    </w:p>
    <w:p w:rsidR="00CB439C" w:rsidRDefault="00B34242" w:rsidP="006F3811">
      <w:pPr>
        <w:spacing w:before="240"/>
        <w:ind w:firstLine="708"/>
        <w:jc w:val="both"/>
      </w:pPr>
      <w:r>
        <w:tab/>
      </w:r>
      <w:r w:rsidR="00CB439C" w:rsidRPr="00CB439C">
        <w:t>Upravo je ova Vlada zagovarala osnivanje Ureda europskog javnog tužitelja</w:t>
      </w:r>
      <w:r w:rsidR="006C588F">
        <w:t xml:space="preserve"> (EPPO)</w:t>
      </w:r>
      <w:r w:rsidR="00EA122C">
        <w:t xml:space="preserve"> i </w:t>
      </w:r>
      <w:r w:rsidR="00CB439C" w:rsidRPr="00CB439C">
        <w:t xml:space="preserve">među prvim državama članicama </w:t>
      </w:r>
      <w:r w:rsidR="00550041" w:rsidRPr="00CB439C">
        <w:t>E</w:t>
      </w:r>
      <w:r w:rsidR="00550041">
        <w:t>uropske unije</w:t>
      </w:r>
      <w:r w:rsidR="00550041" w:rsidRPr="00CB439C">
        <w:t xml:space="preserve"> </w:t>
      </w:r>
      <w:r w:rsidR="005100A9">
        <w:t xml:space="preserve">2017. godine </w:t>
      </w:r>
      <w:r w:rsidR="00CB439C" w:rsidRPr="00CB439C">
        <w:t xml:space="preserve">potpisala pismo namjere o pristupanju </w:t>
      </w:r>
      <w:r w:rsidR="004A6577">
        <w:t xml:space="preserve">tom </w:t>
      </w:r>
      <w:r w:rsidR="00CB439C" w:rsidRPr="00CB439C">
        <w:t>mehanizmu pojačane suradnje</w:t>
      </w:r>
      <w:r w:rsidR="00D443E7">
        <w:t xml:space="preserve"> te je trenutačno jedna od 22 države članice EU-a koja sudjeluje u </w:t>
      </w:r>
      <w:r w:rsidR="004A6577">
        <w:t>EPPO-u</w:t>
      </w:r>
      <w:r w:rsidR="00CB439C" w:rsidRPr="00CB439C">
        <w:t>.</w:t>
      </w:r>
    </w:p>
    <w:p w:rsidR="00D933D6" w:rsidRPr="00CB439C" w:rsidRDefault="00B34242" w:rsidP="006F3811">
      <w:pPr>
        <w:spacing w:before="240"/>
        <w:ind w:firstLine="708"/>
        <w:jc w:val="both"/>
      </w:pPr>
      <w:r>
        <w:tab/>
      </w:r>
      <w:r w:rsidR="002774D9">
        <w:t xml:space="preserve">Neistinita je i tvrdnja da su predsjednik Vlade i ministri radili suprotno zaštiti </w:t>
      </w:r>
      <w:r w:rsidR="00D933D6" w:rsidRPr="00CB439C">
        <w:t>nacionalnih interesa</w:t>
      </w:r>
      <w:r w:rsidR="002774D9">
        <w:t xml:space="preserve"> </w:t>
      </w:r>
      <w:r w:rsidR="00D933D6" w:rsidRPr="00CB439C">
        <w:t>i odgovornog upravljanja energentima</w:t>
      </w:r>
      <w:r w:rsidR="004A6577">
        <w:t xml:space="preserve">, a još apsurdnija je teza </w:t>
      </w:r>
      <w:r w:rsidR="00D933D6" w:rsidRPr="00CB439C">
        <w:t xml:space="preserve">da su </w:t>
      </w:r>
      <w:r w:rsidR="00D579E1">
        <w:t>štitili interese</w:t>
      </w:r>
      <w:r w:rsidR="00D933D6" w:rsidRPr="00CB439C">
        <w:t xml:space="preserve"> MOL-a</w:t>
      </w:r>
      <w:r w:rsidR="002774D9">
        <w:t xml:space="preserve">. </w:t>
      </w:r>
    </w:p>
    <w:p w:rsidR="00EF4199" w:rsidRDefault="00B34242" w:rsidP="006F3811">
      <w:pPr>
        <w:spacing w:before="240"/>
        <w:ind w:firstLine="708"/>
        <w:jc w:val="both"/>
      </w:pPr>
      <w:r>
        <w:tab/>
      </w:r>
      <w:r w:rsidR="00553D6E">
        <w:t>Tvrdnje podnositelja ovog</w:t>
      </w:r>
      <w:r w:rsidR="00EF4199">
        <w:t>a</w:t>
      </w:r>
      <w:r w:rsidR="00553D6E">
        <w:t xml:space="preserve"> Prijedloga, </w:t>
      </w:r>
      <w:r w:rsidR="006C588F">
        <w:t>u vezi s</w:t>
      </w:r>
      <w:r w:rsidR="00553D6E">
        <w:t xml:space="preserve"> </w:t>
      </w:r>
      <w:r w:rsidR="006C588F">
        <w:t xml:space="preserve">odgovornošću </w:t>
      </w:r>
      <w:r w:rsidR="00AF2065">
        <w:t>Vlade za „</w:t>
      </w:r>
      <w:r w:rsidR="00EF4199">
        <w:t>gašenje S</w:t>
      </w:r>
      <w:r w:rsidR="00664666">
        <w:t>isačke raf</w:t>
      </w:r>
      <w:r w:rsidR="00AF2065">
        <w:t>inerije“</w:t>
      </w:r>
      <w:r w:rsidR="006C588F">
        <w:t>,</w:t>
      </w:r>
      <w:r w:rsidR="00553D6E">
        <w:t xml:space="preserve"> </w:t>
      </w:r>
      <w:r w:rsidR="006C588F">
        <w:t>inspirirane su</w:t>
      </w:r>
      <w:r w:rsidR="00553D6E">
        <w:t xml:space="preserve"> </w:t>
      </w:r>
      <w:r w:rsidR="00CB439C" w:rsidRPr="00CB439C">
        <w:t>medijskim napisima</w:t>
      </w:r>
      <w:r w:rsidR="00553D6E">
        <w:t xml:space="preserve"> </w:t>
      </w:r>
      <w:r w:rsidR="00CB439C" w:rsidRPr="00CB439C">
        <w:t xml:space="preserve">i </w:t>
      </w:r>
      <w:r w:rsidR="006C588F">
        <w:t xml:space="preserve">počivaju na dvojbenim </w:t>
      </w:r>
      <w:r w:rsidR="00664666">
        <w:t>navodima</w:t>
      </w:r>
      <w:r w:rsidR="00553D6E">
        <w:t xml:space="preserve"> osobe</w:t>
      </w:r>
      <w:r w:rsidR="00CB439C" w:rsidRPr="00CB439C">
        <w:t xml:space="preserve"> koju USKOK tereti za više </w:t>
      </w:r>
      <w:r w:rsidR="00482169" w:rsidRPr="00CB439C">
        <w:t>korup</w:t>
      </w:r>
      <w:r w:rsidR="00482169">
        <w:t>cijsk</w:t>
      </w:r>
      <w:r w:rsidR="00482169" w:rsidRPr="00CB439C">
        <w:t xml:space="preserve">ih </w:t>
      </w:r>
      <w:r w:rsidR="00CB439C" w:rsidRPr="00CB439C">
        <w:t>kaznen</w:t>
      </w:r>
      <w:r w:rsidR="00553D6E">
        <w:t>ih dijela</w:t>
      </w:r>
      <w:r w:rsidR="001240DE">
        <w:t xml:space="preserve"> i koja </w:t>
      </w:r>
      <w:r w:rsidR="006C588F">
        <w:t xml:space="preserve">stoga </w:t>
      </w:r>
      <w:r w:rsidR="001240DE">
        <w:t xml:space="preserve">ima osobni interes vezan </w:t>
      </w:r>
      <w:r w:rsidR="006C588F">
        <w:t>za</w:t>
      </w:r>
      <w:r w:rsidR="001240DE">
        <w:t xml:space="preserve"> svoj postupak</w:t>
      </w:r>
      <w:r w:rsidR="00EF4199">
        <w:t>, kao i na tvrdnjama osoba koje su sudjelov</w:t>
      </w:r>
      <w:r w:rsidR="00D17921">
        <w:t>ale</w:t>
      </w:r>
      <w:r w:rsidR="00EF4199">
        <w:t xml:space="preserve"> u donoš</w:t>
      </w:r>
      <w:r w:rsidR="001739E5">
        <w:t>enju tih Odluka i pritom primale</w:t>
      </w:r>
      <w:r w:rsidR="00EF4199">
        <w:t xml:space="preserve"> izdašne plaće i naknade.</w:t>
      </w:r>
    </w:p>
    <w:p w:rsidR="00CB439C" w:rsidRDefault="00D17921" w:rsidP="00D17921">
      <w:pPr>
        <w:spacing w:before="240"/>
        <w:ind w:firstLine="1416"/>
        <w:jc w:val="both"/>
      </w:pPr>
      <w:r>
        <w:t>Kako je već</w:t>
      </w:r>
      <w:r w:rsidR="00CB439C" w:rsidRPr="00CB439C">
        <w:t xml:space="preserve"> ranije</w:t>
      </w:r>
      <w:r>
        <w:t xml:space="preserve"> i</w:t>
      </w:r>
      <w:r w:rsidR="00CB439C" w:rsidRPr="00CB439C">
        <w:t xml:space="preserve"> </w:t>
      </w:r>
      <w:r w:rsidR="00544F1D">
        <w:t>javno istaknuto</w:t>
      </w:r>
      <w:r w:rsidR="00CB439C" w:rsidRPr="00CB439C">
        <w:t xml:space="preserve">, Vlada ne može izravno odlučivati o naftnom poslovanju </w:t>
      </w:r>
      <w:r w:rsidR="00553D6E">
        <w:t>INA-e</w:t>
      </w:r>
      <w:r w:rsidR="00CB439C" w:rsidRPr="00CB439C">
        <w:t xml:space="preserve">, </w:t>
      </w:r>
      <w:r w:rsidR="00544F1D">
        <w:t>o čemu odluke donose</w:t>
      </w:r>
      <w:r w:rsidR="00553D6E">
        <w:t xml:space="preserve"> </w:t>
      </w:r>
      <w:r w:rsidR="00544F1D">
        <w:t xml:space="preserve">upravljačka </w:t>
      </w:r>
      <w:r w:rsidR="00553D6E">
        <w:t xml:space="preserve">tijela kompanije. </w:t>
      </w:r>
      <w:r w:rsidR="00CB439C" w:rsidRPr="00CB439C">
        <w:t xml:space="preserve">Aktivnosti i radnje </w:t>
      </w:r>
      <w:r w:rsidR="00544F1D">
        <w:t>u vezi s</w:t>
      </w:r>
      <w:r w:rsidR="00544F1D" w:rsidRPr="00CB439C">
        <w:t xml:space="preserve"> </w:t>
      </w:r>
      <w:r w:rsidR="004A6577" w:rsidRPr="00CB439C">
        <w:t>obustav</w:t>
      </w:r>
      <w:r w:rsidR="004A6577">
        <w:t>om</w:t>
      </w:r>
      <w:r w:rsidR="004A6577" w:rsidRPr="00CB439C">
        <w:t xml:space="preserve"> </w:t>
      </w:r>
      <w:r w:rsidR="00CB439C" w:rsidRPr="00CB439C">
        <w:t xml:space="preserve">rada Rafinerije nafte Sisak bile su poduzimane </w:t>
      </w:r>
      <w:r w:rsidR="00544F1D">
        <w:t>mnogo</w:t>
      </w:r>
      <w:r w:rsidR="00544F1D" w:rsidRPr="00CB439C">
        <w:t xml:space="preserve"> </w:t>
      </w:r>
      <w:r w:rsidR="00CB439C" w:rsidRPr="00CB439C">
        <w:t xml:space="preserve">ranije, prije mandata ove Vlade </w:t>
      </w:r>
      <w:r w:rsidR="00544F1D">
        <w:t>s obzirom na to</w:t>
      </w:r>
      <w:r w:rsidR="00544F1D" w:rsidRPr="00CB439C">
        <w:t xml:space="preserve"> </w:t>
      </w:r>
      <w:r w:rsidR="00CB439C" w:rsidRPr="00CB439C">
        <w:t>da je Sisačka rafinerija, prema podacima INA-e</w:t>
      </w:r>
      <w:r w:rsidR="00544F1D">
        <w:t>,</w:t>
      </w:r>
      <w:r w:rsidR="00CB439C" w:rsidRPr="00CB439C">
        <w:t xml:space="preserve"> </w:t>
      </w:r>
      <w:r w:rsidR="00544F1D">
        <w:t>stvarala</w:t>
      </w:r>
      <w:r w:rsidR="00544F1D" w:rsidRPr="00CB439C">
        <w:t xml:space="preserve"> </w:t>
      </w:r>
      <w:r w:rsidR="00CB439C" w:rsidRPr="00CB439C">
        <w:t>gubitke</w:t>
      </w:r>
      <w:r w:rsidR="00544F1D">
        <w:t>. Stoga</w:t>
      </w:r>
      <w:r w:rsidR="00CB439C" w:rsidRPr="00CB439C">
        <w:t xml:space="preserve"> je odluka o transformaciji rafinerijskog poslovanja tog društva bila poslovna odluka kompanije</w:t>
      </w:r>
      <w:r w:rsidR="00544F1D">
        <w:t>,</w:t>
      </w:r>
      <w:r w:rsidR="00CB439C" w:rsidRPr="00CB439C">
        <w:t xml:space="preserve"> donesena na temelju ekonomskih analiza, </w:t>
      </w:r>
      <w:r w:rsidR="00544F1D">
        <w:t>kako bi</w:t>
      </w:r>
      <w:r w:rsidR="00CB439C" w:rsidRPr="00CB439C">
        <w:t xml:space="preserve"> se gubici </w:t>
      </w:r>
      <w:r w:rsidR="00544F1D" w:rsidRPr="00CB439C">
        <w:t>pretvor</w:t>
      </w:r>
      <w:r w:rsidR="00544F1D">
        <w:t>ili</w:t>
      </w:r>
      <w:r w:rsidR="00544F1D" w:rsidRPr="00CB439C">
        <w:t xml:space="preserve"> </w:t>
      </w:r>
      <w:r w:rsidR="00CB439C" w:rsidRPr="00CB439C">
        <w:t xml:space="preserve">u dobit te </w:t>
      </w:r>
      <w:r w:rsidR="00544F1D">
        <w:t xml:space="preserve">tako </w:t>
      </w:r>
      <w:r w:rsidR="00CB439C" w:rsidRPr="00CB439C">
        <w:t>stvori</w:t>
      </w:r>
      <w:r w:rsidR="00544F1D">
        <w:t>la</w:t>
      </w:r>
      <w:r w:rsidR="00CB439C" w:rsidRPr="00CB439C">
        <w:t xml:space="preserve"> osnova za konkurentno i profitabilno dugoročno poslovanje</w:t>
      </w:r>
      <w:r w:rsidR="00664666">
        <w:t>.</w:t>
      </w:r>
    </w:p>
    <w:p w:rsidR="00CA34A2" w:rsidRDefault="00B34242" w:rsidP="006F3811">
      <w:pPr>
        <w:spacing w:before="240"/>
        <w:ind w:firstLine="708"/>
        <w:jc w:val="both"/>
      </w:pPr>
      <w:r>
        <w:tab/>
      </w:r>
      <w:r w:rsidR="00CA34A2" w:rsidRPr="00CB439C">
        <w:t>Memorandum o razumijevanju koji je sklopljen između</w:t>
      </w:r>
      <w:r w:rsidR="00CA34A2">
        <w:t xml:space="preserve"> dviju kompanija,</w:t>
      </w:r>
      <w:r w:rsidR="00CA34A2" w:rsidRPr="00CB439C">
        <w:t xml:space="preserve"> INA-e d.d. i JANAF-a d.d.</w:t>
      </w:r>
      <w:r w:rsidR="00572E15">
        <w:t>,</w:t>
      </w:r>
      <w:r w:rsidR="00CA34A2" w:rsidRPr="00CB439C">
        <w:t xml:space="preserve"> neobvezujući je dokument koji je potpisan 21. kolovoza 2018. </w:t>
      </w:r>
      <w:r w:rsidR="00CA34A2">
        <w:t>radi</w:t>
      </w:r>
      <w:r w:rsidR="00CA34A2" w:rsidRPr="00CB439C">
        <w:t xml:space="preserve"> stvaranja pretpostavki za donošenje poslovnih odluka koje osiguravaju veću profitabilnost i održivost rafinerijskog poslovanja INA-e d.d., a time i cijele kompanije. Predsjednik Vlade</w:t>
      </w:r>
      <w:r w:rsidR="00AF2065">
        <w:t xml:space="preserve"> </w:t>
      </w:r>
      <w:r w:rsidR="00CA34A2" w:rsidRPr="00CB439C">
        <w:t xml:space="preserve">nije pokrenuo inicijativu, niti je sudjelovao ili na bilo koji način utjecao na sklapanje Memoranduma i </w:t>
      </w:r>
      <w:r w:rsidR="00CA34A2">
        <w:t xml:space="preserve">na </w:t>
      </w:r>
      <w:r w:rsidR="00CA34A2" w:rsidRPr="00CB439C">
        <w:t>zatvaranj</w:t>
      </w:r>
      <w:r w:rsidR="00CA34A2">
        <w:t>e</w:t>
      </w:r>
      <w:r w:rsidR="00CA34A2" w:rsidRPr="00CB439C">
        <w:t xml:space="preserve"> Rafinerije Sisak. Riječ je o poslovnim odlukama koje su u nadležnosti </w:t>
      </w:r>
      <w:r w:rsidR="00CA34A2">
        <w:t xml:space="preserve">Uprava, odnosno Nadzornih odbora, kao tijela društava </w:t>
      </w:r>
      <w:r w:rsidR="00CA34A2" w:rsidRPr="00CB439C">
        <w:t>INA d.d</w:t>
      </w:r>
      <w:r w:rsidR="00CA34A2">
        <w:t>. i JANAF-a</w:t>
      </w:r>
      <w:r w:rsidR="00CA34A2" w:rsidRPr="00CB439C">
        <w:t xml:space="preserve">. </w:t>
      </w:r>
    </w:p>
    <w:p w:rsidR="00CB439C" w:rsidRPr="00CB439C" w:rsidRDefault="00CB439C" w:rsidP="00572E15">
      <w:pPr>
        <w:spacing w:before="240"/>
        <w:jc w:val="both"/>
      </w:pPr>
      <w:r w:rsidRPr="00CB439C">
        <w:tab/>
      </w:r>
      <w:r w:rsidR="00B34242">
        <w:tab/>
      </w:r>
      <w:r w:rsidR="005A341A">
        <w:t xml:space="preserve">Naprotiv, </w:t>
      </w:r>
      <w:r w:rsidRPr="00CB439C">
        <w:t xml:space="preserve">Vlada je uložila značajne napore </w:t>
      </w:r>
      <w:r w:rsidR="00544F1D">
        <w:t>da</w:t>
      </w:r>
      <w:r w:rsidR="00544F1D" w:rsidRPr="00CB439C">
        <w:t xml:space="preserve"> </w:t>
      </w:r>
      <w:r w:rsidRPr="00CB439C">
        <w:t xml:space="preserve">bi se ojačalo rafinerijsko poslovanje </w:t>
      </w:r>
      <w:r w:rsidR="00664666">
        <w:t>INA-e</w:t>
      </w:r>
      <w:r w:rsidRPr="00CB439C">
        <w:t xml:space="preserve">, </w:t>
      </w:r>
      <w:r w:rsidR="00544F1D" w:rsidRPr="00CB439C">
        <w:t xml:space="preserve">inzistirajući </w:t>
      </w:r>
      <w:r w:rsidRPr="00CB439C">
        <w:t>posebice na modernizaciji riječke rafinerije provedb</w:t>
      </w:r>
      <w:r w:rsidR="00544F1D">
        <w:t>om</w:t>
      </w:r>
      <w:r w:rsidRPr="00CB439C">
        <w:t xml:space="preserve"> projekta obrade teških ostataka.</w:t>
      </w:r>
      <w:r w:rsidR="00664666">
        <w:t xml:space="preserve"> </w:t>
      </w:r>
      <w:r w:rsidRPr="00CB439C">
        <w:t>Ukupan iznos investicije iznosi oko četiri milijarde kuna</w:t>
      </w:r>
      <w:r w:rsidR="00664666">
        <w:t xml:space="preserve"> </w:t>
      </w:r>
      <w:r w:rsidR="001739E5">
        <w:t xml:space="preserve">(530,8 milijuna eura) </w:t>
      </w:r>
      <w:r w:rsidR="00664666">
        <w:t xml:space="preserve">što </w:t>
      </w:r>
      <w:r w:rsidR="00544F1D">
        <w:t>je dosad najveća</w:t>
      </w:r>
      <w:r w:rsidR="00544F1D" w:rsidRPr="00CB439C">
        <w:t xml:space="preserve"> </w:t>
      </w:r>
      <w:r w:rsidR="00544F1D">
        <w:t xml:space="preserve">investicija </w:t>
      </w:r>
      <w:r w:rsidR="00664666">
        <w:t>u</w:t>
      </w:r>
      <w:r w:rsidRPr="00CB439C">
        <w:t xml:space="preserve"> energetskom sektoru.</w:t>
      </w:r>
      <w:r w:rsidR="00664666">
        <w:t xml:space="preserve"> </w:t>
      </w:r>
      <w:r w:rsidR="00544F1D">
        <w:t>T</w:t>
      </w:r>
      <w:r w:rsidRPr="00CB439C">
        <w:t xml:space="preserve">ime će Hrvatska u ovom razdoblju energetske krize znatno </w:t>
      </w:r>
      <w:r w:rsidR="00544F1D">
        <w:t>učvrstiti</w:t>
      </w:r>
      <w:r w:rsidR="00544F1D" w:rsidRPr="00CB439C">
        <w:t xml:space="preserve"> svoj</w:t>
      </w:r>
      <w:r w:rsidR="00544F1D">
        <w:t xml:space="preserve"> položaj</w:t>
      </w:r>
      <w:r w:rsidR="00664666">
        <w:t xml:space="preserve"> na energetskoj karti Europe, </w:t>
      </w:r>
      <w:r w:rsidR="00544F1D">
        <w:t xml:space="preserve">koji </w:t>
      </w:r>
      <w:r w:rsidR="00664666">
        <w:t xml:space="preserve">je već ojačan </w:t>
      </w:r>
      <w:r w:rsidR="00544F1D">
        <w:t>uspješnom</w:t>
      </w:r>
      <w:r w:rsidR="00664666">
        <w:t xml:space="preserve"> </w:t>
      </w:r>
      <w:r w:rsidR="00544F1D">
        <w:t xml:space="preserve">izgradnjom </w:t>
      </w:r>
      <w:r w:rsidR="00664666">
        <w:t xml:space="preserve">Terminala </w:t>
      </w:r>
      <w:r w:rsidR="00AF2065">
        <w:t xml:space="preserve">za ukapljeni plin u Omišlju na </w:t>
      </w:r>
      <w:r w:rsidR="00572E15" w:rsidRPr="00572E15">
        <w:t>Otoku Krku koja je ostvarena odlukom ove Vlade za što je osigurano 100 milijuna eura iz državnog proračuna te 101,4  milijuna eura bespovratnih europskih sredstava, dok su preostali dio potrebnih kapitalnih troškova u iznosu od 32,2 milijuna eura, investirali PLINACRO d.o.o. i HEP d.d., vlasnici LNG Hrvatska d.o.o.</w:t>
      </w:r>
      <w:r w:rsidR="001240DE" w:rsidRPr="003971A0">
        <w:t xml:space="preserve"> </w:t>
      </w:r>
    </w:p>
    <w:p w:rsidR="00D933D6" w:rsidRDefault="00B34242" w:rsidP="006F3811">
      <w:pPr>
        <w:spacing w:before="240"/>
        <w:ind w:firstLine="708"/>
        <w:jc w:val="both"/>
      </w:pPr>
      <w:r>
        <w:lastRenderedPageBreak/>
        <w:tab/>
      </w:r>
      <w:r w:rsidR="00572E15" w:rsidRPr="00572E15">
        <w:t>U odnosu na</w:t>
      </w:r>
      <w:r w:rsidR="00572E15">
        <w:t xml:space="preserve"> navode iz P</w:t>
      </w:r>
      <w:r w:rsidR="00572E15" w:rsidRPr="00572E15">
        <w:t>rijedloga u vezi s plinskim poslovanjem u INA-i, upravo su službe koje djeluju u okviru Vlade Republike Hrvatske u suradnji s bankama otkrile i nadležnim tijelima prijavile ovaj slučaj. Naime, otkrio ga je Ured za sprečavanje pranja novca koji djeluje pri Ministarstvu financija, dok su se i USKOK, policija i Državno odvjetništvo uključili u drugoj fazi.</w:t>
      </w:r>
    </w:p>
    <w:p w:rsidR="00D933D6" w:rsidRDefault="00B34242" w:rsidP="006F3811">
      <w:pPr>
        <w:spacing w:before="240"/>
        <w:ind w:firstLine="708"/>
        <w:jc w:val="both"/>
      </w:pPr>
      <w:r>
        <w:tab/>
      </w:r>
      <w:r w:rsidR="00CB439C" w:rsidRPr="00CB439C">
        <w:t xml:space="preserve">Vlada je u više navrata pokazala snažnu političku privrženost suzbijanju korupcije te stoga i potiče da se u ovom predmetu </w:t>
      </w:r>
      <w:r w:rsidR="00482169" w:rsidRPr="00CB439C">
        <w:t xml:space="preserve">razjasne </w:t>
      </w:r>
      <w:r w:rsidR="00CB439C" w:rsidRPr="00CB439C">
        <w:t>sve okolnosti i</w:t>
      </w:r>
      <w:r w:rsidR="002B1DBD">
        <w:t xml:space="preserve"> očekuje da </w:t>
      </w:r>
      <w:r w:rsidR="00CB439C" w:rsidRPr="00CB439C">
        <w:t>svi odgovorni budu kažnjeni u što bržem postupku. Kao suvlasnik INA-e</w:t>
      </w:r>
      <w:r w:rsidR="002B1DBD">
        <w:t>,</w:t>
      </w:r>
      <w:r w:rsidR="00CB439C" w:rsidRPr="00CB439C">
        <w:t xml:space="preserve"> </w:t>
      </w:r>
      <w:r w:rsidR="002B1DBD">
        <w:t>Vlada je</w:t>
      </w:r>
      <w:r w:rsidR="00CB439C" w:rsidRPr="00CB439C">
        <w:t xml:space="preserve"> </w:t>
      </w:r>
      <w:r w:rsidR="002B1DBD">
        <w:t xml:space="preserve">jasno </w:t>
      </w:r>
      <w:r w:rsidR="002B1DBD" w:rsidRPr="00CB439C">
        <w:t>izrazil</w:t>
      </w:r>
      <w:r w:rsidR="002B1DBD">
        <w:t>a</w:t>
      </w:r>
      <w:r w:rsidR="002B1DBD" w:rsidRPr="00CB439C">
        <w:t xml:space="preserve"> </w:t>
      </w:r>
      <w:r w:rsidR="00CB439C" w:rsidRPr="00CB439C">
        <w:t xml:space="preserve">svoje nezadovoljstvo sustavom upravljanja </w:t>
      </w:r>
      <w:r w:rsidR="00AF2065">
        <w:t xml:space="preserve">tom </w:t>
      </w:r>
      <w:r w:rsidR="00CB439C" w:rsidRPr="00CB439C">
        <w:t>kompanijom</w:t>
      </w:r>
      <w:r w:rsidR="00E50D29">
        <w:t>.</w:t>
      </w:r>
      <w:r w:rsidR="00CB439C" w:rsidRPr="00CB439C">
        <w:t xml:space="preserve"> </w:t>
      </w:r>
    </w:p>
    <w:p w:rsidR="00CB439C" w:rsidRDefault="00B34242" w:rsidP="006F3811">
      <w:pPr>
        <w:spacing w:before="240"/>
        <w:ind w:firstLine="708"/>
        <w:jc w:val="both"/>
      </w:pPr>
      <w:r>
        <w:tab/>
      </w:r>
      <w:r w:rsidR="00CB439C" w:rsidRPr="00CB439C">
        <w:t>Zatražena je i odgovornost svih članova Uprave te su imenovani novi članovi Uprave</w:t>
      </w:r>
      <w:r w:rsidR="00B42682">
        <w:t>,</w:t>
      </w:r>
      <w:r w:rsidR="004C5B2D">
        <w:t xml:space="preserve"> </w:t>
      </w:r>
      <w:r w:rsidR="00C86FA8">
        <w:t>i</w:t>
      </w:r>
      <w:r w:rsidR="00C86FA8" w:rsidRPr="00CB439C">
        <w:t xml:space="preserve"> </w:t>
      </w:r>
      <w:r w:rsidR="00CB439C" w:rsidRPr="00CB439C">
        <w:t>oni koje predlaže Vlada</w:t>
      </w:r>
      <w:r w:rsidR="00B42682">
        <w:t>,</w:t>
      </w:r>
      <w:r w:rsidR="00CB439C" w:rsidRPr="00CB439C">
        <w:t xml:space="preserve"> </w:t>
      </w:r>
      <w:r w:rsidR="00C86FA8">
        <w:t>kao i</w:t>
      </w:r>
      <w:r w:rsidR="00CB439C" w:rsidRPr="00CB439C">
        <w:t xml:space="preserve"> </w:t>
      </w:r>
      <w:r w:rsidR="00C86FA8">
        <w:t xml:space="preserve">članovi </w:t>
      </w:r>
      <w:r w:rsidR="00CB439C" w:rsidRPr="00CB439C">
        <w:t>koje predlaže MOL.</w:t>
      </w:r>
      <w:r w:rsidR="00D933D6">
        <w:t xml:space="preserve"> </w:t>
      </w:r>
      <w:r w:rsidR="002B1DBD" w:rsidRPr="00CB439C">
        <w:t>Isto</w:t>
      </w:r>
      <w:r w:rsidR="002B1DBD">
        <w:t>dob</w:t>
      </w:r>
      <w:r w:rsidR="002B1DBD" w:rsidRPr="00CB439C">
        <w:t xml:space="preserve">no </w:t>
      </w:r>
      <w:r w:rsidR="00CB439C" w:rsidRPr="00CB439C">
        <w:t>Vlada je već u nekoliko navrata isticala da je njen prioritet raditi na promjeni modela korporativnog upravljanja</w:t>
      </w:r>
      <w:r w:rsidR="002B1DBD">
        <w:t xml:space="preserve"> INA</w:t>
      </w:r>
      <w:r w:rsidR="002B1DBD">
        <w:noBreakHyphen/>
        <w:t>e</w:t>
      </w:r>
      <w:r w:rsidR="00CB439C" w:rsidRPr="00CB439C">
        <w:t>. O promjeni postojećeg modela korporativnog upravljanja INA-om postoji najširi politički i društveni konsenzus. To je i jedan od glavni</w:t>
      </w:r>
      <w:r w:rsidR="005162AD">
        <w:t>h</w:t>
      </w:r>
      <w:r w:rsidR="00CB439C" w:rsidRPr="00CB439C">
        <w:t xml:space="preserve"> zadataka </w:t>
      </w:r>
      <w:r w:rsidR="002B1DBD">
        <w:t xml:space="preserve">koji je ova Vlada postavila </w:t>
      </w:r>
      <w:r w:rsidR="002B1DBD" w:rsidRPr="00CB439C">
        <w:t>novi</w:t>
      </w:r>
      <w:r w:rsidR="002B1DBD">
        <w:t>m</w:t>
      </w:r>
      <w:r w:rsidR="002B1DBD" w:rsidRPr="00CB439C">
        <w:t xml:space="preserve"> predstavni</w:t>
      </w:r>
      <w:r w:rsidR="002B1DBD">
        <w:t>cima</w:t>
      </w:r>
      <w:r w:rsidR="002B1DBD" w:rsidRPr="00CB439C">
        <w:t xml:space="preserve"> </w:t>
      </w:r>
      <w:r w:rsidR="00CB439C" w:rsidRPr="00CB439C">
        <w:t>Hrvatske u Upravi INA</w:t>
      </w:r>
      <w:r w:rsidR="002B1DBD">
        <w:noBreakHyphen/>
        <w:t>e</w:t>
      </w:r>
      <w:r w:rsidR="00CB439C" w:rsidRPr="00CB439C">
        <w:t>.</w:t>
      </w:r>
    </w:p>
    <w:p w:rsidR="00D933D6" w:rsidRPr="00CB439C" w:rsidRDefault="00B34242" w:rsidP="006F3811">
      <w:pPr>
        <w:spacing w:before="240"/>
        <w:ind w:firstLine="708"/>
        <w:jc w:val="both"/>
      </w:pPr>
      <w:r>
        <w:tab/>
      </w:r>
      <w:r w:rsidR="00D933D6">
        <w:t>Predanost Vlade</w:t>
      </w:r>
      <w:r w:rsidR="00AF2065">
        <w:t xml:space="preserve"> </w:t>
      </w:r>
      <w:r w:rsidR="00D933D6">
        <w:t xml:space="preserve">zaštiti nacionalnih interesa, ponajprije zaštiti </w:t>
      </w:r>
      <w:r w:rsidR="002B1DBD">
        <w:t xml:space="preserve">interesa </w:t>
      </w:r>
      <w:r w:rsidR="00D933D6">
        <w:t xml:space="preserve">građana, vidljiva je i iz niza intervencija u </w:t>
      </w:r>
      <w:r w:rsidR="002B1DBD">
        <w:t>okolnostima globalnih</w:t>
      </w:r>
      <w:r w:rsidR="002B1DBD" w:rsidRPr="00CB439C">
        <w:t xml:space="preserve"> </w:t>
      </w:r>
      <w:r w:rsidR="00D933D6" w:rsidRPr="00CB439C">
        <w:t xml:space="preserve">poremećaja </w:t>
      </w:r>
      <w:r w:rsidR="002B1DBD">
        <w:t xml:space="preserve">na tržištu </w:t>
      </w:r>
      <w:r w:rsidR="00D933D6" w:rsidRPr="00CB439C">
        <w:t xml:space="preserve">i kriznih situacija </w:t>
      </w:r>
      <w:r w:rsidR="00D933D6">
        <w:t>u kojim</w:t>
      </w:r>
      <w:r w:rsidR="00CC2FEE">
        <w:t>a</w:t>
      </w:r>
      <w:r w:rsidR="00D933D6">
        <w:t xml:space="preserve"> </w:t>
      </w:r>
      <w:r w:rsidR="002B1DBD">
        <w:t xml:space="preserve">jedino </w:t>
      </w:r>
      <w:r w:rsidR="00D933D6">
        <w:t xml:space="preserve">Vlada ima pravo intervenirati </w:t>
      </w:r>
      <w:r w:rsidR="002B1DBD">
        <w:t xml:space="preserve">na tržištu </w:t>
      </w:r>
      <w:r w:rsidR="00D933D6">
        <w:t xml:space="preserve">energenata. To </w:t>
      </w:r>
      <w:r w:rsidR="002B1DBD">
        <w:t xml:space="preserve">je </w:t>
      </w:r>
      <w:r w:rsidR="00D933D6">
        <w:t xml:space="preserve">pravo Vlada iskoristila </w:t>
      </w:r>
      <w:r w:rsidR="00D933D6" w:rsidRPr="00CB439C">
        <w:t xml:space="preserve">krajem 2021. godine </w:t>
      </w:r>
      <w:r w:rsidR="002B1DBD">
        <w:t xml:space="preserve">kada je </w:t>
      </w:r>
      <w:r w:rsidR="002B1DBD" w:rsidRPr="00CB439C">
        <w:t>ogranič</w:t>
      </w:r>
      <w:r w:rsidR="002B1DBD">
        <w:t>ila</w:t>
      </w:r>
      <w:r w:rsidR="002B1DBD" w:rsidRPr="00CB439C">
        <w:t xml:space="preserve"> </w:t>
      </w:r>
      <w:r w:rsidR="00D933D6" w:rsidRPr="00CB439C">
        <w:t xml:space="preserve">cijene naftnih derivata te tijekom 2022. </w:t>
      </w:r>
      <w:r w:rsidR="00676532">
        <w:t xml:space="preserve">i 2023. </w:t>
      </w:r>
      <w:r w:rsidR="00D933D6" w:rsidRPr="00CB439C">
        <w:t xml:space="preserve">godine kada su se zbog ruske agresije na Ukrajinu dogodili poremećaji na globalnim energetskim tržištima koji su </w:t>
      </w:r>
      <w:r w:rsidR="002B1DBD">
        <w:t xml:space="preserve">se </w:t>
      </w:r>
      <w:r w:rsidR="002B1DBD" w:rsidRPr="00CB439C">
        <w:t>pre</w:t>
      </w:r>
      <w:r w:rsidR="002B1DBD">
        <w:t>lil</w:t>
      </w:r>
      <w:r w:rsidR="002B1DBD" w:rsidRPr="00CB439C">
        <w:t xml:space="preserve">i </w:t>
      </w:r>
      <w:r w:rsidR="00D933D6" w:rsidRPr="00CB439C">
        <w:t xml:space="preserve">i na domaće tržište energije. </w:t>
      </w:r>
      <w:r w:rsidR="002B1DBD">
        <w:t>Zahvaljujući</w:t>
      </w:r>
      <w:r w:rsidR="002B1DBD" w:rsidRPr="00CB439C">
        <w:t xml:space="preserve"> intervencij</w:t>
      </w:r>
      <w:r w:rsidR="002B1DBD">
        <w:t>i</w:t>
      </w:r>
      <w:r w:rsidR="002B1DBD" w:rsidRPr="00CB439C">
        <w:t xml:space="preserve"> </w:t>
      </w:r>
      <w:r w:rsidR="00D933D6" w:rsidRPr="00CB439C">
        <w:t xml:space="preserve">Vlade osigurana je dostupnost energenata </w:t>
      </w:r>
      <w:r w:rsidR="00525888">
        <w:t xml:space="preserve">u vidu </w:t>
      </w:r>
      <w:r w:rsidR="00D933D6" w:rsidRPr="00CB439C">
        <w:t>isporuk</w:t>
      </w:r>
      <w:r w:rsidR="00525888">
        <w:t>e</w:t>
      </w:r>
      <w:r w:rsidR="00D933D6" w:rsidRPr="00CB439C">
        <w:t xml:space="preserve"> potrebnih količina energije </w:t>
      </w:r>
      <w:r w:rsidR="00525888" w:rsidRPr="00CB439C">
        <w:t xml:space="preserve">kućanstvima i gospodarstvu </w:t>
      </w:r>
      <w:r w:rsidR="00D933D6" w:rsidRPr="00CB439C">
        <w:t>po prihvatljivim cijenama</w:t>
      </w:r>
      <w:r w:rsidR="00525888">
        <w:t>. Usto, p</w:t>
      </w:r>
      <w:r w:rsidR="00D933D6">
        <w:t>oduze</w:t>
      </w:r>
      <w:r w:rsidR="00525888">
        <w:t>t</w:t>
      </w:r>
      <w:r w:rsidR="00D933D6">
        <w:t xml:space="preserve">e </w:t>
      </w:r>
      <w:r w:rsidR="00525888">
        <w:t xml:space="preserve">su </w:t>
      </w:r>
      <w:r w:rsidR="00D933D6">
        <w:t xml:space="preserve">i </w:t>
      </w:r>
      <w:r w:rsidR="00525888">
        <w:t xml:space="preserve">druge </w:t>
      </w:r>
      <w:r w:rsidR="00D933D6">
        <w:t xml:space="preserve">mjere koje će </w:t>
      </w:r>
      <w:r w:rsidR="00525888">
        <w:t xml:space="preserve">dugoročno </w:t>
      </w:r>
      <w:r w:rsidR="00D933D6">
        <w:t>pridonijeti</w:t>
      </w:r>
      <w:r w:rsidR="00D933D6" w:rsidRPr="00CB439C">
        <w:t xml:space="preserve"> budućem razvoju energetske infrastrukture</w:t>
      </w:r>
      <w:r w:rsidR="00525888">
        <w:t>,</w:t>
      </w:r>
      <w:r w:rsidR="00D933D6" w:rsidRPr="00CB439C">
        <w:t xml:space="preserve"> poput proširenja </w:t>
      </w:r>
      <w:r w:rsidR="00525888" w:rsidRPr="00CB439C">
        <w:t>LNG</w:t>
      </w:r>
      <w:r w:rsidR="00525888">
        <w:t>-</w:t>
      </w:r>
      <w:r w:rsidR="00D933D6" w:rsidRPr="00CB439C">
        <w:t>terminala i ostalih projekata koji se financiraju iz</w:t>
      </w:r>
      <w:r w:rsidR="00D933D6">
        <w:t xml:space="preserve"> </w:t>
      </w:r>
      <w:r w:rsidR="00A90A4A" w:rsidRPr="00A90A4A">
        <w:t>Nacionalnog plana oporavka i otpornosti 2021.-2026. (u daljnjem tekstu: NPOO).</w:t>
      </w:r>
    </w:p>
    <w:p w:rsidR="00D933D6" w:rsidRPr="00CB439C" w:rsidRDefault="00D933D6" w:rsidP="00D933D6">
      <w:pPr>
        <w:ind w:firstLine="708"/>
        <w:jc w:val="both"/>
      </w:pPr>
    </w:p>
    <w:p w:rsidR="004F1489" w:rsidRDefault="00B34242" w:rsidP="00041EA9">
      <w:pPr>
        <w:ind w:firstLine="708"/>
        <w:jc w:val="both"/>
        <w:rPr>
          <w:b/>
        </w:rPr>
      </w:pPr>
      <w:r>
        <w:rPr>
          <w:b/>
        </w:rPr>
        <w:tab/>
      </w:r>
      <w:r w:rsidR="009A41C6">
        <w:rPr>
          <w:b/>
        </w:rPr>
        <w:t xml:space="preserve">Ad </w:t>
      </w:r>
      <w:r w:rsidR="004F1489">
        <w:rPr>
          <w:b/>
        </w:rPr>
        <w:t>2</w:t>
      </w:r>
      <w:r w:rsidR="004F1489" w:rsidRPr="004F1489">
        <w:rPr>
          <w:b/>
        </w:rPr>
        <w:t>.</w:t>
      </w:r>
      <w:r w:rsidR="00C11670">
        <w:rPr>
          <w:b/>
        </w:rPr>
        <w:t xml:space="preserve"> </w:t>
      </w:r>
      <w:r w:rsidR="004F1489" w:rsidRPr="004F1489">
        <w:rPr>
          <w:b/>
        </w:rPr>
        <w:t xml:space="preserve"> </w:t>
      </w:r>
    </w:p>
    <w:p w:rsidR="00A4630E" w:rsidRDefault="00B34242" w:rsidP="006F3811">
      <w:pPr>
        <w:spacing w:before="240"/>
        <w:ind w:firstLine="708"/>
        <w:jc w:val="both"/>
        <w:rPr>
          <w:b/>
          <w:bCs/>
        </w:rPr>
      </w:pPr>
      <w:r>
        <w:rPr>
          <w:b/>
        </w:rPr>
        <w:tab/>
      </w:r>
      <w:r w:rsidR="00CB439C" w:rsidRPr="000D3CD6">
        <w:t xml:space="preserve">U </w:t>
      </w:r>
      <w:r w:rsidR="006B3320" w:rsidRPr="000D3CD6">
        <w:t>vezi s</w:t>
      </w:r>
      <w:r w:rsidR="00CB439C" w:rsidRPr="000D3CD6">
        <w:t xml:space="preserve"> </w:t>
      </w:r>
      <w:r w:rsidR="006B3320" w:rsidRPr="000D3CD6">
        <w:t xml:space="preserve">navodima </w:t>
      </w:r>
      <w:r w:rsidR="00CB439C" w:rsidRPr="000D3CD6">
        <w:t xml:space="preserve">predlagatelja </w:t>
      </w:r>
      <w:r w:rsidR="006B3320" w:rsidRPr="000D3CD6">
        <w:t>o</w:t>
      </w:r>
      <w:r w:rsidR="00CB439C" w:rsidRPr="000D3CD6">
        <w:t xml:space="preserve"> </w:t>
      </w:r>
      <w:r w:rsidR="006B3320" w:rsidRPr="000D3CD6">
        <w:t xml:space="preserve">procesu </w:t>
      </w:r>
      <w:r w:rsidR="00CB439C" w:rsidRPr="000D3CD6">
        <w:t xml:space="preserve">obnove, od prvog razornog potresa koji je pogodio zagrebačko područje te </w:t>
      </w:r>
      <w:r w:rsidR="00C65AA9" w:rsidRPr="000D3CD6">
        <w:t xml:space="preserve">nakon </w:t>
      </w:r>
      <w:r w:rsidR="00CB439C" w:rsidRPr="000D3CD6">
        <w:t>razornih potresa koji su pogodili</w:t>
      </w:r>
      <w:r w:rsidR="00CB439C" w:rsidRPr="00CB439C">
        <w:t xml:space="preserve"> Banovinu, </w:t>
      </w:r>
      <w:r w:rsidR="006B3320" w:rsidRPr="00CB439C">
        <w:t>Vlada</w:t>
      </w:r>
      <w:r w:rsidR="00AF2065">
        <w:t xml:space="preserve"> </w:t>
      </w:r>
      <w:r w:rsidR="006B3320">
        <w:t>je uložila</w:t>
      </w:r>
      <w:r w:rsidR="006B3320" w:rsidRPr="00CB439C">
        <w:t xml:space="preserve"> </w:t>
      </w:r>
      <w:r w:rsidR="00CB439C" w:rsidRPr="00CB439C">
        <w:t xml:space="preserve">velike napore u saniranju </w:t>
      </w:r>
      <w:r w:rsidR="006B3320">
        <w:t xml:space="preserve">njihovih </w:t>
      </w:r>
      <w:r w:rsidR="00CB439C" w:rsidRPr="00CB439C">
        <w:t>posljedica i normalizacije života stanovnika</w:t>
      </w:r>
      <w:r w:rsidR="006B3320">
        <w:t xml:space="preserve"> te</w:t>
      </w:r>
      <w:r w:rsidR="00CB439C" w:rsidRPr="00CB439C">
        <w:t xml:space="preserve"> revitalizacije Banovine. </w:t>
      </w:r>
      <w:r w:rsidR="00AF7F65">
        <w:t xml:space="preserve">Predsjednik Vlade već je javno izrazio nezadovoljstvo </w:t>
      </w:r>
      <w:r w:rsidR="002967D7">
        <w:t xml:space="preserve">nedovoljno brzom </w:t>
      </w:r>
      <w:r w:rsidR="00CB439C" w:rsidRPr="00CB439C">
        <w:t xml:space="preserve">dinamikom </w:t>
      </w:r>
      <w:r w:rsidR="00AF7F65">
        <w:t>procesa obnove</w:t>
      </w:r>
      <w:r w:rsidR="002967D7">
        <w:t xml:space="preserve">, čemu sigurno nisu pomogle </w:t>
      </w:r>
      <w:r w:rsidR="00D812E7">
        <w:t xml:space="preserve">i objektivne okolnosti istodobnih </w:t>
      </w:r>
      <w:r w:rsidR="002967D7">
        <w:t xml:space="preserve">globalnih </w:t>
      </w:r>
      <w:r w:rsidR="00D812E7">
        <w:t>kriza</w:t>
      </w:r>
      <w:r w:rsidR="002967D7">
        <w:t xml:space="preserve">, od </w:t>
      </w:r>
      <w:proofErr w:type="spellStart"/>
      <w:r w:rsidR="002967D7">
        <w:t>pandemije</w:t>
      </w:r>
      <w:proofErr w:type="spellEnd"/>
      <w:r w:rsidR="002967D7">
        <w:t xml:space="preserve"> do energetske krize. Stoga je i</w:t>
      </w:r>
      <w:r w:rsidR="002967D7" w:rsidRPr="00CB439C">
        <w:t xml:space="preserve"> </w:t>
      </w:r>
      <w:r w:rsidR="006B3320" w:rsidRPr="00CB439C">
        <w:t>poduze</w:t>
      </w:r>
      <w:r w:rsidR="00A4630E">
        <w:t>t</w:t>
      </w:r>
      <w:r w:rsidR="006B3320" w:rsidRPr="00CB439C">
        <w:t xml:space="preserve"> </w:t>
      </w:r>
      <w:r w:rsidR="00CB439C" w:rsidRPr="00CB439C">
        <w:t>niz mjera</w:t>
      </w:r>
      <w:r w:rsidR="00AF7F65">
        <w:t xml:space="preserve"> radi ubrza</w:t>
      </w:r>
      <w:r w:rsidR="006B3320">
        <w:t>va</w:t>
      </w:r>
      <w:r w:rsidR="00AF7F65">
        <w:t xml:space="preserve">nja obnove, uključujući i novi zakon koji je upućen u proceduru </w:t>
      </w:r>
      <w:r w:rsidR="00AF2065">
        <w:t xml:space="preserve">donošenja </w:t>
      </w:r>
      <w:r w:rsidR="00AF7F65">
        <w:t>u Hrvatski sabor.</w:t>
      </w:r>
      <w:r w:rsidR="00D812E7">
        <w:rPr>
          <w:b/>
          <w:bCs/>
        </w:rPr>
        <w:t xml:space="preserve"> </w:t>
      </w:r>
    </w:p>
    <w:p w:rsidR="00A4630E" w:rsidRDefault="00B34242" w:rsidP="006F3811">
      <w:pPr>
        <w:spacing w:before="240"/>
        <w:ind w:firstLine="708"/>
        <w:jc w:val="both"/>
        <w:rPr>
          <w:szCs w:val="24"/>
        </w:rPr>
      </w:pPr>
      <w:r>
        <w:tab/>
      </w:r>
      <w:r w:rsidR="001739E5">
        <w:rPr>
          <w:szCs w:val="24"/>
        </w:rPr>
        <w:t>A</w:t>
      </w:r>
      <w:r w:rsidR="00A4630E">
        <w:rPr>
          <w:szCs w:val="24"/>
        </w:rPr>
        <w:t>ktivnostima Vlade iz različitih izvora financiranja u obnovu i revitalizaciju j</w:t>
      </w:r>
      <w:r w:rsidR="001739E5">
        <w:rPr>
          <w:szCs w:val="24"/>
        </w:rPr>
        <w:t>e uloženo ukupno 656</w:t>
      </w:r>
      <w:r w:rsidR="00D45D57">
        <w:rPr>
          <w:szCs w:val="24"/>
        </w:rPr>
        <w:t> </w:t>
      </w:r>
      <w:r w:rsidR="007406E8">
        <w:rPr>
          <w:szCs w:val="24"/>
        </w:rPr>
        <w:t>milijuna eura, od čega</w:t>
      </w:r>
      <w:r w:rsidR="00A4630E">
        <w:rPr>
          <w:szCs w:val="24"/>
        </w:rPr>
        <w:t xml:space="preserve"> na </w:t>
      </w:r>
      <w:r w:rsidR="001739E5">
        <w:rPr>
          <w:szCs w:val="24"/>
        </w:rPr>
        <w:t>području petrinjskog potresa 359,5</w:t>
      </w:r>
      <w:r w:rsidR="00A4630E">
        <w:rPr>
          <w:szCs w:val="24"/>
        </w:rPr>
        <w:t xml:space="preserve"> milijuna eura (2.708.711.722</w:t>
      </w:r>
      <w:r w:rsidR="00AF2065">
        <w:rPr>
          <w:szCs w:val="24"/>
        </w:rPr>
        <w:t>,00</w:t>
      </w:r>
      <w:r w:rsidR="00A4630E">
        <w:rPr>
          <w:szCs w:val="24"/>
        </w:rPr>
        <w:t xml:space="preserve"> kuna) i na </w:t>
      </w:r>
      <w:r w:rsidR="001739E5">
        <w:rPr>
          <w:szCs w:val="24"/>
        </w:rPr>
        <w:t>području zagrebačkog potresa 296,5</w:t>
      </w:r>
      <w:r w:rsidR="00A4630E">
        <w:rPr>
          <w:szCs w:val="24"/>
        </w:rPr>
        <w:t xml:space="preserve"> milijuna eura (2.234.530.787</w:t>
      </w:r>
      <w:r w:rsidR="00AF2065">
        <w:rPr>
          <w:szCs w:val="24"/>
        </w:rPr>
        <w:t>,00</w:t>
      </w:r>
      <w:r w:rsidR="00A4630E">
        <w:rPr>
          <w:szCs w:val="24"/>
        </w:rPr>
        <w:t xml:space="preserve"> kuna).</w:t>
      </w:r>
    </w:p>
    <w:p w:rsidR="009E11E5" w:rsidRPr="000D3CD6" w:rsidRDefault="00B34242" w:rsidP="000D3CD6">
      <w:pPr>
        <w:pStyle w:val="NoSpacing"/>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4630E">
        <w:rPr>
          <w:rFonts w:ascii="Times New Roman" w:eastAsia="Calibri" w:hAnsi="Times New Roman" w:cs="Times New Roman"/>
          <w:sz w:val="24"/>
          <w:szCs w:val="24"/>
        </w:rPr>
        <w:t xml:space="preserve">Temeljem zahtjeva Vlade, Hrvatskoj je iz Fonda solidarnosti Europske unije </w:t>
      </w:r>
      <w:r w:rsidR="00D0548D">
        <w:rPr>
          <w:rFonts w:ascii="Times New Roman" w:eastAsia="Calibri" w:hAnsi="Times New Roman" w:cs="Times New Roman"/>
          <w:sz w:val="24"/>
          <w:szCs w:val="24"/>
        </w:rPr>
        <w:t xml:space="preserve">(u daljnjem tekstu: Fond solidarnosti) </w:t>
      </w:r>
      <w:r w:rsidR="00A4630E">
        <w:rPr>
          <w:rFonts w:ascii="Times New Roman" w:eastAsia="Calibri" w:hAnsi="Times New Roman" w:cs="Times New Roman"/>
          <w:sz w:val="24"/>
          <w:szCs w:val="24"/>
        </w:rPr>
        <w:t>ukupno za sanaciju zagrebačkog i petrinjskog potresa dodijeljeno 1,03 milijarde eura koji se mogu koristiti za obnovu zgrada javne namjene iz područja obrazovanja, kulturne baštine, prometne infrastrukture i zdravstva, te za potrebe osiguranja privremenog smještaja. Do sada je za zagrebački i petri</w:t>
      </w:r>
      <w:r w:rsidR="00B34E20">
        <w:rPr>
          <w:rFonts w:ascii="Times New Roman" w:eastAsia="Calibri" w:hAnsi="Times New Roman" w:cs="Times New Roman"/>
          <w:sz w:val="24"/>
          <w:szCs w:val="24"/>
        </w:rPr>
        <w:t xml:space="preserve">njski potres ugovoreno </w:t>
      </w:r>
      <w:r w:rsidR="00B34E20">
        <w:rPr>
          <w:rFonts w:ascii="Times New Roman" w:eastAsia="Calibri" w:hAnsi="Times New Roman" w:cs="Times New Roman"/>
          <w:sz w:val="24"/>
          <w:szCs w:val="24"/>
        </w:rPr>
        <w:lastRenderedPageBreak/>
        <w:t>ukupno 1</w:t>
      </w:r>
      <w:r w:rsidR="000D3CD6">
        <w:rPr>
          <w:rFonts w:ascii="Times New Roman" w:eastAsia="Calibri" w:hAnsi="Times New Roman" w:cs="Times New Roman"/>
          <w:sz w:val="24"/>
          <w:szCs w:val="24"/>
        </w:rPr>
        <w:t>.</w:t>
      </w:r>
      <w:r w:rsidR="00A4630E">
        <w:rPr>
          <w:rFonts w:ascii="Times New Roman" w:eastAsia="Calibri" w:hAnsi="Times New Roman" w:cs="Times New Roman"/>
          <w:sz w:val="24"/>
          <w:szCs w:val="24"/>
        </w:rPr>
        <w:t>304 projekta, vrijednosti 2,84</w:t>
      </w:r>
      <w:r w:rsidR="003655ED">
        <w:rPr>
          <w:rFonts w:ascii="Times New Roman" w:eastAsia="Calibri" w:hAnsi="Times New Roman" w:cs="Times New Roman"/>
          <w:sz w:val="24"/>
          <w:szCs w:val="24"/>
        </w:rPr>
        <w:t> </w:t>
      </w:r>
      <w:r w:rsidR="00A4630E">
        <w:rPr>
          <w:rFonts w:ascii="Times New Roman" w:eastAsia="Calibri" w:hAnsi="Times New Roman" w:cs="Times New Roman"/>
          <w:sz w:val="24"/>
          <w:szCs w:val="24"/>
        </w:rPr>
        <w:t xml:space="preserve">milijarde eura, od čega iz </w:t>
      </w:r>
      <w:r w:rsidR="00D0548D">
        <w:rPr>
          <w:rFonts w:ascii="Times New Roman" w:eastAsia="Calibri" w:hAnsi="Times New Roman" w:cs="Times New Roman"/>
          <w:sz w:val="24"/>
          <w:szCs w:val="24"/>
        </w:rPr>
        <w:t>Fonda solidarnosti</w:t>
      </w:r>
      <w:r w:rsidR="00A4630E">
        <w:rPr>
          <w:rFonts w:ascii="Times New Roman" w:eastAsia="Calibri" w:hAnsi="Times New Roman" w:cs="Times New Roman"/>
          <w:sz w:val="24"/>
          <w:szCs w:val="24"/>
        </w:rPr>
        <w:t xml:space="preserve"> 1,72 milijarde eura, iz NPOO-a 872,7 milijuna eura, a pr</w:t>
      </w:r>
      <w:r w:rsidR="000D3CD6">
        <w:rPr>
          <w:rFonts w:ascii="Times New Roman" w:eastAsia="Calibri" w:hAnsi="Times New Roman" w:cs="Times New Roman"/>
          <w:sz w:val="24"/>
          <w:szCs w:val="24"/>
        </w:rPr>
        <w:t>eostali iznos iz drugih izvora.</w:t>
      </w:r>
      <w:r w:rsidR="007406E8">
        <w:rPr>
          <w:rFonts w:eastAsia="Calibri" w:cs="Times New Roman"/>
          <w:szCs w:val="24"/>
        </w:rPr>
        <w:t xml:space="preserve"> </w:t>
      </w:r>
    </w:p>
    <w:p w:rsidR="00AF7F65" w:rsidRPr="006F3811" w:rsidRDefault="00B34242" w:rsidP="006F3811">
      <w:pPr>
        <w:spacing w:before="240"/>
        <w:ind w:firstLine="708"/>
        <w:jc w:val="both"/>
        <w:rPr>
          <w:szCs w:val="24"/>
        </w:rPr>
      </w:pPr>
      <w:r>
        <w:rPr>
          <w:szCs w:val="24"/>
        </w:rPr>
        <w:tab/>
      </w:r>
      <w:r w:rsidR="004A147E">
        <w:rPr>
          <w:szCs w:val="24"/>
        </w:rPr>
        <w:t>Novi zakon objedinjava</w:t>
      </w:r>
      <w:r w:rsidR="009E11E5">
        <w:rPr>
          <w:szCs w:val="24"/>
        </w:rPr>
        <w:t xml:space="preserve"> tijela</w:t>
      </w:r>
      <w:r w:rsidR="005061FE">
        <w:rPr>
          <w:szCs w:val="24"/>
        </w:rPr>
        <w:t xml:space="preserve"> koja provode obnovu</w:t>
      </w:r>
      <w:r w:rsidR="009E11E5">
        <w:rPr>
          <w:szCs w:val="24"/>
        </w:rPr>
        <w:t xml:space="preserve"> pod ministarstvo, rekonstruira </w:t>
      </w:r>
      <w:r w:rsidR="009643EE">
        <w:rPr>
          <w:szCs w:val="24"/>
        </w:rPr>
        <w:t xml:space="preserve">se </w:t>
      </w:r>
      <w:r w:rsidR="00CB6C2A">
        <w:rPr>
          <w:szCs w:val="24"/>
        </w:rPr>
        <w:t xml:space="preserve">model obnove i </w:t>
      </w:r>
      <w:r w:rsidR="009E11E5">
        <w:rPr>
          <w:szCs w:val="24"/>
        </w:rPr>
        <w:t xml:space="preserve">mijenja model samoobnove tako da će se zainteresiranima </w:t>
      </w:r>
      <w:r w:rsidR="00CB6C2A">
        <w:rPr>
          <w:szCs w:val="24"/>
        </w:rPr>
        <w:t>odmah</w:t>
      </w:r>
      <w:r w:rsidR="009E11E5">
        <w:rPr>
          <w:szCs w:val="24"/>
        </w:rPr>
        <w:t xml:space="preserve"> osigurati sredstva</w:t>
      </w:r>
      <w:r w:rsidR="00FF36FB">
        <w:rPr>
          <w:szCs w:val="24"/>
        </w:rPr>
        <w:t>. Ujedno se</w:t>
      </w:r>
      <w:r w:rsidR="009E11E5">
        <w:rPr>
          <w:szCs w:val="24"/>
        </w:rPr>
        <w:t xml:space="preserve"> proširuje krug korisnika na srodnike, smanjuje </w:t>
      </w:r>
      <w:r w:rsidR="00FF36FB">
        <w:rPr>
          <w:szCs w:val="24"/>
        </w:rPr>
        <w:t xml:space="preserve">se </w:t>
      </w:r>
      <w:r w:rsidR="009E11E5">
        <w:rPr>
          <w:szCs w:val="24"/>
        </w:rPr>
        <w:t xml:space="preserve">dokumentacija, a time i broj sudionika u procesu obnove. </w:t>
      </w:r>
      <w:r w:rsidR="00FF36FB">
        <w:rPr>
          <w:szCs w:val="24"/>
        </w:rPr>
        <w:t>Uz novi zakon, i</w:t>
      </w:r>
      <w:r w:rsidR="009E11E5">
        <w:rPr>
          <w:szCs w:val="24"/>
        </w:rPr>
        <w:t>zrađen je i Program zbrinjavanja korisnika mobilnih stambenih jedinca na području petrinjskog i zagrebačkog potresa. Primarni cilj je stanovnicima potresom pogođenog područja koji su smješteni u kontejnerima osigurati adekvatan zamjenski smještaj, uz istodobnu obnovu njihovih domova. Napravljena je analiza svakog korisnika kontejnera te će se u kontaktu s njima dogovoriti jedan od 11 modela privremenog smještaja koji će za njih biti najprihvatljiviji.</w:t>
      </w:r>
      <w:r w:rsidR="00A83440">
        <w:rPr>
          <w:szCs w:val="24"/>
        </w:rPr>
        <w:t xml:space="preserve"> </w:t>
      </w:r>
      <w:r w:rsidR="00A4630E" w:rsidRPr="006F3811">
        <w:rPr>
          <w:rFonts w:eastAsia="Calibri" w:cs="Times New Roman"/>
          <w:szCs w:val="24"/>
        </w:rPr>
        <w:t xml:space="preserve">Napominjemo </w:t>
      </w:r>
      <w:r w:rsidR="00CB439C" w:rsidRPr="006F3811">
        <w:rPr>
          <w:rFonts w:eastAsia="Calibri" w:cs="Times New Roman"/>
          <w:szCs w:val="24"/>
        </w:rPr>
        <w:t xml:space="preserve">da je </w:t>
      </w:r>
      <w:r w:rsidR="00AF7F65" w:rsidRPr="006F3811">
        <w:rPr>
          <w:rFonts w:eastAsia="Calibri" w:cs="Times New Roman"/>
          <w:szCs w:val="24"/>
        </w:rPr>
        <w:t xml:space="preserve">Vlada u </w:t>
      </w:r>
      <w:r w:rsidR="002967D7" w:rsidRPr="006F3811">
        <w:rPr>
          <w:rFonts w:eastAsia="Calibri" w:cs="Times New Roman"/>
          <w:szCs w:val="24"/>
        </w:rPr>
        <w:t>vezi s</w:t>
      </w:r>
      <w:r w:rsidR="00AF7F65" w:rsidRPr="006F3811">
        <w:rPr>
          <w:rFonts w:eastAsia="Calibri" w:cs="Times New Roman"/>
          <w:szCs w:val="24"/>
        </w:rPr>
        <w:t xml:space="preserve"> proces</w:t>
      </w:r>
      <w:r w:rsidR="002967D7" w:rsidRPr="006F3811">
        <w:rPr>
          <w:rFonts w:eastAsia="Calibri" w:cs="Times New Roman"/>
          <w:szCs w:val="24"/>
        </w:rPr>
        <w:t>om</w:t>
      </w:r>
      <w:r w:rsidR="00AF7F65" w:rsidRPr="006F3811">
        <w:rPr>
          <w:rFonts w:eastAsia="Calibri" w:cs="Times New Roman"/>
          <w:szCs w:val="24"/>
        </w:rPr>
        <w:t xml:space="preserve"> obnove Hrvatskom</w:t>
      </w:r>
      <w:r w:rsidR="000D3CD6">
        <w:rPr>
          <w:rFonts w:eastAsia="Calibri" w:cs="Times New Roman"/>
          <w:szCs w:val="24"/>
        </w:rPr>
        <w:t>e</w:t>
      </w:r>
      <w:r w:rsidR="00AF7F65" w:rsidRPr="006F3811">
        <w:rPr>
          <w:rFonts w:eastAsia="Calibri" w:cs="Times New Roman"/>
          <w:szCs w:val="24"/>
        </w:rPr>
        <w:t xml:space="preserve"> saboru </w:t>
      </w:r>
      <w:r w:rsidR="002967D7" w:rsidRPr="006F3811">
        <w:rPr>
          <w:rFonts w:eastAsia="Calibri" w:cs="Times New Roman"/>
          <w:szCs w:val="24"/>
        </w:rPr>
        <w:t xml:space="preserve">dostavila </w:t>
      </w:r>
      <w:r w:rsidR="00AF2065">
        <w:rPr>
          <w:rFonts w:eastAsia="Calibri" w:cs="Times New Roman"/>
          <w:szCs w:val="24"/>
        </w:rPr>
        <w:t xml:space="preserve">Izvješće </w:t>
      </w:r>
      <w:r w:rsidR="00AF7F65" w:rsidRPr="006F3811">
        <w:rPr>
          <w:rFonts w:eastAsia="Calibri" w:cs="Times New Roman"/>
          <w:szCs w:val="24"/>
        </w:rPr>
        <w:t>aktom</w:t>
      </w:r>
      <w:r w:rsidR="00AF2065">
        <w:rPr>
          <w:rFonts w:eastAsia="Calibri" w:cs="Times New Roman"/>
          <w:szCs w:val="24"/>
        </w:rPr>
        <w:t>,</w:t>
      </w:r>
      <w:r w:rsidR="00AF7F65" w:rsidRPr="006F3811">
        <w:rPr>
          <w:rFonts w:eastAsia="Calibri" w:cs="Times New Roman"/>
          <w:szCs w:val="24"/>
        </w:rPr>
        <w:t xml:space="preserve"> </w:t>
      </w:r>
      <w:r w:rsidR="00AF2065">
        <w:rPr>
          <w:rFonts w:eastAsia="Calibri" w:cs="Times New Roman"/>
          <w:szCs w:val="24"/>
        </w:rPr>
        <w:t>KLASA</w:t>
      </w:r>
      <w:r w:rsidR="00AF2065" w:rsidRPr="006F3811">
        <w:rPr>
          <w:rFonts w:eastAsia="Calibri" w:cs="Times New Roman"/>
          <w:szCs w:val="24"/>
        </w:rPr>
        <w:t>: 022-03/23-13/02</w:t>
      </w:r>
      <w:r w:rsidR="00AF2065">
        <w:rPr>
          <w:rFonts w:eastAsia="Calibri" w:cs="Times New Roman"/>
          <w:szCs w:val="24"/>
        </w:rPr>
        <w:t>,</w:t>
      </w:r>
      <w:r w:rsidR="00AF2065" w:rsidRPr="006F3811">
        <w:rPr>
          <w:rFonts w:eastAsia="Calibri" w:cs="Times New Roman"/>
          <w:szCs w:val="24"/>
        </w:rPr>
        <w:t xml:space="preserve"> URBROJ: </w:t>
      </w:r>
      <w:r w:rsidR="00AF7F65" w:rsidRPr="006F3811">
        <w:rPr>
          <w:rFonts w:eastAsia="Calibri" w:cs="Times New Roman"/>
          <w:szCs w:val="24"/>
        </w:rPr>
        <w:t xml:space="preserve">50301-05/27-23-4, od 8. veljače 2023.  </w:t>
      </w:r>
    </w:p>
    <w:p w:rsidR="00A83440" w:rsidRDefault="00A83440"/>
    <w:p w:rsidR="004F1489" w:rsidRPr="004F1489" w:rsidRDefault="00B34242" w:rsidP="006F3811">
      <w:pPr>
        <w:keepNext/>
        <w:ind w:firstLine="709"/>
        <w:jc w:val="both"/>
        <w:rPr>
          <w:b/>
        </w:rPr>
      </w:pPr>
      <w:r>
        <w:rPr>
          <w:b/>
        </w:rPr>
        <w:tab/>
      </w:r>
      <w:r w:rsidR="00A4630E">
        <w:rPr>
          <w:b/>
        </w:rPr>
        <w:t xml:space="preserve">Ad </w:t>
      </w:r>
      <w:r w:rsidR="004F1489" w:rsidRPr="004F1489">
        <w:rPr>
          <w:b/>
        </w:rPr>
        <w:t xml:space="preserve">3. </w:t>
      </w:r>
    </w:p>
    <w:p w:rsidR="00CB439C" w:rsidRPr="00CB439C" w:rsidRDefault="00B34242" w:rsidP="006F3811">
      <w:pPr>
        <w:spacing w:before="240"/>
        <w:ind w:firstLine="708"/>
        <w:jc w:val="both"/>
      </w:pPr>
      <w:r>
        <w:rPr>
          <w:b/>
        </w:rPr>
        <w:tab/>
      </w:r>
      <w:r w:rsidR="00041EA9" w:rsidRPr="00804D96">
        <w:t xml:space="preserve">U </w:t>
      </w:r>
      <w:r w:rsidR="002967D7" w:rsidRPr="00804D96">
        <w:t>vezi s</w:t>
      </w:r>
      <w:r w:rsidR="00041EA9" w:rsidRPr="00804D96">
        <w:t xml:space="preserve"> </w:t>
      </w:r>
      <w:r w:rsidR="002967D7" w:rsidRPr="00804D96">
        <w:t xml:space="preserve">navodima </w:t>
      </w:r>
      <w:r w:rsidR="00041EA9" w:rsidRPr="00804D96">
        <w:t xml:space="preserve">predlagatelja </w:t>
      </w:r>
      <w:r w:rsidR="002967D7" w:rsidRPr="00804D96">
        <w:t>koji se odnose na</w:t>
      </w:r>
      <w:r w:rsidR="00CB439C" w:rsidRPr="00804D96">
        <w:t xml:space="preserve"> </w:t>
      </w:r>
      <w:r w:rsidR="00041EA9" w:rsidRPr="00804D96">
        <w:t>zdravstvo,</w:t>
      </w:r>
      <w:r w:rsidR="00CB439C" w:rsidRPr="00804D96">
        <w:t xml:space="preserve"> </w:t>
      </w:r>
      <w:r w:rsidR="00041EA9" w:rsidRPr="00804D96">
        <w:t>naglašavamo</w:t>
      </w:r>
      <w:r w:rsidR="00CB439C" w:rsidRPr="00804D96">
        <w:t xml:space="preserve"> da Vlada ulaže posebne napore </w:t>
      </w:r>
      <w:r w:rsidR="002967D7" w:rsidRPr="00804D96">
        <w:t>kako bi osigurala</w:t>
      </w:r>
      <w:r w:rsidR="00CB439C" w:rsidRPr="00804D96">
        <w:t xml:space="preserve"> likvidnost i solventnost zdravstvenog</w:t>
      </w:r>
      <w:r w:rsidR="00CB439C" w:rsidRPr="00CB439C">
        <w:t xml:space="preserve"> sustava, pa time i </w:t>
      </w:r>
      <w:r w:rsidR="002967D7" w:rsidRPr="00CB439C">
        <w:t>plaćanj</w:t>
      </w:r>
      <w:r w:rsidR="002967D7">
        <w:t>e</w:t>
      </w:r>
      <w:r w:rsidR="002967D7" w:rsidRPr="00CB439C">
        <w:t xml:space="preserve"> </w:t>
      </w:r>
      <w:r w:rsidR="00CB439C" w:rsidRPr="00CB439C">
        <w:t>dospjelih dugovanja prema dobavljačima lijekova i pot</w:t>
      </w:r>
      <w:r w:rsidR="00041EA9">
        <w:t xml:space="preserve">rošnog medicinskog materijala u </w:t>
      </w:r>
      <w:r w:rsidR="002967D7">
        <w:t>zahtjevnim okolnostima</w:t>
      </w:r>
      <w:r w:rsidR="00041EA9">
        <w:t xml:space="preserve"> </w:t>
      </w:r>
      <w:proofErr w:type="spellStart"/>
      <w:r w:rsidR="00041EA9">
        <w:t>pandemije</w:t>
      </w:r>
      <w:proofErr w:type="spellEnd"/>
      <w:r w:rsidR="00041EA9">
        <w:t>.</w:t>
      </w:r>
      <w:r w:rsidR="00CB439C" w:rsidRPr="00CB439C">
        <w:t xml:space="preserve"> </w:t>
      </w:r>
      <w:r w:rsidR="002967D7">
        <w:t>Zahvaljujući o</w:t>
      </w:r>
      <w:r w:rsidR="002967D7" w:rsidRPr="00CB439C">
        <w:t>dgovorno</w:t>
      </w:r>
      <w:r w:rsidR="002967D7">
        <w:t>j</w:t>
      </w:r>
      <w:r w:rsidR="002967D7" w:rsidRPr="00CB439C">
        <w:t xml:space="preserve"> fiskalno</w:t>
      </w:r>
      <w:r w:rsidR="002967D7">
        <w:t>j</w:t>
      </w:r>
      <w:r w:rsidR="002967D7" w:rsidRPr="00CB439C">
        <w:t xml:space="preserve"> politi</w:t>
      </w:r>
      <w:r w:rsidR="002967D7">
        <w:t>ci,</w:t>
      </w:r>
      <w:r w:rsidR="002967D7" w:rsidRPr="00CB439C">
        <w:t xml:space="preserve"> </w:t>
      </w:r>
      <w:r w:rsidR="00CB439C" w:rsidRPr="00CB439C">
        <w:t xml:space="preserve">za sustav </w:t>
      </w:r>
      <w:r w:rsidR="002967D7">
        <w:t>je</w:t>
      </w:r>
      <w:r w:rsidR="002967D7" w:rsidRPr="00CB439C">
        <w:t xml:space="preserve"> </w:t>
      </w:r>
      <w:r w:rsidR="00CB439C" w:rsidRPr="00CB439C">
        <w:t xml:space="preserve">zdravstva </w:t>
      </w:r>
      <w:r w:rsidR="002967D7" w:rsidRPr="00CB439C">
        <w:t>osigura</w:t>
      </w:r>
      <w:r w:rsidR="002967D7">
        <w:t xml:space="preserve">no </w:t>
      </w:r>
      <w:r w:rsidR="00CB439C" w:rsidRPr="00CB439C">
        <w:t xml:space="preserve">dodatnih </w:t>
      </w:r>
      <w:r w:rsidR="00CE3BA3">
        <w:t xml:space="preserve">836 milijuna </w:t>
      </w:r>
      <w:r w:rsidR="00CE3BA3" w:rsidRPr="00CE3BA3">
        <w:t>eura (</w:t>
      </w:r>
      <w:r w:rsidR="00CB439C" w:rsidRPr="00CE3BA3">
        <w:t>6,3 milijardi kuna</w:t>
      </w:r>
      <w:r w:rsidR="00CE3BA3" w:rsidRPr="00CE3BA3">
        <w:t>)</w:t>
      </w:r>
      <w:r w:rsidR="00CB439C" w:rsidRPr="00CE3BA3">
        <w:t xml:space="preserve"> u 2021.</w:t>
      </w:r>
      <w:r w:rsidR="002967D7" w:rsidRPr="00CE3BA3">
        <w:t xml:space="preserve"> godini</w:t>
      </w:r>
      <w:r w:rsidR="00CB439C" w:rsidRPr="00CE3BA3">
        <w:t>, a</w:t>
      </w:r>
      <w:r w:rsidR="000551BE" w:rsidRPr="00CE3BA3">
        <w:t xml:space="preserve"> u</w:t>
      </w:r>
      <w:r w:rsidR="00CB439C" w:rsidRPr="00CE3BA3">
        <w:t xml:space="preserve"> 2022. </w:t>
      </w:r>
      <w:r w:rsidR="002967D7" w:rsidRPr="00CE3BA3">
        <w:t>godin</w:t>
      </w:r>
      <w:r w:rsidR="000551BE" w:rsidRPr="00CE3BA3">
        <w:t>i</w:t>
      </w:r>
      <w:r w:rsidR="002967D7" w:rsidRPr="00CE3BA3">
        <w:t xml:space="preserve"> </w:t>
      </w:r>
      <w:r w:rsidR="00CB439C" w:rsidRPr="00CE3BA3">
        <w:t xml:space="preserve">dodatnih </w:t>
      </w:r>
      <w:r w:rsidR="00CE3BA3" w:rsidRPr="00CE3BA3">
        <w:t>464 milijuna eura (</w:t>
      </w:r>
      <w:r w:rsidR="00CB439C" w:rsidRPr="00CE3BA3">
        <w:t>3,5</w:t>
      </w:r>
      <w:r w:rsidR="002967D7" w:rsidRPr="00CE3BA3">
        <w:t> </w:t>
      </w:r>
      <w:r w:rsidR="00CB439C" w:rsidRPr="00CE3BA3">
        <w:t>milijardi kuna</w:t>
      </w:r>
      <w:r w:rsidR="00CE3BA3" w:rsidRPr="00CE3BA3">
        <w:t>)</w:t>
      </w:r>
      <w:r w:rsidR="00CB439C" w:rsidRPr="00CE3BA3">
        <w:t xml:space="preserve"> za</w:t>
      </w:r>
      <w:r w:rsidR="00CB439C" w:rsidRPr="00CB439C">
        <w:t xml:space="preserve"> plaćanje dospjelih obveza </w:t>
      </w:r>
      <w:proofErr w:type="spellStart"/>
      <w:r w:rsidR="00CB439C" w:rsidRPr="00CB439C">
        <w:t>veledrogerija</w:t>
      </w:r>
      <w:r w:rsidR="002C475D">
        <w:t>ma</w:t>
      </w:r>
      <w:proofErr w:type="spellEnd"/>
      <w:r w:rsidR="00CB439C" w:rsidRPr="00CB439C">
        <w:t>.</w:t>
      </w:r>
    </w:p>
    <w:p w:rsidR="00CB439C" w:rsidRDefault="00B34242" w:rsidP="006F3811">
      <w:pPr>
        <w:spacing w:before="240"/>
        <w:ind w:firstLine="708"/>
        <w:jc w:val="both"/>
      </w:pPr>
      <w:r>
        <w:tab/>
      </w:r>
      <w:r w:rsidR="000551BE">
        <w:t>Kad je riječ o</w:t>
      </w:r>
      <w:r w:rsidR="00CB439C" w:rsidRPr="00CB439C">
        <w:t xml:space="preserve"> </w:t>
      </w:r>
      <w:r w:rsidR="000551BE" w:rsidRPr="00CB439C">
        <w:t>reform</w:t>
      </w:r>
      <w:r w:rsidR="000551BE">
        <w:t xml:space="preserve">i </w:t>
      </w:r>
      <w:r w:rsidR="00041EA9">
        <w:t>zdravstva</w:t>
      </w:r>
      <w:r w:rsidR="00CB439C" w:rsidRPr="00CB439C">
        <w:t>,</w:t>
      </w:r>
      <w:r w:rsidR="00041EA9">
        <w:t xml:space="preserve"> Vlada je usvojila izmjene</w:t>
      </w:r>
      <w:r w:rsidR="00CB439C" w:rsidRPr="00CB439C">
        <w:t xml:space="preserve"> Zakon</w:t>
      </w:r>
      <w:r w:rsidR="00041EA9">
        <w:t>a</w:t>
      </w:r>
      <w:r w:rsidR="00CB439C" w:rsidRPr="00CB439C">
        <w:t xml:space="preserve"> o zdravstvenoj zaštiti i Zakon</w:t>
      </w:r>
      <w:r w:rsidR="00041EA9">
        <w:t>a</w:t>
      </w:r>
      <w:r w:rsidR="00CB439C" w:rsidRPr="00CB439C">
        <w:t xml:space="preserve"> o obveznom zdravstvenom osiguranju koji su 16. prosinca 2022. prošli prvo čitanje u </w:t>
      </w:r>
      <w:r w:rsidR="0010358A">
        <w:t>Hrvatskom</w:t>
      </w:r>
      <w:r w:rsidR="00AF2065">
        <w:t>e</w:t>
      </w:r>
      <w:r w:rsidR="0010358A">
        <w:t xml:space="preserve"> saboru</w:t>
      </w:r>
      <w:r w:rsidR="0010358A" w:rsidRPr="00CB439C">
        <w:t xml:space="preserve"> </w:t>
      </w:r>
      <w:r w:rsidR="00CB439C" w:rsidRPr="00CB439C">
        <w:t xml:space="preserve">te </w:t>
      </w:r>
      <w:r w:rsidR="000551BE">
        <w:t>su u</w:t>
      </w:r>
      <w:r w:rsidR="000551BE" w:rsidRPr="00CB439C">
        <w:t xml:space="preserve"> priprem</w:t>
      </w:r>
      <w:r w:rsidR="000551BE">
        <w:t>i</w:t>
      </w:r>
      <w:r w:rsidR="000551BE" w:rsidRPr="00CB439C">
        <w:t xml:space="preserve"> </w:t>
      </w:r>
      <w:r w:rsidR="00CB439C" w:rsidRPr="00CB439C">
        <w:t xml:space="preserve">konačni prijedlozi zakona. Nakon donošenja zakona, donijet će se i </w:t>
      </w:r>
      <w:proofErr w:type="spellStart"/>
      <w:r w:rsidR="00CB439C" w:rsidRPr="00CB439C">
        <w:t>podzakonski</w:t>
      </w:r>
      <w:proofErr w:type="spellEnd"/>
      <w:r w:rsidR="00CB439C" w:rsidRPr="00CB439C">
        <w:t xml:space="preserve"> akti koji se odnose na izmjenu Mreže javnozdravstvene službe, </w:t>
      </w:r>
      <w:r w:rsidR="000551BE">
        <w:t xml:space="preserve">na </w:t>
      </w:r>
      <w:r w:rsidR="00CB439C" w:rsidRPr="00CB439C">
        <w:t xml:space="preserve">novu kategorizaciju bolnica, </w:t>
      </w:r>
      <w:r w:rsidR="000551BE">
        <w:t xml:space="preserve">na </w:t>
      </w:r>
      <w:r w:rsidR="00CB439C" w:rsidRPr="00CB439C">
        <w:t>postavljanje novog modela ugovaranja zdravstvene zaštite i novog modela financiran</w:t>
      </w:r>
      <w:r w:rsidR="000742A1">
        <w:t>ja zdravstvenih ustanova. Jedna</w:t>
      </w:r>
      <w:r w:rsidR="000551BE" w:rsidRPr="00CB439C">
        <w:t xml:space="preserve"> </w:t>
      </w:r>
      <w:r w:rsidR="00CB439C" w:rsidRPr="00CB439C">
        <w:t xml:space="preserve">od ključnih promjena u zdravstvenom sustavu </w:t>
      </w:r>
      <w:r w:rsidR="000D466B">
        <w:t xml:space="preserve">je </w:t>
      </w:r>
      <w:r w:rsidR="00CB439C" w:rsidRPr="00CB439C">
        <w:t>uvođenje načela kvalitete</w:t>
      </w:r>
      <w:r w:rsidR="000551BE">
        <w:t>. T</w:t>
      </w:r>
      <w:r w:rsidR="00CB439C" w:rsidRPr="00CB439C">
        <w:t xml:space="preserve">o uključuje i uspostavljanje i mjerenje ishoda liječenja te vrednovanje kvalitete rada zdravstvene ustanove. Organizacijski i financijski jača se primarna zdravstvena zaštita kroz novu centralnu </w:t>
      </w:r>
      <w:r w:rsidR="000551BE" w:rsidRPr="00CB439C">
        <w:t>ulog</w:t>
      </w:r>
      <w:r w:rsidR="000551BE">
        <w:t>u</w:t>
      </w:r>
      <w:r w:rsidR="000551BE" w:rsidRPr="00CB439C">
        <w:t xml:space="preserve"> </w:t>
      </w:r>
      <w:r w:rsidR="00CB439C" w:rsidRPr="00CB439C">
        <w:t>domova zdravlja. Reorganizira se bolnički sustav i jača specijalističko-konzilijarna zdravstvena zaštita izvan bolnica</w:t>
      </w:r>
      <w:r w:rsidR="000551BE">
        <w:t>. O</w:t>
      </w:r>
      <w:r w:rsidR="00CB439C" w:rsidRPr="00CB439C">
        <w:t xml:space="preserve">bjedinjenom javnom nabavom obuhvaća </w:t>
      </w:r>
      <w:r w:rsidR="000551BE">
        <w:t xml:space="preserve">se i </w:t>
      </w:r>
      <w:r w:rsidR="00CB439C" w:rsidRPr="00CB439C">
        <w:t>veći broj zdravstvenih ustanova</w:t>
      </w:r>
      <w:r w:rsidR="009206E8">
        <w:t xml:space="preserve"> </w:t>
      </w:r>
      <w:r w:rsidR="00CB439C" w:rsidRPr="00CB439C">
        <w:t xml:space="preserve">što će osigurati bolju kontrolu rashoda u sustavu zdravstva. </w:t>
      </w:r>
    </w:p>
    <w:p w:rsidR="001739E5" w:rsidRPr="00CB439C" w:rsidRDefault="00B34242" w:rsidP="001739E5">
      <w:pPr>
        <w:spacing w:before="240"/>
        <w:ind w:firstLine="708"/>
        <w:jc w:val="both"/>
      </w:pPr>
      <w:r>
        <w:tab/>
      </w:r>
      <w:r w:rsidR="000551BE">
        <w:t>U</w:t>
      </w:r>
      <w:r w:rsidR="000551BE" w:rsidRPr="00CB439C">
        <w:t xml:space="preserve"> mandatu </w:t>
      </w:r>
      <w:r w:rsidR="000551BE">
        <w:t xml:space="preserve">ove </w:t>
      </w:r>
      <w:r w:rsidR="000551BE" w:rsidRPr="00CB439C">
        <w:t>Vlade</w:t>
      </w:r>
      <w:r w:rsidR="000551BE">
        <w:t>, u</w:t>
      </w:r>
      <w:r w:rsidR="00CB439C" w:rsidRPr="00CB439C">
        <w:t xml:space="preserve">kupna ulaganja u zdravstvene ustanove iznose </w:t>
      </w:r>
      <w:r w:rsidR="005162AD">
        <w:t>preko 740</w:t>
      </w:r>
      <w:r w:rsidR="000551BE">
        <w:t> </w:t>
      </w:r>
      <w:r w:rsidR="005162AD">
        <w:t xml:space="preserve">milijuna eura </w:t>
      </w:r>
      <w:r w:rsidR="005162AD" w:rsidRPr="005162AD">
        <w:t>(</w:t>
      </w:r>
      <w:r w:rsidR="000742A1">
        <w:t>5,6 milijardi</w:t>
      </w:r>
      <w:r w:rsidR="00CB439C" w:rsidRPr="005162AD">
        <w:t xml:space="preserve"> kuna</w:t>
      </w:r>
      <w:r w:rsidR="005162AD">
        <w:t>)</w:t>
      </w:r>
      <w:r w:rsidR="00CB439C" w:rsidRPr="005162AD">
        <w:t>.</w:t>
      </w:r>
      <w:r w:rsidR="00CB439C" w:rsidRPr="00CB439C">
        <w:t xml:space="preserve"> </w:t>
      </w:r>
      <w:r w:rsidR="000551BE">
        <w:t>K</w:t>
      </w:r>
      <w:r w:rsidR="000551BE" w:rsidRPr="00CB439C">
        <w:t xml:space="preserve">roz dva operativna programa financirana </w:t>
      </w:r>
      <w:r w:rsidR="000551BE">
        <w:t xml:space="preserve">europskim </w:t>
      </w:r>
      <w:r w:rsidR="000551BE" w:rsidRPr="00CB439C">
        <w:t>sredstvima</w:t>
      </w:r>
      <w:r w:rsidR="000551BE">
        <w:t>, u</w:t>
      </w:r>
      <w:r w:rsidR="00CB439C" w:rsidRPr="00CB439C">
        <w:t xml:space="preserve"> sustavu zdravstva ugovoreni </w:t>
      </w:r>
      <w:r w:rsidR="00C63527" w:rsidRPr="00CB439C">
        <w:t xml:space="preserve">su </w:t>
      </w:r>
      <w:r w:rsidR="00CB439C" w:rsidRPr="00CB439C">
        <w:t xml:space="preserve">projekti </w:t>
      </w:r>
      <w:r w:rsidR="000551BE">
        <w:t>vrijedni više</w:t>
      </w:r>
      <w:r w:rsidR="00CB439C" w:rsidRPr="00CB439C">
        <w:t xml:space="preserve"> od </w:t>
      </w:r>
      <w:r w:rsidR="005162AD">
        <w:t xml:space="preserve">345 milijuna eura </w:t>
      </w:r>
      <w:r w:rsidR="005162AD" w:rsidRPr="005162AD">
        <w:t>(</w:t>
      </w:r>
      <w:r w:rsidR="00CB439C" w:rsidRPr="005162AD">
        <w:t>2,6</w:t>
      </w:r>
      <w:r w:rsidR="000551BE">
        <w:t> </w:t>
      </w:r>
      <w:r w:rsidR="00CB439C" w:rsidRPr="005162AD">
        <w:t>milijardi kuna</w:t>
      </w:r>
      <w:r w:rsidR="00554D54">
        <w:t>)</w:t>
      </w:r>
      <w:r w:rsidR="00CB439C" w:rsidRPr="005162AD">
        <w:t>.</w:t>
      </w:r>
      <w:r w:rsidR="00CB439C" w:rsidRPr="00CB439C">
        <w:t xml:space="preserve"> Ukupna ulaganja iz državnog proračuna za medicinsku, nemedicinsku opremu i radove </w:t>
      </w:r>
      <w:r w:rsidR="000551BE" w:rsidRPr="00CB439C">
        <w:t>u zdravstven</w:t>
      </w:r>
      <w:r w:rsidR="000551BE">
        <w:t>im</w:t>
      </w:r>
      <w:r w:rsidR="000551BE" w:rsidRPr="00CB439C">
        <w:t xml:space="preserve"> ustanov</w:t>
      </w:r>
      <w:r w:rsidR="000551BE">
        <w:t>ama</w:t>
      </w:r>
      <w:r w:rsidR="000551BE" w:rsidRPr="00CB439C">
        <w:t xml:space="preserve"> </w:t>
      </w:r>
      <w:r w:rsidR="00CB439C" w:rsidRPr="00CB439C">
        <w:t xml:space="preserve">iznose </w:t>
      </w:r>
      <w:r w:rsidR="005162AD">
        <w:t xml:space="preserve">121 milijun </w:t>
      </w:r>
      <w:r w:rsidR="005162AD" w:rsidRPr="005162AD">
        <w:t>eura (</w:t>
      </w:r>
      <w:r w:rsidR="00CB439C" w:rsidRPr="005162AD">
        <w:t>917 milijuna kuna</w:t>
      </w:r>
      <w:r w:rsidR="005162AD" w:rsidRPr="005162AD">
        <w:t>)</w:t>
      </w:r>
      <w:r w:rsidR="00CB439C" w:rsidRPr="005162AD">
        <w:t>. U</w:t>
      </w:r>
      <w:r w:rsidR="00CB439C" w:rsidRPr="00CB439C">
        <w:t xml:space="preserve"> razdoblju od 2016.</w:t>
      </w:r>
      <w:r w:rsidR="00041EA9">
        <w:t xml:space="preserve"> do </w:t>
      </w:r>
      <w:r w:rsidR="00CB439C" w:rsidRPr="00CB439C">
        <w:t xml:space="preserve">2021. </w:t>
      </w:r>
      <w:r w:rsidR="000551BE">
        <w:t xml:space="preserve">godine </w:t>
      </w:r>
      <w:r w:rsidR="00CB439C" w:rsidRPr="00CB439C">
        <w:t xml:space="preserve">ukupno je </w:t>
      </w:r>
      <w:r w:rsidR="00C63527" w:rsidRPr="00CB439C">
        <w:t xml:space="preserve">u sustav zdravstva </w:t>
      </w:r>
      <w:r w:rsidR="00CB439C" w:rsidRPr="00CB439C">
        <w:t xml:space="preserve">iz decentraliziranih sredstava </w:t>
      </w:r>
      <w:r w:rsidR="000551BE" w:rsidRPr="00CB439C">
        <w:t xml:space="preserve">uloženo </w:t>
      </w:r>
      <w:r w:rsidR="000551BE">
        <w:t xml:space="preserve">358 milijuna eura </w:t>
      </w:r>
      <w:r w:rsidR="000551BE" w:rsidRPr="005162AD">
        <w:t>(2,7 milijardi kuna)</w:t>
      </w:r>
      <w:r w:rsidR="000551BE">
        <w:t>. Samo</w:t>
      </w:r>
      <w:r w:rsidR="00CB439C" w:rsidRPr="00CB439C">
        <w:t xml:space="preserve"> u 2022. </w:t>
      </w:r>
      <w:r w:rsidR="000551BE">
        <w:t xml:space="preserve">godini </w:t>
      </w:r>
      <w:r w:rsidR="000551BE" w:rsidRPr="00CB439C">
        <w:t xml:space="preserve">županijama </w:t>
      </w:r>
      <w:r w:rsidR="000551BE">
        <w:t xml:space="preserve">je </w:t>
      </w:r>
      <w:r w:rsidR="000551BE" w:rsidRPr="00CB439C">
        <w:t xml:space="preserve">doznačeno </w:t>
      </w:r>
      <w:r w:rsidR="005162AD">
        <w:t xml:space="preserve">54 milijuna eura </w:t>
      </w:r>
      <w:r w:rsidR="005162AD" w:rsidRPr="005162AD">
        <w:t>(</w:t>
      </w:r>
      <w:r w:rsidR="00CB439C" w:rsidRPr="005162AD">
        <w:t>407 milijuna kuna</w:t>
      </w:r>
      <w:r w:rsidR="005162AD">
        <w:t>)</w:t>
      </w:r>
      <w:r w:rsidR="00CB439C" w:rsidRPr="00CB439C">
        <w:t xml:space="preserve"> za pokriće troškova nabavke nove opreme te tekućeg i investicijskog održavanja zdravstvene infrastrukture.</w:t>
      </w:r>
      <w:r w:rsidR="00041EA9">
        <w:t xml:space="preserve"> </w:t>
      </w:r>
      <w:r w:rsidR="00CB439C" w:rsidRPr="00CB439C">
        <w:t xml:space="preserve">Kroz </w:t>
      </w:r>
      <w:r w:rsidR="00041EA9">
        <w:t>NPOO</w:t>
      </w:r>
      <w:r w:rsidR="00CB439C" w:rsidRPr="00CB439C">
        <w:t xml:space="preserve"> osigurano je 340</w:t>
      </w:r>
      <w:r w:rsidR="000551BE">
        <w:t> </w:t>
      </w:r>
      <w:r w:rsidR="00CB439C" w:rsidRPr="00CB439C">
        <w:t>milijuna eura za provođenje projekata koji</w:t>
      </w:r>
      <w:r w:rsidR="0091598F">
        <w:t>m se</w:t>
      </w:r>
      <w:r w:rsidR="00CB439C" w:rsidRPr="00CB439C">
        <w:t xml:space="preserve"> </w:t>
      </w:r>
      <w:r w:rsidR="0091598F" w:rsidRPr="00CB439C">
        <w:t>podupir</w:t>
      </w:r>
      <w:r w:rsidR="0091598F">
        <w:t>e</w:t>
      </w:r>
      <w:r w:rsidR="0091598F" w:rsidRPr="00CB439C">
        <w:t xml:space="preserve"> proved</w:t>
      </w:r>
      <w:r w:rsidR="0091598F">
        <w:t xml:space="preserve">ba reformi </w:t>
      </w:r>
      <w:r w:rsidR="000551BE">
        <w:t xml:space="preserve">na </w:t>
      </w:r>
      <w:r w:rsidR="00041EA9">
        <w:t xml:space="preserve">području zdravstva, </w:t>
      </w:r>
      <w:r w:rsidR="000551BE">
        <w:t xml:space="preserve">što uključuje </w:t>
      </w:r>
      <w:r w:rsidR="00041EA9">
        <w:t xml:space="preserve">i </w:t>
      </w:r>
      <w:r w:rsidR="000551BE">
        <w:t xml:space="preserve">prethodno navedene </w:t>
      </w:r>
      <w:r w:rsidR="00041EA9">
        <w:t xml:space="preserve">izmjene zakona. </w:t>
      </w:r>
    </w:p>
    <w:p w:rsidR="0072229B" w:rsidRPr="00C81F32" w:rsidRDefault="00B34242" w:rsidP="006F3811">
      <w:pPr>
        <w:spacing w:before="240"/>
        <w:ind w:firstLine="708"/>
        <w:jc w:val="both"/>
        <w:rPr>
          <w:szCs w:val="24"/>
        </w:rPr>
      </w:pPr>
      <w:r>
        <w:lastRenderedPageBreak/>
        <w:tab/>
      </w:r>
      <w:r w:rsidR="0091598F">
        <w:t>Što se tiče</w:t>
      </w:r>
      <w:r w:rsidR="00CB439C" w:rsidRPr="002C3C80">
        <w:t xml:space="preserve"> položaja zdravstvenih radnika važno je napomenuti </w:t>
      </w:r>
      <w:r w:rsidR="00041EA9" w:rsidRPr="002C3C80">
        <w:t xml:space="preserve">da Vlada </w:t>
      </w:r>
      <w:r w:rsidR="0030623E" w:rsidRPr="002C3C80">
        <w:t xml:space="preserve">prepoznaje </w:t>
      </w:r>
      <w:r w:rsidR="0091598F">
        <w:t xml:space="preserve">i uvažava </w:t>
      </w:r>
      <w:r w:rsidR="0030623E" w:rsidRPr="002C3C80">
        <w:t xml:space="preserve">njihov doprinos društvu, što se očituje i kroz kontinuirano </w:t>
      </w:r>
      <w:r w:rsidR="00CB439C" w:rsidRPr="002C3C80">
        <w:t>povećanje osnovice za izračun plaće</w:t>
      </w:r>
      <w:r w:rsidR="002C3C80" w:rsidRPr="002C3C80">
        <w:t>, ali i dodatnom zaštitom u obavljanju službe</w:t>
      </w:r>
      <w:r w:rsidR="0091598F">
        <w:t>, i to</w:t>
      </w:r>
      <w:r w:rsidR="002C3C80" w:rsidRPr="002C3C80">
        <w:t xml:space="preserve"> propisivanjem posebnog kaznenog djela prisile nad zdravstvenim </w:t>
      </w:r>
      <w:r w:rsidR="002C3C80" w:rsidRPr="00A83440">
        <w:t>radnikom</w:t>
      </w:r>
      <w:r w:rsidR="0030623E" w:rsidRPr="00A83440">
        <w:t xml:space="preserve">. U proteklih sedam godina, </w:t>
      </w:r>
      <w:r w:rsidR="00A83440" w:rsidRPr="00A83440">
        <w:t xml:space="preserve">osnovica za izračun plaća </w:t>
      </w:r>
      <w:r w:rsidR="0091598F" w:rsidRPr="00A83440">
        <w:t xml:space="preserve">medicinskim djelatnicima </w:t>
      </w:r>
      <w:r w:rsidR="007A2C13" w:rsidRPr="00A83440">
        <w:t>povećan</w:t>
      </w:r>
      <w:r w:rsidR="007A2C13">
        <w:t>a</w:t>
      </w:r>
      <w:r w:rsidR="007A2C13" w:rsidRPr="00A83440">
        <w:t xml:space="preserve"> </w:t>
      </w:r>
      <w:r w:rsidR="00A83440">
        <w:t>je</w:t>
      </w:r>
      <w:r w:rsidR="00A83440" w:rsidRPr="00A83440">
        <w:t xml:space="preserve"> </w:t>
      </w:r>
      <w:r w:rsidR="0030623E" w:rsidRPr="006F3811">
        <w:t xml:space="preserve">za </w:t>
      </w:r>
      <w:r w:rsidR="00A83440" w:rsidRPr="006F3811">
        <w:t>preko 30 %</w:t>
      </w:r>
      <w:r w:rsidR="004623D3">
        <w:t xml:space="preserve">, a riješen </w:t>
      </w:r>
      <w:r w:rsidR="0030623E" w:rsidRPr="00A83440">
        <w:t xml:space="preserve">je </w:t>
      </w:r>
      <w:r w:rsidR="004623D3">
        <w:t>i višegodišnji problem plaćanja</w:t>
      </w:r>
      <w:r w:rsidR="00041EA9" w:rsidRPr="00A83440">
        <w:t xml:space="preserve"> prekovremenog rada</w:t>
      </w:r>
      <w:r w:rsidR="004623D3">
        <w:t xml:space="preserve"> u zdravstvu. Osim što se prekovremeni rad od 2020. plaća na temelju izračuna koji uključuje i dodatke, osigurana su sredstva i za obeštećenje radnika u zdravstvu za razlike isplata od 2013. do 2020.</w:t>
      </w:r>
      <w:r w:rsidR="00E95E74">
        <w:t xml:space="preserve"> Nadalje, u</w:t>
      </w:r>
      <w:r w:rsidR="0091598F" w:rsidRPr="00A83440">
        <w:t xml:space="preserve">loženo je </w:t>
      </w:r>
      <w:r w:rsidR="00041EA9" w:rsidRPr="00A83440">
        <w:t>u specijalizacije mladih liječnika.</w:t>
      </w:r>
      <w:r w:rsidR="002C3C80" w:rsidRPr="00A83440">
        <w:rPr>
          <w:szCs w:val="24"/>
        </w:rPr>
        <w:t xml:space="preserve"> Ukupan broj liječnika u sustavu zdravstva od 2016. do 2022. </w:t>
      </w:r>
      <w:r w:rsidR="0091598F" w:rsidRPr="00A83440">
        <w:rPr>
          <w:szCs w:val="24"/>
        </w:rPr>
        <w:t xml:space="preserve">povećan </w:t>
      </w:r>
      <w:r w:rsidR="002C3C80" w:rsidRPr="00A83440">
        <w:rPr>
          <w:szCs w:val="24"/>
        </w:rPr>
        <w:t>je za 20</w:t>
      </w:r>
      <w:r w:rsidR="00E853B1">
        <w:rPr>
          <w:szCs w:val="24"/>
        </w:rPr>
        <w:t> </w:t>
      </w:r>
      <w:r w:rsidR="002C3C80" w:rsidRPr="00A83440">
        <w:rPr>
          <w:szCs w:val="24"/>
        </w:rPr>
        <w:t xml:space="preserve">%, a broj medicinskih sestara i tehničara </w:t>
      </w:r>
      <w:r w:rsidR="009701C0" w:rsidRPr="00956220">
        <w:rPr>
          <w:szCs w:val="24"/>
        </w:rPr>
        <w:t xml:space="preserve">povećan </w:t>
      </w:r>
      <w:r w:rsidR="0091598F" w:rsidRPr="00A83440">
        <w:rPr>
          <w:szCs w:val="24"/>
        </w:rPr>
        <w:t xml:space="preserve">je </w:t>
      </w:r>
      <w:r w:rsidR="002C3C80" w:rsidRPr="00A83440">
        <w:rPr>
          <w:szCs w:val="24"/>
        </w:rPr>
        <w:t xml:space="preserve">za 12,7 %. </w:t>
      </w:r>
    </w:p>
    <w:p w:rsidR="002C3C80" w:rsidRDefault="00B34242" w:rsidP="006F3811">
      <w:pPr>
        <w:spacing w:before="240"/>
        <w:ind w:firstLine="708"/>
        <w:jc w:val="both"/>
        <w:rPr>
          <w:szCs w:val="24"/>
        </w:rPr>
      </w:pPr>
      <w:r>
        <w:tab/>
      </w:r>
      <w:r w:rsidR="002C3C80">
        <w:t xml:space="preserve">Osim </w:t>
      </w:r>
      <w:r w:rsidR="0091598F">
        <w:t xml:space="preserve">o </w:t>
      </w:r>
      <w:r w:rsidR="002C3C80">
        <w:t>osiguranju sredstava za financiranje zdravstvenog sustava</w:t>
      </w:r>
      <w:r w:rsidR="00570BE2">
        <w:t>,</w:t>
      </w:r>
      <w:r w:rsidR="002C3C80">
        <w:t xml:space="preserve"> Vlada </w:t>
      </w:r>
      <w:r w:rsidR="00570BE2">
        <w:t>posebno</w:t>
      </w:r>
      <w:r w:rsidR="0091598F">
        <w:t xml:space="preserve"> </w:t>
      </w:r>
      <w:r w:rsidR="002C3C80">
        <w:t xml:space="preserve">vodi računa i o </w:t>
      </w:r>
      <w:r w:rsidR="00570BE2">
        <w:t>tome da građanima osigura financijski pristupačne zdravstvene usluge</w:t>
      </w:r>
      <w:r w:rsidR="00AB6AE8">
        <w:t xml:space="preserve"> i lijekove, </w:t>
      </w:r>
      <w:r w:rsidR="007538A7">
        <w:t>pritom ima</w:t>
      </w:r>
      <w:r w:rsidR="00570BE2">
        <w:t xml:space="preserve"> </w:t>
      </w:r>
      <w:r w:rsidR="002C3C80">
        <w:t xml:space="preserve">posebno </w:t>
      </w:r>
      <w:r w:rsidR="00570BE2">
        <w:t xml:space="preserve">na umu ranjive skupine stanovništva, kao i one </w:t>
      </w:r>
      <w:r w:rsidR="002C3C80">
        <w:t xml:space="preserve">s nižim primanjima. </w:t>
      </w:r>
      <w:r w:rsidR="009D175F">
        <w:t>Vlada je podržala izmjene</w:t>
      </w:r>
      <w:r w:rsidR="002C3C80" w:rsidRPr="00C81F32">
        <w:rPr>
          <w:szCs w:val="24"/>
        </w:rPr>
        <w:t xml:space="preserve"> Zakona o dobrovoljnom zdravstvenom osiguranju, </w:t>
      </w:r>
      <w:r w:rsidR="002C3C80">
        <w:rPr>
          <w:szCs w:val="24"/>
        </w:rPr>
        <w:t xml:space="preserve">koji se </w:t>
      </w:r>
      <w:r w:rsidR="002C3C80" w:rsidRPr="00C81F32">
        <w:rPr>
          <w:szCs w:val="24"/>
        </w:rPr>
        <w:t xml:space="preserve">trenutno nalazi u </w:t>
      </w:r>
      <w:r w:rsidR="00793CC8">
        <w:rPr>
          <w:szCs w:val="24"/>
        </w:rPr>
        <w:t>s</w:t>
      </w:r>
      <w:r w:rsidR="00793CC8" w:rsidRPr="00C81F32">
        <w:rPr>
          <w:szCs w:val="24"/>
        </w:rPr>
        <w:t>aborskoj</w:t>
      </w:r>
      <w:r w:rsidR="00793CC8">
        <w:rPr>
          <w:szCs w:val="24"/>
        </w:rPr>
        <w:t xml:space="preserve"> </w:t>
      </w:r>
      <w:r w:rsidR="002C3C80">
        <w:rPr>
          <w:szCs w:val="24"/>
        </w:rPr>
        <w:t>proceduri</w:t>
      </w:r>
      <w:r w:rsidR="005244A9">
        <w:rPr>
          <w:szCs w:val="24"/>
        </w:rPr>
        <w:t>,</w:t>
      </w:r>
      <w:r w:rsidR="002C3C80">
        <w:rPr>
          <w:szCs w:val="24"/>
        </w:rPr>
        <w:t xml:space="preserve"> </w:t>
      </w:r>
      <w:r w:rsidR="00793CC8">
        <w:rPr>
          <w:szCs w:val="24"/>
        </w:rPr>
        <w:t xml:space="preserve">kojim </w:t>
      </w:r>
      <w:r w:rsidR="002C3C80" w:rsidRPr="00C81F32">
        <w:rPr>
          <w:szCs w:val="24"/>
        </w:rPr>
        <w:t xml:space="preserve">je predloženo </w:t>
      </w:r>
      <w:r w:rsidR="00544AC9">
        <w:rPr>
          <w:szCs w:val="24"/>
        </w:rPr>
        <w:t>proširenje</w:t>
      </w:r>
      <w:r w:rsidR="00544AC9" w:rsidRPr="00C81F32">
        <w:rPr>
          <w:szCs w:val="24"/>
        </w:rPr>
        <w:t xml:space="preserve"> </w:t>
      </w:r>
      <w:r w:rsidR="007839ED">
        <w:rPr>
          <w:szCs w:val="24"/>
        </w:rPr>
        <w:t>prav</w:t>
      </w:r>
      <w:r w:rsidR="00EE1CFD">
        <w:rPr>
          <w:szCs w:val="24"/>
        </w:rPr>
        <w:t>a</w:t>
      </w:r>
      <w:r w:rsidR="007839ED">
        <w:rPr>
          <w:szCs w:val="24"/>
        </w:rPr>
        <w:t xml:space="preserve"> na dopunsko zdravstven</w:t>
      </w:r>
      <w:r w:rsidR="00587645">
        <w:rPr>
          <w:szCs w:val="24"/>
        </w:rPr>
        <w:t>o osiguranje na teret proračuna</w:t>
      </w:r>
      <w:r w:rsidR="000742A1">
        <w:rPr>
          <w:szCs w:val="24"/>
        </w:rPr>
        <w:t xml:space="preserve"> z</w:t>
      </w:r>
      <w:r w:rsidR="00B7461B">
        <w:rPr>
          <w:szCs w:val="24"/>
        </w:rPr>
        <w:t>a</w:t>
      </w:r>
      <w:r w:rsidR="00587645">
        <w:rPr>
          <w:szCs w:val="24"/>
        </w:rPr>
        <w:t xml:space="preserve"> </w:t>
      </w:r>
      <w:r w:rsidR="00B7461B">
        <w:rPr>
          <w:szCs w:val="24"/>
        </w:rPr>
        <w:t>građane</w:t>
      </w:r>
      <w:r w:rsidR="007839ED">
        <w:rPr>
          <w:szCs w:val="24"/>
        </w:rPr>
        <w:t xml:space="preserve"> koji ostvaruju </w:t>
      </w:r>
      <w:r w:rsidR="00B7461B">
        <w:rPr>
          <w:szCs w:val="24"/>
        </w:rPr>
        <w:t xml:space="preserve">do </w:t>
      </w:r>
      <w:r w:rsidR="007839ED">
        <w:rPr>
          <w:szCs w:val="24"/>
        </w:rPr>
        <w:t xml:space="preserve">331,81 euro mjesečno, odnosno za osiguranika samca </w:t>
      </w:r>
      <w:r w:rsidR="00B7461B">
        <w:rPr>
          <w:szCs w:val="24"/>
        </w:rPr>
        <w:t xml:space="preserve">do </w:t>
      </w:r>
      <w:r w:rsidR="002C3C80" w:rsidRPr="00C81F32">
        <w:rPr>
          <w:szCs w:val="24"/>
        </w:rPr>
        <w:t xml:space="preserve">415,42 </w:t>
      </w:r>
      <w:r w:rsidR="002C3C80">
        <w:rPr>
          <w:szCs w:val="24"/>
        </w:rPr>
        <w:t>eura</w:t>
      </w:r>
      <w:r w:rsidR="002C3C80" w:rsidRPr="00C81F32">
        <w:rPr>
          <w:szCs w:val="24"/>
        </w:rPr>
        <w:t xml:space="preserve"> mjesečno</w:t>
      </w:r>
      <w:r w:rsidR="007538A7">
        <w:rPr>
          <w:szCs w:val="24"/>
        </w:rPr>
        <w:t>.</w:t>
      </w:r>
      <w:r w:rsidR="00B7461B" w:rsidRPr="00C81F32">
        <w:rPr>
          <w:szCs w:val="24"/>
        </w:rPr>
        <w:t xml:space="preserve"> </w:t>
      </w:r>
      <w:r w:rsidR="005244A9">
        <w:rPr>
          <w:szCs w:val="24"/>
        </w:rPr>
        <w:t xml:space="preserve">To </w:t>
      </w:r>
      <w:r w:rsidR="007839ED">
        <w:rPr>
          <w:szCs w:val="24"/>
        </w:rPr>
        <w:t xml:space="preserve">konkretno </w:t>
      </w:r>
      <w:r w:rsidR="005244A9">
        <w:rPr>
          <w:szCs w:val="24"/>
        </w:rPr>
        <w:t>odražava</w:t>
      </w:r>
      <w:r w:rsidR="002C3C80" w:rsidRPr="00C81F32">
        <w:rPr>
          <w:szCs w:val="24"/>
        </w:rPr>
        <w:t xml:space="preserve"> </w:t>
      </w:r>
      <w:r w:rsidR="005244A9">
        <w:rPr>
          <w:szCs w:val="24"/>
        </w:rPr>
        <w:t xml:space="preserve">skrb ove Vlade </w:t>
      </w:r>
      <w:r w:rsidR="002C3C80" w:rsidRPr="00C81F32">
        <w:rPr>
          <w:szCs w:val="24"/>
        </w:rPr>
        <w:t xml:space="preserve">za građane u potrebi, </w:t>
      </w:r>
      <w:r w:rsidR="005244A9">
        <w:rPr>
          <w:szCs w:val="24"/>
        </w:rPr>
        <w:t>a osobito</w:t>
      </w:r>
      <w:r w:rsidR="005244A9" w:rsidRPr="00C81F32">
        <w:rPr>
          <w:szCs w:val="24"/>
        </w:rPr>
        <w:t xml:space="preserve"> </w:t>
      </w:r>
      <w:r w:rsidR="005244A9">
        <w:rPr>
          <w:szCs w:val="24"/>
        </w:rPr>
        <w:t xml:space="preserve">za </w:t>
      </w:r>
      <w:r w:rsidR="002C3C80" w:rsidRPr="00C81F32">
        <w:rPr>
          <w:szCs w:val="24"/>
        </w:rPr>
        <w:t>umirovljenike.</w:t>
      </w:r>
    </w:p>
    <w:p w:rsidR="002C3C80" w:rsidRDefault="002C3C80" w:rsidP="0030623E">
      <w:pPr>
        <w:jc w:val="both"/>
      </w:pPr>
    </w:p>
    <w:p w:rsidR="004F1489" w:rsidRDefault="00B34242" w:rsidP="00104E11">
      <w:pPr>
        <w:ind w:left="708"/>
        <w:jc w:val="both"/>
        <w:rPr>
          <w:b/>
        </w:rPr>
      </w:pPr>
      <w:r>
        <w:rPr>
          <w:b/>
        </w:rPr>
        <w:tab/>
      </w:r>
      <w:r w:rsidR="00F27FE4">
        <w:rPr>
          <w:b/>
        </w:rPr>
        <w:t xml:space="preserve">Ad </w:t>
      </w:r>
      <w:r w:rsidR="004F1489" w:rsidRPr="004F1489">
        <w:rPr>
          <w:b/>
        </w:rPr>
        <w:t xml:space="preserve">4. </w:t>
      </w:r>
    </w:p>
    <w:p w:rsidR="007538A7" w:rsidRDefault="00B34242" w:rsidP="007538A7">
      <w:pPr>
        <w:spacing w:before="240"/>
        <w:ind w:firstLine="708"/>
        <w:jc w:val="both"/>
      </w:pPr>
      <w:r>
        <w:rPr>
          <w:b/>
        </w:rPr>
        <w:tab/>
      </w:r>
      <w:r w:rsidR="007538A7" w:rsidRPr="00986D40">
        <w:t xml:space="preserve">U vezi s </w:t>
      </w:r>
      <w:r w:rsidR="007538A7">
        <w:t xml:space="preserve">tvrdnjama </w:t>
      </w:r>
      <w:r w:rsidR="007538A7" w:rsidRPr="00986D40">
        <w:t xml:space="preserve">predlagatelja </w:t>
      </w:r>
      <w:r w:rsidR="007538A7">
        <w:t xml:space="preserve">o </w:t>
      </w:r>
      <w:r w:rsidR="007538A7" w:rsidRPr="00986D40">
        <w:t>navodno</w:t>
      </w:r>
      <w:r w:rsidR="007538A7">
        <w:t>m</w:t>
      </w:r>
      <w:r w:rsidR="007538A7" w:rsidRPr="00986D40">
        <w:t xml:space="preserve"> </w:t>
      </w:r>
      <w:r w:rsidR="007538A7">
        <w:t>"neistraživanju i neprocesuiranju</w:t>
      </w:r>
      <w:r w:rsidR="007538A7" w:rsidRPr="00986D40">
        <w:t xml:space="preserve"> ratnih zločina</w:t>
      </w:r>
      <w:r w:rsidR="001739E5">
        <w:t>"</w:t>
      </w:r>
      <w:r w:rsidR="007538A7" w:rsidRPr="008C4934">
        <w:t xml:space="preserve">, </w:t>
      </w:r>
      <w:r w:rsidR="007538A7" w:rsidRPr="00CB439C">
        <w:t xml:space="preserve">Vlada </w:t>
      </w:r>
      <w:r w:rsidR="007538A7">
        <w:t>ističe da je jedan od njenih ključnih prioriteta otkrivanje i kažnjavanje počinitelja ratnih zločina te pronalazak nestalih osoba</w:t>
      </w:r>
      <w:r w:rsidR="00295DA4">
        <w:t>.</w:t>
      </w:r>
    </w:p>
    <w:p w:rsidR="007538A7" w:rsidRDefault="007538A7" w:rsidP="007538A7">
      <w:pPr>
        <w:spacing w:before="240"/>
        <w:ind w:firstLine="1418"/>
        <w:jc w:val="both"/>
      </w:pPr>
      <w:r>
        <w:t xml:space="preserve">Iz godišnjih izvješća o radu Državnog odvjetništva Republike Hrvatske, kao tijela koje </w:t>
      </w:r>
      <w:r w:rsidR="00295DA4">
        <w:t>je nadležno</w:t>
      </w:r>
      <w:r>
        <w:t xml:space="preserve"> za postupanje u ovim predmetima, vidljivo je da je teza o </w:t>
      </w:r>
      <w:r w:rsidRPr="00530C0E">
        <w:t>"</w:t>
      </w:r>
      <w:r>
        <w:t>posrednom i neposrednom</w:t>
      </w:r>
      <w:r w:rsidRPr="00530C0E">
        <w:t xml:space="preserve"> utje</w:t>
      </w:r>
      <w:r>
        <w:t>caju</w:t>
      </w:r>
      <w:r w:rsidRPr="00530C0E">
        <w:t xml:space="preserve"> izvršne vl</w:t>
      </w:r>
      <w:r>
        <w:t>a</w:t>
      </w:r>
      <w:r w:rsidRPr="00530C0E">
        <w:t>sti na dinamiku</w:t>
      </w:r>
      <w:r>
        <w:t xml:space="preserve"> </w:t>
      </w:r>
      <w:r w:rsidRPr="00530C0E">
        <w:t>procesuiranja tih zločina s obzirom n</w:t>
      </w:r>
      <w:r>
        <w:t>a</w:t>
      </w:r>
      <w:r w:rsidRPr="00530C0E">
        <w:t xml:space="preserve"> specifične koalicijske odnose" </w:t>
      </w:r>
      <w:r>
        <w:t xml:space="preserve">potpuna izmišljotina. Naime, usporedbom podataka o broju osoba koje su prijavljene, </w:t>
      </w:r>
      <w:r w:rsidR="00295DA4">
        <w:t>optužene i osuđene za kaznena d</w:t>
      </w:r>
      <w:r>
        <w:t>jela ratnih zločina razvidno je da broj osoba niti u jednoj od tih kategorija nije u padu. Dapače, unatoč proteku vremena koji otežava okolnosti vođenja svakog postupka, brojke pokazuju određenu konstantu u dinamici rada Državnog odvjetništva</w:t>
      </w:r>
      <w:r w:rsidR="00295DA4" w:rsidRPr="00295DA4">
        <w:t xml:space="preserve"> Republike Hrvatske</w:t>
      </w:r>
      <w:r>
        <w:t>. U tablici ispod prikazan je po godinama broj osoba prijavljenih, optuženih i osuđenih za kaznena djela ratnih zločina:</w:t>
      </w:r>
    </w:p>
    <w:tbl>
      <w:tblPr>
        <w:tblW w:w="9276" w:type="dxa"/>
        <w:tblInd w:w="-23" w:type="dxa"/>
        <w:tblCellMar>
          <w:left w:w="0" w:type="dxa"/>
          <w:right w:w="0" w:type="dxa"/>
        </w:tblCellMar>
        <w:tblLook w:val="04A0" w:firstRow="1" w:lastRow="0" w:firstColumn="1" w:lastColumn="0" w:noHBand="0" w:noVBand="1"/>
      </w:tblPr>
      <w:tblGrid>
        <w:gridCol w:w="1645"/>
        <w:gridCol w:w="899"/>
        <w:gridCol w:w="899"/>
        <w:gridCol w:w="899"/>
        <w:gridCol w:w="899"/>
        <w:gridCol w:w="806"/>
        <w:gridCol w:w="806"/>
        <w:gridCol w:w="806"/>
        <w:gridCol w:w="806"/>
        <w:gridCol w:w="811"/>
      </w:tblGrid>
      <w:tr w:rsidR="007538A7" w:rsidTr="00DE1320">
        <w:trPr>
          <w:trHeight w:val="362"/>
        </w:trPr>
        <w:tc>
          <w:tcPr>
            <w:tcW w:w="9276" w:type="dxa"/>
            <w:gridSpan w:val="10"/>
            <w:tcBorders>
              <w:top w:val="single" w:sz="8" w:space="0" w:color="auto"/>
              <w:left w:val="single" w:sz="8" w:space="0" w:color="auto"/>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7538A7" w:rsidRDefault="007538A7" w:rsidP="00DE1320">
            <w:pPr>
              <w:jc w:val="center"/>
              <w:rPr>
                <w:color w:val="000000"/>
                <w:lang w:eastAsia="hr-HR"/>
              </w:rPr>
            </w:pPr>
            <w:r>
              <w:rPr>
                <w:color w:val="000000"/>
                <w:highlight w:val="yellow"/>
                <w:lang w:eastAsia="hr-HR"/>
              </w:rPr>
              <w:t>B</w:t>
            </w:r>
            <w:r w:rsidR="00295DA4">
              <w:rPr>
                <w:color w:val="000000"/>
                <w:highlight w:val="yellow"/>
                <w:lang w:eastAsia="hr-HR"/>
              </w:rPr>
              <w:t>roj osoba</w:t>
            </w:r>
            <w:r w:rsidRPr="001E612C">
              <w:rPr>
                <w:color w:val="000000"/>
                <w:highlight w:val="yellow"/>
                <w:lang w:eastAsia="hr-HR"/>
              </w:rPr>
              <w:t xml:space="preserve"> prijavljenih, op</w:t>
            </w:r>
            <w:r w:rsidR="00295DA4">
              <w:rPr>
                <w:color w:val="000000"/>
                <w:highlight w:val="yellow"/>
                <w:lang w:eastAsia="hr-HR"/>
              </w:rPr>
              <w:t xml:space="preserve">tuženih i osuđenih za kaznena djela ratnih zločina </w:t>
            </w:r>
            <w:r w:rsidRPr="001E612C">
              <w:rPr>
                <w:color w:val="000000"/>
                <w:highlight w:val="yellow"/>
                <w:lang w:eastAsia="hr-HR"/>
              </w:rPr>
              <w:t>od 2013. do 2021.</w:t>
            </w:r>
          </w:p>
        </w:tc>
      </w:tr>
      <w:tr w:rsidR="007538A7" w:rsidTr="00295DA4">
        <w:trPr>
          <w:trHeight w:val="362"/>
        </w:trPr>
        <w:tc>
          <w:tcPr>
            <w:tcW w:w="164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DE1320">
            <w:pPr>
              <w:rPr>
                <w:color w:val="000000"/>
                <w:lang w:eastAsia="hr-HR"/>
              </w:rPr>
            </w:pPr>
            <w:r>
              <w:rPr>
                <w:color w:val="000000"/>
                <w:lang w:eastAsia="hr-HR"/>
              </w:rPr>
              <w:t> </w:t>
            </w:r>
          </w:p>
        </w:tc>
        <w:tc>
          <w:tcPr>
            <w:tcW w:w="899"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2013.</w:t>
            </w:r>
          </w:p>
        </w:tc>
        <w:tc>
          <w:tcPr>
            <w:tcW w:w="899"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2014.</w:t>
            </w:r>
          </w:p>
        </w:tc>
        <w:tc>
          <w:tcPr>
            <w:tcW w:w="899"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2015.</w:t>
            </w:r>
          </w:p>
        </w:tc>
        <w:tc>
          <w:tcPr>
            <w:tcW w:w="899"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2016.</w:t>
            </w:r>
          </w:p>
        </w:tc>
        <w:tc>
          <w:tcPr>
            <w:tcW w:w="806"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2017.</w:t>
            </w:r>
          </w:p>
        </w:tc>
        <w:tc>
          <w:tcPr>
            <w:tcW w:w="806"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2018.</w:t>
            </w:r>
          </w:p>
        </w:tc>
        <w:tc>
          <w:tcPr>
            <w:tcW w:w="806"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2019.</w:t>
            </w:r>
          </w:p>
        </w:tc>
        <w:tc>
          <w:tcPr>
            <w:tcW w:w="806"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2020.</w:t>
            </w:r>
          </w:p>
        </w:tc>
        <w:tc>
          <w:tcPr>
            <w:tcW w:w="806" w:type="dxa"/>
            <w:tcBorders>
              <w:top w:val="nil"/>
              <w:left w:val="nil"/>
              <w:bottom w:val="single" w:sz="8" w:space="0" w:color="auto"/>
              <w:right w:val="single" w:sz="8" w:space="0" w:color="auto"/>
            </w:tcBorders>
            <w:shd w:val="clear" w:color="auto" w:fill="C4D79B"/>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2021.</w:t>
            </w:r>
          </w:p>
        </w:tc>
      </w:tr>
      <w:tr w:rsidR="007538A7" w:rsidTr="00295DA4">
        <w:trPr>
          <w:trHeight w:val="362"/>
        </w:trPr>
        <w:tc>
          <w:tcPr>
            <w:tcW w:w="164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DE1320">
            <w:pPr>
              <w:rPr>
                <w:color w:val="000000"/>
                <w:lang w:eastAsia="hr-HR"/>
              </w:rPr>
            </w:pPr>
            <w:r>
              <w:rPr>
                <w:color w:val="000000"/>
                <w:lang w:eastAsia="hr-HR"/>
              </w:rPr>
              <w:t xml:space="preserve">Prijavljeno </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37</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21</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41</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41</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62</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34</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60</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18</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35</w:t>
            </w:r>
          </w:p>
        </w:tc>
      </w:tr>
      <w:tr w:rsidR="007538A7" w:rsidTr="00295DA4">
        <w:trPr>
          <w:trHeight w:val="362"/>
        </w:trPr>
        <w:tc>
          <w:tcPr>
            <w:tcW w:w="164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DE1320">
            <w:pPr>
              <w:rPr>
                <w:color w:val="000000"/>
                <w:lang w:eastAsia="hr-HR"/>
              </w:rPr>
            </w:pPr>
            <w:r>
              <w:rPr>
                <w:color w:val="000000"/>
                <w:lang w:eastAsia="hr-HR"/>
              </w:rPr>
              <w:t xml:space="preserve">Optuženo </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21</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31</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31</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84</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34</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34</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27</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28</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25</w:t>
            </w:r>
          </w:p>
        </w:tc>
      </w:tr>
      <w:tr w:rsidR="007538A7" w:rsidTr="00295DA4">
        <w:trPr>
          <w:trHeight w:val="362"/>
        </w:trPr>
        <w:tc>
          <w:tcPr>
            <w:tcW w:w="164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DE1320">
            <w:pPr>
              <w:rPr>
                <w:color w:val="000000"/>
                <w:lang w:eastAsia="hr-HR"/>
              </w:rPr>
            </w:pPr>
            <w:r>
              <w:rPr>
                <w:color w:val="000000"/>
                <w:lang w:eastAsia="hr-HR"/>
              </w:rPr>
              <w:t xml:space="preserve">Osuđeno </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22</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17</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23</w:t>
            </w:r>
          </w:p>
        </w:tc>
        <w:tc>
          <w:tcPr>
            <w:tcW w:w="8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13</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17</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12</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29</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24</w:t>
            </w:r>
          </w:p>
        </w:tc>
        <w:tc>
          <w:tcPr>
            <w:tcW w:w="8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538A7" w:rsidRDefault="007538A7" w:rsidP="00295DA4">
            <w:pPr>
              <w:jc w:val="center"/>
              <w:rPr>
                <w:color w:val="000000"/>
                <w:lang w:eastAsia="hr-HR"/>
              </w:rPr>
            </w:pPr>
            <w:r>
              <w:rPr>
                <w:color w:val="000000"/>
                <w:lang w:eastAsia="hr-HR"/>
              </w:rPr>
              <w:t>28</w:t>
            </w:r>
          </w:p>
        </w:tc>
      </w:tr>
    </w:tbl>
    <w:p w:rsidR="007538A7" w:rsidRDefault="007538A7" w:rsidP="007538A7">
      <w:pPr>
        <w:spacing w:before="240"/>
        <w:ind w:firstLine="1418"/>
        <w:jc w:val="both"/>
      </w:pPr>
      <w:r>
        <w:t xml:space="preserve">Od završetka Domovinskog rata </w:t>
      </w:r>
      <w:r w:rsidRPr="001D30DE">
        <w:t>zbog zločina na vukovarskom području procesuirana je 441 osoba.</w:t>
      </w:r>
    </w:p>
    <w:p w:rsidR="00077FE7" w:rsidRDefault="00077FE7" w:rsidP="007538A7">
      <w:pPr>
        <w:spacing w:before="240"/>
        <w:ind w:firstLine="1418"/>
        <w:jc w:val="both"/>
      </w:pPr>
      <w:r>
        <w:t xml:space="preserve">Ponovno ističemo da je </w:t>
      </w:r>
      <w:r w:rsidR="00CB439C" w:rsidRPr="00CB439C">
        <w:t>Državno odvjetništvo Republike Hrvatske samostalno</w:t>
      </w:r>
      <w:r w:rsidR="00DD0234">
        <w:t xml:space="preserve"> i</w:t>
      </w:r>
      <w:r w:rsidR="00CB439C" w:rsidRPr="00CB439C">
        <w:t xml:space="preserve"> neovisno pravosudno tijelo</w:t>
      </w:r>
      <w:r w:rsidR="00DD0234">
        <w:t xml:space="preserve"> koje je</w:t>
      </w:r>
      <w:r w:rsidR="00CB439C" w:rsidRPr="00CB439C">
        <w:t xml:space="preserve"> dužno postupati protiv počinitelja kaznenih djela i drugih kažnjivih djela, </w:t>
      </w:r>
      <w:r w:rsidR="00DD0234">
        <w:t xml:space="preserve">i koje je </w:t>
      </w:r>
      <w:r w:rsidR="00DD0234" w:rsidRPr="00CB439C">
        <w:t xml:space="preserve">ovlašteno </w:t>
      </w:r>
      <w:r w:rsidR="00CB439C" w:rsidRPr="00CB439C">
        <w:t>poduzima</w:t>
      </w:r>
      <w:r w:rsidR="00FF7497">
        <w:t>ti</w:t>
      </w:r>
      <w:r w:rsidR="00CB439C" w:rsidRPr="00CB439C">
        <w:t xml:space="preserve"> pravne radnje radi zaštite imovine Republike Hrvatske te podnosi</w:t>
      </w:r>
      <w:r w:rsidR="00FF7497">
        <w:t>ti</w:t>
      </w:r>
      <w:r w:rsidR="00CB439C" w:rsidRPr="00CB439C">
        <w:t xml:space="preserve"> pravna sredstva za zaštitu Ustava </w:t>
      </w:r>
      <w:r w:rsidR="000742A1">
        <w:t xml:space="preserve">Republike Hrvatske </w:t>
      </w:r>
      <w:r w:rsidR="00CB439C" w:rsidRPr="00CB439C">
        <w:t xml:space="preserve">i zakona. </w:t>
      </w:r>
      <w:r>
        <w:lastRenderedPageBreak/>
        <w:t xml:space="preserve">Napominjemo da Vlada </w:t>
      </w:r>
      <w:r w:rsidR="00DD0234">
        <w:t xml:space="preserve">poštuje neovisnost Državnog odvjetništva </w:t>
      </w:r>
      <w:r w:rsidR="000742A1">
        <w:t xml:space="preserve">Republike Hrvatske </w:t>
      </w:r>
      <w:r w:rsidR="00DD0234">
        <w:t>kao pravosudnog tijela,</w:t>
      </w:r>
      <w:r w:rsidR="00DD0234" w:rsidDel="00DD0234">
        <w:t xml:space="preserve"> </w:t>
      </w:r>
      <w:r w:rsidR="00DD0234">
        <w:t>kako u</w:t>
      </w:r>
      <w:r>
        <w:t xml:space="preserve"> slučajevima procesuiranja ratnih zločina, </w:t>
      </w:r>
      <w:r w:rsidR="00DD0234">
        <w:t xml:space="preserve">tako </w:t>
      </w:r>
      <w:r>
        <w:t xml:space="preserve">i u ostalim predmetima iz </w:t>
      </w:r>
      <w:r w:rsidR="00DD0234">
        <w:t xml:space="preserve">njegove </w:t>
      </w:r>
      <w:r>
        <w:t xml:space="preserve">nadležnosti. </w:t>
      </w:r>
    </w:p>
    <w:p w:rsidR="007538A7" w:rsidRDefault="007538A7" w:rsidP="007538A7">
      <w:pPr>
        <w:spacing w:before="240"/>
        <w:ind w:firstLine="1416"/>
        <w:jc w:val="both"/>
      </w:pPr>
      <w:r>
        <w:rPr>
          <w:bCs/>
        </w:rPr>
        <w:t>Uz procesuiranje ratnih zločina, p</w:t>
      </w:r>
      <w:r w:rsidRPr="00CB439C">
        <w:rPr>
          <w:bCs/>
        </w:rPr>
        <w:t xml:space="preserve">otraga za </w:t>
      </w:r>
      <w:r>
        <w:rPr>
          <w:bCs/>
        </w:rPr>
        <w:t>1</w:t>
      </w:r>
      <w:r w:rsidR="00FF7497">
        <w:rPr>
          <w:bCs/>
        </w:rPr>
        <w:t>.816 nestalih osoba</w:t>
      </w:r>
      <w:r>
        <w:rPr>
          <w:bCs/>
        </w:rPr>
        <w:t xml:space="preserve"> u</w:t>
      </w:r>
      <w:r w:rsidRPr="00CB439C">
        <w:rPr>
          <w:bCs/>
        </w:rPr>
        <w:t xml:space="preserve"> Domovinskom ratu</w:t>
      </w:r>
      <w:r>
        <w:rPr>
          <w:bCs/>
        </w:rPr>
        <w:t xml:space="preserve"> ostaje važan prioritet</w:t>
      </w:r>
      <w:r w:rsidRPr="00CB439C">
        <w:rPr>
          <w:bCs/>
        </w:rPr>
        <w:t xml:space="preserve"> </w:t>
      </w:r>
      <w:r>
        <w:rPr>
          <w:bCs/>
        </w:rPr>
        <w:t xml:space="preserve">i trajna obveza </w:t>
      </w:r>
      <w:r w:rsidRPr="00CB439C">
        <w:rPr>
          <w:bCs/>
        </w:rPr>
        <w:t xml:space="preserve">Vlade, od </w:t>
      </w:r>
      <w:r>
        <w:rPr>
          <w:bCs/>
        </w:rPr>
        <w:t>čega</w:t>
      </w:r>
      <w:r w:rsidRPr="00CB439C">
        <w:rPr>
          <w:bCs/>
        </w:rPr>
        <w:t xml:space="preserve"> se neće odustati sve dok se ne pronađe i posljednja nestala osoba.</w:t>
      </w:r>
    </w:p>
    <w:p w:rsidR="004F1489" w:rsidRPr="00CB439C" w:rsidRDefault="004F1489" w:rsidP="00CB439C">
      <w:pPr>
        <w:jc w:val="both"/>
      </w:pPr>
    </w:p>
    <w:p w:rsidR="004F1489" w:rsidRDefault="00B34242" w:rsidP="00B426B0">
      <w:pPr>
        <w:ind w:firstLine="708"/>
        <w:jc w:val="both"/>
        <w:rPr>
          <w:b/>
        </w:rPr>
      </w:pPr>
      <w:r>
        <w:rPr>
          <w:b/>
        </w:rPr>
        <w:tab/>
      </w:r>
      <w:r w:rsidR="00DB1382">
        <w:rPr>
          <w:b/>
        </w:rPr>
        <w:t xml:space="preserve">Ad </w:t>
      </w:r>
      <w:r w:rsidR="004F1489" w:rsidRPr="004F1489">
        <w:rPr>
          <w:b/>
        </w:rPr>
        <w:t xml:space="preserve">5. </w:t>
      </w:r>
    </w:p>
    <w:p w:rsidR="007C1EAC" w:rsidRDefault="00B34242" w:rsidP="006F3811">
      <w:pPr>
        <w:spacing w:before="240"/>
        <w:ind w:firstLine="708"/>
        <w:jc w:val="both"/>
      </w:pPr>
      <w:r>
        <w:tab/>
      </w:r>
      <w:r w:rsidR="007C1EAC" w:rsidRPr="007C1EAC">
        <w:t xml:space="preserve">U ovom lošem uratku predlagatelja i peta točka je besmislena. Iz svega navedenog vidljivo je da su navodi predlagatelja u točki 5. potpuno neutemeljeni i neistiniti te da predsjednik Vlade, kao i Vlada u cjelini, savjesno i predano rade na promicanju i zaštiti nacionalnih interesa, na unaprjeđenju životnog standarda građana, na rastu hrvatskog gospodarstva i na jačanju državne sigurnosti. </w:t>
      </w:r>
    </w:p>
    <w:p w:rsidR="005C3F44" w:rsidRDefault="00F70A09" w:rsidP="006F3811">
      <w:pPr>
        <w:spacing w:before="240"/>
        <w:ind w:firstLine="708"/>
        <w:jc w:val="both"/>
      </w:pPr>
      <w:r>
        <w:t xml:space="preserve"> </w:t>
      </w:r>
      <w:r w:rsidR="00B34242">
        <w:tab/>
      </w:r>
      <w:r>
        <w:t xml:space="preserve"> </w:t>
      </w:r>
      <w:r w:rsidR="004F1489">
        <w:t>Vlada i</w:t>
      </w:r>
      <w:r w:rsidR="00CB439C" w:rsidRPr="002619BA">
        <w:t xml:space="preserve">stiče </w:t>
      </w:r>
      <w:r w:rsidR="00DD0234">
        <w:t>da</w:t>
      </w:r>
      <w:r w:rsidR="00DD0234" w:rsidRPr="002619BA">
        <w:t xml:space="preserve"> </w:t>
      </w:r>
      <w:r w:rsidR="00CB439C" w:rsidRPr="002619BA">
        <w:t xml:space="preserve">su upravo za mandata ove Vlade postignuti </w:t>
      </w:r>
      <w:r w:rsidR="00335365" w:rsidRPr="002619BA">
        <w:t>značajni uspjesi. U</w:t>
      </w:r>
      <w:r w:rsidR="009145EC">
        <w:t>natoč financijski izuzetno zahtjevnim</w:t>
      </w:r>
      <w:r w:rsidR="00335365" w:rsidRPr="002619BA">
        <w:t xml:space="preserve"> okolnostima</w:t>
      </w:r>
      <w:r w:rsidR="009145EC">
        <w:t xml:space="preserve"> uzastopnih globalnih kriza (</w:t>
      </w:r>
      <w:proofErr w:type="spellStart"/>
      <w:r w:rsidR="009145EC">
        <w:t>pandemije</w:t>
      </w:r>
      <w:proofErr w:type="spellEnd"/>
      <w:r w:rsidR="009145EC">
        <w:t>, energetske krize i s njom povezanom visokom inflacijom) te posljedicama dvaju razornih potresa, postignuta je rekordna zaposlenost (70</w:t>
      </w:r>
      <w:r w:rsidR="000742A1">
        <w:t xml:space="preserve"> </w:t>
      </w:r>
      <w:r w:rsidR="009145EC">
        <w:t>%) i stvoreno je 156 tisuća radnih mjesta. Istodobno ostvarena je rekordno niska nezaposlenost (6,2</w:t>
      </w:r>
      <w:r w:rsidR="000742A1">
        <w:t xml:space="preserve"> </w:t>
      </w:r>
      <w:r w:rsidR="009145EC">
        <w:t>% u trećem kvartalu 2022.). Usto,</w:t>
      </w:r>
      <w:r w:rsidR="00551D05">
        <w:t xml:space="preserve"> u šest godina,</w:t>
      </w:r>
      <w:r w:rsidR="009145EC">
        <w:t xml:space="preserve"> </w:t>
      </w:r>
      <w:r w:rsidR="00551D05">
        <w:t>od listopada 2016.</w:t>
      </w:r>
      <w:r w:rsidR="00551D05" w:rsidRPr="00551D05">
        <w:t xml:space="preserve"> </w:t>
      </w:r>
      <w:r w:rsidR="00551D05">
        <w:t xml:space="preserve">do </w:t>
      </w:r>
      <w:r w:rsidR="00551D05" w:rsidRPr="009145EC">
        <w:t>studeno</w:t>
      </w:r>
      <w:r w:rsidR="00551D05">
        <w:t>g</w:t>
      </w:r>
      <w:r w:rsidR="00551D05" w:rsidRPr="009145EC">
        <w:t xml:space="preserve"> 2022.</w:t>
      </w:r>
      <w:r w:rsidR="00551D05">
        <w:t xml:space="preserve"> </w:t>
      </w:r>
      <w:r w:rsidR="009145EC">
        <w:t xml:space="preserve">prosječna neto plaća </w:t>
      </w:r>
      <w:r w:rsidR="009145EC" w:rsidRPr="009145EC">
        <w:t>povećana je za rekordnih 2.272 k</w:t>
      </w:r>
      <w:r w:rsidR="000742A1">
        <w:t>u</w:t>
      </w:r>
      <w:r w:rsidR="009145EC" w:rsidRPr="009145EC">
        <w:t>n</w:t>
      </w:r>
      <w:r w:rsidR="000742A1">
        <w:t>e</w:t>
      </w:r>
      <w:r w:rsidR="009145EC" w:rsidRPr="009145EC">
        <w:t xml:space="preserve"> (+40,3</w:t>
      </w:r>
      <w:r w:rsidR="000742A1">
        <w:t xml:space="preserve"> </w:t>
      </w:r>
      <w:r w:rsidR="009145EC" w:rsidRPr="009145EC">
        <w:t>%), s 5.642 na 7.914 k</w:t>
      </w:r>
      <w:r w:rsidR="000742A1">
        <w:t>u</w:t>
      </w:r>
      <w:r w:rsidR="009145EC" w:rsidRPr="009145EC">
        <w:t>n</w:t>
      </w:r>
      <w:r w:rsidR="000742A1">
        <w:t>a</w:t>
      </w:r>
      <w:r w:rsidR="009145EC" w:rsidRPr="009145EC">
        <w:t xml:space="preserve">, odnosno za </w:t>
      </w:r>
      <w:r w:rsidR="00551D05">
        <w:t xml:space="preserve">ukupno </w:t>
      </w:r>
      <w:r w:rsidR="009145EC" w:rsidRPr="009145EC">
        <w:t xml:space="preserve">301 </w:t>
      </w:r>
      <w:r w:rsidR="001739E5">
        <w:t>euro</w:t>
      </w:r>
      <w:r w:rsidR="009145EC" w:rsidRPr="009145EC">
        <w:t xml:space="preserve">, sa 749 </w:t>
      </w:r>
      <w:r w:rsidR="0077004C">
        <w:t>eura</w:t>
      </w:r>
      <w:r w:rsidR="009145EC" w:rsidRPr="009145EC">
        <w:t xml:space="preserve"> na 1</w:t>
      </w:r>
      <w:r w:rsidR="00A8236A">
        <w:t>.</w:t>
      </w:r>
      <w:r w:rsidR="009145EC" w:rsidRPr="009145EC">
        <w:t xml:space="preserve">050 </w:t>
      </w:r>
      <w:r w:rsidR="0077004C">
        <w:t>eura</w:t>
      </w:r>
      <w:r w:rsidR="009145EC" w:rsidRPr="009145EC">
        <w:t>.</w:t>
      </w:r>
      <w:r w:rsidR="00551D05">
        <w:t xml:space="preserve"> Usporedbe radi, p</w:t>
      </w:r>
      <w:r w:rsidR="00551D05" w:rsidRPr="00551D05">
        <w:t xml:space="preserve">rosječna neto plaća porasla </w:t>
      </w:r>
      <w:r w:rsidR="000742A1">
        <w:t xml:space="preserve">je </w:t>
      </w:r>
      <w:r w:rsidR="00551D05" w:rsidRPr="00551D05">
        <w:t xml:space="preserve">u posljednjih </w:t>
      </w:r>
      <w:r w:rsidR="00551D05">
        <w:t>šest</w:t>
      </w:r>
      <w:r w:rsidR="00551D05" w:rsidRPr="00551D05">
        <w:t xml:space="preserve"> godina čak sedam puta više nego u prethodnih </w:t>
      </w:r>
      <w:r w:rsidR="00551D05">
        <w:t>sed</w:t>
      </w:r>
      <w:r w:rsidR="000742A1">
        <w:t>am</w:t>
      </w:r>
      <w:r w:rsidR="00551D05" w:rsidRPr="00551D05">
        <w:t xml:space="preserve"> godina</w:t>
      </w:r>
      <w:r w:rsidR="000742A1">
        <w:t>,</w:t>
      </w:r>
      <w:r w:rsidR="00551D05" w:rsidRPr="00551D05">
        <w:t xml:space="preserve"> u mandatu triju prethodnih vlada (2009. – 2016.), kada je </w:t>
      </w:r>
      <w:r w:rsidR="000742A1">
        <w:t xml:space="preserve">prosječna neto plaća porasla </w:t>
      </w:r>
      <w:r w:rsidR="00551D05" w:rsidRPr="00551D05">
        <w:t>za svega 334 kune (s 5.308 na 5.642 kune)</w:t>
      </w:r>
      <w:r w:rsidR="00551D05">
        <w:t>. Pored toga, m</w:t>
      </w:r>
      <w:r w:rsidR="00551D05" w:rsidRPr="00551D05">
        <w:t>inimalna neto plaća povećana je za 1.723 k</w:t>
      </w:r>
      <w:r w:rsidR="000742A1">
        <w:t>u</w:t>
      </w:r>
      <w:r w:rsidR="00551D05" w:rsidRPr="00551D05">
        <w:t>n</w:t>
      </w:r>
      <w:r w:rsidR="000742A1">
        <w:t>e</w:t>
      </w:r>
      <w:r w:rsidR="00551D05" w:rsidRPr="00551D05">
        <w:t xml:space="preserve"> (</w:t>
      </w:r>
      <w:r w:rsidR="00551D05">
        <w:t xml:space="preserve">odnosno za čak </w:t>
      </w:r>
      <w:r w:rsidR="00551D05" w:rsidRPr="00551D05">
        <w:t>69</w:t>
      </w:r>
      <w:r w:rsidR="000742A1">
        <w:t xml:space="preserve"> </w:t>
      </w:r>
      <w:r w:rsidR="00551D05" w:rsidRPr="00551D05">
        <w:t>%), s 2.496 na 4.219 k</w:t>
      </w:r>
      <w:r w:rsidR="000742A1">
        <w:t>u</w:t>
      </w:r>
      <w:r w:rsidR="00551D05" w:rsidRPr="00551D05">
        <w:t>n</w:t>
      </w:r>
      <w:r w:rsidR="000742A1">
        <w:t>a</w:t>
      </w:r>
      <w:r w:rsidR="00551D05">
        <w:t>, odnosno s 331 </w:t>
      </w:r>
      <w:r w:rsidR="0077004C">
        <w:t>eura</w:t>
      </w:r>
      <w:r w:rsidR="00551D05" w:rsidRPr="00551D05">
        <w:t xml:space="preserve"> na 560 </w:t>
      </w:r>
      <w:r w:rsidR="0077004C">
        <w:t>eura</w:t>
      </w:r>
      <w:r w:rsidR="00551D05">
        <w:t xml:space="preserve"> </w:t>
      </w:r>
      <w:r w:rsidR="00551D05" w:rsidRPr="00551D05">
        <w:t>(ne uzimajući u obzir porez i prirez iznad 4</w:t>
      </w:r>
      <w:r w:rsidR="000742A1">
        <w:t>.</w:t>
      </w:r>
      <w:r w:rsidR="00551D05" w:rsidRPr="00551D05">
        <w:t>000 k</w:t>
      </w:r>
      <w:r w:rsidR="000742A1">
        <w:t>u</w:t>
      </w:r>
      <w:r w:rsidR="00551D05" w:rsidRPr="00551D05">
        <w:t>n</w:t>
      </w:r>
      <w:r w:rsidR="000742A1">
        <w:t>a</w:t>
      </w:r>
      <w:r w:rsidR="00551D05" w:rsidRPr="00551D05">
        <w:t>)</w:t>
      </w:r>
      <w:r w:rsidR="00551D05">
        <w:t>. Usporedbe radi, od 2008. do 2016. minimalna neto plaća bila je porasla za svega 298 kuna, s 2</w:t>
      </w:r>
      <w:r w:rsidR="000742A1">
        <w:t>.</w:t>
      </w:r>
      <w:r w:rsidR="00551D05">
        <w:t>198 na 2</w:t>
      </w:r>
      <w:r w:rsidR="000742A1">
        <w:t>.</w:t>
      </w:r>
      <w:r w:rsidR="00551D05">
        <w:t xml:space="preserve">496 kuna, što je gotovo šest puta manje. </w:t>
      </w:r>
    </w:p>
    <w:p w:rsidR="005C3F44" w:rsidRDefault="00B34242" w:rsidP="006F3811">
      <w:pPr>
        <w:spacing w:before="240"/>
        <w:ind w:firstLine="708"/>
        <w:jc w:val="both"/>
      </w:pPr>
      <w:r>
        <w:tab/>
      </w:r>
      <w:r w:rsidR="00551D05">
        <w:t>Istodobno, n</w:t>
      </w:r>
      <w:r w:rsidR="00551D05" w:rsidRPr="00551D05">
        <w:t>akon što je godinama bila zaleđena, osno</w:t>
      </w:r>
      <w:r w:rsidR="00FB0765">
        <w:t>vica za izračun plaća u državnoj</w:t>
      </w:r>
      <w:r w:rsidR="00551D05" w:rsidRPr="00551D05">
        <w:t xml:space="preserve"> i javnim službama poveć</w:t>
      </w:r>
      <w:r w:rsidR="007C1EAC">
        <w:t>ana je od 1. siječnja 2017. s 5.</w:t>
      </w:r>
      <w:r w:rsidR="00551D05" w:rsidRPr="00551D05">
        <w:t>108,84 na 6.663,47 k</w:t>
      </w:r>
      <w:r w:rsidR="00FB0765">
        <w:t>u</w:t>
      </w:r>
      <w:r w:rsidR="00551D05" w:rsidRPr="00551D05">
        <w:t>n</w:t>
      </w:r>
      <w:r w:rsidR="00FB0765">
        <w:t>a</w:t>
      </w:r>
      <w:r w:rsidR="00551D05" w:rsidRPr="00551D05">
        <w:t xml:space="preserve"> (za 30,43</w:t>
      </w:r>
      <w:r w:rsidR="00FB0765">
        <w:t xml:space="preserve"> </w:t>
      </w:r>
      <w:r w:rsidR="00551D05" w:rsidRPr="00551D05">
        <w:t>%).</w:t>
      </w:r>
      <w:r w:rsidR="00551D05">
        <w:t xml:space="preserve"> </w:t>
      </w:r>
      <w:r w:rsidR="00551D05" w:rsidRPr="00551D05">
        <w:t>Od 1. travnja 2023. iznosit će 6.796,74 k</w:t>
      </w:r>
      <w:r w:rsidR="00FB0765">
        <w:t>u</w:t>
      </w:r>
      <w:r w:rsidR="00551D05" w:rsidRPr="00551D05">
        <w:t>n</w:t>
      </w:r>
      <w:r w:rsidR="00FB0765">
        <w:t>e</w:t>
      </w:r>
      <w:r w:rsidR="00551D05" w:rsidRPr="00551D05">
        <w:t xml:space="preserve"> (što je ukupno povećanje od 33,04</w:t>
      </w:r>
      <w:r w:rsidR="00FB0765">
        <w:t xml:space="preserve"> </w:t>
      </w:r>
      <w:r w:rsidR="00551D05" w:rsidRPr="00551D05">
        <w:t>%)</w:t>
      </w:r>
      <w:r w:rsidR="00551D05">
        <w:t xml:space="preserve">. </w:t>
      </w:r>
      <w:r w:rsidR="0077004C">
        <w:t>Osim toga, o</w:t>
      </w:r>
      <w:r w:rsidR="0077004C" w:rsidRPr="0077004C">
        <w:t>sobni odbitak za umirovljenike i ostale porezne obveznike</w:t>
      </w:r>
      <w:r w:rsidR="00FB0765">
        <w:t>, koji je 2016. godine iznosio</w:t>
      </w:r>
      <w:r w:rsidR="0077004C" w:rsidRPr="0077004C">
        <w:t xml:space="preserve"> </w:t>
      </w:r>
      <w:r w:rsidR="0077004C">
        <w:t>2</w:t>
      </w:r>
      <w:r w:rsidR="00FB0765">
        <w:t>.</w:t>
      </w:r>
      <w:r w:rsidR="0077004C">
        <w:t>600 odnosno 3</w:t>
      </w:r>
      <w:r w:rsidR="00FB0765">
        <w:t>.</w:t>
      </w:r>
      <w:r w:rsidR="0077004C">
        <w:t>800 kuna, podignut je na 4</w:t>
      </w:r>
      <w:r w:rsidR="00FB0765">
        <w:t>.</w:t>
      </w:r>
      <w:r w:rsidR="0077004C">
        <w:t>000 kuna. Nadalje</w:t>
      </w:r>
      <w:r w:rsidR="00551D05">
        <w:t xml:space="preserve">, prosječna mirovina </w:t>
      </w:r>
      <w:r w:rsidR="0083415C">
        <w:t>povećana</w:t>
      </w:r>
      <w:r w:rsidR="00551D05">
        <w:t xml:space="preserve"> je u posljednjih šest godina za 791 kunu (to jest za </w:t>
      </w:r>
      <w:r w:rsidR="0077004C">
        <w:t>31,5 </w:t>
      </w:r>
      <w:r w:rsidR="00551D05">
        <w:t>%), s 2.508 na 3.299 k</w:t>
      </w:r>
      <w:r w:rsidR="00FB0765">
        <w:t>u</w:t>
      </w:r>
      <w:r w:rsidR="00551D05">
        <w:t>n</w:t>
      </w:r>
      <w:r w:rsidR="00FB0765">
        <w:t>a</w:t>
      </w:r>
      <w:r w:rsidR="00551D05">
        <w:t xml:space="preserve">, odnosno 438 </w:t>
      </w:r>
      <w:r w:rsidR="0077004C">
        <w:t>eura</w:t>
      </w:r>
      <w:r w:rsidR="00551D05">
        <w:t>.</w:t>
      </w:r>
      <w:r w:rsidR="0077004C">
        <w:t xml:space="preserve"> </w:t>
      </w:r>
    </w:p>
    <w:p w:rsidR="00D75850" w:rsidRDefault="00B34242" w:rsidP="001739E5">
      <w:pPr>
        <w:spacing w:before="240"/>
        <w:ind w:firstLine="708"/>
        <w:jc w:val="both"/>
      </w:pPr>
      <w:r>
        <w:tab/>
      </w:r>
      <w:r w:rsidR="0077004C">
        <w:t>Povećane su i sve socijalne naknade. To se između ostalog odnosi na r</w:t>
      </w:r>
      <w:r w:rsidR="0077004C" w:rsidRPr="0077004C">
        <w:t>oditeljsk</w:t>
      </w:r>
      <w:r w:rsidR="0077004C">
        <w:t>u</w:t>
      </w:r>
      <w:r w:rsidR="0077004C" w:rsidRPr="0077004C">
        <w:t xml:space="preserve"> naknad</w:t>
      </w:r>
      <w:r w:rsidR="0077004C">
        <w:t>u, koja je od 2008. do 2016. bila zaleđena na 2</w:t>
      </w:r>
      <w:r w:rsidR="00FB0765">
        <w:t>.</w:t>
      </w:r>
      <w:r w:rsidR="0077004C">
        <w:t>661 kunu, a danas iznosi triput više, to jest 7</w:t>
      </w:r>
      <w:r w:rsidR="00FB0765">
        <w:t>.</w:t>
      </w:r>
      <w:r w:rsidR="0077004C">
        <w:t>500 kuna, odnosno 995 eura. Značajno je povećana i z</w:t>
      </w:r>
      <w:r w:rsidR="0077004C" w:rsidRPr="0077004C">
        <w:t>ajamčena minimalna naknada za trudnice u kućanstvu</w:t>
      </w:r>
      <w:r w:rsidR="0077004C">
        <w:t>, koja je s 480 podignuta na 1</w:t>
      </w:r>
      <w:r w:rsidR="00FB0765">
        <w:t>.</w:t>
      </w:r>
      <w:r w:rsidR="0077004C">
        <w:t>200 kuna (</w:t>
      </w:r>
      <w:r w:rsidR="0077004C" w:rsidRPr="0077004C">
        <w:t>159,27</w:t>
      </w:r>
      <w:r w:rsidR="0077004C">
        <w:t> eura). Podignuta je i osobna invalidnina s 1</w:t>
      </w:r>
      <w:r w:rsidR="00FB0765">
        <w:t>.</w:t>
      </w:r>
      <w:r w:rsidR="0077004C">
        <w:t>250 na 1</w:t>
      </w:r>
      <w:r w:rsidR="00FB0765">
        <w:t>.</w:t>
      </w:r>
      <w:r w:rsidR="0077004C">
        <w:t xml:space="preserve">750 kuna. </w:t>
      </w:r>
      <w:r w:rsidR="005C3F44">
        <w:t xml:space="preserve">Značajno je povećana i zajamčena minimalna naknada za sve kategorije korisnika. </w:t>
      </w:r>
      <w:r w:rsidR="0077004C">
        <w:t>Uspostavljena je i n</w:t>
      </w:r>
      <w:r w:rsidR="0077004C" w:rsidRPr="0077004C">
        <w:t>acionalna naknada za starije osobe</w:t>
      </w:r>
      <w:r w:rsidR="0077004C">
        <w:t>, koja iznosi 120,71 eura.</w:t>
      </w:r>
    </w:p>
    <w:p w:rsidR="001739E5" w:rsidRDefault="001739E5" w:rsidP="001739E5">
      <w:pPr>
        <w:spacing w:before="240"/>
        <w:ind w:firstLine="708"/>
        <w:jc w:val="both"/>
      </w:pPr>
    </w:p>
    <w:p w:rsidR="001739E5" w:rsidRDefault="001739E5" w:rsidP="001739E5">
      <w:pPr>
        <w:spacing w:before="240"/>
        <w:ind w:firstLine="708"/>
        <w:jc w:val="both"/>
      </w:pPr>
    </w:p>
    <w:p w:rsidR="008733C1" w:rsidRDefault="008733C1" w:rsidP="001739E5">
      <w:pPr>
        <w:spacing w:before="240"/>
        <w:ind w:firstLine="708"/>
        <w:jc w:val="both"/>
      </w:pPr>
    </w:p>
    <w:p w:rsidR="005C3F44" w:rsidRDefault="00B34242" w:rsidP="006F3811">
      <w:pPr>
        <w:spacing w:before="240"/>
        <w:ind w:firstLine="708"/>
        <w:jc w:val="both"/>
      </w:pPr>
      <w:r>
        <w:tab/>
      </w:r>
      <w:r w:rsidR="005C3F44">
        <w:t>Sve te mjere pridonijele su osjetnom smanjenju broja o</w:t>
      </w:r>
      <w:r w:rsidR="005C3F44" w:rsidRPr="005C3F44">
        <w:t>sob</w:t>
      </w:r>
      <w:r w:rsidR="005C3F44">
        <w:t>a</w:t>
      </w:r>
      <w:r w:rsidR="005C3F44" w:rsidRPr="005C3F44">
        <w:t xml:space="preserve"> u riziku od siromaštva ili socijalne isključenosti</w:t>
      </w:r>
      <w:r w:rsidR="005C3F44">
        <w:t>, koji je od 2016. do 2021. smanjen za 30</w:t>
      </w:r>
      <w:r w:rsidR="00067CA9">
        <w:t xml:space="preserve"> </w:t>
      </w:r>
      <w:r w:rsidR="005C3F44">
        <w:t>%, s 1.159.378 na 816.900, dok je u prethodnih šest godina, od 2010. do 2016. smanjen za svega 12</w:t>
      </w:r>
      <w:r w:rsidR="00067CA9">
        <w:t xml:space="preserve"> </w:t>
      </w:r>
      <w:r w:rsidR="005C3F44">
        <w:t>%. Istodobno, rastući trend migracijskog salda (</w:t>
      </w:r>
      <w:r w:rsidR="005C3F44" w:rsidRPr="005C3F44">
        <w:t>broj doseljenih minus broja iseljenih</w:t>
      </w:r>
      <w:r w:rsidR="005C3F44">
        <w:t>), koji je od 2011. do 2017. narastao s -4.165 na -31.799, preokrenut je te je do 2021. smanjen na -4.512.</w:t>
      </w:r>
    </w:p>
    <w:p w:rsidR="005C3F44" w:rsidRDefault="00B34242" w:rsidP="006F3811">
      <w:pPr>
        <w:spacing w:before="240"/>
        <w:ind w:firstLine="708"/>
        <w:jc w:val="both"/>
      </w:pPr>
      <w:r>
        <w:tab/>
      </w:r>
      <w:r w:rsidR="00735EF0" w:rsidRPr="00542D75">
        <w:t>Usto</w:t>
      </w:r>
      <w:r w:rsidR="005C3F44" w:rsidRPr="00542D75">
        <w:t xml:space="preserve">, </w:t>
      </w:r>
      <w:r w:rsidR="00735EF0" w:rsidRPr="00542D75">
        <w:t xml:space="preserve">bruto domaći proizvod </w:t>
      </w:r>
      <w:r w:rsidR="00067CA9" w:rsidRPr="00542D75">
        <w:t>(BDP) je unatoč padu</w:t>
      </w:r>
      <w:r w:rsidR="00735EF0" w:rsidRPr="00542D75">
        <w:t xml:space="preserve"> 2020. zbog </w:t>
      </w:r>
      <w:proofErr w:type="spellStart"/>
      <w:r w:rsidR="00735EF0" w:rsidRPr="00542D75">
        <w:t>pandemije</w:t>
      </w:r>
      <w:proofErr w:type="spellEnd"/>
      <w:r w:rsidR="00735EF0" w:rsidRPr="00542D75">
        <w:t xml:space="preserve">, porastao s 357 (2016.) na blizu 500 milijardi kuna (procjena za 2022.), dok je od 2008. do 2016. gotovo stagnirao s 350 na 357, zbog čega je Hrvatska u tih devet godina izgubila korak sa zemljama srednje Europe, što </w:t>
      </w:r>
      <w:r w:rsidR="0083415C" w:rsidRPr="00542D75">
        <w:t xml:space="preserve">Vlada </w:t>
      </w:r>
      <w:r w:rsidR="00735EF0" w:rsidRPr="00542D75">
        <w:t>danas nastoji nadoknaditi. Tako je, nakon dugogodišnje stagnacije bruto domaćeg proizvoda po stanovniku na 61</w:t>
      </w:r>
      <w:r w:rsidR="00324DE5" w:rsidRPr="00542D75">
        <w:t xml:space="preserve"> </w:t>
      </w:r>
      <w:r w:rsidR="00735EF0" w:rsidRPr="00542D75">
        <w:t>% od prosjeka EU-a, u posljednjih šest godina podignut sa 62 % (2016.) na više od 70 % (2021.), a očekuje</w:t>
      </w:r>
      <w:r w:rsidR="0083415C" w:rsidRPr="00542D75">
        <w:t xml:space="preserve"> se</w:t>
      </w:r>
      <w:r w:rsidR="00735EF0" w:rsidRPr="00542D75">
        <w:t xml:space="preserve"> da će doseći i 72</w:t>
      </w:r>
      <w:r w:rsidR="00324DE5" w:rsidRPr="00542D75">
        <w:t xml:space="preserve"> </w:t>
      </w:r>
      <w:r w:rsidR="00735EF0" w:rsidRPr="00542D75">
        <w:t>% za 2022. godinu.</w:t>
      </w:r>
      <w:r w:rsidR="00735EF0">
        <w:t xml:space="preserve"> </w:t>
      </w:r>
    </w:p>
    <w:p w:rsidR="0080374D" w:rsidRPr="002619BA" w:rsidRDefault="00B34242" w:rsidP="006F3811">
      <w:pPr>
        <w:spacing w:before="240"/>
        <w:ind w:firstLine="708"/>
        <w:jc w:val="both"/>
      </w:pPr>
      <w:r>
        <w:tab/>
      </w:r>
      <w:r w:rsidR="00735EF0" w:rsidRPr="00CA59BB">
        <w:rPr>
          <w:spacing w:val="-4"/>
        </w:rPr>
        <w:t xml:space="preserve">Unatoč značajnim izdacima zbog </w:t>
      </w:r>
      <w:proofErr w:type="spellStart"/>
      <w:r w:rsidR="00735EF0" w:rsidRPr="00CA59BB">
        <w:rPr>
          <w:spacing w:val="-4"/>
        </w:rPr>
        <w:t>pandemije</w:t>
      </w:r>
      <w:proofErr w:type="spellEnd"/>
      <w:r w:rsidR="00735EF0" w:rsidRPr="00CA59BB">
        <w:rPr>
          <w:spacing w:val="-4"/>
        </w:rPr>
        <w:t xml:space="preserve"> </w:t>
      </w:r>
      <w:r w:rsidR="006B7F00" w:rsidRPr="00CA59BB">
        <w:rPr>
          <w:spacing w:val="-4"/>
        </w:rPr>
        <w:t>(za očuvanje 800 tisuća radnih mjesta i likvidnosti 130 tisuća poduzeća), a danas i</w:t>
      </w:r>
      <w:r w:rsidR="00735EF0" w:rsidRPr="00CA59BB">
        <w:rPr>
          <w:spacing w:val="-4"/>
        </w:rPr>
        <w:t xml:space="preserve"> energetske krize, </w:t>
      </w:r>
      <w:r w:rsidR="0083415C" w:rsidRPr="00CA59BB">
        <w:rPr>
          <w:spacing w:val="-4"/>
        </w:rPr>
        <w:t xml:space="preserve">Vlada je od 2016. do 2022. </w:t>
      </w:r>
      <w:r w:rsidR="00735EF0" w:rsidRPr="00CA59BB">
        <w:rPr>
          <w:spacing w:val="-4"/>
        </w:rPr>
        <w:t>uspjel</w:t>
      </w:r>
      <w:r w:rsidR="0083415C" w:rsidRPr="00CA59BB">
        <w:rPr>
          <w:spacing w:val="-4"/>
        </w:rPr>
        <w:t>a smanjiti javni dug s 80</w:t>
      </w:r>
      <w:r w:rsidR="00CA59BB" w:rsidRPr="00CA59BB">
        <w:rPr>
          <w:spacing w:val="-4"/>
        </w:rPr>
        <w:t xml:space="preserve"> </w:t>
      </w:r>
      <w:r w:rsidR="0083415C" w:rsidRPr="00CA59BB">
        <w:rPr>
          <w:spacing w:val="-4"/>
        </w:rPr>
        <w:t>% na 70</w:t>
      </w:r>
      <w:r w:rsidR="00CA59BB" w:rsidRPr="00CA59BB">
        <w:rPr>
          <w:spacing w:val="-4"/>
        </w:rPr>
        <w:t xml:space="preserve"> </w:t>
      </w:r>
      <w:r w:rsidR="0083415C" w:rsidRPr="00CA59BB">
        <w:rPr>
          <w:spacing w:val="-4"/>
        </w:rPr>
        <w:t>% BDP-a, dok je od 2011. do 2015. bio porastao sa 63</w:t>
      </w:r>
      <w:r w:rsidR="00CA59BB" w:rsidRPr="00CA59BB">
        <w:rPr>
          <w:spacing w:val="-4"/>
        </w:rPr>
        <w:t xml:space="preserve"> </w:t>
      </w:r>
      <w:r w:rsidR="0083415C" w:rsidRPr="00CA59BB">
        <w:rPr>
          <w:spacing w:val="-4"/>
        </w:rPr>
        <w:t>% na 83</w:t>
      </w:r>
      <w:r w:rsidR="00CA59BB" w:rsidRPr="00CA59BB">
        <w:rPr>
          <w:spacing w:val="-4"/>
        </w:rPr>
        <w:t xml:space="preserve"> </w:t>
      </w:r>
      <w:r w:rsidR="0083415C" w:rsidRPr="00CA59BB">
        <w:rPr>
          <w:spacing w:val="-4"/>
        </w:rPr>
        <w:t>% BDP-a</w:t>
      </w:r>
      <w:r w:rsidR="00CB0434">
        <w:rPr>
          <w:spacing w:val="-4"/>
        </w:rPr>
        <w:t xml:space="preserve"> (za više od 70 milijardi kuna).</w:t>
      </w:r>
      <w:r>
        <w:tab/>
      </w:r>
      <w:r w:rsidR="0080374D">
        <w:t xml:space="preserve">Kako bi se </w:t>
      </w:r>
      <w:r w:rsidR="0080374D" w:rsidRPr="002619BA">
        <w:t>uslijed ruske agresije na Ukrajinu</w:t>
      </w:r>
      <w:r w:rsidR="0080374D">
        <w:t xml:space="preserve"> smanjio udar </w:t>
      </w:r>
      <w:r w:rsidR="0080374D" w:rsidRPr="002619BA">
        <w:t>energetske krize</w:t>
      </w:r>
      <w:r w:rsidR="0080374D">
        <w:t xml:space="preserve"> i inflatornih pritisaka i osigurao gospodarski rast</w:t>
      </w:r>
      <w:r w:rsidR="0080374D" w:rsidRPr="002619BA">
        <w:t xml:space="preserve">, </w:t>
      </w:r>
      <w:r w:rsidR="0080374D">
        <w:t>građanima i gospodarstvu</w:t>
      </w:r>
      <w:r w:rsidR="0080374D" w:rsidRPr="002619BA">
        <w:t xml:space="preserve"> osigurane su </w:t>
      </w:r>
      <w:r w:rsidR="0080374D">
        <w:t>niže</w:t>
      </w:r>
      <w:r w:rsidR="0080374D" w:rsidRPr="002619BA">
        <w:t xml:space="preserve"> cijene energenata, kao i općin</w:t>
      </w:r>
      <w:r w:rsidR="0080374D">
        <w:t>ama</w:t>
      </w:r>
      <w:r w:rsidR="0080374D" w:rsidRPr="002619BA">
        <w:t>, gradov</w:t>
      </w:r>
      <w:r w:rsidR="0080374D">
        <w:t>ima</w:t>
      </w:r>
      <w:r w:rsidR="0080374D" w:rsidRPr="002619BA">
        <w:t xml:space="preserve"> i županij</w:t>
      </w:r>
      <w:r w:rsidR="0080374D">
        <w:t>ama</w:t>
      </w:r>
      <w:r w:rsidR="0080374D" w:rsidRPr="002619BA">
        <w:t>, bolnic</w:t>
      </w:r>
      <w:r w:rsidR="0080374D">
        <w:t>ama</w:t>
      </w:r>
      <w:r w:rsidR="0080374D" w:rsidRPr="002619BA">
        <w:t>, vrtić</w:t>
      </w:r>
      <w:r w:rsidR="0080374D">
        <w:t>ima</w:t>
      </w:r>
      <w:r w:rsidR="0080374D" w:rsidRPr="002619BA">
        <w:t>, škol</w:t>
      </w:r>
      <w:r w:rsidR="0080374D">
        <w:t>ama</w:t>
      </w:r>
      <w:r w:rsidR="0080374D" w:rsidRPr="002619BA">
        <w:t xml:space="preserve"> i drug</w:t>
      </w:r>
      <w:r w:rsidR="0080374D">
        <w:t>im</w:t>
      </w:r>
      <w:r w:rsidR="0080374D" w:rsidRPr="002619BA">
        <w:t xml:space="preserve"> javn</w:t>
      </w:r>
      <w:r w:rsidR="0080374D">
        <w:t>im</w:t>
      </w:r>
      <w:r w:rsidR="0080374D" w:rsidRPr="002619BA">
        <w:t xml:space="preserve"> institucij</w:t>
      </w:r>
      <w:r w:rsidR="0080374D">
        <w:t>a</w:t>
      </w:r>
      <w:r w:rsidR="00CB0434">
        <w:t>ma</w:t>
      </w:r>
      <w:r w:rsidR="0080374D" w:rsidRPr="002619BA">
        <w:t xml:space="preserve"> te </w:t>
      </w:r>
      <w:r w:rsidR="0080374D">
        <w:t>poduzetništvu, ribarstvu i poljoprivrednicima</w:t>
      </w:r>
      <w:r w:rsidR="0080374D" w:rsidRPr="002619BA">
        <w:t xml:space="preserve">. </w:t>
      </w:r>
      <w:r w:rsidR="0080374D">
        <w:t xml:space="preserve">Paralelno s tim, na potresom pogođenom području na Banovini </w:t>
      </w:r>
      <w:r w:rsidR="00CE0CDB">
        <w:t xml:space="preserve">građani su </w:t>
      </w:r>
      <w:r w:rsidR="00CE0CDB" w:rsidRPr="00CE0CDB">
        <w:t>oslob</w:t>
      </w:r>
      <w:r w:rsidR="00CE0CDB">
        <w:t>o</w:t>
      </w:r>
      <w:r w:rsidR="00CE0CDB" w:rsidRPr="00CE0CDB">
        <w:t>đ</w:t>
      </w:r>
      <w:r w:rsidR="00CE0CDB">
        <w:t>eni</w:t>
      </w:r>
      <w:r w:rsidR="00CE0CDB" w:rsidRPr="00CE0CDB">
        <w:t xml:space="preserve"> plaćanja </w:t>
      </w:r>
      <w:r w:rsidR="00CE0CDB">
        <w:t>električne energije</w:t>
      </w:r>
      <w:r w:rsidR="00874DB0">
        <w:t xml:space="preserve"> i grijanja, RTV pristojb</w:t>
      </w:r>
      <w:r w:rsidR="00CE0CDB" w:rsidRPr="00CE0CDB">
        <w:t>e za kućanstva te drug</w:t>
      </w:r>
      <w:r w:rsidR="00CE0CDB">
        <w:t>ih</w:t>
      </w:r>
      <w:r w:rsidR="00CE0CDB" w:rsidRPr="00CE0CDB">
        <w:t xml:space="preserve"> potraživanja odnosno naknad</w:t>
      </w:r>
      <w:r w:rsidR="00CE0CDB">
        <w:t>a.</w:t>
      </w:r>
    </w:p>
    <w:p w:rsidR="006B7F00" w:rsidRDefault="00B34242" w:rsidP="006F3811">
      <w:pPr>
        <w:spacing w:before="240"/>
        <w:ind w:firstLine="708"/>
        <w:jc w:val="both"/>
      </w:pPr>
      <w:r>
        <w:tab/>
      </w:r>
      <w:r w:rsidR="006B7F00">
        <w:t>Zahvaljujući svim tim objektivnim i mjerljivim postignućima</w:t>
      </w:r>
      <w:r w:rsidR="0080374D">
        <w:t xml:space="preserve"> i ostvarenjima</w:t>
      </w:r>
      <w:r w:rsidR="006B7F00">
        <w:t>, paralelno uz značajna porezna rasterećenja i n</w:t>
      </w:r>
      <w:r w:rsidR="006B7F00" w:rsidRPr="006B7F00">
        <w:t xml:space="preserve">akon </w:t>
      </w:r>
      <w:r w:rsidR="006B7F00">
        <w:t xml:space="preserve">višegodišnjeg </w:t>
      </w:r>
      <w:r w:rsidR="006B7F00" w:rsidRPr="006B7F00">
        <w:t>kreditn</w:t>
      </w:r>
      <w:r w:rsidR="006B7F00">
        <w:t>og</w:t>
      </w:r>
      <w:r w:rsidR="006B7F00" w:rsidRPr="006B7F00">
        <w:t xml:space="preserve"> rejting</w:t>
      </w:r>
      <w:r w:rsidR="006B7F00">
        <w:t>a</w:t>
      </w:r>
      <w:r w:rsidR="006B7F00" w:rsidRPr="006B7F00">
        <w:t xml:space="preserve"> </w:t>
      </w:r>
      <w:r w:rsidR="006B7F00">
        <w:t>na</w:t>
      </w:r>
      <w:r w:rsidR="006B7F00" w:rsidRPr="006B7F00">
        <w:t xml:space="preserve"> špekulativn</w:t>
      </w:r>
      <w:r w:rsidR="006B7F00">
        <w:t>oj</w:t>
      </w:r>
      <w:r w:rsidR="006B7F00" w:rsidRPr="006B7F00">
        <w:t xml:space="preserve"> </w:t>
      </w:r>
      <w:r w:rsidR="006B7F00">
        <w:t xml:space="preserve">razini, ova je Vlada uspjela vratiti kreditni rejting na investicijsku razinu i k tome podići ga </w:t>
      </w:r>
      <w:r w:rsidR="00874DB0">
        <w:t xml:space="preserve">na </w:t>
      </w:r>
      <w:r w:rsidR="006B7F00">
        <w:t xml:space="preserve">dosad najveću razinu, kod sve tri vodeće agencije za kreditni rejting, što je preduvjet za privlačenje stranih ulaganja. Sve to, </w:t>
      </w:r>
      <w:r w:rsidR="007313D1">
        <w:t>s</w:t>
      </w:r>
      <w:r w:rsidR="006B7F00">
        <w:t xml:space="preserve"> ula</w:t>
      </w:r>
      <w:r w:rsidR="007313D1">
        <w:t xml:space="preserve">skom </w:t>
      </w:r>
      <w:r w:rsidR="006B7F00">
        <w:t>u</w:t>
      </w:r>
      <w:r w:rsidR="00335365" w:rsidRPr="002619BA">
        <w:t xml:space="preserve"> </w:t>
      </w:r>
      <w:r w:rsidR="007313D1">
        <w:t xml:space="preserve">Europski tečajni mehanizam II, a potom i u </w:t>
      </w:r>
      <w:proofErr w:type="spellStart"/>
      <w:r w:rsidR="00335365" w:rsidRPr="002619BA">
        <w:t>europodručje</w:t>
      </w:r>
      <w:proofErr w:type="spellEnd"/>
      <w:r w:rsidR="006B7F00">
        <w:t>, pridonijelo je i značajnom padu kamatnih stopa.</w:t>
      </w:r>
    </w:p>
    <w:p w:rsidR="0034612C" w:rsidRDefault="00B34242" w:rsidP="0034612C">
      <w:pPr>
        <w:spacing w:before="240"/>
        <w:ind w:firstLine="708"/>
        <w:jc w:val="both"/>
        <w:rPr>
          <w:color w:val="000000" w:themeColor="text1"/>
        </w:rPr>
      </w:pPr>
      <w:r>
        <w:tab/>
      </w:r>
      <w:r w:rsidR="006B7F00">
        <w:t>U tako poboljšan</w:t>
      </w:r>
      <w:r w:rsidR="007313D1">
        <w:t>o</w:t>
      </w:r>
      <w:r w:rsidR="006B7F00">
        <w:t>m makroekonomskom okružju, ostvaren je značajan gospodarski rast, koji je 2021. dosegao čak dvoznamenkastu stopu (13,1</w:t>
      </w:r>
      <w:r w:rsidR="00874DB0">
        <w:t xml:space="preserve"> </w:t>
      </w:r>
      <w:r w:rsidR="006B7F00">
        <w:t xml:space="preserve">%), a </w:t>
      </w:r>
      <w:r w:rsidR="007313D1">
        <w:t xml:space="preserve">za </w:t>
      </w:r>
      <w:r w:rsidR="006B7F00">
        <w:t>prošl</w:t>
      </w:r>
      <w:r w:rsidR="007313D1">
        <w:t>u</w:t>
      </w:r>
      <w:r w:rsidR="006B7F00">
        <w:t xml:space="preserve"> godin</w:t>
      </w:r>
      <w:r w:rsidR="007313D1">
        <w:t>u ga Europska komisija procjenjuje na 6</w:t>
      </w:r>
      <w:r w:rsidR="00CB0434">
        <w:t>,3</w:t>
      </w:r>
      <w:r w:rsidR="00874DB0">
        <w:t xml:space="preserve"> </w:t>
      </w:r>
      <w:r w:rsidR="007313D1">
        <w:t>%. Usto</w:t>
      </w:r>
      <w:r w:rsidR="00CB0434">
        <w:t>,</w:t>
      </w:r>
      <w:r w:rsidR="007313D1">
        <w:t xml:space="preserve"> značajno je od 2016. do 2021. povećan izvoz s 45,8</w:t>
      </w:r>
      <w:r w:rsidR="00874DB0">
        <w:t xml:space="preserve"> </w:t>
      </w:r>
      <w:r w:rsidR="007313D1">
        <w:t>% na 51,3</w:t>
      </w:r>
      <w:r w:rsidR="00874DB0">
        <w:t xml:space="preserve"> </w:t>
      </w:r>
      <w:r w:rsidR="007313D1">
        <w:t>% BDP-a</w:t>
      </w:r>
      <w:r w:rsidR="00874DB0">
        <w:rPr>
          <w:color w:val="000000" w:themeColor="text1"/>
        </w:rPr>
        <w:t>.</w:t>
      </w:r>
      <w:r w:rsidR="007313D1" w:rsidRPr="00874DB0">
        <w:rPr>
          <w:color w:val="000000" w:themeColor="text1"/>
        </w:rPr>
        <w:t xml:space="preserve"> </w:t>
      </w:r>
      <w:r w:rsidR="00A37028" w:rsidRPr="00874DB0">
        <w:rPr>
          <w:color w:val="000000" w:themeColor="text1"/>
        </w:rPr>
        <w:t>Uz nastavak borbe protiv inflatornih pritisaka, inflacija u Hrvatskoj je na razini</w:t>
      </w:r>
      <w:r w:rsidR="0034612C">
        <w:rPr>
          <w:color w:val="000000" w:themeColor="text1"/>
        </w:rPr>
        <w:t xml:space="preserve"> 2022. godine u prosjeku na 10,8</w:t>
      </w:r>
      <w:r w:rsidR="00874DB0">
        <w:rPr>
          <w:color w:val="000000" w:themeColor="text1"/>
        </w:rPr>
        <w:t xml:space="preserve"> </w:t>
      </w:r>
      <w:r w:rsidR="00A37028" w:rsidRPr="00874DB0">
        <w:rPr>
          <w:color w:val="000000" w:themeColor="text1"/>
        </w:rPr>
        <w:t xml:space="preserve">% što je iznad prosjeka </w:t>
      </w:r>
      <w:proofErr w:type="spellStart"/>
      <w:r w:rsidR="00A37028" w:rsidRPr="00874DB0">
        <w:rPr>
          <w:color w:val="000000" w:themeColor="text1"/>
        </w:rPr>
        <w:t>europodručja</w:t>
      </w:r>
      <w:proofErr w:type="spellEnd"/>
      <w:r w:rsidR="00A37028" w:rsidRPr="00874DB0">
        <w:rPr>
          <w:color w:val="000000" w:themeColor="text1"/>
        </w:rPr>
        <w:t xml:space="preserve"> (8,4</w:t>
      </w:r>
      <w:r w:rsidR="00874DB0">
        <w:rPr>
          <w:color w:val="000000" w:themeColor="text1"/>
        </w:rPr>
        <w:t xml:space="preserve"> </w:t>
      </w:r>
      <w:r w:rsidR="00A37028" w:rsidRPr="00874DB0">
        <w:rPr>
          <w:color w:val="000000" w:themeColor="text1"/>
        </w:rPr>
        <w:t>%), ali još uvijek ispod većine zemalja</w:t>
      </w:r>
      <w:r w:rsidR="0034612C">
        <w:rPr>
          <w:color w:val="000000" w:themeColor="text1"/>
        </w:rPr>
        <w:t xml:space="preserve"> srednje i istočne Europe u EU</w:t>
      </w:r>
      <w:r w:rsidR="00A37028" w:rsidRPr="00874DB0">
        <w:rPr>
          <w:color w:val="000000" w:themeColor="text1"/>
        </w:rPr>
        <w:t>. Ove se godine očekuje snižavanje inflacije na 6,5</w:t>
      </w:r>
      <w:r w:rsidR="00874DB0">
        <w:rPr>
          <w:color w:val="000000" w:themeColor="text1"/>
        </w:rPr>
        <w:t xml:space="preserve"> </w:t>
      </w:r>
      <w:r w:rsidR="00A37028" w:rsidRPr="00874DB0">
        <w:rPr>
          <w:color w:val="000000" w:themeColor="text1"/>
        </w:rPr>
        <w:t xml:space="preserve">% čime </w:t>
      </w:r>
      <w:r w:rsidR="00FD3C0C" w:rsidRPr="00874DB0">
        <w:rPr>
          <w:color w:val="000000" w:themeColor="text1"/>
        </w:rPr>
        <w:t>će se Hrvatska približiti prosjeku</w:t>
      </w:r>
      <w:r w:rsidR="00A37028" w:rsidRPr="00874DB0">
        <w:rPr>
          <w:color w:val="000000" w:themeColor="text1"/>
        </w:rPr>
        <w:t xml:space="preserve"> </w:t>
      </w:r>
      <w:proofErr w:type="spellStart"/>
      <w:r w:rsidR="00A37028" w:rsidRPr="00874DB0">
        <w:rPr>
          <w:color w:val="000000" w:themeColor="text1"/>
        </w:rPr>
        <w:t>europodručja</w:t>
      </w:r>
      <w:proofErr w:type="spellEnd"/>
      <w:r w:rsidR="00A37028" w:rsidRPr="00874DB0">
        <w:rPr>
          <w:color w:val="000000" w:themeColor="text1"/>
        </w:rPr>
        <w:t xml:space="preserve"> (5,6</w:t>
      </w:r>
      <w:r w:rsidR="00874DB0">
        <w:rPr>
          <w:color w:val="000000" w:themeColor="text1"/>
        </w:rPr>
        <w:t xml:space="preserve"> </w:t>
      </w:r>
      <w:r w:rsidR="00A37028" w:rsidRPr="00874DB0">
        <w:rPr>
          <w:color w:val="000000" w:themeColor="text1"/>
        </w:rPr>
        <w:t>%), a u 2024. godini predviđa se smanjenje inflacije na 1,6</w:t>
      </w:r>
      <w:r w:rsidR="00874DB0">
        <w:rPr>
          <w:color w:val="000000" w:themeColor="text1"/>
        </w:rPr>
        <w:t xml:space="preserve"> </w:t>
      </w:r>
      <w:r w:rsidR="00A37028" w:rsidRPr="00874DB0">
        <w:rPr>
          <w:color w:val="000000" w:themeColor="text1"/>
        </w:rPr>
        <w:t>%</w:t>
      </w:r>
      <w:r w:rsidR="0034612C">
        <w:rPr>
          <w:color w:val="000000" w:themeColor="text1"/>
        </w:rPr>
        <w:t>.</w:t>
      </w:r>
    </w:p>
    <w:p w:rsidR="0034612C" w:rsidRPr="00874DB0" w:rsidRDefault="0034612C" w:rsidP="0034612C">
      <w:pPr>
        <w:ind w:firstLine="708"/>
        <w:jc w:val="both"/>
        <w:rPr>
          <w:color w:val="000000" w:themeColor="text1"/>
        </w:rPr>
      </w:pPr>
    </w:p>
    <w:p w:rsidR="00CB439C" w:rsidRDefault="00B34242" w:rsidP="0070211D">
      <w:pPr>
        <w:ind w:firstLine="709"/>
        <w:jc w:val="both"/>
      </w:pPr>
      <w:r>
        <w:tab/>
      </w:r>
      <w:r w:rsidR="007313D1">
        <w:t>Paralelno s tim, uz pomoć značajnih europskih sredst</w:t>
      </w:r>
      <w:r w:rsidR="0070211D">
        <w:t>a</w:t>
      </w:r>
      <w:r w:rsidR="007313D1">
        <w:t>va (25 milijardi eura) koje je Vlada osigurala, provodi se dosad najveći investicijski ciklus od osamostaljenja radi podizanja kvalitete života građana i konkurentnosti gospodarstva</w:t>
      </w:r>
      <w:r w:rsidR="00010640">
        <w:t xml:space="preserve">. </w:t>
      </w:r>
    </w:p>
    <w:p w:rsidR="001739E5" w:rsidRDefault="00B34242" w:rsidP="008733C1">
      <w:pPr>
        <w:spacing w:before="240"/>
        <w:ind w:firstLine="709"/>
        <w:jc w:val="both"/>
      </w:pPr>
      <w:r>
        <w:tab/>
      </w:r>
      <w:r w:rsidR="00CB439C" w:rsidRPr="00CB439C">
        <w:t xml:space="preserve">Zaključno, </w:t>
      </w:r>
      <w:r w:rsidR="0070211D">
        <w:t xml:space="preserve">slijedom svega navedenoga, </w:t>
      </w:r>
      <w:r w:rsidR="00CB439C" w:rsidRPr="00CB439C">
        <w:t>Vlada odbija sve navode iz Prijedloga za pokretanje pitanja povjerenja Andreju Plenkoviću, predsjedniku Vlade</w:t>
      </w:r>
      <w:r w:rsidR="00CB3238">
        <w:t>,</w:t>
      </w:r>
      <w:r w:rsidR="00CB439C" w:rsidRPr="00CB439C">
        <w:t xml:space="preserve"> </w:t>
      </w:r>
      <w:r w:rsidR="00CB3238">
        <w:t>držeći</w:t>
      </w:r>
      <w:r w:rsidR="00CB3238" w:rsidRPr="00CB439C">
        <w:t xml:space="preserve"> </w:t>
      </w:r>
      <w:r w:rsidR="00CB3238">
        <w:t>da</w:t>
      </w:r>
      <w:r w:rsidR="00CB3238" w:rsidRPr="00CB439C">
        <w:t xml:space="preserve"> </w:t>
      </w:r>
      <w:r w:rsidR="00CB439C" w:rsidRPr="00CB439C">
        <w:t xml:space="preserve">nema </w:t>
      </w:r>
      <w:r w:rsidR="00CB3238">
        <w:t xml:space="preserve">nikakve </w:t>
      </w:r>
      <w:r w:rsidR="00CB439C" w:rsidRPr="00CB439C">
        <w:t>osnove za izglasavanje nepovjerenja te predlaže Hrvatskom</w:t>
      </w:r>
      <w:r w:rsidR="000B6869">
        <w:t>e</w:t>
      </w:r>
      <w:r w:rsidR="00CB439C" w:rsidRPr="00CB439C">
        <w:t xml:space="preserve"> saboru da donese Odluku kojom se Prijedlog odbija.</w:t>
      </w:r>
    </w:p>
    <w:p w:rsidR="008733C1" w:rsidRPr="00CB439C" w:rsidRDefault="008733C1" w:rsidP="008733C1">
      <w:pPr>
        <w:spacing w:before="240"/>
        <w:ind w:firstLine="709"/>
        <w:jc w:val="both"/>
      </w:pPr>
    </w:p>
    <w:p w:rsidR="00CB439C" w:rsidRPr="00CB439C" w:rsidRDefault="00CB439C" w:rsidP="006F3811">
      <w:pPr>
        <w:spacing w:before="240"/>
        <w:jc w:val="both"/>
      </w:pPr>
      <w:r w:rsidRPr="00CB439C">
        <w:tab/>
      </w:r>
      <w:r w:rsidR="00B34242">
        <w:tab/>
      </w:r>
      <w:r w:rsidRPr="00CB439C">
        <w:t xml:space="preserve"> Za svoje predstavnike, </w:t>
      </w:r>
      <w:r w:rsidRPr="008B508D">
        <w:t xml:space="preserve">koji će u vezi s iznesenim očitovanjem biti nazočni na sjednicama Hrvatskoga sabora i njegovih radnih tijela, Vlada je odredila </w:t>
      </w:r>
      <w:r w:rsidR="008B508D" w:rsidRPr="006F3811">
        <w:t>predsjednika Vlade</w:t>
      </w:r>
      <w:r w:rsidR="000B6869">
        <w:t xml:space="preserve"> Republike Hrvatske </w:t>
      </w:r>
      <w:r w:rsidR="008B508D" w:rsidRPr="006F3811">
        <w:t xml:space="preserve">Andreja Plenkovića, potpredsjednicu Vlade Anju </w:t>
      </w:r>
      <w:proofErr w:type="spellStart"/>
      <w:r w:rsidR="008B508D" w:rsidRPr="006F3811">
        <w:t>Šimpragu</w:t>
      </w:r>
      <w:proofErr w:type="spellEnd"/>
      <w:r w:rsidR="008B508D" w:rsidRPr="006F3811">
        <w:t xml:space="preserve">, </w:t>
      </w:r>
      <w:r w:rsidR="00B8205D">
        <w:t>potpredsjednika Vlade</w:t>
      </w:r>
      <w:r w:rsidR="000B6869">
        <w:t xml:space="preserve"> </w:t>
      </w:r>
      <w:r w:rsidR="00B8205D">
        <w:t xml:space="preserve">i ministra hrvatskih branitelja Tomu Medveda, </w:t>
      </w:r>
      <w:r w:rsidR="008B508D" w:rsidRPr="006F3811">
        <w:t>potpredsjednika Vlade i ministra prostornog</w:t>
      </w:r>
      <w:r w:rsidR="008B508D">
        <w:t>a</w:t>
      </w:r>
      <w:r w:rsidR="008B508D" w:rsidRPr="006F3811">
        <w:t xml:space="preserve"> uređenja, graditeljstva i državne imovine Branka Bačića</w:t>
      </w:r>
      <w:r w:rsidR="00133A18">
        <w:t>,</w:t>
      </w:r>
      <w:r w:rsidR="008B508D" w:rsidRPr="008B508D">
        <w:t xml:space="preserve"> </w:t>
      </w:r>
      <w:r w:rsidR="00872ACA" w:rsidRPr="006F3811">
        <w:t>potpredsjednika Vlade</w:t>
      </w:r>
      <w:r w:rsidR="000B6869">
        <w:t xml:space="preserve"> </w:t>
      </w:r>
      <w:r w:rsidR="00872ACA" w:rsidRPr="006F3811">
        <w:t xml:space="preserve">i ministra unutarnjih poslova </w:t>
      </w:r>
      <w:r w:rsidR="000B6869">
        <w:t xml:space="preserve">dr. </w:t>
      </w:r>
      <w:proofErr w:type="spellStart"/>
      <w:r w:rsidR="000B6869">
        <w:t>sc</w:t>
      </w:r>
      <w:proofErr w:type="spellEnd"/>
      <w:r w:rsidR="000B6869">
        <w:t xml:space="preserve">. </w:t>
      </w:r>
      <w:r w:rsidR="00872ACA" w:rsidRPr="006F3811">
        <w:t>Davora Božinovića</w:t>
      </w:r>
      <w:r w:rsidR="008B508D">
        <w:t xml:space="preserve"> i</w:t>
      </w:r>
      <w:r w:rsidR="00872ACA" w:rsidRPr="006F3811">
        <w:t xml:space="preserve"> potpredsjednika Vlade</w:t>
      </w:r>
      <w:r w:rsidR="000B6869">
        <w:t xml:space="preserve"> </w:t>
      </w:r>
      <w:r w:rsidR="00872ACA" w:rsidRPr="006F3811">
        <w:t>i ministra mora, prometa i infrastrukture Olega Butkovića</w:t>
      </w:r>
      <w:r w:rsidR="008B508D">
        <w:t>.</w:t>
      </w:r>
    </w:p>
    <w:p w:rsidR="00CB439C" w:rsidRPr="00CB439C" w:rsidRDefault="00CB439C" w:rsidP="006F3811">
      <w:pPr>
        <w:spacing w:before="240"/>
        <w:jc w:val="both"/>
      </w:pPr>
      <w:r w:rsidRPr="00CB439C">
        <w:t xml:space="preserve"> </w:t>
      </w:r>
    </w:p>
    <w:p w:rsidR="00B34242" w:rsidRDefault="00B34242" w:rsidP="00B34242">
      <w:pPr>
        <w:jc w:val="both"/>
        <w:rPr>
          <w:szCs w:val="24"/>
        </w:rPr>
      </w:pPr>
    </w:p>
    <w:p w:rsidR="00B34242" w:rsidRDefault="00B34242" w:rsidP="00B34242">
      <w:pPr>
        <w:tabs>
          <w:tab w:val="left" w:pos="1418"/>
        </w:tabs>
        <w:rPr>
          <w:b/>
          <w:szCs w:val="24"/>
          <w:u w:val="single"/>
        </w:rPr>
      </w:pPr>
    </w:p>
    <w:p w:rsidR="00B34242" w:rsidRDefault="00BD7D5F" w:rsidP="00B34242">
      <w:pPr>
        <w:jc w:val="both"/>
        <w:rPr>
          <w:rFonts w:eastAsia="Calibri"/>
          <w:szCs w:val="24"/>
          <w:lang w:eastAsia="en-GB"/>
        </w:rPr>
      </w:pPr>
      <w:r>
        <w:rPr>
          <w:rFonts w:eastAsia="Calibri"/>
          <w:szCs w:val="24"/>
          <w:lang w:eastAsia="en-GB"/>
        </w:rPr>
        <w:tab/>
      </w:r>
      <w:r>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t xml:space="preserve">         PREDSJEDNIK</w:t>
      </w:r>
    </w:p>
    <w:p w:rsidR="00B34242" w:rsidRDefault="00B34242" w:rsidP="00B34242">
      <w:pPr>
        <w:jc w:val="both"/>
        <w:rPr>
          <w:rFonts w:eastAsia="Calibri"/>
          <w:szCs w:val="24"/>
          <w:lang w:eastAsia="en-GB"/>
        </w:rPr>
      </w:pPr>
    </w:p>
    <w:p w:rsidR="00B34242" w:rsidRDefault="00B34242" w:rsidP="00B34242">
      <w:pPr>
        <w:jc w:val="both"/>
        <w:rPr>
          <w:rFonts w:eastAsia="Calibri"/>
          <w:szCs w:val="24"/>
          <w:lang w:eastAsia="en-GB"/>
        </w:rPr>
      </w:pPr>
    </w:p>
    <w:p w:rsidR="00B34242" w:rsidRDefault="00BD7D5F" w:rsidP="00B34242">
      <w:pPr>
        <w:jc w:val="both"/>
        <w:rPr>
          <w:rFonts w:eastAsia="Calibri"/>
          <w:szCs w:val="24"/>
          <w:lang w:eastAsia="en-GB"/>
        </w:rPr>
      </w:pPr>
      <w:r>
        <w:rPr>
          <w:rFonts w:eastAsia="Calibri"/>
          <w:szCs w:val="24"/>
          <w:lang w:eastAsia="en-GB"/>
        </w:rPr>
        <w:tab/>
      </w:r>
      <w:r>
        <w:rPr>
          <w:rFonts w:eastAsia="Calibri"/>
          <w:szCs w:val="24"/>
          <w:lang w:eastAsia="en-GB"/>
        </w:rPr>
        <w:tab/>
      </w:r>
      <w:bookmarkStart w:id="1" w:name="_GoBack"/>
      <w:bookmarkEnd w:id="1"/>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r>
      <w:r w:rsidR="00B34242">
        <w:rPr>
          <w:rFonts w:eastAsia="Calibri"/>
          <w:szCs w:val="24"/>
          <w:lang w:eastAsia="en-GB"/>
        </w:rPr>
        <w:tab/>
        <w:t xml:space="preserve">   mr. </w:t>
      </w:r>
      <w:proofErr w:type="spellStart"/>
      <w:r w:rsidR="00B34242">
        <w:rPr>
          <w:rFonts w:eastAsia="Calibri"/>
          <w:szCs w:val="24"/>
          <w:lang w:eastAsia="en-GB"/>
        </w:rPr>
        <w:t>sc</w:t>
      </w:r>
      <w:proofErr w:type="spellEnd"/>
      <w:r w:rsidR="00B34242">
        <w:rPr>
          <w:rFonts w:eastAsia="Calibri"/>
          <w:szCs w:val="24"/>
          <w:lang w:eastAsia="en-GB"/>
        </w:rPr>
        <w:t>. Andrej Plenković</w:t>
      </w:r>
    </w:p>
    <w:p w:rsidR="00984D13" w:rsidRDefault="00984D13"/>
    <w:sectPr w:rsidR="00984D13" w:rsidSect="00B3424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37" w:rsidRDefault="004E5237" w:rsidP="004F1489">
      <w:r>
        <w:separator/>
      </w:r>
    </w:p>
  </w:endnote>
  <w:endnote w:type="continuationSeparator" w:id="0">
    <w:p w:rsidR="004E5237" w:rsidRDefault="004E5237" w:rsidP="004F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70" w:rsidRDefault="00C11670">
    <w:pPr>
      <w:pStyle w:val="Footer"/>
      <w:jc w:val="center"/>
    </w:pPr>
  </w:p>
  <w:p w:rsidR="00C11670" w:rsidRDefault="00C11670">
    <w:pPr>
      <w:pStyle w:val="Footer"/>
    </w:pPr>
  </w:p>
  <w:p w:rsidR="004477A6" w:rsidRDefault="004477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37" w:rsidRDefault="004E5237" w:rsidP="004F1489">
      <w:r>
        <w:separator/>
      </w:r>
    </w:p>
  </w:footnote>
  <w:footnote w:type="continuationSeparator" w:id="0">
    <w:p w:rsidR="004E5237" w:rsidRDefault="004E5237" w:rsidP="004F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604942"/>
      <w:docPartObj>
        <w:docPartGallery w:val="Page Numbers (Top of Page)"/>
        <w:docPartUnique/>
      </w:docPartObj>
    </w:sdtPr>
    <w:sdtEndPr/>
    <w:sdtContent>
      <w:p w:rsidR="00B34242" w:rsidRDefault="00B34242">
        <w:pPr>
          <w:pStyle w:val="Header"/>
          <w:jc w:val="center"/>
        </w:pPr>
        <w:r>
          <w:fldChar w:fldCharType="begin"/>
        </w:r>
        <w:r>
          <w:instrText>PAGE   \* MERGEFORMAT</w:instrText>
        </w:r>
        <w:r>
          <w:fldChar w:fldCharType="separate"/>
        </w:r>
        <w:r w:rsidR="00BD7D5F">
          <w:rPr>
            <w:noProof/>
          </w:rPr>
          <w:t>8</w:t>
        </w:r>
        <w:r>
          <w:fldChar w:fldCharType="end"/>
        </w:r>
      </w:p>
    </w:sdtContent>
  </w:sdt>
  <w:p w:rsidR="00B34242" w:rsidRDefault="00B3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2430"/>
    <w:multiLevelType w:val="hybridMultilevel"/>
    <w:tmpl w:val="F6AA8914"/>
    <w:lvl w:ilvl="0" w:tplc="5C4062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430545"/>
    <w:multiLevelType w:val="hybridMultilevel"/>
    <w:tmpl w:val="B1103A2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3F097732"/>
    <w:multiLevelType w:val="hybridMultilevel"/>
    <w:tmpl w:val="C11A9CAA"/>
    <w:lvl w:ilvl="0" w:tplc="FB44E6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9C"/>
    <w:rsid w:val="00010640"/>
    <w:rsid w:val="00025BD3"/>
    <w:rsid w:val="00041EA9"/>
    <w:rsid w:val="00050FD2"/>
    <w:rsid w:val="0005292F"/>
    <w:rsid w:val="000551BE"/>
    <w:rsid w:val="000613A3"/>
    <w:rsid w:val="00067CA9"/>
    <w:rsid w:val="000742A1"/>
    <w:rsid w:val="00077FE7"/>
    <w:rsid w:val="000A02CF"/>
    <w:rsid w:val="000B6869"/>
    <w:rsid w:val="000C48E4"/>
    <w:rsid w:val="000D3CD6"/>
    <w:rsid w:val="000D466B"/>
    <w:rsid w:val="000E46DC"/>
    <w:rsid w:val="000F2F83"/>
    <w:rsid w:val="0010358A"/>
    <w:rsid w:val="00104E11"/>
    <w:rsid w:val="001141C5"/>
    <w:rsid w:val="001240DE"/>
    <w:rsid w:val="00133A18"/>
    <w:rsid w:val="00146890"/>
    <w:rsid w:val="001662DF"/>
    <w:rsid w:val="00166745"/>
    <w:rsid w:val="001739E5"/>
    <w:rsid w:val="001D09DA"/>
    <w:rsid w:val="001E6DE4"/>
    <w:rsid w:val="002114F8"/>
    <w:rsid w:val="002530FB"/>
    <w:rsid w:val="00255634"/>
    <w:rsid w:val="002619BA"/>
    <w:rsid w:val="002774D9"/>
    <w:rsid w:val="002851BF"/>
    <w:rsid w:val="00295DA4"/>
    <w:rsid w:val="002967D7"/>
    <w:rsid w:val="00297C95"/>
    <w:rsid w:val="002B1DBD"/>
    <w:rsid w:val="002B5822"/>
    <w:rsid w:val="002C3C80"/>
    <w:rsid w:val="002C475D"/>
    <w:rsid w:val="002D33B5"/>
    <w:rsid w:val="002D51D5"/>
    <w:rsid w:val="002E4FF9"/>
    <w:rsid w:val="002F7307"/>
    <w:rsid w:val="00302F23"/>
    <w:rsid w:val="0030623E"/>
    <w:rsid w:val="00310DED"/>
    <w:rsid w:val="00317A05"/>
    <w:rsid w:val="00324DE5"/>
    <w:rsid w:val="00330F2E"/>
    <w:rsid w:val="00335365"/>
    <w:rsid w:val="0033711C"/>
    <w:rsid w:val="003439D2"/>
    <w:rsid w:val="0034612C"/>
    <w:rsid w:val="0035240B"/>
    <w:rsid w:val="00365215"/>
    <w:rsid w:val="003655ED"/>
    <w:rsid w:val="00372017"/>
    <w:rsid w:val="00377086"/>
    <w:rsid w:val="00382A56"/>
    <w:rsid w:val="003971A0"/>
    <w:rsid w:val="003C4242"/>
    <w:rsid w:val="003C6120"/>
    <w:rsid w:val="003C67A4"/>
    <w:rsid w:val="003C6B94"/>
    <w:rsid w:val="003D2357"/>
    <w:rsid w:val="003D3CEE"/>
    <w:rsid w:val="003F5547"/>
    <w:rsid w:val="0041578F"/>
    <w:rsid w:val="00425753"/>
    <w:rsid w:val="004477A6"/>
    <w:rsid w:val="004558DB"/>
    <w:rsid w:val="00457106"/>
    <w:rsid w:val="004623D3"/>
    <w:rsid w:val="00480FA3"/>
    <w:rsid w:val="00482169"/>
    <w:rsid w:val="004A147E"/>
    <w:rsid w:val="004A6577"/>
    <w:rsid w:val="004B7AD7"/>
    <w:rsid w:val="004C5B2D"/>
    <w:rsid w:val="004D45C2"/>
    <w:rsid w:val="004E5237"/>
    <w:rsid w:val="004F1489"/>
    <w:rsid w:val="00501B07"/>
    <w:rsid w:val="005061FE"/>
    <w:rsid w:val="005100A9"/>
    <w:rsid w:val="00512E70"/>
    <w:rsid w:val="005162AD"/>
    <w:rsid w:val="0052055F"/>
    <w:rsid w:val="005244A9"/>
    <w:rsid w:val="00525888"/>
    <w:rsid w:val="0053291E"/>
    <w:rsid w:val="00540A75"/>
    <w:rsid w:val="00542740"/>
    <w:rsid w:val="00542D75"/>
    <w:rsid w:val="00544AC9"/>
    <w:rsid w:val="00544F1D"/>
    <w:rsid w:val="00550041"/>
    <w:rsid w:val="00551D05"/>
    <w:rsid w:val="00553D6E"/>
    <w:rsid w:val="00554D54"/>
    <w:rsid w:val="00556AF0"/>
    <w:rsid w:val="0056008F"/>
    <w:rsid w:val="00561A10"/>
    <w:rsid w:val="00570BE2"/>
    <w:rsid w:val="00570E3E"/>
    <w:rsid w:val="00572E15"/>
    <w:rsid w:val="005738DD"/>
    <w:rsid w:val="00587645"/>
    <w:rsid w:val="00587F27"/>
    <w:rsid w:val="005A341A"/>
    <w:rsid w:val="005B6D90"/>
    <w:rsid w:val="005C3F44"/>
    <w:rsid w:val="005C7060"/>
    <w:rsid w:val="005D289F"/>
    <w:rsid w:val="005E0CCB"/>
    <w:rsid w:val="005F39E9"/>
    <w:rsid w:val="00626FAA"/>
    <w:rsid w:val="00664036"/>
    <w:rsid w:val="00664666"/>
    <w:rsid w:val="006734FC"/>
    <w:rsid w:val="00676532"/>
    <w:rsid w:val="00676C42"/>
    <w:rsid w:val="006A351C"/>
    <w:rsid w:val="006A785A"/>
    <w:rsid w:val="006B3320"/>
    <w:rsid w:val="006B7F00"/>
    <w:rsid w:val="006C588F"/>
    <w:rsid w:val="006F3811"/>
    <w:rsid w:val="0070211D"/>
    <w:rsid w:val="0070249A"/>
    <w:rsid w:val="007075E8"/>
    <w:rsid w:val="00711B67"/>
    <w:rsid w:val="0072229B"/>
    <w:rsid w:val="00724C14"/>
    <w:rsid w:val="00725BA4"/>
    <w:rsid w:val="007313D1"/>
    <w:rsid w:val="00735EF0"/>
    <w:rsid w:val="007406E8"/>
    <w:rsid w:val="007455B8"/>
    <w:rsid w:val="007461C8"/>
    <w:rsid w:val="007538A7"/>
    <w:rsid w:val="0077004C"/>
    <w:rsid w:val="00773CB4"/>
    <w:rsid w:val="0077559D"/>
    <w:rsid w:val="007804D4"/>
    <w:rsid w:val="007839ED"/>
    <w:rsid w:val="007908A4"/>
    <w:rsid w:val="00793CC8"/>
    <w:rsid w:val="00793D6D"/>
    <w:rsid w:val="007979CB"/>
    <w:rsid w:val="007A2C13"/>
    <w:rsid w:val="007C1EAC"/>
    <w:rsid w:val="007C3EAB"/>
    <w:rsid w:val="007C6724"/>
    <w:rsid w:val="007E06EC"/>
    <w:rsid w:val="0080374D"/>
    <w:rsid w:val="00804D96"/>
    <w:rsid w:val="00811666"/>
    <w:rsid w:val="0083415C"/>
    <w:rsid w:val="008611AE"/>
    <w:rsid w:val="00872ACA"/>
    <w:rsid w:val="008733C1"/>
    <w:rsid w:val="008735D3"/>
    <w:rsid w:val="00874DB0"/>
    <w:rsid w:val="00877AA9"/>
    <w:rsid w:val="00877C0C"/>
    <w:rsid w:val="008810A9"/>
    <w:rsid w:val="008A11C5"/>
    <w:rsid w:val="008B508D"/>
    <w:rsid w:val="008C4934"/>
    <w:rsid w:val="009145EC"/>
    <w:rsid w:val="0091598F"/>
    <w:rsid w:val="009206E8"/>
    <w:rsid w:val="00927883"/>
    <w:rsid w:val="00943D69"/>
    <w:rsid w:val="009558CD"/>
    <w:rsid w:val="009643EE"/>
    <w:rsid w:val="009701C0"/>
    <w:rsid w:val="0098297B"/>
    <w:rsid w:val="00984D13"/>
    <w:rsid w:val="00990B8D"/>
    <w:rsid w:val="009A24FA"/>
    <w:rsid w:val="009A41C6"/>
    <w:rsid w:val="009C731C"/>
    <w:rsid w:val="009D175F"/>
    <w:rsid w:val="009D30E0"/>
    <w:rsid w:val="009E11E5"/>
    <w:rsid w:val="009F4B15"/>
    <w:rsid w:val="00A20453"/>
    <w:rsid w:val="00A23526"/>
    <w:rsid w:val="00A37028"/>
    <w:rsid w:val="00A4630E"/>
    <w:rsid w:val="00A8236A"/>
    <w:rsid w:val="00A830A9"/>
    <w:rsid w:val="00A83440"/>
    <w:rsid w:val="00A90A4A"/>
    <w:rsid w:val="00A9680A"/>
    <w:rsid w:val="00AB6AE8"/>
    <w:rsid w:val="00AC05D3"/>
    <w:rsid w:val="00AD38F5"/>
    <w:rsid w:val="00AF2065"/>
    <w:rsid w:val="00AF7F65"/>
    <w:rsid w:val="00B34242"/>
    <w:rsid w:val="00B34E20"/>
    <w:rsid w:val="00B42682"/>
    <w:rsid w:val="00B426B0"/>
    <w:rsid w:val="00B538D5"/>
    <w:rsid w:val="00B7177A"/>
    <w:rsid w:val="00B7461B"/>
    <w:rsid w:val="00B8205D"/>
    <w:rsid w:val="00B8653B"/>
    <w:rsid w:val="00B951C8"/>
    <w:rsid w:val="00BA028E"/>
    <w:rsid w:val="00BA2678"/>
    <w:rsid w:val="00BB6C2A"/>
    <w:rsid w:val="00BD7D5F"/>
    <w:rsid w:val="00BE51AC"/>
    <w:rsid w:val="00BE60F5"/>
    <w:rsid w:val="00BE7CCD"/>
    <w:rsid w:val="00C11670"/>
    <w:rsid w:val="00C1567E"/>
    <w:rsid w:val="00C413D4"/>
    <w:rsid w:val="00C63527"/>
    <w:rsid w:val="00C65AA9"/>
    <w:rsid w:val="00C86FA8"/>
    <w:rsid w:val="00CA34A2"/>
    <w:rsid w:val="00CA59BB"/>
    <w:rsid w:val="00CB0434"/>
    <w:rsid w:val="00CB2572"/>
    <w:rsid w:val="00CB3238"/>
    <w:rsid w:val="00CB439C"/>
    <w:rsid w:val="00CB6C2A"/>
    <w:rsid w:val="00CC2FEE"/>
    <w:rsid w:val="00CD4691"/>
    <w:rsid w:val="00CD6D76"/>
    <w:rsid w:val="00CE0CDB"/>
    <w:rsid w:val="00CE3BA3"/>
    <w:rsid w:val="00CE478D"/>
    <w:rsid w:val="00D0548D"/>
    <w:rsid w:val="00D17921"/>
    <w:rsid w:val="00D31642"/>
    <w:rsid w:val="00D443E7"/>
    <w:rsid w:val="00D45D57"/>
    <w:rsid w:val="00D579E1"/>
    <w:rsid w:val="00D619A5"/>
    <w:rsid w:val="00D63496"/>
    <w:rsid w:val="00D6420B"/>
    <w:rsid w:val="00D75850"/>
    <w:rsid w:val="00D812E7"/>
    <w:rsid w:val="00D933D6"/>
    <w:rsid w:val="00D94E4C"/>
    <w:rsid w:val="00DB1382"/>
    <w:rsid w:val="00DD0234"/>
    <w:rsid w:val="00DE0F82"/>
    <w:rsid w:val="00DF678C"/>
    <w:rsid w:val="00E30525"/>
    <w:rsid w:val="00E50267"/>
    <w:rsid w:val="00E50D29"/>
    <w:rsid w:val="00E5301C"/>
    <w:rsid w:val="00E53B31"/>
    <w:rsid w:val="00E74A7F"/>
    <w:rsid w:val="00E853B1"/>
    <w:rsid w:val="00E95E74"/>
    <w:rsid w:val="00EA122C"/>
    <w:rsid w:val="00EB1F35"/>
    <w:rsid w:val="00EC15F1"/>
    <w:rsid w:val="00EC7078"/>
    <w:rsid w:val="00EE1CFD"/>
    <w:rsid w:val="00EF036D"/>
    <w:rsid w:val="00EF4199"/>
    <w:rsid w:val="00EF4649"/>
    <w:rsid w:val="00F245A1"/>
    <w:rsid w:val="00F27FE4"/>
    <w:rsid w:val="00F318A2"/>
    <w:rsid w:val="00F44D62"/>
    <w:rsid w:val="00F70A09"/>
    <w:rsid w:val="00F819E3"/>
    <w:rsid w:val="00F93492"/>
    <w:rsid w:val="00FA59C3"/>
    <w:rsid w:val="00FB0765"/>
    <w:rsid w:val="00FB24E2"/>
    <w:rsid w:val="00FD09D8"/>
    <w:rsid w:val="00FD3C0C"/>
    <w:rsid w:val="00FE6119"/>
    <w:rsid w:val="00FF36FB"/>
    <w:rsid w:val="00FF591D"/>
    <w:rsid w:val="00FF7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54EC"/>
  <w15:chartTrackingRefBased/>
  <w15:docId w15:val="{E8921329-C516-40F0-B2BF-819C1DB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BA"/>
    <w:rPr>
      <w:rFonts w:ascii="Segoe UI" w:hAnsi="Segoe UI" w:cs="Segoe UI"/>
      <w:sz w:val="18"/>
      <w:szCs w:val="18"/>
    </w:rPr>
  </w:style>
  <w:style w:type="paragraph" w:styleId="Header">
    <w:name w:val="header"/>
    <w:basedOn w:val="Normal"/>
    <w:link w:val="HeaderChar"/>
    <w:uiPriority w:val="99"/>
    <w:unhideWhenUsed/>
    <w:rsid w:val="004F1489"/>
    <w:pPr>
      <w:tabs>
        <w:tab w:val="center" w:pos="4536"/>
        <w:tab w:val="right" w:pos="9072"/>
      </w:tabs>
    </w:pPr>
  </w:style>
  <w:style w:type="character" w:customStyle="1" w:styleId="HeaderChar">
    <w:name w:val="Header Char"/>
    <w:basedOn w:val="DefaultParagraphFont"/>
    <w:link w:val="Header"/>
    <w:uiPriority w:val="99"/>
    <w:rsid w:val="004F1489"/>
  </w:style>
  <w:style w:type="paragraph" w:styleId="Footer">
    <w:name w:val="footer"/>
    <w:basedOn w:val="Normal"/>
    <w:link w:val="FooterChar"/>
    <w:uiPriority w:val="99"/>
    <w:unhideWhenUsed/>
    <w:rsid w:val="004F1489"/>
    <w:pPr>
      <w:tabs>
        <w:tab w:val="center" w:pos="4536"/>
        <w:tab w:val="right" w:pos="9072"/>
      </w:tabs>
    </w:pPr>
  </w:style>
  <w:style w:type="character" w:customStyle="1" w:styleId="FooterChar">
    <w:name w:val="Footer Char"/>
    <w:basedOn w:val="DefaultParagraphFont"/>
    <w:link w:val="Footer"/>
    <w:uiPriority w:val="99"/>
    <w:rsid w:val="004F1489"/>
  </w:style>
  <w:style w:type="paragraph" w:styleId="ListParagraph">
    <w:name w:val="List Paragraph"/>
    <w:basedOn w:val="Normal"/>
    <w:uiPriority w:val="99"/>
    <w:qFormat/>
    <w:rsid w:val="00773CB4"/>
    <w:pPr>
      <w:ind w:left="720"/>
      <w:contextualSpacing/>
    </w:pPr>
  </w:style>
  <w:style w:type="paragraph" w:styleId="NoSpacing">
    <w:name w:val="No Spacing"/>
    <w:uiPriority w:val="1"/>
    <w:qFormat/>
    <w:rsid w:val="00A4630E"/>
    <w:rPr>
      <w:rFonts w:asciiTheme="minorHAnsi" w:hAnsiTheme="minorHAnsi"/>
      <w:sz w:val="22"/>
    </w:rPr>
  </w:style>
  <w:style w:type="table" w:styleId="TableGrid">
    <w:name w:val="Table Grid"/>
    <w:basedOn w:val="TableNormal"/>
    <w:rsid w:val="006F3811"/>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9F94-D51E-481B-82C1-493EA818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Ferenčić</dc:creator>
  <cp:keywords/>
  <dc:description/>
  <cp:lastModifiedBy>Silvija Bartolec</cp:lastModifiedBy>
  <cp:revision>32</cp:revision>
  <cp:lastPrinted>2023-02-16T08:54:00Z</cp:lastPrinted>
  <dcterms:created xsi:type="dcterms:W3CDTF">2023-02-16T07:22:00Z</dcterms:created>
  <dcterms:modified xsi:type="dcterms:W3CDTF">2023-02-16T20:11:00Z</dcterms:modified>
</cp:coreProperties>
</file>