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07B2" w14:textId="77777777" w:rsidR="00482539" w:rsidRDefault="002B0C5C" w:rsidP="00482539">
      <w:pPr>
        <w:spacing w:line="240" w:lineRule="auto"/>
        <w:jc w:val="center"/>
        <w:rPr>
          <w:szCs w:val="24"/>
        </w:rPr>
      </w:pPr>
      <w:r w:rsidRPr="002B0C5C">
        <w:rPr>
          <w:noProof/>
          <w:szCs w:val="24"/>
        </w:rPr>
        <w:drawing>
          <wp:inline distT="0" distB="0" distL="0" distR="0" wp14:anchorId="3C96F110" wp14:editId="05AAC1F1">
            <wp:extent cx="502942" cy="684000"/>
            <wp:effectExtent l="0" t="0" r="0" b="190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4C52262F" w14:textId="77777777" w:rsidR="002B0C5C" w:rsidRPr="002B0C5C" w:rsidRDefault="002B0C5C" w:rsidP="00482539">
      <w:pPr>
        <w:spacing w:line="240" w:lineRule="auto"/>
        <w:jc w:val="center"/>
        <w:rPr>
          <w:szCs w:val="24"/>
        </w:rPr>
      </w:pPr>
      <w:r w:rsidRPr="002B0C5C">
        <w:rPr>
          <w:szCs w:val="24"/>
        </w:rPr>
        <w:fldChar w:fldCharType="begin"/>
      </w:r>
      <w:r w:rsidRPr="002B0C5C">
        <w:rPr>
          <w:szCs w:val="24"/>
        </w:rPr>
        <w:instrText xml:space="preserve"> INCLUDEPICTURE "http://www.inet.hr/~box/images/grb-rh.gif" \* MERGEFORMATINET </w:instrText>
      </w:r>
      <w:r w:rsidRPr="002B0C5C">
        <w:rPr>
          <w:szCs w:val="24"/>
        </w:rPr>
        <w:fldChar w:fldCharType="end"/>
      </w:r>
    </w:p>
    <w:p w14:paraId="068FAFEC" w14:textId="77777777" w:rsidR="002B0C5C" w:rsidRDefault="002B0C5C" w:rsidP="00482539">
      <w:pPr>
        <w:spacing w:line="240" w:lineRule="auto"/>
        <w:jc w:val="center"/>
        <w:rPr>
          <w:sz w:val="28"/>
          <w:szCs w:val="24"/>
        </w:rPr>
      </w:pPr>
      <w:r w:rsidRPr="002B0C5C">
        <w:rPr>
          <w:sz w:val="28"/>
          <w:szCs w:val="24"/>
        </w:rPr>
        <w:t>VLADA REPUBLIKE HRVATSKE</w:t>
      </w:r>
    </w:p>
    <w:p w14:paraId="515C91DA" w14:textId="77777777" w:rsidR="00482539" w:rsidRDefault="00482539" w:rsidP="00482539">
      <w:pPr>
        <w:spacing w:line="240" w:lineRule="auto"/>
        <w:rPr>
          <w:sz w:val="28"/>
          <w:szCs w:val="24"/>
        </w:rPr>
      </w:pPr>
    </w:p>
    <w:p w14:paraId="67543CF9" w14:textId="77777777" w:rsidR="002B0C5C" w:rsidRPr="002B0C5C" w:rsidRDefault="002B0C5C" w:rsidP="00482539">
      <w:pPr>
        <w:spacing w:line="240" w:lineRule="auto"/>
        <w:rPr>
          <w:szCs w:val="24"/>
        </w:rPr>
      </w:pPr>
    </w:p>
    <w:p w14:paraId="25B40210" w14:textId="477C9F1F" w:rsidR="002B0C5C" w:rsidRDefault="003A3703" w:rsidP="00482539">
      <w:pPr>
        <w:spacing w:line="240" w:lineRule="auto"/>
        <w:jc w:val="right"/>
        <w:rPr>
          <w:szCs w:val="24"/>
        </w:rPr>
      </w:pPr>
      <w:r>
        <w:rPr>
          <w:szCs w:val="24"/>
        </w:rPr>
        <w:t xml:space="preserve">Zagreb, </w:t>
      </w:r>
      <w:r w:rsidR="00FF4573">
        <w:rPr>
          <w:szCs w:val="24"/>
        </w:rPr>
        <w:t>2</w:t>
      </w:r>
      <w:r w:rsidR="00117BB0">
        <w:rPr>
          <w:szCs w:val="24"/>
        </w:rPr>
        <w:t xml:space="preserve">. </w:t>
      </w:r>
      <w:r w:rsidR="004F5FAF">
        <w:rPr>
          <w:szCs w:val="24"/>
        </w:rPr>
        <w:t>ožujka</w:t>
      </w:r>
      <w:r w:rsidR="00117BB0">
        <w:rPr>
          <w:szCs w:val="24"/>
        </w:rPr>
        <w:t xml:space="preserve"> 2023.</w:t>
      </w:r>
    </w:p>
    <w:p w14:paraId="05BFDEFB" w14:textId="77777777" w:rsidR="00482539" w:rsidRDefault="00482539" w:rsidP="00482539">
      <w:pPr>
        <w:spacing w:line="240" w:lineRule="auto"/>
        <w:jc w:val="right"/>
        <w:rPr>
          <w:szCs w:val="24"/>
        </w:rPr>
      </w:pPr>
    </w:p>
    <w:p w14:paraId="2CD9FB62" w14:textId="77777777" w:rsidR="00482539" w:rsidRDefault="00482539" w:rsidP="00482539">
      <w:pPr>
        <w:spacing w:line="240" w:lineRule="auto"/>
        <w:jc w:val="right"/>
        <w:rPr>
          <w:szCs w:val="24"/>
        </w:rPr>
      </w:pPr>
    </w:p>
    <w:p w14:paraId="418D9AEB" w14:textId="77777777" w:rsidR="00482539" w:rsidRDefault="00482539" w:rsidP="00482539">
      <w:pPr>
        <w:spacing w:line="240" w:lineRule="auto"/>
        <w:jc w:val="right"/>
        <w:rPr>
          <w:szCs w:val="24"/>
        </w:rPr>
      </w:pPr>
    </w:p>
    <w:p w14:paraId="707D0BAD" w14:textId="77777777" w:rsidR="00482539" w:rsidRDefault="00482539" w:rsidP="00482539">
      <w:pPr>
        <w:spacing w:line="240" w:lineRule="auto"/>
        <w:jc w:val="right"/>
        <w:rPr>
          <w:szCs w:val="24"/>
        </w:rPr>
      </w:pPr>
    </w:p>
    <w:p w14:paraId="0835D1AE" w14:textId="77777777" w:rsidR="00482539" w:rsidRDefault="00482539" w:rsidP="00482539">
      <w:pPr>
        <w:spacing w:line="240" w:lineRule="auto"/>
        <w:jc w:val="right"/>
        <w:rPr>
          <w:szCs w:val="24"/>
        </w:rPr>
      </w:pPr>
    </w:p>
    <w:p w14:paraId="13B9ADFF" w14:textId="77777777" w:rsidR="00482539" w:rsidRDefault="00482539" w:rsidP="00482539">
      <w:pPr>
        <w:spacing w:line="240" w:lineRule="auto"/>
        <w:jc w:val="right"/>
        <w:rPr>
          <w:szCs w:val="24"/>
        </w:rPr>
      </w:pPr>
    </w:p>
    <w:p w14:paraId="5554C270" w14:textId="77777777" w:rsidR="00482539" w:rsidRDefault="00482539" w:rsidP="00482539">
      <w:pPr>
        <w:spacing w:line="240" w:lineRule="auto"/>
        <w:jc w:val="right"/>
        <w:rPr>
          <w:szCs w:val="24"/>
        </w:rPr>
      </w:pPr>
    </w:p>
    <w:p w14:paraId="2FB4225F" w14:textId="77777777" w:rsidR="00482539" w:rsidRDefault="00482539" w:rsidP="00482539">
      <w:pPr>
        <w:spacing w:line="240" w:lineRule="auto"/>
        <w:jc w:val="right"/>
        <w:rPr>
          <w:szCs w:val="24"/>
        </w:rPr>
      </w:pPr>
    </w:p>
    <w:p w14:paraId="2C976EA1" w14:textId="77777777" w:rsidR="00482539" w:rsidRDefault="00482539" w:rsidP="00482539">
      <w:pPr>
        <w:spacing w:line="240" w:lineRule="auto"/>
        <w:jc w:val="right"/>
        <w:rPr>
          <w:szCs w:val="24"/>
        </w:rPr>
      </w:pPr>
    </w:p>
    <w:p w14:paraId="487BE157" w14:textId="77777777" w:rsidR="00482539" w:rsidRDefault="00482539" w:rsidP="00482539">
      <w:pPr>
        <w:spacing w:line="240" w:lineRule="auto"/>
        <w:jc w:val="right"/>
        <w:rPr>
          <w:szCs w:val="24"/>
        </w:rPr>
      </w:pPr>
    </w:p>
    <w:p w14:paraId="5380B20D" w14:textId="77777777" w:rsidR="00482539" w:rsidRDefault="00482539" w:rsidP="00482539">
      <w:pPr>
        <w:spacing w:line="240" w:lineRule="auto"/>
        <w:jc w:val="right"/>
        <w:rPr>
          <w:szCs w:val="24"/>
        </w:rPr>
      </w:pPr>
    </w:p>
    <w:p w14:paraId="0B3B88B3" w14:textId="77777777" w:rsidR="00482539" w:rsidRPr="002B0C5C" w:rsidRDefault="00482539" w:rsidP="00482539">
      <w:pPr>
        <w:spacing w:line="240" w:lineRule="auto"/>
        <w:jc w:val="right"/>
        <w:rPr>
          <w:szCs w:val="24"/>
        </w:rPr>
      </w:pPr>
    </w:p>
    <w:p w14:paraId="05F7E4B1" w14:textId="77777777" w:rsidR="002B0C5C" w:rsidRPr="002B0C5C" w:rsidRDefault="002B0C5C" w:rsidP="00482539">
      <w:pPr>
        <w:spacing w:line="240" w:lineRule="auto"/>
        <w:rPr>
          <w:szCs w:val="24"/>
        </w:rPr>
      </w:pPr>
      <w:r w:rsidRPr="002B0C5C">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2B0C5C" w:rsidRPr="002B0C5C" w14:paraId="169FA18F" w14:textId="77777777" w:rsidTr="00A5376C">
        <w:tc>
          <w:tcPr>
            <w:tcW w:w="1949" w:type="dxa"/>
          </w:tcPr>
          <w:p w14:paraId="120D0D7B" w14:textId="77777777" w:rsidR="002B0C5C" w:rsidRPr="002B0C5C" w:rsidRDefault="002B0C5C" w:rsidP="00482539">
            <w:pPr>
              <w:spacing w:line="240" w:lineRule="auto"/>
              <w:rPr>
                <w:szCs w:val="24"/>
              </w:rPr>
            </w:pPr>
            <w:r w:rsidRPr="002B0C5C">
              <w:rPr>
                <w:b/>
                <w:smallCaps/>
                <w:szCs w:val="24"/>
              </w:rPr>
              <w:t>Predlagatelj</w:t>
            </w:r>
            <w:r w:rsidRPr="002B0C5C">
              <w:rPr>
                <w:b/>
                <w:szCs w:val="24"/>
              </w:rPr>
              <w:t>:</w:t>
            </w:r>
          </w:p>
        </w:tc>
        <w:tc>
          <w:tcPr>
            <w:tcW w:w="7123" w:type="dxa"/>
          </w:tcPr>
          <w:p w14:paraId="19CADD7C" w14:textId="26F15FBE" w:rsidR="002B0C5C" w:rsidRPr="002B0C5C" w:rsidRDefault="00117BB0" w:rsidP="00E322DA">
            <w:pPr>
              <w:spacing w:line="240" w:lineRule="auto"/>
              <w:rPr>
                <w:szCs w:val="24"/>
              </w:rPr>
            </w:pPr>
            <w:r>
              <w:rPr>
                <w:szCs w:val="24"/>
              </w:rPr>
              <w:t>Ministarstvo prostornoga uređenja, graditeljstva i državne imovine</w:t>
            </w:r>
          </w:p>
        </w:tc>
      </w:tr>
    </w:tbl>
    <w:tbl>
      <w:tblPr>
        <w:tblpPr w:leftFromText="180" w:rightFromText="180" w:vertAnchor="text" w:horzAnchor="margin" w:tblpY="847"/>
        <w:tblW w:w="0" w:type="auto"/>
        <w:tblLook w:val="04A0" w:firstRow="1" w:lastRow="0" w:firstColumn="1" w:lastColumn="0" w:noHBand="0" w:noVBand="1"/>
      </w:tblPr>
      <w:tblGrid>
        <w:gridCol w:w="1940"/>
        <w:gridCol w:w="7132"/>
      </w:tblGrid>
      <w:tr w:rsidR="002B0C5C" w:rsidRPr="002B0C5C" w14:paraId="6C38CE9B" w14:textId="77777777" w:rsidTr="00A5376C">
        <w:tc>
          <w:tcPr>
            <w:tcW w:w="1940" w:type="dxa"/>
          </w:tcPr>
          <w:p w14:paraId="0505B7AE" w14:textId="77777777" w:rsidR="002B0C5C" w:rsidRPr="002B0C5C" w:rsidRDefault="002B0C5C" w:rsidP="00482539">
            <w:pPr>
              <w:spacing w:line="240" w:lineRule="auto"/>
              <w:jc w:val="both"/>
              <w:rPr>
                <w:szCs w:val="24"/>
              </w:rPr>
            </w:pPr>
            <w:r w:rsidRPr="002B0C5C">
              <w:rPr>
                <w:b/>
                <w:smallCaps/>
                <w:szCs w:val="24"/>
              </w:rPr>
              <w:t>Predmet</w:t>
            </w:r>
            <w:r w:rsidRPr="002B0C5C">
              <w:rPr>
                <w:b/>
                <w:szCs w:val="24"/>
              </w:rPr>
              <w:t>:</w:t>
            </w:r>
          </w:p>
        </w:tc>
        <w:tc>
          <w:tcPr>
            <w:tcW w:w="7132" w:type="dxa"/>
          </w:tcPr>
          <w:p w14:paraId="476441B0" w14:textId="1DA90C08" w:rsidR="002B0C5C" w:rsidRPr="002B0C5C" w:rsidRDefault="006F1793" w:rsidP="004F5FAF">
            <w:pPr>
              <w:spacing w:line="240" w:lineRule="auto"/>
              <w:jc w:val="both"/>
              <w:rPr>
                <w:szCs w:val="24"/>
              </w:rPr>
            </w:pPr>
            <w:r w:rsidRPr="006F1793">
              <w:rPr>
                <w:szCs w:val="24"/>
              </w:rPr>
              <w:t xml:space="preserve">Prijedlog </w:t>
            </w:r>
            <w:bookmarkStart w:id="0" w:name="_Hlk127869821"/>
            <w:r w:rsidR="00AC6A06">
              <w:rPr>
                <w:szCs w:val="24"/>
              </w:rPr>
              <w:t>odluke</w:t>
            </w:r>
            <w:r w:rsidR="00F6475E">
              <w:rPr>
                <w:szCs w:val="24"/>
              </w:rPr>
              <w:t xml:space="preserve"> </w:t>
            </w:r>
            <w:bookmarkEnd w:id="0"/>
            <w:r w:rsidR="004F5FAF">
              <w:rPr>
                <w:szCs w:val="24"/>
              </w:rPr>
              <w:t>o načinu plaćanja i visini zajedničke pričuve za zgrade oštećene potresom na području Zagrebačke županije, Sisačko-moslavačke županije i Karlovačke županije</w:t>
            </w:r>
          </w:p>
        </w:tc>
      </w:tr>
      <w:tr w:rsidR="002B0C5C" w:rsidRPr="002B0C5C" w14:paraId="4D9E9F41" w14:textId="77777777" w:rsidTr="00A5376C">
        <w:tc>
          <w:tcPr>
            <w:tcW w:w="1940" w:type="dxa"/>
            <w:tcBorders>
              <w:bottom w:val="single" w:sz="4" w:space="0" w:color="auto"/>
            </w:tcBorders>
          </w:tcPr>
          <w:p w14:paraId="5A5B100F" w14:textId="77777777" w:rsidR="002B0C5C" w:rsidRPr="002B0C5C" w:rsidRDefault="002B0C5C" w:rsidP="00482539">
            <w:pPr>
              <w:spacing w:line="240" w:lineRule="auto"/>
              <w:jc w:val="right"/>
              <w:rPr>
                <w:b/>
                <w:smallCaps/>
                <w:szCs w:val="24"/>
              </w:rPr>
            </w:pPr>
          </w:p>
        </w:tc>
        <w:tc>
          <w:tcPr>
            <w:tcW w:w="7132" w:type="dxa"/>
            <w:tcBorders>
              <w:bottom w:val="single" w:sz="4" w:space="0" w:color="auto"/>
            </w:tcBorders>
          </w:tcPr>
          <w:p w14:paraId="7284041C" w14:textId="77777777" w:rsidR="002B0C5C" w:rsidRPr="002B0C5C" w:rsidRDefault="002B0C5C" w:rsidP="00482539">
            <w:pPr>
              <w:spacing w:line="240" w:lineRule="auto"/>
              <w:rPr>
                <w:szCs w:val="24"/>
              </w:rPr>
            </w:pPr>
          </w:p>
        </w:tc>
      </w:tr>
    </w:tbl>
    <w:p w14:paraId="59506ED5" w14:textId="77777777" w:rsidR="002B0C5C" w:rsidRPr="002B0C5C" w:rsidRDefault="002B0C5C" w:rsidP="00482539">
      <w:pPr>
        <w:spacing w:line="240" w:lineRule="auto"/>
        <w:rPr>
          <w:rFonts w:asciiTheme="minorHAnsi" w:eastAsiaTheme="minorHAnsi" w:hAnsiTheme="minorHAnsi" w:cstheme="minorBidi"/>
          <w:sz w:val="22"/>
          <w:lang w:eastAsia="en-US"/>
        </w:rPr>
      </w:pPr>
      <w:r w:rsidRPr="002B0C5C">
        <w:rPr>
          <w:szCs w:val="24"/>
        </w:rPr>
        <w:t>__________________________________________________________________________</w:t>
      </w:r>
    </w:p>
    <w:p w14:paraId="7DB8C2A2" w14:textId="77777777" w:rsidR="002B0C5C" w:rsidRDefault="002B0C5C" w:rsidP="00482539">
      <w:pPr>
        <w:spacing w:line="240" w:lineRule="auto"/>
        <w:jc w:val="center"/>
        <w:rPr>
          <w:b/>
          <w:szCs w:val="24"/>
        </w:rPr>
      </w:pPr>
    </w:p>
    <w:p w14:paraId="340FB837" w14:textId="77777777" w:rsidR="002B0C5C" w:rsidRDefault="002B0C5C" w:rsidP="00482539">
      <w:pPr>
        <w:spacing w:line="240" w:lineRule="auto"/>
        <w:jc w:val="center"/>
        <w:rPr>
          <w:b/>
          <w:szCs w:val="24"/>
        </w:rPr>
      </w:pPr>
    </w:p>
    <w:p w14:paraId="5A1AD718" w14:textId="77777777" w:rsidR="002B0C5C" w:rsidRDefault="002B0C5C" w:rsidP="00482539">
      <w:pPr>
        <w:spacing w:line="240" w:lineRule="auto"/>
        <w:jc w:val="center"/>
        <w:rPr>
          <w:b/>
          <w:szCs w:val="24"/>
        </w:rPr>
      </w:pPr>
    </w:p>
    <w:p w14:paraId="52BA87A3" w14:textId="77777777" w:rsidR="002B0C5C" w:rsidRDefault="002B0C5C" w:rsidP="00482539">
      <w:pPr>
        <w:spacing w:line="240" w:lineRule="auto"/>
        <w:jc w:val="center"/>
        <w:rPr>
          <w:b/>
          <w:szCs w:val="24"/>
        </w:rPr>
      </w:pPr>
    </w:p>
    <w:p w14:paraId="58F262D6" w14:textId="77777777" w:rsidR="002B0C5C" w:rsidRDefault="002B0C5C" w:rsidP="00482539">
      <w:pPr>
        <w:spacing w:line="240" w:lineRule="auto"/>
        <w:jc w:val="center"/>
        <w:rPr>
          <w:b/>
          <w:szCs w:val="24"/>
        </w:rPr>
      </w:pPr>
    </w:p>
    <w:p w14:paraId="65C697C9" w14:textId="77777777" w:rsidR="002B0C5C" w:rsidRDefault="002B0C5C" w:rsidP="00482539">
      <w:pPr>
        <w:spacing w:line="240" w:lineRule="auto"/>
        <w:jc w:val="center"/>
        <w:rPr>
          <w:b/>
          <w:szCs w:val="24"/>
        </w:rPr>
      </w:pPr>
    </w:p>
    <w:p w14:paraId="0EB9F761" w14:textId="77777777" w:rsidR="002B0C5C" w:rsidRDefault="002B0C5C" w:rsidP="00482539">
      <w:pPr>
        <w:spacing w:line="240" w:lineRule="auto"/>
        <w:jc w:val="center"/>
        <w:rPr>
          <w:b/>
          <w:szCs w:val="24"/>
        </w:rPr>
      </w:pPr>
    </w:p>
    <w:p w14:paraId="0F53F34C" w14:textId="77777777" w:rsidR="002B0C5C" w:rsidRDefault="002B0C5C" w:rsidP="00482539">
      <w:pPr>
        <w:spacing w:line="240" w:lineRule="auto"/>
        <w:jc w:val="center"/>
        <w:rPr>
          <w:b/>
          <w:szCs w:val="24"/>
        </w:rPr>
      </w:pPr>
    </w:p>
    <w:p w14:paraId="22A960C9" w14:textId="77777777" w:rsidR="002B0C5C" w:rsidRDefault="002B0C5C" w:rsidP="00482539">
      <w:pPr>
        <w:spacing w:line="240" w:lineRule="auto"/>
        <w:jc w:val="center"/>
        <w:rPr>
          <w:b/>
          <w:szCs w:val="24"/>
        </w:rPr>
      </w:pPr>
    </w:p>
    <w:p w14:paraId="56F2BF02" w14:textId="77777777" w:rsidR="002B0C5C" w:rsidRDefault="002B0C5C" w:rsidP="00482539">
      <w:pPr>
        <w:spacing w:line="240" w:lineRule="auto"/>
        <w:jc w:val="center"/>
        <w:rPr>
          <w:b/>
          <w:szCs w:val="24"/>
        </w:rPr>
      </w:pPr>
    </w:p>
    <w:p w14:paraId="39968E36" w14:textId="77777777" w:rsidR="002B0C5C" w:rsidRDefault="002B0C5C" w:rsidP="00482539">
      <w:pPr>
        <w:spacing w:line="240" w:lineRule="auto"/>
        <w:jc w:val="center"/>
        <w:rPr>
          <w:b/>
          <w:szCs w:val="24"/>
        </w:rPr>
      </w:pPr>
    </w:p>
    <w:p w14:paraId="5FDA8954" w14:textId="77777777" w:rsidR="002B0C5C" w:rsidRDefault="002B0C5C" w:rsidP="00482539">
      <w:pPr>
        <w:spacing w:line="240" w:lineRule="auto"/>
        <w:jc w:val="center"/>
        <w:rPr>
          <w:b/>
          <w:szCs w:val="24"/>
        </w:rPr>
      </w:pPr>
    </w:p>
    <w:p w14:paraId="5DD341F1" w14:textId="77777777" w:rsidR="003A3703" w:rsidRDefault="003A3703" w:rsidP="00482539">
      <w:pPr>
        <w:spacing w:line="240" w:lineRule="auto"/>
        <w:jc w:val="center"/>
        <w:rPr>
          <w:b/>
          <w:szCs w:val="24"/>
        </w:rPr>
      </w:pPr>
    </w:p>
    <w:p w14:paraId="0C95A002" w14:textId="77777777" w:rsidR="002B0C5C" w:rsidRDefault="002B0C5C" w:rsidP="00482539">
      <w:pPr>
        <w:spacing w:line="240" w:lineRule="auto"/>
        <w:jc w:val="center"/>
        <w:rPr>
          <w:b/>
          <w:szCs w:val="24"/>
        </w:rPr>
      </w:pPr>
    </w:p>
    <w:p w14:paraId="63281DF4" w14:textId="77777777" w:rsidR="002B0C5C" w:rsidRDefault="002B0C5C" w:rsidP="00482539">
      <w:pPr>
        <w:spacing w:line="240" w:lineRule="auto"/>
        <w:jc w:val="center"/>
        <w:rPr>
          <w:b/>
          <w:szCs w:val="24"/>
        </w:rPr>
      </w:pPr>
    </w:p>
    <w:p w14:paraId="15120072" w14:textId="77777777" w:rsidR="002B0C5C" w:rsidRDefault="002B0C5C" w:rsidP="00482539">
      <w:pPr>
        <w:spacing w:line="240" w:lineRule="auto"/>
        <w:jc w:val="center"/>
        <w:rPr>
          <w:b/>
          <w:szCs w:val="24"/>
        </w:rPr>
      </w:pPr>
    </w:p>
    <w:p w14:paraId="6EA7D0FB" w14:textId="77777777" w:rsidR="002B0C5C" w:rsidRDefault="002B0C5C" w:rsidP="00482539">
      <w:pPr>
        <w:spacing w:line="240" w:lineRule="auto"/>
        <w:jc w:val="center"/>
        <w:rPr>
          <w:b/>
          <w:szCs w:val="24"/>
        </w:rPr>
      </w:pPr>
    </w:p>
    <w:p w14:paraId="37091689" w14:textId="77777777" w:rsidR="00482539" w:rsidRDefault="00482539" w:rsidP="00482539">
      <w:pPr>
        <w:spacing w:line="240" w:lineRule="auto"/>
        <w:jc w:val="center"/>
        <w:rPr>
          <w:b/>
          <w:szCs w:val="24"/>
        </w:rPr>
      </w:pPr>
    </w:p>
    <w:p w14:paraId="72B2483A" w14:textId="77777777" w:rsidR="00482539" w:rsidRDefault="00482539" w:rsidP="00482539">
      <w:pPr>
        <w:spacing w:line="240" w:lineRule="auto"/>
        <w:jc w:val="center"/>
        <w:rPr>
          <w:b/>
          <w:szCs w:val="24"/>
        </w:rPr>
      </w:pPr>
    </w:p>
    <w:p w14:paraId="3C89DDB2" w14:textId="77777777" w:rsidR="00482539" w:rsidRDefault="00482539" w:rsidP="00482539">
      <w:pPr>
        <w:spacing w:line="240" w:lineRule="auto"/>
        <w:jc w:val="center"/>
        <w:rPr>
          <w:b/>
          <w:szCs w:val="24"/>
        </w:rPr>
      </w:pPr>
    </w:p>
    <w:p w14:paraId="6D2BAE2C" w14:textId="77777777" w:rsidR="002B0C5C" w:rsidRPr="002B0C5C" w:rsidRDefault="002B0C5C" w:rsidP="00482539">
      <w:pPr>
        <w:spacing w:line="240" w:lineRule="auto"/>
        <w:jc w:val="center"/>
        <w:rPr>
          <w:b/>
          <w:szCs w:val="24"/>
        </w:rPr>
        <w:sectPr w:rsidR="002B0C5C" w:rsidRPr="002B0C5C" w:rsidSect="004832EA">
          <w:headerReference w:type="default" r:id="rId13"/>
          <w:footerReference w:type="default" r:id="rId14"/>
          <w:headerReference w:type="first" r:id="rId15"/>
          <w:type w:val="continuous"/>
          <w:pgSz w:w="11906" w:h="16838"/>
          <w:pgMar w:top="1417" w:right="1417" w:bottom="1417" w:left="1417" w:header="708" w:footer="708" w:gutter="0"/>
          <w:cols w:space="720"/>
          <w:docGrid w:linePitch="326"/>
        </w:sectPr>
      </w:pPr>
    </w:p>
    <w:p w14:paraId="6C12B97E" w14:textId="5E7A1B8B" w:rsidR="00BE0C37" w:rsidRPr="00BE0C37" w:rsidRDefault="00BE0C37" w:rsidP="00BE0C37">
      <w:pPr>
        <w:rPr>
          <w:b/>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E0C37">
        <w:rPr>
          <w:b/>
          <w:szCs w:val="24"/>
        </w:rPr>
        <w:t>Prijedlog</w:t>
      </w:r>
    </w:p>
    <w:p w14:paraId="65080B7B" w14:textId="77777777" w:rsidR="00BE0C37" w:rsidRPr="008C754B" w:rsidRDefault="00BE0C37" w:rsidP="00BE0C37">
      <w:pPr>
        <w:pStyle w:val="box466581"/>
        <w:shd w:val="clear" w:color="auto" w:fill="FFFFFF"/>
        <w:spacing w:before="0" w:beforeAutospacing="0" w:after="48" w:afterAutospacing="0"/>
        <w:ind w:firstLine="408"/>
        <w:textAlignment w:val="baseline"/>
        <w:rPr>
          <w:color w:val="231F20"/>
        </w:rPr>
      </w:pPr>
    </w:p>
    <w:p w14:paraId="00AD5131" w14:textId="77777777" w:rsidR="00BE0C37" w:rsidRDefault="00BE0C37" w:rsidP="00BE0C37">
      <w:pPr>
        <w:pStyle w:val="box466581"/>
        <w:shd w:val="clear" w:color="auto" w:fill="FFFFFF"/>
        <w:spacing w:before="0" w:beforeAutospacing="0" w:after="48" w:afterAutospacing="0"/>
        <w:ind w:firstLine="567"/>
        <w:jc w:val="both"/>
        <w:textAlignment w:val="baseline"/>
        <w:rPr>
          <w:color w:val="231F20"/>
        </w:rPr>
      </w:pPr>
      <w:r w:rsidRPr="008C754B">
        <w:rPr>
          <w:color w:val="231F20"/>
        </w:rPr>
        <w:t xml:space="preserve">Na temelju članka </w:t>
      </w:r>
      <w:r>
        <w:rPr>
          <w:color w:val="231F20"/>
        </w:rPr>
        <w:t>10</w:t>
      </w:r>
      <w:r w:rsidRPr="008C754B">
        <w:rPr>
          <w:color w:val="231F20"/>
        </w:rPr>
        <w:t xml:space="preserve">. stavka </w:t>
      </w:r>
      <w:r>
        <w:rPr>
          <w:color w:val="231F20"/>
        </w:rPr>
        <w:t>11</w:t>
      </w:r>
      <w:r w:rsidRPr="008C754B">
        <w:rPr>
          <w:color w:val="231F20"/>
        </w:rPr>
        <w:t xml:space="preserve">.  Zakona o </w:t>
      </w:r>
      <w:r>
        <w:rPr>
          <w:color w:val="231F20"/>
        </w:rPr>
        <w:t>obnovi zgrada oštećenih potresom na području Grada Zagreba, Krapinsko-zagorske županije, Zagrebačke županije, Sisačko-moslavačke županije i Karlovačke županije („Narodne novine“  broj 21/23.)</w:t>
      </w:r>
      <w:r w:rsidRPr="008C754B">
        <w:rPr>
          <w:color w:val="231F20"/>
        </w:rPr>
        <w:t xml:space="preserve"> ,Vlada Republike Hrvatske je na sjednici održanoj dana ____ 2023. godine donijela</w:t>
      </w:r>
    </w:p>
    <w:p w14:paraId="141080AC" w14:textId="77777777" w:rsidR="00BE0C37" w:rsidRPr="008C754B" w:rsidRDefault="00BE0C37" w:rsidP="00BE0C37">
      <w:pPr>
        <w:pStyle w:val="box466581"/>
        <w:shd w:val="clear" w:color="auto" w:fill="FFFFFF"/>
        <w:spacing w:before="0" w:beforeAutospacing="0" w:after="48" w:afterAutospacing="0"/>
        <w:ind w:firstLine="408"/>
        <w:textAlignment w:val="baseline"/>
        <w:rPr>
          <w:color w:val="231F20"/>
        </w:rPr>
      </w:pPr>
    </w:p>
    <w:p w14:paraId="5824FEFB" w14:textId="77777777" w:rsidR="00BE0C37" w:rsidRPr="008C754B" w:rsidRDefault="00BE0C37" w:rsidP="00BE0C37">
      <w:pPr>
        <w:pStyle w:val="box466581"/>
        <w:shd w:val="clear" w:color="auto" w:fill="FFFFFF"/>
        <w:spacing w:before="153" w:beforeAutospacing="0" w:after="0" w:afterAutospacing="0"/>
        <w:jc w:val="center"/>
        <w:textAlignment w:val="baseline"/>
        <w:rPr>
          <w:b/>
          <w:bCs/>
          <w:color w:val="231F20"/>
        </w:rPr>
      </w:pPr>
      <w:r w:rsidRPr="008C754B">
        <w:rPr>
          <w:b/>
          <w:bCs/>
          <w:color w:val="231F20"/>
        </w:rPr>
        <w:t>ODLUKU</w:t>
      </w:r>
    </w:p>
    <w:p w14:paraId="1E56C6E1" w14:textId="77777777" w:rsidR="00BE0C37" w:rsidRPr="00AA4193" w:rsidRDefault="00BE0C37" w:rsidP="00BE0C37">
      <w:pPr>
        <w:pStyle w:val="box466581"/>
        <w:shd w:val="clear" w:color="auto" w:fill="FFFFFF"/>
        <w:spacing w:before="68" w:beforeAutospacing="0" w:after="72" w:afterAutospacing="0"/>
        <w:jc w:val="center"/>
        <w:textAlignment w:val="baseline"/>
        <w:rPr>
          <w:b/>
          <w:bCs/>
        </w:rPr>
      </w:pPr>
      <w:r w:rsidRPr="004F5FAF">
        <w:rPr>
          <w:b/>
          <w:bCs/>
        </w:rPr>
        <w:t xml:space="preserve">O NAČINU PLAĆANJA I VISINI ZAJEDNIČKE PRIČUVE  ZA ZGRADE OŠTEĆENE POTRESOM NA </w:t>
      </w:r>
      <w:r w:rsidRPr="00AA4193">
        <w:rPr>
          <w:b/>
          <w:bCs/>
        </w:rPr>
        <w:t xml:space="preserve">PODRUČJU ZAGREBAČKE ŽUPANIJE, SISAČKO-MOSLAVAČKE ŽUPANIJE I KARLOVAČKE ŽUPANIJE </w:t>
      </w:r>
    </w:p>
    <w:p w14:paraId="02185FE3" w14:textId="77777777" w:rsidR="00BE0C37" w:rsidRPr="00AA4193" w:rsidRDefault="00BE0C37" w:rsidP="00BE0C37">
      <w:pPr>
        <w:pStyle w:val="box466581"/>
        <w:shd w:val="clear" w:color="auto" w:fill="FFFFFF"/>
        <w:spacing w:before="68" w:beforeAutospacing="0" w:after="72" w:afterAutospacing="0"/>
        <w:jc w:val="center"/>
        <w:textAlignment w:val="baseline"/>
        <w:rPr>
          <w:b/>
          <w:bCs/>
          <w:color w:val="231F20"/>
        </w:rPr>
      </w:pPr>
    </w:p>
    <w:p w14:paraId="7C233924" w14:textId="77777777" w:rsidR="00BE0C37" w:rsidRDefault="00BE0C37" w:rsidP="00BE0C37">
      <w:pPr>
        <w:pStyle w:val="box466581"/>
        <w:shd w:val="clear" w:color="auto" w:fill="FFFFFF"/>
        <w:spacing w:before="103" w:beforeAutospacing="0" w:after="48" w:afterAutospacing="0"/>
        <w:jc w:val="center"/>
        <w:textAlignment w:val="baseline"/>
        <w:rPr>
          <w:color w:val="231F20"/>
        </w:rPr>
      </w:pPr>
      <w:r w:rsidRPr="008C754B">
        <w:rPr>
          <w:color w:val="231F20"/>
        </w:rPr>
        <w:t>I.</w:t>
      </w:r>
    </w:p>
    <w:p w14:paraId="6E540454" w14:textId="77777777" w:rsidR="00BE0C37" w:rsidRPr="008C754B" w:rsidRDefault="00BE0C37" w:rsidP="00BE0C37">
      <w:pPr>
        <w:pStyle w:val="box466581"/>
        <w:shd w:val="clear" w:color="auto" w:fill="FFFFFF"/>
        <w:spacing w:before="103" w:beforeAutospacing="0" w:after="48" w:afterAutospacing="0"/>
        <w:jc w:val="center"/>
        <w:textAlignment w:val="baseline"/>
        <w:rPr>
          <w:color w:val="231F20"/>
        </w:rPr>
      </w:pPr>
    </w:p>
    <w:p w14:paraId="2836EACD" w14:textId="77777777" w:rsidR="00BE0C37" w:rsidRPr="008C754B" w:rsidRDefault="00BE0C37" w:rsidP="00BE0C37">
      <w:pPr>
        <w:pStyle w:val="box466581"/>
        <w:shd w:val="clear" w:color="auto" w:fill="FFFFFF"/>
        <w:spacing w:before="0" w:beforeAutospacing="0" w:after="48" w:afterAutospacing="0"/>
        <w:ind w:firstLine="708"/>
        <w:jc w:val="both"/>
        <w:textAlignment w:val="baseline"/>
      </w:pPr>
      <w:r>
        <w:t>S</w:t>
      </w:r>
      <w:r w:rsidRPr="008C754B">
        <w:t>uvlasni</w:t>
      </w:r>
      <w:r>
        <w:t>ci</w:t>
      </w:r>
      <w:r w:rsidRPr="008C754B">
        <w:t xml:space="preserve"> višestambenih i stambeno-poslovnih </w:t>
      </w:r>
      <w:r>
        <w:t>zgrada</w:t>
      </w:r>
      <w:r w:rsidRPr="008C754B">
        <w:t xml:space="preserve"> na </w:t>
      </w:r>
      <w:bookmarkStart w:id="1" w:name="_Hlk125982512"/>
      <w:r w:rsidRPr="008C754B">
        <w:t xml:space="preserve">području </w:t>
      </w:r>
      <w:r>
        <w:t>jedinica lokalne samouprave na čijim je područjima proglašena katastrofa, a</w:t>
      </w:r>
      <w:r w:rsidRPr="008C754B">
        <w:t xml:space="preserve"> </w:t>
      </w:r>
      <w:bookmarkEnd w:id="1"/>
      <w:r w:rsidRPr="007E53DA">
        <w:t xml:space="preserve">čije su nekretnine stradale u potresima na području </w:t>
      </w:r>
      <w:r>
        <w:t>Grada Zagreba, Krapinsko-</w:t>
      </w:r>
      <w:r w:rsidRPr="007E53DA">
        <w:t xml:space="preserve">zagorske županije, Zagrebačke županije, Sisačko-moslavačke i Karlovačke </w:t>
      </w:r>
      <w:r w:rsidRPr="002F0196">
        <w:t>županije 22. ožujka 2020. te 28. i 29. prosinca 2020</w:t>
      </w:r>
      <w:r>
        <w:t>., a</w:t>
      </w:r>
      <w:r w:rsidRPr="00F31403">
        <w:t xml:space="preserve"> koje su na dan stupanja na snagu ove Odluke označene kao  PN1 (</w:t>
      </w:r>
      <w:r w:rsidRPr="00F31403">
        <w:rPr>
          <w:rStyle w:val="Emphasis"/>
          <w:shd w:val="clear" w:color="auto" w:fill="FFFFFF"/>
        </w:rPr>
        <w:t>privremeno neuporabljivo</w:t>
      </w:r>
      <w:r w:rsidRPr="00F31403">
        <w:rPr>
          <w:shd w:val="clear" w:color="auto" w:fill="FFFFFF"/>
        </w:rPr>
        <w:t xml:space="preserve"> – potreban detaljan pregled) </w:t>
      </w:r>
      <w:r w:rsidRPr="00F31403">
        <w:t>i PN2 (p</w:t>
      </w:r>
      <w:r w:rsidRPr="00F31403">
        <w:rPr>
          <w:rStyle w:val="Emphasis"/>
          <w:shd w:val="clear" w:color="auto" w:fill="FFFFFF"/>
        </w:rPr>
        <w:t xml:space="preserve">rivremeno neuporabljivo- potrebne hitne mjere intervencije), </w:t>
      </w:r>
      <w:bookmarkStart w:id="2" w:name="_Hlk125909746"/>
      <w:r w:rsidRPr="00F31403">
        <w:t>N1 (neuporabljivo – zbog vanjskog utjecaja) i N2 (neuporabljivo – zbog oštećenja)</w:t>
      </w:r>
      <w:bookmarkEnd w:id="2"/>
      <w:r w:rsidRPr="00F31403">
        <w:t xml:space="preserve"> te stoga nisu p</w:t>
      </w:r>
      <w:r>
        <w:t xml:space="preserve">rikladne </w:t>
      </w:r>
      <w:r w:rsidRPr="00F31403">
        <w:t>za stanovanje</w:t>
      </w:r>
      <w:r>
        <w:t xml:space="preserve"> i </w:t>
      </w:r>
      <w:r w:rsidRPr="005C7632">
        <w:rPr>
          <w:color w:val="231F20"/>
        </w:rPr>
        <w:t xml:space="preserve"> </w:t>
      </w:r>
      <w:r>
        <w:rPr>
          <w:color w:val="231F20"/>
        </w:rPr>
        <w:t>samostalno izvršavanje suvlasnikovih vlasničkih ovlasti</w:t>
      </w:r>
      <w:r>
        <w:t xml:space="preserve"> </w:t>
      </w:r>
      <w:r>
        <w:rPr>
          <w:color w:val="231F20"/>
        </w:rPr>
        <w:t xml:space="preserve">oslobađaju se obveze plaćanja zajedničke pričuve, dok se nekretnina ne obnovi odnosno ne bude prikladna za </w:t>
      </w:r>
      <w:bookmarkStart w:id="3" w:name="_Hlk126074535"/>
      <w:r>
        <w:rPr>
          <w:color w:val="231F20"/>
        </w:rPr>
        <w:t>samostalno izvršavanje suvlasnikovih ovlasti</w:t>
      </w:r>
      <w:bookmarkEnd w:id="3"/>
      <w:r>
        <w:rPr>
          <w:color w:val="231F20"/>
        </w:rPr>
        <w:t>.</w:t>
      </w:r>
    </w:p>
    <w:p w14:paraId="5DDA7DAF" w14:textId="77777777" w:rsidR="00BE0C37" w:rsidRDefault="00BE0C37" w:rsidP="00BE0C37">
      <w:pPr>
        <w:pStyle w:val="box466581"/>
        <w:shd w:val="clear" w:color="auto" w:fill="FFFFFF"/>
        <w:spacing w:before="0" w:beforeAutospacing="0" w:after="48" w:afterAutospacing="0"/>
        <w:textAlignment w:val="baseline"/>
        <w:rPr>
          <w:color w:val="231F20"/>
        </w:rPr>
      </w:pPr>
    </w:p>
    <w:p w14:paraId="221479CB" w14:textId="77777777" w:rsidR="00BE0C37" w:rsidRDefault="00BE0C37" w:rsidP="00BE0C37">
      <w:pPr>
        <w:pStyle w:val="box466581"/>
        <w:shd w:val="clear" w:color="auto" w:fill="FFFFFF"/>
        <w:spacing w:before="0" w:beforeAutospacing="0" w:after="48" w:afterAutospacing="0"/>
        <w:jc w:val="center"/>
        <w:textAlignment w:val="baseline"/>
        <w:rPr>
          <w:color w:val="231F20"/>
        </w:rPr>
      </w:pPr>
      <w:r>
        <w:rPr>
          <w:color w:val="231F20"/>
        </w:rPr>
        <w:t>II.</w:t>
      </w:r>
    </w:p>
    <w:p w14:paraId="069124B6" w14:textId="77777777" w:rsidR="00BE0C37" w:rsidRDefault="00BE0C37" w:rsidP="00BE0C37">
      <w:pPr>
        <w:pStyle w:val="box466581"/>
        <w:shd w:val="clear" w:color="auto" w:fill="FFFFFF"/>
        <w:spacing w:before="0" w:beforeAutospacing="0" w:after="48" w:afterAutospacing="0"/>
        <w:ind w:firstLine="708"/>
        <w:jc w:val="both"/>
        <w:textAlignment w:val="baseline"/>
        <w:rPr>
          <w:color w:val="231F20"/>
        </w:rPr>
      </w:pPr>
      <w:r>
        <w:rPr>
          <w:color w:val="231F20"/>
        </w:rPr>
        <w:t>Oslobođenje iz točke I. ne odnosi se na suvlasnike zgrada koji sami natpolovičnom većinom suvlasničkih dijelova odluče da žele nastaviti plaćanje zajedničke pričuve te na suvlasnike zgrada koji su na teret pričuve preuzeli kreditne ili neke druge obveze  koje na naplatu dospijevaju periodično, osim naknada upravitelju zgrade, predstavniku suvlasnika i drugih naknada koje proizlaze iz upravljanja i održavanja zgrade,  koje se zbog neupotrebljivosti zgrade ne izvršava.</w:t>
      </w:r>
    </w:p>
    <w:p w14:paraId="093A03EE" w14:textId="77777777" w:rsidR="00BE0C37" w:rsidRPr="008C754B" w:rsidRDefault="00BE0C37" w:rsidP="00BE0C37">
      <w:pPr>
        <w:pStyle w:val="box466581"/>
        <w:shd w:val="clear" w:color="auto" w:fill="FFFFFF"/>
        <w:spacing w:before="0" w:beforeAutospacing="0" w:after="48" w:afterAutospacing="0"/>
        <w:textAlignment w:val="baseline"/>
        <w:rPr>
          <w:color w:val="231F20"/>
        </w:rPr>
      </w:pPr>
    </w:p>
    <w:p w14:paraId="11B58294" w14:textId="77777777" w:rsidR="00BE0C37" w:rsidRPr="008C754B" w:rsidRDefault="00BE0C37" w:rsidP="00BE0C37">
      <w:pPr>
        <w:pStyle w:val="box466581"/>
        <w:shd w:val="clear" w:color="auto" w:fill="FFFFFF"/>
        <w:spacing w:before="103" w:beforeAutospacing="0" w:after="48" w:afterAutospacing="0"/>
        <w:jc w:val="center"/>
        <w:textAlignment w:val="baseline"/>
        <w:rPr>
          <w:color w:val="231F20"/>
        </w:rPr>
      </w:pPr>
      <w:r w:rsidRPr="008C754B">
        <w:rPr>
          <w:color w:val="231F20"/>
        </w:rPr>
        <w:t>I</w:t>
      </w:r>
      <w:r>
        <w:rPr>
          <w:color w:val="231F20"/>
        </w:rPr>
        <w:t>I</w:t>
      </w:r>
      <w:r w:rsidRPr="008C754B">
        <w:rPr>
          <w:color w:val="231F20"/>
        </w:rPr>
        <w:t>I.</w:t>
      </w:r>
    </w:p>
    <w:p w14:paraId="7B5F1552" w14:textId="4FDF2410" w:rsidR="00BE0C37" w:rsidRPr="008C754B" w:rsidRDefault="00BE0C37" w:rsidP="00BE0C37">
      <w:pPr>
        <w:pStyle w:val="box466581"/>
        <w:shd w:val="clear" w:color="auto" w:fill="FFFFFF"/>
        <w:spacing w:before="0" w:beforeAutospacing="0" w:after="48" w:afterAutospacing="0"/>
        <w:ind w:firstLine="708"/>
        <w:jc w:val="both"/>
        <w:textAlignment w:val="baseline"/>
        <w:rPr>
          <w:color w:val="231F20"/>
        </w:rPr>
      </w:pPr>
      <w:r w:rsidRPr="008C754B">
        <w:rPr>
          <w:color w:val="231F20"/>
        </w:rPr>
        <w:t xml:space="preserve">Ova Odluka stupa na snagu </w:t>
      </w:r>
      <w:r>
        <w:rPr>
          <w:color w:val="231F20"/>
        </w:rPr>
        <w:t>prvog</w:t>
      </w:r>
      <w:r w:rsidR="00B7080D">
        <w:rPr>
          <w:color w:val="231F20"/>
        </w:rPr>
        <w:t>a</w:t>
      </w:r>
      <w:r>
        <w:rPr>
          <w:color w:val="231F20"/>
        </w:rPr>
        <w:t xml:space="preserve"> dana od dana objave u „</w:t>
      </w:r>
      <w:r w:rsidRPr="008C754B">
        <w:rPr>
          <w:color w:val="231F20"/>
        </w:rPr>
        <w:t>Narodnim novinama</w:t>
      </w:r>
      <w:r>
        <w:rPr>
          <w:color w:val="231F20"/>
        </w:rPr>
        <w:t>“</w:t>
      </w:r>
      <w:r w:rsidRPr="008C754B">
        <w:rPr>
          <w:color w:val="231F20"/>
        </w:rPr>
        <w:t>.</w:t>
      </w:r>
    </w:p>
    <w:p w14:paraId="09C1D56A" w14:textId="77777777" w:rsidR="00BE0C37" w:rsidRDefault="00BE0C37" w:rsidP="00BE0C37">
      <w:pPr>
        <w:pStyle w:val="box466581"/>
        <w:shd w:val="clear" w:color="auto" w:fill="FFFFFF"/>
        <w:spacing w:before="0" w:beforeAutospacing="0" w:after="0" w:afterAutospacing="0"/>
        <w:textAlignment w:val="baseline"/>
        <w:rPr>
          <w:color w:val="231F20"/>
        </w:rPr>
      </w:pPr>
    </w:p>
    <w:p w14:paraId="6C250944" w14:textId="77777777" w:rsidR="00BE0C37" w:rsidRPr="008C754B" w:rsidRDefault="00BE0C37" w:rsidP="00BE0C37">
      <w:pPr>
        <w:pStyle w:val="box466581"/>
        <w:shd w:val="clear" w:color="auto" w:fill="FFFFFF"/>
        <w:spacing w:before="0" w:beforeAutospacing="0" w:after="0" w:afterAutospacing="0"/>
        <w:textAlignment w:val="baseline"/>
        <w:rPr>
          <w:color w:val="231F20"/>
        </w:rPr>
      </w:pPr>
      <w:r w:rsidRPr="008C754B">
        <w:rPr>
          <w:color w:val="231F20"/>
        </w:rPr>
        <w:t xml:space="preserve">Klasa: </w:t>
      </w:r>
    </w:p>
    <w:p w14:paraId="63E153A9" w14:textId="77777777" w:rsidR="00BE0C37" w:rsidRPr="008C754B" w:rsidRDefault="00BE0C37" w:rsidP="00BE0C37">
      <w:pPr>
        <w:pStyle w:val="box466581"/>
        <w:shd w:val="clear" w:color="auto" w:fill="FFFFFF"/>
        <w:spacing w:before="0" w:beforeAutospacing="0" w:after="0" w:afterAutospacing="0"/>
        <w:textAlignment w:val="baseline"/>
        <w:rPr>
          <w:color w:val="231F20"/>
        </w:rPr>
      </w:pPr>
      <w:r w:rsidRPr="008C754B">
        <w:rPr>
          <w:color w:val="231F20"/>
        </w:rPr>
        <w:t xml:space="preserve">Urbroj: </w:t>
      </w:r>
    </w:p>
    <w:p w14:paraId="56537234" w14:textId="77777777" w:rsidR="00BE0C37" w:rsidRPr="008C754B" w:rsidRDefault="00BE0C37" w:rsidP="00BE0C37">
      <w:pPr>
        <w:pStyle w:val="box466581"/>
        <w:shd w:val="clear" w:color="auto" w:fill="FFFFFF"/>
        <w:spacing w:before="0" w:beforeAutospacing="0" w:after="0" w:afterAutospacing="0"/>
        <w:textAlignment w:val="baseline"/>
        <w:rPr>
          <w:color w:val="231F20"/>
        </w:rPr>
      </w:pPr>
      <w:r w:rsidRPr="008C754B">
        <w:rPr>
          <w:color w:val="231F20"/>
        </w:rPr>
        <w:t xml:space="preserve">Zagreb, </w:t>
      </w:r>
    </w:p>
    <w:p w14:paraId="5A511FBD" w14:textId="77777777" w:rsidR="00BE0C37" w:rsidRDefault="00BE0C37" w:rsidP="00BE0C37">
      <w:pPr>
        <w:pStyle w:val="box466581"/>
        <w:shd w:val="clear" w:color="auto" w:fill="FFFFFF"/>
        <w:spacing w:before="0" w:beforeAutospacing="0" w:after="0" w:afterAutospacing="0"/>
        <w:ind w:left="2712"/>
        <w:jc w:val="center"/>
        <w:textAlignment w:val="baseline"/>
        <w:rPr>
          <w:color w:val="231F20"/>
        </w:rPr>
      </w:pPr>
      <w:r w:rsidRPr="008C754B">
        <w:rPr>
          <w:color w:val="231F20"/>
        </w:rPr>
        <w:t>Predsjednik</w:t>
      </w:r>
    </w:p>
    <w:p w14:paraId="753B703F" w14:textId="77777777" w:rsidR="00BE0C37" w:rsidRDefault="00BE0C37" w:rsidP="00BE0C37">
      <w:pPr>
        <w:pStyle w:val="box466581"/>
        <w:shd w:val="clear" w:color="auto" w:fill="FFFFFF"/>
        <w:spacing w:before="0" w:beforeAutospacing="0" w:after="0" w:afterAutospacing="0"/>
        <w:ind w:left="2712"/>
        <w:jc w:val="center"/>
        <w:textAlignment w:val="baseline"/>
        <w:rPr>
          <w:color w:val="231F20"/>
        </w:rPr>
      </w:pPr>
    </w:p>
    <w:p w14:paraId="044E11E2" w14:textId="77777777" w:rsidR="00BE0C37" w:rsidRDefault="00BE0C37" w:rsidP="00BE0C37">
      <w:pPr>
        <w:pStyle w:val="box466581"/>
        <w:shd w:val="clear" w:color="auto" w:fill="FFFFFF"/>
        <w:spacing w:before="0" w:beforeAutospacing="0" w:after="0" w:afterAutospacing="0"/>
        <w:ind w:left="2712"/>
        <w:jc w:val="center"/>
        <w:textAlignment w:val="baseline"/>
        <w:rPr>
          <w:rStyle w:val="bold"/>
          <w:color w:val="231F20"/>
          <w:bdr w:val="none" w:sz="0" w:space="0" w:color="auto" w:frame="1"/>
        </w:rPr>
      </w:pPr>
      <w:r w:rsidRPr="008C754B">
        <w:rPr>
          <w:color w:val="231F20"/>
        </w:rPr>
        <w:br/>
      </w:r>
      <w:r w:rsidRPr="00F1253D">
        <w:rPr>
          <w:rStyle w:val="bold"/>
          <w:color w:val="231F20"/>
          <w:bdr w:val="none" w:sz="0" w:space="0" w:color="auto" w:frame="1"/>
        </w:rPr>
        <w:t>mr. sc. Andrej Plenković</w:t>
      </w:r>
    </w:p>
    <w:p w14:paraId="4210BB48" w14:textId="2705BD0D" w:rsidR="00BE0C37" w:rsidRDefault="00BE0C37" w:rsidP="00BE0C37">
      <w:pPr>
        <w:pStyle w:val="box466581"/>
        <w:shd w:val="clear" w:color="auto" w:fill="FFFFFF"/>
        <w:spacing w:before="0" w:beforeAutospacing="0" w:after="0" w:afterAutospacing="0"/>
        <w:ind w:left="2712"/>
        <w:jc w:val="center"/>
        <w:textAlignment w:val="baseline"/>
        <w:rPr>
          <w:rStyle w:val="bold"/>
          <w:color w:val="231F20"/>
          <w:bdr w:val="none" w:sz="0" w:space="0" w:color="auto" w:frame="1"/>
        </w:rPr>
      </w:pPr>
    </w:p>
    <w:p w14:paraId="22326887" w14:textId="54D38422" w:rsidR="00B7080D" w:rsidRDefault="00B7080D" w:rsidP="00BE0C37">
      <w:pPr>
        <w:pStyle w:val="box466581"/>
        <w:shd w:val="clear" w:color="auto" w:fill="FFFFFF"/>
        <w:spacing w:before="0" w:beforeAutospacing="0" w:after="0" w:afterAutospacing="0"/>
        <w:ind w:left="2712"/>
        <w:jc w:val="center"/>
        <w:textAlignment w:val="baseline"/>
        <w:rPr>
          <w:rStyle w:val="bold"/>
          <w:color w:val="231F20"/>
          <w:bdr w:val="none" w:sz="0" w:space="0" w:color="auto" w:frame="1"/>
        </w:rPr>
      </w:pPr>
    </w:p>
    <w:p w14:paraId="5180EE0D" w14:textId="4CBDECF2" w:rsidR="00B7080D" w:rsidRDefault="00B7080D" w:rsidP="00BE0C37">
      <w:pPr>
        <w:pStyle w:val="box466581"/>
        <w:shd w:val="clear" w:color="auto" w:fill="FFFFFF"/>
        <w:spacing w:before="0" w:beforeAutospacing="0" w:after="0" w:afterAutospacing="0"/>
        <w:ind w:left="2712"/>
        <w:jc w:val="center"/>
        <w:textAlignment w:val="baseline"/>
        <w:rPr>
          <w:rStyle w:val="bold"/>
          <w:color w:val="231F20"/>
          <w:bdr w:val="none" w:sz="0" w:space="0" w:color="auto" w:frame="1"/>
        </w:rPr>
      </w:pPr>
    </w:p>
    <w:p w14:paraId="2D37F0FB" w14:textId="6BFD4DAD" w:rsidR="00B7080D" w:rsidRDefault="00B7080D" w:rsidP="00BE0C37">
      <w:pPr>
        <w:pStyle w:val="box466581"/>
        <w:shd w:val="clear" w:color="auto" w:fill="FFFFFF"/>
        <w:spacing w:before="0" w:beforeAutospacing="0" w:after="0" w:afterAutospacing="0"/>
        <w:ind w:left="2712"/>
        <w:jc w:val="center"/>
        <w:textAlignment w:val="baseline"/>
        <w:rPr>
          <w:rStyle w:val="bold"/>
          <w:color w:val="231F20"/>
          <w:bdr w:val="none" w:sz="0" w:space="0" w:color="auto" w:frame="1"/>
        </w:rPr>
      </w:pPr>
    </w:p>
    <w:p w14:paraId="6F99CBF9" w14:textId="77777777" w:rsidR="00B7080D" w:rsidRDefault="00B7080D" w:rsidP="00BE0C37">
      <w:pPr>
        <w:pStyle w:val="box466581"/>
        <w:shd w:val="clear" w:color="auto" w:fill="FFFFFF"/>
        <w:spacing w:before="0" w:beforeAutospacing="0" w:after="0" w:afterAutospacing="0"/>
        <w:ind w:left="2712"/>
        <w:jc w:val="center"/>
        <w:textAlignment w:val="baseline"/>
        <w:rPr>
          <w:rStyle w:val="bold"/>
          <w:color w:val="231F20"/>
          <w:bdr w:val="none" w:sz="0" w:space="0" w:color="auto" w:frame="1"/>
        </w:rPr>
      </w:pPr>
      <w:bookmarkStart w:id="4" w:name="_GoBack"/>
      <w:bookmarkEnd w:id="4"/>
    </w:p>
    <w:p w14:paraId="16ED8B21" w14:textId="77777777" w:rsidR="00BE0C37" w:rsidRDefault="00BE0C37" w:rsidP="00BE0C37">
      <w:pPr>
        <w:pStyle w:val="box466581"/>
        <w:shd w:val="clear" w:color="auto" w:fill="FFFFFF"/>
        <w:spacing w:before="0" w:beforeAutospacing="0" w:after="0" w:afterAutospacing="0"/>
        <w:textAlignment w:val="baseline"/>
        <w:rPr>
          <w:rStyle w:val="bold"/>
          <w:color w:val="231F20"/>
          <w:bdr w:val="none" w:sz="0" w:space="0" w:color="auto" w:frame="1"/>
        </w:rPr>
      </w:pPr>
    </w:p>
    <w:p w14:paraId="31FF3FE4" w14:textId="77777777" w:rsidR="00BE0C37" w:rsidRDefault="00BE0C37" w:rsidP="00BE0C37">
      <w:pPr>
        <w:pStyle w:val="box466581"/>
        <w:shd w:val="clear" w:color="auto" w:fill="FFFFFF"/>
        <w:spacing w:before="0" w:beforeAutospacing="0" w:after="0" w:afterAutospacing="0"/>
        <w:jc w:val="center"/>
        <w:textAlignment w:val="baseline"/>
        <w:rPr>
          <w:rStyle w:val="bold"/>
          <w:color w:val="231F20"/>
          <w:bdr w:val="none" w:sz="0" w:space="0" w:color="auto" w:frame="1"/>
        </w:rPr>
      </w:pPr>
      <w:r>
        <w:rPr>
          <w:rStyle w:val="bold"/>
          <w:color w:val="231F20"/>
          <w:bdr w:val="none" w:sz="0" w:space="0" w:color="auto" w:frame="1"/>
        </w:rPr>
        <w:t>OBRAZLOŽENJE</w:t>
      </w:r>
    </w:p>
    <w:p w14:paraId="2842CB92" w14:textId="77777777" w:rsidR="00BE0C37" w:rsidRDefault="00BE0C37" w:rsidP="00BE0C37">
      <w:pPr>
        <w:pStyle w:val="box466581"/>
        <w:shd w:val="clear" w:color="auto" w:fill="FFFFFF"/>
        <w:spacing w:before="0" w:beforeAutospacing="0" w:after="0" w:afterAutospacing="0"/>
        <w:textAlignment w:val="baseline"/>
        <w:rPr>
          <w:rStyle w:val="bold"/>
          <w:color w:val="231F20"/>
          <w:bdr w:val="none" w:sz="0" w:space="0" w:color="auto" w:frame="1"/>
        </w:rPr>
      </w:pPr>
    </w:p>
    <w:p w14:paraId="25886D4B" w14:textId="77777777" w:rsidR="00BE0C37" w:rsidRDefault="00BE0C37" w:rsidP="00BE0C37">
      <w:pPr>
        <w:spacing w:line="240" w:lineRule="auto"/>
        <w:ind w:firstLine="708"/>
        <w:jc w:val="both"/>
        <w:rPr>
          <w:szCs w:val="24"/>
        </w:rPr>
      </w:pPr>
      <w:r>
        <w:rPr>
          <w:szCs w:val="24"/>
        </w:rPr>
        <w:t>Kao posljedica</w:t>
      </w:r>
      <w:r w:rsidRPr="00B5229F">
        <w:rPr>
          <w:szCs w:val="24"/>
        </w:rPr>
        <w:t xml:space="preserve"> razornih potresa koji su 22. ožujka 2020. pogodili područje Grada Zagreba, Zagrebačke županije i Krapinsko-zagorske županije, a  28. i 29. prosinca 2020. godine područje Sisačko-moslavačke i Karlovačke županije velik broj stambenih objekata na području svih </w:t>
      </w:r>
      <w:r>
        <w:rPr>
          <w:szCs w:val="24"/>
        </w:rPr>
        <w:t xml:space="preserve">navedenih </w:t>
      </w:r>
      <w:r w:rsidRPr="00B5229F">
        <w:rPr>
          <w:szCs w:val="24"/>
        </w:rPr>
        <w:t>županija, je potpuno uništen ili znatno oštećen u toj mjeri da više nisu sigurni za stanovanje</w:t>
      </w:r>
      <w:r>
        <w:rPr>
          <w:szCs w:val="24"/>
        </w:rPr>
        <w:t xml:space="preserve">. </w:t>
      </w:r>
    </w:p>
    <w:p w14:paraId="7DD59422" w14:textId="77777777" w:rsidR="00BE0C37" w:rsidRDefault="00BE0C37" w:rsidP="00BE0C37">
      <w:pPr>
        <w:spacing w:line="240" w:lineRule="auto"/>
        <w:ind w:firstLine="708"/>
        <w:jc w:val="both"/>
        <w:rPr>
          <w:szCs w:val="24"/>
        </w:rPr>
      </w:pPr>
    </w:p>
    <w:p w14:paraId="05A0DDE8" w14:textId="77777777" w:rsidR="00BE0C37" w:rsidRDefault="00BE0C37" w:rsidP="00BE0C37">
      <w:pPr>
        <w:spacing w:line="240" w:lineRule="auto"/>
        <w:ind w:firstLine="708"/>
        <w:jc w:val="both"/>
        <w:rPr>
          <w:color w:val="231F20"/>
          <w:szCs w:val="24"/>
        </w:rPr>
      </w:pPr>
      <w:r>
        <w:rPr>
          <w:szCs w:val="24"/>
        </w:rPr>
        <w:t xml:space="preserve">Značajan dio objekata koji su u potresima zadobili takva oštećenja odnosi se na višestambene zgrade koje imaju zajedničku pričuvu, a koja predstavlja mjesečnu financijsku obvezu za suvlasnike. Uzimajući u obzir da zbog oštećenja zadobivenih u potresu te zgrade, a samim tim ni posebni suvlasnički dijelovi u njima </w:t>
      </w:r>
      <w:r w:rsidRPr="0056536F">
        <w:rPr>
          <w:szCs w:val="24"/>
        </w:rPr>
        <w:t xml:space="preserve">nisu podobne za stanovanje i </w:t>
      </w:r>
      <w:r w:rsidRPr="0056536F">
        <w:rPr>
          <w:color w:val="231F20"/>
          <w:szCs w:val="24"/>
        </w:rPr>
        <w:t xml:space="preserve"> samostalno izvršavanje suvlasnikovih ovlasti</w:t>
      </w:r>
      <w:r>
        <w:rPr>
          <w:color w:val="231F20"/>
          <w:szCs w:val="24"/>
        </w:rPr>
        <w:t>, ovom Odlukom se oslobađaju obveze plaćanja zajedničke pričuve do obnove njihovih zgrada.</w:t>
      </w:r>
    </w:p>
    <w:p w14:paraId="076DC302" w14:textId="77777777" w:rsidR="00BE0C37" w:rsidRDefault="00BE0C37" w:rsidP="00BE0C37">
      <w:pPr>
        <w:spacing w:line="240" w:lineRule="auto"/>
        <w:ind w:firstLine="708"/>
        <w:jc w:val="both"/>
        <w:rPr>
          <w:color w:val="231F20"/>
          <w:szCs w:val="24"/>
        </w:rPr>
      </w:pPr>
    </w:p>
    <w:p w14:paraId="18DEE045" w14:textId="77777777" w:rsidR="00BE0C37" w:rsidRPr="0056536F" w:rsidRDefault="00BE0C37" w:rsidP="00BE0C37">
      <w:pPr>
        <w:spacing w:line="240" w:lineRule="auto"/>
        <w:ind w:firstLine="708"/>
        <w:jc w:val="both"/>
        <w:rPr>
          <w:szCs w:val="24"/>
        </w:rPr>
      </w:pPr>
      <w:r>
        <w:rPr>
          <w:color w:val="231F20"/>
          <w:szCs w:val="24"/>
        </w:rPr>
        <w:t xml:space="preserve">Ova odluka  ne odnosi se na one suvlasnike koji sami odluče da žele i nadalje plaćati pričuvu, te  tako akumulirati sredstva na računu zajedničke pričuve, te na suvlasnike onih zgrada koje su na teret pričuve ugovorile kreditne obveze. </w:t>
      </w:r>
    </w:p>
    <w:p w14:paraId="394E87EA" w14:textId="77777777" w:rsidR="00BE0C37" w:rsidRPr="00F1253D" w:rsidRDefault="00BE0C37" w:rsidP="00BE0C37">
      <w:pPr>
        <w:pStyle w:val="box466581"/>
        <w:shd w:val="clear" w:color="auto" w:fill="FFFFFF"/>
        <w:spacing w:before="0" w:beforeAutospacing="0" w:after="0" w:afterAutospacing="0"/>
        <w:textAlignment w:val="baseline"/>
        <w:rPr>
          <w:color w:val="231F20"/>
        </w:rPr>
      </w:pPr>
    </w:p>
    <w:p w14:paraId="2A2D7B11" w14:textId="11C1A003" w:rsidR="00F46249" w:rsidRPr="00F46249" w:rsidRDefault="00F46249" w:rsidP="00BE0C37">
      <w:pPr>
        <w:spacing w:line="240" w:lineRule="auto"/>
        <w:ind w:left="7200" w:firstLine="720"/>
        <w:jc w:val="both"/>
        <w:rPr>
          <w:rFonts w:eastAsia="Calibri"/>
          <w:szCs w:val="24"/>
          <w:lang w:eastAsia="en-US"/>
        </w:rPr>
      </w:pPr>
    </w:p>
    <w:sectPr w:rsidR="00F46249" w:rsidRPr="00F462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1D39" w14:textId="77777777" w:rsidR="005E291C" w:rsidRDefault="005E291C">
      <w:pPr>
        <w:spacing w:line="240" w:lineRule="auto"/>
      </w:pPr>
      <w:r>
        <w:separator/>
      </w:r>
    </w:p>
  </w:endnote>
  <w:endnote w:type="continuationSeparator" w:id="0">
    <w:p w14:paraId="3BED8B77" w14:textId="77777777" w:rsidR="005E291C" w:rsidRDefault="005E2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yponineSans Reg">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9D07" w14:textId="77777777" w:rsidR="002B0C5C" w:rsidRPr="002B0C5C" w:rsidRDefault="002B0C5C" w:rsidP="002B0C5C">
    <w:pPr>
      <w:pBdr>
        <w:top w:val="single" w:sz="4" w:space="0" w:color="404040"/>
      </w:pBdr>
      <w:tabs>
        <w:tab w:val="center" w:pos="4536"/>
        <w:tab w:val="right" w:pos="9072"/>
      </w:tabs>
      <w:spacing w:line="240" w:lineRule="auto"/>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2DC4EF15" w14:textId="77777777" w:rsidR="002B0C5C" w:rsidRDefault="002B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2092F" w14:textId="77777777" w:rsidR="005E291C" w:rsidRDefault="005E291C">
      <w:pPr>
        <w:spacing w:line="240" w:lineRule="auto"/>
      </w:pPr>
      <w:r>
        <w:separator/>
      </w:r>
    </w:p>
  </w:footnote>
  <w:footnote w:type="continuationSeparator" w:id="0">
    <w:p w14:paraId="2CF90908" w14:textId="77777777" w:rsidR="005E291C" w:rsidRDefault="005E2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FA21" w14:textId="77777777" w:rsidR="002B0C5C" w:rsidRDefault="002B0C5C">
    <w:pPr>
      <w:pStyle w:val="Header"/>
      <w:jc w:val="center"/>
    </w:pPr>
  </w:p>
  <w:p w14:paraId="327279B7" w14:textId="77777777" w:rsidR="002B0C5C" w:rsidRDefault="002B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3341" w14:textId="2A575073" w:rsidR="002B0C5C" w:rsidRDefault="002B0C5C">
    <w:pPr>
      <w:pStyle w:val="Header"/>
      <w:jc w:val="center"/>
    </w:pPr>
    <w:r>
      <w:fldChar w:fldCharType="begin"/>
    </w:r>
    <w:r>
      <w:instrText>PAGE   \* MERGEFORMAT</w:instrText>
    </w:r>
    <w:r>
      <w:fldChar w:fldCharType="separate"/>
    </w:r>
    <w:r w:rsidR="00BE0C37">
      <w:rPr>
        <w:noProof/>
      </w:rPr>
      <w:t>2</w:t>
    </w:r>
    <w:r>
      <w:fldChar w:fldCharType="end"/>
    </w:r>
  </w:p>
  <w:p w14:paraId="6E9F37C7" w14:textId="77777777" w:rsidR="002B0C5C" w:rsidRDefault="002B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 w15:restartNumberingAfterBreak="0">
    <w:nsid w:val="1CE943CF"/>
    <w:multiLevelType w:val="hybridMultilevel"/>
    <w:tmpl w:val="F826547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EF079D"/>
    <w:multiLevelType w:val="hybridMultilevel"/>
    <w:tmpl w:val="FFF4BE1C"/>
    <w:lvl w:ilvl="0" w:tplc="656EB4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8C739D"/>
    <w:multiLevelType w:val="hybridMultilevel"/>
    <w:tmpl w:val="3AC88FAA"/>
    <w:lvl w:ilvl="0" w:tplc="656EB4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6" w15:restartNumberingAfterBreak="0">
    <w:nsid w:val="3DB63244"/>
    <w:multiLevelType w:val="hybridMultilevel"/>
    <w:tmpl w:val="365EFABC"/>
    <w:lvl w:ilvl="0" w:tplc="CD269FE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8" w15:restartNumberingAfterBreak="0">
    <w:nsid w:val="5E5C336F"/>
    <w:multiLevelType w:val="hybridMultilevel"/>
    <w:tmpl w:val="3AB4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0" w15:restartNumberingAfterBreak="0">
    <w:nsid w:val="7A62416E"/>
    <w:multiLevelType w:val="hybridMultilevel"/>
    <w:tmpl w:val="07F454F2"/>
    <w:lvl w:ilvl="0" w:tplc="3F785D1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4"/>
  </w:num>
  <w:num w:numId="6">
    <w:abstractNumId w:val="8"/>
  </w:num>
  <w:num w:numId="7">
    <w:abstractNumId w:val="1"/>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C2"/>
    <w:rsid w:val="000009EE"/>
    <w:rsid w:val="00022BA0"/>
    <w:rsid w:val="0002514E"/>
    <w:rsid w:val="00034C65"/>
    <w:rsid w:val="00062645"/>
    <w:rsid w:val="000629D3"/>
    <w:rsid w:val="00072BB9"/>
    <w:rsid w:val="00076830"/>
    <w:rsid w:val="00077C24"/>
    <w:rsid w:val="00090665"/>
    <w:rsid w:val="0009320F"/>
    <w:rsid w:val="00094493"/>
    <w:rsid w:val="000A2CFF"/>
    <w:rsid w:val="000B49BA"/>
    <w:rsid w:val="000D7511"/>
    <w:rsid w:val="000E5196"/>
    <w:rsid w:val="000E6949"/>
    <w:rsid w:val="000E6C2E"/>
    <w:rsid w:val="000F5CD9"/>
    <w:rsid w:val="0010216B"/>
    <w:rsid w:val="001036BD"/>
    <w:rsid w:val="00110596"/>
    <w:rsid w:val="001138B0"/>
    <w:rsid w:val="00114785"/>
    <w:rsid w:val="00115484"/>
    <w:rsid w:val="00117BB0"/>
    <w:rsid w:val="00140087"/>
    <w:rsid w:val="00153103"/>
    <w:rsid w:val="00163CF7"/>
    <w:rsid w:val="001832BE"/>
    <w:rsid w:val="001C0016"/>
    <w:rsid w:val="001C443E"/>
    <w:rsid w:val="002328F5"/>
    <w:rsid w:val="00236C1A"/>
    <w:rsid w:val="00243052"/>
    <w:rsid w:val="00255315"/>
    <w:rsid w:val="0026687A"/>
    <w:rsid w:val="0026715C"/>
    <w:rsid w:val="00273AAF"/>
    <w:rsid w:val="002A0981"/>
    <w:rsid w:val="002B0C5C"/>
    <w:rsid w:val="002B44AD"/>
    <w:rsid w:val="002B7DEF"/>
    <w:rsid w:val="002C1B61"/>
    <w:rsid w:val="002C36C5"/>
    <w:rsid w:val="002C6C63"/>
    <w:rsid w:val="002D295F"/>
    <w:rsid w:val="002F3B04"/>
    <w:rsid w:val="0030088D"/>
    <w:rsid w:val="00302F82"/>
    <w:rsid w:val="00307FBE"/>
    <w:rsid w:val="003252FD"/>
    <w:rsid w:val="00334D80"/>
    <w:rsid w:val="00344A7F"/>
    <w:rsid w:val="00345B50"/>
    <w:rsid w:val="00371246"/>
    <w:rsid w:val="003848E3"/>
    <w:rsid w:val="00385167"/>
    <w:rsid w:val="003966F0"/>
    <w:rsid w:val="003A3703"/>
    <w:rsid w:val="003B0EBE"/>
    <w:rsid w:val="003C5876"/>
    <w:rsid w:val="003D079C"/>
    <w:rsid w:val="003D09E8"/>
    <w:rsid w:val="003D39A9"/>
    <w:rsid w:val="003F5CC3"/>
    <w:rsid w:val="003F7E51"/>
    <w:rsid w:val="0040321D"/>
    <w:rsid w:val="004136EC"/>
    <w:rsid w:val="00416F76"/>
    <w:rsid w:val="0042334B"/>
    <w:rsid w:val="00431A81"/>
    <w:rsid w:val="00434446"/>
    <w:rsid w:val="00436244"/>
    <w:rsid w:val="00436B67"/>
    <w:rsid w:val="004370C5"/>
    <w:rsid w:val="004807AA"/>
    <w:rsid w:val="00482539"/>
    <w:rsid w:val="004825A9"/>
    <w:rsid w:val="00492E45"/>
    <w:rsid w:val="004944A0"/>
    <w:rsid w:val="00496FDD"/>
    <w:rsid w:val="004B4DC4"/>
    <w:rsid w:val="004D0B1B"/>
    <w:rsid w:val="004E1676"/>
    <w:rsid w:val="004F1F3E"/>
    <w:rsid w:val="004F2CCC"/>
    <w:rsid w:val="004F5FAF"/>
    <w:rsid w:val="00531A21"/>
    <w:rsid w:val="00535282"/>
    <w:rsid w:val="005550A8"/>
    <w:rsid w:val="005567FA"/>
    <w:rsid w:val="00586BEF"/>
    <w:rsid w:val="0058799C"/>
    <w:rsid w:val="00587D1D"/>
    <w:rsid w:val="00595425"/>
    <w:rsid w:val="0059695E"/>
    <w:rsid w:val="005A13BF"/>
    <w:rsid w:val="005A3452"/>
    <w:rsid w:val="005A6E83"/>
    <w:rsid w:val="005B13B9"/>
    <w:rsid w:val="005D2FE1"/>
    <w:rsid w:val="005D312A"/>
    <w:rsid w:val="005E291C"/>
    <w:rsid w:val="005F58B2"/>
    <w:rsid w:val="00600072"/>
    <w:rsid w:val="00600437"/>
    <w:rsid w:val="00600749"/>
    <w:rsid w:val="00600BEA"/>
    <w:rsid w:val="0061075A"/>
    <w:rsid w:val="00611854"/>
    <w:rsid w:val="00613754"/>
    <w:rsid w:val="00632D00"/>
    <w:rsid w:val="0064092D"/>
    <w:rsid w:val="00640AA7"/>
    <w:rsid w:val="00642811"/>
    <w:rsid w:val="0064528E"/>
    <w:rsid w:val="006715EB"/>
    <w:rsid w:val="00672DCC"/>
    <w:rsid w:val="0069478F"/>
    <w:rsid w:val="006A3FE4"/>
    <w:rsid w:val="006A6FE4"/>
    <w:rsid w:val="006B215A"/>
    <w:rsid w:val="006D6FEA"/>
    <w:rsid w:val="006E51E5"/>
    <w:rsid w:val="006E623A"/>
    <w:rsid w:val="006F1793"/>
    <w:rsid w:val="006F2A8D"/>
    <w:rsid w:val="006F7854"/>
    <w:rsid w:val="0070638D"/>
    <w:rsid w:val="00722E49"/>
    <w:rsid w:val="00726B02"/>
    <w:rsid w:val="00726BC2"/>
    <w:rsid w:val="00730CF6"/>
    <w:rsid w:val="00732F73"/>
    <w:rsid w:val="0074147A"/>
    <w:rsid w:val="007631D7"/>
    <w:rsid w:val="0077287C"/>
    <w:rsid w:val="007810C9"/>
    <w:rsid w:val="00787E54"/>
    <w:rsid w:val="0079330B"/>
    <w:rsid w:val="0079332F"/>
    <w:rsid w:val="007D116D"/>
    <w:rsid w:val="007D127C"/>
    <w:rsid w:val="0080046A"/>
    <w:rsid w:val="0080046E"/>
    <w:rsid w:val="008011B4"/>
    <w:rsid w:val="0080602C"/>
    <w:rsid w:val="00806779"/>
    <w:rsid w:val="008131BE"/>
    <w:rsid w:val="00813E58"/>
    <w:rsid w:val="008176EE"/>
    <w:rsid w:val="008378B4"/>
    <w:rsid w:val="00841878"/>
    <w:rsid w:val="00851319"/>
    <w:rsid w:val="00862237"/>
    <w:rsid w:val="00862774"/>
    <w:rsid w:val="00874DAE"/>
    <w:rsid w:val="00882786"/>
    <w:rsid w:val="00883621"/>
    <w:rsid w:val="00891E40"/>
    <w:rsid w:val="00893D90"/>
    <w:rsid w:val="008A3599"/>
    <w:rsid w:val="008D6D33"/>
    <w:rsid w:val="008F2223"/>
    <w:rsid w:val="00905417"/>
    <w:rsid w:val="0091089A"/>
    <w:rsid w:val="00920B82"/>
    <w:rsid w:val="009313F9"/>
    <w:rsid w:val="009318CE"/>
    <w:rsid w:val="009325A7"/>
    <w:rsid w:val="00950455"/>
    <w:rsid w:val="009708CD"/>
    <w:rsid w:val="0098577D"/>
    <w:rsid w:val="00991AFA"/>
    <w:rsid w:val="00994287"/>
    <w:rsid w:val="009963DE"/>
    <w:rsid w:val="009B21C9"/>
    <w:rsid w:val="009B539C"/>
    <w:rsid w:val="009D6183"/>
    <w:rsid w:val="009E25F3"/>
    <w:rsid w:val="009F0757"/>
    <w:rsid w:val="00A41EC3"/>
    <w:rsid w:val="00A441C9"/>
    <w:rsid w:val="00A4497F"/>
    <w:rsid w:val="00A6467A"/>
    <w:rsid w:val="00A77347"/>
    <w:rsid w:val="00A80260"/>
    <w:rsid w:val="00A81FCC"/>
    <w:rsid w:val="00A9377D"/>
    <w:rsid w:val="00AB47C1"/>
    <w:rsid w:val="00AC5370"/>
    <w:rsid w:val="00AC6A06"/>
    <w:rsid w:val="00AE7ACA"/>
    <w:rsid w:val="00AF1E79"/>
    <w:rsid w:val="00B14CD6"/>
    <w:rsid w:val="00B176B9"/>
    <w:rsid w:val="00B4624A"/>
    <w:rsid w:val="00B62577"/>
    <w:rsid w:val="00B7080D"/>
    <w:rsid w:val="00B90CA0"/>
    <w:rsid w:val="00B96F58"/>
    <w:rsid w:val="00BB4413"/>
    <w:rsid w:val="00BB72E8"/>
    <w:rsid w:val="00BC001D"/>
    <w:rsid w:val="00BC62A4"/>
    <w:rsid w:val="00BD25B2"/>
    <w:rsid w:val="00BE0C37"/>
    <w:rsid w:val="00BE3D18"/>
    <w:rsid w:val="00BE618E"/>
    <w:rsid w:val="00C02017"/>
    <w:rsid w:val="00C11622"/>
    <w:rsid w:val="00C125FE"/>
    <w:rsid w:val="00C2711B"/>
    <w:rsid w:val="00C318CD"/>
    <w:rsid w:val="00C340CC"/>
    <w:rsid w:val="00C36910"/>
    <w:rsid w:val="00C515E0"/>
    <w:rsid w:val="00C51FFF"/>
    <w:rsid w:val="00C52FFF"/>
    <w:rsid w:val="00C61626"/>
    <w:rsid w:val="00C634B9"/>
    <w:rsid w:val="00C64F36"/>
    <w:rsid w:val="00C725C8"/>
    <w:rsid w:val="00C90FE3"/>
    <w:rsid w:val="00CB7522"/>
    <w:rsid w:val="00CC2759"/>
    <w:rsid w:val="00CD52C9"/>
    <w:rsid w:val="00CD5A0D"/>
    <w:rsid w:val="00CE755E"/>
    <w:rsid w:val="00D01249"/>
    <w:rsid w:val="00D154C4"/>
    <w:rsid w:val="00D175B3"/>
    <w:rsid w:val="00D246F8"/>
    <w:rsid w:val="00D262F6"/>
    <w:rsid w:val="00D412DC"/>
    <w:rsid w:val="00D425F5"/>
    <w:rsid w:val="00D52197"/>
    <w:rsid w:val="00D52FB6"/>
    <w:rsid w:val="00D6603F"/>
    <w:rsid w:val="00D84021"/>
    <w:rsid w:val="00D858FB"/>
    <w:rsid w:val="00D871C1"/>
    <w:rsid w:val="00D913FD"/>
    <w:rsid w:val="00D93EF3"/>
    <w:rsid w:val="00DA7559"/>
    <w:rsid w:val="00DD4631"/>
    <w:rsid w:val="00DE08C0"/>
    <w:rsid w:val="00DE472F"/>
    <w:rsid w:val="00DE63B5"/>
    <w:rsid w:val="00E05CD1"/>
    <w:rsid w:val="00E07B48"/>
    <w:rsid w:val="00E31259"/>
    <w:rsid w:val="00E322DA"/>
    <w:rsid w:val="00E35A0A"/>
    <w:rsid w:val="00E450AF"/>
    <w:rsid w:val="00E55776"/>
    <w:rsid w:val="00E60698"/>
    <w:rsid w:val="00E647CA"/>
    <w:rsid w:val="00E719D4"/>
    <w:rsid w:val="00E82C0A"/>
    <w:rsid w:val="00E87FEC"/>
    <w:rsid w:val="00E922F5"/>
    <w:rsid w:val="00EC6631"/>
    <w:rsid w:val="00ED79E0"/>
    <w:rsid w:val="00EE63DB"/>
    <w:rsid w:val="00F322D1"/>
    <w:rsid w:val="00F32DC7"/>
    <w:rsid w:val="00F36B62"/>
    <w:rsid w:val="00F45103"/>
    <w:rsid w:val="00F46249"/>
    <w:rsid w:val="00F6475E"/>
    <w:rsid w:val="00F86466"/>
    <w:rsid w:val="00F92055"/>
    <w:rsid w:val="00FA572E"/>
    <w:rsid w:val="00FA5A83"/>
    <w:rsid w:val="00FC0BA6"/>
    <w:rsid w:val="00FC7362"/>
    <w:rsid w:val="00FD4D63"/>
    <w:rsid w:val="00FE0175"/>
    <w:rsid w:val="00FE7210"/>
    <w:rsid w:val="00FF0539"/>
    <w:rsid w:val="00FF45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773B9"/>
  <w15:docId w15:val="{9884586D-DDD4-4862-8B1B-1FF88A79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2B0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5C"/>
    <w:rPr>
      <w:rFonts w:ascii="Tahoma" w:hAnsi="Tahoma" w:cs="Tahoma"/>
      <w:sz w:val="16"/>
      <w:szCs w:val="16"/>
    </w:rPr>
  </w:style>
  <w:style w:type="paragraph" w:styleId="ListParagraph">
    <w:name w:val="List Paragraph"/>
    <w:basedOn w:val="Normal"/>
    <w:uiPriority w:val="34"/>
    <w:qFormat/>
    <w:rsid w:val="00F6475E"/>
    <w:pPr>
      <w:spacing w:after="160" w:line="259" w:lineRule="auto"/>
      <w:ind w:left="720"/>
      <w:contextualSpacing/>
    </w:pPr>
    <w:rPr>
      <w:rFonts w:asciiTheme="minorHAnsi" w:eastAsiaTheme="minorHAnsi" w:hAnsiTheme="minorHAnsi" w:cstheme="minorBidi"/>
      <w:sz w:val="22"/>
      <w:lang w:eastAsia="en-US"/>
    </w:rPr>
  </w:style>
  <w:style w:type="character" w:customStyle="1" w:styleId="bold">
    <w:name w:val="bold"/>
    <w:basedOn w:val="DefaultParagraphFont"/>
    <w:rsid w:val="00BE0C37"/>
  </w:style>
  <w:style w:type="paragraph" w:customStyle="1" w:styleId="box466581">
    <w:name w:val="box_466581"/>
    <w:basedOn w:val="Normal"/>
    <w:rsid w:val="00BE0C37"/>
    <w:pPr>
      <w:spacing w:before="100" w:beforeAutospacing="1" w:after="100" w:afterAutospacing="1" w:line="240" w:lineRule="auto"/>
    </w:pPr>
    <w:rPr>
      <w:szCs w:val="24"/>
    </w:rPr>
  </w:style>
  <w:style w:type="character" w:styleId="Emphasis">
    <w:name w:val="Emphasis"/>
    <w:basedOn w:val="DefaultParagraphFont"/>
    <w:uiPriority w:val="20"/>
    <w:qFormat/>
    <w:rsid w:val="00BE0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AZJMDCZ6QSYZ-1849078857-25121</_dlc_DocId>
    <_dlc_DocIdUrl xmlns="a494813a-d0d8-4dad-94cb-0d196f36ba15">
      <Url>https://ekoordinacije.vlada.hr/koordinacija-gospodarstvo/_layouts/15/DocIdRedir.aspx?ID=AZJMDCZ6QSYZ-1849078857-25121</Url>
      <Description>AZJMDCZ6QSYZ-1849078857-25121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DAF5-7277-47E5-895E-42439315C575}">
  <ds:schemaRefs>
    <ds:schemaRef ds:uri="http://schemas.microsoft.com/sharepoint/events"/>
  </ds:schemaRefs>
</ds:datastoreItem>
</file>

<file path=customXml/itemProps2.xml><?xml version="1.0" encoding="utf-8"?>
<ds:datastoreItem xmlns:ds="http://schemas.openxmlformats.org/officeDocument/2006/customXml" ds:itemID="{E3D7A14B-C15B-4A51-A16B-2E0F6D7CD313}">
  <ds:schemaRefs>
    <ds:schemaRef ds:uri="http://schemas.microsoft.com/sharepoint/v3/contenttype/forms"/>
  </ds:schemaRefs>
</ds:datastoreItem>
</file>

<file path=customXml/itemProps3.xml><?xml version="1.0" encoding="utf-8"?>
<ds:datastoreItem xmlns:ds="http://schemas.openxmlformats.org/officeDocument/2006/customXml" ds:itemID="{1B5DAC11-01BB-4AD3-A025-78281FD279A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23399D0-73F1-455C-B6FE-90DF07BC9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E5821-CB2C-4C51-8378-352F6070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553</Words>
  <Characters>3155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Balabušić</dc:creator>
  <cp:lastModifiedBy>Ines Uglešić</cp:lastModifiedBy>
  <cp:revision>5</cp:revision>
  <cp:lastPrinted>2023-02-21T11:02:00Z</cp:lastPrinted>
  <dcterms:created xsi:type="dcterms:W3CDTF">2023-02-23T07:53:00Z</dcterms:created>
  <dcterms:modified xsi:type="dcterms:W3CDTF">2023-03-01T07:53:00Z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75c76d3b-c2de-48c5-9d5b-b054c2054a09</vt:lpwstr>
  </property>
</Properties>
</file>