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EFEFE" w14:textId="77777777" w:rsidR="00353BA1" w:rsidRPr="00FB3472" w:rsidRDefault="00353BA1" w:rsidP="00353BA1">
      <w:pPr>
        <w:spacing w:before="120" w:after="120"/>
        <w:rPr>
          <w:rFonts w:ascii="Times New Roman" w:hAnsi="Times New Roman" w:cs="Times New Roman"/>
        </w:rPr>
      </w:pPr>
      <w:bookmarkStart w:id="0" w:name="_Hlk155090668"/>
    </w:p>
    <w:p w14:paraId="335929AB" w14:textId="77777777" w:rsidR="00353BA1" w:rsidRDefault="00353BA1" w:rsidP="00353BA1">
      <w:pPr>
        <w:jc w:val="center"/>
      </w:pPr>
      <w:r>
        <w:rPr>
          <w:noProof/>
        </w:rPr>
        <w:drawing>
          <wp:inline distT="0" distB="0" distL="0" distR="0" wp14:anchorId="1E37B9F3" wp14:editId="5AE56EDA">
            <wp:extent cx="504825" cy="685800"/>
            <wp:effectExtent l="0" t="0" r="9525" b="0"/>
            <wp:docPr id="676688381" name="Slika 2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06553" w14:textId="77777777" w:rsidR="00353BA1" w:rsidRDefault="00353BA1" w:rsidP="00353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6A5C2A0B" w14:textId="77777777" w:rsidR="00353BA1" w:rsidRDefault="00353BA1" w:rsidP="00353B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C5E2CD" w14:textId="77777777" w:rsidR="00353BA1" w:rsidRDefault="00353BA1" w:rsidP="00353B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9AC782" w14:textId="77777777" w:rsidR="00353BA1" w:rsidRDefault="00353BA1" w:rsidP="00353B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4BBF1" w14:textId="77777777" w:rsidR="00353BA1" w:rsidRDefault="00353BA1" w:rsidP="00353B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ACDD0" w14:textId="77777777" w:rsidR="00353BA1" w:rsidRDefault="00353BA1" w:rsidP="00353B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6866A" w14:textId="77777777" w:rsidR="00353BA1" w:rsidRDefault="00353BA1" w:rsidP="00353BA1">
      <w:pPr>
        <w:rPr>
          <w:rFonts w:ascii="Times New Roman" w:hAnsi="Times New Roman" w:cs="Times New Roman"/>
          <w:sz w:val="28"/>
          <w:szCs w:val="28"/>
        </w:rPr>
      </w:pPr>
    </w:p>
    <w:p w14:paraId="44DF9967" w14:textId="77777777" w:rsidR="00353BA1" w:rsidRDefault="00353BA1" w:rsidP="00353BA1">
      <w:pPr>
        <w:jc w:val="right"/>
        <w:rPr>
          <w:rFonts w:ascii="Times New Roman" w:eastAsia="Calibri" w:hAnsi="Times New Roman" w:cs="Times New Roman"/>
        </w:rPr>
      </w:pPr>
    </w:p>
    <w:p w14:paraId="510CD8DD" w14:textId="53A88F37" w:rsidR="00353BA1" w:rsidRDefault="00353BA1" w:rsidP="00353BA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Zagreb</w:t>
      </w:r>
      <w:r w:rsidRPr="00246CF6">
        <w:rPr>
          <w:rFonts w:ascii="Times New Roman" w:eastAsia="Calibri" w:hAnsi="Times New Roman" w:cs="Times New Roman"/>
        </w:rPr>
        <w:t xml:space="preserve">, </w:t>
      </w:r>
      <w:r w:rsidR="00246CF6" w:rsidRPr="00246CF6">
        <w:rPr>
          <w:rFonts w:ascii="Times New Roman" w:eastAsia="Calibri" w:hAnsi="Times New Roman" w:cs="Times New Roman"/>
        </w:rPr>
        <w:t>22</w:t>
      </w:r>
      <w:r w:rsidRPr="00246CF6">
        <w:rPr>
          <w:rFonts w:ascii="Times New Roman" w:eastAsia="Calibri" w:hAnsi="Times New Roman" w:cs="Times New Roman"/>
        </w:rPr>
        <w:t xml:space="preserve">. </w:t>
      </w:r>
      <w:r w:rsidR="00246CF6" w:rsidRPr="00246CF6">
        <w:rPr>
          <w:rFonts w:ascii="Times New Roman" w:eastAsia="Calibri" w:hAnsi="Times New Roman" w:cs="Times New Roman"/>
        </w:rPr>
        <w:t xml:space="preserve">kolovoza </w:t>
      </w:r>
      <w:r w:rsidRPr="00246CF6">
        <w:rPr>
          <w:rFonts w:ascii="Times New Roman" w:eastAsia="Calibri" w:hAnsi="Times New Roman" w:cs="Times New Roman"/>
        </w:rPr>
        <w:t>2024.</w:t>
      </w:r>
    </w:p>
    <w:p w14:paraId="74E864F5" w14:textId="77777777" w:rsidR="00353BA1" w:rsidRDefault="00353BA1" w:rsidP="00353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760092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</w:p>
    <w:p w14:paraId="5400945D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</w:p>
    <w:p w14:paraId="35489DE2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</w:p>
    <w:p w14:paraId="3DDDC8BC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</w:p>
    <w:p w14:paraId="006AA1C7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</w:p>
    <w:p w14:paraId="15CCFBBA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</w:p>
    <w:p w14:paraId="73E1DD65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53BA1" w14:paraId="58366A69" w14:textId="77777777" w:rsidTr="00076A39">
        <w:tc>
          <w:tcPr>
            <w:tcW w:w="1951" w:type="dxa"/>
          </w:tcPr>
          <w:p w14:paraId="3AF75454" w14:textId="77777777" w:rsidR="00353BA1" w:rsidRDefault="00353BA1" w:rsidP="00076A39">
            <w:pPr>
              <w:rPr>
                <w:rFonts w:ascii="Times New Roman" w:hAnsi="Times New Roman" w:cs="Times New Roman"/>
                <w:b/>
                <w:smallCaps/>
              </w:rPr>
            </w:pPr>
          </w:p>
          <w:p w14:paraId="3D6AFAA6" w14:textId="77777777" w:rsidR="00353BA1" w:rsidRDefault="00353BA1" w:rsidP="00076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Predlagatelj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14:paraId="4C1E8DDE" w14:textId="77777777" w:rsidR="00353BA1" w:rsidRDefault="00353BA1" w:rsidP="00076A39">
            <w:pPr>
              <w:rPr>
                <w:rFonts w:ascii="Times New Roman" w:hAnsi="Times New Roman" w:cs="Times New Roman"/>
              </w:rPr>
            </w:pPr>
          </w:p>
          <w:p w14:paraId="4B355623" w14:textId="77777777" w:rsidR="00353BA1" w:rsidRDefault="00353BA1" w:rsidP="00076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Ministarstvo poljoprivrede, šumarstva i ribarstva</w:t>
            </w:r>
          </w:p>
        </w:tc>
      </w:tr>
    </w:tbl>
    <w:p w14:paraId="3A9D14FD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</w:p>
    <w:p w14:paraId="373AF565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BE4E21B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53BA1" w14:paraId="135519AE" w14:textId="77777777" w:rsidTr="00076A39">
        <w:tc>
          <w:tcPr>
            <w:tcW w:w="1951" w:type="dxa"/>
            <w:hideMark/>
          </w:tcPr>
          <w:p w14:paraId="46C30B69" w14:textId="77777777" w:rsidR="00353BA1" w:rsidRDefault="00353BA1" w:rsidP="00076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Predmet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399A0AC" w14:textId="048B13AA" w:rsidR="00353BA1" w:rsidRDefault="00353BA1" w:rsidP="00076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Prijedlog odluke o izmjeni i dopuni Odluke o izmjenama uvjeta kredita odobrenih od strane Ministarstva poljoprivrede</w:t>
            </w:r>
          </w:p>
          <w:p w14:paraId="77B5C50A" w14:textId="77777777" w:rsidR="00BB041D" w:rsidRDefault="00BB041D" w:rsidP="00076A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C6E43B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32E71DD" w14:textId="77777777" w:rsidR="00353BA1" w:rsidRDefault="00353BA1" w:rsidP="00353BA1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07D3219A" w14:textId="77777777" w:rsidR="00353BA1" w:rsidRDefault="00353BA1" w:rsidP="00353BA1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49BCBD27" w14:textId="77777777" w:rsidR="00353BA1" w:rsidRDefault="00353BA1" w:rsidP="00353BA1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68B16173" w14:textId="77777777" w:rsidR="00353BA1" w:rsidRDefault="00353BA1" w:rsidP="00353BA1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77F46246" w14:textId="77777777" w:rsidR="00353BA1" w:rsidRDefault="00353BA1" w:rsidP="00353BA1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756B0E0A" w14:textId="77777777" w:rsidR="00353BA1" w:rsidRDefault="00353BA1" w:rsidP="00353BA1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27068427" w14:textId="77777777" w:rsidR="00353BA1" w:rsidRDefault="00353BA1" w:rsidP="00353BA1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4008A303" w14:textId="77777777" w:rsidR="00353BA1" w:rsidRDefault="00353BA1" w:rsidP="00353BA1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26627193" w14:textId="77777777" w:rsidR="00353BA1" w:rsidRDefault="00353BA1" w:rsidP="00353BA1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29ABD2D2" w14:textId="77777777" w:rsidR="00353BA1" w:rsidRDefault="00353BA1" w:rsidP="00353BA1">
      <w:pPr>
        <w:rPr>
          <w:rFonts w:ascii="Times New Roman" w:hAnsi="Times New Roman" w:cs="Times New Roman"/>
        </w:rPr>
      </w:pPr>
    </w:p>
    <w:p w14:paraId="3FC38187" w14:textId="77777777" w:rsidR="00353BA1" w:rsidRDefault="00353BA1" w:rsidP="00353BA1">
      <w:pPr>
        <w:rPr>
          <w:rFonts w:ascii="Times New Roman" w:hAnsi="Times New Roman" w:cs="Times New Roman"/>
        </w:rPr>
      </w:pPr>
    </w:p>
    <w:p w14:paraId="4A4CFD92" w14:textId="77777777" w:rsidR="00353BA1" w:rsidRDefault="00353BA1" w:rsidP="00353BA1">
      <w:pPr>
        <w:rPr>
          <w:rFonts w:ascii="Times New Roman" w:hAnsi="Times New Roman" w:cs="Times New Roman"/>
        </w:rPr>
      </w:pPr>
    </w:p>
    <w:p w14:paraId="06A8A89A" w14:textId="77777777" w:rsidR="00353BA1" w:rsidRDefault="00353BA1" w:rsidP="00353BA1">
      <w:pPr>
        <w:rPr>
          <w:rFonts w:ascii="Times New Roman" w:hAnsi="Times New Roman" w:cs="Times New Roman"/>
        </w:rPr>
      </w:pPr>
    </w:p>
    <w:p w14:paraId="0F58D844" w14:textId="77777777" w:rsidR="00353BA1" w:rsidRDefault="00353BA1" w:rsidP="00353BA1">
      <w:pPr>
        <w:rPr>
          <w:rFonts w:ascii="Times New Roman" w:hAnsi="Times New Roman" w:cs="Times New Roman"/>
        </w:rPr>
      </w:pPr>
    </w:p>
    <w:p w14:paraId="5E6D64A5" w14:textId="4B5D2A35" w:rsidR="00353BA1" w:rsidRDefault="00246CF6" w:rsidP="00353BA1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pacing w:val="20"/>
          <w:sz w:val="22"/>
          <w:szCs w:val="22"/>
        </w:rPr>
      </w:pPr>
      <w:r>
        <w:rPr>
          <w:rFonts w:ascii="Times New Roman" w:hAnsi="Times New Roman" w:cs="Times New Roman"/>
          <w:spacing w:val="20"/>
          <w:sz w:val="22"/>
          <w:szCs w:val="22"/>
        </w:rPr>
        <w:t>Banski dvori | Trg Sv. Marka 2</w:t>
      </w:r>
      <w:r w:rsidR="00353BA1">
        <w:rPr>
          <w:rFonts w:ascii="Times New Roman" w:hAnsi="Times New Roman" w:cs="Times New Roman"/>
          <w:spacing w:val="20"/>
          <w:sz w:val="22"/>
          <w:szCs w:val="22"/>
        </w:rPr>
        <w:t xml:space="preserve"> | 10000 Zagreb | tel. 01 4569 222 | vlada.gov.hr</w:t>
      </w:r>
    </w:p>
    <w:p w14:paraId="25BAF3C5" w14:textId="77777777" w:rsidR="00353BA1" w:rsidRDefault="00353BA1" w:rsidP="00353BA1">
      <w:pPr>
        <w:ind w:left="7080"/>
        <w:jc w:val="center"/>
        <w:rPr>
          <w:rFonts w:ascii="Times New Roman" w:hAnsi="Times New Roman" w:cs="Times New Roman"/>
          <w:b/>
        </w:rPr>
      </w:pPr>
    </w:p>
    <w:p w14:paraId="1026A0A4" w14:textId="77777777" w:rsidR="00353BA1" w:rsidRDefault="00353BA1" w:rsidP="00353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ED5F6A" w14:textId="77777777" w:rsidR="00480C10" w:rsidRDefault="00480C10" w:rsidP="00353BA1">
      <w:pPr>
        <w:ind w:left="7080"/>
        <w:jc w:val="both"/>
        <w:rPr>
          <w:rFonts w:ascii="Times New Roman" w:hAnsi="Times New Roman" w:cs="Times New Roman"/>
          <w:b/>
        </w:rPr>
      </w:pPr>
    </w:p>
    <w:p w14:paraId="117222F4" w14:textId="77777777" w:rsidR="00480C10" w:rsidRDefault="00480C10" w:rsidP="00353BA1">
      <w:pPr>
        <w:ind w:left="7080"/>
        <w:jc w:val="both"/>
        <w:rPr>
          <w:rFonts w:ascii="Times New Roman" w:hAnsi="Times New Roman" w:cs="Times New Roman"/>
          <w:b/>
        </w:rPr>
      </w:pPr>
    </w:p>
    <w:p w14:paraId="62B39C04" w14:textId="77777777" w:rsidR="00353BA1" w:rsidRDefault="00353BA1" w:rsidP="00353BA1">
      <w:pPr>
        <w:ind w:left="7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PRIJEDLOG</w:t>
      </w:r>
    </w:p>
    <w:p w14:paraId="1F753A32" w14:textId="77777777" w:rsidR="00353BA1" w:rsidRDefault="00353BA1" w:rsidP="00353BA1">
      <w:pPr>
        <w:jc w:val="both"/>
        <w:rPr>
          <w:rFonts w:ascii="Times New Roman" w:hAnsi="Times New Roman" w:cs="Times New Roman"/>
        </w:rPr>
      </w:pPr>
    </w:p>
    <w:p w14:paraId="6F46437D" w14:textId="77777777" w:rsidR="00480C10" w:rsidRDefault="00480C10" w:rsidP="00353BA1">
      <w:pPr>
        <w:jc w:val="both"/>
        <w:rPr>
          <w:rFonts w:ascii="Times New Roman" w:hAnsi="Times New Roman" w:cs="Times New Roman"/>
        </w:rPr>
      </w:pPr>
    </w:p>
    <w:p w14:paraId="7597FC81" w14:textId="77777777" w:rsidR="00480C10" w:rsidRDefault="00480C10" w:rsidP="00353BA1">
      <w:pPr>
        <w:jc w:val="both"/>
        <w:rPr>
          <w:rFonts w:ascii="Times New Roman" w:hAnsi="Times New Roman" w:cs="Times New Roman"/>
        </w:rPr>
      </w:pPr>
    </w:p>
    <w:p w14:paraId="62BEE8DB" w14:textId="667E1CB3" w:rsidR="00353BA1" w:rsidRDefault="00353BA1" w:rsidP="00BB041D">
      <w:pPr>
        <w:ind w:firstLine="1418"/>
        <w:jc w:val="both"/>
        <w:rPr>
          <w:rFonts w:ascii="Times New Roman" w:hAnsi="Times New Roman" w:cs="Times New Roman"/>
        </w:rPr>
      </w:pPr>
      <w:r w:rsidRPr="009A3B81">
        <w:rPr>
          <w:rFonts w:ascii="Times New Roman" w:hAnsi="Times New Roman" w:cs="Times New Roman"/>
          <w:color w:val="auto"/>
        </w:rPr>
        <w:t>Na temelju članka 8. i članka 31. stavka 2. Zakona o Vladi Republike Hrvatske</w:t>
      </w:r>
      <w:r>
        <w:rPr>
          <w:rFonts w:ascii="Times New Roman" w:hAnsi="Times New Roman" w:cs="Times New Roman"/>
        </w:rPr>
        <w:t xml:space="preserve"> („Narodne novine“, br. 150/11., 119/14., 93/16., 116/18.</w:t>
      </w:r>
      <w:r w:rsidR="00BB04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80/22.</w:t>
      </w:r>
      <w:r w:rsidR="00076A39">
        <w:rPr>
          <w:rFonts w:ascii="Times New Roman" w:hAnsi="Times New Roman" w:cs="Times New Roman"/>
        </w:rPr>
        <w:t xml:space="preserve"> i 78/24.</w:t>
      </w:r>
      <w:r>
        <w:rPr>
          <w:rFonts w:ascii="Times New Roman" w:hAnsi="Times New Roman" w:cs="Times New Roman"/>
        </w:rPr>
        <w:t>) te članka 100. Zakona o proračunu („Narodne novine“, broj 144/21.), Vlada Republike Hrvatske je na sjednici održanoj ___________ 2024. donijela</w:t>
      </w:r>
    </w:p>
    <w:p w14:paraId="50F80D79" w14:textId="77777777" w:rsidR="00353BA1" w:rsidRDefault="00353BA1" w:rsidP="00353BA1">
      <w:pPr>
        <w:ind w:firstLine="708"/>
        <w:jc w:val="both"/>
        <w:rPr>
          <w:rFonts w:ascii="Times New Roman" w:hAnsi="Times New Roman" w:cs="Times New Roman"/>
        </w:rPr>
      </w:pPr>
    </w:p>
    <w:p w14:paraId="5729B4B8" w14:textId="77777777" w:rsidR="00943AFF" w:rsidRDefault="00943AFF" w:rsidP="00353BA1">
      <w:pPr>
        <w:ind w:firstLine="708"/>
        <w:jc w:val="both"/>
        <w:rPr>
          <w:rFonts w:ascii="Times New Roman" w:hAnsi="Times New Roman" w:cs="Times New Roman"/>
        </w:rPr>
      </w:pPr>
    </w:p>
    <w:p w14:paraId="7606E7E8" w14:textId="77777777" w:rsidR="00353BA1" w:rsidRDefault="00353BA1" w:rsidP="00353B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D L U K U </w:t>
      </w:r>
    </w:p>
    <w:p w14:paraId="01FBB329" w14:textId="77777777" w:rsidR="00353BA1" w:rsidRDefault="00353BA1" w:rsidP="00353BA1">
      <w:pPr>
        <w:jc w:val="center"/>
        <w:rPr>
          <w:rFonts w:ascii="Times New Roman" w:hAnsi="Times New Roman" w:cs="Times New Roman"/>
          <w:b/>
          <w:bCs/>
        </w:rPr>
      </w:pPr>
    </w:p>
    <w:p w14:paraId="3014D362" w14:textId="77777777" w:rsidR="00353BA1" w:rsidRDefault="00353BA1" w:rsidP="00353B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izmjeni i dopuni Odluke o izmjenama uvjeta kredita odobrenih od strane </w:t>
      </w:r>
    </w:p>
    <w:p w14:paraId="29FE25E1" w14:textId="0F1FE4DC" w:rsidR="00353BA1" w:rsidRDefault="00353BA1" w:rsidP="00353B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Ministarstva poljoprivrede</w:t>
      </w:r>
    </w:p>
    <w:p w14:paraId="15FFF9F7" w14:textId="77777777" w:rsidR="00353BA1" w:rsidRDefault="00353BA1" w:rsidP="00353BA1">
      <w:pPr>
        <w:jc w:val="center"/>
        <w:rPr>
          <w:rFonts w:ascii="Times New Roman" w:hAnsi="Times New Roman" w:cs="Times New Roman"/>
          <w:b/>
        </w:rPr>
      </w:pPr>
    </w:p>
    <w:p w14:paraId="18252850" w14:textId="77777777" w:rsidR="00480C10" w:rsidRDefault="00480C10" w:rsidP="00353BA1">
      <w:pPr>
        <w:jc w:val="center"/>
        <w:rPr>
          <w:rFonts w:ascii="Times New Roman" w:hAnsi="Times New Roman" w:cs="Times New Roman"/>
          <w:b/>
        </w:rPr>
      </w:pPr>
    </w:p>
    <w:p w14:paraId="648845A6" w14:textId="77777777" w:rsidR="00353BA1" w:rsidRDefault="00353BA1" w:rsidP="00353B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14:paraId="5AE4E12C" w14:textId="77777777" w:rsidR="00353BA1" w:rsidRDefault="00353BA1" w:rsidP="00353BA1">
      <w:pPr>
        <w:jc w:val="center"/>
        <w:rPr>
          <w:rFonts w:ascii="Times New Roman" w:hAnsi="Times New Roman" w:cs="Times New Roman"/>
        </w:rPr>
      </w:pPr>
    </w:p>
    <w:p w14:paraId="199F3618" w14:textId="1FE4C41A" w:rsidR="00353BA1" w:rsidRDefault="00353BA1" w:rsidP="00246CF6">
      <w:pPr>
        <w:ind w:firstLine="141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 </w:t>
      </w:r>
      <w:r w:rsidR="00BB041D">
        <w:rPr>
          <w:rFonts w:ascii="Times New Roman" w:hAnsi="Times New Roman" w:cs="Times New Roman"/>
          <w:color w:val="auto"/>
        </w:rPr>
        <w:t xml:space="preserve">Odluci </w:t>
      </w:r>
      <w:r>
        <w:rPr>
          <w:rFonts w:ascii="Times New Roman" w:hAnsi="Times New Roman" w:cs="Times New Roman"/>
          <w:color w:val="auto"/>
        </w:rPr>
        <w:t>o izmjenama uvjeta kredita odobrenih od strane Ministarstva poljoprivrede</w:t>
      </w:r>
      <w:r>
        <w:t xml:space="preserve"> </w:t>
      </w:r>
      <w:r w:rsidR="00BB041D">
        <w:rPr>
          <w:rFonts w:ascii="Times New Roman" w:hAnsi="Times New Roman" w:cs="Times New Roman"/>
        </w:rPr>
        <w:t>(„</w:t>
      </w:r>
      <w:r>
        <w:rPr>
          <w:rFonts w:ascii="Times New Roman" w:hAnsi="Times New Roman" w:cs="Times New Roman"/>
          <w:color w:val="auto"/>
        </w:rPr>
        <w:t>Narodne novine</w:t>
      </w:r>
      <w:r w:rsidR="00BB041D">
        <w:rPr>
          <w:rFonts w:ascii="Times New Roman" w:hAnsi="Times New Roman" w:cs="Times New Roman"/>
        </w:rPr>
        <w:t>“,</w:t>
      </w:r>
      <w:r>
        <w:rPr>
          <w:rFonts w:ascii="Times New Roman" w:hAnsi="Times New Roman" w:cs="Times New Roman"/>
          <w:color w:val="auto"/>
        </w:rPr>
        <w:t xml:space="preserve"> br. 105/04., 98/05., 108/10., 79/15.</w:t>
      </w:r>
      <w:r w:rsidR="00BB041D">
        <w:rPr>
          <w:rFonts w:ascii="Times New Roman" w:hAnsi="Times New Roman" w:cs="Times New Roman"/>
          <w:color w:val="auto"/>
        </w:rPr>
        <w:t xml:space="preserve"> i</w:t>
      </w:r>
      <w:r>
        <w:rPr>
          <w:rFonts w:ascii="Times New Roman" w:hAnsi="Times New Roman" w:cs="Times New Roman"/>
          <w:color w:val="auto"/>
        </w:rPr>
        <w:t xml:space="preserve"> 55/19.) (u daljnjem tekstu: Odluka)</w:t>
      </w:r>
      <w:r w:rsidR="00BB041D">
        <w:rPr>
          <w:rFonts w:ascii="Times New Roman" w:hAnsi="Times New Roman" w:cs="Times New Roman"/>
          <w:color w:val="auto"/>
        </w:rPr>
        <w:t>, u nazivu i cijelom tekstu</w:t>
      </w:r>
      <w:r>
        <w:rPr>
          <w:rFonts w:ascii="Times New Roman" w:hAnsi="Times New Roman" w:cs="Times New Roman"/>
          <w:color w:val="auto"/>
        </w:rPr>
        <w:t xml:space="preserve"> </w:t>
      </w:r>
      <w:r w:rsidR="00BB041D">
        <w:rPr>
          <w:rFonts w:ascii="Times New Roman" w:hAnsi="Times New Roman" w:cs="Times New Roman"/>
          <w:color w:val="auto"/>
        </w:rPr>
        <w:t xml:space="preserve">Odluke </w:t>
      </w:r>
      <w:r>
        <w:rPr>
          <w:rFonts w:ascii="Times New Roman" w:hAnsi="Times New Roman" w:cs="Times New Roman"/>
          <w:color w:val="auto"/>
        </w:rPr>
        <w:t>riječi</w:t>
      </w:r>
      <w:r w:rsidR="00BB041D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  <w:r w:rsidR="00BB041D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color w:val="auto"/>
        </w:rPr>
        <w:t>Ministarstvo poljoprivrede</w:t>
      </w:r>
      <w:r w:rsidR="00BB041D">
        <w:rPr>
          <w:rFonts w:ascii="Times New Roman" w:hAnsi="Times New Roman" w:cs="Times New Roman"/>
        </w:rPr>
        <w:t>“ u određenom padežu</w:t>
      </w:r>
      <w:r>
        <w:rPr>
          <w:rFonts w:ascii="Times New Roman" w:hAnsi="Times New Roman" w:cs="Times New Roman"/>
          <w:color w:val="auto"/>
        </w:rPr>
        <w:t xml:space="preserve"> zamjenjuju se riječima</w:t>
      </w:r>
      <w:r w:rsidR="00BB041D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  <w:r w:rsidR="00BB041D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color w:val="auto"/>
        </w:rPr>
        <w:t>Ministarstvo poljoprivrede, šumarstva i ribarstva</w:t>
      </w:r>
      <w:r w:rsidR="00BB041D">
        <w:rPr>
          <w:rFonts w:ascii="Times New Roman" w:hAnsi="Times New Roman" w:cs="Times New Roman"/>
        </w:rPr>
        <w:t>“</w:t>
      </w:r>
      <w:r w:rsidR="00BB041D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u odgovarajućem padežu.</w:t>
      </w:r>
    </w:p>
    <w:p w14:paraId="0BEAF9C8" w14:textId="77777777" w:rsidR="00353BA1" w:rsidRDefault="00353BA1" w:rsidP="009A3B81">
      <w:pPr>
        <w:ind w:firstLine="708"/>
        <w:jc w:val="center"/>
        <w:rPr>
          <w:rFonts w:ascii="Times New Roman" w:hAnsi="Times New Roman" w:cs="Times New Roman"/>
        </w:rPr>
      </w:pPr>
    </w:p>
    <w:p w14:paraId="507D36EF" w14:textId="77777777" w:rsidR="00353BA1" w:rsidRDefault="00353BA1" w:rsidP="00246C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14:paraId="6EB16163" w14:textId="77777777" w:rsidR="00353BA1" w:rsidRDefault="00353BA1" w:rsidP="009A3B81">
      <w:pPr>
        <w:ind w:firstLine="708"/>
        <w:jc w:val="center"/>
        <w:rPr>
          <w:rFonts w:ascii="Times New Roman" w:hAnsi="Times New Roman" w:cs="Times New Roman"/>
        </w:rPr>
      </w:pPr>
    </w:p>
    <w:p w14:paraId="25F208C1" w14:textId="417598E0" w:rsidR="00353BA1" w:rsidRDefault="00353BA1" w:rsidP="00943AFF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točki VII. iza stavka 4. dodaje se stavak 5. koji glasi:</w:t>
      </w:r>
    </w:p>
    <w:p w14:paraId="51469C45" w14:textId="77777777" w:rsidR="00943AFF" w:rsidRDefault="00943AFF" w:rsidP="00943AFF">
      <w:pPr>
        <w:jc w:val="both"/>
        <w:rPr>
          <w:rFonts w:ascii="Times New Roman" w:hAnsi="Times New Roman" w:cs="Times New Roman"/>
          <w:color w:val="auto"/>
        </w:rPr>
      </w:pPr>
    </w:p>
    <w:p w14:paraId="1CE5D9D6" w14:textId="189D6540" w:rsidR="00353BA1" w:rsidRDefault="00943AFF" w:rsidP="00943AF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„</w:t>
      </w:r>
      <w:r w:rsidR="00353BA1">
        <w:rPr>
          <w:rFonts w:ascii="Times New Roman" w:hAnsi="Times New Roman" w:cs="Times New Roman"/>
        </w:rPr>
        <w:t xml:space="preserve">Odobrava se otpis duga po kreditu u cijelosti </w:t>
      </w:r>
      <w:r w:rsidR="00353BA1">
        <w:rPr>
          <w:rFonts w:ascii="Times New Roman" w:hAnsi="Times New Roman" w:cs="Times New Roman"/>
          <w:color w:val="auto"/>
        </w:rPr>
        <w:t xml:space="preserve">za </w:t>
      </w:r>
      <w:r w:rsidR="00353BA1">
        <w:rPr>
          <w:rFonts w:ascii="Times New Roman" w:hAnsi="Times New Roman" w:cs="Times New Roman"/>
          <w:bCs/>
          <w:color w:val="auto"/>
        </w:rPr>
        <w:t xml:space="preserve">101 </w:t>
      </w:r>
      <w:r w:rsidR="00353BA1">
        <w:rPr>
          <w:rFonts w:ascii="Times New Roman" w:hAnsi="Times New Roman" w:cs="Times New Roman"/>
          <w:color w:val="auto"/>
        </w:rPr>
        <w:t xml:space="preserve">korisnika </w:t>
      </w:r>
      <w:r w:rsidR="00353BA1">
        <w:rPr>
          <w:rFonts w:ascii="Times New Roman" w:hAnsi="Times New Roman" w:cs="Times New Roman"/>
        </w:rPr>
        <w:t xml:space="preserve">kredita s Popisa V., koji čini Prilog ove Odluke i ne objavljuje se u „Narodnim novinama“, </w:t>
      </w:r>
      <w:r w:rsidR="00353BA1">
        <w:rPr>
          <w:rFonts w:ascii="Times New Roman" w:hAnsi="Times New Roman" w:cs="Times New Roman"/>
          <w:color w:val="auto"/>
        </w:rPr>
        <w:t xml:space="preserve">u iznosu </w:t>
      </w:r>
      <w:r w:rsidR="00F52CAF">
        <w:rPr>
          <w:rFonts w:ascii="Times New Roman" w:hAnsi="Times New Roman" w:cs="Times New Roman"/>
          <w:color w:val="auto"/>
        </w:rPr>
        <w:t xml:space="preserve">od </w:t>
      </w:r>
      <w:bookmarkStart w:id="1" w:name="_GoBack"/>
      <w:bookmarkEnd w:id="1"/>
      <w:r w:rsidR="00DA6784" w:rsidRPr="00DA6784">
        <w:rPr>
          <w:rFonts w:ascii="Times New Roman" w:hAnsi="Times New Roman" w:cs="Times New Roman"/>
          <w:bCs/>
          <w:color w:val="auto"/>
        </w:rPr>
        <w:t>5.619.230,34</w:t>
      </w:r>
      <w:r w:rsidR="00DA6784">
        <w:rPr>
          <w:rFonts w:ascii="Times New Roman" w:hAnsi="Times New Roman" w:cs="Times New Roman"/>
          <w:bCs/>
          <w:color w:val="auto"/>
        </w:rPr>
        <w:t xml:space="preserve"> </w:t>
      </w:r>
      <w:r w:rsidR="00353BA1">
        <w:rPr>
          <w:rFonts w:ascii="Times New Roman" w:hAnsi="Times New Roman" w:cs="Times New Roman"/>
          <w:bCs/>
          <w:color w:val="auto"/>
        </w:rPr>
        <w:t xml:space="preserve">eura, od čega je </w:t>
      </w:r>
      <w:r w:rsidR="00DA6784" w:rsidRPr="00DA6784">
        <w:rPr>
          <w:rFonts w:ascii="Times New Roman" w:hAnsi="Times New Roman" w:cs="Times New Roman"/>
          <w:bCs/>
          <w:color w:val="auto"/>
        </w:rPr>
        <w:t xml:space="preserve">2.076.310,48 </w:t>
      </w:r>
      <w:r w:rsidR="00353BA1">
        <w:rPr>
          <w:rFonts w:ascii="Times New Roman" w:hAnsi="Times New Roman" w:cs="Times New Roman"/>
          <w:bCs/>
          <w:color w:val="auto"/>
        </w:rPr>
        <w:t xml:space="preserve">eura dospjela glavnica, </w:t>
      </w:r>
      <w:r w:rsidR="00DA6784" w:rsidRPr="00DA6784">
        <w:rPr>
          <w:rFonts w:ascii="Times New Roman" w:hAnsi="Times New Roman" w:cs="Times New Roman"/>
          <w:bCs/>
          <w:color w:val="auto"/>
        </w:rPr>
        <w:t>380.534,97</w:t>
      </w:r>
      <w:r w:rsidR="00DA6784">
        <w:rPr>
          <w:rFonts w:ascii="Times New Roman" w:hAnsi="Times New Roman" w:cs="Times New Roman"/>
          <w:bCs/>
          <w:color w:val="auto"/>
        </w:rPr>
        <w:t xml:space="preserve"> </w:t>
      </w:r>
      <w:r w:rsidR="00353BA1">
        <w:rPr>
          <w:rFonts w:ascii="Times New Roman" w:hAnsi="Times New Roman" w:cs="Times New Roman"/>
          <w:bCs/>
          <w:color w:val="auto"/>
        </w:rPr>
        <w:t xml:space="preserve">eura redovna kamata, </w:t>
      </w:r>
      <w:r w:rsidR="00DA6784" w:rsidRPr="00DA6784">
        <w:rPr>
          <w:rFonts w:ascii="Times New Roman" w:hAnsi="Times New Roman" w:cs="Times New Roman"/>
          <w:bCs/>
          <w:color w:val="auto"/>
        </w:rPr>
        <w:t xml:space="preserve">3.148.547,81 </w:t>
      </w:r>
      <w:r>
        <w:rPr>
          <w:rFonts w:ascii="Times New Roman" w:hAnsi="Times New Roman" w:cs="Times New Roman"/>
          <w:bCs/>
          <w:color w:val="auto"/>
        </w:rPr>
        <w:t xml:space="preserve">euro </w:t>
      </w:r>
      <w:r w:rsidR="00353BA1">
        <w:rPr>
          <w:rFonts w:ascii="Times New Roman" w:hAnsi="Times New Roman" w:cs="Times New Roman"/>
          <w:bCs/>
          <w:color w:val="auto"/>
        </w:rPr>
        <w:t xml:space="preserve">zatezna kamata, a 13.837,08 eura </w:t>
      </w:r>
      <w:r w:rsidR="00353BA1">
        <w:rPr>
          <w:rFonts w:ascii="Times New Roman" w:hAnsi="Times New Roman" w:cs="Times New Roman"/>
          <w:color w:val="auto"/>
        </w:rPr>
        <w:t>su ostali troškovi i naknade po kreditu,</w:t>
      </w:r>
      <w:r w:rsidR="00353BA1">
        <w:t xml:space="preserve"> </w:t>
      </w:r>
      <w:r w:rsidR="00353BA1">
        <w:rPr>
          <w:rFonts w:ascii="Times New Roman" w:hAnsi="Times New Roman" w:cs="Times New Roman"/>
          <w:color w:val="auto"/>
        </w:rPr>
        <w:t>a kod kojih je ispunjen najmanje jedan od uvjeta iz stavka 3. ove točke</w:t>
      </w:r>
      <w:r>
        <w:rPr>
          <w:rFonts w:ascii="Times New Roman" w:hAnsi="Times New Roman" w:cs="Times New Roman"/>
        </w:rPr>
        <w:t>“</w:t>
      </w:r>
      <w:r w:rsidR="00353BA1">
        <w:rPr>
          <w:rFonts w:ascii="Times New Roman" w:hAnsi="Times New Roman" w:cs="Times New Roman"/>
        </w:rPr>
        <w:t>.</w:t>
      </w:r>
      <w:r w:rsidR="00353BA1">
        <w:rPr>
          <w:rFonts w:ascii="Times New Roman" w:hAnsi="Times New Roman" w:cs="Times New Roman"/>
          <w:color w:val="auto"/>
        </w:rPr>
        <w:t xml:space="preserve"> </w:t>
      </w:r>
    </w:p>
    <w:p w14:paraId="38E2A742" w14:textId="77777777" w:rsidR="00353BA1" w:rsidRDefault="00353BA1" w:rsidP="009A3B81">
      <w:pPr>
        <w:ind w:firstLine="708"/>
        <w:jc w:val="center"/>
        <w:rPr>
          <w:rFonts w:ascii="Times New Roman" w:hAnsi="Times New Roman" w:cs="Times New Roman"/>
          <w:b/>
        </w:rPr>
      </w:pPr>
    </w:p>
    <w:p w14:paraId="6A375183" w14:textId="77777777" w:rsidR="00353BA1" w:rsidRDefault="00353BA1" w:rsidP="00E309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14:paraId="673EF3D1" w14:textId="77777777" w:rsidR="00353BA1" w:rsidRDefault="00353BA1" w:rsidP="009A3B81">
      <w:pPr>
        <w:ind w:firstLine="708"/>
        <w:jc w:val="center"/>
        <w:rPr>
          <w:rFonts w:ascii="Times New Roman" w:hAnsi="Times New Roman" w:cs="Times New Roman"/>
        </w:rPr>
      </w:pPr>
    </w:p>
    <w:p w14:paraId="751C81F9" w14:textId="44891CCF" w:rsidR="00353BA1" w:rsidRDefault="00353BA1" w:rsidP="00480C10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Postupci započeti prema uvjetima iz Odluke o izmjenama uvjeta kredita odobrenih od strane Ministarstvo poljoprivrede („Narodne novine“, br. 105/04., 98/05., 108/10., 79/15. i 55/19.) završit će se u skladu s ovom Odlukom.</w:t>
      </w:r>
    </w:p>
    <w:p w14:paraId="61B3209F" w14:textId="77777777" w:rsidR="00353BA1" w:rsidRDefault="00353BA1" w:rsidP="009A3B81">
      <w:pPr>
        <w:ind w:firstLine="708"/>
        <w:jc w:val="center"/>
        <w:rPr>
          <w:rFonts w:ascii="Times New Roman" w:hAnsi="Times New Roman" w:cs="Times New Roman"/>
          <w:b/>
        </w:rPr>
      </w:pPr>
    </w:p>
    <w:p w14:paraId="2FF754A5" w14:textId="77777777" w:rsidR="00353BA1" w:rsidRDefault="00353BA1" w:rsidP="00E309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14:paraId="3E771276" w14:textId="77777777" w:rsidR="00353BA1" w:rsidRDefault="00353BA1" w:rsidP="009A3B81">
      <w:pPr>
        <w:ind w:firstLine="708"/>
        <w:jc w:val="center"/>
        <w:rPr>
          <w:rFonts w:ascii="Times New Roman" w:hAnsi="Times New Roman" w:cs="Times New Roman"/>
          <w:b/>
        </w:rPr>
      </w:pPr>
    </w:p>
    <w:p w14:paraId="790C0E82" w14:textId="77777777" w:rsidR="00353BA1" w:rsidRDefault="00353BA1" w:rsidP="00480C10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Zadužuje se Ministarstvo poljoprivrede, šumarstva i ribarstva da na svojim mrežnim stranicama objavi Popis V. iz točke II. ove Odluke . </w:t>
      </w:r>
    </w:p>
    <w:p w14:paraId="5E9582AB" w14:textId="77777777" w:rsidR="00353BA1" w:rsidRDefault="00353BA1" w:rsidP="009A3B81">
      <w:pPr>
        <w:ind w:firstLine="708"/>
        <w:jc w:val="center"/>
        <w:rPr>
          <w:rFonts w:ascii="Times New Roman" w:hAnsi="Times New Roman" w:cs="Times New Roman"/>
          <w:b/>
        </w:rPr>
      </w:pPr>
    </w:p>
    <w:p w14:paraId="28C2B443" w14:textId="77777777" w:rsidR="00480C10" w:rsidRDefault="00480C10" w:rsidP="009A3B81">
      <w:pPr>
        <w:ind w:firstLine="708"/>
        <w:jc w:val="center"/>
        <w:rPr>
          <w:rFonts w:ascii="Times New Roman" w:hAnsi="Times New Roman" w:cs="Times New Roman"/>
          <w:b/>
        </w:rPr>
      </w:pPr>
    </w:p>
    <w:p w14:paraId="508A3585" w14:textId="77777777" w:rsidR="00480C10" w:rsidRDefault="00480C10" w:rsidP="009A3B81">
      <w:pPr>
        <w:ind w:firstLine="708"/>
        <w:jc w:val="center"/>
        <w:rPr>
          <w:rFonts w:ascii="Times New Roman" w:hAnsi="Times New Roman" w:cs="Times New Roman"/>
          <w:b/>
        </w:rPr>
      </w:pPr>
    </w:p>
    <w:p w14:paraId="61341E95" w14:textId="77777777" w:rsidR="00480C10" w:rsidRDefault="00480C10" w:rsidP="009A3B81">
      <w:pPr>
        <w:ind w:firstLine="708"/>
        <w:jc w:val="center"/>
        <w:rPr>
          <w:rFonts w:ascii="Times New Roman" w:hAnsi="Times New Roman" w:cs="Times New Roman"/>
          <w:b/>
        </w:rPr>
      </w:pPr>
    </w:p>
    <w:p w14:paraId="27863038" w14:textId="77777777" w:rsidR="00353BA1" w:rsidRDefault="00353BA1" w:rsidP="009A3B81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V.</w:t>
      </w:r>
    </w:p>
    <w:p w14:paraId="61F49202" w14:textId="77777777" w:rsidR="00353BA1" w:rsidRDefault="00353BA1" w:rsidP="009A3B81">
      <w:pPr>
        <w:ind w:firstLine="708"/>
        <w:jc w:val="center"/>
        <w:rPr>
          <w:rFonts w:ascii="Times New Roman" w:hAnsi="Times New Roman" w:cs="Times New Roman"/>
        </w:rPr>
      </w:pPr>
    </w:p>
    <w:p w14:paraId="7E92435E" w14:textId="64DCED85" w:rsidR="00353BA1" w:rsidRDefault="00353BA1" w:rsidP="00A656E3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snagu danom donošenja, a objavit će se u </w:t>
      </w:r>
      <w:r w:rsidR="00A656E3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Narodnim novinama</w:t>
      </w:r>
      <w:r w:rsidR="00A656E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14:paraId="4C2F7BE3" w14:textId="13682604" w:rsidR="00353BA1" w:rsidRDefault="00353BA1" w:rsidP="00353BA1">
      <w:pPr>
        <w:rPr>
          <w:rFonts w:ascii="Times New Roman" w:hAnsi="Times New Roman" w:cs="Times New Roman"/>
        </w:rPr>
      </w:pPr>
    </w:p>
    <w:p w14:paraId="1D872678" w14:textId="64DB9A37" w:rsidR="00A656E3" w:rsidRDefault="00A656E3" w:rsidP="00353BA1">
      <w:pPr>
        <w:rPr>
          <w:rFonts w:ascii="Times New Roman" w:hAnsi="Times New Roman" w:cs="Times New Roman"/>
        </w:rPr>
      </w:pPr>
    </w:p>
    <w:p w14:paraId="57B81AE7" w14:textId="77777777" w:rsidR="00A656E3" w:rsidRDefault="00A656E3" w:rsidP="00353BA1">
      <w:pPr>
        <w:rPr>
          <w:rFonts w:ascii="Times New Roman" w:hAnsi="Times New Roman" w:cs="Times New Roman"/>
        </w:rPr>
      </w:pPr>
    </w:p>
    <w:p w14:paraId="54B08E5A" w14:textId="77777777" w:rsidR="00353BA1" w:rsidRDefault="00353BA1" w:rsidP="00353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</w:p>
    <w:p w14:paraId="1451F933" w14:textId="77777777" w:rsidR="00353BA1" w:rsidRDefault="00353BA1" w:rsidP="00353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</w:p>
    <w:p w14:paraId="0407A147" w14:textId="77777777" w:rsidR="00A656E3" w:rsidRDefault="00A656E3" w:rsidP="00353BA1">
      <w:pPr>
        <w:rPr>
          <w:rFonts w:ascii="Times New Roman" w:hAnsi="Times New Roman" w:cs="Times New Roman"/>
        </w:rPr>
      </w:pPr>
    </w:p>
    <w:p w14:paraId="27D1DF96" w14:textId="347EEAEF" w:rsidR="00353BA1" w:rsidRDefault="00353BA1" w:rsidP="00353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Zagreb, </w:t>
      </w:r>
    </w:p>
    <w:p w14:paraId="397B50F7" w14:textId="4CECF179" w:rsidR="00480C10" w:rsidRDefault="00480C10" w:rsidP="00353BA1">
      <w:pPr>
        <w:rPr>
          <w:rFonts w:ascii="Times New Roman" w:hAnsi="Times New Roman" w:cs="Times New Roman"/>
        </w:rPr>
      </w:pPr>
    </w:p>
    <w:p w14:paraId="38F89BD4" w14:textId="77777777" w:rsidR="00A656E3" w:rsidRDefault="00A656E3" w:rsidP="00353BA1">
      <w:pPr>
        <w:rPr>
          <w:rFonts w:ascii="Times New Roman" w:hAnsi="Times New Roman" w:cs="Times New Roman"/>
        </w:rPr>
      </w:pPr>
    </w:p>
    <w:p w14:paraId="4ADDD48B" w14:textId="77777777" w:rsidR="00353BA1" w:rsidRDefault="00353BA1" w:rsidP="00353BA1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PREDSJEDNIK</w:t>
      </w:r>
      <w:r>
        <w:rPr>
          <w:rFonts w:ascii="Times New Roman" w:hAnsi="Times New Roman" w:cs="Times New Roman"/>
        </w:rPr>
        <w:tab/>
      </w:r>
    </w:p>
    <w:p w14:paraId="3B2FB6E8" w14:textId="77777777" w:rsidR="00353BA1" w:rsidRDefault="00353BA1" w:rsidP="00353BA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3088B707" w14:textId="77777777" w:rsidR="00480C10" w:rsidRDefault="00480C10" w:rsidP="00353BA1">
      <w:pPr>
        <w:rPr>
          <w:rFonts w:ascii="Times New Roman" w:hAnsi="Times New Roman" w:cs="Times New Roman"/>
          <w:bCs/>
        </w:rPr>
      </w:pPr>
    </w:p>
    <w:p w14:paraId="07E24BBB" w14:textId="77777777" w:rsidR="00353BA1" w:rsidRDefault="00353BA1" w:rsidP="00353BA1">
      <w:pPr>
        <w:ind w:left="5664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mr. sc. Andrej Plenković</w:t>
      </w:r>
    </w:p>
    <w:p w14:paraId="0F8003A7" w14:textId="77777777" w:rsidR="00353BA1" w:rsidRDefault="00353BA1" w:rsidP="00353BA1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</w:rPr>
        <w:br w:type="page"/>
      </w:r>
      <w:r>
        <w:rPr>
          <w:rFonts w:ascii="Times New Roman" w:hAnsi="Times New Roman" w:cs="Times New Roman"/>
          <w:b/>
        </w:rPr>
        <w:lastRenderedPageBreak/>
        <w:t>OBRAZLOŽENJE</w:t>
      </w:r>
    </w:p>
    <w:p w14:paraId="3D18D26B" w14:textId="77777777" w:rsidR="00353BA1" w:rsidRDefault="00353BA1" w:rsidP="00353BA1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Ministarstvo poljoprivrede, šumarstva i ribarstva (u daljnjem tekstu: Ministarstvo) je </w:t>
      </w:r>
      <w:r w:rsidR="00177870">
        <w:rPr>
          <w:rFonts w:ascii="Times New Roman" w:hAnsi="Times New Roman" w:cs="Times New Roman"/>
        </w:rPr>
        <w:t xml:space="preserve">pripremilo </w:t>
      </w:r>
      <w:r>
        <w:rPr>
          <w:rFonts w:ascii="Times New Roman" w:hAnsi="Times New Roman" w:cs="Times New Roman"/>
        </w:rPr>
        <w:t xml:space="preserve">nastavno svojim dosadašnjim aktivnostima koje </w:t>
      </w:r>
      <w:r w:rsidR="00177870">
        <w:rPr>
          <w:rFonts w:ascii="Times New Roman" w:hAnsi="Times New Roman" w:cs="Times New Roman"/>
        </w:rPr>
        <w:t xml:space="preserve">provodi </w:t>
      </w:r>
      <w:r>
        <w:rPr>
          <w:rFonts w:ascii="Times New Roman" w:hAnsi="Times New Roman" w:cs="Times New Roman"/>
        </w:rPr>
        <w:t xml:space="preserve">uz potporu Vlade Republike Hrvatske </w:t>
      </w:r>
      <w:r w:rsidR="00177870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Ministarstva financija </w:t>
      </w:r>
      <w:r w:rsidR="00177870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drugih resornih ministarstava</w:t>
      </w:r>
      <w:r w:rsidR="00177870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radi pomoći i socioekonomskom rasterećenju stanovništva te upućuje Prijedlog odluke o izmjeni i dopuni Odluke o izmjenama uvjeta kredita odobrenih od strane Ministarstva poljoprivrede (Narodne novine, broj 105/04, 98/05, 108/10, 79/15 i 55/19) (u daljnjem tekstu: Odluka).</w:t>
      </w:r>
    </w:p>
    <w:p w14:paraId="7C4D27E9" w14:textId="77777777" w:rsidR="00353BA1" w:rsidRDefault="00353BA1" w:rsidP="00353BA1">
      <w:pPr>
        <w:tabs>
          <w:tab w:val="num" w:pos="0"/>
        </w:tabs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ab/>
        <w:t>U</w:t>
      </w:r>
      <w:r>
        <w:rPr>
          <w:rFonts w:ascii="Times New Roman" w:hAnsi="Times New Roman" w:cs="Times New Roman"/>
        </w:rPr>
        <w:t xml:space="preserve">kupni kreditni plasman Ministarstva koji je realiziran u razdoblju od 1991. do 2006. godine kod poslovnih banaka iznosio je više od 812 milijuna kuna s oko 12.940 kreditnih partija putem Privredne banke Zagreb d.d. (u daljnjem tekstu: PBZ) te oko 30 milijuna kuna s oko 3.600 kreditnih partija putem Hrvatske poštanske banke d.d. (u daljnjem tekstu: HPB) koje mandatno u ime i za račun </w:t>
      </w:r>
      <w:r w:rsidR="00177870">
        <w:rPr>
          <w:rFonts w:ascii="Times New Roman" w:hAnsi="Times New Roman" w:cs="Times New Roman"/>
        </w:rPr>
        <w:t xml:space="preserve">Ministarstva </w:t>
      </w:r>
      <w:r>
        <w:rPr>
          <w:rFonts w:ascii="Times New Roman" w:hAnsi="Times New Roman" w:cs="Times New Roman"/>
        </w:rPr>
        <w:t>vode poslove kredita.</w:t>
      </w:r>
    </w:p>
    <w:p w14:paraId="37011C11" w14:textId="77777777" w:rsidR="00353BA1" w:rsidRDefault="00353BA1" w:rsidP="00353BA1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Prema stanju kredita odobrenih od strane Ministarstva u knjigama koje mandatno vodi poslovna banka PBZ </w:t>
      </w:r>
      <w:r w:rsidR="00B02851">
        <w:rPr>
          <w:rFonts w:ascii="Times New Roman" w:hAnsi="Times New Roman" w:cs="Times New Roman"/>
        </w:rPr>
        <w:t xml:space="preserve">na dan 30. travnja 2024. godine </w:t>
      </w:r>
      <w:r>
        <w:rPr>
          <w:rFonts w:ascii="Times New Roman" w:hAnsi="Times New Roman" w:cs="Times New Roman"/>
        </w:rPr>
        <w:t xml:space="preserve">u otplati je 176 kredita </w:t>
      </w:r>
      <w:r w:rsidR="00B02851">
        <w:rPr>
          <w:rFonts w:ascii="Times New Roman" w:hAnsi="Times New Roman" w:cs="Times New Roman"/>
        </w:rPr>
        <w:t>koji</w:t>
      </w:r>
      <w:r>
        <w:rPr>
          <w:rFonts w:ascii="Times New Roman" w:hAnsi="Times New Roman" w:cs="Times New Roman"/>
        </w:rPr>
        <w:t xml:space="preserve"> iznose ukupno  11.930.663,64 eura, od čega nedospjela i dospjela glavnica iznose 4.197.874,53 eura, redovna kamata iznosi 560.101,29 eura, zatezna kamata iznosi 7.171.141,90 eura </w:t>
      </w:r>
      <w:r w:rsidR="00B02851">
        <w:rPr>
          <w:rFonts w:ascii="Times New Roman" w:hAnsi="Times New Roman" w:cs="Times New Roman"/>
        </w:rPr>
        <w:t>dok</w:t>
      </w:r>
      <w:r>
        <w:rPr>
          <w:rFonts w:ascii="Times New Roman" w:hAnsi="Times New Roman" w:cs="Times New Roman"/>
        </w:rPr>
        <w:t xml:space="preserve"> troškovi i naknade po kreditu iznose 14.636,24 eura, a prema stanju u knjigama koje vodi poslovna banka HPB preostala </w:t>
      </w:r>
      <w:r w:rsidR="00B02851">
        <w:rPr>
          <w:rFonts w:ascii="Times New Roman" w:hAnsi="Times New Roman" w:cs="Times New Roman"/>
        </w:rPr>
        <w:t xml:space="preserve">su </w:t>
      </w:r>
      <w:r>
        <w:rPr>
          <w:rFonts w:ascii="Times New Roman" w:hAnsi="Times New Roman" w:cs="Times New Roman"/>
        </w:rPr>
        <w:t xml:space="preserve">četiri kredita </w:t>
      </w:r>
      <w:r w:rsidR="00B02851">
        <w:rPr>
          <w:rFonts w:ascii="Times New Roman" w:hAnsi="Times New Roman" w:cs="Times New Roman"/>
        </w:rPr>
        <w:t xml:space="preserve">koji </w:t>
      </w:r>
      <w:r>
        <w:rPr>
          <w:rFonts w:ascii="Times New Roman" w:hAnsi="Times New Roman" w:cs="Times New Roman"/>
        </w:rPr>
        <w:t>ukupno iznose 14.617,15 eura od čega dospjela glavnica iznosi 4.396,40 eura, redovna kamata iznosi 987,40 eura, zatezna kamata iznosi 9.220,08 eura i troškovi s naknadama po kreditima iznose 13,27 eura.</w:t>
      </w:r>
    </w:p>
    <w:p w14:paraId="409E8CEC" w14:textId="77777777" w:rsidR="00353BA1" w:rsidRDefault="00353BA1" w:rsidP="00353BA1">
      <w:pPr>
        <w:spacing w:before="120" w:after="12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Ovom Odlukom </w:t>
      </w:r>
      <w:r w:rsidR="00B02851">
        <w:rPr>
          <w:rFonts w:ascii="Times New Roman" w:hAnsi="Times New Roman" w:cs="Times New Roman"/>
          <w:color w:val="auto"/>
        </w:rPr>
        <w:t xml:space="preserve">su </w:t>
      </w:r>
      <w:r>
        <w:rPr>
          <w:rFonts w:ascii="Times New Roman" w:hAnsi="Times New Roman" w:cs="Times New Roman"/>
          <w:color w:val="auto"/>
        </w:rPr>
        <w:t xml:space="preserve">osim kredita Ministarstva obuhvaćena i dugovanja </w:t>
      </w:r>
      <w:r w:rsidR="00B02851">
        <w:rPr>
          <w:rFonts w:ascii="Times New Roman" w:hAnsi="Times New Roman" w:cs="Times New Roman"/>
          <w:color w:val="auto"/>
        </w:rPr>
        <w:t xml:space="preserve">za preostalih 22 </w:t>
      </w:r>
      <w:r>
        <w:rPr>
          <w:rFonts w:ascii="Times New Roman" w:hAnsi="Times New Roman" w:cs="Times New Roman"/>
          <w:color w:val="auto"/>
        </w:rPr>
        <w:t>poljoprivredn</w:t>
      </w:r>
      <w:r w:rsidR="00B02851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 kredita realiziran</w:t>
      </w:r>
      <w:r w:rsidR="00B02851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 putem Županjske banke</w:t>
      </w:r>
      <w:r w:rsidR="00B85040">
        <w:rPr>
          <w:rFonts w:ascii="Times New Roman" w:hAnsi="Times New Roman" w:cs="Times New Roman"/>
          <w:color w:val="auto"/>
        </w:rPr>
        <w:t xml:space="preserve"> (</w:t>
      </w:r>
      <w:r w:rsidR="00B85040" w:rsidRPr="00B85040">
        <w:rPr>
          <w:rFonts w:ascii="Times New Roman" w:hAnsi="Times New Roman" w:cs="Times New Roman"/>
          <w:color w:val="auto"/>
        </w:rPr>
        <w:t xml:space="preserve">u daljnjem tekstu: </w:t>
      </w:r>
      <w:r w:rsidR="00B85040">
        <w:rPr>
          <w:rFonts w:ascii="Times New Roman" w:hAnsi="Times New Roman" w:cs="Times New Roman"/>
          <w:color w:val="auto"/>
        </w:rPr>
        <w:t>ŽUBA)</w:t>
      </w:r>
      <w:r>
        <w:rPr>
          <w:rFonts w:ascii="Times New Roman" w:hAnsi="Times New Roman" w:cs="Times New Roman"/>
          <w:color w:val="auto"/>
        </w:rPr>
        <w:t xml:space="preserve"> koja </w:t>
      </w:r>
      <w:r w:rsidR="00B02851">
        <w:rPr>
          <w:rFonts w:ascii="Times New Roman" w:hAnsi="Times New Roman" w:cs="Times New Roman"/>
          <w:color w:val="auto"/>
        </w:rPr>
        <w:t xml:space="preserve">u ime </w:t>
      </w:r>
      <w:r w:rsidR="00B02851">
        <w:rPr>
          <w:rFonts w:ascii="Times New Roman" w:hAnsi="Times New Roman" w:cs="Times New Roman"/>
        </w:rPr>
        <w:t>i</w:t>
      </w:r>
      <w:r w:rsidR="00B02851">
        <w:rPr>
          <w:rFonts w:ascii="Times New Roman" w:hAnsi="Times New Roman" w:cs="Times New Roman"/>
          <w:color w:val="auto"/>
        </w:rPr>
        <w:t xml:space="preserve"> za račun Ministarstva financija </w:t>
      </w:r>
      <w:r>
        <w:rPr>
          <w:rFonts w:ascii="Times New Roman" w:hAnsi="Times New Roman" w:cs="Times New Roman"/>
          <w:color w:val="auto"/>
        </w:rPr>
        <w:t>u mandatnom poslu vodi PBZ</w:t>
      </w:r>
      <w:r w:rsidR="00B02851">
        <w:rPr>
          <w:rFonts w:ascii="Times New Roman" w:hAnsi="Times New Roman" w:cs="Times New Roman"/>
          <w:color w:val="auto"/>
        </w:rPr>
        <w:t>, a</w:t>
      </w:r>
      <w:r>
        <w:rPr>
          <w:rFonts w:ascii="Times New Roman" w:hAnsi="Times New Roman" w:cs="Times New Roman"/>
          <w:color w:val="auto"/>
        </w:rPr>
        <w:t xml:space="preserve"> koja na dan 30. travnja 2024. godine iznose ukupno 1.869.938,52 eura, od čega je </w:t>
      </w:r>
      <w:r w:rsidR="00B02851">
        <w:rPr>
          <w:rFonts w:ascii="Times New Roman" w:hAnsi="Times New Roman" w:cs="Times New Roman"/>
          <w:color w:val="auto"/>
        </w:rPr>
        <w:t xml:space="preserve">dospjela glavnica </w:t>
      </w:r>
      <w:r>
        <w:rPr>
          <w:rFonts w:ascii="Times New Roman" w:hAnsi="Times New Roman" w:cs="Times New Roman"/>
          <w:color w:val="auto"/>
        </w:rPr>
        <w:t xml:space="preserve">600.693,91 eura, </w:t>
      </w:r>
      <w:r w:rsidR="00B02851">
        <w:rPr>
          <w:rFonts w:ascii="Times New Roman" w:hAnsi="Times New Roman" w:cs="Times New Roman"/>
          <w:color w:val="auto"/>
        </w:rPr>
        <w:t xml:space="preserve">redovna kamata </w:t>
      </w:r>
      <w:r>
        <w:rPr>
          <w:rFonts w:ascii="Times New Roman" w:hAnsi="Times New Roman" w:cs="Times New Roman"/>
          <w:color w:val="auto"/>
        </w:rPr>
        <w:t xml:space="preserve">77.404,31 eura, </w:t>
      </w:r>
      <w:r w:rsidR="00B02851">
        <w:rPr>
          <w:rFonts w:ascii="Times New Roman" w:hAnsi="Times New Roman" w:cs="Times New Roman"/>
          <w:color w:val="auto"/>
        </w:rPr>
        <w:t xml:space="preserve">zatezna kamata </w:t>
      </w:r>
      <w:r>
        <w:rPr>
          <w:rFonts w:ascii="Times New Roman" w:hAnsi="Times New Roman" w:cs="Times New Roman"/>
          <w:color w:val="auto"/>
        </w:rPr>
        <w:t xml:space="preserve">1.191.840,30 eura, </w:t>
      </w:r>
      <w:r w:rsidR="00B02851">
        <w:rPr>
          <w:rFonts w:ascii="Times New Roman" w:hAnsi="Times New Roman" w:cs="Times New Roman"/>
          <w:color w:val="auto"/>
        </w:rPr>
        <w:t>dok su</w:t>
      </w:r>
      <w:r>
        <w:rPr>
          <w:rFonts w:ascii="Times New Roman" w:hAnsi="Times New Roman" w:cs="Times New Roman"/>
          <w:color w:val="auto"/>
        </w:rPr>
        <w:t xml:space="preserve"> </w:t>
      </w:r>
      <w:r w:rsidR="00B02851">
        <w:rPr>
          <w:rFonts w:ascii="Times New Roman" w:hAnsi="Times New Roman" w:cs="Times New Roman"/>
          <w:color w:val="auto"/>
        </w:rPr>
        <w:t xml:space="preserve">troškovi i naknade po kreditima </w:t>
      </w:r>
      <w:r>
        <w:rPr>
          <w:rFonts w:ascii="Times New Roman" w:hAnsi="Times New Roman" w:cs="Times New Roman"/>
          <w:color w:val="auto"/>
        </w:rPr>
        <w:t>1.592,13 eura.</w:t>
      </w:r>
    </w:p>
    <w:p w14:paraId="1D90FDEC" w14:textId="77777777" w:rsidR="00353BA1" w:rsidRDefault="00353BA1" w:rsidP="00353BA1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Ovom Odlukom se otpisuje dug po osnovi 101 kredita koje je odobrilo Ministarstvo, koji se odnosi na </w:t>
      </w:r>
      <w:r w:rsidR="00B85040">
        <w:rPr>
          <w:rFonts w:ascii="Times New Roman" w:hAnsi="Times New Roman" w:cs="Times New Roman"/>
        </w:rPr>
        <w:t>11 kredita koje za Ministarstvo financija vodi PBZ (ŽUBA), 65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kredita koje </w:t>
      </w:r>
      <w:r w:rsidR="00B85040">
        <w:rPr>
          <w:rFonts w:ascii="Times New Roman" w:hAnsi="Times New Roman" w:cs="Times New Roman"/>
        </w:rPr>
        <w:t xml:space="preserve">za Ministarstvo PBZ </w:t>
      </w:r>
      <w:r>
        <w:rPr>
          <w:rFonts w:ascii="Times New Roman" w:hAnsi="Times New Roman" w:cs="Times New Roman"/>
        </w:rPr>
        <w:t xml:space="preserve">vodi i </w:t>
      </w:r>
      <w:r w:rsidR="00B85040">
        <w:rPr>
          <w:rFonts w:ascii="Times New Roman" w:hAnsi="Times New Roman" w:cs="Times New Roman"/>
        </w:rPr>
        <w:t>četiri</w:t>
      </w:r>
      <w:r>
        <w:rPr>
          <w:rFonts w:ascii="Times New Roman" w:hAnsi="Times New Roman" w:cs="Times New Roman"/>
        </w:rPr>
        <w:t xml:space="preserve"> kredita koje vodi HPB, te 21 kredit po prijedlogu </w:t>
      </w:r>
      <w:r w:rsidR="00B85040">
        <w:rPr>
          <w:rFonts w:ascii="Times New Roman" w:hAnsi="Times New Roman" w:cs="Times New Roman"/>
        </w:rPr>
        <w:t xml:space="preserve">četiri </w:t>
      </w:r>
      <w:r>
        <w:rPr>
          <w:rFonts w:ascii="Times New Roman" w:hAnsi="Times New Roman" w:cs="Times New Roman"/>
        </w:rPr>
        <w:t xml:space="preserve">županije </w:t>
      </w:r>
      <w:r w:rsidR="00177870">
        <w:rPr>
          <w:rFonts w:ascii="Times New Roman" w:hAnsi="Times New Roman" w:cs="Times New Roman"/>
        </w:rPr>
        <w:t xml:space="preserve">(Sisačko–moslavačke (SMŽ), Koprivničko–križevačke (KCKŽ), Virovitičko–podravske (VPŽ) i Krapinsko-zagorske (KZŽ)) </w:t>
      </w:r>
      <w:r>
        <w:rPr>
          <w:rFonts w:ascii="Times New Roman" w:hAnsi="Times New Roman" w:cs="Times New Roman"/>
        </w:rPr>
        <w:t>iz Programa kreditiranja razvitka poljoprivrede udruženim sredstvima županija i Ministarstva</w:t>
      </w:r>
      <w:r w:rsidR="00B85040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u dijelu razmjernog udjela sredstava državnog proračuna u kreditu.</w:t>
      </w:r>
    </w:p>
    <w:p w14:paraId="5E6A0573" w14:textId="77777777" w:rsidR="00353BA1" w:rsidRDefault="00353BA1" w:rsidP="00353BA1">
      <w:pPr>
        <w:spacing w:before="120" w:after="12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Dug po osnovi 101 kredita koji se otpisuje ovom Odlukom na dan 30. travnja 2024. godine iznosi </w:t>
      </w:r>
      <w:r w:rsidR="00DA6784" w:rsidRPr="00DA6784">
        <w:rPr>
          <w:rFonts w:ascii="Times New Roman" w:hAnsi="Times New Roman" w:cs="Times New Roman"/>
          <w:color w:val="auto"/>
        </w:rPr>
        <w:t>5.619.230,34</w:t>
      </w:r>
      <w:r w:rsidR="00DA678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eura, od čega je </w:t>
      </w:r>
      <w:r w:rsidR="00B85040">
        <w:rPr>
          <w:rFonts w:ascii="Times New Roman" w:hAnsi="Times New Roman" w:cs="Times New Roman"/>
          <w:color w:val="auto"/>
        </w:rPr>
        <w:t xml:space="preserve">dospjela glavnica </w:t>
      </w:r>
      <w:bookmarkStart w:id="2" w:name="_Hlk172798408"/>
      <w:r w:rsidR="00DA6784" w:rsidRPr="00DA6784">
        <w:rPr>
          <w:rFonts w:ascii="Times New Roman" w:hAnsi="Times New Roman" w:cs="Times New Roman"/>
          <w:color w:val="auto"/>
        </w:rPr>
        <w:t>2.076.310,48</w:t>
      </w:r>
      <w:r w:rsidR="00DA6784">
        <w:rPr>
          <w:rFonts w:ascii="Times New Roman" w:hAnsi="Times New Roman" w:cs="Times New Roman"/>
          <w:color w:val="auto"/>
        </w:rPr>
        <w:t xml:space="preserve"> </w:t>
      </w:r>
      <w:bookmarkEnd w:id="2"/>
      <w:r>
        <w:rPr>
          <w:rFonts w:ascii="Times New Roman" w:hAnsi="Times New Roman" w:cs="Times New Roman"/>
          <w:color w:val="auto"/>
        </w:rPr>
        <w:t xml:space="preserve">eura, </w:t>
      </w:r>
      <w:r w:rsidR="00B85040">
        <w:rPr>
          <w:rFonts w:ascii="Times New Roman" w:hAnsi="Times New Roman" w:cs="Times New Roman"/>
          <w:color w:val="auto"/>
        </w:rPr>
        <w:t xml:space="preserve">redovna kamata </w:t>
      </w:r>
      <w:r w:rsidR="00DA6784" w:rsidRPr="00DA6784">
        <w:rPr>
          <w:rFonts w:ascii="Times New Roman" w:hAnsi="Times New Roman" w:cs="Times New Roman"/>
          <w:color w:val="auto"/>
        </w:rPr>
        <w:t>380.534,97</w:t>
      </w:r>
      <w:r w:rsidR="00DA678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eura, </w:t>
      </w:r>
      <w:r w:rsidR="00B85040">
        <w:rPr>
          <w:rFonts w:ascii="Times New Roman" w:hAnsi="Times New Roman" w:cs="Times New Roman"/>
          <w:color w:val="auto"/>
        </w:rPr>
        <w:t xml:space="preserve">zatezna kamata </w:t>
      </w:r>
      <w:r w:rsidR="00DA6784" w:rsidRPr="00DA6784">
        <w:rPr>
          <w:rFonts w:ascii="Times New Roman" w:hAnsi="Times New Roman" w:cs="Times New Roman"/>
          <w:color w:val="auto"/>
        </w:rPr>
        <w:t>3.148.547,81</w:t>
      </w:r>
      <w:r w:rsidR="00DA678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eura, a </w:t>
      </w:r>
      <w:r w:rsidR="00B85040">
        <w:rPr>
          <w:rFonts w:ascii="Times New Roman" w:hAnsi="Times New Roman" w:cs="Times New Roman"/>
          <w:color w:val="auto"/>
        </w:rPr>
        <w:t xml:space="preserve">ostali troškovi i naknade po kreditu su </w:t>
      </w:r>
      <w:r>
        <w:rPr>
          <w:rFonts w:ascii="Times New Roman" w:hAnsi="Times New Roman" w:cs="Times New Roman"/>
          <w:color w:val="auto"/>
        </w:rPr>
        <w:t>13.837,08 eura.</w:t>
      </w:r>
    </w:p>
    <w:p w14:paraId="245FE7E4" w14:textId="77777777" w:rsidR="00353BA1" w:rsidRDefault="00353BA1" w:rsidP="00353BA1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 duga za otpis koji je obuhvaćen ovom Odlukom je stanje duga u poslovnim knjigama banaka koje obavljaju mandatne poslove u ime i za račun</w:t>
      </w:r>
      <w:r w:rsidR="00B85040" w:rsidRPr="00B85040">
        <w:rPr>
          <w:rFonts w:ascii="Times New Roman" w:hAnsi="Times New Roman" w:cs="Times New Roman"/>
        </w:rPr>
        <w:t xml:space="preserve"> </w:t>
      </w:r>
      <w:r w:rsidR="00B85040">
        <w:rPr>
          <w:rFonts w:ascii="Times New Roman" w:hAnsi="Times New Roman" w:cs="Times New Roman"/>
        </w:rPr>
        <w:t>na dan 30. travnja 2024. godine</w:t>
      </w:r>
      <w:r>
        <w:rPr>
          <w:rFonts w:ascii="Times New Roman" w:hAnsi="Times New Roman" w:cs="Times New Roman"/>
        </w:rPr>
        <w:t>, a uvjeti se primjenjuju na ukupan zatečeni dug po kreditu s osnove glavnice s pripadajućom redovnom i zateznom kamatom te pripadajućih troškova na dan provedbe Odluke u poslovnim knjigama.</w:t>
      </w:r>
    </w:p>
    <w:p w14:paraId="0E4FEAE0" w14:textId="77777777" w:rsidR="00353BA1" w:rsidRDefault="00353BA1" w:rsidP="00353BA1">
      <w:pPr>
        <w:spacing w:before="120" w:after="120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Otpisuju se dug po kreditima kod kojih je ispunjen najmanje jedan od uvjeta:</w:t>
      </w:r>
    </w:p>
    <w:p w14:paraId="2AF24D12" w14:textId="77777777" w:rsidR="00353BA1" w:rsidRDefault="00353BA1" w:rsidP="00353BA1">
      <w:pPr>
        <w:spacing w:before="120" w:after="120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Otpisuju se potraživanja prema dužnicima pravnim osobama koja se ne mogu naplatiti u stečajnom postupku, a pravna osoba je likvidirana i/ili brisana iz sudskog registra na temelju pravomoćnog rješenja o zaključenju stečajnog postupka nad pravnom osobom ili u </w:t>
      </w:r>
      <w:r>
        <w:rPr>
          <w:rFonts w:ascii="Times New Roman" w:hAnsi="Times New Roman" w:cs="Times New Roman"/>
        </w:rPr>
        <w:lastRenderedPageBreak/>
        <w:t xml:space="preserve">postupku likvidacije na temelju pravomoćnog rješenja o brisanju pravne osobe iz sudskog registra koja se iz postojećih sredstava osiguranja povrata ne mogu naplatiti redovnim putem. </w:t>
      </w:r>
    </w:p>
    <w:p w14:paraId="2C838022" w14:textId="77777777" w:rsidR="00353BA1" w:rsidRDefault="00353BA1" w:rsidP="00353BA1">
      <w:pPr>
        <w:spacing w:before="120" w:after="120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Otpisuju se potraživanja prema pravnim i fizičkim osobama koja nisu namirena i/ili se ne mogu namiriti u ovršnom postupku; otpisuju se potraživanja po kreditima po kojima je dug po osnovi glavnice i redovne kamate izmiren u cijelosti, a nepodmirene su obveze temeljem samo zatezne kamate i/ili kamate po dospijeću i/ili naknade i/ili troškova naplate te se otpisuju potraživanja koja nisu namirena, a naplata kredita redovnim putem nije izvjesna temeljem postojećih instrumenata osiguranja povrata.</w:t>
      </w:r>
    </w:p>
    <w:p w14:paraId="4BD774F6" w14:textId="77777777" w:rsidR="00353BA1" w:rsidRDefault="00353BA1" w:rsidP="00353BA1">
      <w:pPr>
        <w:spacing w:before="120" w:after="120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Otpisuju se potraživanja prema korisnicima kredita fizičkim osobama teškog gospodarskog i/ili zdravstvenog stanja i/ili socijalnog položaja koji su od Ministarstva poljoprivrede i/ili županije zatražili otpis i priložili dokaze da uslijed stradanja usjeva, nasada, gubitka stoke imaju smanjenje proizvodnih kapaciteta, odnosno uslijed smrti i/ili teške bolesti imaju potpuni gubitak ili smanjenje radne sposobnosti, a ukupni dohodak odnosno primici ne prelaze jednu proračunsku osnovicu po članu kućanstva mjesečno, odnosno da su korisnici zajamčene naknade ili nekog oblika pomoći u sustavu socijalne skrbi, posljedicom čega nisu u mogućnosti vraćati kredit, stoga naplata kredita nije izvjesna temeljem postojećih instrumenata osiguranja povrata redovnim putem bez da korisnik bude gospodarski i socijalno doveden u nepovoljniji položaj, budući da su dokazali kako zajedno s punoljetnim članovima kućanstva od nekretnina u vlasništvu imaju samo nekretnine koje su predmet kreditnog zaloga odnosno kuću ili stan koju koristi za stanovanje i/ili poljoprivredno zemljište koje u poljoprivrednoj proizvodnji koristi isključivo za vlastite potrebe.</w:t>
      </w:r>
    </w:p>
    <w:p w14:paraId="23AEEEB1" w14:textId="77777777" w:rsidR="00353BA1" w:rsidRDefault="00353BA1" w:rsidP="00353BA1">
      <w:pPr>
        <w:spacing w:before="120" w:after="120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Napominjemo kako se uvjet B) iz Odluke se primjenjivao vremenski ograničeno samo na korisnike kredita stradale u županjskoj poplavi u skladu s Odlukom o izmjenama i dopuni Odluke o izmjenama uvjeta kredita odobrenih od strane Ministarstva poljoprivrede, ribarstva i ruralnog razvoja (»Narodne novine«, broj 79/2015) kojim se otpisuju potraživanja prema pravnim i fizičkim osobama s područja pogođenog poplavama 2014. godine, a koja područja su utvrđena Odlukom o pomoći poljoprivrednim proizvođačima na područjima zahvaćenim poplavom, za provedbu naknadne sjetve za 2014. godinu (»Narodne novine«, br. 65/2014 i 151/2014).</w:t>
      </w:r>
    </w:p>
    <w:p w14:paraId="0907B04E" w14:textId="77777777" w:rsidR="00353BA1" w:rsidRDefault="00353BA1" w:rsidP="00353BA1">
      <w:pPr>
        <w:spacing w:before="120" w:after="120"/>
        <w:ind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Pregled duga koji se otpisuje prema programima koje je odobrilo Ministarstvo (EUR)</w:t>
      </w:r>
    </w:p>
    <w:tbl>
      <w:tblPr>
        <w:tblW w:w="95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159"/>
        <w:gridCol w:w="1448"/>
        <w:gridCol w:w="1449"/>
        <w:gridCol w:w="1425"/>
        <w:gridCol w:w="1038"/>
        <w:gridCol w:w="1310"/>
      </w:tblGrid>
      <w:tr w:rsidR="00B85040" w14:paraId="77E98129" w14:textId="77777777" w:rsidTr="00B85040">
        <w:trPr>
          <w:trHeight w:val="4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35610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Program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9605B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kredita koji se otpisuju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253E8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dospjela glavnica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C4BF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redovna kamata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A894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zatezna kamata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23C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troškovi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DBC31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UKUPNO </w:t>
            </w:r>
          </w:p>
        </w:tc>
      </w:tr>
      <w:tr w:rsidR="00B85040" w14:paraId="5B58696B" w14:textId="77777777" w:rsidTr="00B85040">
        <w:trPr>
          <w:trHeight w:val="5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CE82C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MF (PBZ- ŽUBA)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3B794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66934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6D6372">
              <w:rPr>
                <w:rFonts w:ascii="Times New Roman" w:hAnsi="Times New Roman" w:cs="Times New Roman"/>
                <w:sz w:val="20"/>
                <w:szCs w:val="20"/>
              </w:rPr>
              <w:t>261.021,31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D1D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6D6372">
              <w:rPr>
                <w:rFonts w:ascii="Times New Roman" w:hAnsi="Times New Roman" w:cs="Times New Roman"/>
                <w:sz w:val="20"/>
                <w:szCs w:val="20"/>
              </w:rPr>
              <w:t>31.572,41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44EB7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6D6372">
              <w:rPr>
                <w:rFonts w:ascii="Times New Roman" w:hAnsi="Times New Roman" w:cs="Times New Roman"/>
                <w:sz w:val="20"/>
                <w:szCs w:val="20"/>
              </w:rPr>
              <w:t>474.760,71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C8BC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6D6372">
              <w:rPr>
                <w:rFonts w:ascii="Times New Roman" w:hAnsi="Times New Roman" w:cs="Times New Roman"/>
                <w:sz w:val="20"/>
                <w:szCs w:val="20"/>
              </w:rPr>
              <w:t>1.496,02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840B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6D6372">
              <w:rPr>
                <w:rFonts w:ascii="Times New Roman" w:hAnsi="Times New Roman" w:cs="Times New Roman"/>
                <w:sz w:val="20"/>
                <w:szCs w:val="20"/>
              </w:rPr>
              <w:t>768.850,45</w:t>
            </w:r>
          </w:p>
        </w:tc>
      </w:tr>
      <w:tr w:rsidR="00B85040" w14:paraId="2B7B281D" w14:textId="77777777" w:rsidTr="00B85040">
        <w:trPr>
          <w:trHeight w:val="44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1C6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MP (PBZ)z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AFF19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2298" w14:textId="77777777" w:rsidR="00DA6784" w:rsidRPr="00480C10" w:rsidRDefault="00DA6784" w:rsidP="00DA67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6910A1F" w14:textId="77777777" w:rsidR="00DA6784" w:rsidRPr="00480C10" w:rsidRDefault="00DA6784" w:rsidP="00DA678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480C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1.531.746,49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E0621" w14:textId="77777777" w:rsidR="00DA6784" w:rsidRPr="00480C10" w:rsidRDefault="00DA6784" w:rsidP="00DA67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77DE2AC" w14:textId="77777777" w:rsidR="00DA6784" w:rsidRPr="00480C10" w:rsidRDefault="00DA6784" w:rsidP="00DA678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480C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319.286,90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D3A7" w14:textId="77777777" w:rsidR="00353BA1" w:rsidRPr="00480C10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75D681C" w14:textId="77777777" w:rsidR="00DA6784" w:rsidRPr="00480C10" w:rsidRDefault="00DA6784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480C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2.247.731,05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FEE16" w14:textId="77777777" w:rsidR="00353BA1" w:rsidRPr="00480C10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480C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5.514,88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D9BD5" w14:textId="77777777" w:rsidR="00353BA1" w:rsidRPr="00480C10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F200C0E" w14:textId="77777777" w:rsidR="00DA6784" w:rsidRPr="00480C10" w:rsidRDefault="00DA6784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480C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4.104.279,32</w:t>
            </w:r>
          </w:p>
        </w:tc>
      </w:tr>
      <w:tr w:rsidR="00B85040" w14:paraId="67122073" w14:textId="77777777" w:rsidTr="00B85040">
        <w:trPr>
          <w:trHeight w:val="36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EAEC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MP (HPB)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3A97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A53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4.396,40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500B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0E1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9.220,08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9462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5C21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14.617,15</w:t>
            </w:r>
          </w:p>
        </w:tc>
      </w:tr>
      <w:tr w:rsidR="00B85040" w14:paraId="0316AFD5" w14:textId="77777777" w:rsidTr="00B85040">
        <w:trPr>
          <w:trHeight w:val="46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BA0A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MP SMŽ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D871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337B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169.360,20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B3A6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16.845,18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C976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243.779,14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8BC1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6.569,24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6DCA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436.553,76</w:t>
            </w:r>
          </w:p>
        </w:tc>
      </w:tr>
      <w:tr w:rsidR="00B85040" w14:paraId="27936B32" w14:textId="77777777" w:rsidTr="00B85040">
        <w:trPr>
          <w:trHeight w:val="43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42DE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MP KCKŽ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F2E0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5D02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9.937,29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E33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14B0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3.397,74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72C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243,67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7FF9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14.261,22</w:t>
            </w:r>
          </w:p>
        </w:tc>
      </w:tr>
      <w:tr w:rsidR="00B85040" w14:paraId="2B826E4B" w14:textId="77777777" w:rsidTr="00B85040">
        <w:trPr>
          <w:trHeight w:val="47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1AD4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MP VPŽ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23AA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F2C4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61.624,56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4A60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4.515,81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4AC5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119.272,73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582F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DD2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185.413,10</w:t>
            </w:r>
          </w:p>
        </w:tc>
      </w:tr>
      <w:tr w:rsidR="00B85040" w14:paraId="17688883" w14:textId="77777777" w:rsidTr="00B85040">
        <w:trPr>
          <w:trHeight w:val="47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E0046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MP KZŽ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4CC8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55D8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38.224,23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1A5B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6.644,75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FB8F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50.386,36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895E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D4FC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95.255,34</w:t>
            </w:r>
          </w:p>
        </w:tc>
      </w:tr>
      <w:tr w:rsidR="00B85040" w14:paraId="1649A5FD" w14:textId="77777777" w:rsidTr="00B85040">
        <w:trPr>
          <w:trHeight w:val="43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9CF9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UKUPNO 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D06E7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EB737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F79704" w14:textId="77777777" w:rsidR="00DA6784" w:rsidRDefault="00DA6784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A678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2.076.310,48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94CCB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B3E782" w14:textId="77777777" w:rsidR="00DA6784" w:rsidRDefault="00DA6784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A678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380.534,97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51EF3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411702" w14:textId="77777777" w:rsidR="00DA6784" w:rsidRDefault="00DA6784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A678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3.148.547,81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C938C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13.837,08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54A62" w14:textId="77777777" w:rsidR="00353BA1" w:rsidRDefault="00353BA1" w:rsidP="00076A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137A5A" w14:textId="77777777" w:rsidR="00DA6784" w:rsidRDefault="00DA6784" w:rsidP="00076A3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A678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5.619.230,34</w:t>
            </w:r>
          </w:p>
        </w:tc>
      </w:tr>
    </w:tbl>
    <w:p w14:paraId="3F864CA9" w14:textId="7EE83B75" w:rsidR="00622483" w:rsidRPr="00143962" w:rsidRDefault="00353BA1" w:rsidP="006B60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Ministarstvo je u 2023. godini bankama platilo više od 70.000,00 eura za poslove mandatnog vođenja ovih kredita, a s obzirom da nakon provedbe ove Odluke u otplati ostaje još 122 kredita očekuje se značajno smanjenje ovih troškova.</w:t>
      </w:r>
      <w:bookmarkEnd w:id="0"/>
    </w:p>
    <w:sectPr w:rsidR="00622483" w:rsidRPr="00143962" w:rsidSect="00E34A69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EDA774A" w16cid:durableId="613E36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D5AB5"/>
    <w:multiLevelType w:val="multilevel"/>
    <w:tmpl w:val="3C7E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63AB9"/>
    <w:multiLevelType w:val="hybridMultilevel"/>
    <w:tmpl w:val="349216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FD"/>
    <w:rsid w:val="00004578"/>
    <w:rsid w:val="000166FC"/>
    <w:rsid w:val="000331C9"/>
    <w:rsid w:val="00036D84"/>
    <w:rsid w:val="00053F4C"/>
    <w:rsid w:val="0007205C"/>
    <w:rsid w:val="00076A39"/>
    <w:rsid w:val="000A4153"/>
    <w:rsid w:val="000C080D"/>
    <w:rsid w:val="000D0927"/>
    <w:rsid w:val="000E0ACD"/>
    <w:rsid w:val="000F5495"/>
    <w:rsid w:val="00110392"/>
    <w:rsid w:val="001158A0"/>
    <w:rsid w:val="00117B6E"/>
    <w:rsid w:val="00155AB8"/>
    <w:rsid w:val="001637BF"/>
    <w:rsid w:val="00177870"/>
    <w:rsid w:val="00181B9F"/>
    <w:rsid w:val="00183A51"/>
    <w:rsid w:val="00183B2E"/>
    <w:rsid w:val="00186B05"/>
    <w:rsid w:val="00194A9D"/>
    <w:rsid w:val="00195F9E"/>
    <w:rsid w:val="001A0B4E"/>
    <w:rsid w:val="001B4F55"/>
    <w:rsid w:val="001C2CFE"/>
    <w:rsid w:val="001E45B2"/>
    <w:rsid w:val="00246CF6"/>
    <w:rsid w:val="0025257E"/>
    <w:rsid w:val="0025415C"/>
    <w:rsid w:val="00270A06"/>
    <w:rsid w:val="002A575D"/>
    <w:rsid w:val="002F7C2A"/>
    <w:rsid w:val="00353BA1"/>
    <w:rsid w:val="003828A8"/>
    <w:rsid w:val="003844CB"/>
    <w:rsid w:val="003A1739"/>
    <w:rsid w:val="003E6A4D"/>
    <w:rsid w:val="003E6B9D"/>
    <w:rsid w:val="003E7F77"/>
    <w:rsid w:val="00417E2D"/>
    <w:rsid w:val="00421BBB"/>
    <w:rsid w:val="00424A96"/>
    <w:rsid w:val="004535A7"/>
    <w:rsid w:val="00480C10"/>
    <w:rsid w:val="004B0013"/>
    <w:rsid w:val="004D62B2"/>
    <w:rsid w:val="004E430A"/>
    <w:rsid w:val="00517E72"/>
    <w:rsid w:val="00534897"/>
    <w:rsid w:val="00546E1F"/>
    <w:rsid w:val="005525CB"/>
    <w:rsid w:val="00555A1C"/>
    <w:rsid w:val="00555AD4"/>
    <w:rsid w:val="00562915"/>
    <w:rsid w:val="005673B9"/>
    <w:rsid w:val="0058582B"/>
    <w:rsid w:val="005C21C4"/>
    <w:rsid w:val="00622483"/>
    <w:rsid w:val="00625D86"/>
    <w:rsid w:val="00632CC9"/>
    <w:rsid w:val="006507D0"/>
    <w:rsid w:val="00655467"/>
    <w:rsid w:val="006568E6"/>
    <w:rsid w:val="00677906"/>
    <w:rsid w:val="006B6055"/>
    <w:rsid w:val="007525A1"/>
    <w:rsid w:val="00773356"/>
    <w:rsid w:val="0079566F"/>
    <w:rsid w:val="007A4F45"/>
    <w:rsid w:val="007B2518"/>
    <w:rsid w:val="007C2923"/>
    <w:rsid w:val="007C3BF5"/>
    <w:rsid w:val="007C731A"/>
    <w:rsid w:val="007D2010"/>
    <w:rsid w:val="007F2F94"/>
    <w:rsid w:val="007F44A7"/>
    <w:rsid w:val="00855EFA"/>
    <w:rsid w:val="00867FFD"/>
    <w:rsid w:val="0087065C"/>
    <w:rsid w:val="008808CE"/>
    <w:rsid w:val="008B13AC"/>
    <w:rsid w:val="008D2E31"/>
    <w:rsid w:val="008F5E27"/>
    <w:rsid w:val="00920B67"/>
    <w:rsid w:val="009345F7"/>
    <w:rsid w:val="00943AFF"/>
    <w:rsid w:val="009600E9"/>
    <w:rsid w:val="00964C0D"/>
    <w:rsid w:val="00992CFD"/>
    <w:rsid w:val="009A3B81"/>
    <w:rsid w:val="009A4E42"/>
    <w:rsid w:val="009B2797"/>
    <w:rsid w:val="009B34DE"/>
    <w:rsid w:val="00A074BC"/>
    <w:rsid w:val="00A1731F"/>
    <w:rsid w:val="00A34A52"/>
    <w:rsid w:val="00A440B1"/>
    <w:rsid w:val="00A606EF"/>
    <w:rsid w:val="00A656E3"/>
    <w:rsid w:val="00AA2171"/>
    <w:rsid w:val="00AA4C47"/>
    <w:rsid w:val="00AB30FE"/>
    <w:rsid w:val="00AC4562"/>
    <w:rsid w:val="00AD4F10"/>
    <w:rsid w:val="00AD59F1"/>
    <w:rsid w:val="00B02851"/>
    <w:rsid w:val="00B141C4"/>
    <w:rsid w:val="00B2417C"/>
    <w:rsid w:val="00B428CC"/>
    <w:rsid w:val="00B835E0"/>
    <w:rsid w:val="00B85040"/>
    <w:rsid w:val="00B86DF4"/>
    <w:rsid w:val="00BA68A1"/>
    <w:rsid w:val="00BB041D"/>
    <w:rsid w:val="00BC31AB"/>
    <w:rsid w:val="00BD1AD6"/>
    <w:rsid w:val="00BD48E6"/>
    <w:rsid w:val="00BD6E0A"/>
    <w:rsid w:val="00C01523"/>
    <w:rsid w:val="00C07E28"/>
    <w:rsid w:val="00C652C2"/>
    <w:rsid w:val="00C74267"/>
    <w:rsid w:val="00C876FB"/>
    <w:rsid w:val="00CA4DA0"/>
    <w:rsid w:val="00CF5029"/>
    <w:rsid w:val="00D11B82"/>
    <w:rsid w:val="00D43B2C"/>
    <w:rsid w:val="00D70F82"/>
    <w:rsid w:val="00DA6784"/>
    <w:rsid w:val="00DB3DCA"/>
    <w:rsid w:val="00DC25CC"/>
    <w:rsid w:val="00DC71D9"/>
    <w:rsid w:val="00E30905"/>
    <w:rsid w:val="00E34A69"/>
    <w:rsid w:val="00E503EE"/>
    <w:rsid w:val="00E72D71"/>
    <w:rsid w:val="00ED6E81"/>
    <w:rsid w:val="00ED73F4"/>
    <w:rsid w:val="00EE3EF9"/>
    <w:rsid w:val="00EE7255"/>
    <w:rsid w:val="00EF3AA7"/>
    <w:rsid w:val="00EF4315"/>
    <w:rsid w:val="00F34DEC"/>
    <w:rsid w:val="00F52CAF"/>
    <w:rsid w:val="00F60E5C"/>
    <w:rsid w:val="00FA2E60"/>
    <w:rsid w:val="00FD504B"/>
    <w:rsid w:val="00FD7CBD"/>
    <w:rsid w:val="00FE0E2D"/>
    <w:rsid w:val="00FF11CC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400A4"/>
  <w15:docId w15:val="{8EE45A7B-2C92-4537-84F5-A3BEDC3D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8A0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7FFD"/>
    <w:pPr>
      <w:keepNext/>
      <w:outlineLvl w:val="0"/>
    </w:pPr>
    <w:rPr>
      <w:rFonts w:ascii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43962"/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7FFD"/>
    <w:rPr>
      <w:b/>
      <w:bCs/>
      <w:sz w:val="24"/>
      <w:szCs w:val="24"/>
    </w:rPr>
  </w:style>
  <w:style w:type="character" w:styleId="Hyperlink">
    <w:name w:val="Hyperlink"/>
    <w:uiPriority w:val="99"/>
    <w:unhideWhenUsed/>
    <w:rsid w:val="00867FF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867FFD"/>
    <w:rPr>
      <w:color w:val="800080"/>
      <w:u w:val="single"/>
    </w:rPr>
  </w:style>
  <w:style w:type="paragraph" w:customStyle="1" w:styleId="msonormal0">
    <w:name w:val="msonormal"/>
    <w:basedOn w:val="Normal"/>
    <w:rsid w:val="00867FFD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867F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font5">
    <w:name w:val="font5"/>
    <w:basedOn w:val="Normal"/>
    <w:rsid w:val="00867FF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Normal"/>
    <w:rsid w:val="00867FFD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font7">
    <w:name w:val="font7"/>
    <w:basedOn w:val="Normal"/>
    <w:rsid w:val="00867FFD"/>
    <w:pPr>
      <w:spacing w:before="100" w:beforeAutospacing="1" w:after="100" w:afterAutospacing="1"/>
    </w:pPr>
    <w:rPr>
      <w:rFonts w:ascii="Times New Roman" w:hAnsi="Times New Roman" w:cs="Times New Roman"/>
      <w:i/>
      <w:iCs/>
    </w:rPr>
  </w:style>
  <w:style w:type="paragraph" w:customStyle="1" w:styleId="xl78">
    <w:name w:val="xl78"/>
    <w:basedOn w:val="Normal"/>
    <w:rsid w:val="00867FFD"/>
    <w:pPr>
      <w:spacing w:before="100" w:beforeAutospacing="1" w:after="100" w:afterAutospacing="1"/>
      <w:jc w:val="center"/>
    </w:pPr>
    <w:rPr>
      <w:rFonts w:ascii="Times New Roman" w:hAnsi="Times New Roman" w:cs="Times New Roman"/>
      <w:color w:val="auto"/>
    </w:rPr>
  </w:style>
  <w:style w:type="paragraph" w:customStyle="1" w:styleId="xl79">
    <w:name w:val="xl79"/>
    <w:basedOn w:val="Normal"/>
    <w:rsid w:val="00867FFD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80">
    <w:name w:val="xl80"/>
    <w:basedOn w:val="Normal"/>
    <w:rsid w:val="00867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867FFD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Normal"/>
    <w:rsid w:val="00867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B8CCE4"/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xl83">
    <w:name w:val="xl83"/>
    <w:basedOn w:val="Normal"/>
    <w:rsid w:val="00867FFD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Normal"/>
    <w:rsid w:val="00867F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i/>
      <w:iCs/>
      <w:color w:val="auto"/>
      <w:sz w:val="16"/>
      <w:szCs w:val="16"/>
    </w:rPr>
  </w:style>
  <w:style w:type="paragraph" w:customStyle="1" w:styleId="xl85">
    <w:name w:val="xl85"/>
    <w:basedOn w:val="Normal"/>
    <w:rsid w:val="00867FF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i/>
      <w:iCs/>
      <w:color w:val="auto"/>
      <w:sz w:val="16"/>
      <w:szCs w:val="16"/>
    </w:rPr>
  </w:style>
  <w:style w:type="paragraph" w:customStyle="1" w:styleId="xl86">
    <w:name w:val="xl86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7">
    <w:name w:val="xl87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8">
    <w:name w:val="xl88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9">
    <w:name w:val="xl89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90">
    <w:name w:val="xl90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91">
    <w:name w:val="xl91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4">
    <w:name w:val="xl64"/>
    <w:basedOn w:val="Normal"/>
    <w:rsid w:val="00867FFD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5">
    <w:name w:val="xl65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6">
    <w:name w:val="xl66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7">
    <w:name w:val="xl67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xl68">
    <w:name w:val="xl68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70">
    <w:name w:val="xl70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xl71">
    <w:name w:val="xl71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</w:rPr>
  </w:style>
  <w:style w:type="paragraph" w:customStyle="1" w:styleId="xl72">
    <w:name w:val="xl72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xl73">
    <w:name w:val="xl73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xl74">
    <w:name w:val="xl74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5">
    <w:name w:val="xl75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b/>
      <w:bCs/>
      <w:color w:val="auto"/>
      <w:sz w:val="20"/>
      <w:szCs w:val="20"/>
    </w:rPr>
  </w:style>
  <w:style w:type="paragraph" w:customStyle="1" w:styleId="xl92">
    <w:name w:val="xl92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xl93">
    <w:name w:val="xl93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xl94">
    <w:name w:val="xl94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xl95">
    <w:name w:val="xl95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xl96">
    <w:name w:val="xl96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xl97">
    <w:name w:val="xl97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xl98">
    <w:name w:val="xl98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xl99">
    <w:name w:val="xl99"/>
    <w:basedOn w:val="Normal"/>
    <w:rsid w:val="00867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18"/>
      <w:szCs w:val="18"/>
    </w:rPr>
  </w:style>
  <w:style w:type="table" w:customStyle="1" w:styleId="Reetkatablice1">
    <w:name w:val="Rešetka tablice1"/>
    <w:basedOn w:val="TableNormal"/>
    <w:uiPriority w:val="59"/>
    <w:rsid w:val="00867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7FFD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CA4D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4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4DA0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4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4DA0"/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AZJMDCZ6QSYZ-766340090-7159</_dlc_DocId>
    <_dlc_DocIdUrl xmlns="a494813a-d0d8-4dad-94cb-0d196f36ba15">
      <Url>https://ekoordinacije.vlada.hr/sektorske-politike/_layouts/15/DocIdRedir.aspx?ID=AZJMDCZ6QSYZ-766340090-7159</Url>
      <Description>AZJMDCZ6QSYZ-766340090-7159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C5A4-DBA7-47B0-984E-5CD82DA218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schemas.microsoft.com/office/infopath/2007/PartnerControls"/>
    <ds:schemaRef ds:uri="http://purl.org/dc/elements/1.1/"/>
    <ds:schemaRef ds:uri="df35c308-cda9-40a6-a089-6b134139c75b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D79372-3656-499B-9698-E74F085A7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FB35AB-EE50-4F52-ACAA-4C5EDE81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Sunčica Marini</cp:lastModifiedBy>
  <cp:revision>8</cp:revision>
  <cp:lastPrinted>2024-07-22T07:58:00Z</cp:lastPrinted>
  <dcterms:created xsi:type="dcterms:W3CDTF">2024-08-06T13:25:00Z</dcterms:created>
  <dcterms:modified xsi:type="dcterms:W3CDTF">2024-08-06T13:54:00Z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1abc7020-2272-4f7b-a974-b8638be2508a</vt:lpwstr>
  </property>
</Properties>
</file>