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FC99" w14:textId="77777777" w:rsidR="00257DB3" w:rsidRPr="002B5A07" w:rsidRDefault="00257DB3" w:rsidP="00257DB3">
      <w:pPr>
        <w:jc w:val="center"/>
      </w:pPr>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7F28060A" w:rsidR="00257DB3" w:rsidRPr="002B5A07" w:rsidRDefault="00257DB3" w:rsidP="00257DB3">
      <w:pPr>
        <w:spacing w:after="2400"/>
        <w:jc w:val="right"/>
      </w:pPr>
      <w:r w:rsidRPr="002B5A07">
        <w:t xml:space="preserve">Zagreb, </w:t>
      </w:r>
      <w:r w:rsidR="000B0D7A">
        <w:t>26</w:t>
      </w:r>
      <w:r>
        <w:t>. kolovoza</w:t>
      </w:r>
      <w:r w:rsidRPr="002B5A07">
        <w:t xml:space="preserve"> 2024.</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r>
        <w:rPr>
          <w:color w:val="231F20"/>
        </w:rPr>
        <w:br w:type="page"/>
      </w:r>
    </w:p>
    <w:p w14:paraId="06A59927" w14:textId="77777777" w:rsidR="00F76C1D" w:rsidRDefault="00F76C1D" w:rsidP="00257DB3">
      <w:pPr>
        <w:jc w:val="both"/>
        <w:textAlignment w:val="baseline"/>
        <w:rPr>
          <w:color w:val="231F20"/>
        </w:rPr>
      </w:pPr>
    </w:p>
    <w:p w14:paraId="055EC65F" w14:textId="77777777" w:rsidR="00F76C1D" w:rsidRDefault="00F76C1D" w:rsidP="00257DB3">
      <w:pPr>
        <w:jc w:val="both"/>
        <w:textAlignment w:val="baseline"/>
        <w:rPr>
          <w:color w:val="231F20"/>
        </w:rPr>
      </w:pPr>
    </w:p>
    <w:p w14:paraId="1FECD9A5" w14:textId="48FFCAA5" w:rsidR="00F76C1D" w:rsidRDefault="00F76C1D" w:rsidP="00257DB3">
      <w:pPr>
        <w:jc w:val="both"/>
        <w:textAlignment w:val="baseline"/>
        <w:rPr>
          <w:color w:val="231F20"/>
        </w:rPr>
      </w:pPr>
    </w:p>
    <w:p w14:paraId="5C664C15" w14:textId="77777777" w:rsidR="00F76C1D" w:rsidRDefault="00F76C1D" w:rsidP="00257DB3">
      <w:pPr>
        <w:jc w:val="both"/>
        <w:textAlignment w:val="baseline"/>
        <w:rPr>
          <w:color w:val="231F20"/>
        </w:rPr>
      </w:pPr>
    </w:p>
    <w:p w14:paraId="5B81A3DC" w14:textId="77777777" w:rsidR="00F76C1D" w:rsidRDefault="00F76C1D" w:rsidP="00257DB3">
      <w:pPr>
        <w:jc w:val="both"/>
        <w:textAlignment w:val="baseline"/>
        <w:rPr>
          <w:color w:val="231F20"/>
        </w:rPr>
      </w:pPr>
    </w:p>
    <w:p w14:paraId="2C9FEE37" w14:textId="77777777" w:rsidR="000B0D7A" w:rsidRDefault="00F76C1D" w:rsidP="000B0D7A">
      <w:pPr>
        <w:shd w:val="clear" w:color="auto" w:fill="FFFFFF"/>
        <w:jc w:val="both"/>
        <w:textAlignment w:val="baseline"/>
        <w:rPr>
          <w:color w:val="231F20"/>
        </w:rPr>
      </w:pPr>
      <w:r>
        <w:rPr>
          <w:color w:val="231F20"/>
        </w:rPr>
        <w:tab/>
      </w:r>
      <w:r>
        <w:rPr>
          <w:color w:val="231F20"/>
        </w:rPr>
        <w:tab/>
      </w:r>
    </w:p>
    <w:p w14:paraId="0E82826F" w14:textId="77777777" w:rsidR="000B0D7A" w:rsidRDefault="000B0D7A" w:rsidP="000B0D7A">
      <w:pPr>
        <w:shd w:val="clear" w:color="auto" w:fill="FFFFFF"/>
        <w:jc w:val="both"/>
        <w:textAlignment w:val="baseline"/>
        <w:rPr>
          <w:color w:val="231F20"/>
        </w:rPr>
      </w:pPr>
    </w:p>
    <w:p w14:paraId="3FD2969E" w14:textId="2C54447B" w:rsidR="000B0D7A" w:rsidRPr="00932BC4" w:rsidRDefault="000B0D7A" w:rsidP="000B0D7A">
      <w:pPr>
        <w:shd w:val="clear" w:color="auto" w:fill="FFFFFF"/>
        <w:jc w:val="both"/>
        <w:textAlignment w:val="baseline"/>
        <w:rPr>
          <w:color w:val="231F20"/>
        </w:rPr>
      </w:pPr>
      <w:r>
        <w:rPr>
          <w:color w:val="231F20"/>
        </w:rPr>
        <w:tab/>
      </w:r>
      <w:r>
        <w:rPr>
          <w:color w:val="231F20"/>
        </w:rPr>
        <w:tab/>
        <w:t>Na</w:t>
      </w:r>
      <w:r w:rsidRPr="00932BC4">
        <w:rPr>
          <w:color w:val="231F20"/>
        </w:rPr>
        <w:t xml:space="preserve"> temelju članka 9. stavka 2. Zakona o trž</w:t>
      </w:r>
      <w:r>
        <w:rPr>
          <w:color w:val="231F20"/>
        </w:rPr>
        <w:t>ištu nafte i naftnih derivata („Narodne novine“</w:t>
      </w:r>
      <w:r w:rsidRPr="00932BC4">
        <w:rPr>
          <w:color w:val="231F20"/>
        </w:rPr>
        <w:t>, br. 19/14</w:t>
      </w:r>
      <w:r>
        <w:rPr>
          <w:color w:val="231F20"/>
        </w:rPr>
        <w:t>.</w:t>
      </w:r>
      <w:r w:rsidRPr="00932BC4">
        <w:rPr>
          <w:color w:val="231F20"/>
        </w:rPr>
        <w:t>, 73/17</w:t>
      </w:r>
      <w:r>
        <w:rPr>
          <w:color w:val="231F20"/>
        </w:rPr>
        <w:t>.</w:t>
      </w:r>
      <w:r w:rsidRPr="00932BC4">
        <w:rPr>
          <w:color w:val="231F20"/>
        </w:rPr>
        <w:t xml:space="preserve"> i 96/19</w:t>
      </w:r>
      <w:r>
        <w:rPr>
          <w:color w:val="231F20"/>
        </w:rPr>
        <w:t>.</w:t>
      </w:r>
      <w:r w:rsidRPr="00932BC4">
        <w:rPr>
          <w:color w:val="231F20"/>
        </w:rPr>
        <w:t xml:space="preserve">), Vlada Republike Hrvatske je na sjednici </w:t>
      </w:r>
      <w:r w:rsidRPr="000B0D7A">
        <w:rPr>
          <w:color w:val="231F20"/>
        </w:rPr>
        <w:t xml:space="preserve">održanoj </w:t>
      </w:r>
      <w:r w:rsidR="00BE440D">
        <w:rPr>
          <w:color w:val="231F20"/>
        </w:rPr>
        <w:t xml:space="preserve">_____________ </w:t>
      </w:r>
      <w:bookmarkStart w:id="0" w:name="_GoBack"/>
      <w:bookmarkEnd w:id="0"/>
      <w:r w:rsidRPr="000B0D7A">
        <w:rPr>
          <w:color w:val="231F20"/>
        </w:rPr>
        <w:t>2024. donijela</w:t>
      </w:r>
    </w:p>
    <w:p w14:paraId="0CE91161" w14:textId="77777777" w:rsidR="000B0D7A" w:rsidRDefault="000B0D7A" w:rsidP="000B0D7A">
      <w:pPr>
        <w:shd w:val="clear" w:color="auto" w:fill="FFFFFF"/>
        <w:jc w:val="both"/>
        <w:textAlignment w:val="baseline"/>
        <w:rPr>
          <w:color w:val="231F20"/>
        </w:rPr>
      </w:pPr>
    </w:p>
    <w:p w14:paraId="644C71E1" w14:textId="77777777" w:rsidR="000B0D7A" w:rsidRPr="00932BC4" w:rsidRDefault="000B0D7A" w:rsidP="000B0D7A">
      <w:pPr>
        <w:shd w:val="clear" w:color="auto" w:fill="FFFFFF"/>
        <w:jc w:val="both"/>
        <w:textAlignment w:val="baseline"/>
        <w:rPr>
          <w:color w:val="231F20"/>
        </w:rPr>
      </w:pPr>
    </w:p>
    <w:p w14:paraId="63B9B50E" w14:textId="77777777" w:rsidR="000B0D7A" w:rsidRDefault="000B0D7A" w:rsidP="000B0D7A">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6663BEA3" w14:textId="77777777" w:rsidR="000B0D7A" w:rsidRPr="00F76C1D" w:rsidRDefault="000B0D7A" w:rsidP="000B0D7A">
      <w:pPr>
        <w:shd w:val="clear" w:color="auto" w:fill="FFFFFF"/>
        <w:textAlignment w:val="baseline"/>
        <w:rPr>
          <w:b/>
          <w:bCs/>
          <w:color w:val="231F20"/>
        </w:rPr>
      </w:pPr>
    </w:p>
    <w:p w14:paraId="1B956A47" w14:textId="77777777" w:rsidR="000B0D7A" w:rsidRPr="00F76C1D" w:rsidRDefault="000B0D7A" w:rsidP="000B0D7A">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4E1AF152" w14:textId="77777777" w:rsidR="000B0D7A" w:rsidRDefault="000B0D7A" w:rsidP="000B0D7A">
      <w:pPr>
        <w:shd w:val="clear" w:color="auto" w:fill="FFFFFF"/>
        <w:spacing w:before="34" w:after="48"/>
        <w:jc w:val="center"/>
        <w:textAlignment w:val="baseline"/>
        <w:rPr>
          <w:color w:val="231F20"/>
        </w:rPr>
      </w:pPr>
    </w:p>
    <w:p w14:paraId="7AA8B439" w14:textId="77777777" w:rsidR="000B0D7A" w:rsidRPr="00932BC4" w:rsidRDefault="000B0D7A" w:rsidP="000B0D7A">
      <w:pPr>
        <w:shd w:val="clear" w:color="auto" w:fill="FFFFFF"/>
        <w:spacing w:before="34" w:after="48"/>
        <w:jc w:val="center"/>
        <w:textAlignment w:val="baseline"/>
        <w:rPr>
          <w:color w:val="231F20"/>
        </w:rPr>
      </w:pPr>
    </w:p>
    <w:p w14:paraId="3516DBF4" w14:textId="77777777" w:rsidR="000B0D7A" w:rsidRPr="00F76C1D" w:rsidRDefault="000B0D7A" w:rsidP="000B0D7A">
      <w:pPr>
        <w:shd w:val="clear" w:color="auto" w:fill="FFFFFF"/>
        <w:jc w:val="center"/>
        <w:textAlignment w:val="baseline"/>
        <w:rPr>
          <w:b/>
          <w:color w:val="231F20"/>
        </w:rPr>
      </w:pPr>
      <w:r w:rsidRPr="00F76C1D">
        <w:rPr>
          <w:b/>
          <w:color w:val="231F20"/>
        </w:rPr>
        <w:t>Članak 1.</w:t>
      </w:r>
    </w:p>
    <w:p w14:paraId="4900F32F" w14:textId="77777777" w:rsidR="000B0D7A" w:rsidRPr="00932BC4" w:rsidRDefault="000B0D7A" w:rsidP="000B0D7A">
      <w:pPr>
        <w:shd w:val="clear" w:color="auto" w:fill="FFFFFF"/>
        <w:jc w:val="center"/>
        <w:textAlignment w:val="baseline"/>
        <w:rPr>
          <w:color w:val="231F20"/>
        </w:rPr>
      </w:pPr>
    </w:p>
    <w:p w14:paraId="447E4038" w14:textId="77777777" w:rsidR="000B0D7A" w:rsidRPr="00932BC4" w:rsidRDefault="000B0D7A" w:rsidP="000B0D7A">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3A727EA2" w14:textId="77777777" w:rsidR="000B0D7A" w:rsidRPr="00932BC4" w:rsidRDefault="000B0D7A" w:rsidP="000B0D7A">
      <w:pPr>
        <w:shd w:val="clear" w:color="auto" w:fill="FFFFFF"/>
        <w:spacing w:before="34" w:after="48"/>
        <w:jc w:val="center"/>
        <w:textAlignment w:val="baseline"/>
        <w:rPr>
          <w:color w:val="231F20"/>
        </w:rPr>
      </w:pPr>
    </w:p>
    <w:p w14:paraId="5570E1F8" w14:textId="77777777" w:rsidR="000B0D7A" w:rsidRPr="00F76C1D" w:rsidRDefault="000B0D7A" w:rsidP="000B0D7A">
      <w:pPr>
        <w:shd w:val="clear" w:color="auto" w:fill="FFFFFF"/>
        <w:jc w:val="center"/>
        <w:textAlignment w:val="baseline"/>
        <w:rPr>
          <w:b/>
          <w:color w:val="231F20"/>
        </w:rPr>
      </w:pPr>
      <w:r w:rsidRPr="00F76C1D">
        <w:rPr>
          <w:b/>
          <w:color w:val="231F20"/>
        </w:rPr>
        <w:t>Članak 2.</w:t>
      </w:r>
    </w:p>
    <w:p w14:paraId="6699CE1E" w14:textId="77777777" w:rsidR="000B0D7A" w:rsidRPr="00932BC4" w:rsidRDefault="000B0D7A" w:rsidP="000B0D7A">
      <w:pPr>
        <w:shd w:val="clear" w:color="auto" w:fill="FFFFFF"/>
        <w:jc w:val="center"/>
        <w:textAlignment w:val="baseline"/>
        <w:rPr>
          <w:color w:val="231F20"/>
        </w:rPr>
      </w:pPr>
    </w:p>
    <w:p w14:paraId="35854BBC" w14:textId="77777777" w:rsidR="000B0D7A" w:rsidRPr="00932BC4" w:rsidRDefault="000B0D7A" w:rsidP="000B0D7A">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55B74848" w14:textId="77777777" w:rsidR="000B0D7A" w:rsidRPr="00932BC4" w:rsidRDefault="000B0D7A" w:rsidP="000B0D7A">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735CDBF4" w14:textId="77777777" w:rsidR="000B0D7A" w:rsidRPr="00932BC4" w:rsidRDefault="000B0D7A" w:rsidP="000B0D7A">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4C6F0BC3" w14:textId="77777777" w:rsidR="000B0D7A" w:rsidRPr="00932BC4" w:rsidRDefault="000B0D7A" w:rsidP="000B0D7A">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5B2315E0" w14:textId="77777777" w:rsidR="000B0D7A" w:rsidRPr="00932BC4" w:rsidRDefault="000B0D7A" w:rsidP="000B0D7A">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propan – butan za spremnike UNP PB (ukapljeni naftni plin propan – butan</w:t>
      </w:r>
      <w:r>
        <w:rPr>
          <w:color w:val="000000"/>
        </w:rPr>
        <w:t>)</w:t>
      </w:r>
    </w:p>
    <w:p w14:paraId="6C0B0AA3" w14:textId="77777777" w:rsidR="000B0D7A" w:rsidRDefault="000B0D7A" w:rsidP="000B0D7A">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w:t>
      </w:r>
      <w:r w:rsidRPr="0043118E">
        <w:rPr>
          <w:color w:val="000000"/>
          <w:spacing w:val="-2"/>
        </w:rPr>
        <w:t xml:space="preserve"> propan – butan za boce sadržaja 7,5 kg i više, UNP PB (ukapljeni naftni plin propan – butan).</w:t>
      </w:r>
    </w:p>
    <w:p w14:paraId="7EA40E5D" w14:textId="77777777" w:rsidR="000B0D7A" w:rsidRPr="00932BC4" w:rsidRDefault="000B0D7A" w:rsidP="000B0D7A">
      <w:pPr>
        <w:pStyle w:val="t-9-8"/>
        <w:shd w:val="clear" w:color="auto" w:fill="FFFFFF"/>
        <w:spacing w:before="0" w:beforeAutospacing="0" w:after="0" w:afterAutospacing="0"/>
        <w:jc w:val="both"/>
        <w:textAlignment w:val="baseline"/>
        <w:rPr>
          <w:color w:val="000000"/>
        </w:rPr>
      </w:pPr>
    </w:p>
    <w:p w14:paraId="76C80F6D" w14:textId="77777777" w:rsidR="000B0D7A" w:rsidRPr="00932BC4" w:rsidRDefault="000B0D7A" w:rsidP="000B0D7A">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7404BC5C" w14:textId="77777777" w:rsidR="000B0D7A" w:rsidRPr="00932BC4" w:rsidRDefault="000B0D7A" w:rsidP="000B0D7A">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74BB07AF" w14:textId="77777777" w:rsidR="000B0D7A" w:rsidRPr="00932BC4" w:rsidRDefault="000B0D7A" w:rsidP="000B0D7A">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4622C4ED" w14:textId="77777777" w:rsidR="000B0D7A" w:rsidRPr="00932BC4" w:rsidRDefault="000B0D7A" w:rsidP="000B0D7A">
      <w:pPr>
        <w:jc w:val="both"/>
        <w:rPr>
          <w:color w:val="000000"/>
        </w:rPr>
      </w:pPr>
    </w:p>
    <w:p w14:paraId="3EE997C8" w14:textId="77777777" w:rsidR="000B0D7A" w:rsidRPr="00F76C1D" w:rsidRDefault="000B0D7A" w:rsidP="000B0D7A">
      <w:pPr>
        <w:shd w:val="clear" w:color="auto" w:fill="FFFFFF"/>
        <w:jc w:val="center"/>
        <w:textAlignment w:val="baseline"/>
        <w:rPr>
          <w:b/>
          <w:color w:val="231F20"/>
        </w:rPr>
      </w:pPr>
      <w:r w:rsidRPr="00F76C1D">
        <w:rPr>
          <w:b/>
          <w:color w:val="231F20"/>
        </w:rPr>
        <w:t>Članak 3.</w:t>
      </w:r>
    </w:p>
    <w:p w14:paraId="2270ABC6" w14:textId="77777777" w:rsidR="000B0D7A" w:rsidRPr="00932BC4" w:rsidRDefault="000B0D7A" w:rsidP="000B0D7A">
      <w:pPr>
        <w:shd w:val="clear" w:color="auto" w:fill="FFFFFF"/>
        <w:jc w:val="center"/>
        <w:textAlignment w:val="baseline"/>
        <w:rPr>
          <w:color w:val="231F20"/>
        </w:rPr>
      </w:pPr>
    </w:p>
    <w:p w14:paraId="577A95C8" w14:textId="77777777" w:rsidR="000B0D7A" w:rsidRPr="00932BC4" w:rsidRDefault="000B0D7A" w:rsidP="000B0D7A">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14D1051B" w14:textId="77777777" w:rsidR="000B0D7A" w:rsidRPr="00932BC4" w:rsidRDefault="000B0D7A" w:rsidP="000B0D7A">
      <w:pPr>
        <w:shd w:val="clear" w:color="auto" w:fill="FFFFFF"/>
        <w:spacing w:before="34" w:after="48"/>
        <w:jc w:val="both"/>
        <w:textAlignment w:val="baseline"/>
        <w:rPr>
          <w:color w:val="231F20"/>
        </w:rPr>
      </w:pPr>
    </w:p>
    <w:p w14:paraId="31BDA26B" w14:textId="77777777" w:rsidR="000B0D7A" w:rsidRPr="00932BC4" w:rsidRDefault="000B0D7A" w:rsidP="000B0D7A">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530CB2E5" w14:textId="77777777" w:rsidR="000B0D7A" w:rsidRPr="00932BC4" w:rsidRDefault="000B0D7A" w:rsidP="000B0D7A">
      <w:pPr>
        <w:pStyle w:val="ListParagraph"/>
        <w:spacing w:after="200" w:line="276" w:lineRule="auto"/>
        <w:ind w:left="714"/>
        <w:jc w:val="both"/>
      </w:pPr>
    </w:p>
    <w:p w14:paraId="2937D4BC" w14:textId="77777777" w:rsidR="000B0D7A" w:rsidRPr="00F42B89" w:rsidRDefault="000B0D7A" w:rsidP="000B0D7A">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5DE8E618" w14:textId="77777777" w:rsidR="000B0D7A" w:rsidRPr="00932BC4" w:rsidRDefault="000B0D7A" w:rsidP="000B0D7A">
      <w:pPr>
        <w:spacing w:before="100" w:beforeAutospacing="1" w:after="100" w:afterAutospacing="1"/>
        <w:jc w:val="both"/>
        <w:rPr>
          <w:color w:val="000000"/>
        </w:rPr>
      </w:pPr>
      <w:r w:rsidRPr="00932BC4">
        <w:rPr>
          <w:color w:val="000000"/>
        </w:rPr>
        <w:t>pri čemu je:</w:t>
      </w:r>
    </w:p>
    <w:p w14:paraId="4AD01098" w14:textId="77777777" w:rsidR="000B0D7A" w:rsidRPr="00932BC4" w:rsidRDefault="000B0D7A" w:rsidP="000B0D7A">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2B1963F2" w14:textId="77777777" w:rsidR="000B0D7A" w:rsidRDefault="000B0D7A" w:rsidP="000B0D7A">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081C14C2" w14:textId="77777777" w:rsidR="000B0D7A" w:rsidRDefault="000B0D7A" w:rsidP="000B0D7A">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385501C9" w14:textId="77777777" w:rsidR="000B0D7A" w:rsidRPr="00932BC4" w:rsidRDefault="000B0D7A" w:rsidP="000B0D7A">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proofErr w:type="spellStart"/>
      <w:r w:rsidRPr="00932BC4">
        <w:rPr>
          <w:i/>
          <w:color w:val="000000"/>
        </w:rPr>
        <w:t>Platt’s</w:t>
      </w:r>
      <w:proofErr w:type="spellEnd"/>
      <w:r w:rsidRPr="00932BC4">
        <w:rPr>
          <w:i/>
          <w:color w:val="000000"/>
        </w:rPr>
        <w:t xml:space="preserve"> European </w:t>
      </w:r>
      <w:proofErr w:type="spellStart"/>
      <w:r w:rsidRPr="00932BC4">
        <w:rPr>
          <w:i/>
          <w:color w:val="000000"/>
        </w:rPr>
        <w:t>Marketscan</w:t>
      </w:r>
      <w:proofErr w:type="spellEnd"/>
      <w:r w:rsidRPr="00932BC4">
        <w:rPr>
          <w:color w:val="000000"/>
        </w:rPr>
        <w:t xml:space="preserve"> pod </w:t>
      </w:r>
      <w:proofErr w:type="spellStart"/>
      <w:r w:rsidRPr="00932BC4">
        <w:rPr>
          <w:i/>
          <w:color w:val="000000"/>
        </w:rPr>
        <w:t>Mediterranean</w:t>
      </w:r>
      <w:proofErr w:type="spellEnd"/>
      <w:r w:rsidRPr="00932BC4">
        <w:rPr>
          <w:i/>
          <w:color w:val="000000"/>
        </w:rPr>
        <w:t xml:space="preserve"> </w:t>
      </w:r>
      <w:proofErr w:type="spellStart"/>
      <w:r w:rsidRPr="00932BC4">
        <w:rPr>
          <w:i/>
          <w:color w:val="000000"/>
        </w:rPr>
        <w:t>Cargoes</w:t>
      </w:r>
      <w:proofErr w:type="spellEnd"/>
      <w:r w:rsidRPr="00932BC4">
        <w:rPr>
          <w:i/>
          <w:color w:val="000000"/>
        </w:rPr>
        <w:t xml:space="preserve"> CIF Med (Genova/</w:t>
      </w:r>
      <w:proofErr w:type="spellStart"/>
      <w:r w:rsidRPr="00932BC4">
        <w:rPr>
          <w:i/>
          <w:color w:val="000000"/>
        </w:rPr>
        <w:t>Lavera</w:t>
      </w:r>
      <w:proofErr w:type="spellEnd"/>
      <w:r w:rsidRPr="00932BC4">
        <w:rPr>
          <w:i/>
          <w:color w:val="000000"/>
        </w:rPr>
        <w:t xml:space="preserve">) </w:t>
      </w:r>
      <w:r w:rsidRPr="00932BC4">
        <w:rPr>
          <w:color w:val="000000"/>
        </w:rPr>
        <w:t xml:space="preserve">za proizvode Premium </w:t>
      </w:r>
      <w:proofErr w:type="spellStart"/>
      <w:r w:rsidRPr="00932BC4">
        <w:rPr>
          <w:color w:val="000000"/>
        </w:rPr>
        <w:t>Un</w:t>
      </w:r>
      <w:r>
        <w:rPr>
          <w:color w:val="000000"/>
        </w:rPr>
        <w:t>leaded</w:t>
      </w:r>
      <w:proofErr w:type="spellEnd"/>
      <w:r>
        <w:rPr>
          <w:color w:val="000000"/>
        </w:rPr>
        <w:t xml:space="preserve"> 10ppm (Eurosuper 95), 10</w:t>
      </w:r>
      <w:r w:rsidRPr="00932BC4">
        <w:rPr>
          <w:color w:val="000000"/>
        </w:rPr>
        <w:t>ppm ULSD (</w:t>
      </w:r>
      <w:proofErr w:type="spellStart"/>
      <w:r w:rsidRPr="00932BC4">
        <w:rPr>
          <w:color w:val="000000"/>
        </w:rPr>
        <w:t>Eurodizel</w:t>
      </w:r>
      <w:proofErr w:type="spellEnd"/>
      <w:r w:rsidRPr="00932BC4">
        <w:rPr>
          <w:color w:val="000000"/>
        </w:rPr>
        <w:t>), zao</w:t>
      </w:r>
      <w:r>
        <w:rPr>
          <w:color w:val="000000"/>
        </w:rPr>
        <w:t>kružena na tri decimalna mjesta</w:t>
      </w:r>
    </w:p>
    <w:p w14:paraId="30325569" w14:textId="77777777" w:rsidR="000B0D7A" w:rsidRPr="00932BC4" w:rsidRDefault="000B0D7A" w:rsidP="000B0D7A">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16036B5F" w14:textId="77777777" w:rsidR="000B0D7A" w:rsidRPr="00932BC4" w:rsidRDefault="000B0D7A" w:rsidP="000B0D7A">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1C3AE744" w14:textId="77777777" w:rsidR="000B0D7A" w:rsidRPr="00932BC4" w:rsidRDefault="000B0D7A" w:rsidP="000B0D7A">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1AC6E7AF" w14:textId="77777777" w:rsidR="000B0D7A" w:rsidRPr="00932BC4" w:rsidRDefault="000B0D7A" w:rsidP="000B0D7A">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5BB2DF18" w14:textId="77777777" w:rsidR="000B0D7A" w:rsidRPr="00932BC4" w:rsidRDefault="000B0D7A" w:rsidP="000B0D7A">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7825703C" w14:textId="77777777" w:rsidR="000B0D7A" w:rsidRPr="00932BC4" w:rsidRDefault="000B0D7A" w:rsidP="000B0D7A">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propan – 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4F4FA9CD" w14:textId="77777777" w:rsidR="000B0D7A" w:rsidRPr="00932BC4" w:rsidRDefault="000B0D7A" w:rsidP="000B0D7A">
      <w:pPr>
        <w:shd w:val="clear" w:color="auto" w:fill="FFFFFF"/>
        <w:spacing w:before="34" w:after="48"/>
        <w:jc w:val="both"/>
        <w:textAlignment w:val="baseline"/>
        <w:rPr>
          <w:color w:val="231F20"/>
        </w:rPr>
      </w:pPr>
    </w:p>
    <w:p w14:paraId="3E320EFD" w14:textId="77777777" w:rsidR="000B0D7A" w:rsidRPr="00932BC4" w:rsidRDefault="000B0D7A" w:rsidP="000B0D7A">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2175E0DF" w14:textId="77777777" w:rsidR="000B0D7A" w:rsidRPr="00932BC4" w:rsidRDefault="000B0D7A" w:rsidP="000B0D7A">
      <w:pPr>
        <w:pStyle w:val="ListParagraph"/>
        <w:spacing w:after="200" w:line="276" w:lineRule="auto"/>
        <w:ind w:left="714"/>
        <w:jc w:val="both"/>
      </w:pPr>
    </w:p>
    <w:p w14:paraId="42408023" w14:textId="77777777" w:rsidR="000B0D7A" w:rsidRPr="00F42B89" w:rsidRDefault="000B0D7A" w:rsidP="000B0D7A">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3F80903D" w14:textId="77777777" w:rsidR="000B0D7A" w:rsidRPr="00932BC4" w:rsidRDefault="000B0D7A" w:rsidP="000B0D7A">
      <w:pPr>
        <w:spacing w:before="100" w:beforeAutospacing="1" w:after="100" w:afterAutospacing="1"/>
        <w:jc w:val="both"/>
        <w:rPr>
          <w:color w:val="000000"/>
        </w:rPr>
      </w:pPr>
      <w:r w:rsidRPr="00932BC4">
        <w:rPr>
          <w:color w:val="000000"/>
        </w:rPr>
        <w:t>pri čemu je:</w:t>
      </w:r>
    </w:p>
    <w:p w14:paraId="422A3F9D" w14:textId="77777777" w:rsidR="000B0D7A" w:rsidRPr="00932BC4" w:rsidRDefault="000B0D7A" w:rsidP="000B0D7A">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69D74080" w14:textId="77777777" w:rsidR="000B0D7A" w:rsidRPr="00932BC4" w:rsidRDefault="000B0D7A" w:rsidP="000B0D7A">
      <w:pPr>
        <w:spacing w:before="100" w:beforeAutospacing="1" w:after="100" w:afterAutospacing="1"/>
        <w:jc w:val="both"/>
        <w:rPr>
          <w:color w:val="000000"/>
        </w:rPr>
      </w:pPr>
      <w:r w:rsidRPr="00932BC4">
        <w:rPr>
          <w:color w:val="000000"/>
        </w:rPr>
        <w:lastRenderedPageBreak/>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01D25FDF" w14:textId="77777777" w:rsidR="000B0D7A" w:rsidRDefault="000B0D7A" w:rsidP="000B0D7A">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7EB49AAA" w14:textId="77777777" w:rsidR="000B0D7A" w:rsidRPr="00932BC4" w:rsidRDefault="000B0D7A" w:rsidP="000B0D7A">
      <w:pPr>
        <w:spacing w:before="100" w:beforeAutospacing="1" w:after="100" w:afterAutospacing="1"/>
        <w:jc w:val="both"/>
        <w:rPr>
          <w:color w:val="000000"/>
        </w:rPr>
      </w:pPr>
      <w:r>
        <w:rPr>
          <w:color w:val="000000"/>
        </w:rPr>
        <w:t>▪ CIF Med P = s</w:t>
      </w:r>
      <w:r w:rsidRPr="00932BC4">
        <w:rPr>
          <w:color w:val="000000"/>
        </w:rPr>
        <w:t xml:space="preserve">rednja dnevna burzovna cijena propana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Propane FOB Ex-</w:t>
      </w:r>
      <w:proofErr w:type="spellStart"/>
      <w:r w:rsidRPr="00932BC4">
        <w:rPr>
          <w:i/>
          <w:color w:val="000000"/>
        </w:rPr>
        <w:t>rafinery</w:t>
      </w:r>
      <w:proofErr w:type="spellEnd"/>
      <w:r w:rsidRPr="00932BC4">
        <w:rPr>
          <w:i/>
          <w:color w:val="000000"/>
        </w:rPr>
        <w:t>/</w:t>
      </w:r>
      <w:proofErr w:type="spellStart"/>
      <w:r w:rsidRPr="00932BC4">
        <w:rPr>
          <w:i/>
          <w:color w:val="000000"/>
        </w:rPr>
        <w:t>storage</w:t>
      </w:r>
      <w:proofErr w:type="spellEnd"/>
      <w:r w:rsidRPr="00932BC4">
        <w:rPr>
          <w:color w:val="000000"/>
        </w:rPr>
        <w:t>, zao</w:t>
      </w:r>
      <w:r>
        <w:rPr>
          <w:color w:val="000000"/>
        </w:rPr>
        <w:t>kružena na tri decimalna mjesta</w:t>
      </w:r>
    </w:p>
    <w:p w14:paraId="719E75DA" w14:textId="77777777" w:rsidR="000B0D7A" w:rsidRPr="00932BC4" w:rsidRDefault="000B0D7A" w:rsidP="000B0D7A">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 xml:space="preserve">Butane FOB West Med </w:t>
      </w:r>
      <w:proofErr w:type="spellStart"/>
      <w:r w:rsidRPr="00932BC4">
        <w:rPr>
          <w:i/>
          <w:color w:val="000000"/>
        </w:rPr>
        <w:t>Coaster</w:t>
      </w:r>
      <w:proofErr w:type="spellEnd"/>
      <w:r w:rsidRPr="00932BC4">
        <w:rPr>
          <w:color w:val="000000"/>
        </w:rPr>
        <w:t>, zao</w:t>
      </w:r>
      <w:r>
        <w:rPr>
          <w:color w:val="000000"/>
        </w:rPr>
        <w:t>kružena na tri decimalna mjesta</w:t>
      </w:r>
    </w:p>
    <w:p w14:paraId="671C13F8" w14:textId="77777777" w:rsidR="000B0D7A" w:rsidRPr="00932BC4" w:rsidRDefault="000B0D7A" w:rsidP="000B0D7A">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3B3700F6" w14:textId="77777777" w:rsidR="000B0D7A" w:rsidRPr="00932BC4" w:rsidRDefault="000B0D7A" w:rsidP="000B0D7A">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482CBE79" w14:textId="77777777" w:rsidR="000B0D7A" w:rsidRPr="00932BC4" w:rsidRDefault="000B0D7A" w:rsidP="000B0D7A">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77941161" w14:textId="77777777" w:rsidR="000B0D7A" w:rsidRPr="00932BC4" w:rsidRDefault="000B0D7A" w:rsidP="000B0D7A">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066BA5E3" w14:textId="77777777" w:rsidR="000B0D7A" w:rsidRDefault="000B0D7A" w:rsidP="000B0D7A">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376AF9">
        <w:rPr>
          <w:rFonts w:ascii="Minion Pro" w:hAnsi="Minion Pro"/>
          <w:color w:val="000000"/>
        </w:rPr>
        <w:t>0,1545 EUR/l, dizelska goriva u iznosu od 0,1545 EUR/l,</w:t>
      </w:r>
      <w:r w:rsidRPr="00376AF9">
        <w:rPr>
          <w:color w:val="231F20"/>
          <w:shd w:val="clear" w:color="auto" w:fill="FFFFFF"/>
        </w:rPr>
        <w:t xml:space="preserve"> </w:t>
      </w:r>
      <w:r w:rsidRPr="00376AF9">
        <w:rPr>
          <w:rFonts w:ascii="Minion Pro" w:hAnsi="Minion Pro"/>
          <w:color w:val="000000"/>
        </w:rPr>
        <w:t>plavi dizel u iznosu od 0,0781 EUR/l</w:t>
      </w:r>
      <w:r w:rsidRPr="00376AF9">
        <w:rPr>
          <w:color w:val="231F20"/>
          <w:shd w:val="clear" w:color="auto" w:fill="FFFFFF"/>
        </w:rPr>
        <w:t>,</w:t>
      </w:r>
      <w:r w:rsidRPr="00376AF9">
        <w:rPr>
          <w:rFonts w:ascii="Minion Pro" w:hAnsi="Minion Pro"/>
          <w:color w:val="000000"/>
        </w:rPr>
        <w:t xml:space="preserve"> za smjesu propan – butan za spremnike </w:t>
      </w:r>
      <w:r w:rsidRPr="00376AF9">
        <w:rPr>
          <w:color w:val="000000"/>
          <w:spacing w:val="-2"/>
        </w:rPr>
        <w:t xml:space="preserve">UNP PB (ukapljeni naftni plin propan – butan) </w:t>
      </w:r>
      <w:r w:rsidRPr="00376AF9">
        <w:rPr>
          <w:rFonts w:ascii="Minion Pro" w:hAnsi="Minion Pro"/>
          <w:color w:val="000000"/>
        </w:rPr>
        <w:t xml:space="preserve">u iznosu 0,4116 EUR/kg i za </w:t>
      </w:r>
      <w:r w:rsidRPr="00376AF9">
        <w:rPr>
          <w:color w:val="000000"/>
          <w:spacing w:val="-2"/>
        </w:rPr>
        <w:t xml:space="preserve">smjesu propan – butan za boce sadržaja 7,5 kg i više UNP PB (ukapljeni naftni plin propan – butan) </w:t>
      </w:r>
      <w:r w:rsidRPr="00376AF9">
        <w:rPr>
          <w:color w:val="000000"/>
        </w:rPr>
        <w:t>u iznosu 0,8429 EUR/kg</w:t>
      </w:r>
      <w:r w:rsidRPr="00376AF9">
        <w:rPr>
          <w:rFonts w:ascii="Minion Pro" w:hAnsi="Minion Pro"/>
          <w:color w:val="000000"/>
        </w:rPr>
        <w:t>.</w:t>
      </w:r>
    </w:p>
    <w:p w14:paraId="6AC79B74" w14:textId="77777777" w:rsidR="000B0D7A" w:rsidRPr="00932BC4" w:rsidRDefault="000B0D7A" w:rsidP="000B0D7A">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cijena (PC) iz stavka 1. ovoga članka uveća za trošarinu i porez na dodanu vrijednost sukladno propisima. Maloprodajna cijena se zaokružuje na dva decimalna mjesta.</w:t>
      </w:r>
    </w:p>
    <w:p w14:paraId="06A38E81" w14:textId="77777777" w:rsidR="000B0D7A" w:rsidRPr="00932BC4" w:rsidRDefault="000B0D7A" w:rsidP="000B0D7A">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w:t>
      </w:r>
      <w:proofErr w:type="spellStart"/>
      <w:r w:rsidRPr="00932BC4">
        <w:rPr>
          <w:color w:val="000000"/>
        </w:rPr>
        <w:t>namješavanja</w:t>
      </w:r>
      <w:proofErr w:type="spellEnd"/>
      <w:r w:rsidRPr="00932BC4">
        <w:rPr>
          <w:color w:val="000000"/>
        </w:rPr>
        <w:t>, s</w:t>
      </w:r>
      <w:r>
        <w:rPr>
          <w:color w:val="000000"/>
        </w:rPr>
        <w:t>kladištenja 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4B9EAAED" w14:textId="77777777" w:rsidR="000B0D7A" w:rsidRDefault="000B0D7A" w:rsidP="000B0D7A">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21102B8E" w14:textId="77777777" w:rsidR="000B0D7A" w:rsidRDefault="000B0D7A" w:rsidP="000B0D7A">
      <w:pPr>
        <w:spacing w:before="100" w:beforeAutospacing="1" w:after="100" w:afterAutospacing="1"/>
        <w:jc w:val="both"/>
        <w:rPr>
          <w:color w:val="000000"/>
        </w:rPr>
      </w:pPr>
    </w:p>
    <w:p w14:paraId="046397D1" w14:textId="77777777" w:rsidR="000B0D7A" w:rsidRDefault="000B0D7A" w:rsidP="000B0D7A">
      <w:pPr>
        <w:shd w:val="clear" w:color="auto" w:fill="FFFFFF"/>
        <w:jc w:val="center"/>
        <w:textAlignment w:val="baseline"/>
        <w:rPr>
          <w:b/>
          <w:color w:val="000000"/>
        </w:rPr>
      </w:pPr>
      <w:r w:rsidRPr="00F76C1D">
        <w:rPr>
          <w:b/>
          <w:color w:val="000000"/>
        </w:rPr>
        <w:lastRenderedPageBreak/>
        <w:t>Članak 4.</w:t>
      </w:r>
    </w:p>
    <w:p w14:paraId="7BC3ED5C" w14:textId="77777777" w:rsidR="000B0D7A" w:rsidRPr="00F76C1D" w:rsidRDefault="000B0D7A" w:rsidP="000B0D7A">
      <w:pPr>
        <w:shd w:val="clear" w:color="auto" w:fill="FFFFFF"/>
        <w:textAlignment w:val="baseline"/>
        <w:rPr>
          <w:b/>
          <w:color w:val="000000"/>
        </w:rPr>
      </w:pPr>
    </w:p>
    <w:p w14:paraId="2675EAB8" w14:textId="77777777" w:rsidR="000B0D7A" w:rsidRPr="0023699C" w:rsidRDefault="000B0D7A" w:rsidP="000B0D7A">
      <w:pPr>
        <w:shd w:val="clear" w:color="auto" w:fill="FFFFFF"/>
        <w:spacing w:after="225"/>
        <w:ind w:firstLine="1418"/>
        <w:jc w:val="both"/>
        <w:textAlignment w:val="baseline"/>
        <w:rPr>
          <w:color w:val="231F20"/>
          <w:shd w:val="clear" w:color="auto" w:fill="FFFFFF"/>
        </w:rPr>
      </w:pPr>
      <w:r w:rsidRPr="0023699C">
        <w:rPr>
          <w:color w:val="231F20"/>
          <w:shd w:val="clear" w:color="auto" w:fill="FFFFFF"/>
        </w:rPr>
        <w:t>Prvi dan primjene novih cijena naftnih derivata je dan stupanja na snagu ove Uredbe, a najviše maloprodajne cijene određene su za neprekinuto razdoblje od 14 dana.</w:t>
      </w:r>
    </w:p>
    <w:p w14:paraId="14BA57E8" w14:textId="77777777" w:rsidR="000B0D7A" w:rsidRPr="009E136B" w:rsidRDefault="000B0D7A" w:rsidP="000B0D7A">
      <w:pPr>
        <w:shd w:val="clear" w:color="auto" w:fill="FFFFFF"/>
        <w:ind w:firstLine="1276"/>
        <w:jc w:val="both"/>
        <w:textAlignment w:val="baseline"/>
        <w:rPr>
          <w:color w:val="231F20"/>
          <w:shd w:val="clear" w:color="auto" w:fill="FFFFFF"/>
        </w:rPr>
      </w:pPr>
    </w:p>
    <w:p w14:paraId="4BCB2890" w14:textId="77777777" w:rsidR="000B0D7A" w:rsidRPr="0019608B" w:rsidRDefault="000B0D7A" w:rsidP="000B0D7A">
      <w:pPr>
        <w:shd w:val="clear" w:color="auto" w:fill="FFFFFF"/>
        <w:jc w:val="center"/>
        <w:textAlignment w:val="baseline"/>
        <w:rPr>
          <w:b/>
        </w:rPr>
      </w:pPr>
      <w:r w:rsidRPr="0019608B">
        <w:rPr>
          <w:b/>
        </w:rPr>
        <w:t>Članak 5.</w:t>
      </w:r>
    </w:p>
    <w:p w14:paraId="4BDFE884" w14:textId="77777777" w:rsidR="000B0D7A" w:rsidRPr="0019608B" w:rsidRDefault="000B0D7A" w:rsidP="000B0D7A">
      <w:pPr>
        <w:shd w:val="clear" w:color="auto" w:fill="FFFFFF"/>
        <w:textAlignment w:val="baseline"/>
        <w:rPr>
          <w:shd w:val="clear" w:color="auto" w:fill="FFFFFF"/>
        </w:rPr>
      </w:pPr>
    </w:p>
    <w:p w14:paraId="67E7DF60" w14:textId="77777777" w:rsidR="000B0D7A" w:rsidRDefault="000B0D7A" w:rsidP="000B0D7A">
      <w:pPr>
        <w:shd w:val="clear" w:color="auto" w:fill="FFFFFF"/>
        <w:ind w:firstLine="1276"/>
        <w:jc w:val="both"/>
        <w:textAlignment w:val="baseline"/>
        <w:rPr>
          <w:color w:val="231F20"/>
          <w:shd w:val="clear" w:color="auto" w:fill="FFFFFF"/>
        </w:rPr>
      </w:pPr>
      <w:r w:rsidRPr="0019608B">
        <w:rPr>
          <w:color w:val="231F20"/>
          <w:shd w:val="clear" w:color="auto" w:fill="FFFFFF"/>
        </w:rPr>
        <w:tab/>
      </w:r>
      <w:r w:rsidRPr="0023699C">
        <w:rPr>
          <w:color w:val="231F20"/>
          <w:shd w:val="clear" w:color="auto" w:fill="FFFFFF"/>
        </w:rPr>
        <w:t>Ova Uredba stupa na snagu prvoga dana od dana objave u „Narodnim novinama“.</w:t>
      </w:r>
    </w:p>
    <w:p w14:paraId="3A9518D1" w14:textId="0EEC32BF" w:rsidR="00F76C1D" w:rsidRPr="00257DB3" w:rsidRDefault="00F76C1D" w:rsidP="000B0D7A">
      <w:pPr>
        <w:jc w:val="both"/>
        <w:textAlignment w:val="baseline"/>
        <w:rPr>
          <w:color w:val="231F20"/>
          <w:shd w:val="clear" w:color="auto" w:fill="FFFFFF"/>
        </w:rPr>
      </w:pPr>
    </w:p>
    <w:p w14:paraId="04E5CECA" w14:textId="77777777" w:rsidR="00F76C1D" w:rsidRPr="00257DB3" w:rsidRDefault="00F76C1D" w:rsidP="00257DB3">
      <w:pPr>
        <w:jc w:val="both"/>
        <w:textAlignment w:val="baseline"/>
        <w:rPr>
          <w:color w:val="231F20"/>
          <w:shd w:val="clear" w:color="auto" w:fill="FFFFFF"/>
        </w:rPr>
      </w:pPr>
    </w:p>
    <w:p w14:paraId="7F3ACC15" w14:textId="08C0F12E" w:rsidR="00F76C1D" w:rsidRPr="00257DB3" w:rsidRDefault="002E37F8" w:rsidP="00257DB3">
      <w:pPr>
        <w:textAlignment w:val="baseline"/>
        <w:rPr>
          <w:color w:val="231F20"/>
        </w:rPr>
      </w:pPr>
      <w:r w:rsidRPr="00257DB3">
        <w:rPr>
          <w:color w:val="231F20"/>
        </w:rPr>
        <w:t>KLASA:</w:t>
      </w:r>
      <w:r w:rsidRPr="00257DB3">
        <w:rPr>
          <w:color w:val="231F20"/>
        </w:rPr>
        <w:tab/>
      </w:r>
    </w:p>
    <w:p w14:paraId="0DB44462" w14:textId="34D9F50D" w:rsidR="00F76C1D" w:rsidRPr="00257DB3" w:rsidRDefault="00F76C1D" w:rsidP="00257DB3">
      <w:pPr>
        <w:textAlignment w:val="baseline"/>
        <w:rPr>
          <w:color w:val="231F20"/>
        </w:rPr>
      </w:pPr>
      <w:r w:rsidRPr="00257DB3">
        <w:rPr>
          <w:color w:val="231F20"/>
        </w:rPr>
        <w:t>URBROJ:</w:t>
      </w:r>
      <w:r w:rsidRPr="00257DB3">
        <w:rPr>
          <w:color w:val="231F20"/>
        </w:rPr>
        <w:tab/>
      </w:r>
    </w:p>
    <w:p w14:paraId="57B015BA" w14:textId="77777777" w:rsidR="00D00DF7" w:rsidRPr="00257DB3" w:rsidRDefault="00D00DF7" w:rsidP="00257DB3">
      <w:pPr>
        <w:textAlignment w:val="baseline"/>
        <w:rPr>
          <w:color w:val="231F20"/>
        </w:rPr>
      </w:pPr>
    </w:p>
    <w:p w14:paraId="193E6E45" w14:textId="2384291E" w:rsidR="00F76C1D" w:rsidRPr="00257DB3" w:rsidRDefault="00F76C1D" w:rsidP="00257DB3">
      <w:pPr>
        <w:textAlignment w:val="baseline"/>
        <w:rPr>
          <w:color w:val="231F20"/>
        </w:rPr>
      </w:pPr>
      <w:r w:rsidRPr="00257DB3">
        <w:rPr>
          <w:color w:val="231F20"/>
        </w:rPr>
        <w:t>Zagreb,</w:t>
      </w:r>
      <w:r w:rsidRPr="00257DB3">
        <w:rPr>
          <w:color w:val="231F20"/>
        </w:rPr>
        <w:tab/>
      </w:r>
    </w:p>
    <w:p w14:paraId="0B18FD8C" w14:textId="77777777" w:rsidR="00F76C1D" w:rsidRPr="00257DB3" w:rsidRDefault="00F76C1D" w:rsidP="00257DB3">
      <w:pPr>
        <w:textAlignment w:val="baseline"/>
        <w:rPr>
          <w:color w:val="231F20"/>
        </w:rPr>
      </w:pPr>
    </w:p>
    <w:p w14:paraId="58C3AB57" w14:textId="77777777" w:rsidR="00F76C1D" w:rsidRPr="00257DB3" w:rsidRDefault="00F76C1D" w:rsidP="00257DB3">
      <w:pPr>
        <w:textAlignment w:val="baseline"/>
        <w:rPr>
          <w:color w:val="231F20"/>
        </w:rPr>
      </w:pPr>
    </w:p>
    <w:p w14:paraId="65910D62" w14:textId="77777777" w:rsidR="002E37F8" w:rsidRPr="00257DB3" w:rsidRDefault="002E37F8" w:rsidP="00257DB3">
      <w:pPr>
        <w:textAlignment w:val="baseline"/>
        <w:rPr>
          <w:color w:val="231F20"/>
        </w:rPr>
      </w:pPr>
    </w:p>
    <w:p w14:paraId="08BB4E35" w14:textId="3A51123E" w:rsidR="00F76C1D" w:rsidRPr="00257DB3" w:rsidRDefault="00257DB3" w:rsidP="00257DB3">
      <w:pPr>
        <w:textAlignment w:val="baseline"/>
        <w:rPr>
          <w:color w:val="231F20"/>
        </w:rPr>
      </w:pPr>
      <w:r>
        <w:rPr>
          <w:color w:val="231F20"/>
        </w:rPr>
        <w:tab/>
      </w:r>
      <w:r>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r>
      <w:r w:rsidR="00F76C1D" w:rsidRPr="00257DB3">
        <w:rPr>
          <w:color w:val="231F20"/>
        </w:rPr>
        <w:tab/>
        <w:t xml:space="preserve">         PREDSJEDNIK</w:t>
      </w:r>
    </w:p>
    <w:p w14:paraId="14B4066C" w14:textId="77777777" w:rsidR="00F76C1D" w:rsidRPr="00257DB3" w:rsidRDefault="00F76C1D" w:rsidP="00257DB3">
      <w:pPr>
        <w:textAlignment w:val="baseline"/>
        <w:rPr>
          <w:color w:val="231F20"/>
        </w:rPr>
      </w:pPr>
    </w:p>
    <w:p w14:paraId="5967156E" w14:textId="77777777" w:rsidR="00F76C1D" w:rsidRPr="00257DB3" w:rsidRDefault="00F76C1D" w:rsidP="00257DB3">
      <w:pPr>
        <w:textAlignment w:val="baseline"/>
        <w:rPr>
          <w:color w:val="231F20"/>
        </w:rPr>
      </w:pPr>
    </w:p>
    <w:p w14:paraId="62ADFFA4" w14:textId="35128C98" w:rsidR="00F76C1D" w:rsidRPr="0072657F" w:rsidRDefault="00F76C1D" w:rsidP="00257DB3">
      <w:pPr>
        <w:textAlignment w:val="baseline"/>
        <w:rPr>
          <w:color w:val="231F20"/>
        </w:rPr>
      </w:pPr>
      <w:r w:rsidRPr="00257DB3">
        <w:rPr>
          <w:color w:val="231F20"/>
        </w:rPr>
        <w:t xml:space="preserve">     </w:t>
      </w:r>
      <w:r w:rsid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r>
      <w:r w:rsidRPr="00257DB3">
        <w:rPr>
          <w:color w:val="231F20"/>
        </w:rPr>
        <w:tab/>
        <w:t xml:space="preserve">   mr. sc. Andrej Plenković</w:t>
      </w:r>
    </w:p>
    <w:p w14:paraId="483518E2" w14:textId="77777777" w:rsidR="00F76C1D" w:rsidRPr="00C96A7F" w:rsidRDefault="00F76C1D" w:rsidP="00257DB3"/>
    <w:p w14:paraId="38087BEE" w14:textId="77777777" w:rsidR="00F76C1D" w:rsidRPr="00932BC4" w:rsidRDefault="00F76C1D" w:rsidP="00257DB3">
      <w:pPr>
        <w:jc w:val="both"/>
        <w:textAlignment w:val="baseline"/>
        <w:rPr>
          <w:color w:val="231F20"/>
          <w:shd w:val="clear" w:color="auto" w:fill="FFFFFF"/>
        </w:rPr>
      </w:pPr>
    </w:p>
    <w:p w14:paraId="38872D88" w14:textId="30BFEE97" w:rsidR="004C1DE0" w:rsidRDefault="004C1DE0" w:rsidP="00257DB3">
      <w:pPr>
        <w:spacing w:after="240"/>
        <w:jc w:val="both"/>
      </w:pPr>
    </w:p>
    <w:p w14:paraId="333483BB" w14:textId="77777777" w:rsidR="007C5411" w:rsidRDefault="007C5411" w:rsidP="007C5411">
      <w:pPr>
        <w:spacing w:after="60"/>
        <w:jc w:val="center"/>
        <w:rPr>
          <w:rFonts w:eastAsiaTheme="minorHAnsi"/>
          <w:b/>
          <w:bCs/>
          <w:lang w:eastAsia="en-US"/>
        </w:rPr>
      </w:pPr>
    </w:p>
    <w:p w14:paraId="2314BAA3" w14:textId="77777777" w:rsidR="007C5411" w:rsidRDefault="007C5411" w:rsidP="007C5411">
      <w:pPr>
        <w:spacing w:after="60"/>
        <w:jc w:val="center"/>
        <w:rPr>
          <w:rFonts w:eastAsiaTheme="minorHAnsi"/>
          <w:b/>
          <w:bCs/>
          <w:lang w:eastAsia="en-US"/>
        </w:rPr>
      </w:pPr>
    </w:p>
    <w:p w14:paraId="1DA3F26B" w14:textId="77777777" w:rsidR="007C5411" w:rsidRDefault="007C5411" w:rsidP="007C5411">
      <w:pPr>
        <w:spacing w:after="60"/>
        <w:jc w:val="center"/>
        <w:rPr>
          <w:rFonts w:eastAsiaTheme="minorHAnsi"/>
          <w:b/>
          <w:bCs/>
          <w:lang w:eastAsia="en-US"/>
        </w:rPr>
      </w:pPr>
    </w:p>
    <w:p w14:paraId="521EFD91" w14:textId="77777777" w:rsidR="007C5411" w:rsidRDefault="007C5411" w:rsidP="007C5411">
      <w:pPr>
        <w:spacing w:after="60"/>
        <w:jc w:val="center"/>
        <w:rPr>
          <w:rFonts w:eastAsiaTheme="minorHAnsi"/>
          <w:b/>
          <w:bCs/>
          <w:lang w:eastAsia="en-US"/>
        </w:rPr>
      </w:pPr>
    </w:p>
    <w:p w14:paraId="25BE97F8" w14:textId="77777777" w:rsidR="007C5411" w:rsidRDefault="007C5411" w:rsidP="007C5411">
      <w:pPr>
        <w:spacing w:after="60"/>
        <w:jc w:val="center"/>
        <w:rPr>
          <w:rFonts w:eastAsiaTheme="minorHAnsi"/>
          <w:b/>
          <w:bCs/>
          <w:lang w:eastAsia="en-US"/>
        </w:rPr>
      </w:pPr>
    </w:p>
    <w:p w14:paraId="1117A2D6" w14:textId="77777777" w:rsidR="007C5411" w:rsidRDefault="007C5411" w:rsidP="007C5411">
      <w:pPr>
        <w:spacing w:after="60"/>
        <w:jc w:val="center"/>
        <w:rPr>
          <w:rFonts w:eastAsiaTheme="minorHAnsi"/>
          <w:b/>
          <w:bCs/>
          <w:lang w:eastAsia="en-US"/>
        </w:rPr>
      </w:pPr>
    </w:p>
    <w:p w14:paraId="290A0737" w14:textId="77777777" w:rsidR="007C5411" w:rsidRDefault="007C5411" w:rsidP="007C5411">
      <w:pPr>
        <w:spacing w:after="60"/>
        <w:jc w:val="center"/>
        <w:rPr>
          <w:rFonts w:eastAsiaTheme="minorHAnsi"/>
          <w:b/>
          <w:bCs/>
          <w:lang w:eastAsia="en-US"/>
        </w:rPr>
      </w:pPr>
    </w:p>
    <w:p w14:paraId="504FD85F" w14:textId="77777777" w:rsidR="007C5411" w:rsidRDefault="007C5411" w:rsidP="007C5411">
      <w:pPr>
        <w:spacing w:after="60"/>
        <w:jc w:val="center"/>
        <w:rPr>
          <w:rFonts w:eastAsiaTheme="minorHAnsi"/>
          <w:b/>
          <w:bCs/>
          <w:lang w:eastAsia="en-US"/>
        </w:rPr>
      </w:pPr>
    </w:p>
    <w:p w14:paraId="3703200B" w14:textId="77777777" w:rsidR="007C5411" w:rsidRDefault="007C5411" w:rsidP="007C5411">
      <w:pPr>
        <w:spacing w:after="60"/>
        <w:jc w:val="center"/>
        <w:rPr>
          <w:rFonts w:eastAsiaTheme="minorHAnsi"/>
          <w:b/>
          <w:bCs/>
          <w:lang w:eastAsia="en-US"/>
        </w:rPr>
      </w:pPr>
    </w:p>
    <w:p w14:paraId="2CEA3594" w14:textId="77777777" w:rsidR="007C5411" w:rsidRDefault="007C5411" w:rsidP="007C5411">
      <w:pPr>
        <w:spacing w:after="60"/>
        <w:jc w:val="center"/>
        <w:rPr>
          <w:rFonts w:eastAsiaTheme="minorHAnsi"/>
          <w:b/>
          <w:bCs/>
          <w:lang w:eastAsia="en-US"/>
        </w:rPr>
      </w:pPr>
    </w:p>
    <w:p w14:paraId="41553097" w14:textId="77777777" w:rsidR="007C5411" w:rsidRDefault="007C5411" w:rsidP="007C5411">
      <w:pPr>
        <w:spacing w:after="60"/>
        <w:jc w:val="center"/>
        <w:rPr>
          <w:rFonts w:eastAsiaTheme="minorHAnsi"/>
          <w:b/>
          <w:bCs/>
          <w:lang w:eastAsia="en-US"/>
        </w:rPr>
      </w:pPr>
    </w:p>
    <w:p w14:paraId="7ECAD6A5" w14:textId="77777777" w:rsidR="007C5411" w:rsidRDefault="007C5411" w:rsidP="007C5411">
      <w:pPr>
        <w:spacing w:after="60"/>
        <w:jc w:val="center"/>
        <w:rPr>
          <w:rFonts w:eastAsiaTheme="minorHAnsi"/>
          <w:b/>
          <w:bCs/>
          <w:lang w:eastAsia="en-US"/>
        </w:rPr>
      </w:pPr>
    </w:p>
    <w:p w14:paraId="5D2A3765" w14:textId="77777777" w:rsidR="007C5411" w:rsidRDefault="007C5411" w:rsidP="007C5411">
      <w:pPr>
        <w:spacing w:after="60"/>
        <w:jc w:val="center"/>
        <w:rPr>
          <w:rFonts w:eastAsiaTheme="minorHAnsi"/>
          <w:b/>
          <w:bCs/>
          <w:lang w:eastAsia="en-US"/>
        </w:rPr>
      </w:pPr>
    </w:p>
    <w:p w14:paraId="356C900C" w14:textId="77777777" w:rsidR="007C5411" w:rsidRDefault="007C5411" w:rsidP="007C5411">
      <w:pPr>
        <w:spacing w:after="60"/>
        <w:jc w:val="center"/>
        <w:rPr>
          <w:rFonts w:eastAsiaTheme="minorHAnsi"/>
          <w:b/>
          <w:bCs/>
          <w:lang w:eastAsia="en-US"/>
        </w:rPr>
      </w:pPr>
    </w:p>
    <w:p w14:paraId="2C85BA9D" w14:textId="77777777" w:rsidR="007C5411" w:rsidRDefault="007C5411" w:rsidP="007C5411">
      <w:pPr>
        <w:spacing w:after="60"/>
        <w:jc w:val="center"/>
        <w:rPr>
          <w:rFonts w:eastAsiaTheme="minorHAnsi"/>
          <w:b/>
          <w:bCs/>
          <w:lang w:eastAsia="en-US"/>
        </w:rPr>
      </w:pPr>
    </w:p>
    <w:p w14:paraId="7F16FDF8" w14:textId="77777777" w:rsidR="007C5411" w:rsidRDefault="007C5411" w:rsidP="007C5411">
      <w:pPr>
        <w:spacing w:after="60"/>
        <w:jc w:val="center"/>
        <w:rPr>
          <w:rFonts w:eastAsiaTheme="minorHAnsi"/>
          <w:b/>
          <w:bCs/>
          <w:lang w:eastAsia="en-US"/>
        </w:rPr>
      </w:pPr>
    </w:p>
    <w:p w14:paraId="4BF1FAAA" w14:textId="77777777" w:rsidR="007C5411" w:rsidRDefault="007C5411" w:rsidP="007C5411">
      <w:pPr>
        <w:spacing w:after="60"/>
        <w:jc w:val="center"/>
        <w:rPr>
          <w:rFonts w:eastAsiaTheme="minorHAnsi"/>
          <w:b/>
          <w:bCs/>
          <w:lang w:eastAsia="en-US"/>
        </w:rPr>
      </w:pPr>
    </w:p>
    <w:p w14:paraId="2A04F726" w14:textId="77777777" w:rsidR="007C5411" w:rsidRDefault="007C5411" w:rsidP="007C5411">
      <w:pPr>
        <w:spacing w:after="60"/>
        <w:jc w:val="center"/>
        <w:rPr>
          <w:rFonts w:eastAsiaTheme="minorHAnsi"/>
          <w:b/>
          <w:bCs/>
          <w:lang w:eastAsia="en-US"/>
        </w:rPr>
      </w:pPr>
    </w:p>
    <w:p w14:paraId="5EC50E36" w14:textId="77777777" w:rsidR="007C5411" w:rsidRDefault="007C5411" w:rsidP="007C5411">
      <w:pPr>
        <w:spacing w:after="60"/>
        <w:jc w:val="center"/>
        <w:rPr>
          <w:rFonts w:eastAsiaTheme="minorHAnsi"/>
          <w:b/>
          <w:bCs/>
          <w:lang w:eastAsia="en-US"/>
        </w:rPr>
      </w:pPr>
    </w:p>
    <w:p w14:paraId="5F60AE41" w14:textId="137A8821" w:rsidR="007C5411" w:rsidRPr="00C54C6E" w:rsidRDefault="007C5411" w:rsidP="007C5411">
      <w:pPr>
        <w:spacing w:after="60"/>
        <w:jc w:val="center"/>
        <w:rPr>
          <w:rFonts w:eastAsiaTheme="minorHAnsi"/>
          <w:lang w:eastAsia="en-US"/>
        </w:rPr>
      </w:pPr>
      <w:r w:rsidRPr="00C54C6E">
        <w:rPr>
          <w:rFonts w:eastAsiaTheme="minorHAnsi"/>
          <w:b/>
          <w:bCs/>
          <w:lang w:eastAsia="en-US"/>
        </w:rPr>
        <w:lastRenderedPageBreak/>
        <w:t>OBRAZLOŽENJE</w:t>
      </w:r>
    </w:p>
    <w:p w14:paraId="1B09E4C3" w14:textId="77777777" w:rsidR="007C5411" w:rsidRPr="00C54C6E" w:rsidRDefault="007C5411" w:rsidP="007C5411">
      <w:pPr>
        <w:spacing w:after="60"/>
        <w:jc w:val="center"/>
        <w:rPr>
          <w:rFonts w:eastAsiaTheme="minorHAnsi"/>
          <w:lang w:eastAsia="en-US"/>
        </w:rPr>
      </w:pPr>
    </w:p>
    <w:p w14:paraId="6599BB98" w14:textId="77777777" w:rsidR="007C5411" w:rsidRPr="00C54C6E" w:rsidRDefault="007C5411" w:rsidP="007C5411">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C54C6E" w:rsidRDefault="007C5411" w:rsidP="007C5411">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C54C6E" w:rsidRDefault="007C5411" w:rsidP="007C5411">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77777777" w:rsidR="007C5411" w:rsidRPr="00C54C6E" w:rsidRDefault="007C5411" w:rsidP="007C5411">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1845E795" w14:textId="77777777" w:rsidR="007C5411" w:rsidRDefault="007C5411" w:rsidP="007C5411">
      <w:pPr>
        <w:spacing w:after="240"/>
        <w:jc w:val="both"/>
      </w:pPr>
      <w:r w:rsidRPr="00C54C6E">
        <w:t xml:space="preserve">Najviše maloprodajne cijene propisane ovom Uredbom primjenjuju se stoga samo za naftne derivate bez dodanih multifunkcionalnih aditiva (eurosuper 95, </w:t>
      </w:r>
      <w:proofErr w:type="spellStart"/>
      <w:r w:rsidRPr="00C54C6E">
        <w:t>eurodizel</w:t>
      </w:r>
      <w:proofErr w:type="spellEnd"/>
      <w:r w:rsidRPr="00C54C6E">
        <w:t xml:space="preserve">, plavi dizel, </w:t>
      </w:r>
      <w:r w:rsidRPr="00C54C6E">
        <w:rPr>
          <w:color w:val="000000"/>
        </w:rPr>
        <w:t>ukapljeni naftni plin (UNP PB) – smjesa propan – butan za spremnike i smjesa propan – butan za boce sadržaja 7,5 kg i više,</w:t>
      </w:r>
      <w:r w:rsidRPr="00C54C6E">
        <w:t>), dok se za benzine sa više oktana te sva tzv. „</w:t>
      </w:r>
      <w:proofErr w:type="spellStart"/>
      <w:r w:rsidRPr="00C54C6E">
        <w:t>premium</w:t>
      </w:r>
      <w:proofErr w:type="spellEnd"/>
      <w:r w:rsidRPr="00C54C6E">
        <w:t>“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7ED02" w14:textId="77777777" w:rsidR="003C28F9" w:rsidRDefault="003C28F9">
      <w:r>
        <w:separator/>
      </w:r>
    </w:p>
  </w:endnote>
  <w:endnote w:type="continuationSeparator" w:id="0">
    <w:p w14:paraId="33F48D5A" w14:textId="77777777" w:rsidR="003C28F9" w:rsidRDefault="003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D6DC" w14:textId="77777777" w:rsidR="003C28F9" w:rsidRDefault="003C28F9">
      <w:r>
        <w:separator/>
      </w:r>
    </w:p>
  </w:footnote>
  <w:footnote w:type="continuationSeparator" w:id="0">
    <w:p w14:paraId="3E293CAE" w14:textId="77777777" w:rsidR="003C28F9" w:rsidRDefault="003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2CCF766A" w:rsidR="00C541A4" w:rsidRDefault="007746B8">
        <w:pPr>
          <w:pStyle w:val="Header"/>
          <w:jc w:val="center"/>
        </w:pPr>
        <w:r>
          <w:fldChar w:fldCharType="begin"/>
        </w:r>
        <w:r w:rsidR="00C541A4">
          <w:instrText>PAGE   \* MERGEFORMAT</w:instrText>
        </w:r>
        <w:r>
          <w:fldChar w:fldCharType="separate"/>
        </w:r>
        <w:r w:rsidR="00BE440D">
          <w:rPr>
            <w:noProof/>
          </w:rPr>
          <w:t>4</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FE1"/>
    <w:rsid w:val="003D74AA"/>
    <w:rsid w:val="003D7DE7"/>
    <w:rsid w:val="003E190C"/>
    <w:rsid w:val="003E3787"/>
    <w:rsid w:val="003E60CF"/>
    <w:rsid w:val="003E66C9"/>
    <w:rsid w:val="003E6AD8"/>
    <w:rsid w:val="003F0202"/>
    <w:rsid w:val="003F0951"/>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2F1A"/>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1475"/>
    <w:rsid w:val="00BF4FE5"/>
    <w:rsid w:val="00BF548B"/>
    <w:rsid w:val="00BF7088"/>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9D49-F0D1-41C8-B0E6-D85F7594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1368</Words>
  <Characters>7799</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5</cp:revision>
  <cp:lastPrinted>2022-12-05T14:20:00Z</cp:lastPrinted>
  <dcterms:created xsi:type="dcterms:W3CDTF">2024-08-26T06:10:00Z</dcterms:created>
  <dcterms:modified xsi:type="dcterms:W3CDTF">2024-08-26T06:17:00Z</dcterms:modified>
</cp:coreProperties>
</file>