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53BE6" w14:textId="77777777" w:rsidR="00CD3EFA" w:rsidRPr="00C208B8" w:rsidRDefault="008F0DD4" w:rsidP="00B236F2">
      <w:pPr>
        <w:spacing w:before="120" w:after="120"/>
        <w:jc w:val="center"/>
      </w:pPr>
      <w:r>
        <w:rPr>
          <w:noProof/>
        </w:rPr>
        <w:drawing>
          <wp:inline distT="0" distB="0" distL="0" distR="0" wp14:anchorId="6C3244E5" wp14:editId="5F89F369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28D78E6B" w14:textId="77777777" w:rsidR="00CD3EFA" w:rsidRPr="0023763F" w:rsidRDefault="003A2F05" w:rsidP="00B236F2">
      <w:pPr>
        <w:spacing w:before="120" w:after="12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707F6A9F" w14:textId="77777777" w:rsidR="00CD3EFA" w:rsidRDefault="00CD3EFA" w:rsidP="00B236F2">
      <w:pPr>
        <w:spacing w:before="120" w:after="120"/>
      </w:pPr>
    </w:p>
    <w:p w14:paraId="4BE3EE5B" w14:textId="77777777" w:rsidR="00B236F2" w:rsidRDefault="00B236F2" w:rsidP="00B236F2">
      <w:pPr>
        <w:spacing w:before="120" w:after="120"/>
        <w:jc w:val="right"/>
      </w:pPr>
    </w:p>
    <w:p w14:paraId="4E97CD9C" w14:textId="77777777" w:rsidR="00B236F2" w:rsidRDefault="00B236F2" w:rsidP="00B236F2">
      <w:pPr>
        <w:spacing w:before="120" w:after="120"/>
        <w:jc w:val="right"/>
      </w:pPr>
    </w:p>
    <w:p w14:paraId="632A481A" w14:textId="576D35A1" w:rsidR="00C337A4" w:rsidRDefault="00C337A4" w:rsidP="00B236F2">
      <w:pPr>
        <w:spacing w:before="120" w:after="120"/>
        <w:jc w:val="right"/>
      </w:pPr>
      <w:r w:rsidRPr="00426A53">
        <w:t xml:space="preserve">Zagreb, </w:t>
      </w:r>
      <w:r w:rsidR="00245CEF">
        <w:t>29</w:t>
      </w:r>
      <w:r w:rsidR="00AE1146" w:rsidRPr="00426A53">
        <w:t>.</w:t>
      </w:r>
      <w:r w:rsidR="008F4F30" w:rsidRPr="00426A53">
        <w:t xml:space="preserve"> </w:t>
      </w:r>
      <w:r w:rsidR="00426A53" w:rsidRPr="00426A53">
        <w:t xml:space="preserve">kolovoza </w:t>
      </w:r>
      <w:r w:rsidRPr="00426A53">
        <w:t>20</w:t>
      </w:r>
      <w:r w:rsidR="0029051B" w:rsidRPr="00426A53">
        <w:t>2</w:t>
      </w:r>
      <w:r w:rsidR="009B51B6" w:rsidRPr="00426A53">
        <w:t>4</w:t>
      </w:r>
      <w:r w:rsidRPr="00426A53">
        <w:t>.</w:t>
      </w:r>
    </w:p>
    <w:p w14:paraId="11DED7BC" w14:textId="2D06FF7F" w:rsidR="00B236F2" w:rsidRDefault="00B236F2" w:rsidP="00B236F2">
      <w:pPr>
        <w:spacing w:before="120" w:after="120"/>
        <w:jc w:val="right"/>
      </w:pPr>
    </w:p>
    <w:p w14:paraId="00846775" w14:textId="7281AF72" w:rsidR="00B236F2" w:rsidRDefault="00B236F2" w:rsidP="00B236F2">
      <w:pPr>
        <w:spacing w:before="120" w:after="120"/>
        <w:jc w:val="right"/>
      </w:pPr>
    </w:p>
    <w:p w14:paraId="74348E3D" w14:textId="1F41C036" w:rsidR="00B236F2" w:rsidRDefault="00B236F2" w:rsidP="00B236F2">
      <w:pPr>
        <w:spacing w:before="120" w:after="120"/>
        <w:jc w:val="right"/>
      </w:pPr>
    </w:p>
    <w:p w14:paraId="38778972" w14:textId="5CE0AC3C" w:rsidR="00B236F2" w:rsidRDefault="00B236F2" w:rsidP="00B236F2">
      <w:pPr>
        <w:spacing w:before="120" w:after="120"/>
        <w:jc w:val="right"/>
      </w:pPr>
    </w:p>
    <w:p w14:paraId="323C6120" w14:textId="77777777" w:rsidR="00B236F2" w:rsidRPr="003A2F05" w:rsidRDefault="00B236F2" w:rsidP="00B236F2">
      <w:pPr>
        <w:spacing w:before="120" w:after="120"/>
        <w:jc w:val="right"/>
      </w:pPr>
    </w:p>
    <w:p w14:paraId="681CEE7A" w14:textId="77777777" w:rsidR="000350D9" w:rsidRPr="002179F8" w:rsidRDefault="000350D9" w:rsidP="00B236F2">
      <w:pPr>
        <w:spacing w:before="120" w:after="120"/>
      </w:pPr>
      <w:r w:rsidRPr="002179F8">
        <w:t>__________________________________________________________________________</w:t>
      </w:r>
    </w:p>
    <w:p w14:paraId="38F5A0C7" w14:textId="77777777" w:rsidR="000350D9" w:rsidRDefault="000350D9" w:rsidP="00B236F2">
      <w:pPr>
        <w:tabs>
          <w:tab w:val="right" w:pos="1701"/>
          <w:tab w:val="left" w:pos="1843"/>
        </w:tabs>
        <w:spacing w:before="120" w:after="120"/>
        <w:ind w:left="1843" w:hanging="1843"/>
        <w:rPr>
          <w:b/>
          <w:smallCaps/>
        </w:rPr>
        <w:sectPr w:rsidR="000350D9" w:rsidSect="000350D9">
          <w:footerReference w:type="default" r:id="rId13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14:paraId="22EC43B9" w14:textId="77777777" w:rsidTr="000350D9">
        <w:tc>
          <w:tcPr>
            <w:tcW w:w="1951" w:type="dxa"/>
          </w:tcPr>
          <w:p w14:paraId="4225BFB2" w14:textId="77777777" w:rsidR="000350D9" w:rsidRDefault="000350D9" w:rsidP="00B236F2">
            <w:pPr>
              <w:spacing w:before="120" w:after="120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3D37DB7E" w14:textId="697FD81E" w:rsidR="000350D9" w:rsidRDefault="004C1D95" w:rsidP="00B236F2">
            <w:pPr>
              <w:spacing w:before="120" w:after="120"/>
            </w:pPr>
            <w:r>
              <w:t>Mini</w:t>
            </w:r>
            <w:r w:rsidR="003917A7">
              <w:t xml:space="preserve">starstvo </w:t>
            </w:r>
            <w:r w:rsidR="009B51B6">
              <w:t>zaštite okoliša i zelene tranzicije</w:t>
            </w:r>
          </w:p>
        </w:tc>
      </w:tr>
    </w:tbl>
    <w:p w14:paraId="5CEEC69B" w14:textId="77777777" w:rsidR="000350D9" w:rsidRPr="002179F8" w:rsidRDefault="000350D9" w:rsidP="00B236F2">
      <w:pPr>
        <w:spacing w:before="120" w:after="120"/>
      </w:pPr>
      <w:r w:rsidRPr="002179F8">
        <w:t>__________________________________________________________________________</w:t>
      </w:r>
    </w:p>
    <w:p w14:paraId="4F45FD34" w14:textId="77777777" w:rsidR="000350D9" w:rsidRDefault="000350D9" w:rsidP="00B236F2">
      <w:pPr>
        <w:tabs>
          <w:tab w:val="right" w:pos="1701"/>
          <w:tab w:val="left" w:pos="1843"/>
        </w:tabs>
        <w:spacing w:before="120" w:after="120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350D9" w14:paraId="35A1D35E" w14:textId="77777777" w:rsidTr="000350D9">
        <w:tc>
          <w:tcPr>
            <w:tcW w:w="1951" w:type="dxa"/>
          </w:tcPr>
          <w:p w14:paraId="4B0F8603" w14:textId="77777777" w:rsidR="000350D9" w:rsidRDefault="000350D9" w:rsidP="00B236F2">
            <w:pPr>
              <w:spacing w:before="120" w:after="120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7C345EF5" w14:textId="77777777" w:rsidR="009B51B6" w:rsidRPr="009B51B6" w:rsidRDefault="009B51B6" w:rsidP="009B51B6">
            <w:pPr>
              <w:spacing w:before="120" w:after="120"/>
              <w:jc w:val="both"/>
              <w:rPr>
                <w:rFonts w:eastAsia="Calibri"/>
              </w:rPr>
            </w:pPr>
            <w:r w:rsidRPr="009B51B6">
              <w:rPr>
                <w:rFonts w:eastAsia="Calibri"/>
              </w:rPr>
              <w:t xml:space="preserve">Prijedlog uredbe o procjeni ekološkog rizika i rizika invazivnosti stranih vrsta </w:t>
            </w:r>
          </w:p>
          <w:p w14:paraId="47DE48F6" w14:textId="77777777" w:rsidR="000350D9" w:rsidRDefault="000350D9" w:rsidP="00B236F2">
            <w:pPr>
              <w:spacing w:before="120" w:after="120"/>
              <w:jc w:val="both"/>
            </w:pPr>
          </w:p>
        </w:tc>
      </w:tr>
    </w:tbl>
    <w:p w14:paraId="1C369A5D" w14:textId="77777777" w:rsidR="000350D9" w:rsidRPr="002179F8" w:rsidRDefault="000350D9" w:rsidP="00B236F2">
      <w:pPr>
        <w:tabs>
          <w:tab w:val="left" w:pos="1843"/>
        </w:tabs>
        <w:spacing w:before="120" w:after="120"/>
        <w:ind w:left="1843" w:hanging="1843"/>
      </w:pPr>
      <w:r w:rsidRPr="002179F8">
        <w:t>__________________________________________________________________________</w:t>
      </w:r>
    </w:p>
    <w:p w14:paraId="75CC93C2" w14:textId="77777777" w:rsidR="00CE78D1" w:rsidRDefault="00CE78D1" w:rsidP="00B236F2">
      <w:pPr>
        <w:spacing w:before="120" w:after="120"/>
      </w:pPr>
    </w:p>
    <w:p w14:paraId="444D7F99" w14:textId="77777777" w:rsidR="00CE78D1" w:rsidRPr="00CE78D1" w:rsidRDefault="00CE78D1" w:rsidP="00B236F2">
      <w:pPr>
        <w:spacing w:before="120" w:after="120"/>
      </w:pPr>
    </w:p>
    <w:p w14:paraId="6C24EFD0" w14:textId="77777777" w:rsidR="00CE78D1" w:rsidRPr="00CE78D1" w:rsidRDefault="00CE78D1" w:rsidP="00B236F2">
      <w:pPr>
        <w:spacing w:before="120" w:after="120"/>
      </w:pPr>
    </w:p>
    <w:p w14:paraId="6010F998" w14:textId="77777777" w:rsidR="00CE78D1" w:rsidRPr="00CE78D1" w:rsidRDefault="00CE78D1" w:rsidP="00B236F2">
      <w:pPr>
        <w:spacing w:before="120" w:after="120"/>
      </w:pPr>
    </w:p>
    <w:p w14:paraId="06441FF4" w14:textId="77777777" w:rsidR="00CE78D1" w:rsidRPr="00CE78D1" w:rsidRDefault="00CE78D1" w:rsidP="00B236F2">
      <w:pPr>
        <w:spacing w:before="120" w:after="120"/>
      </w:pPr>
    </w:p>
    <w:p w14:paraId="7E8A7E0C" w14:textId="77777777" w:rsidR="00CE78D1" w:rsidRPr="00CE78D1" w:rsidRDefault="00CE78D1" w:rsidP="00B236F2">
      <w:pPr>
        <w:spacing w:before="120" w:after="120"/>
      </w:pPr>
    </w:p>
    <w:p w14:paraId="22128B39" w14:textId="77777777" w:rsidR="00CE78D1" w:rsidRPr="00CE78D1" w:rsidRDefault="00CE78D1" w:rsidP="00B236F2">
      <w:pPr>
        <w:spacing w:before="120" w:after="120"/>
      </w:pPr>
    </w:p>
    <w:p w14:paraId="3C73BCBC" w14:textId="77777777" w:rsidR="00CE78D1" w:rsidRPr="00CE78D1" w:rsidRDefault="00CE78D1" w:rsidP="00B236F2">
      <w:pPr>
        <w:spacing w:before="120" w:after="120"/>
      </w:pPr>
    </w:p>
    <w:p w14:paraId="3F1C4686" w14:textId="77777777" w:rsidR="00CE78D1" w:rsidRPr="00CE78D1" w:rsidRDefault="00CE78D1" w:rsidP="00B236F2">
      <w:pPr>
        <w:spacing w:before="120" w:after="120"/>
      </w:pPr>
    </w:p>
    <w:p w14:paraId="3ACA4E6F" w14:textId="77777777" w:rsidR="00CE78D1" w:rsidRPr="00CE78D1" w:rsidRDefault="00CE78D1" w:rsidP="00B236F2">
      <w:pPr>
        <w:spacing w:before="120" w:after="120"/>
      </w:pPr>
    </w:p>
    <w:p w14:paraId="7E2FC44C" w14:textId="77777777" w:rsidR="00CE78D1" w:rsidRPr="00CE78D1" w:rsidRDefault="00CE78D1" w:rsidP="00B236F2">
      <w:pPr>
        <w:spacing w:before="120" w:after="120"/>
      </w:pPr>
    </w:p>
    <w:p w14:paraId="098A9EDC" w14:textId="77777777" w:rsidR="00CE78D1" w:rsidRPr="00CE78D1" w:rsidRDefault="00CE78D1" w:rsidP="00B236F2">
      <w:pPr>
        <w:spacing w:before="120" w:after="120"/>
      </w:pPr>
    </w:p>
    <w:p w14:paraId="25FD0C28" w14:textId="77777777" w:rsidR="00CE78D1" w:rsidRPr="00CE78D1" w:rsidRDefault="00CE78D1" w:rsidP="00B236F2">
      <w:pPr>
        <w:spacing w:before="120" w:after="120"/>
      </w:pPr>
    </w:p>
    <w:p w14:paraId="77C810C7" w14:textId="77777777" w:rsidR="00CE78D1" w:rsidRDefault="00CE78D1" w:rsidP="00B236F2">
      <w:pPr>
        <w:spacing w:before="120" w:after="120"/>
      </w:pPr>
    </w:p>
    <w:p w14:paraId="3C74D786" w14:textId="77777777" w:rsidR="009C1A65" w:rsidRDefault="009C1A65" w:rsidP="00B236F2">
      <w:pPr>
        <w:spacing w:before="120" w:after="120"/>
      </w:pPr>
    </w:p>
    <w:p w14:paraId="5EE480AD" w14:textId="77777777" w:rsidR="00245CEF" w:rsidRDefault="00245CEF" w:rsidP="009C1A65">
      <w:pPr>
        <w:jc w:val="both"/>
        <w:rPr>
          <w:color w:val="231F20"/>
        </w:rPr>
      </w:pPr>
    </w:p>
    <w:p w14:paraId="181B048B" w14:textId="55B6BFAF" w:rsidR="009C1A65" w:rsidRDefault="009C1A65" w:rsidP="009C1A65">
      <w:pPr>
        <w:jc w:val="both"/>
        <w:rPr>
          <w:color w:val="231F20"/>
        </w:rPr>
      </w:pPr>
      <w:r w:rsidRPr="00B46785">
        <w:rPr>
          <w:color w:val="231F20"/>
        </w:rPr>
        <w:t>Na temelju članka 21. stavka 6. Zakona o sprječavanju unošenja i širenja stranih te invazivnih stranih vrsta i upravljanju njima (Narodne novine, br. 15/2018 i 14/2019), Vlada Republike Hrvatske na sjednici održanoj _______ godine donijela je</w:t>
      </w:r>
    </w:p>
    <w:p w14:paraId="24D0755C" w14:textId="77777777" w:rsidR="00D211C9" w:rsidRPr="00B46785" w:rsidRDefault="00D211C9" w:rsidP="009C1A65">
      <w:pPr>
        <w:jc w:val="both"/>
        <w:rPr>
          <w:color w:val="231F20"/>
        </w:rPr>
      </w:pPr>
    </w:p>
    <w:p w14:paraId="5F89FE5E" w14:textId="77777777" w:rsidR="009C1A65" w:rsidRPr="00B46785" w:rsidRDefault="009C1A65" w:rsidP="009C1A65">
      <w:pPr>
        <w:jc w:val="both"/>
        <w:rPr>
          <w:color w:val="231F20"/>
        </w:rPr>
      </w:pPr>
    </w:p>
    <w:p w14:paraId="4BF04CFD" w14:textId="77777777" w:rsidR="009C1A65" w:rsidRPr="00245CEF" w:rsidRDefault="009C1A65" w:rsidP="009C1A65">
      <w:pPr>
        <w:pStyle w:val="Title"/>
        <w:rPr>
          <w:sz w:val="24"/>
          <w:szCs w:val="24"/>
        </w:rPr>
      </w:pPr>
      <w:r w:rsidRPr="00245CEF">
        <w:rPr>
          <w:sz w:val="24"/>
          <w:szCs w:val="24"/>
        </w:rPr>
        <w:t>UREDBU</w:t>
      </w:r>
    </w:p>
    <w:p w14:paraId="5CC674E1" w14:textId="77777777" w:rsidR="009C1A65" w:rsidRPr="00245CEF" w:rsidRDefault="009C1A65" w:rsidP="009C1A65">
      <w:pPr>
        <w:pStyle w:val="Title"/>
        <w:rPr>
          <w:sz w:val="24"/>
          <w:szCs w:val="24"/>
        </w:rPr>
      </w:pPr>
      <w:r w:rsidRPr="00245CEF">
        <w:rPr>
          <w:sz w:val="24"/>
          <w:szCs w:val="24"/>
        </w:rPr>
        <w:t xml:space="preserve">O PROCJENI EKOLOŠKOG RIZIKA I RIZIKA INVAZIVNOSTI STRANIH VRSTA </w:t>
      </w:r>
    </w:p>
    <w:p w14:paraId="57D10567" w14:textId="77777777" w:rsidR="00D211C9" w:rsidRPr="00D211C9" w:rsidRDefault="00D211C9" w:rsidP="00D211C9">
      <w:pPr>
        <w:rPr>
          <w:lang w:eastAsia="en-US"/>
        </w:rPr>
      </w:pPr>
    </w:p>
    <w:p w14:paraId="447EB5F4" w14:textId="77777777" w:rsidR="009C1A65" w:rsidRPr="00B46785" w:rsidRDefault="009C1A65" w:rsidP="009C1A65">
      <w:pPr>
        <w:pStyle w:val="Heading1"/>
        <w:spacing w:after="240" w:line="240" w:lineRule="auto"/>
      </w:pPr>
      <w:r w:rsidRPr="00B46785">
        <w:t>I. OPĆE ODREDBE</w:t>
      </w:r>
    </w:p>
    <w:p w14:paraId="43DB86F1" w14:textId="77777777" w:rsidR="00CB559A" w:rsidRDefault="00CB559A" w:rsidP="00D211C9">
      <w:pPr>
        <w:pStyle w:val="Heading2"/>
        <w:rPr>
          <w:rFonts w:eastAsia="Times New Roman"/>
        </w:rPr>
      </w:pPr>
    </w:p>
    <w:p w14:paraId="4C171FCA" w14:textId="388E3D89" w:rsidR="009C1A65" w:rsidRPr="00B46785" w:rsidRDefault="009C1A65" w:rsidP="00D211C9">
      <w:pPr>
        <w:pStyle w:val="Heading2"/>
        <w:rPr>
          <w:rFonts w:eastAsia="Times New Roman"/>
        </w:rPr>
      </w:pPr>
      <w:r w:rsidRPr="00B46785">
        <w:rPr>
          <w:rFonts w:eastAsia="Times New Roman"/>
        </w:rPr>
        <w:t>Članak 1.</w:t>
      </w:r>
    </w:p>
    <w:p w14:paraId="2E2B7388" w14:textId="77777777" w:rsidR="009C1A65" w:rsidRDefault="009C1A65" w:rsidP="00CB559A">
      <w:pPr>
        <w:pStyle w:val="ListParagraph"/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678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Ovom Uredbom uređuju se kriteriji za utvrđivanje ekološkog rizika stranih vrsta, način izrade te sadržaj, elementi, načela i metodologija koja se treba primijeniti u procjeni rizika invazivnosti stranih vrsta, sadržaj zaključka procjene rizika invazivnosti stranih vrsta te način pribavljanja mišljenja javnosti u postupku procjene rizika, pri utvrđivanju akata planiranja za upravljanje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stranim i </w:t>
      </w:r>
      <w:r w:rsidRPr="00B4678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invazivnim stranim vrstama, u slučaju namjere </w:t>
      </w:r>
      <w:r w:rsidRPr="00B46785">
        <w:rPr>
          <w:rFonts w:ascii="Times New Roman" w:eastAsia="Times New Roman" w:hAnsi="Times New Roman" w:cs="Times New Roman"/>
          <w:iCs/>
          <w:color w:val="231F20"/>
          <w:sz w:val="24"/>
          <w:szCs w:val="24"/>
        </w:rPr>
        <w:t>korištenja invazivnih</w:t>
      </w:r>
      <w:r w:rsidRPr="00B4678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stranih vrsta koje izazivaju zabrinutost Republici Hrvatskoj i </w:t>
      </w:r>
      <w:r w:rsidRPr="00B46785">
        <w:rPr>
          <w:rFonts w:ascii="Times New Roman" w:eastAsia="Times New Roman" w:hAnsi="Times New Roman" w:cs="Times New Roman"/>
          <w:iCs/>
          <w:color w:val="231F20"/>
          <w:sz w:val="24"/>
          <w:szCs w:val="24"/>
        </w:rPr>
        <w:t>korištenja invazivnih</w:t>
      </w:r>
      <w:r w:rsidRPr="00B4678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stranih vrsta koje izazivaju zabrinutost u Uniji.</w:t>
      </w:r>
      <w:r w:rsidRPr="0035686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114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</w:p>
    <w:p w14:paraId="53FBF881" w14:textId="77777777" w:rsidR="009C1A65" w:rsidRDefault="009C1A65" w:rsidP="00CB559A">
      <w:pPr>
        <w:pStyle w:val="ListParagraph"/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07473F">
        <w:rPr>
          <w:rFonts w:ascii="Times New Roman" w:eastAsia="Times New Roman" w:hAnsi="Times New Roman" w:cs="Times New Roman"/>
          <w:color w:val="231F20"/>
          <w:sz w:val="24"/>
          <w:szCs w:val="24"/>
        </w:rPr>
        <w:t>Pojmovi u smislu ove Uredbe imaju jednako značenje kao pojmovi definirani Zakonom o sprječavanju unošenja i širenja stranih te invazivnih stranih vrsta i upravljanju njima (Narodne novine, br. 15/2018 i 14/2019) (u daljnjem tekstu: Zakon) i Uredbom (EU) br. 1143/2014 Europskog parlamenta i Vijeća od 22. listopada 2014. o sprječavanju i upravljanju unošenja i širenja invazivnih stranih vrsta (SL L 317, 4. 11. 2014.) (u daljnjem tekstu: Uredba (EU) br. 1143/2014)</w:t>
      </w:r>
    </w:p>
    <w:p w14:paraId="04794D60" w14:textId="77777777" w:rsidR="009C1A65" w:rsidRPr="0007473F" w:rsidRDefault="009C1A65" w:rsidP="00CB559A">
      <w:pPr>
        <w:pStyle w:val="ListParagraph"/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07473F">
        <w:rPr>
          <w:rFonts w:ascii="Times New Roman" w:eastAsia="Times New Roman" w:hAnsi="Times New Roman" w:cs="Times New Roman"/>
          <w:color w:val="231F20"/>
          <w:sz w:val="24"/>
          <w:szCs w:val="24"/>
        </w:rPr>
        <w:t>Izrazi koji se koriste u ovoj Uredbi, a imaju rodno značenje, odnose se jednako na muški i ženski rod.</w:t>
      </w:r>
    </w:p>
    <w:p w14:paraId="032B8B5E" w14:textId="77777777" w:rsidR="00CB559A" w:rsidRDefault="00CB559A" w:rsidP="00CB559A">
      <w:pPr>
        <w:pStyle w:val="Heading2"/>
      </w:pPr>
    </w:p>
    <w:p w14:paraId="3C9A0D8E" w14:textId="7BAEFCF7" w:rsidR="009C1A65" w:rsidRDefault="009C1A65" w:rsidP="00CB559A">
      <w:pPr>
        <w:pStyle w:val="Heading2"/>
      </w:pPr>
      <w:r w:rsidRPr="003A5C0C">
        <w:t>Članak 2.</w:t>
      </w:r>
    </w:p>
    <w:p w14:paraId="7D06C478" w14:textId="54238E34" w:rsidR="009C1A65" w:rsidRDefault="009C1A65" w:rsidP="00CB559A">
      <w:pPr>
        <w:tabs>
          <w:tab w:val="left" w:pos="426"/>
        </w:tabs>
        <w:spacing w:before="120" w:after="120"/>
        <w:jc w:val="both"/>
        <w:textAlignment w:val="baseline"/>
        <w:rPr>
          <w:color w:val="231F20"/>
        </w:rPr>
      </w:pPr>
      <w:r w:rsidRPr="003A5C0C">
        <w:rPr>
          <w:color w:val="231F20"/>
        </w:rPr>
        <w:t>Ovom Uredbom osigurava se provedba članaka</w:t>
      </w:r>
      <w:r>
        <w:rPr>
          <w:color w:val="231F20"/>
        </w:rPr>
        <w:t xml:space="preserve"> 8., 9.,</w:t>
      </w:r>
      <w:r w:rsidRPr="003A5C0C">
        <w:rPr>
          <w:color w:val="231F20"/>
        </w:rPr>
        <w:t xml:space="preserve"> 10., 11.</w:t>
      </w:r>
      <w:r>
        <w:rPr>
          <w:color w:val="231F20"/>
        </w:rPr>
        <w:t xml:space="preserve">, </w:t>
      </w:r>
      <w:r w:rsidRPr="003A5C0C">
        <w:rPr>
          <w:color w:val="231F20"/>
        </w:rPr>
        <w:t>12.</w:t>
      </w:r>
      <w:r>
        <w:rPr>
          <w:color w:val="231F20"/>
        </w:rPr>
        <w:t xml:space="preserve"> i 26.</w:t>
      </w:r>
      <w:r w:rsidRPr="003A5C0C">
        <w:rPr>
          <w:color w:val="231F20"/>
        </w:rPr>
        <w:t xml:space="preserve"> Uredbe (EU) br. 1143/2014.</w:t>
      </w:r>
      <w:r>
        <w:rPr>
          <w:color w:val="231F20"/>
        </w:rPr>
        <w:t xml:space="preserve"> </w:t>
      </w:r>
    </w:p>
    <w:p w14:paraId="503F777C" w14:textId="77777777" w:rsidR="00B20D9E" w:rsidRPr="00356861" w:rsidRDefault="00B20D9E" w:rsidP="00CB559A">
      <w:pPr>
        <w:spacing w:before="120" w:after="120"/>
        <w:ind w:left="142"/>
        <w:jc w:val="both"/>
        <w:textAlignment w:val="baseline"/>
        <w:rPr>
          <w:color w:val="231F20"/>
        </w:rPr>
      </w:pPr>
    </w:p>
    <w:p w14:paraId="07AC1F2A" w14:textId="77777777" w:rsidR="009C1A65" w:rsidRDefault="009C1A65" w:rsidP="00CB559A">
      <w:pPr>
        <w:pStyle w:val="Heading1"/>
        <w:spacing w:before="120" w:after="120" w:line="240" w:lineRule="auto"/>
        <w:rPr>
          <w:rFonts w:cs="Times New Roman"/>
          <w:szCs w:val="24"/>
        </w:rPr>
      </w:pPr>
      <w:r w:rsidRPr="00B46785">
        <w:rPr>
          <w:rFonts w:cs="Times New Roman"/>
          <w:szCs w:val="24"/>
        </w:rPr>
        <w:t>II. PROCJENA EKOLOŠKOG RIZIKA STRANIH VRSTA</w:t>
      </w:r>
    </w:p>
    <w:p w14:paraId="1E5D4865" w14:textId="77777777" w:rsidR="00CB559A" w:rsidRPr="00CB559A" w:rsidRDefault="00CB559A" w:rsidP="00CB559A">
      <w:pPr>
        <w:rPr>
          <w:lang w:eastAsia="en-US"/>
        </w:rPr>
      </w:pPr>
    </w:p>
    <w:p w14:paraId="71345390" w14:textId="77777777" w:rsidR="009C1A65" w:rsidRPr="00B46785" w:rsidRDefault="009C1A65" w:rsidP="00CB559A">
      <w:pPr>
        <w:pStyle w:val="Heading2"/>
      </w:pPr>
      <w:r w:rsidRPr="00B46785">
        <w:t xml:space="preserve">Članak </w:t>
      </w:r>
      <w:r>
        <w:t>3</w:t>
      </w:r>
      <w:r w:rsidRPr="00B46785">
        <w:t>.</w:t>
      </w:r>
    </w:p>
    <w:p w14:paraId="7F76BC30" w14:textId="707B84DE" w:rsidR="009C1A65" w:rsidRPr="00B46785" w:rsidRDefault="009C1A65" w:rsidP="00CB559A">
      <w:pPr>
        <w:pStyle w:val="NormalWeb"/>
        <w:spacing w:before="120" w:beforeAutospacing="0" w:after="120" w:afterAutospacing="0"/>
        <w:jc w:val="both"/>
        <w:textAlignment w:val="baseline"/>
        <w:rPr>
          <w:color w:val="000000"/>
          <w:lang w:val="hr-HR"/>
        </w:rPr>
      </w:pPr>
      <w:r w:rsidRPr="00B46785">
        <w:rPr>
          <w:color w:val="000000"/>
          <w:lang w:val="hr-HR"/>
        </w:rPr>
        <w:t>(1) Procjen</w:t>
      </w:r>
      <w:r w:rsidR="00612FCD">
        <w:rPr>
          <w:color w:val="000000"/>
          <w:lang w:val="hr-HR"/>
        </w:rPr>
        <w:t>a</w:t>
      </w:r>
      <w:r w:rsidRPr="00B46785">
        <w:rPr>
          <w:color w:val="000000"/>
          <w:lang w:val="hr-HR"/>
        </w:rPr>
        <w:t xml:space="preserve"> ekološkog rizika strane vrste izrađuje </w:t>
      </w:r>
      <w:r w:rsidR="00612FCD">
        <w:rPr>
          <w:color w:val="000000"/>
          <w:lang w:val="hr-HR"/>
        </w:rPr>
        <w:t xml:space="preserve">se </w:t>
      </w:r>
      <w:r w:rsidRPr="00B46785">
        <w:rPr>
          <w:color w:val="000000"/>
          <w:lang w:val="hr-HR"/>
        </w:rPr>
        <w:t>u svrhu</w:t>
      </w:r>
      <w:r>
        <w:rPr>
          <w:color w:val="000000"/>
          <w:lang w:val="hr-HR"/>
        </w:rPr>
        <w:t xml:space="preserve">: </w:t>
      </w:r>
    </w:p>
    <w:p w14:paraId="091E6777" w14:textId="77777777" w:rsidR="009C1A65" w:rsidRPr="00B46785" w:rsidRDefault="009C1A65" w:rsidP="00CB559A">
      <w:pPr>
        <w:pStyle w:val="NormalWeb"/>
        <w:tabs>
          <w:tab w:val="left" w:pos="426"/>
        </w:tabs>
        <w:spacing w:before="120" w:beforeAutospacing="0" w:after="120" w:afterAutospacing="0"/>
        <w:ind w:left="426"/>
        <w:jc w:val="both"/>
        <w:textAlignment w:val="baseline"/>
        <w:rPr>
          <w:color w:val="000000"/>
          <w:lang w:val="hr-HR"/>
        </w:rPr>
      </w:pPr>
      <w:r w:rsidRPr="00B46785">
        <w:rPr>
          <w:color w:val="000000"/>
          <w:lang w:val="hr-HR"/>
        </w:rPr>
        <w:t>1.</w:t>
      </w:r>
      <w:r>
        <w:rPr>
          <w:color w:val="000000"/>
          <w:lang w:val="hr-HR"/>
        </w:rPr>
        <w:tab/>
      </w:r>
      <w:r w:rsidRPr="00B46785">
        <w:rPr>
          <w:color w:val="000000"/>
          <w:lang w:val="hr-HR"/>
        </w:rPr>
        <w:t>izdavanja dopuštenja za stavljanje na tržište Republike Hrvatske</w:t>
      </w:r>
      <w:r>
        <w:rPr>
          <w:color w:val="000000"/>
          <w:lang w:val="hr-HR"/>
        </w:rPr>
        <w:t>,</w:t>
      </w:r>
      <w:r w:rsidRPr="00B46785">
        <w:rPr>
          <w:color w:val="000000"/>
          <w:lang w:val="hr-HR"/>
        </w:rPr>
        <w:t xml:space="preserve"> uzgoj u kontroliranim uvjetima i/ili uvođenje u prirodu strane vrste</w:t>
      </w:r>
    </w:p>
    <w:p w14:paraId="6E73F49A" w14:textId="77777777" w:rsidR="009C1A65" w:rsidRPr="00B46785" w:rsidRDefault="009C1A65" w:rsidP="00CB559A">
      <w:pPr>
        <w:pStyle w:val="NormalWeb"/>
        <w:spacing w:before="120" w:beforeAutospacing="0" w:after="120" w:afterAutospacing="0"/>
        <w:ind w:left="426"/>
        <w:jc w:val="both"/>
        <w:textAlignment w:val="baseline"/>
        <w:rPr>
          <w:color w:val="000000"/>
          <w:lang w:val="hr-HR"/>
        </w:rPr>
      </w:pPr>
      <w:r>
        <w:rPr>
          <w:color w:val="000000"/>
          <w:lang w:val="hr-HR"/>
        </w:rPr>
        <w:t>2</w:t>
      </w:r>
      <w:r w:rsidRPr="00B46785">
        <w:rPr>
          <w:color w:val="000000"/>
          <w:lang w:val="hr-HR"/>
        </w:rPr>
        <w:t xml:space="preserve">. izrade te ažuriranja bijele liste </w:t>
      </w:r>
    </w:p>
    <w:p w14:paraId="717BB6DF" w14:textId="77777777" w:rsidR="009C1A65" w:rsidRPr="00B46785" w:rsidRDefault="009C1A65" w:rsidP="00CB559A">
      <w:pPr>
        <w:pStyle w:val="NormalWeb"/>
        <w:tabs>
          <w:tab w:val="left" w:pos="851"/>
        </w:tabs>
        <w:spacing w:before="120" w:beforeAutospacing="0" w:after="120" w:afterAutospacing="0"/>
        <w:ind w:left="426"/>
        <w:jc w:val="both"/>
        <w:textAlignment w:val="baseline"/>
        <w:rPr>
          <w:color w:val="000000"/>
          <w:lang w:val="hr-HR"/>
        </w:rPr>
      </w:pPr>
      <w:r>
        <w:rPr>
          <w:color w:val="000000"/>
          <w:lang w:val="hr-HR"/>
        </w:rPr>
        <w:t>3</w:t>
      </w:r>
      <w:r w:rsidRPr="00B46785">
        <w:rPr>
          <w:color w:val="000000"/>
          <w:lang w:val="hr-HR"/>
        </w:rPr>
        <w:t>. ostalih potreba Ministarstva.</w:t>
      </w:r>
    </w:p>
    <w:p w14:paraId="32237DD3" w14:textId="77777777" w:rsidR="009C1A65" w:rsidRPr="00B46785" w:rsidRDefault="009C1A65" w:rsidP="00CB559A">
      <w:pPr>
        <w:pStyle w:val="NormalWeb"/>
        <w:spacing w:before="120" w:beforeAutospacing="0" w:after="120" w:afterAutospacing="0"/>
        <w:jc w:val="both"/>
        <w:textAlignment w:val="baseline"/>
        <w:rPr>
          <w:color w:val="000000"/>
          <w:lang w:val="hr-HR"/>
        </w:rPr>
      </w:pPr>
      <w:r w:rsidRPr="00B46785">
        <w:rPr>
          <w:color w:val="000000"/>
          <w:lang w:val="hr-HR"/>
        </w:rPr>
        <w:lastRenderedPageBreak/>
        <w:t>(2) Procjena ekološkog rizika strane vrste obuhvaća cjelokupan teritorij Republike Hrvatske, uključujući kopneni prostor i more.</w:t>
      </w:r>
    </w:p>
    <w:p w14:paraId="10E5C104" w14:textId="77777777" w:rsidR="00CB559A" w:rsidRDefault="00CB559A" w:rsidP="00CB559A">
      <w:pPr>
        <w:pStyle w:val="Heading2"/>
      </w:pPr>
    </w:p>
    <w:p w14:paraId="169EE863" w14:textId="57D491AF" w:rsidR="009C1A65" w:rsidRPr="00B46785" w:rsidRDefault="009C1A65" w:rsidP="00CB559A">
      <w:pPr>
        <w:pStyle w:val="Heading2"/>
      </w:pPr>
      <w:r w:rsidRPr="00B46785">
        <w:t xml:space="preserve">Članak </w:t>
      </w:r>
      <w:r>
        <w:t>4</w:t>
      </w:r>
      <w:r w:rsidRPr="00B46785">
        <w:t>.</w:t>
      </w:r>
    </w:p>
    <w:p w14:paraId="6945E48C" w14:textId="77777777" w:rsidR="009C1A65" w:rsidRPr="00B46785" w:rsidRDefault="009C1A65" w:rsidP="00CB559A">
      <w:pPr>
        <w:pStyle w:val="NormalWeb"/>
        <w:numPr>
          <w:ilvl w:val="0"/>
          <w:numId w:val="8"/>
        </w:numPr>
        <w:tabs>
          <w:tab w:val="left" w:pos="284"/>
        </w:tabs>
        <w:spacing w:before="120" w:beforeAutospacing="0" w:after="120" w:afterAutospacing="0"/>
        <w:ind w:left="0" w:firstLine="0"/>
        <w:jc w:val="both"/>
        <w:textAlignment w:val="baseline"/>
        <w:rPr>
          <w:color w:val="000000"/>
          <w:lang w:val="hr-HR"/>
        </w:rPr>
      </w:pPr>
      <w:r w:rsidRPr="00B46785">
        <w:rPr>
          <w:color w:val="000000"/>
          <w:lang w:val="hr-HR"/>
        </w:rPr>
        <w:t xml:space="preserve"> Metodologija izrade procjene ekološkog rizika strane vrste sastoji se od prikupljanja dostupnih znanstvenih i stručnih podataka i/ili informacija o stranoj vrsti za koju se izrađuje procjena te od procjene ekološkog rizika na temelju prikupljenih informacija.</w:t>
      </w:r>
    </w:p>
    <w:p w14:paraId="395DACBF" w14:textId="77777777" w:rsidR="009C1A65" w:rsidRPr="00B46785" w:rsidRDefault="009C1A65" w:rsidP="00CB559A">
      <w:pPr>
        <w:pStyle w:val="NormalWeb"/>
        <w:numPr>
          <w:ilvl w:val="0"/>
          <w:numId w:val="8"/>
        </w:numPr>
        <w:tabs>
          <w:tab w:val="left" w:pos="284"/>
        </w:tabs>
        <w:spacing w:before="120" w:beforeAutospacing="0" w:after="120" w:afterAutospacing="0"/>
        <w:ind w:left="0" w:firstLine="0"/>
        <w:jc w:val="both"/>
        <w:textAlignment w:val="baseline"/>
        <w:rPr>
          <w:color w:val="000000"/>
          <w:lang w:val="hr-HR"/>
        </w:rPr>
      </w:pPr>
      <w:r w:rsidRPr="00B46785">
        <w:rPr>
          <w:color w:val="000000"/>
          <w:lang w:val="hr-HR"/>
        </w:rPr>
        <w:t xml:space="preserve"> Za izradu procjene ekološkog rizika strane vrste</w:t>
      </w:r>
      <w:r w:rsidRPr="00B46785">
        <w:rPr>
          <w:lang w:val="hr-HR"/>
        </w:rPr>
        <w:t xml:space="preserve"> </w:t>
      </w:r>
      <w:r w:rsidRPr="00B46785">
        <w:rPr>
          <w:color w:val="000000"/>
          <w:lang w:val="hr-HR"/>
        </w:rPr>
        <w:t>uzima se u obzir područje prirodne rasprostranjenosti, ekoklimatsk</w:t>
      </w:r>
      <w:r>
        <w:rPr>
          <w:color w:val="000000"/>
          <w:lang w:val="hr-HR"/>
        </w:rPr>
        <w:t>a</w:t>
      </w:r>
      <w:r w:rsidRPr="00B46785">
        <w:rPr>
          <w:color w:val="000000"/>
          <w:lang w:val="hr-HR"/>
        </w:rPr>
        <w:t xml:space="preserve"> niš</w:t>
      </w:r>
      <w:r>
        <w:rPr>
          <w:color w:val="000000"/>
          <w:lang w:val="hr-HR"/>
        </w:rPr>
        <w:t>a</w:t>
      </w:r>
      <w:r w:rsidRPr="00B46785">
        <w:rPr>
          <w:color w:val="000000"/>
          <w:lang w:val="hr-HR"/>
        </w:rPr>
        <w:t>, stanište, poda</w:t>
      </w:r>
      <w:r>
        <w:rPr>
          <w:color w:val="000000"/>
          <w:lang w:val="hr-HR"/>
        </w:rPr>
        <w:t>ci</w:t>
      </w:r>
      <w:r w:rsidRPr="00B46785">
        <w:rPr>
          <w:color w:val="000000"/>
          <w:lang w:val="hr-HR"/>
        </w:rPr>
        <w:t xml:space="preserve"> o biologiji i o invazivnosti vrste.</w:t>
      </w:r>
    </w:p>
    <w:p w14:paraId="59B8E5B7" w14:textId="4780FE69" w:rsidR="009C1A65" w:rsidRPr="00F002CF" w:rsidRDefault="009C1A65" w:rsidP="00CB559A">
      <w:pPr>
        <w:pStyle w:val="NormalWeb"/>
        <w:numPr>
          <w:ilvl w:val="0"/>
          <w:numId w:val="8"/>
        </w:numPr>
        <w:tabs>
          <w:tab w:val="left" w:pos="284"/>
        </w:tabs>
        <w:spacing w:before="120" w:beforeAutospacing="0" w:after="120" w:afterAutospacing="0"/>
        <w:ind w:left="0" w:firstLine="0"/>
        <w:jc w:val="both"/>
        <w:textAlignment w:val="baseline"/>
        <w:rPr>
          <w:color w:val="000000"/>
          <w:lang w:val="hr-HR"/>
        </w:rPr>
      </w:pPr>
      <w:r w:rsidRPr="00B46785">
        <w:rPr>
          <w:color w:val="000000"/>
          <w:lang w:val="hr-HR"/>
        </w:rPr>
        <w:t xml:space="preserve"> Prema potrebi i stručnoj procjeni moguće je izraditi procjenu ekološkog rizika stranih vrsta </w:t>
      </w:r>
      <w:r w:rsidRPr="00F002CF">
        <w:rPr>
          <w:color w:val="000000"/>
          <w:lang w:val="hr-HR"/>
        </w:rPr>
        <w:t>za višu taksonomsku skupinu</w:t>
      </w:r>
      <w:r w:rsidR="00EE70EE">
        <w:rPr>
          <w:color w:val="000000"/>
          <w:lang w:val="hr-HR"/>
        </w:rPr>
        <w:t>,</w:t>
      </w:r>
      <w:r w:rsidRPr="00F002CF">
        <w:rPr>
          <w:color w:val="000000"/>
          <w:lang w:val="hr-HR"/>
        </w:rPr>
        <w:t xml:space="preserve"> primarno za rod</w:t>
      </w:r>
      <w:r w:rsidR="00EE70EE">
        <w:rPr>
          <w:color w:val="000000"/>
          <w:lang w:val="hr-HR"/>
        </w:rPr>
        <w:t>,</w:t>
      </w:r>
      <w:r w:rsidRPr="00F002CF">
        <w:rPr>
          <w:color w:val="000000"/>
          <w:lang w:val="hr-HR"/>
        </w:rPr>
        <w:t xml:space="preserve"> umjesto za vrstu.</w:t>
      </w:r>
    </w:p>
    <w:p w14:paraId="25517E84" w14:textId="77777777" w:rsidR="009C1A65" w:rsidRPr="00F002CF" w:rsidRDefault="009C1A65" w:rsidP="00CB559A">
      <w:pPr>
        <w:pStyle w:val="NormalWeb"/>
        <w:numPr>
          <w:ilvl w:val="0"/>
          <w:numId w:val="8"/>
        </w:numPr>
        <w:tabs>
          <w:tab w:val="left" w:pos="284"/>
        </w:tabs>
        <w:spacing w:before="120" w:beforeAutospacing="0" w:after="120" w:afterAutospacing="0"/>
        <w:ind w:left="0" w:firstLine="0"/>
        <w:jc w:val="both"/>
        <w:textAlignment w:val="baseline"/>
        <w:rPr>
          <w:color w:val="000000"/>
          <w:lang w:val="hr-HR"/>
        </w:rPr>
      </w:pPr>
      <w:r w:rsidRPr="00F002CF">
        <w:rPr>
          <w:color w:val="000000"/>
          <w:lang w:val="hr-HR"/>
        </w:rPr>
        <w:t xml:space="preserve"> Procjena ekološkog rizika strane vrste temelji se na najpouzdanijim dostupnim informacijama koje se podupiru upućivanjem na znanstvene i stručne publikacije te druge relevantne izvore.</w:t>
      </w:r>
    </w:p>
    <w:p w14:paraId="426F4A0C" w14:textId="77777777" w:rsidR="009C1A65" w:rsidRPr="00B46785" w:rsidRDefault="009C1A65" w:rsidP="00CB559A">
      <w:pPr>
        <w:pStyle w:val="NormalWeb"/>
        <w:numPr>
          <w:ilvl w:val="0"/>
          <w:numId w:val="8"/>
        </w:numPr>
        <w:tabs>
          <w:tab w:val="left" w:pos="284"/>
        </w:tabs>
        <w:spacing w:before="120" w:beforeAutospacing="0" w:after="120" w:afterAutospacing="0"/>
        <w:ind w:left="0" w:firstLine="0"/>
        <w:jc w:val="both"/>
        <w:textAlignment w:val="baseline"/>
        <w:rPr>
          <w:color w:val="000000"/>
          <w:lang w:val="hr-HR"/>
        </w:rPr>
      </w:pPr>
      <w:r w:rsidRPr="00B46785">
        <w:rPr>
          <w:color w:val="000000"/>
          <w:lang w:val="hr-HR"/>
        </w:rPr>
        <w:t xml:space="preserve"> U slučaju nedostatka dijela informacija o stranoj vrsti, procjena ekološkog rizika strane vrste dovršava se na način da pojedina pitanja ostaju neodgovorena, odnosno označena kao nepoznato, uzimajući u obzir princip predostrožnosti.</w:t>
      </w:r>
    </w:p>
    <w:p w14:paraId="42787BC3" w14:textId="77777777" w:rsidR="009C1A65" w:rsidRPr="00B46785" w:rsidRDefault="009C1A65" w:rsidP="00CB559A">
      <w:pPr>
        <w:pStyle w:val="NormalWeb"/>
        <w:numPr>
          <w:ilvl w:val="0"/>
          <w:numId w:val="8"/>
        </w:numPr>
        <w:tabs>
          <w:tab w:val="left" w:pos="284"/>
        </w:tabs>
        <w:spacing w:before="120" w:beforeAutospacing="0" w:after="120" w:afterAutospacing="0"/>
        <w:ind w:left="0" w:firstLine="0"/>
        <w:jc w:val="both"/>
        <w:textAlignment w:val="baseline"/>
        <w:rPr>
          <w:color w:val="000000"/>
          <w:lang w:val="hr-HR"/>
        </w:rPr>
      </w:pPr>
      <w:r w:rsidRPr="00B46785">
        <w:rPr>
          <w:color w:val="000000"/>
          <w:lang w:val="hr-HR"/>
        </w:rPr>
        <w:t xml:space="preserve"> Procjena ekološkog rizika strane vrste revidira se po potrebi i/ili u slučaju novih saznanja relevantnih za stranu vrstu za koju je procjena izrađena.</w:t>
      </w:r>
    </w:p>
    <w:p w14:paraId="4C90313A" w14:textId="77777777" w:rsidR="00CB559A" w:rsidRDefault="00CB559A" w:rsidP="00CB559A">
      <w:pPr>
        <w:pStyle w:val="Heading2"/>
      </w:pPr>
    </w:p>
    <w:p w14:paraId="2330B3AB" w14:textId="592A7325" w:rsidR="009C1A65" w:rsidRPr="00B46785" w:rsidRDefault="009C1A65" w:rsidP="00CB559A">
      <w:pPr>
        <w:pStyle w:val="Heading2"/>
      </w:pPr>
      <w:r w:rsidRPr="00B46785">
        <w:t xml:space="preserve">Članak </w:t>
      </w:r>
      <w:r>
        <w:t>5</w:t>
      </w:r>
      <w:r w:rsidRPr="00B46785">
        <w:t>.</w:t>
      </w:r>
    </w:p>
    <w:p w14:paraId="1E697A12" w14:textId="77777777" w:rsidR="009C1A65" w:rsidRPr="00B46785" w:rsidRDefault="009C1A65" w:rsidP="00CB559A">
      <w:pPr>
        <w:pStyle w:val="NormalWeb"/>
        <w:numPr>
          <w:ilvl w:val="0"/>
          <w:numId w:val="5"/>
        </w:numPr>
        <w:tabs>
          <w:tab w:val="left" w:pos="284"/>
        </w:tabs>
        <w:spacing w:before="120" w:beforeAutospacing="0" w:after="120" w:afterAutospacing="0"/>
        <w:ind w:left="0" w:firstLine="0"/>
        <w:jc w:val="both"/>
        <w:textAlignment w:val="baseline"/>
        <w:rPr>
          <w:color w:val="000000"/>
          <w:spacing w:val="-4"/>
          <w:lang w:val="hr-HR"/>
        </w:rPr>
      </w:pPr>
      <w:r w:rsidRPr="00B46785">
        <w:rPr>
          <w:color w:val="000000"/>
          <w:lang w:val="hr-HR"/>
        </w:rPr>
        <w:t xml:space="preserve"> </w:t>
      </w:r>
      <w:r w:rsidRPr="00B46785">
        <w:rPr>
          <w:color w:val="000000"/>
          <w:spacing w:val="-4"/>
          <w:lang w:val="hr-HR"/>
        </w:rPr>
        <w:t>Procjena ekološkog rizika strane vrste sadrži rezultat u kojem</w:t>
      </w:r>
      <w:r w:rsidRPr="00B46785">
        <w:rPr>
          <w:rFonts w:asciiTheme="minorHAnsi" w:eastAsiaTheme="minorHAnsi" w:hAnsiTheme="minorHAnsi" w:cstheme="minorBidi"/>
          <w:color w:val="000000"/>
          <w:sz w:val="22"/>
          <w:szCs w:val="22"/>
          <w:lang w:val="hr-HR"/>
        </w:rPr>
        <w:t xml:space="preserve"> </w:t>
      </w:r>
      <w:r w:rsidRPr="00B46785">
        <w:rPr>
          <w:color w:val="000000"/>
          <w:spacing w:val="-4"/>
          <w:lang w:val="hr-HR"/>
        </w:rPr>
        <w:t xml:space="preserve"> se utvrđuje postoji li ekološki rizik strane vrste.</w:t>
      </w:r>
    </w:p>
    <w:p w14:paraId="4F7CBAF0" w14:textId="77777777" w:rsidR="009C1A65" w:rsidRPr="00B46785" w:rsidRDefault="009C1A65" w:rsidP="00CB559A">
      <w:pPr>
        <w:pStyle w:val="NormalWeb"/>
        <w:numPr>
          <w:ilvl w:val="0"/>
          <w:numId w:val="5"/>
        </w:numPr>
        <w:tabs>
          <w:tab w:val="left" w:pos="284"/>
        </w:tabs>
        <w:spacing w:before="120" w:beforeAutospacing="0" w:after="120" w:afterAutospacing="0"/>
        <w:ind w:left="0" w:firstLine="0"/>
        <w:jc w:val="both"/>
        <w:textAlignment w:val="baseline"/>
        <w:rPr>
          <w:color w:val="000000"/>
          <w:lang w:val="hr-HR"/>
        </w:rPr>
      </w:pPr>
      <w:r w:rsidRPr="00B46785">
        <w:rPr>
          <w:color w:val="000000"/>
          <w:lang w:val="hr-HR"/>
        </w:rPr>
        <w:t xml:space="preserve"> Ekološki rizik strane vrste ne može se isključiti ako strana vrsta na teritoriju ili dijelu teritorija Republike Hrvatske u trenutačnim uvjetima i predvidivim uvjetima klimatskih promjena može imati štetan učinak na bioraznolikost ili povezane usluge ekosustava, te se u slučaju iz članka </w:t>
      </w:r>
      <w:r>
        <w:rPr>
          <w:color w:val="000000"/>
          <w:lang w:val="hr-HR"/>
        </w:rPr>
        <w:t>3</w:t>
      </w:r>
      <w:r w:rsidRPr="00B46785">
        <w:rPr>
          <w:color w:val="000000"/>
          <w:lang w:val="hr-HR"/>
        </w:rPr>
        <w:t xml:space="preserve">. </w:t>
      </w:r>
      <w:r>
        <w:rPr>
          <w:color w:val="000000"/>
          <w:lang w:val="hr-HR"/>
        </w:rPr>
        <w:t xml:space="preserve">stavka 1. </w:t>
      </w:r>
      <w:r w:rsidRPr="00B46785">
        <w:rPr>
          <w:color w:val="000000"/>
          <w:lang w:val="hr-HR"/>
        </w:rPr>
        <w:t>točke 1. ove Uredbe, a temeljem članka 13. stavka 5., članka 15. stavka 5. i članka 18. stavka 6. Zakona stranka obavještava o mogućnosti pokretanja procjene rizika invazivnosti strane vrste.</w:t>
      </w:r>
    </w:p>
    <w:p w14:paraId="7F1C5E14" w14:textId="77777777" w:rsidR="009C1A65" w:rsidRDefault="009C1A65" w:rsidP="00CB559A">
      <w:pPr>
        <w:pStyle w:val="NormalWeb"/>
        <w:tabs>
          <w:tab w:val="left" w:pos="284"/>
        </w:tabs>
        <w:spacing w:before="120" w:beforeAutospacing="0" w:after="120" w:afterAutospacing="0"/>
        <w:jc w:val="both"/>
        <w:textAlignment w:val="baseline"/>
        <w:rPr>
          <w:color w:val="000000"/>
          <w:lang w:val="hr-HR"/>
        </w:rPr>
      </w:pPr>
      <w:r w:rsidRPr="00B46785">
        <w:rPr>
          <w:color w:val="000000"/>
          <w:lang w:val="hr-HR"/>
        </w:rPr>
        <w:t xml:space="preserve">(3) Ekološki rizik strane vrste može se isključiti ako strana vrsta na teritoriju ili dijelu teritorija Republike Hrvatske u trenutačnim uvjetima i predvidivim uvjetima klimatskih promjena nema štetan učinak na bioraznolikost ili povezane usluge ekosustava. </w:t>
      </w:r>
    </w:p>
    <w:p w14:paraId="4397C630" w14:textId="77777777" w:rsidR="00CB559A" w:rsidRPr="00B46785" w:rsidRDefault="00CB559A" w:rsidP="00CB559A">
      <w:pPr>
        <w:pStyle w:val="NormalWeb"/>
        <w:tabs>
          <w:tab w:val="left" w:pos="284"/>
        </w:tabs>
        <w:spacing w:before="120" w:beforeAutospacing="0" w:after="120" w:afterAutospacing="0"/>
        <w:jc w:val="both"/>
        <w:textAlignment w:val="baseline"/>
        <w:rPr>
          <w:color w:val="000000"/>
          <w:lang w:val="hr-HR"/>
        </w:rPr>
      </w:pPr>
    </w:p>
    <w:p w14:paraId="7E521DBF" w14:textId="77777777" w:rsidR="009C1A65" w:rsidRPr="00B46785" w:rsidRDefault="009C1A65" w:rsidP="00CB559A">
      <w:pPr>
        <w:pStyle w:val="Heading1"/>
        <w:spacing w:before="120" w:after="120" w:line="240" w:lineRule="auto"/>
      </w:pPr>
      <w:r w:rsidRPr="00B46785">
        <w:t>III. PROCJENA RIZIKA INVAZIVNOSTI STRANIH VRSTA</w:t>
      </w:r>
    </w:p>
    <w:p w14:paraId="1A391BF5" w14:textId="77777777" w:rsidR="00CB559A" w:rsidRDefault="00CB559A" w:rsidP="00CB559A">
      <w:pPr>
        <w:pStyle w:val="Heading2"/>
        <w:rPr>
          <w:rFonts w:eastAsia="Times New Roman"/>
        </w:rPr>
      </w:pPr>
    </w:p>
    <w:p w14:paraId="294451EE" w14:textId="50099229" w:rsidR="009C1A65" w:rsidRPr="00D211C9" w:rsidRDefault="009C1A65" w:rsidP="00CB559A">
      <w:pPr>
        <w:pStyle w:val="Heading2"/>
        <w:rPr>
          <w:rFonts w:eastAsia="Times New Roman"/>
        </w:rPr>
      </w:pPr>
      <w:r w:rsidRPr="00D211C9">
        <w:rPr>
          <w:rFonts w:eastAsia="Times New Roman"/>
        </w:rPr>
        <w:t xml:space="preserve">Članak </w:t>
      </w:r>
      <w:r w:rsidR="00612FCD" w:rsidRPr="00D211C9">
        <w:rPr>
          <w:rFonts w:eastAsia="Times New Roman"/>
        </w:rPr>
        <w:t>6</w:t>
      </w:r>
      <w:r w:rsidRPr="00D211C9">
        <w:rPr>
          <w:rFonts w:eastAsia="Times New Roman"/>
        </w:rPr>
        <w:t>.</w:t>
      </w:r>
    </w:p>
    <w:p w14:paraId="3D07F08D" w14:textId="77777777" w:rsidR="009C1A65" w:rsidRPr="00B46785" w:rsidRDefault="009C1A65" w:rsidP="00CB559A">
      <w:pPr>
        <w:pStyle w:val="NormalWeb"/>
        <w:spacing w:before="120" w:beforeAutospacing="0" w:after="120" w:afterAutospacing="0"/>
        <w:jc w:val="both"/>
        <w:textAlignment w:val="baseline"/>
        <w:rPr>
          <w:color w:val="000000"/>
          <w:spacing w:val="-6"/>
          <w:lang w:val="hr-HR"/>
        </w:rPr>
      </w:pPr>
      <w:r w:rsidRPr="00B46785">
        <w:rPr>
          <w:color w:val="000000"/>
          <w:spacing w:val="-6"/>
          <w:lang w:val="hr-HR"/>
        </w:rPr>
        <w:t xml:space="preserve">Prijedlog za pokretanje izrade procjene rizika </w:t>
      </w:r>
      <w:r w:rsidRPr="002D30AE">
        <w:rPr>
          <w:color w:val="000000"/>
          <w:spacing w:val="-6"/>
          <w:lang w:val="hr-HR"/>
        </w:rPr>
        <w:t xml:space="preserve">invazivnosti strane vrste </w:t>
      </w:r>
      <w:r w:rsidRPr="00B46785">
        <w:rPr>
          <w:color w:val="000000"/>
          <w:spacing w:val="-6"/>
          <w:lang w:val="hr-HR"/>
        </w:rPr>
        <w:t>sukladno članku 20. Zakona podnosi se Ministarstvu, a sadrži:</w:t>
      </w:r>
    </w:p>
    <w:p w14:paraId="74A429EF" w14:textId="77777777" w:rsidR="009C1A65" w:rsidRPr="00B46785" w:rsidRDefault="009C1A65" w:rsidP="00CB559A">
      <w:pPr>
        <w:pStyle w:val="NormalWeb"/>
        <w:numPr>
          <w:ilvl w:val="0"/>
          <w:numId w:val="7"/>
        </w:numPr>
        <w:spacing w:before="120" w:beforeAutospacing="0" w:after="120" w:afterAutospacing="0"/>
        <w:ind w:left="426" w:firstLine="0"/>
        <w:jc w:val="both"/>
        <w:rPr>
          <w:color w:val="000000"/>
          <w:lang w:val="hr-HR"/>
        </w:rPr>
      </w:pPr>
      <w:r w:rsidRPr="00B46785">
        <w:rPr>
          <w:color w:val="000000"/>
          <w:lang w:val="hr-HR"/>
        </w:rPr>
        <w:t xml:space="preserve">za pravnu osobu: naziv i sjedište </w:t>
      </w:r>
      <w:r>
        <w:rPr>
          <w:color w:val="000000"/>
          <w:lang w:val="hr-HR"/>
        </w:rPr>
        <w:t>pravne osobe</w:t>
      </w:r>
      <w:r w:rsidRPr="00B46785">
        <w:rPr>
          <w:color w:val="000000"/>
          <w:lang w:val="hr-HR"/>
        </w:rPr>
        <w:t>, osobni identifikacijski broj (OIB), ime i prezime odgovorne osobe, broj telefona i adresu elektroničke pošte</w:t>
      </w:r>
    </w:p>
    <w:p w14:paraId="58E9B86C" w14:textId="77777777" w:rsidR="009C1A65" w:rsidRPr="00B46785" w:rsidRDefault="009C1A65" w:rsidP="00CB559A">
      <w:pPr>
        <w:pStyle w:val="NormalWeb"/>
        <w:numPr>
          <w:ilvl w:val="0"/>
          <w:numId w:val="7"/>
        </w:numPr>
        <w:spacing w:before="120" w:beforeAutospacing="0" w:after="120" w:afterAutospacing="0"/>
        <w:ind w:left="426" w:firstLine="0"/>
        <w:jc w:val="both"/>
        <w:rPr>
          <w:color w:val="000000"/>
          <w:lang w:val="hr-HR"/>
        </w:rPr>
      </w:pPr>
      <w:r w:rsidRPr="00B46785">
        <w:rPr>
          <w:color w:val="000000"/>
          <w:lang w:val="hr-HR"/>
        </w:rPr>
        <w:lastRenderedPageBreak/>
        <w:t>za fizičku osobu</w:t>
      </w:r>
      <w:r w:rsidRPr="00B46785">
        <w:rPr>
          <w:rFonts w:asciiTheme="minorHAnsi" w:eastAsiaTheme="minorHAnsi" w:hAnsiTheme="minorHAnsi" w:cstheme="minorBidi"/>
          <w:color w:val="000000"/>
          <w:sz w:val="22"/>
          <w:szCs w:val="22"/>
          <w:lang w:val="hr-HR"/>
        </w:rPr>
        <w:t xml:space="preserve"> </w:t>
      </w:r>
      <w:r w:rsidRPr="00B46785">
        <w:rPr>
          <w:color w:val="000000"/>
          <w:lang w:val="hr-HR"/>
        </w:rPr>
        <w:t>i fizičku osobu - obrtnika, odnosno osobu koja obavlja drugu samostalnu djelatnost: ime i prezime, adresu i osobni identifikacijski broj (OIB),</w:t>
      </w:r>
      <w:r w:rsidRPr="00B46785">
        <w:rPr>
          <w:rFonts w:asciiTheme="minorHAnsi" w:eastAsiaTheme="minorHAnsi" w:hAnsiTheme="minorHAnsi" w:cstheme="minorBidi"/>
          <w:color w:val="000000"/>
          <w:sz w:val="22"/>
          <w:szCs w:val="22"/>
          <w:lang w:val="hr-HR"/>
        </w:rPr>
        <w:t xml:space="preserve"> </w:t>
      </w:r>
      <w:r w:rsidRPr="00B46785">
        <w:rPr>
          <w:color w:val="000000"/>
          <w:lang w:val="hr-HR"/>
        </w:rPr>
        <w:t>sjedište obrta, odnosno samostalne djelatnosti, broj telefona i adresu elektroničke pošte</w:t>
      </w:r>
    </w:p>
    <w:p w14:paraId="1954F827" w14:textId="77777777" w:rsidR="009C1A65" w:rsidRPr="00B46785" w:rsidRDefault="009C1A65" w:rsidP="00CB559A">
      <w:pPr>
        <w:pStyle w:val="NormalWeb"/>
        <w:numPr>
          <w:ilvl w:val="0"/>
          <w:numId w:val="7"/>
        </w:numPr>
        <w:spacing w:before="120" w:beforeAutospacing="0" w:after="120" w:afterAutospacing="0"/>
        <w:ind w:left="426" w:firstLine="0"/>
        <w:jc w:val="both"/>
        <w:rPr>
          <w:color w:val="000000"/>
          <w:lang w:val="hr-HR"/>
        </w:rPr>
      </w:pPr>
      <w:r w:rsidRPr="00B46785">
        <w:rPr>
          <w:color w:val="000000"/>
          <w:lang w:val="hr-HR"/>
        </w:rPr>
        <w:t>znanstveni naziv strane vrste</w:t>
      </w:r>
    </w:p>
    <w:p w14:paraId="6BC0BFBD" w14:textId="77777777" w:rsidR="009C1A65" w:rsidRPr="00B46785" w:rsidRDefault="009C1A65" w:rsidP="00CB559A">
      <w:pPr>
        <w:pStyle w:val="NormalWeb"/>
        <w:numPr>
          <w:ilvl w:val="0"/>
          <w:numId w:val="7"/>
        </w:numPr>
        <w:spacing w:before="120" w:beforeAutospacing="0" w:after="120" w:afterAutospacing="0"/>
        <w:ind w:left="426" w:firstLine="0"/>
        <w:jc w:val="both"/>
        <w:rPr>
          <w:color w:val="000000"/>
          <w:lang w:val="hr-HR"/>
        </w:rPr>
      </w:pPr>
      <w:r>
        <w:rPr>
          <w:color w:val="000000"/>
          <w:lang w:val="hr-HR"/>
        </w:rPr>
        <w:t xml:space="preserve">opis </w:t>
      </w:r>
      <w:r w:rsidRPr="00B46785">
        <w:rPr>
          <w:color w:val="000000"/>
          <w:lang w:val="hr-HR"/>
        </w:rPr>
        <w:t>svrh</w:t>
      </w:r>
      <w:r>
        <w:rPr>
          <w:color w:val="000000"/>
          <w:lang w:val="hr-HR"/>
        </w:rPr>
        <w:t>e</w:t>
      </w:r>
      <w:r w:rsidRPr="00B46785">
        <w:rPr>
          <w:color w:val="000000"/>
          <w:lang w:val="hr-HR"/>
        </w:rPr>
        <w:t xml:space="preserve"> podnošenja prijedloga.</w:t>
      </w:r>
    </w:p>
    <w:p w14:paraId="35DEDD81" w14:textId="77777777" w:rsidR="00CB559A" w:rsidRDefault="00CB559A" w:rsidP="00CB559A">
      <w:pPr>
        <w:pStyle w:val="Heading2"/>
      </w:pPr>
    </w:p>
    <w:p w14:paraId="5C88B21D" w14:textId="1BF234C3" w:rsidR="009C1A65" w:rsidRPr="00B46785" w:rsidRDefault="009C1A65" w:rsidP="00CB559A">
      <w:pPr>
        <w:pStyle w:val="Heading2"/>
      </w:pPr>
      <w:r w:rsidRPr="00B46785">
        <w:t xml:space="preserve">Članak </w:t>
      </w:r>
      <w:r w:rsidR="00612FCD">
        <w:t>7</w:t>
      </w:r>
      <w:r w:rsidRPr="00B46785">
        <w:t>.</w:t>
      </w:r>
    </w:p>
    <w:p w14:paraId="0325F781" w14:textId="77777777" w:rsidR="009C1A65" w:rsidRPr="00B46785" w:rsidRDefault="009C1A65" w:rsidP="00CB559A">
      <w:pPr>
        <w:pStyle w:val="NormalWeb"/>
        <w:spacing w:before="120" w:beforeAutospacing="0" w:after="120" w:afterAutospacing="0"/>
        <w:jc w:val="both"/>
        <w:textAlignment w:val="baseline"/>
        <w:rPr>
          <w:color w:val="000000"/>
          <w:lang w:val="hr-HR"/>
        </w:rPr>
      </w:pPr>
      <w:r w:rsidRPr="00B46785">
        <w:rPr>
          <w:color w:val="000000"/>
          <w:lang w:val="hr-HR"/>
        </w:rPr>
        <w:t xml:space="preserve">(1) Procjena rizika </w:t>
      </w:r>
      <w:r w:rsidRPr="002D30AE">
        <w:rPr>
          <w:color w:val="000000"/>
          <w:lang w:val="hr-HR"/>
        </w:rPr>
        <w:t xml:space="preserve">invazivnosti strane vrste </w:t>
      </w:r>
      <w:r w:rsidRPr="00B46785">
        <w:rPr>
          <w:color w:val="000000"/>
          <w:lang w:val="hr-HR"/>
        </w:rPr>
        <w:t xml:space="preserve">može se temeljiti na bilo kojem protokolu ili metodi koja se upotrebljava unutar znanstvene zajednice u području bioloških invazija, pod uvjetom da protokol ili metoda sadrži sljedeće zajedničke elemente: </w:t>
      </w:r>
    </w:p>
    <w:p w14:paraId="6294B1BB" w14:textId="77777777" w:rsidR="009C1A65" w:rsidRPr="00B46785" w:rsidRDefault="009C1A65" w:rsidP="00CB559A">
      <w:pPr>
        <w:pStyle w:val="NormalWeb"/>
        <w:spacing w:before="120" w:beforeAutospacing="0" w:after="120" w:afterAutospacing="0"/>
        <w:ind w:firstLine="426"/>
        <w:jc w:val="both"/>
        <w:textAlignment w:val="baseline"/>
        <w:rPr>
          <w:color w:val="000000"/>
          <w:lang w:val="hr-HR"/>
        </w:rPr>
      </w:pPr>
      <w:r w:rsidRPr="00B46785">
        <w:rPr>
          <w:color w:val="000000"/>
          <w:lang w:val="hr-HR"/>
        </w:rPr>
        <w:t>1.</w:t>
      </w:r>
      <w:r w:rsidRPr="00B46785">
        <w:rPr>
          <w:color w:val="000000"/>
          <w:lang w:val="hr-HR"/>
        </w:rPr>
        <w:tab/>
        <w:t xml:space="preserve">taksonomska pripadnost vrste </w:t>
      </w:r>
    </w:p>
    <w:p w14:paraId="7D7330AB" w14:textId="77777777" w:rsidR="009C1A65" w:rsidRPr="00B46785" w:rsidRDefault="009C1A65" w:rsidP="00CB559A">
      <w:pPr>
        <w:pStyle w:val="NormalWeb"/>
        <w:spacing w:before="120" w:beforeAutospacing="0" w:after="120" w:afterAutospacing="0"/>
        <w:ind w:firstLine="426"/>
        <w:jc w:val="both"/>
        <w:textAlignment w:val="baseline"/>
        <w:rPr>
          <w:color w:val="000000"/>
          <w:lang w:val="hr-HR"/>
        </w:rPr>
      </w:pPr>
      <w:r w:rsidRPr="00B46785">
        <w:rPr>
          <w:color w:val="000000"/>
          <w:lang w:val="hr-HR"/>
        </w:rPr>
        <w:t>2.</w:t>
      </w:r>
      <w:r w:rsidRPr="00B46785">
        <w:rPr>
          <w:color w:val="000000"/>
          <w:lang w:val="hr-HR"/>
        </w:rPr>
        <w:tab/>
        <w:t xml:space="preserve">opis trenutačne rasprostranjenosti vrste </w:t>
      </w:r>
    </w:p>
    <w:p w14:paraId="471F09E1" w14:textId="77777777" w:rsidR="009C1A65" w:rsidRPr="00B46785" w:rsidRDefault="009C1A65" w:rsidP="00CB559A">
      <w:pPr>
        <w:pStyle w:val="NormalWeb"/>
        <w:spacing w:before="120" w:beforeAutospacing="0" w:after="120" w:afterAutospacing="0"/>
        <w:ind w:firstLine="426"/>
        <w:jc w:val="both"/>
        <w:textAlignment w:val="baseline"/>
        <w:rPr>
          <w:color w:val="000000"/>
          <w:lang w:val="hr-HR"/>
        </w:rPr>
      </w:pPr>
      <w:r w:rsidRPr="00B46785">
        <w:rPr>
          <w:color w:val="000000"/>
          <w:lang w:val="hr-HR"/>
        </w:rPr>
        <w:t>3.</w:t>
      </w:r>
      <w:r w:rsidRPr="00B46785">
        <w:rPr>
          <w:color w:val="000000"/>
          <w:lang w:val="hr-HR"/>
        </w:rPr>
        <w:tab/>
      </w:r>
      <w:bookmarkStart w:id="0" w:name="_Hlk146624245"/>
      <w:r w:rsidRPr="00B46785">
        <w:rPr>
          <w:color w:val="000000"/>
          <w:lang w:val="hr-HR"/>
        </w:rPr>
        <w:t xml:space="preserve">putovi unošenja i širenja </w:t>
      </w:r>
      <w:bookmarkEnd w:id="0"/>
    </w:p>
    <w:p w14:paraId="0CCADD06" w14:textId="77777777" w:rsidR="009C1A65" w:rsidRPr="00B46785" w:rsidRDefault="009C1A65" w:rsidP="00CB559A">
      <w:pPr>
        <w:pStyle w:val="NormalWeb"/>
        <w:spacing w:before="120" w:beforeAutospacing="0" w:after="120" w:afterAutospacing="0"/>
        <w:ind w:firstLine="426"/>
        <w:jc w:val="both"/>
        <w:textAlignment w:val="baseline"/>
        <w:rPr>
          <w:color w:val="000000"/>
          <w:lang w:val="hr-HR"/>
        </w:rPr>
      </w:pPr>
      <w:r w:rsidRPr="00B46785">
        <w:rPr>
          <w:color w:val="000000"/>
          <w:lang w:val="hr-HR"/>
        </w:rPr>
        <w:t>4.</w:t>
      </w:r>
      <w:r w:rsidRPr="00B46785">
        <w:rPr>
          <w:color w:val="000000"/>
          <w:lang w:val="hr-HR"/>
        </w:rPr>
        <w:tab/>
        <w:t xml:space="preserve">obrasci širenja i njihova dinamika </w:t>
      </w:r>
    </w:p>
    <w:p w14:paraId="5D8DF250" w14:textId="77777777" w:rsidR="009C1A65" w:rsidRPr="00B46785" w:rsidRDefault="009C1A65" w:rsidP="00CB559A">
      <w:pPr>
        <w:pStyle w:val="NormalWeb"/>
        <w:spacing w:before="120" w:beforeAutospacing="0" w:after="120" w:afterAutospacing="0"/>
        <w:ind w:left="426"/>
        <w:jc w:val="both"/>
        <w:textAlignment w:val="baseline"/>
        <w:rPr>
          <w:color w:val="000000"/>
          <w:lang w:val="hr-HR"/>
        </w:rPr>
      </w:pPr>
      <w:r w:rsidRPr="00B46785">
        <w:rPr>
          <w:color w:val="000000"/>
          <w:lang w:val="hr-HR"/>
        </w:rPr>
        <w:t>5.</w:t>
      </w:r>
      <w:r w:rsidRPr="00B46785">
        <w:rPr>
          <w:color w:val="000000"/>
          <w:lang w:val="hr-HR"/>
        </w:rPr>
        <w:tab/>
        <w:t>opis štetnih utjecaja na bioraznolikost i povezane usluge ekosustava, kao i na zdravlje ljudi i gospodarstvo.</w:t>
      </w:r>
    </w:p>
    <w:p w14:paraId="2995DDAD" w14:textId="15211CFB" w:rsidR="009C1A65" w:rsidRPr="00B46785" w:rsidRDefault="003C337A" w:rsidP="00CB559A">
      <w:pPr>
        <w:pStyle w:val="NormalWeb"/>
        <w:spacing w:before="120" w:beforeAutospacing="0" w:after="120" w:afterAutospacing="0"/>
        <w:jc w:val="both"/>
        <w:textAlignment w:val="baseline"/>
        <w:rPr>
          <w:color w:val="000000"/>
          <w:lang w:val="hr-HR"/>
        </w:rPr>
      </w:pPr>
      <w:r>
        <w:rPr>
          <w:color w:val="000000"/>
          <w:lang w:val="hr-HR"/>
        </w:rPr>
        <w:t xml:space="preserve">(2) </w:t>
      </w:r>
      <w:r w:rsidR="009C1A65" w:rsidRPr="00B46785">
        <w:rPr>
          <w:color w:val="000000"/>
          <w:lang w:val="hr-HR"/>
        </w:rPr>
        <w:t xml:space="preserve">Procjena rizika </w:t>
      </w:r>
      <w:r w:rsidR="009C1A65" w:rsidRPr="002D30AE">
        <w:rPr>
          <w:color w:val="000000"/>
          <w:lang w:val="hr-HR"/>
        </w:rPr>
        <w:t xml:space="preserve">invazivnosti strane vrste </w:t>
      </w:r>
      <w:r w:rsidR="009C1A65" w:rsidRPr="00B46785">
        <w:rPr>
          <w:color w:val="000000"/>
          <w:lang w:val="hr-HR"/>
        </w:rPr>
        <w:t>temelji se na najpouzdanijim dostupnim informacijama koje se podupiru upućivanjem na znanstvene i stručne publikacije te druge relevantne izvore.</w:t>
      </w:r>
    </w:p>
    <w:p w14:paraId="7565FDED" w14:textId="77777777" w:rsidR="009C1A65" w:rsidRPr="00B46785" w:rsidRDefault="009C1A65" w:rsidP="00CB559A">
      <w:pPr>
        <w:pStyle w:val="NormalWeb"/>
        <w:spacing w:before="120" w:beforeAutospacing="0" w:after="120" w:afterAutospacing="0"/>
        <w:jc w:val="both"/>
        <w:textAlignment w:val="baseline"/>
        <w:rPr>
          <w:color w:val="000000"/>
          <w:lang w:val="hr-HR"/>
        </w:rPr>
      </w:pPr>
      <w:r w:rsidRPr="00B46785">
        <w:rPr>
          <w:color w:val="000000"/>
          <w:lang w:val="hr-HR"/>
        </w:rPr>
        <w:t xml:space="preserve">(3) Procjena rizika </w:t>
      </w:r>
      <w:r w:rsidRPr="002D30AE">
        <w:rPr>
          <w:color w:val="000000"/>
          <w:lang w:val="hr-HR"/>
        </w:rPr>
        <w:t xml:space="preserve">invazivnosti strane vrste </w:t>
      </w:r>
      <w:r w:rsidRPr="00B46785">
        <w:rPr>
          <w:color w:val="000000"/>
          <w:lang w:val="hr-HR"/>
        </w:rPr>
        <w:t>obuhvaća cjelokupan teritorij Republike Hrvatske, uključujući kopneni prostor i more.</w:t>
      </w:r>
    </w:p>
    <w:p w14:paraId="64CB6342" w14:textId="60CFF2E0" w:rsidR="009C1A65" w:rsidRPr="00B46785" w:rsidRDefault="009C1A65" w:rsidP="00CB559A">
      <w:pPr>
        <w:pStyle w:val="NormalWeb"/>
        <w:spacing w:before="120" w:beforeAutospacing="0" w:after="120" w:afterAutospacing="0"/>
        <w:jc w:val="both"/>
        <w:textAlignment w:val="baseline"/>
        <w:rPr>
          <w:color w:val="000000"/>
          <w:lang w:val="hr-HR"/>
        </w:rPr>
      </w:pPr>
      <w:r w:rsidRPr="00B46785">
        <w:rPr>
          <w:color w:val="000000"/>
          <w:lang w:val="hr-HR"/>
        </w:rPr>
        <w:t xml:space="preserve">(4) Prema potrebi i stručnoj procjeni moguće je izraditi procjenu rizika </w:t>
      </w:r>
      <w:r w:rsidRPr="002D30AE">
        <w:rPr>
          <w:color w:val="000000"/>
          <w:lang w:val="hr-HR"/>
        </w:rPr>
        <w:t xml:space="preserve">invazivnosti strane vrste </w:t>
      </w:r>
      <w:r w:rsidRPr="00B46785">
        <w:rPr>
          <w:color w:val="000000"/>
          <w:lang w:val="hr-HR"/>
        </w:rPr>
        <w:t>za višu taksonomsku skupinu</w:t>
      </w:r>
      <w:r w:rsidR="00EE70EE">
        <w:rPr>
          <w:color w:val="000000"/>
          <w:lang w:val="hr-HR"/>
        </w:rPr>
        <w:t>,</w:t>
      </w:r>
      <w:r w:rsidRPr="00B46785">
        <w:rPr>
          <w:color w:val="000000"/>
          <w:lang w:val="hr-HR"/>
        </w:rPr>
        <w:t xml:space="preserve"> </w:t>
      </w:r>
      <w:r w:rsidRPr="00824F11">
        <w:rPr>
          <w:color w:val="000000"/>
          <w:lang w:val="hr-HR"/>
        </w:rPr>
        <w:t>primarno za rod</w:t>
      </w:r>
      <w:r w:rsidR="00EE70EE">
        <w:rPr>
          <w:color w:val="000000"/>
          <w:lang w:val="hr-HR"/>
        </w:rPr>
        <w:t>,</w:t>
      </w:r>
      <w:r>
        <w:rPr>
          <w:color w:val="000000"/>
          <w:lang w:val="hr-HR"/>
        </w:rPr>
        <w:t xml:space="preserve"> </w:t>
      </w:r>
      <w:r w:rsidRPr="00B46785">
        <w:rPr>
          <w:color w:val="000000"/>
          <w:lang w:val="hr-HR"/>
        </w:rPr>
        <w:t>umjesto za vrstu.</w:t>
      </w:r>
    </w:p>
    <w:p w14:paraId="69ABC60C" w14:textId="77777777" w:rsidR="009C1A65" w:rsidRPr="00B46785" w:rsidRDefault="009C1A65" w:rsidP="00CB559A">
      <w:pPr>
        <w:pStyle w:val="NormalWeb"/>
        <w:spacing w:before="120" w:beforeAutospacing="0" w:after="120" w:afterAutospacing="0"/>
        <w:jc w:val="both"/>
        <w:textAlignment w:val="baseline"/>
        <w:rPr>
          <w:color w:val="000000"/>
          <w:lang w:val="hr-HR"/>
        </w:rPr>
      </w:pPr>
      <w:r w:rsidRPr="00B46785">
        <w:rPr>
          <w:color w:val="000000"/>
          <w:lang w:val="hr-HR"/>
        </w:rPr>
        <w:t xml:space="preserve">(5) U slučaju nedostatka dijela informacija o stranoj vrsti, procjena rizika </w:t>
      </w:r>
      <w:r w:rsidRPr="002D30AE">
        <w:rPr>
          <w:color w:val="000000"/>
          <w:lang w:val="hr-HR"/>
        </w:rPr>
        <w:t xml:space="preserve">invazivnosti strane vrste </w:t>
      </w:r>
      <w:r w:rsidRPr="00B46785">
        <w:rPr>
          <w:color w:val="000000"/>
          <w:lang w:val="hr-HR"/>
        </w:rPr>
        <w:t>dovršava se na način da pojedina pitanja ostaju neodgovorena, odnosno označena kao nepoznato, uzimajući u obzir princip predostrožnosti.</w:t>
      </w:r>
    </w:p>
    <w:p w14:paraId="7369B63A" w14:textId="77777777" w:rsidR="00CB559A" w:rsidRDefault="00CB559A" w:rsidP="00CB559A">
      <w:pPr>
        <w:pStyle w:val="Heading2"/>
      </w:pPr>
    </w:p>
    <w:p w14:paraId="7DD9A9D9" w14:textId="41E46E56" w:rsidR="009C1A65" w:rsidRPr="00B46785" w:rsidRDefault="009C1A65" w:rsidP="00CB559A">
      <w:pPr>
        <w:pStyle w:val="Heading2"/>
      </w:pPr>
      <w:r w:rsidRPr="00B46785">
        <w:t xml:space="preserve">Članak </w:t>
      </w:r>
      <w:r w:rsidR="00612FCD">
        <w:t>8</w:t>
      </w:r>
      <w:r w:rsidRPr="00B46785">
        <w:t>.</w:t>
      </w:r>
    </w:p>
    <w:p w14:paraId="2255F4D3" w14:textId="77777777" w:rsidR="009C1A65" w:rsidRPr="00B46785" w:rsidRDefault="009C1A65" w:rsidP="00CB559A">
      <w:pPr>
        <w:pStyle w:val="NormalWeb"/>
        <w:numPr>
          <w:ilvl w:val="0"/>
          <w:numId w:val="6"/>
        </w:numPr>
        <w:tabs>
          <w:tab w:val="left" w:pos="284"/>
        </w:tabs>
        <w:spacing w:before="120" w:beforeAutospacing="0" w:after="120" w:afterAutospacing="0"/>
        <w:ind w:left="0" w:firstLine="0"/>
        <w:jc w:val="both"/>
        <w:textAlignment w:val="baseline"/>
        <w:rPr>
          <w:color w:val="000000"/>
          <w:spacing w:val="-4"/>
          <w:lang w:val="hr-HR"/>
        </w:rPr>
      </w:pPr>
      <w:r w:rsidRPr="00B46785">
        <w:rPr>
          <w:color w:val="000000"/>
          <w:lang w:val="hr-HR"/>
        </w:rPr>
        <w:t xml:space="preserve"> </w:t>
      </w:r>
      <w:r w:rsidRPr="00B46785">
        <w:rPr>
          <w:color w:val="000000"/>
          <w:spacing w:val="-4"/>
          <w:lang w:val="hr-HR"/>
        </w:rPr>
        <w:t xml:space="preserve">Procjena rizika </w:t>
      </w:r>
      <w:r w:rsidRPr="002D30AE">
        <w:rPr>
          <w:color w:val="000000"/>
          <w:spacing w:val="-4"/>
          <w:lang w:val="hr-HR"/>
        </w:rPr>
        <w:t xml:space="preserve">invazivnosti strane vrste </w:t>
      </w:r>
      <w:r w:rsidRPr="00B46785">
        <w:rPr>
          <w:color w:val="000000"/>
          <w:spacing w:val="-4"/>
          <w:lang w:val="hr-HR"/>
        </w:rPr>
        <w:t>sadrži zaključak u kojem se navodi razina rizika sukladno korištenom protokolu i stupanj nesigurnosti / pouzdanosti</w:t>
      </w:r>
      <w:r>
        <w:rPr>
          <w:color w:val="000000"/>
          <w:spacing w:val="-4"/>
          <w:lang w:val="hr-HR"/>
        </w:rPr>
        <w:t>.</w:t>
      </w:r>
    </w:p>
    <w:p w14:paraId="569E1A64" w14:textId="77777777" w:rsidR="009C1A65" w:rsidRPr="001A28CE" w:rsidRDefault="009C1A65" w:rsidP="00CB559A">
      <w:pPr>
        <w:pStyle w:val="NormalWeb"/>
        <w:numPr>
          <w:ilvl w:val="0"/>
          <w:numId w:val="6"/>
        </w:numPr>
        <w:tabs>
          <w:tab w:val="left" w:pos="284"/>
        </w:tabs>
        <w:spacing w:before="120" w:beforeAutospacing="0" w:after="120" w:afterAutospacing="0"/>
        <w:ind w:left="0" w:firstLine="0"/>
        <w:jc w:val="both"/>
        <w:textAlignment w:val="baseline"/>
        <w:rPr>
          <w:color w:val="000000"/>
          <w:lang w:val="hr-HR"/>
        </w:rPr>
      </w:pPr>
      <w:r w:rsidRPr="00B46785">
        <w:rPr>
          <w:color w:val="000000"/>
          <w:lang w:val="hr-HR"/>
        </w:rPr>
        <w:t xml:space="preserve"> Zaključak procjene rizika </w:t>
      </w:r>
      <w:r w:rsidRPr="002D30AE">
        <w:rPr>
          <w:color w:val="000000"/>
          <w:lang w:val="hr-HR"/>
        </w:rPr>
        <w:t xml:space="preserve">invazivnosti strane vrste </w:t>
      </w:r>
      <w:r w:rsidRPr="00B46785">
        <w:rPr>
          <w:color w:val="000000"/>
          <w:lang w:val="hr-HR"/>
        </w:rPr>
        <w:t xml:space="preserve">uključuje opisni sažetak sa svim podacima </w:t>
      </w:r>
      <w:r>
        <w:rPr>
          <w:color w:val="000000"/>
          <w:lang w:val="hr-HR"/>
        </w:rPr>
        <w:t>potrebnim</w:t>
      </w:r>
      <w:r w:rsidRPr="00B46785">
        <w:rPr>
          <w:color w:val="000000"/>
          <w:lang w:val="hr-HR"/>
        </w:rPr>
        <w:t xml:space="preserve"> za donošenje zaključka</w:t>
      </w:r>
      <w:r w:rsidRPr="001A28CE">
        <w:rPr>
          <w:color w:val="000000"/>
          <w:lang w:val="hr-HR"/>
        </w:rPr>
        <w:t>.</w:t>
      </w:r>
    </w:p>
    <w:p w14:paraId="472142BC" w14:textId="24A56819" w:rsidR="00B20D9E" w:rsidRDefault="009C1A65" w:rsidP="00CB559A">
      <w:pPr>
        <w:pStyle w:val="NormalWeb"/>
        <w:numPr>
          <w:ilvl w:val="0"/>
          <w:numId w:val="6"/>
        </w:numPr>
        <w:tabs>
          <w:tab w:val="left" w:pos="284"/>
        </w:tabs>
        <w:spacing w:before="120" w:beforeAutospacing="0" w:after="120" w:afterAutospacing="0"/>
        <w:ind w:left="0" w:firstLine="0"/>
        <w:jc w:val="both"/>
        <w:textAlignment w:val="baseline"/>
        <w:rPr>
          <w:color w:val="000000"/>
          <w:lang w:val="hr-HR"/>
        </w:rPr>
      </w:pPr>
      <w:r w:rsidRPr="00B46785">
        <w:rPr>
          <w:color w:val="000000"/>
          <w:lang w:val="hr-HR"/>
        </w:rPr>
        <w:t xml:space="preserve"> Upotrebom metode ili protokola omogućava se dovršavanje procjene rizika </w:t>
      </w:r>
      <w:r w:rsidRPr="002D30AE">
        <w:rPr>
          <w:color w:val="000000"/>
          <w:lang w:val="hr-HR"/>
        </w:rPr>
        <w:t xml:space="preserve">invazivnosti strane vrste </w:t>
      </w:r>
      <w:r w:rsidRPr="00B46785">
        <w:rPr>
          <w:color w:val="000000"/>
          <w:lang w:val="hr-HR"/>
        </w:rPr>
        <w:t>i ako su informacije o vrsti nedostatne.</w:t>
      </w:r>
    </w:p>
    <w:p w14:paraId="1A4108C6" w14:textId="77777777" w:rsidR="00CB559A" w:rsidRPr="00390211" w:rsidRDefault="00CB559A" w:rsidP="00CB559A">
      <w:pPr>
        <w:pStyle w:val="NormalWeb"/>
        <w:tabs>
          <w:tab w:val="left" w:pos="284"/>
        </w:tabs>
        <w:spacing w:before="120" w:beforeAutospacing="0" w:after="120" w:afterAutospacing="0"/>
        <w:jc w:val="both"/>
        <w:textAlignment w:val="baseline"/>
        <w:rPr>
          <w:color w:val="000000"/>
          <w:lang w:val="hr-HR"/>
        </w:rPr>
      </w:pPr>
    </w:p>
    <w:p w14:paraId="3B505CDE" w14:textId="77777777" w:rsidR="009C1A65" w:rsidRPr="00B46785" w:rsidRDefault="009C1A65" w:rsidP="00CB559A">
      <w:pPr>
        <w:pStyle w:val="Heading1"/>
        <w:spacing w:before="120" w:after="120" w:line="240" w:lineRule="auto"/>
      </w:pPr>
      <w:r w:rsidRPr="00B46785">
        <w:t>IV. PRIBAVLJANJE MIŠLJENJA JAVNOSTI</w:t>
      </w:r>
    </w:p>
    <w:p w14:paraId="5C304B57" w14:textId="77777777" w:rsidR="00CB559A" w:rsidRDefault="00CB559A" w:rsidP="00CB559A">
      <w:pPr>
        <w:pStyle w:val="Heading2"/>
      </w:pPr>
    </w:p>
    <w:p w14:paraId="15077463" w14:textId="4BFA4B87" w:rsidR="009C1A65" w:rsidRPr="00B46785" w:rsidRDefault="009C1A65" w:rsidP="00CB559A">
      <w:pPr>
        <w:pStyle w:val="Heading2"/>
      </w:pPr>
      <w:r w:rsidRPr="00B46785">
        <w:t xml:space="preserve">Članak </w:t>
      </w:r>
      <w:r w:rsidR="00612FCD">
        <w:t>9</w:t>
      </w:r>
      <w:r w:rsidRPr="00B46785">
        <w:t>.</w:t>
      </w:r>
    </w:p>
    <w:p w14:paraId="5A08B53B" w14:textId="77777777" w:rsidR="009C1A65" w:rsidRPr="00B46785" w:rsidRDefault="009C1A65" w:rsidP="00CB559A">
      <w:pPr>
        <w:spacing w:before="120" w:after="120"/>
        <w:jc w:val="both"/>
        <w:rPr>
          <w:color w:val="000000"/>
        </w:rPr>
      </w:pPr>
      <w:r w:rsidRPr="00B46785">
        <w:rPr>
          <w:color w:val="000000"/>
        </w:rPr>
        <w:t>Mišljenje javnosti pribavlja se u postupku:</w:t>
      </w:r>
    </w:p>
    <w:p w14:paraId="1B1D8C46" w14:textId="77777777" w:rsidR="009C1A65" w:rsidRPr="00B46785" w:rsidRDefault="009C1A65" w:rsidP="00CB559A">
      <w:pPr>
        <w:spacing w:before="120" w:after="120"/>
        <w:ind w:firstLine="426"/>
        <w:jc w:val="both"/>
      </w:pPr>
      <w:r w:rsidRPr="00B46785">
        <w:lastRenderedPageBreak/>
        <w:t xml:space="preserve">1. procjene rizika </w:t>
      </w:r>
      <w:r w:rsidRPr="002D30AE">
        <w:t xml:space="preserve">invazivnosti strane vrste </w:t>
      </w:r>
    </w:p>
    <w:p w14:paraId="579B2C39" w14:textId="77777777" w:rsidR="009C1A65" w:rsidRPr="00B46785" w:rsidRDefault="009C1A65" w:rsidP="00CB559A">
      <w:pPr>
        <w:spacing w:before="120" w:after="120"/>
        <w:ind w:firstLine="426"/>
        <w:jc w:val="both"/>
      </w:pPr>
      <w:r w:rsidRPr="00B46785">
        <w:t>2. utvrđivanja akata planiranja</w:t>
      </w:r>
      <w:r w:rsidRPr="00B46785">
        <w:rPr>
          <w:color w:val="231F20"/>
        </w:rPr>
        <w:t xml:space="preserve"> </w:t>
      </w:r>
      <w:r w:rsidRPr="00B46785">
        <w:t xml:space="preserve">za upravljanje </w:t>
      </w:r>
      <w:r>
        <w:t xml:space="preserve">stranim i </w:t>
      </w:r>
      <w:r w:rsidRPr="00B46785">
        <w:t xml:space="preserve">invazivnim stranim vrstama </w:t>
      </w:r>
    </w:p>
    <w:p w14:paraId="76FC7BE4" w14:textId="77777777" w:rsidR="009C1A65" w:rsidRPr="00B46785" w:rsidRDefault="009C1A65" w:rsidP="00CB559A">
      <w:pPr>
        <w:spacing w:before="120" w:after="120"/>
        <w:ind w:left="426"/>
        <w:jc w:val="both"/>
      </w:pPr>
      <w:r w:rsidRPr="00B46785">
        <w:t xml:space="preserve">3. </w:t>
      </w:r>
      <w:bookmarkStart w:id="1" w:name="_Hlk147825381"/>
      <w:r w:rsidRPr="00B46785">
        <w:t>izdavanja dopuštenja</w:t>
      </w:r>
      <w:r w:rsidRPr="00B46785">
        <w:rPr>
          <w:iCs/>
        </w:rPr>
        <w:t xml:space="preserve"> za korištenje invazivnih</w:t>
      </w:r>
      <w:r w:rsidRPr="00B46785">
        <w:t xml:space="preserve"> stranih vrsta koje izazivaju zabrinutost u Republici Hrvatskoj u svrhu istraživanja i proizvodnje medicinskih proizvoda </w:t>
      </w:r>
      <w:r>
        <w:t xml:space="preserve">sukladno </w:t>
      </w:r>
      <w:r w:rsidRPr="008E546B">
        <w:t>član</w:t>
      </w:r>
      <w:r>
        <w:t>cima</w:t>
      </w:r>
      <w:r w:rsidRPr="008E546B">
        <w:t xml:space="preserve"> </w:t>
      </w:r>
      <w:r>
        <w:t>10</w:t>
      </w:r>
      <w:r w:rsidRPr="008E546B">
        <w:t xml:space="preserve">. </w:t>
      </w:r>
      <w:r>
        <w:t>i 11. Zakona</w:t>
      </w:r>
    </w:p>
    <w:p w14:paraId="4F29DD54" w14:textId="77777777" w:rsidR="009C1A65" w:rsidRPr="00B46785" w:rsidRDefault="009C1A65" w:rsidP="00CB559A">
      <w:pPr>
        <w:spacing w:before="120" w:after="120"/>
        <w:ind w:left="426"/>
        <w:jc w:val="both"/>
      </w:pPr>
      <w:r w:rsidRPr="00B46785">
        <w:t>4. izdavanja dopuštenja za korištenje invazivnih stranih vrsta koje izazivaju zabrinutost u Uniji sukladno članku 8. stavku 1.</w:t>
      </w:r>
      <w:r>
        <w:t xml:space="preserve"> i članku 9. stavku 1.</w:t>
      </w:r>
      <w:r w:rsidRPr="00B46785">
        <w:t xml:space="preserve"> Uredbe (EU) br. 1143/2014</w:t>
      </w:r>
      <w:r>
        <w:t>.</w:t>
      </w:r>
    </w:p>
    <w:bookmarkEnd w:id="1"/>
    <w:p w14:paraId="49F71BC9" w14:textId="77777777" w:rsidR="00CB559A" w:rsidRDefault="00CB559A" w:rsidP="00CB559A">
      <w:pPr>
        <w:pStyle w:val="Heading2"/>
      </w:pPr>
    </w:p>
    <w:p w14:paraId="141CB0F7" w14:textId="43C72584" w:rsidR="009C1A65" w:rsidRPr="00B46785" w:rsidRDefault="009C1A65" w:rsidP="00CB559A">
      <w:pPr>
        <w:pStyle w:val="Heading2"/>
      </w:pPr>
      <w:r w:rsidRPr="00B46785">
        <w:t xml:space="preserve">Članak </w:t>
      </w:r>
      <w:r w:rsidR="00612FCD">
        <w:t>10.</w:t>
      </w:r>
    </w:p>
    <w:p w14:paraId="69A6BE89" w14:textId="77777777" w:rsidR="00897292" w:rsidRPr="00897292" w:rsidRDefault="00897292" w:rsidP="00CB559A">
      <w:pPr>
        <w:spacing w:before="120" w:after="120"/>
        <w:jc w:val="both"/>
        <w:rPr>
          <w:rFonts w:eastAsia="Calibri"/>
          <w:bCs/>
          <w:lang w:eastAsia="en-US"/>
        </w:rPr>
      </w:pPr>
      <w:r w:rsidRPr="00897292">
        <w:rPr>
          <w:rFonts w:eastAsia="Calibri"/>
          <w:bCs/>
          <w:lang w:eastAsia="en-US"/>
        </w:rPr>
        <w:t>Postupak pribavljanja mišljenja javnosti započinje objavom informacije o provedbi savjetovanja s javnošću na središnjem državnom internetskom portalu za savjetovanja s javnošću odnosno na mrežnoj stranici Ministarstva uz:</w:t>
      </w:r>
    </w:p>
    <w:p w14:paraId="3CE88D99" w14:textId="77777777" w:rsidR="00897292" w:rsidRPr="00897292" w:rsidRDefault="00897292" w:rsidP="00CB559A">
      <w:pPr>
        <w:spacing w:before="120" w:after="120"/>
        <w:ind w:left="426"/>
        <w:jc w:val="both"/>
        <w:rPr>
          <w:rFonts w:eastAsia="Calibri"/>
          <w:bCs/>
          <w:lang w:eastAsia="en-US"/>
        </w:rPr>
      </w:pPr>
      <w:r w:rsidRPr="00897292">
        <w:rPr>
          <w:rFonts w:eastAsia="Calibri"/>
          <w:bCs/>
          <w:lang w:eastAsia="en-US"/>
        </w:rPr>
        <w:t xml:space="preserve">1. procjenu rizika invazivnosti strane vrste u slučaju iz članka 9. točke 1. ove Uredbe </w:t>
      </w:r>
    </w:p>
    <w:p w14:paraId="408CFBC7" w14:textId="77777777" w:rsidR="00897292" w:rsidRPr="00897292" w:rsidRDefault="00897292" w:rsidP="00CB559A">
      <w:pPr>
        <w:spacing w:before="120" w:after="120"/>
        <w:ind w:left="426"/>
        <w:jc w:val="both"/>
        <w:rPr>
          <w:rFonts w:eastAsia="Calibri"/>
          <w:bCs/>
          <w:lang w:eastAsia="en-US"/>
        </w:rPr>
      </w:pPr>
      <w:r w:rsidRPr="00897292">
        <w:rPr>
          <w:rFonts w:eastAsia="Calibri"/>
          <w:bCs/>
          <w:lang w:eastAsia="en-US"/>
        </w:rPr>
        <w:t>2. konačni nacrt akta planiranja u slučaju iz članka 9. točke 2. ove Uredbe ili</w:t>
      </w:r>
    </w:p>
    <w:p w14:paraId="62F9680D" w14:textId="77777777" w:rsidR="00897292" w:rsidRPr="00897292" w:rsidRDefault="00897292" w:rsidP="00CB559A">
      <w:pPr>
        <w:pStyle w:val="Heading2"/>
        <w:ind w:left="426"/>
        <w:jc w:val="both"/>
        <w:rPr>
          <w:rFonts w:eastAsia="Calibri" w:cs="Times New Roman"/>
          <w:b w:val="0"/>
          <w:bCs/>
          <w:szCs w:val="24"/>
        </w:rPr>
      </w:pPr>
      <w:r w:rsidRPr="00897292">
        <w:rPr>
          <w:rFonts w:eastAsia="Calibri" w:cs="Times New Roman"/>
          <w:b w:val="0"/>
          <w:bCs/>
          <w:szCs w:val="24"/>
        </w:rPr>
        <w:t>3. uredni zahtjev i obrazac sudjelovanja u savjetovanju u slučaju iz članka 9. točaka 3. i 4. ove Uredbe.</w:t>
      </w:r>
    </w:p>
    <w:p w14:paraId="09CECBB7" w14:textId="77777777" w:rsidR="00CB559A" w:rsidRDefault="00CB559A" w:rsidP="00CB559A">
      <w:pPr>
        <w:pStyle w:val="Heading2"/>
      </w:pPr>
    </w:p>
    <w:p w14:paraId="7E2F1CBA" w14:textId="4DDF47B5" w:rsidR="009C1A65" w:rsidRPr="00B46785" w:rsidRDefault="009C1A65" w:rsidP="00CB559A">
      <w:pPr>
        <w:pStyle w:val="Heading2"/>
      </w:pPr>
      <w:r w:rsidRPr="00B46785">
        <w:t xml:space="preserve">Članak </w:t>
      </w:r>
      <w:r w:rsidR="00612FCD">
        <w:t>11.</w:t>
      </w:r>
    </w:p>
    <w:p w14:paraId="706E00D5" w14:textId="77777777" w:rsidR="009C1A65" w:rsidRPr="00B46785" w:rsidRDefault="009C1A65" w:rsidP="00CB559A">
      <w:pPr>
        <w:pStyle w:val="NormalWeb"/>
        <w:numPr>
          <w:ilvl w:val="0"/>
          <w:numId w:val="9"/>
        </w:numPr>
        <w:tabs>
          <w:tab w:val="left" w:pos="284"/>
        </w:tabs>
        <w:spacing w:before="120" w:beforeAutospacing="0" w:after="120" w:afterAutospacing="0"/>
        <w:ind w:left="0" w:firstLine="0"/>
        <w:jc w:val="both"/>
        <w:textAlignment w:val="baseline"/>
        <w:rPr>
          <w:color w:val="000000"/>
          <w:lang w:val="hr-HR"/>
        </w:rPr>
      </w:pPr>
      <w:r w:rsidRPr="00B46785">
        <w:rPr>
          <w:color w:val="000000"/>
          <w:lang w:val="hr-HR"/>
        </w:rPr>
        <w:t xml:space="preserve"> Tijekom postupka pribavljanja mišljenja javnosti Ministarstvo prikuplja pisana mišljenja, primjedbe i prijedloge koji </w:t>
      </w:r>
      <w:r>
        <w:rPr>
          <w:color w:val="000000"/>
          <w:lang w:val="hr-HR"/>
        </w:rPr>
        <w:t>se</w:t>
      </w:r>
      <w:r w:rsidRPr="00B46785">
        <w:rPr>
          <w:color w:val="000000"/>
          <w:lang w:val="hr-HR"/>
        </w:rPr>
        <w:t xml:space="preserve"> dostavlj</w:t>
      </w:r>
      <w:r>
        <w:rPr>
          <w:color w:val="000000"/>
          <w:lang w:val="hr-HR"/>
        </w:rPr>
        <w:t>aju</w:t>
      </w:r>
      <w:r w:rsidRPr="00B46785">
        <w:rPr>
          <w:color w:val="000000"/>
          <w:lang w:val="hr-HR"/>
        </w:rPr>
        <w:t xml:space="preserve"> elektroničkim </w:t>
      </w:r>
      <w:r>
        <w:rPr>
          <w:color w:val="000000"/>
          <w:lang w:val="hr-HR"/>
        </w:rPr>
        <w:t xml:space="preserve">ili drugim </w:t>
      </w:r>
      <w:r w:rsidRPr="00B46785">
        <w:rPr>
          <w:color w:val="000000"/>
          <w:lang w:val="hr-HR"/>
        </w:rPr>
        <w:t>putem.</w:t>
      </w:r>
    </w:p>
    <w:p w14:paraId="4722CF8F" w14:textId="364554AA" w:rsidR="009C1A65" w:rsidRPr="00B46785" w:rsidRDefault="009C1A65" w:rsidP="00CB559A">
      <w:pPr>
        <w:pStyle w:val="NormalWeb"/>
        <w:numPr>
          <w:ilvl w:val="0"/>
          <w:numId w:val="9"/>
        </w:numPr>
        <w:tabs>
          <w:tab w:val="left" w:pos="284"/>
        </w:tabs>
        <w:spacing w:before="120" w:beforeAutospacing="0" w:after="120" w:afterAutospacing="0"/>
        <w:ind w:left="0" w:firstLine="0"/>
        <w:jc w:val="both"/>
        <w:textAlignment w:val="baseline"/>
        <w:rPr>
          <w:color w:val="000000"/>
          <w:lang w:val="hr-HR"/>
        </w:rPr>
      </w:pPr>
      <w:r>
        <w:rPr>
          <w:color w:val="000000"/>
          <w:lang w:val="hr-HR"/>
        </w:rPr>
        <w:t xml:space="preserve"> </w:t>
      </w:r>
      <w:r w:rsidRPr="00B46785">
        <w:rPr>
          <w:color w:val="000000"/>
          <w:lang w:val="hr-HR"/>
        </w:rPr>
        <w:t>Rok za dostavu mišljenja, primjedb</w:t>
      </w:r>
      <w:r>
        <w:rPr>
          <w:color w:val="000000"/>
          <w:lang w:val="hr-HR"/>
        </w:rPr>
        <w:t>i</w:t>
      </w:r>
      <w:r w:rsidRPr="00B46785">
        <w:rPr>
          <w:color w:val="000000"/>
          <w:lang w:val="hr-HR"/>
        </w:rPr>
        <w:t xml:space="preserve"> i prijedloga u postupku iz članka </w:t>
      </w:r>
      <w:r w:rsidR="00612FCD">
        <w:rPr>
          <w:color w:val="000000"/>
          <w:lang w:val="hr-HR"/>
        </w:rPr>
        <w:t>9</w:t>
      </w:r>
      <w:r w:rsidRPr="00B46785">
        <w:rPr>
          <w:color w:val="000000"/>
          <w:lang w:val="hr-HR"/>
        </w:rPr>
        <w:t>. toč</w:t>
      </w:r>
      <w:r>
        <w:rPr>
          <w:color w:val="000000"/>
          <w:lang w:val="hr-HR"/>
        </w:rPr>
        <w:t>a</w:t>
      </w:r>
      <w:r w:rsidRPr="00B46785">
        <w:rPr>
          <w:color w:val="000000"/>
          <w:lang w:val="hr-HR"/>
        </w:rPr>
        <w:t>k</w:t>
      </w:r>
      <w:r>
        <w:rPr>
          <w:color w:val="000000"/>
          <w:lang w:val="hr-HR"/>
        </w:rPr>
        <w:t>a</w:t>
      </w:r>
      <w:r w:rsidRPr="00B46785">
        <w:rPr>
          <w:color w:val="000000"/>
          <w:lang w:val="hr-HR"/>
        </w:rPr>
        <w:t xml:space="preserve"> 1. i 2. ove Uredbe je 30 dana. </w:t>
      </w:r>
    </w:p>
    <w:p w14:paraId="1D81753F" w14:textId="1CCDBB5A" w:rsidR="009C1A65" w:rsidRPr="00B46785" w:rsidRDefault="009C1A65" w:rsidP="00CB559A">
      <w:pPr>
        <w:pStyle w:val="NormalWeb"/>
        <w:numPr>
          <w:ilvl w:val="0"/>
          <w:numId w:val="9"/>
        </w:numPr>
        <w:tabs>
          <w:tab w:val="left" w:pos="284"/>
        </w:tabs>
        <w:spacing w:before="120" w:beforeAutospacing="0" w:after="120" w:afterAutospacing="0"/>
        <w:ind w:left="0" w:firstLine="0"/>
        <w:jc w:val="both"/>
        <w:textAlignment w:val="baseline"/>
        <w:rPr>
          <w:color w:val="000000"/>
          <w:lang w:val="hr-HR"/>
        </w:rPr>
      </w:pPr>
      <w:r w:rsidRPr="00B46785">
        <w:rPr>
          <w:color w:val="000000"/>
          <w:lang w:val="hr-HR"/>
        </w:rPr>
        <w:t xml:space="preserve"> Rok za dostavu mišljenja, primjedb</w:t>
      </w:r>
      <w:r>
        <w:rPr>
          <w:color w:val="000000"/>
          <w:lang w:val="hr-HR"/>
        </w:rPr>
        <w:t>i</w:t>
      </w:r>
      <w:r w:rsidRPr="00B46785">
        <w:rPr>
          <w:color w:val="000000"/>
          <w:lang w:val="hr-HR"/>
        </w:rPr>
        <w:t xml:space="preserve"> i prijedloga u postupku iz članka </w:t>
      </w:r>
      <w:r w:rsidR="00612FCD">
        <w:rPr>
          <w:color w:val="000000"/>
          <w:lang w:val="hr-HR"/>
        </w:rPr>
        <w:t>9</w:t>
      </w:r>
      <w:r w:rsidRPr="00B46785">
        <w:rPr>
          <w:color w:val="000000"/>
          <w:lang w:val="hr-HR"/>
        </w:rPr>
        <w:t>. toč</w:t>
      </w:r>
      <w:r>
        <w:rPr>
          <w:color w:val="000000"/>
          <w:lang w:val="hr-HR"/>
        </w:rPr>
        <w:t>aka</w:t>
      </w:r>
      <w:r w:rsidRPr="00B46785">
        <w:rPr>
          <w:color w:val="000000"/>
          <w:lang w:val="hr-HR"/>
        </w:rPr>
        <w:t xml:space="preserve"> 3.</w:t>
      </w:r>
      <w:r>
        <w:rPr>
          <w:color w:val="000000"/>
          <w:lang w:val="hr-HR"/>
        </w:rPr>
        <w:t xml:space="preserve"> i</w:t>
      </w:r>
      <w:r w:rsidRPr="00B46785">
        <w:rPr>
          <w:color w:val="000000"/>
          <w:lang w:val="hr-HR"/>
        </w:rPr>
        <w:t xml:space="preserve"> 4. ove Uredbe je 15 dana. </w:t>
      </w:r>
    </w:p>
    <w:p w14:paraId="0A7BB2A1" w14:textId="77777777" w:rsidR="009C1A65" w:rsidRDefault="009C1A65" w:rsidP="00CB559A">
      <w:pPr>
        <w:pStyle w:val="NormalWeb"/>
        <w:numPr>
          <w:ilvl w:val="0"/>
          <w:numId w:val="9"/>
        </w:numPr>
        <w:tabs>
          <w:tab w:val="left" w:pos="284"/>
        </w:tabs>
        <w:spacing w:before="120" w:beforeAutospacing="0" w:after="120" w:afterAutospacing="0"/>
        <w:ind w:left="0" w:firstLine="0"/>
        <w:jc w:val="both"/>
        <w:textAlignment w:val="baseline"/>
        <w:rPr>
          <w:color w:val="000000"/>
          <w:lang w:val="hr-HR"/>
        </w:rPr>
      </w:pPr>
      <w:r>
        <w:rPr>
          <w:color w:val="000000"/>
          <w:lang w:val="hr-HR"/>
        </w:rPr>
        <w:t xml:space="preserve"> U </w:t>
      </w:r>
      <w:r w:rsidRPr="00356861">
        <w:rPr>
          <w:color w:val="000000"/>
          <w:lang w:val="hr-HR"/>
        </w:rPr>
        <w:t>postupk</w:t>
      </w:r>
      <w:r>
        <w:rPr>
          <w:color w:val="000000"/>
          <w:lang w:val="hr-HR"/>
        </w:rPr>
        <w:t>u</w:t>
      </w:r>
      <w:r w:rsidRPr="00356861">
        <w:rPr>
          <w:color w:val="000000"/>
          <w:lang w:val="hr-HR"/>
        </w:rPr>
        <w:t xml:space="preserve"> pribavljanja mišljenja javnosti</w:t>
      </w:r>
      <w:r>
        <w:rPr>
          <w:color w:val="000000"/>
          <w:lang w:val="hr-HR"/>
        </w:rPr>
        <w:t>,</w:t>
      </w:r>
      <w:r w:rsidRPr="00B46785">
        <w:rPr>
          <w:color w:val="000000"/>
          <w:lang w:val="hr-HR"/>
        </w:rPr>
        <w:t xml:space="preserve"> </w:t>
      </w:r>
      <w:r>
        <w:rPr>
          <w:color w:val="000000"/>
          <w:lang w:val="hr-HR"/>
        </w:rPr>
        <w:t>Ministarstvo objavljuje izvješće</w:t>
      </w:r>
      <w:r w:rsidRPr="00356861">
        <w:rPr>
          <w:rFonts w:asciiTheme="minorHAnsi" w:eastAsiaTheme="minorHAnsi" w:hAnsiTheme="minorHAnsi" w:cstheme="minorBidi"/>
          <w:color w:val="000000"/>
          <w:sz w:val="22"/>
          <w:szCs w:val="22"/>
          <w:lang w:val="hr-HR"/>
        </w:rPr>
        <w:t xml:space="preserve"> </w:t>
      </w:r>
      <w:r w:rsidRPr="00356861">
        <w:rPr>
          <w:color w:val="000000"/>
          <w:lang w:val="hr-HR"/>
        </w:rPr>
        <w:t>o prihvaćenim i neprihvaćenim primjedbama i prijedlozima</w:t>
      </w:r>
      <w:r>
        <w:rPr>
          <w:color w:val="000000"/>
          <w:lang w:val="hr-HR"/>
        </w:rPr>
        <w:t xml:space="preserve"> </w:t>
      </w:r>
      <w:r w:rsidRPr="008157D7">
        <w:rPr>
          <w:color w:val="000000"/>
          <w:lang w:val="hr-HR"/>
        </w:rPr>
        <w:t>na središnjem državnom internetskom portalu za savjetovanja s javnošću odnosno na mrežnoj stranici Ministarstva</w:t>
      </w:r>
      <w:r>
        <w:rPr>
          <w:color w:val="000000"/>
          <w:lang w:val="hr-HR"/>
        </w:rPr>
        <w:t>.</w:t>
      </w:r>
    </w:p>
    <w:p w14:paraId="41DA6BD5" w14:textId="77777777" w:rsidR="00CB559A" w:rsidRDefault="00CB559A" w:rsidP="00CB559A">
      <w:pPr>
        <w:pStyle w:val="NormalWeb"/>
        <w:tabs>
          <w:tab w:val="left" w:pos="284"/>
        </w:tabs>
        <w:spacing w:before="120" w:beforeAutospacing="0" w:after="120" w:afterAutospacing="0"/>
        <w:jc w:val="both"/>
        <w:textAlignment w:val="baseline"/>
        <w:rPr>
          <w:color w:val="000000"/>
          <w:lang w:val="hr-HR"/>
        </w:rPr>
      </w:pPr>
    </w:p>
    <w:p w14:paraId="46807B91" w14:textId="77777777" w:rsidR="009C1A65" w:rsidRPr="00B46785" w:rsidRDefault="009C1A65" w:rsidP="00CB559A">
      <w:pPr>
        <w:pStyle w:val="Heading1"/>
        <w:spacing w:before="120" w:after="120" w:line="240" w:lineRule="auto"/>
      </w:pPr>
      <w:r w:rsidRPr="00724DF4">
        <w:rPr>
          <w:rStyle w:val="Heading1Char"/>
        </w:rPr>
        <w:t>V</w:t>
      </w:r>
      <w:r w:rsidRPr="00D211C9">
        <w:t>. ZAVRŠNA ODREDBA</w:t>
      </w:r>
    </w:p>
    <w:p w14:paraId="67EBE2D8" w14:textId="77777777" w:rsidR="00CB559A" w:rsidRDefault="00CB559A" w:rsidP="00CB559A">
      <w:pPr>
        <w:pStyle w:val="Heading2"/>
      </w:pPr>
    </w:p>
    <w:p w14:paraId="4A11428A" w14:textId="736795D4" w:rsidR="009C1A65" w:rsidRPr="00B46785" w:rsidRDefault="009C1A65" w:rsidP="00CB559A">
      <w:pPr>
        <w:pStyle w:val="Heading2"/>
      </w:pPr>
      <w:r w:rsidRPr="00B46785">
        <w:t xml:space="preserve">Članak </w:t>
      </w:r>
      <w:r w:rsidR="00612FCD">
        <w:t>12.</w:t>
      </w:r>
    </w:p>
    <w:p w14:paraId="1332924F" w14:textId="7F28EEF8" w:rsidR="009C1A65" w:rsidRPr="00B46785" w:rsidRDefault="009C1A65" w:rsidP="00CB559A">
      <w:pPr>
        <w:pStyle w:val="NormalWeb"/>
        <w:spacing w:before="120" w:beforeAutospacing="0" w:after="120" w:afterAutospacing="0"/>
        <w:jc w:val="both"/>
        <w:textAlignment w:val="baseline"/>
        <w:rPr>
          <w:color w:val="000000"/>
          <w:lang w:val="hr-HR"/>
        </w:rPr>
      </w:pPr>
      <w:r w:rsidRPr="00B46785">
        <w:rPr>
          <w:color w:val="000000"/>
          <w:lang w:val="hr-HR"/>
        </w:rPr>
        <w:t>Ova Uredba stupa na snagu osmog</w:t>
      </w:r>
      <w:r w:rsidR="00245CEF">
        <w:rPr>
          <w:color w:val="000000"/>
          <w:lang w:val="hr-HR"/>
        </w:rPr>
        <w:t>a</w:t>
      </w:r>
      <w:bookmarkStart w:id="2" w:name="_GoBack"/>
      <w:bookmarkEnd w:id="2"/>
      <w:r w:rsidRPr="00B46785">
        <w:rPr>
          <w:color w:val="000000"/>
          <w:lang w:val="hr-HR"/>
        </w:rPr>
        <w:t xml:space="preserve"> dana od dana objave u Narodnim novinama.</w:t>
      </w:r>
    </w:p>
    <w:p w14:paraId="1623A2F0" w14:textId="77777777" w:rsidR="009C1A65" w:rsidRPr="00B46785" w:rsidRDefault="009C1A65" w:rsidP="00CB559A">
      <w:pPr>
        <w:pStyle w:val="NormalWeb"/>
        <w:spacing w:before="120" w:beforeAutospacing="0" w:after="120" w:afterAutospacing="0"/>
        <w:ind w:firstLine="709"/>
        <w:jc w:val="both"/>
        <w:textAlignment w:val="baseline"/>
        <w:rPr>
          <w:color w:val="000000"/>
          <w:lang w:val="hr-HR"/>
        </w:rPr>
      </w:pPr>
    </w:p>
    <w:p w14:paraId="702E9A8A" w14:textId="65DEE390" w:rsidR="00B20D9E" w:rsidRDefault="00B20D9E" w:rsidP="00CB559A">
      <w:pPr>
        <w:spacing w:before="120" w:after="120"/>
        <w:rPr>
          <w:color w:val="000000"/>
          <w:lang w:eastAsia="en-US"/>
        </w:rPr>
      </w:pPr>
      <w:r>
        <w:rPr>
          <w:color w:val="000000"/>
        </w:rPr>
        <w:br w:type="page"/>
      </w:r>
    </w:p>
    <w:p w14:paraId="46EB99AB" w14:textId="77777777" w:rsidR="009C1A65" w:rsidRDefault="009C1A65" w:rsidP="00CB559A">
      <w:pPr>
        <w:pStyle w:val="Heading1"/>
        <w:spacing w:before="120" w:after="120" w:line="240" w:lineRule="auto"/>
      </w:pPr>
      <w:r w:rsidRPr="0067117A">
        <w:lastRenderedPageBreak/>
        <w:t>OBRAZLOŽENJE</w:t>
      </w:r>
    </w:p>
    <w:p w14:paraId="57730093" w14:textId="77777777" w:rsidR="009C1A65" w:rsidRPr="00A20B0E" w:rsidRDefault="009C1A65" w:rsidP="00CB559A">
      <w:pPr>
        <w:spacing w:before="120" w:after="120"/>
      </w:pPr>
    </w:p>
    <w:p w14:paraId="71E9DDDE" w14:textId="77777777" w:rsidR="009C1A65" w:rsidRPr="00125F83" w:rsidRDefault="009C1A65" w:rsidP="00CB559A">
      <w:pPr>
        <w:spacing w:before="120" w:after="120"/>
        <w:jc w:val="both"/>
      </w:pPr>
      <w:r w:rsidRPr="00125F83">
        <w:t>Uredbom (EU) br. 1143</w:t>
      </w:r>
      <w:r>
        <w:t>/</w:t>
      </w:r>
      <w:r w:rsidRPr="00125F83">
        <w:t>2014 o sprječavanju i upravljanju uno</w:t>
      </w:r>
      <w:r>
        <w:t>š</w:t>
      </w:r>
      <w:r w:rsidRPr="00125F83">
        <w:t xml:space="preserve">enja i </w:t>
      </w:r>
      <w:r>
        <w:t>š</w:t>
      </w:r>
      <w:r w:rsidRPr="00125F83">
        <w:t>irenja invazivnih stranih vrsta</w:t>
      </w:r>
      <w:r>
        <w:t xml:space="preserve"> </w:t>
      </w:r>
      <w:r w:rsidRPr="00125F83">
        <w:t>(dalje: Uredba (EU) br. 1143</w:t>
      </w:r>
      <w:r>
        <w:t>/</w:t>
      </w:r>
      <w:r w:rsidRPr="00125F83">
        <w:t>2014) propisana su postupanja za</w:t>
      </w:r>
      <w:r>
        <w:t xml:space="preserve"> </w:t>
      </w:r>
      <w:r w:rsidRPr="00125F83">
        <w:t>sprječavanje, svođenje na</w:t>
      </w:r>
      <w:r>
        <w:t xml:space="preserve"> </w:t>
      </w:r>
      <w:r w:rsidRPr="00125F83">
        <w:t xml:space="preserve">najmanju moguću mjeru i ublažavanje </w:t>
      </w:r>
      <w:r>
        <w:t>š</w:t>
      </w:r>
      <w:r w:rsidRPr="00125F83">
        <w:t>tetnih u</w:t>
      </w:r>
      <w:r>
        <w:t>tj</w:t>
      </w:r>
      <w:r w:rsidRPr="00125F83">
        <w:t>ecaja namjernog i nenamjernog uno</w:t>
      </w:r>
      <w:r>
        <w:t>š</w:t>
      </w:r>
      <w:r w:rsidRPr="00125F83">
        <w:t xml:space="preserve">enja i </w:t>
      </w:r>
      <w:r>
        <w:t>š</w:t>
      </w:r>
      <w:r w:rsidRPr="00125F83">
        <w:t>irenja</w:t>
      </w:r>
      <w:r>
        <w:t xml:space="preserve"> </w:t>
      </w:r>
      <w:r w:rsidRPr="00125F83">
        <w:t xml:space="preserve">invazivnih stranih </w:t>
      </w:r>
      <w:r>
        <w:t>vr</w:t>
      </w:r>
      <w:r w:rsidRPr="00125F83">
        <w:t>sta na bioraznolikost, usluge ekosustava, z</w:t>
      </w:r>
      <w:r>
        <w:t>dr</w:t>
      </w:r>
      <w:r w:rsidRPr="00125F83">
        <w:t xml:space="preserve">avlje ljudi i gospodarstvo u </w:t>
      </w:r>
      <w:r>
        <w:t>Europskoj uniji</w:t>
      </w:r>
      <w:r w:rsidRPr="00125F83">
        <w:t>.</w:t>
      </w:r>
    </w:p>
    <w:p w14:paraId="33F17F04" w14:textId="77777777" w:rsidR="009C1A65" w:rsidRDefault="009C1A65" w:rsidP="00CB559A">
      <w:pPr>
        <w:spacing w:before="120" w:after="120"/>
        <w:jc w:val="both"/>
      </w:pPr>
      <w:r w:rsidRPr="00125F83">
        <w:t>Uz određivanje mjera prevencije unosa, ranog otkrivanja i brzog iskorjenjivanja te upravljanja</w:t>
      </w:r>
      <w:r>
        <w:t xml:space="preserve"> </w:t>
      </w:r>
      <w:r w:rsidRPr="00125F83">
        <w:t xml:space="preserve">invazivnim stranim vrstama u Europskoj </w:t>
      </w:r>
      <w:r>
        <w:t>u</w:t>
      </w:r>
      <w:r w:rsidRPr="00125F83">
        <w:t xml:space="preserve">niji, </w:t>
      </w:r>
      <w:r>
        <w:t xml:space="preserve">temeljem </w:t>
      </w:r>
      <w:r w:rsidRPr="00125F83">
        <w:t>Uredb</w:t>
      </w:r>
      <w:r>
        <w:t>e</w:t>
      </w:r>
      <w:r w:rsidRPr="00125F83">
        <w:t xml:space="preserve"> se donosi i ažurira popis</w:t>
      </w:r>
      <w:r>
        <w:t xml:space="preserve"> </w:t>
      </w:r>
      <w:r w:rsidRPr="00125F83">
        <w:t>invazivnih</w:t>
      </w:r>
      <w:r>
        <w:t xml:space="preserve"> </w:t>
      </w:r>
      <w:r w:rsidRPr="00125F83">
        <w:t xml:space="preserve">stranih </w:t>
      </w:r>
      <w:r>
        <w:t>vrs</w:t>
      </w:r>
      <w:r w:rsidRPr="00125F83">
        <w:t xml:space="preserve">ta koje izazivaju zabrinutost u </w:t>
      </w:r>
      <w:r>
        <w:t>Uniji</w:t>
      </w:r>
      <w:r w:rsidRPr="00125F83">
        <w:t>, tzv. Unijin popis. Vrste s Unijina popisa zabranjeno je</w:t>
      </w:r>
      <w:r>
        <w:t xml:space="preserve"> </w:t>
      </w:r>
      <w:r w:rsidRPr="00961583">
        <w:t xml:space="preserve">prevoziti u, iz ili unutar </w:t>
      </w:r>
      <w:r>
        <w:t>Europske u</w:t>
      </w:r>
      <w:r w:rsidRPr="00961583">
        <w:t>nije</w:t>
      </w:r>
      <w:r w:rsidRPr="00125F83">
        <w:t>, stavljati na tr</w:t>
      </w:r>
      <w:r>
        <w:t>ž</w:t>
      </w:r>
      <w:r w:rsidRPr="00125F83">
        <w:t>i</w:t>
      </w:r>
      <w:r>
        <w:t>š</w:t>
      </w:r>
      <w:r w:rsidRPr="00125F83">
        <w:t>te</w:t>
      </w:r>
      <w:r>
        <w:t xml:space="preserve">, </w:t>
      </w:r>
      <w:r w:rsidRPr="00961583">
        <w:t>držati,</w:t>
      </w:r>
      <w:r>
        <w:t xml:space="preserve"> </w:t>
      </w:r>
      <w:r w:rsidRPr="00961583">
        <w:t>uzgajati</w:t>
      </w:r>
      <w:r>
        <w:t xml:space="preserve"> i </w:t>
      </w:r>
      <w:r w:rsidRPr="00961583">
        <w:t>puštati u okoliš.</w:t>
      </w:r>
    </w:p>
    <w:p w14:paraId="52A28F8C" w14:textId="77777777" w:rsidR="009C1A65" w:rsidRPr="00975B0C" w:rsidRDefault="009C1A65" w:rsidP="00CB559A">
      <w:pPr>
        <w:spacing w:before="120" w:after="120"/>
        <w:jc w:val="both"/>
      </w:pPr>
      <w:r w:rsidRPr="00975B0C">
        <w:t>Temeljem članka 21. stavka 6. Zakona o sprječavanju unošenja i širenja stranih te invazivnih stranih vrsta i upravljanju njima (Narodne novine br. 15/2018</w:t>
      </w:r>
      <w:r>
        <w:t xml:space="preserve"> i</w:t>
      </w:r>
      <w:r w:rsidRPr="00975B0C">
        <w:t xml:space="preserve"> l4/20l9) (dalje: Zakon), Ministarstvo </w:t>
      </w:r>
      <w:r>
        <w:t>zaštite okoliša i zelene tranzicije</w:t>
      </w:r>
      <w:r w:rsidRPr="00975B0C">
        <w:t xml:space="preserve"> (dalje: Ministarstvo) predlaže Uredbu o procjeni ekološkog rizika i rizika invazivnosti stranih vrsta kojom se propisuje način utvrđivanja ekološkog rizika strane vrste</w:t>
      </w:r>
      <w:r>
        <w:t>,</w:t>
      </w:r>
      <w:r w:rsidRPr="00975B0C">
        <w:t xml:space="preserve"> kao i način izrade procjene rizika invazivnosti strane vrste. </w:t>
      </w:r>
    </w:p>
    <w:p w14:paraId="4169D88F" w14:textId="77777777" w:rsidR="009C1A65" w:rsidRPr="00975B0C" w:rsidRDefault="009C1A65" w:rsidP="00CB559A">
      <w:pPr>
        <w:spacing w:before="120" w:after="120"/>
        <w:jc w:val="both"/>
      </w:pPr>
      <w:r w:rsidRPr="00975B0C">
        <w:t>Zakonom je zabranjeno stavljanje stranih vrsta na tržište Republike Hrvatske, uzgoj stranih vrsta u kontroliranim uvjetima te njihovo uvođenje u prirodu i u ekosustave u kojima prirodno ne obitavaju. Iznimno su moguća odstupanja od zabrane ako se u postupku procjene ekološkog rizika utvrdi da strana vrsta ne predstavlja ekološki rizik za bioraznolikost i usluge ekosustava te ne ugrožava zdravlje ljudi i gospodarstvo. Procjena ekološkoga rizika strane vrste je preliminarni pregled dostupnih podataka o stranoj vrsti i utvrđivanje njenih potencijalnih negativnih utjecaja. Izrađuje se za potrebe izdavanja dopuštenja sukladno člancima 12., 14. i 17. Zakona te za druge potrebe (npr. izrada i ažuriranje bijele liste</w:t>
      </w:r>
      <w:r>
        <w:t xml:space="preserve"> stranih vrsta za čije stavljanje na tržište, uzgoj ili uvođenje u prirodu nije potrebno prethodno ishoditi dopuštenje</w:t>
      </w:r>
      <w:r w:rsidRPr="00975B0C">
        <w:t xml:space="preserve">). </w:t>
      </w:r>
    </w:p>
    <w:p w14:paraId="14A5B29B" w14:textId="77777777" w:rsidR="009C1A65" w:rsidRPr="00975B0C" w:rsidRDefault="009C1A65" w:rsidP="00CB559A">
      <w:pPr>
        <w:spacing w:before="120" w:after="120"/>
        <w:jc w:val="both"/>
      </w:pPr>
      <w:r w:rsidRPr="00975B0C">
        <w:t xml:space="preserve">Ako se tijekom postupka ishođenja dopuštenja za stavljanje na tržište/uvođenje u prirodu/uzgoj u kontroliranim uvjetima utvrdi da se ekološki rizik strane vrste ne može isključiti, podnositelj zahtjeva može sukladno članku 20. Zakona od Ministarstva zatražiti izradu procjene rizika invazivnosti strane vrste. </w:t>
      </w:r>
      <w:r>
        <w:t>P</w:t>
      </w:r>
      <w:r w:rsidRPr="00975B0C">
        <w:t>rocjen</w:t>
      </w:r>
      <w:r>
        <w:t>a</w:t>
      </w:r>
      <w:r w:rsidRPr="00975B0C">
        <w:t xml:space="preserve"> rizika invazivnosti strane vrste </w:t>
      </w:r>
      <w:r>
        <w:t xml:space="preserve">je </w:t>
      </w:r>
      <w:r w:rsidRPr="00975B0C">
        <w:t>sveobuhvatnij</w:t>
      </w:r>
      <w:r>
        <w:t>a</w:t>
      </w:r>
      <w:r w:rsidRPr="00975B0C">
        <w:t xml:space="preserve"> znanstveno - stručn</w:t>
      </w:r>
      <w:r>
        <w:t>a</w:t>
      </w:r>
      <w:r w:rsidRPr="00975B0C">
        <w:t xml:space="preserve"> analiz</w:t>
      </w:r>
      <w:r>
        <w:t>a</w:t>
      </w:r>
      <w:r w:rsidRPr="00975B0C">
        <w:t xml:space="preserve"> </w:t>
      </w:r>
      <w:r>
        <w:t>kojom se</w:t>
      </w:r>
      <w:r w:rsidRPr="00975B0C">
        <w:t xml:space="preserve"> utvrđuju, analiziraju i vrednuju mogući štetni utjecaji i posljedice utjecaja određene strane vrste na bioraznolikost, usluge ekosustava i/ili zdravlje ljudi, uzimajući u obzir i mogući štetni utjecaj na gospodarstvo kao pogoršavajući čimbenik, procjenjuje rizik stavljanja strane vrste na tržište i/ili uvođenja u prirodu i/ili uzgoja u kontroliranim uvjetima, te se u skladu s tom procjenom i zaključkom o mogućem utjecaju određuju potrebne mjere, nadzor i upravljanje rizikom. </w:t>
      </w:r>
    </w:p>
    <w:p w14:paraId="33C190D1" w14:textId="77777777" w:rsidR="009C1A65" w:rsidRPr="00D30689" w:rsidRDefault="009C1A65" w:rsidP="00CB559A">
      <w:pPr>
        <w:spacing w:before="120" w:after="120"/>
        <w:jc w:val="both"/>
      </w:pPr>
      <w:r w:rsidRPr="00D30689">
        <w:t xml:space="preserve">Procjena rizika invazivnosti strane vrste može se temeljiti na bilo kojem protokolu ili metodi koji sadrži sljedeće zajedničke elemente: taksonomska pripadnost vrste (znanstveni naziv vrste, sinonimi i relevantne bilješke o taksonomskoj složenosti ako je to potrebno), opis trenutačne rasprostranjenosti vrste (poznato područje rasprostranjenosti, uključujući prirodno područje i ono u koje je vrsta unesena), putovi unošenja i širenja (mogući putovi namjernog i nenamjernog unošenja i širenja vrste), obrasci širenja i njihova dinamika (sposobnost širenja vrste prirodnim putem i/ili ljudskom intervencijom s obzirom na biološka i ekološka obilježja vrste), opis štetnih utjecaja na bioraznolikost i povezane usluge ekosustava, kao i na zdravlje ljudi i gospodarstvo. Sadrži i zaključak u kojem se navodi razina rizika sukladno korištenom protokolu (npr. niski, srednji ili visoki rizik invazivnosti) i stupanj nesigurnosti / pouzdanosti (npr. niski, srednji ili </w:t>
      </w:r>
      <w:r w:rsidRPr="00D30689">
        <w:lastRenderedPageBreak/>
        <w:t>visoki stupanj nesigurnosti / pouzdanosti). Zaključak uključuje opisni sažetak sa svim podacima potrebnim za donošenje zaključka (unos vrste, uspostava populacije, širenje vrste, utjecaj vrste).</w:t>
      </w:r>
    </w:p>
    <w:p w14:paraId="23DD77B9" w14:textId="77777777" w:rsidR="009C1A65" w:rsidRPr="00D30689" w:rsidRDefault="009C1A65" w:rsidP="00CB559A">
      <w:pPr>
        <w:spacing w:before="120" w:after="120"/>
        <w:jc w:val="both"/>
      </w:pPr>
      <w:r w:rsidRPr="00D30689">
        <w:t>Stručno tijelo Ministarstva izrađuje procjene ekološkog rizika i procjene rizika invazivnosti stranih vrsta.</w:t>
      </w:r>
    </w:p>
    <w:p w14:paraId="0246A6DD" w14:textId="77777777" w:rsidR="009C1A65" w:rsidRPr="002074A3" w:rsidRDefault="009C1A65" w:rsidP="00CB559A">
      <w:pPr>
        <w:spacing w:before="120" w:after="120"/>
        <w:jc w:val="both"/>
      </w:pPr>
      <w:r w:rsidRPr="002074A3">
        <w:t xml:space="preserve">Osim navedenog, Uredbom se propisuje način pribavljanja mišljenja javnosti u postupku procjene rizika invazivnosti strane vrste, pri rješavanju upravnog postupka za korištenje invazivnih stranih vrsta s crne liste i Unijina popisa te pri utvrđivanju akata planiranja </w:t>
      </w:r>
      <w:r>
        <w:t xml:space="preserve">stranim vrstama </w:t>
      </w:r>
      <w:r w:rsidRPr="002074A3">
        <w:t xml:space="preserve">iz članka 23. Zakona. </w:t>
      </w:r>
    </w:p>
    <w:p w14:paraId="6B7C17AB" w14:textId="77777777" w:rsidR="009C1A65" w:rsidRDefault="009C1A65" w:rsidP="00CB559A">
      <w:pPr>
        <w:spacing w:before="120" w:after="120"/>
        <w:jc w:val="both"/>
      </w:pPr>
      <w:r>
        <w:t xml:space="preserve">Sukladno članku 10. stavku 8. Zakona u postupku </w:t>
      </w:r>
      <w:r w:rsidRPr="00232FA1">
        <w:t>izdavanja dopuštenja</w:t>
      </w:r>
      <w:r w:rsidRPr="00232FA1">
        <w:rPr>
          <w:iCs/>
        </w:rPr>
        <w:t xml:space="preserve"> za korištenje invazivnih</w:t>
      </w:r>
      <w:r w:rsidRPr="00232FA1">
        <w:t xml:space="preserve"> stranih vrsta koje izazivaju zabrinutost u Republici Hrvatskoj</w:t>
      </w:r>
      <w:r>
        <w:t xml:space="preserve"> (crna lista)</w:t>
      </w:r>
      <w:r w:rsidRPr="00232FA1">
        <w:t xml:space="preserve"> u svrhu istraživanja i proizvodnje medicinskih proizvoda</w:t>
      </w:r>
      <w:r>
        <w:t xml:space="preserve">, kao i u postupku </w:t>
      </w:r>
      <w:r w:rsidRPr="00232FA1">
        <w:t>izdavanja dopuštenja za korištenje invazivnih stranih vrsta koje izazivaju zabrinutost u Uniji sukladno članku 8. stavku 1. i članku 9. stavku 1. Uredbe (EU) br. 1143/2014</w:t>
      </w:r>
      <w:r>
        <w:t xml:space="preserve"> (temeljem članka 26. stavka 12. i članka 28. stavka 11. Zakona), Ministarstvo pribavlja mišljenje javnosti o podnesenom zahtjevu. </w:t>
      </w:r>
      <w:bookmarkStart w:id="3" w:name="_Hlk151459974"/>
      <w:r>
        <w:t xml:space="preserve">Nabrojani upravni postupci administrativno su zahtjevni budući da se radi o korištenju invazivnih stranih vrsta i potrebno je sagledati niz parametara koji bi mogli negativno utjecati </w:t>
      </w:r>
      <w:r w:rsidRPr="00D536CE">
        <w:t>na bioraznolikost, usluge ekosustava i/ili zdravlje ljudi</w:t>
      </w:r>
      <w:r>
        <w:t xml:space="preserve">. </w:t>
      </w:r>
      <w:bookmarkEnd w:id="3"/>
      <w:r w:rsidRPr="00975B0C">
        <w:t>Zbog navedenog, dio upravnog postupka koji se odnosi na pribavljanje mišljenja javnosti traje 15 dana.</w:t>
      </w:r>
      <w:r w:rsidRPr="002074A3">
        <w:t xml:space="preserve"> </w:t>
      </w:r>
    </w:p>
    <w:p w14:paraId="5D1F6B24" w14:textId="66B29A4F" w:rsidR="00D01923" w:rsidRPr="00D01923" w:rsidRDefault="009C1A65" w:rsidP="00CB559A">
      <w:pPr>
        <w:spacing w:before="120" w:after="120"/>
        <w:jc w:val="both"/>
      </w:pPr>
      <w:r>
        <w:t xml:space="preserve">O provedenoj procjeni rizika invazivnosti strane vrste Ministarstvo provodi </w:t>
      </w:r>
      <w:r w:rsidRPr="00232FA1">
        <w:t xml:space="preserve">savjetovanje s javnošću </w:t>
      </w:r>
      <w:r>
        <w:t xml:space="preserve">koje traje 30 dana. Aktima planiranja iz članka 23. Zakona propisuju se aktivnosti sprječavanja širenja i/ili iskorjenjivanja stranih i invazivnih stranih vrsta te se savjetovanje s javnošću o nacrtima planova provodi 30 dana. </w:t>
      </w:r>
      <w:r w:rsidR="006546A6">
        <w:t>Navedeni akti planiranja obuhvaćaju</w:t>
      </w:r>
      <w:r w:rsidR="002E7AE8" w:rsidRPr="002E7AE8">
        <w:t xml:space="preserve"> </w:t>
      </w:r>
      <w:r w:rsidR="002E7AE8">
        <w:t>a</w:t>
      </w:r>
      <w:r w:rsidR="002E7AE8" w:rsidRPr="002E7AE8">
        <w:t>kci</w:t>
      </w:r>
      <w:r w:rsidR="00D060FD">
        <w:t xml:space="preserve">jski </w:t>
      </w:r>
      <w:r w:rsidR="002E7AE8" w:rsidRPr="002E7AE8">
        <w:t>plan o kontroli putova nenamjernog unošenja i širenja invazivnih stranih vrsta</w:t>
      </w:r>
      <w:r w:rsidR="002E7AE8">
        <w:t xml:space="preserve">, </w:t>
      </w:r>
      <w:r w:rsidR="00D01923">
        <w:t>p</w:t>
      </w:r>
      <w:r w:rsidR="00D01923" w:rsidRPr="00D01923">
        <w:t>rovedben</w:t>
      </w:r>
      <w:r w:rsidR="00D060FD">
        <w:t>i</w:t>
      </w:r>
      <w:r w:rsidR="00D01923" w:rsidRPr="00D01923">
        <w:t xml:space="preserve"> plan sustava nadzora stranih i invazivnih stranih vrsta s pripadajućim protokolima praćenja</w:t>
      </w:r>
      <w:r w:rsidR="00D01923">
        <w:t>,</w:t>
      </w:r>
      <w:r w:rsidR="00D01923" w:rsidRPr="00D01923">
        <w:t xml:space="preserve"> </w:t>
      </w:r>
      <w:r w:rsidR="00D01923">
        <w:t>p</w:t>
      </w:r>
      <w:r w:rsidR="00D01923" w:rsidRPr="00D01923">
        <w:t>lan upravljanja široko rasprostranjenim invazivnim stranim vrstama u Republici Hrvatskoj</w:t>
      </w:r>
      <w:r w:rsidR="00D01923">
        <w:t>, p</w:t>
      </w:r>
      <w:r w:rsidR="00D01923" w:rsidRPr="00D01923">
        <w:t>lan obnove ekosustava</w:t>
      </w:r>
      <w:r w:rsidR="00D060FD">
        <w:t xml:space="preserve"> i p</w:t>
      </w:r>
      <w:r w:rsidR="00D01923" w:rsidRPr="00D01923">
        <w:t>lan upravljanja stranim vrstama koje nisu invazivne strane vrste koje izazivaju zabrinutost u Uniji niti invazivne strane vrste koje izazivaju zabrinutost u Republici Hrvatskoj, ali su prisutne i/ili rasprostranjene na području Republike Hrvatske i zahtijevaju donošenje mjera za izbjegavanje daljnjeg unošenja, širenja i/ili suzbijanja tih vrsta</w:t>
      </w:r>
      <w:r w:rsidR="00D060FD">
        <w:t xml:space="preserve"> (skraćeno: plan upravljanja stranim vrstama)</w:t>
      </w:r>
      <w:r w:rsidR="00627B71">
        <w:t>.</w:t>
      </w:r>
    </w:p>
    <w:p w14:paraId="12A4DB7C" w14:textId="195E2C02" w:rsidR="009C1A65" w:rsidRPr="00232FA1" w:rsidRDefault="009C1A65" w:rsidP="009C1A65">
      <w:pPr>
        <w:jc w:val="both"/>
      </w:pPr>
    </w:p>
    <w:p w14:paraId="5984DEDD" w14:textId="77777777" w:rsidR="009C1A65" w:rsidRPr="00B46785" w:rsidRDefault="009C1A65" w:rsidP="009C1A65">
      <w:pPr>
        <w:pStyle w:val="box453349"/>
        <w:spacing w:before="0" w:beforeAutospacing="0" w:after="0" w:afterAutospacing="0"/>
        <w:ind w:firstLine="5954"/>
        <w:jc w:val="center"/>
        <w:textAlignment w:val="baseline"/>
      </w:pPr>
    </w:p>
    <w:p w14:paraId="7A0BC5B4" w14:textId="77777777" w:rsidR="009C1A65" w:rsidRDefault="009C1A65" w:rsidP="00B236F2">
      <w:pPr>
        <w:spacing w:before="120" w:after="120"/>
      </w:pPr>
    </w:p>
    <w:sectPr w:rsidR="009C1A65" w:rsidSect="00493B27">
      <w:footerReference w:type="default" r:id="rId14"/>
      <w:type w:val="continuous"/>
      <w:pgSz w:w="11906" w:h="16838"/>
      <w:pgMar w:top="993" w:right="1417" w:bottom="1980" w:left="1417" w:header="709" w:footer="1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E0E4E" w14:textId="77777777" w:rsidR="00A10ED8" w:rsidRDefault="00A10ED8" w:rsidP="0011560A">
      <w:r>
        <w:separator/>
      </w:r>
    </w:p>
  </w:endnote>
  <w:endnote w:type="continuationSeparator" w:id="0">
    <w:p w14:paraId="49324E8A" w14:textId="77777777" w:rsidR="00A10ED8" w:rsidRDefault="00A10ED8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CE8F2" w14:textId="77777777" w:rsidR="002913C9" w:rsidRPr="00CE78D1" w:rsidRDefault="002913C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 xml:space="preserve">Banski dvori | Trg Sv. Marka 2  | 10000 Zagreb | tel. 01 4569 </w:t>
    </w:r>
    <w:r>
      <w:rPr>
        <w:color w:val="404040" w:themeColor="text1" w:themeTint="BF"/>
        <w:spacing w:val="20"/>
        <w:sz w:val="20"/>
      </w:rPr>
      <w:t>222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F2E86" w14:textId="77777777" w:rsidR="002913C9" w:rsidRPr="00493B27" w:rsidRDefault="002913C9" w:rsidP="00493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1559F" w14:textId="77777777" w:rsidR="00A10ED8" w:rsidRDefault="00A10ED8" w:rsidP="0011560A">
      <w:r>
        <w:separator/>
      </w:r>
    </w:p>
  </w:footnote>
  <w:footnote w:type="continuationSeparator" w:id="0">
    <w:p w14:paraId="0F2BD295" w14:textId="77777777" w:rsidR="00A10ED8" w:rsidRDefault="00A10ED8" w:rsidP="0011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57B"/>
    <w:multiLevelType w:val="hybridMultilevel"/>
    <w:tmpl w:val="8946D4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7061"/>
    <w:multiLevelType w:val="hybridMultilevel"/>
    <w:tmpl w:val="9AC6482E"/>
    <w:lvl w:ilvl="0" w:tplc="E0584E84">
      <w:start w:val="1"/>
      <w:numFmt w:val="decimal"/>
      <w:lvlText w:val="(%1)"/>
      <w:lvlJc w:val="left"/>
      <w:pPr>
        <w:ind w:left="861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843C10"/>
    <w:multiLevelType w:val="hybridMultilevel"/>
    <w:tmpl w:val="35BA72FC"/>
    <w:lvl w:ilvl="0" w:tplc="FE886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E757C"/>
    <w:multiLevelType w:val="hybridMultilevel"/>
    <w:tmpl w:val="85404D70"/>
    <w:lvl w:ilvl="0" w:tplc="FE886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D5749"/>
    <w:multiLevelType w:val="hybridMultilevel"/>
    <w:tmpl w:val="C9DE045E"/>
    <w:lvl w:ilvl="0" w:tplc="9216ED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F7044D"/>
    <w:multiLevelType w:val="hybridMultilevel"/>
    <w:tmpl w:val="2960CE9E"/>
    <w:lvl w:ilvl="0" w:tplc="3AEE50B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72" w:hanging="360"/>
      </w:pPr>
    </w:lvl>
    <w:lvl w:ilvl="2" w:tplc="041A001B" w:tentative="1">
      <w:start w:val="1"/>
      <w:numFmt w:val="lowerRoman"/>
      <w:lvlText w:val="%3."/>
      <w:lvlJc w:val="right"/>
      <w:pPr>
        <w:ind w:left="2492" w:hanging="180"/>
      </w:pPr>
    </w:lvl>
    <w:lvl w:ilvl="3" w:tplc="041A000F" w:tentative="1">
      <w:start w:val="1"/>
      <w:numFmt w:val="decimal"/>
      <w:lvlText w:val="%4."/>
      <w:lvlJc w:val="left"/>
      <w:pPr>
        <w:ind w:left="3212" w:hanging="360"/>
      </w:pPr>
    </w:lvl>
    <w:lvl w:ilvl="4" w:tplc="041A0019" w:tentative="1">
      <w:start w:val="1"/>
      <w:numFmt w:val="lowerLetter"/>
      <w:lvlText w:val="%5."/>
      <w:lvlJc w:val="left"/>
      <w:pPr>
        <w:ind w:left="3932" w:hanging="360"/>
      </w:pPr>
    </w:lvl>
    <w:lvl w:ilvl="5" w:tplc="041A001B" w:tentative="1">
      <w:start w:val="1"/>
      <w:numFmt w:val="lowerRoman"/>
      <w:lvlText w:val="%6."/>
      <w:lvlJc w:val="right"/>
      <w:pPr>
        <w:ind w:left="4652" w:hanging="180"/>
      </w:pPr>
    </w:lvl>
    <w:lvl w:ilvl="6" w:tplc="041A000F" w:tentative="1">
      <w:start w:val="1"/>
      <w:numFmt w:val="decimal"/>
      <w:lvlText w:val="%7."/>
      <w:lvlJc w:val="left"/>
      <w:pPr>
        <w:ind w:left="5372" w:hanging="360"/>
      </w:pPr>
    </w:lvl>
    <w:lvl w:ilvl="7" w:tplc="041A0019" w:tentative="1">
      <w:start w:val="1"/>
      <w:numFmt w:val="lowerLetter"/>
      <w:lvlText w:val="%8."/>
      <w:lvlJc w:val="left"/>
      <w:pPr>
        <w:ind w:left="6092" w:hanging="360"/>
      </w:pPr>
    </w:lvl>
    <w:lvl w:ilvl="8" w:tplc="041A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6" w15:restartNumberingAfterBreak="0">
    <w:nsid w:val="53523FC8"/>
    <w:multiLevelType w:val="hybridMultilevel"/>
    <w:tmpl w:val="7E4EE49A"/>
    <w:lvl w:ilvl="0" w:tplc="9A66D1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B3C98"/>
    <w:multiLevelType w:val="hybridMultilevel"/>
    <w:tmpl w:val="6018D316"/>
    <w:lvl w:ilvl="0" w:tplc="2E26CB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C4DD6"/>
    <w:multiLevelType w:val="hybridMultilevel"/>
    <w:tmpl w:val="16F4F01E"/>
    <w:lvl w:ilvl="0" w:tplc="80001E1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A4"/>
    <w:rsid w:val="000033EE"/>
    <w:rsid w:val="00006F77"/>
    <w:rsid w:val="00011222"/>
    <w:rsid w:val="0001125C"/>
    <w:rsid w:val="00015328"/>
    <w:rsid w:val="0002281C"/>
    <w:rsid w:val="00027661"/>
    <w:rsid w:val="000350D9"/>
    <w:rsid w:val="0004168E"/>
    <w:rsid w:val="00047BDC"/>
    <w:rsid w:val="00051129"/>
    <w:rsid w:val="00052599"/>
    <w:rsid w:val="00056291"/>
    <w:rsid w:val="00057310"/>
    <w:rsid w:val="000631BF"/>
    <w:rsid w:val="00063520"/>
    <w:rsid w:val="00086A6C"/>
    <w:rsid w:val="00087224"/>
    <w:rsid w:val="000A1D60"/>
    <w:rsid w:val="000A3A3B"/>
    <w:rsid w:val="000A4FF5"/>
    <w:rsid w:val="000B17FC"/>
    <w:rsid w:val="000D1A50"/>
    <w:rsid w:val="001015C6"/>
    <w:rsid w:val="00110E6C"/>
    <w:rsid w:val="0011560A"/>
    <w:rsid w:val="00135F1A"/>
    <w:rsid w:val="00140AEA"/>
    <w:rsid w:val="00146B79"/>
    <w:rsid w:val="00147DE9"/>
    <w:rsid w:val="00170226"/>
    <w:rsid w:val="001741AA"/>
    <w:rsid w:val="00186248"/>
    <w:rsid w:val="001917B2"/>
    <w:rsid w:val="00194E5E"/>
    <w:rsid w:val="001A13E7"/>
    <w:rsid w:val="001A653E"/>
    <w:rsid w:val="001B7A97"/>
    <w:rsid w:val="001C13A5"/>
    <w:rsid w:val="001C4364"/>
    <w:rsid w:val="001C61FB"/>
    <w:rsid w:val="001D2C79"/>
    <w:rsid w:val="001E7218"/>
    <w:rsid w:val="0020322A"/>
    <w:rsid w:val="0020387B"/>
    <w:rsid w:val="002179F8"/>
    <w:rsid w:val="00220956"/>
    <w:rsid w:val="00223604"/>
    <w:rsid w:val="00232882"/>
    <w:rsid w:val="0023763F"/>
    <w:rsid w:val="00245CEF"/>
    <w:rsid w:val="00246033"/>
    <w:rsid w:val="002500CD"/>
    <w:rsid w:val="002542AB"/>
    <w:rsid w:val="00261DAA"/>
    <w:rsid w:val="00263DBA"/>
    <w:rsid w:val="00272EDF"/>
    <w:rsid w:val="00281F03"/>
    <w:rsid w:val="00284D69"/>
    <w:rsid w:val="0028608D"/>
    <w:rsid w:val="002860B1"/>
    <w:rsid w:val="00286C98"/>
    <w:rsid w:val="0029051B"/>
    <w:rsid w:val="002913C9"/>
    <w:rsid w:val="0029163B"/>
    <w:rsid w:val="002A1B1C"/>
    <w:rsid w:val="002A1D77"/>
    <w:rsid w:val="002B107A"/>
    <w:rsid w:val="002B3E71"/>
    <w:rsid w:val="002B7575"/>
    <w:rsid w:val="002D1256"/>
    <w:rsid w:val="002D3152"/>
    <w:rsid w:val="002D6C51"/>
    <w:rsid w:val="002D7C91"/>
    <w:rsid w:val="002E7AE8"/>
    <w:rsid w:val="00300264"/>
    <w:rsid w:val="003033E4"/>
    <w:rsid w:val="00304232"/>
    <w:rsid w:val="00306CF4"/>
    <w:rsid w:val="003136F9"/>
    <w:rsid w:val="00323C77"/>
    <w:rsid w:val="00325C5F"/>
    <w:rsid w:val="00334B52"/>
    <w:rsid w:val="00336EE7"/>
    <w:rsid w:val="0034351C"/>
    <w:rsid w:val="00353B06"/>
    <w:rsid w:val="00361202"/>
    <w:rsid w:val="00364C1E"/>
    <w:rsid w:val="00370525"/>
    <w:rsid w:val="00370DDF"/>
    <w:rsid w:val="00381F04"/>
    <w:rsid w:val="0038426B"/>
    <w:rsid w:val="00390211"/>
    <w:rsid w:val="003917A7"/>
    <w:rsid w:val="003929F5"/>
    <w:rsid w:val="003A0ACA"/>
    <w:rsid w:val="003A2F05"/>
    <w:rsid w:val="003A3AE9"/>
    <w:rsid w:val="003A4526"/>
    <w:rsid w:val="003B6358"/>
    <w:rsid w:val="003C09D8"/>
    <w:rsid w:val="003C337A"/>
    <w:rsid w:val="003C3799"/>
    <w:rsid w:val="003D47D1"/>
    <w:rsid w:val="003F32CA"/>
    <w:rsid w:val="003F5623"/>
    <w:rsid w:val="004003A6"/>
    <w:rsid w:val="004039BD"/>
    <w:rsid w:val="00405046"/>
    <w:rsid w:val="004230A3"/>
    <w:rsid w:val="004242BF"/>
    <w:rsid w:val="00426A53"/>
    <w:rsid w:val="00440D6D"/>
    <w:rsid w:val="00442367"/>
    <w:rsid w:val="00447F88"/>
    <w:rsid w:val="00457E07"/>
    <w:rsid w:val="00461188"/>
    <w:rsid w:val="0047057C"/>
    <w:rsid w:val="00473F5A"/>
    <w:rsid w:val="004831DE"/>
    <w:rsid w:val="00492FCD"/>
    <w:rsid w:val="00493B27"/>
    <w:rsid w:val="004940CA"/>
    <w:rsid w:val="004A776B"/>
    <w:rsid w:val="004B7106"/>
    <w:rsid w:val="004C1375"/>
    <w:rsid w:val="004C1D95"/>
    <w:rsid w:val="004C5354"/>
    <w:rsid w:val="004D1139"/>
    <w:rsid w:val="004D26DA"/>
    <w:rsid w:val="004E1300"/>
    <w:rsid w:val="004E4E34"/>
    <w:rsid w:val="004F3738"/>
    <w:rsid w:val="00504248"/>
    <w:rsid w:val="005146D6"/>
    <w:rsid w:val="00522010"/>
    <w:rsid w:val="00533B32"/>
    <w:rsid w:val="00535E09"/>
    <w:rsid w:val="005431B8"/>
    <w:rsid w:val="00545C02"/>
    <w:rsid w:val="00550408"/>
    <w:rsid w:val="00554715"/>
    <w:rsid w:val="00562C8C"/>
    <w:rsid w:val="0056365A"/>
    <w:rsid w:val="00571F6C"/>
    <w:rsid w:val="00585BF0"/>
    <w:rsid w:val="005861F2"/>
    <w:rsid w:val="00586DDB"/>
    <w:rsid w:val="005906BB"/>
    <w:rsid w:val="005A4BC9"/>
    <w:rsid w:val="005B5932"/>
    <w:rsid w:val="005C3A4C"/>
    <w:rsid w:val="005D073D"/>
    <w:rsid w:val="005D3326"/>
    <w:rsid w:val="005E79AE"/>
    <w:rsid w:val="005E7CAB"/>
    <w:rsid w:val="005F231C"/>
    <w:rsid w:val="005F27A1"/>
    <w:rsid w:val="005F4727"/>
    <w:rsid w:val="00602641"/>
    <w:rsid w:val="00612FCD"/>
    <w:rsid w:val="006219C4"/>
    <w:rsid w:val="00621CBE"/>
    <w:rsid w:val="00625DDF"/>
    <w:rsid w:val="00627B71"/>
    <w:rsid w:val="00633454"/>
    <w:rsid w:val="00640EB4"/>
    <w:rsid w:val="00652604"/>
    <w:rsid w:val="006529DF"/>
    <w:rsid w:val="006546A6"/>
    <w:rsid w:val="0066110E"/>
    <w:rsid w:val="00671B53"/>
    <w:rsid w:val="00674E57"/>
    <w:rsid w:val="00675B44"/>
    <w:rsid w:val="0068013E"/>
    <w:rsid w:val="00681B89"/>
    <w:rsid w:val="0068772B"/>
    <w:rsid w:val="00693A4D"/>
    <w:rsid w:val="00694D87"/>
    <w:rsid w:val="006A5EA2"/>
    <w:rsid w:val="006B7800"/>
    <w:rsid w:val="006C0886"/>
    <w:rsid w:val="006C0CC3"/>
    <w:rsid w:val="006E14A9"/>
    <w:rsid w:val="006E611E"/>
    <w:rsid w:val="007010C7"/>
    <w:rsid w:val="00706C98"/>
    <w:rsid w:val="00726165"/>
    <w:rsid w:val="00731AC4"/>
    <w:rsid w:val="007514D5"/>
    <w:rsid w:val="007638D8"/>
    <w:rsid w:val="00765338"/>
    <w:rsid w:val="00777CAA"/>
    <w:rsid w:val="0078648A"/>
    <w:rsid w:val="007A1768"/>
    <w:rsid w:val="007A1881"/>
    <w:rsid w:val="007A5BBF"/>
    <w:rsid w:val="007E00BE"/>
    <w:rsid w:val="007E3965"/>
    <w:rsid w:val="007F3456"/>
    <w:rsid w:val="008137B5"/>
    <w:rsid w:val="00814BEB"/>
    <w:rsid w:val="008321A1"/>
    <w:rsid w:val="00833808"/>
    <w:rsid w:val="008353A1"/>
    <w:rsid w:val="008355F7"/>
    <w:rsid w:val="00836202"/>
    <w:rsid w:val="008365FD"/>
    <w:rsid w:val="0084730B"/>
    <w:rsid w:val="0085362F"/>
    <w:rsid w:val="00855D67"/>
    <w:rsid w:val="00865D0E"/>
    <w:rsid w:val="008707DF"/>
    <w:rsid w:val="0087353A"/>
    <w:rsid w:val="008814DD"/>
    <w:rsid w:val="00881BBB"/>
    <w:rsid w:val="008838D5"/>
    <w:rsid w:val="00885D32"/>
    <w:rsid w:val="0089283D"/>
    <w:rsid w:val="00897292"/>
    <w:rsid w:val="008975F2"/>
    <w:rsid w:val="008A7617"/>
    <w:rsid w:val="008B0E1C"/>
    <w:rsid w:val="008B6D7A"/>
    <w:rsid w:val="008C0768"/>
    <w:rsid w:val="008C1D0A"/>
    <w:rsid w:val="008C347A"/>
    <w:rsid w:val="008D1E25"/>
    <w:rsid w:val="008D4177"/>
    <w:rsid w:val="008F0DD4"/>
    <w:rsid w:val="008F4F30"/>
    <w:rsid w:val="0090200F"/>
    <w:rsid w:val="009047E4"/>
    <w:rsid w:val="009126B3"/>
    <w:rsid w:val="00914B2A"/>
    <w:rsid w:val="009152C4"/>
    <w:rsid w:val="0093686E"/>
    <w:rsid w:val="0095079B"/>
    <w:rsid w:val="00951D21"/>
    <w:rsid w:val="00953BA1"/>
    <w:rsid w:val="00954D08"/>
    <w:rsid w:val="00991A4A"/>
    <w:rsid w:val="009930CA"/>
    <w:rsid w:val="009B1041"/>
    <w:rsid w:val="009B51B6"/>
    <w:rsid w:val="009B79AD"/>
    <w:rsid w:val="009C1A65"/>
    <w:rsid w:val="009C33E1"/>
    <w:rsid w:val="009C7815"/>
    <w:rsid w:val="009D5713"/>
    <w:rsid w:val="009E5E88"/>
    <w:rsid w:val="009F07E6"/>
    <w:rsid w:val="00A10ED8"/>
    <w:rsid w:val="00A15F08"/>
    <w:rsid w:val="00A175E9"/>
    <w:rsid w:val="00A21819"/>
    <w:rsid w:val="00A456FE"/>
    <w:rsid w:val="00A45CF4"/>
    <w:rsid w:val="00A52A71"/>
    <w:rsid w:val="00A573DC"/>
    <w:rsid w:val="00A6339A"/>
    <w:rsid w:val="00A63E40"/>
    <w:rsid w:val="00A725A4"/>
    <w:rsid w:val="00A83290"/>
    <w:rsid w:val="00AD2F06"/>
    <w:rsid w:val="00AD4D7C"/>
    <w:rsid w:val="00AE1146"/>
    <w:rsid w:val="00AE549E"/>
    <w:rsid w:val="00AE59DF"/>
    <w:rsid w:val="00B11325"/>
    <w:rsid w:val="00B20D9E"/>
    <w:rsid w:val="00B20FCC"/>
    <w:rsid w:val="00B236F2"/>
    <w:rsid w:val="00B24A8B"/>
    <w:rsid w:val="00B32578"/>
    <w:rsid w:val="00B42E00"/>
    <w:rsid w:val="00B462AB"/>
    <w:rsid w:val="00B57187"/>
    <w:rsid w:val="00B607B6"/>
    <w:rsid w:val="00B60B8E"/>
    <w:rsid w:val="00B63988"/>
    <w:rsid w:val="00B706F8"/>
    <w:rsid w:val="00B908C2"/>
    <w:rsid w:val="00B9457B"/>
    <w:rsid w:val="00BA28CD"/>
    <w:rsid w:val="00BA72BF"/>
    <w:rsid w:val="00BE09E7"/>
    <w:rsid w:val="00BE5417"/>
    <w:rsid w:val="00C030EB"/>
    <w:rsid w:val="00C15D73"/>
    <w:rsid w:val="00C162A0"/>
    <w:rsid w:val="00C20DB0"/>
    <w:rsid w:val="00C20F46"/>
    <w:rsid w:val="00C337A4"/>
    <w:rsid w:val="00C44247"/>
    <w:rsid w:val="00C44327"/>
    <w:rsid w:val="00C557C5"/>
    <w:rsid w:val="00C721D1"/>
    <w:rsid w:val="00C92C72"/>
    <w:rsid w:val="00C9697E"/>
    <w:rsid w:val="00C969CC"/>
    <w:rsid w:val="00CA4F84"/>
    <w:rsid w:val="00CB559A"/>
    <w:rsid w:val="00CD1639"/>
    <w:rsid w:val="00CD3EFA"/>
    <w:rsid w:val="00CE0B61"/>
    <w:rsid w:val="00CE0BF4"/>
    <w:rsid w:val="00CE3D00"/>
    <w:rsid w:val="00CE78D1"/>
    <w:rsid w:val="00CF1825"/>
    <w:rsid w:val="00CF7BB4"/>
    <w:rsid w:val="00CF7EEC"/>
    <w:rsid w:val="00D01923"/>
    <w:rsid w:val="00D026AA"/>
    <w:rsid w:val="00D060FD"/>
    <w:rsid w:val="00D07290"/>
    <w:rsid w:val="00D1127C"/>
    <w:rsid w:val="00D12C19"/>
    <w:rsid w:val="00D14240"/>
    <w:rsid w:val="00D1614C"/>
    <w:rsid w:val="00D211C9"/>
    <w:rsid w:val="00D25226"/>
    <w:rsid w:val="00D62C4D"/>
    <w:rsid w:val="00D8016C"/>
    <w:rsid w:val="00D8090A"/>
    <w:rsid w:val="00D92A3D"/>
    <w:rsid w:val="00D979F4"/>
    <w:rsid w:val="00DA76FF"/>
    <w:rsid w:val="00DB0A6B"/>
    <w:rsid w:val="00DB28EB"/>
    <w:rsid w:val="00DB2FC3"/>
    <w:rsid w:val="00DB61F4"/>
    <w:rsid w:val="00DB6366"/>
    <w:rsid w:val="00DC1220"/>
    <w:rsid w:val="00DC2ADB"/>
    <w:rsid w:val="00DC7B81"/>
    <w:rsid w:val="00DE38FE"/>
    <w:rsid w:val="00E01F71"/>
    <w:rsid w:val="00E049C0"/>
    <w:rsid w:val="00E12F03"/>
    <w:rsid w:val="00E24B5C"/>
    <w:rsid w:val="00E25569"/>
    <w:rsid w:val="00E27AAE"/>
    <w:rsid w:val="00E32862"/>
    <w:rsid w:val="00E35042"/>
    <w:rsid w:val="00E42A0A"/>
    <w:rsid w:val="00E46666"/>
    <w:rsid w:val="00E50CFF"/>
    <w:rsid w:val="00E601A2"/>
    <w:rsid w:val="00E70282"/>
    <w:rsid w:val="00E73CBA"/>
    <w:rsid w:val="00E74280"/>
    <w:rsid w:val="00E74C3B"/>
    <w:rsid w:val="00E77198"/>
    <w:rsid w:val="00E83E23"/>
    <w:rsid w:val="00E84D96"/>
    <w:rsid w:val="00EA3AD1"/>
    <w:rsid w:val="00EB1248"/>
    <w:rsid w:val="00EC08EF"/>
    <w:rsid w:val="00EC34AE"/>
    <w:rsid w:val="00ED236E"/>
    <w:rsid w:val="00ED72DB"/>
    <w:rsid w:val="00EE03CA"/>
    <w:rsid w:val="00EE70EE"/>
    <w:rsid w:val="00EE7199"/>
    <w:rsid w:val="00F160E6"/>
    <w:rsid w:val="00F26DA7"/>
    <w:rsid w:val="00F3220D"/>
    <w:rsid w:val="00F5297D"/>
    <w:rsid w:val="00F764AD"/>
    <w:rsid w:val="00F95A2D"/>
    <w:rsid w:val="00F978E2"/>
    <w:rsid w:val="00F97BA9"/>
    <w:rsid w:val="00FA4E25"/>
    <w:rsid w:val="00FA6E67"/>
    <w:rsid w:val="00FB3E49"/>
    <w:rsid w:val="00FB6F9F"/>
    <w:rsid w:val="00FD0650"/>
    <w:rsid w:val="00FD7066"/>
    <w:rsid w:val="00FE2B63"/>
    <w:rsid w:val="00FE54A1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4B6A7F"/>
  <w15:docId w15:val="{BAADD68E-A712-4AAB-BF32-683155EB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A65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211C9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C2AD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612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-9-8">
    <w:name w:val="t-9-8"/>
    <w:basedOn w:val="Normal"/>
    <w:rsid w:val="0029051B"/>
    <w:pPr>
      <w:spacing w:before="100" w:beforeAutospacing="1" w:after="100" w:afterAutospacing="1"/>
    </w:pPr>
  </w:style>
  <w:style w:type="paragraph" w:customStyle="1" w:styleId="tb-na16">
    <w:name w:val="tb-na16"/>
    <w:basedOn w:val="Normal"/>
    <w:rsid w:val="0029051B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29051B"/>
    <w:pPr>
      <w:spacing w:before="100" w:beforeAutospacing="1" w:after="100" w:afterAutospacing="1"/>
    </w:pPr>
  </w:style>
  <w:style w:type="paragraph" w:customStyle="1" w:styleId="clanak-">
    <w:name w:val="clanak-"/>
    <w:basedOn w:val="Normal"/>
    <w:rsid w:val="0029051B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29051B"/>
    <w:pPr>
      <w:spacing w:before="100" w:beforeAutospacing="1" w:after="100" w:afterAutospacing="1"/>
    </w:pPr>
  </w:style>
  <w:style w:type="paragraph" w:customStyle="1" w:styleId="klasa2">
    <w:name w:val="klasa2"/>
    <w:basedOn w:val="Normal"/>
    <w:rsid w:val="0029051B"/>
    <w:pPr>
      <w:spacing w:before="100" w:beforeAutospacing="1" w:after="100" w:afterAutospacing="1"/>
    </w:pPr>
  </w:style>
  <w:style w:type="paragraph" w:customStyle="1" w:styleId="t-9-8-potpis">
    <w:name w:val="t-9-8-potpis"/>
    <w:basedOn w:val="Normal"/>
    <w:rsid w:val="0029051B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29051B"/>
  </w:style>
  <w:style w:type="paragraph" w:styleId="CommentText">
    <w:name w:val="annotation text"/>
    <w:basedOn w:val="Normal"/>
    <w:link w:val="CommentTextChar"/>
    <w:uiPriority w:val="99"/>
    <w:semiHidden/>
    <w:unhideWhenUsed/>
    <w:rsid w:val="0029051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51B"/>
    <w:rPr>
      <w:rFonts w:asciiTheme="minorHAnsi" w:eastAsiaTheme="minorHAnsi" w:hAnsiTheme="minorHAnsi" w:cstheme="minorBidi"/>
      <w:lang w:eastAsia="en-US"/>
    </w:rPr>
  </w:style>
  <w:style w:type="character" w:customStyle="1" w:styleId="acopre1">
    <w:name w:val="acopre1"/>
    <w:basedOn w:val="DefaultParagraphFont"/>
    <w:rsid w:val="00E50CFF"/>
  </w:style>
  <w:style w:type="paragraph" w:customStyle="1" w:styleId="Default">
    <w:name w:val="Default"/>
    <w:rsid w:val="007514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lqj4b">
    <w:name w:val="jlqj4b"/>
    <w:basedOn w:val="DefaultParagraphFont"/>
    <w:rsid w:val="002A1B1C"/>
  </w:style>
  <w:style w:type="character" w:customStyle="1" w:styleId="fszzbb">
    <w:name w:val="fszzbb"/>
    <w:basedOn w:val="DefaultParagraphFont"/>
    <w:rsid w:val="002A1B1C"/>
  </w:style>
  <w:style w:type="character" w:styleId="CommentReference">
    <w:name w:val="annotation reference"/>
    <w:basedOn w:val="DefaultParagraphFont"/>
    <w:semiHidden/>
    <w:unhideWhenUsed/>
    <w:rsid w:val="00C557C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57C5"/>
    <w:pPr>
      <w:spacing w:after="0"/>
    </w:pPr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CommentSubjectChar">
    <w:name w:val="Comment Subject Char"/>
    <w:basedOn w:val="CommentTextChar"/>
    <w:link w:val="CommentSubject"/>
    <w:semiHidden/>
    <w:rsid w:val="00C557C5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urziv">
    <w:name w:val="kurziv"/>
    <w:basedOn w:val="DefaultParagraphFont"/>
    <w:rsid w:val="00E24B5C"/>
  </w:style>
  <w:style w:type="character" w:customStyle="1" w:styleId="Heading1Char">
    <w:name w:val="Heading 1 Char"/>
    <w:basedOn w:val="DefaultParagraphFont"/>
    <w:link w:val="Heading1"/>
    <w:uiPriority w:val="9"/>
    <w:rsid w:val="009C1A65"/>
    <w:rPr>
      <w:rFonts w:eastAsiaTheme="majorEastAsia" w:cstheme="majorBidi"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211C9"/>
    <w:rPr>
      <w:rFonts w:eastAsiaTheme="majorEastAsia" w:cstheme="majorBidi"/>
      <w:b/>
      <w:sz w:val="24"/>
      <w:szCs w:val="26"/>
      <w:lang w:eastAsia="en-US"/>
    </w:rPr>
  </w:style>
  <w:style w:type="paragraph" w:customStyle="1" w:styleId="box453349">
    <w:name w:val="box_453349"/>
    <w:basedOn w:val="Normal"/>
    <w:rsid w:val="009C1A6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9C1A65"/>
    <w:pPr>
      <w:spacing w:before="100" w:beforeAutospacing="1" w:after="100" w:afterAutospacing="1"/>
    </w:pPr>
    <w:rPr>
      <w:lang w:val="en-US"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C1A65"/>
    <w:pPr>
      <w:spacing w:before="120" w:after="120"/>
      <w:jc w:val="center"/>
    </w:pPr>
    <w:rPr>
      <w:rFonts w:eastAsiaTheme="majorEastAsia" w:cstheme="majorBidi"/>
      <w:b/>
      <w:spacing w:val="-10"/>
      <w:kern w:val="28"/>
      <w:sz w:val="32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C1A65"/>
    <w:rPr>
      <w:rFonts w:eastAsiaTheme="majorEastAsia" w:cstheme="majorBidi"/>
      <w:b/>
      <w:spacing w:val="-10"/>
      <w:kern w:val="28"/>
      <w:sz w:val="32"/>
      <w:szCs w:val="56"/>
      <w:lang w:eastAsia="en-US"/>
    </w:rPr>
  </w:style>
  <w:style w:type="paragraph" w:styleId="Revision">
    <w:name w:val="Revision"/>
    <w:hidden/>
    <w:uiPriority w:val="99"/>
    <w:semiHidden/>
    <w:rsid w:val="00612F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70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5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19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3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580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535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923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88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6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8113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475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659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39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068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206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28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11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94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79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0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AZJMDCZ6QSYZ-1849078857-39653</_dlc_DocId>
    <_dlc_DocIdUrl xmlns="a494813a-d0d8-4dad-94cb-0d196f36ba15">
      <Url>https://ekoordinacije.vlada.hr/koordinacija-gospodarstvo/_layouts/15/DocIdRedir.aspx?ID=AZJMDCZ6QSYZ-1849078857-39653</Url>
      <Description>AZJMDCZ6QSYZ-1849078857-39653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9FA15-D506-4928-96E6-CA95CEABE402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a494813a-d0d8-4dad-94cb-0d196f36ba15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281A0E6-34D9-4593-A504-BA1CAF650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A6622-6B38-483A-98A2-2814EAA1783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C66D53-92A6-48B4-9CC9-A22C41C31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07CDE2-DEB9-465B-A1C0-17493960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2128</Words>
  <Characters>13337</Characters>
  <Application>Microsoft Office Word</Application>
  <DocSecurity>0</DocSecurity>
  <Lines>111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 Curic</dc:creator>
  <cp:lastModifiedBy>Ines Uglešić</cp:lastModifiedBy>
  <cp:revision>4</cp:revision>
  <cp:lastPrinted>2024-07-17T08:44:00Z</cp:lastPrinted>
  <dcterms:created xsi:type="dcterms:W3CDTF">2024-08-19T10:07:00Z</dcterms:created>
  <dcterms:modified xsi:type="dcterms:W3CDTF">2024-08-26T10:35:00Z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58520090-a8f0-4f60-a25a-8d89ff817437</vt:lpwstr>
  </property>
</Properties>
</file>