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C83CD" w14:textId="77777777" w:rsidR="00580D43" w:rsidRDefault="00580D43" w:rsidP="00580D43">
      <w:pPr>
        <w:tabs>
          <w:tab w:val="left" w:pos="6854"/>
        </w:tabs>
      </w:pPr>
    </w:p>
    <w:p w14:paraId="6BE92351" w14:textId="77777777" w:rsidR="00580D43" w:rsidRDefault="00580D43" w:rsidP="00580D43">
      <w:pPr>
        <w:tabs>
          <w:tab w:val="left" w:pos="6854"/>
        </w:tabs>
      </w:pPr>
    </w:p>
    <w:p w14:paraId="69FCBE14" w14:textId="77777777" w:rsidR="00580D43" w:rsidRDefault="00580D43" w:rsidP="00580D43">
      <w:pPr>
        <w:tabs>
          <w:tab w:val="left" w:pos="6854"/>
        </w:tabs>
      </w:pPr>
    </w:p>
    <w:p w14:paraId="2014F596" w14:textId="77777777" w:rsidR="00580D43" w:rsidRDefault="00580D43" w:rsidP="00580D43">
      <w:pPr>
        <w:tabs>
          <w:tab w:val="left" w:pos="6854"/>
        </w:tabs>
      </w:pPr>
    </w:p>
    <w:p w14:paraId="5F1E39AE" w14:textId="77777777" w:rsidR="00580D43" w:rsidRDefault="00580D43" w:rsidP="00580D43">
      <w:pPr>
        <w:tabs>
          <w:tab w:val="left" w:pos="6854"/>
        </w:tabs>
      </w:pPr>
    </w:p>
    <w:p w14:paraId="2597BF46" w14:textId="77777777" w:rsidR="00580D43" w:rsidRDefault="00580D43" w:rsidP="00580D43">
      <w:pPr>
        <w:tabs>
          <w:tab w:val="left" w:pos="6854"/>
        </w:tabs>
      </w:pPr>
    </w:p>
    <w:p w14:paraId="4991ABF5" w14:textId="22246039" w:rsidR="00580D43" w:rsidRPr="0048148A" w:rsidRDefault="00580D43" w:rsidP="00580D43">
      <w:pPr>
        <w:jc w:val="center"/>
      </w:pPr>
      <w:r w:rsidRPr="00E54E93">
        <w:rPr>
          <w:noProof/>
          <w:lang w:eastAsia="hr-HR"/>
        </w:rPr>
        <w:drawing>
          <wp:inline distT="0" distB="0" distL="0" distR="0" wp14:anchorId="481D5180" wp14:editId="3CEB18D4">
            <wp:extent cx="504825" cy="685800"/>
            <wp:effectExtent l="0" t="0" r="9525" b="0"/>
            <wp:docPr id="670986843" name="Slika 670986843"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86843" name="Slika 2" descr="Slika na kojoj se prikazuje simbol, emblem, crveno, logotip&#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48148A">
        <w:fldChar w:fldCharType="begin"/>
      </w:r>
      <w:r w:rsidRPr="0048148A">
        <w:instrText xml:space="preserve"> INCLUDEPICTURE "http://www.inet.hr/~box/images/grb-rh.gif" \* MERGEFORMATINET </w:instrText>
      </w:r>
      <w:r w:rsidRPr="0048148A">
        <w:fldChar w:fldCharType="end"/>
      </w:r>
    </w:p>
    <w:p w14:paraId="747EB370" w14:textId="77777777" w:rsidR="00580D43" w:rsidRPr="0048148A" w:rsidRDefault="00580D43" w:rsidP="00580D43">
      <w:pPr>
        <w:jc w:val="center"/>
        <w:rPr>
          <w:sz w:val="28"/>
        </w:rPr>
      </w:pPr>
      <w:r w:rsidRPr="0048148A">
        <w:rPr>
          <w:sz w:val="28"/>
        </w:rPr>
        <w:t>VLADA REPUBLIKE HRVATSKE</w:t>
      </w:r>
    </w:p>
    <w:p w14:paraId="3BB6BCEF" w14:textId="77777777" w:rsidR="00580D43" w:rsidRPr="0048148A" w:rsidRDefault="00580D43" w:rsidP="00580D43">
      <w:pPr>
        <w:jc w:val="left"/>
      </w:pPr>
    </w:p>
    <w:p w14:paraId="6C7AF05E" w14:textId="77777777" w:rsidR="00580D43" w:rsidRPr="0048148A" w:rsidRDefault="00580D43" w:rsidP="00580D43">
      <w:pPr>
        <w:jc w:val="left"/>
      </w:pPr>
    </w:p>
    <w:p w14:paraId="4364344B" w14:textId="77777777" w:rsidR="00580D43" w:rsidRPr="0048148A" w:rsidRDefault="00580D43" w:rsidP="00580D43">
      <w:pPr>
        <w:jc w:val="left"/>
      </w:pPr>
    </w:p>
    <w:p w14:paraId="7636FBAE" w14:textId="77777777" w:rsidR="00580D43" w:rsidRPr="0048148A" w:rsidRDefault="00580D43" w:rsidP="00580D43">
      <w:pPr>
        <w:jc w:val="left"/>
      </w:pPr>
    </w:p>
    <w:p w14:paraId="36624BA1" w14:textId="77777777" w:rsidR="00580D43" w:rsidRPr="0048148A" w:rsidRDefault="00580D43" w:rsidP="00580D43">
      <w:pPr>
        <w:jc w:val="left"/>
      </w:pPr>
    </w:p>
    <w:p w14:paraId="73FC3E6B" w14:textId="77777777" w:rsidR="00580D43" w:rsidRPr="0048148A" w:rsidRDefault="00580D43" w:rsidP="00580D43">
      <w:pPr>
        <w:jc w:val="left"/>
      </w:pPr>
    </w:p>
    <w:p w14:paraId="2EF39465" w14:textId="496151EB" w:rsidR="00580D43" w:rsidRDefault="00580D43" w:rsidP="000A132C">
      <w:pPr>
        <w:tabs>
          <w:tab w:val="left" w:pos="6155"/>
        </w:tabs>
        <w:jc w:val="right"/>
      </w:pPr>
      <w:r w:rsidRPr="0048148A">
        <w:t xml:space="preserve">                                                                                       Zagreb, </w:t>
      </w:r>
      <w:r w:rsidR="006C3919">
        <w:t>6</w:t>
      </w:r>
      <w:bookmarkStart w:id="0" w:name="_GoBack"/>
      <w:bookmarkEnd w:id="0"/>
      <w:r w:rsidR="00720C10">
        <w:t>. lipnja</w:t>
      </w:r>
      <w:r w:rsidR="00E3535C">
        <w:t xml:space="preserve"> </w:t>
      </w:r>
      <w:r w:rsidRPr="0048148A">
        <w:t>202</w:t>
      </w:r>
      <w:r w:rsidR="000A132C">
        <w:t>4</w:t>
      </w:r>
      <w:r w:rsidRPr="0048148A">
        <w:t>.</w:t>
      </w:r>
    </w:p>
    <w:p w14:paraId="04F0ED09" w14:textId="77777777" w:rsidR="009B4519" w:rsidRDefault="009B4519" w:rsidP="00580D43">
      <w:pPr>
        <w:tabs>
          <w:tab w:val="left" w:pos="6155"/>
        </w:tabs>
        <w:jc w:val="left"/>
      </w:pPr>
    </w:p>
    <w:p w14:paraId="19513500" w14:textId="77777777" w:rsidR="009B4519" w:rsidRPr="0048148A" w:rsidRDefault="009B4519" w:rsidP="00580D43">
      <w:pPr>
        <w:tabs>
          <w:tab w:val="left" w:pos="6155"/>
        </w:tabs>
        <w:jc w:val="left"/>
      </w:pPr>
    </w:p>
    <w:p w14:paraId="5190B48B" w14:textId="77777777" w:rsidR="00580D43" w:rsidRPr="0048148A" w:rsidRDefault="00580D43" w:rsidP="00580D43">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A575FA" w14:paraId="3DDF71E9" w14:textId="77777777" w:rsidTr="0073135B">
        <w:tc>
          <w:tcPr>
            <w:tcW w:w="1980" w:type="dxa"/>
            <w:tcBorders>
              <w:top w:val="single" w:sz="4" w:space="0" w:color="auto"/>
              <w:bottom w:val="single" w:sz="4" w:space="0" w:color="auto"/>
            </w:tcBorders>
          </w:tcPr>
          <w:p w14:paraId="2D068965" w14:textId="77777777" w:rsidR="00D30B6C" w:rsidRDefault="00D30B6C" w:rsidP="008F6FE8">
            <w:pPr>
              <w:spacing w:line="240" w:lineRule="auto"/>
              <w:jc w:val="left"/>
              <w:rPr>
                <w:b/>
                <w:smallCaps/>
              </w:rPr>
            </w:pPr>
          </w:p>
          <w:p w14:paraId="7F2599A5" w14:textId="77777777" w:rsidR="00A575FA" w:rsidRDefault="00BB3AD0" w:rsidP="008F6FE8">
            <w:pPr>
              <w:spacing w:line="240" w:lineRule="auto"/>
              <w:jc w:val="left"/>
              <w:rPr>
                <w:b/>
              </w:rPr>
            </w:pPr>
            <w:r w:rsidRPr="0048148A">
              <w:rPr>
                <w:b/>
                <w:smallCaps/>
              </w:rPr>
              <w:t>Predlagatelj</w:t>
            </w:r>
            <w:r w:rsidRPr="0048148A">
              <w:rPr>
                <w:b/>
              </w:rPr>
              <w:t>:</w:t>
            </w:r>
          </w:p>
          <w:p w14:paraId="695EACC5" w14:textId="650C8992" w:rsidR="00D30B6C" w:rsidRDefault="00D30B6C" w:rsidP="008F6FE8">
            <w:pPr>
              <w:spacing w:line="240" w:lineRule="auto"/>
              <w:jc w:val="left"/>
              <w:rPr>
                <w:b/>
              </w:rPr>
            </w:pPr>
          </w:p>
        </w:tc>
        <w:tc>
          <w:tcPr>
            <w:tcW w:w="7080" w:type="dxa"/>
            <w:tcBorders>
              <w:top w:val="single" w:sz="4" w:space="0" w:color="auto"/>
              <w:bottom w:val="single" w:sz="4" w:space="0" w:color="auto"/>
            </w:tcBorders>
          </w:tcPr>
          <w:p w14:paraId="5A4D329B" w14:textId="77777777" w:rsidR="009B4519" w:rsidRDefault="009B4519" w:rsidP="009B4519">
            <w:pPr>
              <w:spacing w:line="240" w:lineRule="auto"/>
              <w:jc w:val="left"/>
            </w:pPr>
          </w:p>
          <w:p w14:paraId="7017031D" w14:textId="3CF9E82F" w:rsidR="00A575FA" w:rsidRDefault="009B4519" w:rsidP="009B4519">
            <w:pPr>
              <w:spacing w:line="240" w:lineRule="auto"/>
              <w:jc w:val="left"/>
              <w:rPr>
                <w:b/>
              </w:rPr>
            </w:pPr>
            <w:r w:rsidRPr="0048148A">
              <w:t>Ministarstvo prostornoga uređenja, graditeljstva i državne imovine</w:t>
            </w:r>
          </w:p>
        </w:tc>
      </w:tr>
      <w:tr w:rsidR="00A575FA" w14:paraId="6F42282B" w14:textId="77777777" w:rsidTr="0073135B">
        <w:tc>
          <w:tcPr>
            <w:tcW w:w="1980" w:type="dxa"/>
            <w:tcBorders>
              <w:top w:val="single" w:sz="4" w:space="0" w:color="auto"/>
              <w:bottom w:val="single" w:sz="4" w:space="0" w:color="auto"/>
            </w:tcBorders>
          </w:tcPr>
          <w:p w14:paraId="2FB96883" w14:textId="77777777" w:rsidR="008F6FE8" w:rsidRDefault="008F6FE8" w:rsidP="008F6FE8">
            <w:pPr>
              <w:spacing w:line="240" w:lineRule="auto"/>
              <w:jc w:val="left"/>
              <w:rPr>
                <w:b/>
                <w:smallCaps/>
              </w:rPr>
            </w:pPr>
          </w:p>
          <w:p w14:paraId="4021D395" w14:textId="00C17136" w:rsidR="00A575FA" w:rsidRDefault="000213DB" w:rsidP="008F6FE8">
            <w:pPr>
              <w:spacing w:line="240" w:lineRule="auto"/>
              <w:jc w:val="left"/>
              <w:rPr>
                <w:b/>
              </w:rPr>
            </w:pPr>
            <w:r w:rsidRPr="0048148A">
              <w:rPr>
                <w:b/>
                <w:smallCaps/>
              </w:rPr>
              <w:t>Predmet</w:t>
            </w:r>
            <w:r w:rsidRPr="0048148A">
              <w:rPr>
                <w:b/>
              </w:rPr>
              <w:t>:</w:t>
            </w:r>
          </w:p>
        </w:tc>
        <w:tc>
          <w:tcPr>
            <w:tcW w:w="7080" w:type="dxa"/>
            <w:tcBorders>
              <w:top w:val="single" w:sz="4" w:space="0" w:color="auto"/>
              <w:bottom w:val="single" w:sz="4" w:space="0" w:color="auto"/>
            </w:tcBorders>
          </w:tcPr>
          <w:p w14:paraId="61E85F59" w14:textId="77777777" w:rsidR="001023FF" w:rsidRDefault="001023FF" w:rsidP="001023FF">
            <w:pPr>
              <w:tabs>
                <w:tab w:val="left" w:pos="900"/>
              </w:tabs>
            </w:pPr>
          </w:p>
          <w:p w14:paraId="7138E32F" w14:textId="47DE46A7" w:rsidR="001023FF" w:rsidRPr="0048148A" w:rsidRDefault="001023FF" w:rsidP="001023FF">
            <w:pPr>
              <w:tabs>
                <w:tab w:val="left" w:pos="900"/>
              </w:tabs>
            </w:pPr>
            <w:r>
              <w:t xml:space="preserve">Izvješće o učincima provedbe Zakona o obnovi zgrada oštećenih potresom na području Grada Zagreba, Krapinsko-zagorske županije, Zagrebačke županije, Sisačko-moslavačke županije i Karlovačke županije </w:t>
            </w:r>
            <w:bookmarkStart w:id="1" w:name="_Hlk130292573"/>
            <w:r w:rsidR="00E3535C">
              <w:t>za 2023. godinu</w:t>
            </w:r>
          </w:p>
          <w:bookmarkEnd w:id="1"/>
          <w:p w14:paraId="2CABC925" w14:textId="77777777" w:rsidR="00A575FA" w:rsidRDefault="00A575FA" w:rsidP="001023FF">
            <w:pPr>
              <w:spacing w:line="240" w:lineRule="auto"/>
              <w:jc w:val="left"/>
              <w:rPr>
                <w:b/>
              </w:rPr>
            </w:pPr>
          </w:p>
          <w:p w14:paraId="6CBED018" w14:textId="77777777" w:rsidR="009B4519" w:rsidRDefault="009B4519" w:rsidP="001023FF">
            <w:pPr>
              <w:spacing w:line="240" w:lineRule="auto"/>
              <w:jc w:val="left"/>
              <w:rPr>
                <w:b/>
              </w:rPr>
            </w:pPr>
          </w:p>
        </w:tc>
      </w:tr>
    </w:tbl>
    <w:p w14:paraId="61E32D38" w14:textId="43B54C46" w:rsidR="004308AD" w:rsidRDefault="004308AD">
      <w:pPr>
        <w:spacing w:after="160" w:line="259" w:lineRule="auto"/>
        <w:jc w:val="left"/>
        <w:rPr>
          <w:b/>
        </w:rPr>
      </w:pPr>
    </w:p>
    <w:p w14:paraId="78BC7F2A" w14:textId="77777777" w:rsidR="002A63CA" w:rsidRDefault="002A63CA">
      <w:pPr>
        <w:spacing w:after="160" w:line="259" w:lineRule="auto"/>
        <w:jc w:val="left"/>
        <w:rPr>
          <w:b/>
        </w:rPr>
      </w:pPr>
    </w:p>
    <w:p w14:paraId="015980D5" w14:textId="77777777" w:rsidR="002A63CA" w:rsidRDefault="002A63CA">
      <w:pPr>
        <w:spacing w:after="160" w:line="259" w:lineRule="auto"/>
        <w:jc w:val="left"/>
        <w:rPr>
          <w:b/>
        </w:rPr>
      </w:pPr>
    </w:p>
    <w:p w14:paraId="3D490179" w14:textId="77777777" w:rsidR="002A63CA" w:rsidRDefault="002A63CA">
      <w:pPr>
        <w:spacing w:after="160" w:line="259" w:lineRule="auto"/>
        <w:jc w:val="left"/>
        <w:rPr>
          <w:b/>
        </w:rPr>
      </w:pPr>
    </w:p>
    <w:p w14:paraId="50D48642" w14:textId="77777777" w:rsidR="002A63CA" w:rsidRDefault="002A63CA">
      <w:pPr>
        <w:spacing w:after="160" w:line="259" w:lineRule="auto"/>
        <w:jc w:val="left"/>
        <w:rPr>
          <w:b/>
        </w:rPr>
      </w:pPr>
    </w:p>
    <w:p w14:paraId="287EF72A" w14:textId="77777777" w:rsidR="002A63CA" w:rsidRDefault="002A63CA">
      <w:pPr>
        <w:spacing w:after="160" w:line="259" w:lineRule="auto"/>
        <w:jc w:val="left"/>
        <w:rPr>
          <w:b/>
        </w:rPr>
      </w:pPr>
    </w:p>
    <w:p w14:paraId="1432CE72" w14:textId="77777777" w:rsidR="002A63CA" w:rsidRDefault="002A63CA">
      <w:pPr>
        <w:spacing w:after="160" w:line="259" w:lineRule="auto"/>
        <w:jc w:val="left"/>
        <w:rPr>
          <w:b/>
        </w:rPr>
      </w:pPr>
    </w:p>
    <w:p w14:paraId="71FAB35E" w14:textId="77777777" w:rsidR="002A63CA" w:rsidRDefault="002A63CA">
      <w:pPr>
        <w:spacing w:after="160" w:line="259" w:lineRule="auto"/>
        <w:jc w:val="left"/>
        <w:rPr>
          <w:b/>
        </w:rPr>
      </w:pPr>
    </w:p>
    <w:p w14:paraId="0645D018" w14:textId="02B0EF7D" w:rsidR="00E1334C" w:rsidRPr="00C9549D" w:rsidRDefault="00E1334C" w:rsidP="00E1334C">
      <w:pPr>
        <w:pBdr>
          <w:bottom w:val="single" w:sz="12" w:space="1" w:color="auto"/>
        </w:pBdr>
        <w:jc w:val="center"/>
        <w:rPr>
          <w:b/>
        </w:rPr>
      </w:pPr>
      <w:r w:rsidRPr="00C9549D">
        <w:rPr>
          <w:b/>
        </w:rPr>
        <w:lastRenderedPageBreak/>
        <w:t>VLADA REPUBLIKE HRVATSKE</w:t>
      </w:r>
    </w:p>
    <w:p w14:paraId="3F4CEA82" w14:textId="77777777" w:rsidR="00E1334C" w:rsidRPr="00C9549D" w:rsidRDefault="00E1334C" w:rsidP="00E1334C">
      <w:pPr>
        <w:jc w:val="center"/>
        <w:rPr>
          <w:b/>
        </w:rPr>
      </w:pPr>
    </w:p>
    <w:p w14:paraId="04CD4323" w14:textId="77777777" w:rsidR="00E1334C" w:rsidRPr="00C9549D" w:rsidRDefault="00E1334C" w:rsidP="00E1334C">
      <w:pPr>
        <w:suppressAutoHyphens/>
        <w:jc w:val="center"/>
        <w:rPr>
          <w:b/>
          <w:spacing w:val="-3"/>
        </w:rPr>
      </w:pPr>
    </w:p>
    <w:p w14:paraId="51955B3F" w14:textId="77777777" w:rsidR="00E1334C" w:rsidRPr="00C9549D" w:rsidRDefault="00E1334C" w:rsidP="00E1334C">
      <w:pPr>
        <w:suppressAutoHyphens/>
        <w:jc w:val="center"/>
        <w:rPr>
          <w:b/>
          <w:spacing w:val="-3"/>
        </w:rPr>
      </w:pPr>
    </w:p>
    <w:p w14:paraId="69DA6F4E" w14:textId="77777777" w:rsidR="00E1334C" w:rsidRPr="00C9549D" w:rsidRDefault="00E1334C" w:rsidP="00E1334C">
      <w:pPr>
        <w:suppressAutoHyphens/>
        <w:jc w:val="center"/>
        <w:rPr>
          <w:b/>
          <w:spacing w:val="-3"/>
        </w:rPr>
      </w:pPr>
    </w:p>
    <w:p w14:paraId="47519040" w14:textId="77777777" w:rsidR="0036590E" w:rsidRPr="00C9549D" w:rsidRDefault="0036590E" w:rsidP="00477F44"/>
    <w:p w14:paraId="2F989A0C" w14:textId="77777777" w:rsidR="005B73B2" w:rsidRDefault="005B73B2" w:rsidP="00477F44"/>
    <w:p w14:paraId="0A00D48A" w14:textId="77777777" w:rsidR="005B73B2" w:rsidRDefault="005B73B2" w:rsidP="00477F44"/>
    <w:p w14:paraId="0F47B2AA" w14:textId="77777777" w:rsidR="005B73B2" w:rsidRDefault="005B73B2" w:rsidP="00477F44"/>
    <w:p w14:paraId="5F1781CD" w14:textId="77777777" w:rsidR="005B73B2" w:rsidRPr="00C9549D" w:rsidRDefault="005B73B2" w:rsidP="00477F44"/>
    <w:p w14:paraId="71AB5052" w14:textId="77777777" w:rsidR="0036590E" w:rsidRPr="00C9549D" w:rsidRDefault="0036590E" w:rsidP="00477F44"/>
    <w:p w14:paraId="543542EA" w14:textId="77777777" w:rsidR="0036590E" w:rsidRPr="00C9549D" w:rsidRDefault="0036590E" w:rsidP="00477F44"/>
    <w:p w14:paraId="1A54DEDB" w14:textId="77777777" w:rsidR="0036590E" w:rsidRPr="00C9549D" w:rsidRDefault="0036590E" w:rsidP="00477F44"/>
    <w:p w14:paraId="44F634DA" w14:textId="77777777" w:rsidR="0036590E" w:rsidRPr="00C9549D" w:rsidRDefault="0036590E" w:rsidP="00477F44"/>
    <w:p w14:paraId="34565900" w14:textId="77777777" w:rsidR="0036590E" w:rsidRPr="00C9549D" w:rsidRDefault="0036590E" w:rsidP="00477F44"/>
    <w:p w14:paraId="6FA12B9D" w14:textId="31EC5AAE" w:rsidR="0036590E" w:rsidRPr="00C9549D" w:rsidRDefault="0036590E" w:rsidP="00E95E6F">
      <w:pPr>
        <w:jc w:val="center"/>
        <w:rPr>
          <w:b/>
          <w:bCs/>
        </w:rPr>
      </w:pPr>
      <w:r w:rsidRPr="00C9549D">
        <w:rPr>
          <w:b/>
          <w:bCs/>
        </w:rPr>
        <w:t>IZVJEŠĆE O UČINCIMA PROVEDBE</w:t>
      </w:r>
    </w:p>
    <w:p w14:paraId="15132557" w14:textId="32061FCE" w:rsidR="0036590E" w:rsidRPr="00C9549D" w:rsidRDefault="0036590E" w:rsidP="00E95E6F">
      <w:pPr>
        <w:jc w:val="center"/>
        <w:rPr>
          <w:b/>
          <w:bCs/>
        </w:rPr>
      </w:pPr>
      <w:r w:rsidRPr="00C9549D">
        <w:rPr>
          <w:b/>
          <w:bCs/>
        </w:rPr>
        <w:t xml:space="preserve">ZAKONA O OBNOVI ZGRADA OŠTEĆENIH POTRESOM NA PODRUČJU GRADA ZAGREBA, KRAPINSKO-ZAGORSKE ŽUPANIJE, ZAGREBAČKE ŽUPANIJE, SISAČKO-MOSLAVAČKE ŽUPANIJE I KARLOVAČKE ŽUPANIJE </w:t>
      </w:r>
      <w:r w:rsidR="00E3535C">
        <w:rPr>
          <w:b/>
          <w:bCs/>
        </w:rPr>
        <w:t>ZA 2023. GODINU</w:t>
      </w:r>
    </w:p>
    <w:p w14:paraId="1A8C4576" w14:textId="77777777" w:rsidR="0036590E" w:rsidRPr="00C9549D" w:rsidRDefault="0036590E" w:rsidP="00477F44"/>
    <w:p w14:paraId="125184F4" w14:textId="77777777" w:rsidR="0036590E" w:rsidRPr="00C9549D" w:rsidRDefault="0036590E" w:rsidP="00477F44"/>
    <w:p w14:paraId="289A888E" w14:textId="77777777" w:rsidR="0036590E" w:rsidRPr="00C9549D" w:rsidRDefault="0036590E" w:rsidP="00477F44"/>
    <w:p w14:paraId="10EAD660" w14:textId="77777777" w:rsidR="0036590E" w:rsidRPr="00C9549D" w:rsidRDefault="0036590E" w:rsidP="00477F44"/>
    <w:p w14:paraId="05D075BC" w14:textId="77777777" w:rsidR="0036590E" w:rsidRPr="00C9549D" w:rsidRDefault="0036590E" w:rsidP="00477F44"/>
    <w:p w14:paraId="2374F892" w14:textId="77777777" w:rsidR="00C9549D" w:rsidRPr="00C9549D" w:rsidRDefault="00C9549D" w:rsidP="00477F44"/>
    <w:p w14:paraId="55FB2E91" w14:textId="77777777" w:rsidR="00C9549D" w:rsidRPr="00C9549D" w:rsidRDefault="00C9549D" w:rsidP="00477F44"/>
    <w:p w14:paraId="67E90F02" w14:textId="77777777" w:rsidR="00C9549D" w:rsidRPr="00C9549D" w:rsidRDefault="00C9549D" w:rsidP="00477F44"/>
    <w:p w14:paraId="3E8DE872" w14:textId="77777777" w:rsidR="00C9549D" w:rsidRPr="00C9549D" w:rsidRDefault="00C9549D" w:rsidP="00477F44"/>
    <w:p w14:paraId="5E911C64" w14:textId="77777777" w:rsidR="00C9549D" w:rsidRPr="00C9549D" w:rsidRDefault="00C9549D" w:rsidP="00477F44"/>
    <w:p w14:paraId="5BB73B7B" w14:textId="77777777" w:rsidR="00C9549D" w:rsidRPr="00C9549D" w:rsidRDefault="00C9549D" w:rsidP="00477F44"/>
    <w:p w14:paraId="6B634147" w14:textId="77777777" w:rsidR="00C9549D" w:rsidRPr="00C9549D" w:rsidRDefault="00C9549D" w:rsidP="00477F44"/>
    <w:p w14:paraId="08263395" w14:textId="77777777" w:rsidR="00C9549D" w:rsidRPr="00C9549D" w:rsidRDefault="00C9549D" w:rsidP="00477F44"/>
    <w:p w14:paraId="50D47EBF" w14:textId="35DA5394" w:rsidR="00C9549D" w:rsidRPr="00C9549D" w:rsidRDefault="00C9549D" w:rsidP="00886A82">
      <w:pPr>
        <w:tabs>
          <w:tab w:val="left" w:pos="5008"/>
        </w:tabs>
      </w:pPr>
    </w:p>
    <w:p w14:paraId="7CB6F1B1" w14:textId="77777777" w:rsidR="00C9549D" w:rsidRPr="00C9549D" w:rsidRDefault="00C9549D" w:rsidP="00477F44"/>
    <w:p w14:paraId="1AF5FE86" w14:textId="77777777" w:rsidR="00C9549D" w:rsidRDefault="00C9549D" w:rsidP="00477F44"/>
    <w:p w14:paraId="12364D73" w14:textId="77777777" w:rsidR="001F5C66" w:rsidRDefault="001F5C66" w:rsidP="00477F44"/>
    <w:p w14:paraId="3E5BC6BB" w14:textId="77777777" w:rsidR="001F5C66" w:rsidRDefault="001F5C66" w:rsidP="00477F44"/>
    <w:p w14:paraId="12E9601F" w14:textId="77777777" w:rsidR="00FD4EBE" w:rsidRPr="00C9549D" w:rsidRDefault="00FD4EBE" w:rsidP="00FD4EBE">
      <w:pPr>
        <w:pBdr>
          <w:bottom w:val="single" w:sz="12" w:space="1" w:color="auto"/>
        </w:pBdr>
        <w:jc w:val="center"/>
        <w:rPr>
          <w:b/>
        </w:rPr>
      </w:pPr>
    </w:p>
    <w:p w14:paraId="1E194B06" w14:textId="77777777" w:rsidR="00FD4EBE" w:rsidRPr="00C9549D" w:rsidRDefault="00FD4EBE" w:rsidP="00FD4EBE">
      <w:pPr>
        <w:pBdr>
          <w:bottom w:val="single" w:sz="12" w:space="1" w:color="auto"/>
        </w:pBdr>
        <w:jc w:val="center"/>
        <w:rPr>
          <w:b/>
        </w:rPr>
      </w:pPr>
    </w:p>
    <w:p w14:paraId="4B5FDCC7" w14:textId="77777777" w:rsidR="00FD4EBE" w:rsidRPr="00C9549D" w:rsidRDefault="00FD4EBE" w:rsidP="00FD4EBE">
      <w:pPr>
        <w:pBdr>
          <w:bottom w:val="single" w:sz="12" w:space="1" w:color="auto"/>
        </w:pBdr>
        <w:jc w:val="center"/>
        <w:rPr>
          <w:b/>
        </w:rPr>
      </w:pPr>
    </w:p>
    <w:p w14:paraId="3929DC84" w14:textId="0A4E249D" w:rsidR="003A41E1" w:rsidRPr="00C9549D" w:rsidRDefault="00FD4EBE" w:rsidP="00FD4EBE">
      <w:pPr>
        <w:jc w:val="center"/>
        <w:rPr>
          <w:b/>
        </w:rPr>
      </w:pPr>
      <w:r w:rsidRPr="00C9549D">
        <w:rPr>
          <w:b/>
        </w:rPr>
        <w:t xml:space="preserve">Zagreb, </w:t>
      </w:r>
      <w:r w:rsidR="00720C10">
        <w:rPr>
          <w:b/>
        </w:rPr>
        <w:t>lip</w:t>
      </w:r>
      <w:r w:rsidR="000B09E5">
        <w:rPr>
          <w:b/>
        </w:rPr>
        <w:t>anj</w:t>
      </w:r>
      <w:r w:rsidR="00E3535C">
        <w:rPr>
          <w:b/>
        </w:rPr>
        <w:t xml:space="preserve"> </w:t>
      </w:r>
      <w:r w:rsidRPr="00C9549D">
        <w:rPr>
          <w:b/>
        </w:rPr>
        <w:t>202</w:t>
      </w:r>
      <w:r w:rsidR="000A132C">
        <w:rPr>
          <w:b/>
        </w:rPr>
        <w:t>4</w:t>
      </w:r>
      <w:r w:rsidRPr="00C9549D">
        <w:rPr>
          <w:b/>
        </w:rPr>
        <w:t>.</w:t>
      </w:r>
    </w:p>
    <w:sdt>
      <w:sdtPr>
        <w:rPr>
          <w:rFonts w:ascii="Times New Roman" w:eastAsia="Calibri" w:hAnsi="Times New Roman" w:cs="Times New Roman"/>
          <w:color w:val="auto"/>
          <w:sz w:val="24"/>
          <w:szCs w:val="24"/>
          <w:lang w:val="hr-HR"/>
        </w:rPr>
        <w:id w:val="-68808928"/>
        <w:docPartObj>
          <w:docPartGallery w:val="Table of Contents"/>
          <w:docPartUnique/>
        </w:docPartObj>
      </w:sdtPr>
      <w:sdtEndPr>
        <w:rPr>
          <w:b/>
          <w:bCs/>
        </w:rPr>
      </w:sdtEndPr>
      <w:sdtContent>
        <w:p w14:paraId="163BE5FA" w14:textId="3B67865B" w:rsidR="006E36F1" w:rsidRPr="00B97B4A" w:rsidRDefault="00B97B4A">
          <w:pPr>
            <w:pStyle w:val="TOCHeading"/>
            <w:rPr>
              <w:rFonts w:ascii="Times New Roman" w:hAnsi="Times New Roman" w:cs="Times New Roman"/>
              <w:color w:val="auto"/>
              <w:sz w:val="24"/>
              <w:szCs w:val="24"/>
              <w:lang w:val="hr-HR"/>
            </w:rPr>
          </w:pPr>
          <w:r>
            <w:rPr>
              <w:rFonts w:ascii="Times New Roman" w:hAnsi="Times New Roman" w:cs="Times New Roman"/>
              <w:color w:val="auto"/>
              <w:sz w:val="24"/>
              <w:szCs w:val="24"/>
              <w:lang w:val="hr-HR"/>
            </w:rPr>
            <w:t>SADRŽAJ</w:t>
          </w:r>
        </w:p>
        <w:p w14:paraId="3A0E4EC3" w14:textId="0733C7D8" w:rsidR="000868E7" w:rsidRDefault="006E36F1">
          <w:pPr>
            <w:pStyle w:val="TOC1"/>
            <w:rPr>
              <w:rFonts w:asciiTheme="minorHAnsi" w:eastAsiaTheme="minorEastAsia" w:hAnsiTheme="minorHAnsi" w:cstheme="minorBidi"/>
              <w:noProof/>
              <w:kern w:val="2"/>
              <w:sz w:val="22"/>
              <w:szCs w:val="22"/>
              <w:lang w:eastAsia="hr-HR"/>
              <w14:ligatures w14:val="standardContextual"/>
            </w:rPr>
          </w:pPr>
          <w:r>
            <w:fldChar w:fldCharType="begin"/>
          </w:r>
          <w:r>
            <w:instrText xml:space="preserve"> TOC \o "1-3" \h \z \u </w:instrText>
          </w:r>
          <w:r>
            <w:fldChar w:fldCharType="separate"/>
          </w:r>
          <w:hyperlink w:anchor="_Toc161040559" w:history="1">
            <w:r w:rsidR="000868E7" w:rsidRPr="00434936">
              <w:rPr>
                <w:rStyle w:val="Hyperlink"/>
                <w:noProof/>
              </w:rPr>
              <w:t>1.</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UVOD</w:t>
            </w:r>
            <w:r w:rsidR="000868E7">
              <w:rPr>
                <w:noProof/>
                <w:webHidden/>
              </w:rPr>
              <w:tab/>
            </w:r>
            <w:r w:rsidR="000868E7">
              <w:rPr>
                <w:noProof/>
                <w:webHidden/>
              </w:rPr>
              <w:fldChar w:fldCharType="begin"/>
            </w:r>
            <w:r w:rsidR="000868E7">
              <w:rPr>
                <w:noProof/>
                <w:webHidden/>
              </w:rPr>
              <w:instrText xml:space="preserve"> PAGEREF _Toc161040559 \h </w:instrText>
            </w:r>
            <w:r w:rsidR="000868E7">
              <w:rPr>
                <w:noProof/>
                <w:webHidden/>
              </w:rPr>
            </w:r>
            <w:r w:rsidR="000868E7">
              <w:rPr>
                <w:noProof/>
                <w:webHidden/>
              </w:rPr>
              <w:fldChar w:fldCharType="separate"/>
            </w:r>
            <w:r w:rsidR="000868E7">
              <w:rPr>
                <w:noProof/>
                <w:webHidden/>
              </w:rPr>
              <w:t>1</w:t>
            </w:r>
            <w:r w:rsidR="000868E7">
              <w:rPr>
                <w:noProof/>
                <w:webHidden/>
              </w:rPr>
              <w:fldChar w:fldCharType="end"/>
            </w:r>
          </w:hyperlink>
        </w:p>
        <w:p w14:paraId="51F06BAD" w14:textId="1F10D754" w:rsid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60" w:history="1">
            <w:r w:rsidR="000868E7" w:rsidRPr="00434936">
              <w:rPr>
                <w:rStyle w:val="Hyperlink"/>
                <w:noProof/>
              </w:rPr>
              <w:t>2.</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ZAKONODAVNI OKVIR</w:t>
            </w:r>
            <w:r w:rsidR="000868E7">
              <w:rPr>
                <w:noProof/>
                <w:webHidden/>
              </w:rPr>
              <w:tab/>
            </w:r>
            <w:r w:rsidR="000868E7">
              <w:rPr>
                <w:noProof/>
                <w:webHidden/>
              </w:rPr>
              <w:fldChar w:fldCharType="begin"/>
            </w:r>
            <w:r w:rsidR="000868E7">
              <w:rPr>
                <w:noProof/>
                <w:webHidden/>
              </w:rPr>
              <w:instrText xml:space="preserve"> PAGEREF _Toc161040560 \h </w:instrText>
            </w:r>
            <w:r w:rsidR="000868E7">
              <w:rPr>
                <w:noProof/>
                <w:webHidden/>
              </w:rPr>
            </w:r>
            <w:r w:rsidR="000868E7">
              <w:rPr>
                <w:noProof/>
                <w:webHidden/>
              </w:rPr>
              <w:fldChar w:fldCharType="separate"/>
            </w:r>
            <w:r w:rsidR="000868E7">
              <w:rPr>
                <w:noProof/>
                <w:webHidden/>
              </w:rPr>
              <w:t>3</w:t>
            </w:r>
            <w:r w:rsidR="000868E7">
              <w:rPr>
                <w:noProof/>
                <w:webHidden/>
              </w:rPr>
              <w:fldChar w:fldCharType="end"/>
            </w:r>
          </w:hyperlink>
        </w:p>
        <w:p w14:paraId="0F5FA7B7" w14:textId="09CAD98B" w:rsidR="000868E7" w:rsidRP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61" w:history="1">
            <w:r w:rsidR="000868E7" w:rsidRPr="000868E7">
              <w:rPr>
                <w:rStyle w:val="Hyperlink"/>
                <w:noProof/>
              </w:rPr>
              <w:t>3.</w:t>
            </w:r>
            <w:r w:rsidR="000868E7" w:rsidRPr="000868E7">
              <w:rPr>
                <w:rFonts w:asciiTheme="minorHAnsi" w:eastAsiaTheme="minorEastAsia" w:hAnsiTheme="minorHAnsi" w:cstheme="minorBidi"/>
                <w:noProof/>
                <w:kern w:val="2"/>
                <w:sz w:val="22"/>
                <w:szCs w:val="22"/>
                <w:lang w:eastAsia="hr-HR"/>
                <w14:ligatures w14:val="standardContextual"/>
              </w:rPr>
              <w:tab/>
            </w:r>
            <w:r w:rsidR="000868E7" w:rsidRPr="000868E7">
              <w:rPr>
                <w:rStyle w:val="Hyperlink"/>
                <w:noProof/>
              </w:rPr>
              <w:t>OBNOVA</w:t>
            </w:r>
            <w:r w:rsidR="000868E7" w:rsidRPr="000868E7">
              <w:rPr>
                <w:noProof/>
                <w:webHidden/>
              </w:rPr>
              <w:tab/>
            </w:r>
            <w:r w:rsidR="000868E7" w:rsidRPr="000868E7">
              <w:rPr>
                <w:noProof/>
                <w:webHidden/>
              </w:rPr>
              <w:fldChar w:fldCharType="begin"/>
            </w:r>
            <w:r w:rsidR="000868E7" w:rsidRPr="000868E7">
              <w:rPr>
                <w:noProof/>
                <w:webHidden/>
              </w:rPr>
              <w:instrText xml:space="preserve"> PAGEREF _Toc161040561 \h </w:instrText>
            </w:r>
            <w:r w:rsidR="000868E7" w:rsidRPr="000868E7">
              <w:rPr>
                <w:noProof/>
                <w:webHidden/>
              </w:rPr>
            </w:r>
            <w:r w:rsidR="000868E7" w:rsidRPr="000868E7">
              <w:rPr>
                <w:noProof/>
                <w:webHidden/>
              </w:rPr>
              <w:fldChar w:fldCharType="separate"/>
            </w:r>
            <w:r w:rsidR="000868E7" w:rsidRPr="000868E7">
              <w:rPr>
                <w:noProof/>
                <w:webHidden/>
              </w:rPr>
              <w:t>9</w:t>
            </w:r>
            <w:r w:rsidR="000868E7" w:rsidRPr="000868E7">
              <w:rPr>
                <w:noProof/>
                <w:webHidden/>
              </w:rPr>
              <w:fldChar w:fldCharType="end"/>
            </w:r>
          </w:hyperlink>
        </w:p>
        <w:p w14:paraId="63B1BF1E" w14:textId="4983F651" w:rsidR="000868E7" w:rsidRP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62" w:history="1">
            <w:r w:rsidR="000868E7" w:rsidRPr="000868E7">
              <w:rPr>
                <w:rStyle w:val="Hyperlink"/>
                <w:noProof/>
              </w:rPr>
              <w:t>3.1.</w:t>
            </w:r>
            <w:r w:rsidR="000868E7" w:rsidRPr="000868E7">
              <w:rPr>
                <w:rFonts w:asciiTheme="minorHAnsi" w:eastAsiaTheme="minorEastAsia" w:hAnsiTheme="minorHAnsi" w:cstheme="minorBidi"/>
                <w:noProof/>
                <w:kern w:val="2"/>
                <w:sz w:val="22"/>
                <w:szCs w:val="22"/>
                <w:lang w:eastAsia="hr-HR"/>
                <w14:ligatures w14:val="standardContextual"/>
              </w:rPr>
              <w:tab/>
            </w:r>
            <w:r w:rsidR="000868E7" w:rsidRPr="000868E7">
              <w:rPr>
                <w:rStyle w:val="Hyperlink"/>
                <w:noProof/>
              </w:rPr>
              <w:t>PROVEDBENI AKTI</w:t>
            </w:r>
            <w:r w:rsidR="000868E7" w:rsidRPr="000868E7">
              <w:rPr>
                <w:noProof/>
                <w:webHidden/>
              </w:rPr>
              <w:tab/>
            </w:r>
            <w:r w:rsidR="000868E7" w:rsidRPr="000868E7">
              <w:rPr>
                <w:noProof/>
                <w:webHidden/>
              </w:rPr>
              <w:fldChar w:fldCharType="begin"/>
            </w:r>
            <w:r w:rsidR="000868E7" w:rsidRPr="000868E7">
              <w:rPr>
                <w:noProof/>
                <w:webHidden/>
              </w:rPr>
              <w:instrText xml:space="preserve"> PAGEREF _Toc161040562 \h </w:instrText>
            </w:r>
            <w:r w:rsidR="000868E7" w:rsidRPr="000868E7">
              <w:rPr>
                <w:noProof/>
                <w:webHidden/>
              </w:rPr>
            </w:r>
            <w:r w:rsidR="000868E7" w:rsidRPr="000868E7">
              <w:rPr>
                <w:noProof/>
                <w:webHidden/>
              </w:rPr>
              <w:fldChar w:fldCharType="separate"/>
            </w:r>
            <w:r w:rsidR="000868E7" w:rsidRPr="000868E7">
              <w:rPr>
                <w:noProof/>
                <w:webHidden/>
              </w:rPr>
              <w:t>10</w:t>
            </w:r>
            <w:r w:rsidR="000868E7" w:rsidRPr="000868E7">
              <w:rPr>
                <w:noProof/>
                <w:webHidden/>
              </w:rPr>
              <w:fldChar w:fldCharType="end"/>
            </w:r>
          </w:hyperlink>
        </w:p>
        <w:p w14:paraId="34FDBF1C" w14:textId="2CCE34E8" w:rsidR="000868E7" w:rsidRP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63" w:history="1">
            <w:r w:rsidR="000868E7" w:rsidRPr="000868E7">
              <w:rPr>
                <w:rStyle w:val="Hyperlink"/>
                <w:noProof/>
              </w:rPr>
              <w:t>3.2.</w:t>
            </w:r>
            <w:r w:rsidR="000868E7" w:rsidRPr="000868E7">
              <w:rPr>
                <w:rFonts w:asciiTheme="minorHAnsi" w:eastAsiaTheme="minorEastAsia" w:hAnsiTheme="minorHAnsi" w:cstheme="minorBidi"/>
                <w:noProof/>
                <w:kern w:val="2"/>
                <w:sz w:val="22"/>
                <w:szCs w:val="22"/>
                <w:lang w:eastAsia="hr-HR"/>
                <w14:ligatures w14:val="standardContextual"/>
              </w:rPr>
              <w:tab/>
            </w:r>
            <w:r w:rsidR="000868E7" w:rsidRPr="000868E7">
              <w:rPr>
                <w:rStyle w:val="Hyperlink"/>
                <w:noProof/>
              </w:rPr>
              <w:t>PROVEDBA OBNOVE</w:t>
            </w:r>
            <w:r w:rsidR="000868E7" w:rsidRPr="000868E7">
              <w:rPr>
                <w:noProof/>
                <w:webHidden/>
              </w:rPr>
              <w:tab/>
            </w:r>
            <w:r w:rsidR="000868E7" w:rsidRPr="000868E7">
              <w:rPr>
                <w:noProof/>
                <w:webHidden/>
              </w:rPr>
              <w:fldChar w:fldCharType="begin"/>
            </w:r>
            <w:r w:rsidR="000868E7" w:rsidRPr="000868E7">
              <w:rPr>
                <w:noProof/>
                <w:webHidden/>
              </w:rPr>
              <w:instrText xml:space="preserve"> PAGEREF _Toc161040563 \h </w:instrText>
            </w:r>
            <w:r w:rsidR="000868E7" w:rsidRPr="000868E7">
              <w:rPr>
                <w:noProof/>
                <w:webHidden/>
              </w:rPr>
            </w:r>
            <w:r w:rsidR="000868E7" w:rsidRPr="000868E7">
              <w:rPr>
                <w:noProof/>
                <w:webHidden/>
              </w:rPr>
              <w:fldChar w:fldCharType="separate"/>
            </w:r>
            <w:r w:rsidR="000868E7" w:rsidRPr="000868E7">
              <w:rPr>
                <w:noProof/>
                <w:webHidden/>
              </w:rPr>
              <w:t>14</w:t>
            </w:r>
            <w:r w:rsidR="000868E7" w:rsidRPr="000868E7">
              <w:rPr>
                <w:noProof/>
                <w:webHidden/>
              </w:rPr>
              <w:fldChar w:fldCharType="end"/>
            </w:r>
          </w:hyperlink>
        </w:p>
        <w:p w14:paraId="05996D84" w14:textId="2B79775D" w:rsidR="000868E7" w:rsidRPr="000868E7" w:rsidRDefault="006C3919">
          <w:pPr>
            <w:pStyle w:val="TOC3"/>
            <w:rPr>
              <w:rFonts w:asciiTheme="minorHAnsi" w:eastAsiaTheme="minorEastAsia" w:hAnsiTheme="minorHAnsi" w:cstheme="minorBidi"/>
              <w:kern w:val="2"/>
              <w:sz w:val="22"/>
              <w:szCs w:val="22"/>
              <w:lang w:eastAsia="hr-HR"/>
              <w14:ligatures w14:val="standardContextual"/>
            </w:rPr>
          </w:pPr>
          <w:hyperlink w:anchor="_Toc161040564" w:history="1">
            <w:r w:rsidR="000868E7" w:rsidRPr="000868E7">
              <w:rPr>
                <w:rStyle w:val="Hyperlink"/>
              </w:rPr>
              <w:t>3.2.1.</w:t>
            </w:r>
            <w:r w:rsidR="000868E7" w:rsidRPr="000868E7">
              <w:rPr>
                <w:rFonts w:asciiTheme="minorHAnsi" w:eastAsiaTheme="minorEastAsia" w:hAnsiTheme="minorHAnsi" w:cstheme="minorBidi"/>
                <w:kern w:val="2"/>
                <w:sz w:val="22"/>
                <w:szCs w:val="22"/>
                <w:lang w:eastAsia="hr-HR"/>
                <w14:ligatures w14:val="standardContextual"/>
              </w:rPr>
              <w:tab/>
            </w:r>
            <w:r w:rsidR="000868E7" w:rsidRPr="000868E7">
              <w:rPr>
                <w:rStyle w:val="Hyperlink"/>
              </w:rPr>
              <w:t>Nekonstrukcijska obnova</w:t>
            </w:r>
            <w:r w:rsidR="000868E7" w:rsidRPr="000868E7">
              <w:rPr>
                <w:webHidden/>
              </w:rPr>
              <w:tab/>
            </w:r>
            <w:r w:rsidR="000868E7" w:rsidRPr="000868E7">
              <w:rPr>
                <w:webHidden/>
              </w:rPr>
              <w:fldChar w:fldCharType="begin"/>
            </w:r>
            <w:r w:rsidR="000868E7" w:rsidRPr="000868E7">
              <w:rPr>
                <w:webHidden/>
              </w:rPr>
              <w:instrText xml:space="preserve"> PAGEREF _Toc161040564 \h </w:instrText>
            </w:r>
            <w:r w:rsidR="000868E7" w:rsidRPr="000868E7">
              <w:rPr>
                <w:webHidden/>
              </w:rPr>
            </w:r>
            <w:r w:rsidR="000868E7" w:rsidRPr="000868E7">
              <w:rPr>
                <w:webHidden/>
              </w:rPr>
              <w:fldChar w:fldCharType="separate"/>
            </w:r>
            <w:r w:rsidR="000868E7" w:rsidRPr="000868E7">
              <w:rPr>
                <w:webHidden/>
              </w:rPr>
              <w:t>14</w:t>
            </w:r>
            <w:r w:rsidR="000868E7" w:rsidRPr="000868E7">
              <w:rPr>
                <w:webHidden/>
              </w:rPr>
              <w:fldChar w:fldCharType="end"/>
            </w:r>
          </w:hyperlink>
        </w:p>
        <w:p w14:paraId="6A0B1A59" w14:textId="3B25134C" w:rsidR="000868E7" w:rsidRPr="000868E7" w:rsidRDefault="006C3919">
          <w:pPr>
            <w:pStyle w:val="TOC3"/>
            <w:rPr>
              <w:rFonts w:asciiTheme="minorHAnsi" w:eastAsiaTheme="minorEastAsia" w:hAnsiTheme="minorHAnsi" w:cstheme="minorBidi"/>
              <w:kern w:val="2"/>
              <w:sz w:val="22"/>
              <w:szCs w:val="22"/>
              <w:lang w:eastAsia="hr-HR"/>
              <w14:ligatures w14:val="standardContextual"/>
            </w:rPr>
          </w:pPr>
          <w:hyperlink w:anchor="_Toc161040565" w:history="1">
            <w:r w:rsidR="000868E7" w:rsidRPr="000868E7">
              <w:rPr>
                <w:rStyle w:val="Hyperlink"/>
              </w:rPr>
              <w:t>3.2.2.</w:t>
            </w:r>
            <w:r w:rsidR="000868E7" w:rsidRPr="000868E7">
              <w:rPr>
                <w:rFonts w:asciiTheme="minorHAnsi" w:eastAsiaTheme="minorEastAsia" w:hAnsiTheme="minorHAnsi" w:cstheme="minorBidi"/>
                <w:kern w:val="2"/>
                <w:sz w:val="22"/>
                <w:szCs w:val="22"/>
                <w:lang w:eastAsia="hr-HR"/>
                <w14:ligatures w14:val="standardContextual"/>
              </w:rPr>
              <w:tab/>
            </w:r>
            <w:r w:rsidR="000868E7" w:rsidRPr="000868E7">
              <w:rPr>
                <w:rStyle w:val="Hyperlink"/>
              </w:rPr>
              <w:t>Konstrukcijska obnova</w:t>
            </w:r>
            <w:r w:rsidR="000868E7" w:rsidRPr="000868E7">
              <w:rPr>
                <w:webHidden/>
              </w:rPr>
              <w:tab/>
            </w:r>
            <w:r w:rsidR="000868E7" w:rsidRPr="000868E7">
              <w:rPr>
                <w:webHidden/>
              </w:rPr>
              <w:fldChar w:fldCharType="begin"/>
            </w:r>
            <w:r w:rsidR="000868E7" w:rsidRPr="000868E7">
              <w:rPr>
                <w:webHidden/>
              </w:rPr>
              <w:instrText xml:space="preserve"> PAGEREF _Toc161040565 \h </w:instrText>
            </w:r>
            <w:r w:rsidR="000868E7" w:rsidRPr="000868E7">
              <w:rPr>
                <w:webHidden/>
              </w:rPr>
            </w:r>
            <w:r w:rsidR="000868E7" w:rsidRPr="000868E7">
              <w:rPr>
                <w:webHidden/>
              </w:rPr>
              <w:fldChar w:fldCharType="separate"/>
            </w:r>
            <w:r w:rsidR="000868E7" w:rsidRPr="000868E7">
              <w:rPr>
                <w:webHidden/>
              </w:rPr>
              <w:t>17</w:t>
            </w:r>
            <w:r w:rsidR="000868E7" w:rsidRPr="000868E7">
              <w:rPr>
                <w:webHidden/>
              </w:rPr>
              <w:fldChar w:fldCharType="end"/>
            </w:r>
          </w:hyperlink>
        </w:p>
        <w:p w14:paraId="46FEA76A" w14:textId="1D0614EC" w:rsidR="000868E7" w:rsidRPr="000868E7" w:rsidRDefault="006C3919">
          <w:pPr>
            <w:pStyle w:val="TOC3"/>
            <w:rPr>
              <w:rFonts w:asciiTheme="minorHAnsi" w:eastAsiaTheme="minorEastAsia" w:hAnsiTheme="minorHAnsi" w:cstheme="minorBidi"/>
              <w:kern w:val="2"/>
              <w:sz w:val="22"/>
              <w:szCs w:val="22"/>
              <w:lang w:eastAsia="hr-HR"/>
              <w14:ligatures w14:val="standardContextual"/>
            </w:rPr>
          </w:pPr>
          <w:hyperlink w:anchor="_Toc161040566" w:history="1">
            <w:r w:rsidR="000868E7" w:rsidRPr="000868E7">
              <w:rPr>
                <w:rStyle w:val="Hyperlink"/>
              </w:rPr>
              <w:t>3.2.3.</w:t>
            </w:r>
            <w:r w:rsidR="000868E7" w:rsidRPr="000868E7">
              <w:rPr>
                <w:rFonts w:asciiTheme="minorHAnsi" w:eastAsiaTheme="minorEastAsia" w:hAnsiTheme="minorHAnsi" w:cstheme="minorBidi"/>
                <w:kern w:val="2"/>
                <w:sz w:val="22"/>
                <w:szCs w:val="22"/>
                <w:lang w:eastAsia="hr-HR"/>
                <w14:ligatures w14:val="standardContextual"/>
              </w:rPr>
              <w:tab/>
            </w:r>
            <w:r w:rsidR="000868E7" w:rsidRPr="000868E7">
              <w:rPr>
                <w:rStyle w:val="Hyperlink"/>
              </w:rPr>
              <w:t>Uklanjanje i gradnja obiteljskih kuća</w:t>
            </w:r>
            <w:r w:rsidR="000868E7" w:rsidRPr="000868E7">
              <w:rPr>
                <w:webHidden/>
              </w:rPr>
              <w:tab/>
            </w:r>
            <w:r w:rsidR="000868E7" w:rsidRPr="000868E7">
              <w:rPr>
                <w:webHidden/>
              </w:rPr>
              <w:fldChar w:fldCharType="begin"/>
            </w:r>
            <w:r w:rsidR="000868E7" w:rsidRPr="000868E7">
              <w:rPr>
                <w:webHidden/>
              </w:rPr>
              <w:instrText xml:space="preserve"> PAGEREF _Toc161040566 \h </w:instrText>
            </w:r>
            <w:r w:rsidR="000868E7" w:rsidRPr="000868E7">
              <w:rPr>
                <w:webHidden/>
              </w:rPr>
            </w:r>
            <w:r w:rsidR="000868E7" w:rsidRPr="000868E7">
              <w:rPr>
                <w:webHidden/>
              </w:rPr>
              <w:fldChar w:fldCharType="separate"/>
            </w:r>
            <w:r w:rsidR="000868E7" w:rsidRPr="000868E7">
              <w:rPr>
                <w:webHidden/>
              </w:rPr>
              <w:t>20</w:t>
            </w:r>
            <w:r w:rsidR="000868E7" w:rsidRPr="000868E7">
              <w:rPr>
                <w:webHidden/>
              </w:rPr>
              <w:fldChar w:fldCharType="end"/>
            </w:r>
          </w:hyperlink>
        </w:p>
        <w:p w14:paraId="32697A9B" w14:textId="7298764B" w:rsidR="000868E7" w:rsidRPr="000868E7" w:rsidRDefault="006C3919">
          <w:pPr>
            <w:pStyle w:val="TOC3"/>
            <w:rPr>
              <w:rFonts w:asciiTheme="minorHAnsi" w:eastAsiaTheme="minorEastAsia" w:hAnsiTheme="minorHAnsi" w:cstheme="minorBidi"/>
              <w:kern w:val="2"/>
              <w:sz w:val="22"/>
              <w:szCs w:val="22"/>
              <w:lang w:eastAsia="hr-HR"/>
              <w14:ligatures w14:val="standardContextual"/>
            </w:rPr>
          </w:pPr>
          <w:hyperlink w:anchor="_Toc161040567" w:history="1">
            <w:r w:rsidR="000868E7" w:rsidRPr="000868E7">
              <w:rPr>
                <w:rStyle w:val="Hyperlink"/>
              </w:rPr>
              <w:t>3.2.4.</w:t>
            </w:r>
            <w:r w:rsidR="000868E7" w:rsidRPr="000868E7">
              <w:rPr>
                <w:rFonts w:asciiTheme="minorHAnsi" w:eastAsiaTheme="minorEastAsia" w:hAnsiTheme="minorHAnsi" w:cstheme="minorBidi"/>
                <w:kern w:val="2"/>
                <w:sz w:val="22"/>
                <w:szCs w:val="22"/>
                <w:lang w:eastAsia="hr-HR"/>
                <w14:ligatures w14:val="standardContextual"/>
              </w:rPr>
              <w:tab/>
            </w:r>
            <w:r w:rsidR="000868E7" w:rsidRPr="000868E7">
              <w:rPr>
                <w:rStyle w:val="Hyperlink"/>
              </w:rPr>
              <w:t>Zbirni pregled novčanih pomoći za obnovu</w:t>
            </w:r>
            <w:r w:rsidR="000868E7" w:rsidRPr="000868E7">
              <w:rPr>
                <w:webHidden/>
              </w:rPr>
              <w:tab/>
            </w:r>
            <w:r w:rsidR="000868E7" w:rsidRPr="000868E7">
              <w:rPr>
                <w:webHidden/>
              </w:rPr>
              <w:fldChar w:fldCharType="begin"/>
            </w:r>
            <w:r w:rsidR="000868E7" w:rsidRPr="000868E7">
              <w:rPr>
                <w:webHidden/>
              </w:rPr>
              <w:instrText xml:space="preserve"> PAGEREF _Toc161040567 \h </w:instrText>
            </w:r>
            <w:r w:rsidR="000868E7" w:rsidRPr="000868E7">
              <w:rPr>
                <w:webHidden/>
              </w:rPr>
            </w:r>
            <w:r w:rsidR="000868E7" w:rsidRPr="000868E7">
              <w:rPr>
                <w:webHidden/>
              </w:rPr>
              <w:fldChar w:fldCharType="separate"/>
            </w:r>
            <w:r w:rsidR="000868E7" w:rsidRPr="000868E7">
              <w:rPr>
                <w:webHidden/>
              </w:rPr>
              <w:t>23</w:t>
            </w:r>
            <w:r w:rsidR="000868E7" w:rsidRPr="000868E7">
              <w:rPr>
                <w:webHidden/>
              </w:rPr>
              <w:fldChar w:fldCharType="end"/>
            </w:r>
          </w:hyperlink>
        </w:p>
        <w:p w14:paraId="139151C5" w14:textId="4058E810" w:rsidR="000868E7" w:rsidRPr="000868E7" w:rsidRDefault="006C3919">
          <w:pPr>
            <w:pStyle w:val="TOC3"/>
            <w:rPr>
              <w:rFonts w:asciiTheme="minorHAnsi" w:eastAsiaTheme="minorEastAsia" w:hAnsiTheme="minorHAnsi" w:cstheme="minorBidi"/>
              <w:kern w:val="2"/>
              <w:sz w:val="22"/>
              <w:szCs w:val="22"/>
              <w:lang w:eastAsia="hr-HR"/>
              <w14:ligatures w14:val="standardContextual"/>
            </w:rPr>
          </w:pPr>
          <w:hyperlink w:anchor="_Toc161040568" w:history="1">
            <w:r w:rsidR="000868E7" w:rsidRPr="000868E7">
              <w:rPr>
                <w:rStyle w:val="Hyperlink"/>
              </w:rPr>
              <w:t>3.2.5.</w:t>
            </w:r>
            <w:r w:rsidR="000868E7" w:rsidRPr="000868E7">
              <w:rPr>
                <w:rFonts w:asciiTheme="minorHAnsi" w:eastAsiaTheme="minorEastAsia" w:hAnsiTheme="minorHAnsi" w:cstheme="minorBidi"/>
                <w:kern w:val="2"/>
                <w:sz w:val="22"/>
                <w:szCs w:val="22"/>
                <w:lang w:eastAsia="hr-HR"/>
                <w14:ligatures w14:val="standardContextual"/>
              </w:rPr>
              <w:tab/>
            </w:r>
            <w:r w:rsidR="000868E7" w:rsidRPr="000868E7">
              <w:rPr>
                <w:rStyle w:val="Hyperlink"/>
              </w:rPr>
              <w:t>Postupci nabave</w:t>
            </w:r>
            <w:r w:rsidR="000868E7" w:rsidRPr="000868E7">
              <w:rPr>
                <w:webHidden/>
              </w:rPr>
              <w:tab/>
            </w:r>
            <w:r w:rsidR="000868E7" w:rsidRPr="000868E7">
              <w:rPr>
                <w:webHidden/>
              </w:rPr>
              <w:fldChar w:fldCharType="begin"/>
            </w:r>
            <w:r w:rsidR="000868E7" w:rsidRPr="000868E7">
              <w:rPr>
                <w:webHidden/>
              </w:rPr>
              <w:instrText xml:space="preserve"> PAGEREF _Toc161040568 \h </w:instrText>
            </w:r>
            <w:r w:rsidR="000868E7" w:rsidRPr="000868E7">
              <w:rPr>
                <w:webHidden/>
              </w:rPr>
            </w:r>
            <w:r w:rsidR="000868E7" w:rsidRPr="000868E7">
              <w:rPr>
                <w:webHidden/>
              </w:rPr>
              <w:fldChar w:fldCharType="separate"/>
            </w:r>
            <w:r w:rsidR="000868E7" w:rsidRPr="000868E7">
              <w:rPr>
                <w:webHidden/>
              </w:rPr>
              <w:t>26</w:t>
            </w:r>
            <w:r w:rsidR="000868E7" w:rsidRPr="000868E7">
              <w:rPr>
                <w:webHidden/>
              </w:rPr>
              <w:fldChar w:fldCharType="end"/>
            </w:r>
          </w:hyperlink>
        </w:p>
        <w:p w14:paraId="48FAB4A7" w14:textId="66FA301E" w:rsid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69" w:history="1">
            <w:r w:rsidR="000868E7" w:rsidRPr="00434936">
              <w:rPr>
                <w:rStyle w:val="Hyperlink"/>
                <w:noProof/>
              </w:rPr>
              <w:t>4.</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STAMBENO ZBRINJAVANJE</w:t>
            </w:r>
            <w:r w:rsidR="000868E7">
              <w:rPr>
                <w:noProof/>
                <w:webHidden/>
              </w:rPr>
              <w:tab/>
            </w:r>
            <w:r w:rsidR="000868E7">
              <w:rPr>
                <w:noProof/>
                <w:webHidden/>
              </w:rPr>
              <w:fldChar w:fldCharType="begin"/>
            </w:r>
            <w:r w:rsidR="000868E7">
              <w:rPr>
                <w:noProof/>
                <w:webHidden/>
              </w:rPr>
              <w:instrText xml:space="preserve"> PAGEREF _Toc161040569 \h </w:instrText>
            </w:r>
            <w:r w:rsidR="000868E7">
              <w:rPr>
                <w:noProof/>
                <w:webHidden/>
              </w:rPr>
            </w:r>
            <w:r w:rsidR="000868E7">
              <w:rPr>
                <w:noProof/>
                <w:webHidden/>
              </w:rPr>
              <w:fldChar w:fldCharType="separate"/>
            </w:r>
            <w:r w:rsidR="000868E7">
              <w:rPr>
                <w:noProof/>
                <w:webHidden/>
              </w:rPr>
              <w:t>29</w:t>
            </w:r>
            <w:r w:rsidR="000868E7">
              <w:rPr>
                <w:noProof/>
                <w:webHidden/>
              </w:rPr>
              <w:fldChar w:fldCharType="end"/>
            </w:r>
          </w:hyperlink>
        </w:p>
        <w:p w14:paraId="54F14C73" w14:textId="6CD0F5BD"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0" w:history="1">
            <w:r w:rsidR="000868E7" w:rsidRPr="00434936">
              <w:rPr>
                <w:rStyle w:val="Hyperlink"/>
                <w:noProof/>
              </w:rPr>
              <w:t>4.1.</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Stambeno zbrinjavanje sredstvima OPKK 2014. – 2020.</w:t>
            </w:r>
            <w:r w:rsidR="000868E7">
              <w:rPr>
                <w:noProof/>
                <w:webHidden/>
              </w:rPr>
              <w:tab/>
            </w:r>
            <w:r w:rsidR="000868E7">
              <w:rPr>
                <w:noProof/>
                <w:webHidden/>
              </w:rPr>
              <w:fldChar w:fldCharType="begin"/>
            </w:r>
            <w:r w:rsidR="000868E7">
              <w:rPr>
                <w:noProof/>
                <w:webHidden/>
              </w:rPr>
              <w:instrText xml:space="preserve"> PAGEREF _Toc161040570 \h </w:instrText>
            </w:r>
            <w:r w:rsidR="000868E7">
              <w:rPr>
                <w:noProof/>
                <w:webHidden/>
              </w:rPr>
            </w:r>
            <w:r w:rsidR="000868E7">
              <w:rPr>
                <w:noProof/>
                <w:webHidden/>
              </w:rPr>
              <w:fldChar w:fldCharType="separate"/>
            </w:r>
            <w:r w:rsidR="000868E7">
              <w:rPr>
                <w:noProof/>
                <w:webHidden/>
              </w:rPr>
              <w:t>30</w:t>
            </w:r>
            <w:r w:rsidR="000868E7">
              <w:rPr>
                <w:noProof/>
                <w:webHidden/>
              </w:rPr>
              <w:fldChar w:fldCharType="end"/>
            </w:r>
          </w:hyperlink>
        </w:p>
        <w:p w14:paraId="480EB331" w14:textId="4BA8BA6C"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1" w:history="1">
            <w:r w:rsidR="000868E7" w:rsidRPr="00434936">
              <w:rPr>
                <w:rStyle w:val="Hyperlink"/>
                <w:noProof/>
              </w:rPr>
              <w:t>4.2.</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Stambeno zbrinjavanje putem APN-a</w:t>
            </w:r>
            <w:r w:rsidR="000868E7">
              <w:rPr>
                <w:noProof/>
                <w:webHidden/>
              </w:rPr>
              <w:tab/>
            </w:r>
            <w:r w:rsidR="000868E7">
              <w:rPr>
                <w:noProof/>
                <w:webHidden/>
              </w:rPr>
              <w:fldChar w:fldCharType="begin"/>
            </w:r>
            <w:r w:rsidR="000868E7">
              <w:rPr>
                <w:noProof/>
                <w:webHidden/>
              </w:rPr>
              <w:instrText xml:space="preserve"> PAGEREF _Toc161040571 \h </w:instrText>
            </w:r>
            <w:r w:rsidR="000868E7">
              <w:rPr>
                <w:noProof/>
                <w:webHidden/>
              </w:rPr>
            </w:r>
            <w:r w:rsidR="000868E7">
              <w:rPr>
                <w:noProof/>
                <w:webHidden/>
              </w:rPr>
              <w:fldChar w:fldCharType="separate"/>
            </w:r>
            <w:r w:rsidR="000868E7">
              <w:rPr>
                <w:noProof/>
                <w:webHidden/>
              </w:rPr>
              <w:t>32</w:t>
            </w:r>
            <w:r w:rsidR="000868E7">
              <w:rPr>
                <w:noProof/>
                <w:webHidden/>
              </w:rPr>
              <w:fldChar w:fldCharType="end"/>
            </w:r>
          </w:hyperlink>
        </w:p>
        <w:p w14:paraId="76FD295A" w14:textId="31C12E42"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2" w:history="1">
            <w:r w:rsidR="000868E7" w:rsidRPr="00434936">
              <w:rPr>
                <w:rStyle w:val="Hyperlink"/>
                <w:noProof/>
              </w:rPr>
              <w:t>4.3.</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Sta</w:t>
            </w:r>
            <w:r w:rsidR="000868E7" w:rsidRPr="00434936">
              <w:rPr>
                <w:rStyle w:val="Hyperlink"/>
                <w:bCs/>
                <w:noProof/>
              </w:rPr>
              <w:t>mb</w:t>
            </w:r>
            <w:r w:rsidR="000868E7" w:rsidRPr="00434936">
              <w:rPr>
                <w:rStyle w:val="Hyperlink"/>
                <w:noProof/>
              </w:rPr>
              <w:t>eno zbrinjavanje u nekretninama u vlasništvu RH</w:t>
            </w:r>
            <w:r w:rsidR="000868E7">
              <w:rPr>
                <w:noProof/>
                <w:webHidden/>
              </w:rPr>
              <w:tab/>
            </w:r>
            <w:r w:rsidR="000868E7">
              <w:rPr>
                <w:noProof/>
                <w:webHidden/>
              </w:rPr>
              <w:fldChar w:fldCharType="begin"/>
            </w:r>
            <w:r w:rsidR="000868E7">
              <w:rPr>
                <w:noProof/>
                <w:webHidden/>
              </w:rPr>
              <w:instrText xml:space="preserve"> PAGEREF _Toc161040572 \h </w:instrText>
            </w:r>
            <w:r w:rsidR="000868E7">
              <w:rPr>
                <w:noProof/>
                <w:webHidden/>
              </w:rPr>
            </w:r>
            <w:r w:rsidR="000868E7">
              <w:rPr>
                <w:noProof/>
                <w:webHidden/>
              </w:rPr>
              <w:fldChar w:fldCharType="separate"/>
            </w:r>
            <w:r w:rsidR="000868E7">
              <w:rPr>
                <w:noProof/>
                <w:webHidden/>
              </w:rPr>
              <w:t>33</w:t>
            </w:r>
            <w:r w:rsidR="000868E7">
              <w:rPr>
                <w:noProof/>
                <w:webHidden/>
              </w:rPr>
              <w:fldChar w:fldCharType="end"/>
            </w:r>
          </w:hyperlink>
        </w:p>
        <w:p w14:paraId="692857A1" w14:textId="289AEA73"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3" w:history="1">
            <w:r w:rsidR="000868E7" w:rsidRPr="00434936">
              <w:rPr>
                <w:rStyle w:val="Hyperlink"/>
                <w:noProof/>
              </w:rPr>
              <w:t>4.4.</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Financiranje najamnina zamjenskog smještaja i režijskih troškova</w:t>
            </w:r>
            <w:r w:rsidR="000868E7">
              <w:rPr>
                <w:noProof/>
                <w:webHidden/>
              </w:rPr>
              <w:tab/>
            </w:r>
            <w:r w:rsidR="000868E7">
              <w:rPr>
                <w:noProof/>
                <w:webHidden/>
              </w:rPr>
              <w:fldChar w:fldCharType="begin"/>
            </w:r>
            <w:r w:rsidR="000868E7">
              <w:rPr>
                <w:noProof/>
                <w:webHidden/>
              </w:rPr>
              <w:instrText xml:space="preserve"> PAGEREF _Toc161040573 \h </w:instrText>
            </w:r>
            <w:r w:rsidR="000868E7">
              <w:rPr>
                <w:noProof/>
                <w:webHidden/>
              </w:rPr>
            </w:r>
            <w:r w:rsidR="000868E7">
              <w:rPr>
                <w:noProof/>
                <w:webHidden/>
              </w:rPr>
              <w:fldChar w:fldCharType="separate"/>
            </w:r>
            <w:r w:rsidR="000868E7">
              <w:rPr>
                <w:noProof/>
                <w:webHidden/>
              </w:rPr>
              <w:t>34</w:t>
            </w:r>
            <w:r w:rsidR="000868E7">
              <w:rPr>
                <w:noProof/>
                <w:webHidden/>
              </w:rPr>
              <w:fldChar w:fldCharType="end"/>
            </w:r>
          </w:hyperlink>
        </w:p>
        <w:p w14:paraId="4BB6B818" w14:textId="6F1C49A9"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4" w:history="1">
            <w:r w:rsidR="000868E7" w:rsidRPr="00434936">
              <w:rPr>
                <w:rStyle w:val="Hyperlink"/>
                <w:noProof/>
              </w:rPr>
              <w:t>4.5.</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Nabava mobilnih visoko energetski učinkovitih kuća</w:t>
            </w:r>
            <w:r w:rsidR="000868E7">
              <w:rPr>
                <w:noProof/>
                <w:webHidden/>
              </w:rPr>
              <w:tab/>
            </w:r>
            <w:r w:rsidR="000868E7">
              <w:rPr>
                <w:noProof/>
                <w:webHidden/>
              </w:rPr>
              <w:fldChar w:fldCharType="begin"/>
            </w:r>
            <w:r w:rsidR="000868E7">
              <w:rPr>
                <w:noProof/>
                <w:webHidden/>
              </w:rPr>
              <w:instrText xml:space="preserve"> PAGEREF _Toc161040574 \h </w:instrText>
            </w:r>
            <w:r w:rsidR="000868E7">
              <w:rPr>
                <w:noProof/>
                <w:webHidden/>
              </w:rPr>
            </w:r>
            <w:r w:rsidR="000868E7">
              <w:rPr>
                <w:noProof/>
                <w:webHidden/>
              </w:rPr>
              <w:fldChar w:fldCharType="separate"/>
            </w:r>
            <w:r w:rsidR="000868E7">
              <w:rPr>
                <w:noProof/>
                <w:webHidden/>
              </w:rPr>
              <w:t>34</w:t>
            </w:r>
            <w:r w:rsidR="000868E7">
              <w:rPr>
                <w:noProof/>
                <w:webHidden/>
              </w:rPr>
              <w:fldChar w:fldCharType="end"/>
            </w:r>
          </w:hyperlink>
        </w:p>
        <w:p w14:paraId="3BC14D2E" w14:textId="26F24FB4"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5" w:history="1">
            <w:r w:rsidR="000868E7" w:rsidRPr="00434936">
              <w:rPr>
                <w:rStyle w:val="Hyperlink"/>
                <w:noProof/>
              </w:rPr>
              <w:t>4.6.</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Gradnja drvenih kuća u svrhu proširenja kapaciteta domova za starije</w:t>
            </w:r>
            <w:r w:rsidR="000868E7">
              <w:rPr>
                <w:noProof/>
                <w:webHidden/>
              </w:rPr>
              <w:tab/>
            </w:r>
            <w:r w:rsidR="000868E7">
              <w:rPr>
                <w:noProof/>
                <w:webHidden/>
              </w:rPr>
              <w:fldChar w:fldCharType="begin"/>
            </w:r>
            <w:r w:rsidR="000868E7">
              <w:rPr>
                <w:noProof/>
                <w:webHidden/>
              </w:rPr>
              <w:instrText xml:space="preserve"> PAGEREF _Toc161040575 \h </w:instrText>
            </w:r>
            <w:r w:rsidR="000868E7">
              <w:rPr>
                <w:noProof/>
                <w:webHidden/>
              </w:rPr>
            </w:r>
            <w:r w:rsidR="000868E7">
              <w:rPr>
                <w:noProof/>
                <w:webHidden/>
              </w:rPr>
              <w:fldChar w:fldCharType="separate"/>
            </w:r>
            <w:r w:rsidR="000868E7">
              <w:rPr>
                <w:noProof/>
                <w:webHidden/>
              </w:rPr>
              <w:t>35</w:t>
            </w:r>
            <w:r w:rsidR="000868E7">
              <w:rPr>
                <w:noProof/>
                <w:webHidden/>
              </w:rPr>
              <w:fldChar w:fldCharType="end"/>
            </w:r>
          </w:hyperlink>
        </w:p>
        <w:p w14:paraId="01BABD19" w14:textId="4F8EDFA9"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6" w:history="1">
            <w:r w:rsidR="000868E7" w:rsidRPr="00434936">
              <w:rPr>
                <w:rStyle w:val="Hyperlink"/>
                <w:noProof/>
              </w:rPr>
              <w:t>4.7.</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Stambeno zbrinjavanje – stanje na dan 31. prosinca 2023.</w:t>
            </w:r>
            <w:r w:rsidR="000868E7">
              <w:rPr>
                <w:noProof/>
                <w:webHidden/>
              </w:rPr>
              <w:tab/>
            </w:r>
            <w:r w:rsidR="000868E7">
              <w:rPr>
                <w:noProof/>
                <w:webHidden/>
              </w:rPr>
              <w:fldChar w:fldCharType="begin"/>
            </w:r>
            <w:r w:rsidR="000868E7">
              <w:rPr>
                <w:noProof/>
                <w:webHidden/>
              </w:rPr>
              <w:instrText xml:space="preserve"> PAGEREF _Toc161040576 \h </w:instrText>
            </w:r>
            <w:r w:rsidR="000868E7">
              <w:rPr>
                <w:noProof/>
                <w:webHidden/>
              </w:rPr>
            </w:r>
            <w:r w:rsidR="000868E7">
              <w:rPr>
                <w:noProof/>
                <w:webHidden/>
              </w:rPr>
              <w:fldChar w:fldCharType="separate"/>
            </w:r>
            <w:r w:rsidR="000868E7">
              <w:rPr>
                <w:noProof/>
                <w:webHidden/>
              </w:rPr>
              <w:t>35</w:t>
            </w:r>
            <w:r w:rsidR="000868E7">
              <w:rPr>
                <w:noProof/>
                <w:webHidden/>
              </w:rPr>
              <w:fldChar w:fldCharType="end"/>
            </w:r>
          </w:hyperlink>
        </w:p>
        <w:p w14:paraId="73F52452" w14:textId="2F330848" w:rsid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77" w:history="1">
            <w:r w:rsidR="000868E7" w:rsidRPr="00434936">
              <w:rPr>
                <w:rStyle w:val="Hyperlink"/>
                <w:noProof/>
              </w:rPr>
              <w:t>5.</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FINANCIRANJE PROVEDBE ZAKONA</w:t>
            </w:r>
            <w:r w:rsidR="000868E7">
              <w:rPr>
                <w:noProof/>
                <w:webHidden/>
              </w:rPr>
              <w:tab/>
            </w:r>
            <w:r w:rsidR="000868E7">
              <w:rPr>
                <w:noProof/>
                <w:webHidden/>
              </w:rPr>
              <w:fldChar w:fldCharType="begin"/>
            </w:r>
            <w:r w:rsidR="000868E7">
              <w:rPr>
                <w:noProof/>
                <w:webHidden/>
              </w:rPr>
              <w:instrText xml:space="preserve"> PAGEREF _Toc161040577 \h </w:instrText>
            </w:r>
            <w:r w:rsidR="000868E7">
              <w:rPr>
                <w:noProof/>
                <w:webHidden/>
              </w:rPr>
            </w:r>
            <w:r w:rsidR="000868E7">
              <w:rPr>
                <w:noProof/>
                <w:webHidden/>
              </w:rPr>
              <w:fldChar w:fldCharType="separate"/>
            </w:r>
            <w:r w:rsidR="000868E7">
              <w:rPr>
                <w:noProof/>
                <w:webHidden/>
              </w:rPr>
              <w:t>36</w:t>
            </w:r>
            <w:r w:rsidR="000868E7">
              <w:rPr>
                <w:noProof/>
                <w:webHidden/>
              </w:rPr>
              <w:fldChar w:fldCharType="end"/>
            </w:r>
          </w:hyperlink>
        </w:p>
        <w:p w14:paraId="1E7F5F7F" w14:textId="48742F84" w:rsid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78" w:history="1">
            <w:r w:rsidR="000868E7" w:rsidRPr="00434936">
              <w:rPr>
                <w:rStyle w:val="Hyperlink"/>
                <w:noProof/>
              </w:rPr>
              <w:t>6.</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EUROPSKI I MEĐUNARODNI IZVORI FINANCIRANJA</w:t>
            </w:r>
            <w:r w:rsidR="000868E7">
              <w:rPr>
                <w:noProof/>
                <w:webHidden/>
              </w:rPr>
              <w:tab/>
            </w:r>
            <w:r w:rsidR="000868E7">
              <w:rPr>
                <w:noProof/>
                <w:webHidden/>
              </w:rPr>
              <w:fldChar w:fldCharType="begin"/>
            </w:r>
            <w:r w:rsidR="000868E7">
              <w:rPr>
                <w:noProof/>
                <w:webHidden/>
              </w:rPr>
              <w:instrText xml:space="preserve"> PAGEREF _Toc161040578 \h </w:instrText>
            </w:r>
            <w:r w:rsidR="000868E7">
              <w:rPr>
                <w:noProof/>
                <w:webHidden/>
              </w:rPr>
            </w:r>
            <w:r w:rsidR="000868E7">
              <w:rPr>
                <w:noProof/>
                <w:webHidden/>
              </w:rPr>
              <w:fldChar w:fldCharType="separate"/>
            </w:r>
            <w:r w:rsidR="000868E7">
              <w:rPr>
                <w:noProof/>
                <w:webHidden/>
              </w:rPr>
              <w:t>38</w:t>
            </w:r>
            <w:r w:rsidR="000868E7">
              <w:rPr>
                <w:noProof/>
                <w:webHidden/>
              </w:rPr>
              <w:fldChar w:fldCharType="end"/>
            </w:r>
          </w:hyperlink>
        </w:p>
        <w:p w14:paraId="177F3F5D" w14:textId="379FE068"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79" w:history="1">
            <w:r w:rsidR="000868E7" w:rsidRPr="00434936">
              <w:rPr>
                <w:rStyle w:val="Hyperlink"/>
                <w:noProof/>
              </w:rPr>
              <w:t>6.1.</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Operativni program Konkurentnost i kohezija 2014.-2020.</w:t>
            </w:r>
            <w:r w:rsidR="000868E7">
              <w:rPr>
                <w:noProof/>
                <w:webHidden/>
              </w:rPr>
              <w:tab/>
            </w:r>
            <w:r w:rsidR="000868E7">
              <w:rPr>
                <w:noProof/>
                <w:webHidden/>
              </w:rPr>
              <w:fldChar w:fldCharType="begin"/>
            </w:r>
            <w:r w:rsidR="000868E7">
              <w:rPr>
                <w:noProof/>
                <w:webHidden/>
              </w:rPr>
              <w:instrText xml:space="preserve"> PAGEREF _Toc161040579 \h </w:instrText>
            </w:r>
            <w:r w:rsidR="000868E7">
              <w:rPr>
                <w:noProof/>
                <w:webHidden/>
              </w:rPr>
            </w:r>
            <w:r w:rsidR="000868E7">
              <w:rPr>
                <w:noProof/>
                <w:webHidden/>
              </w:rPr>
              <w:fldChar w:fldCharType="separate"/>
            </w:r>
            <w:r w:rsidR="000868E7">
              <w:rPr>
                <w:noProof/>
                <w:webHidden/>
              </w:rPr>
              <w:t>38</w:t>
            </w:r>
            <w:r w:rsidR="000868E7">
              <w:rPr>
                <w:noProof/>
                <w:webHidden/>
              </w:rPr>
              <w:fldChar w:fldCharType="end"/>
            </w:r>
          </w:hyperlink>
        </w:p>
        <w:p w14:paraId="07AE9D6B" w14:textId="4140945C"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80" w:history="1">
            <w:r w:rsidR="000868E7" w:rsidRPr="00434936">
              <w:rPr>
                <w:rStyle w:val="Hyperlink"/>
                <w:noProof/>
              </w:rPr>
              <w:t>6.2.</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Fond solidarnosti Europske unije (FSEU)</w:t>
            </w:r>
            <w:r w:rsidR="000868E7">
              <w:rPr>
                <w:noProof/>
                <w:webHidden/>
              </w:rPr>
              <w:tab/>
            </w:r>
            <w:r w:rsidR="000868E7">
              <w:rPr>
                <w:noProof/>
                <w:webHidden/>
              </w:rPr>
              <w:fldChar w:fldCharType="begin"/>
            </w:r>
            <w:r w:rsidR="000868E7">
              <w:rPr>
                <w:noProof/>
                <w:webHidden/>
              </w:rPr>
              <w:instrText xml:space="preserve"> PAGEREF _Toc161040580 \h </w:instrText>
            </w:r>
            <w:r w:rsidR="000868E7">
              <w:rPr>
                <w:noProof/>
                <w:webHidden/>
              </w:rPr>
            </w:r>
            <w:r w:rsidR="000868E7">
              <w:rPr>
                <w:noProof/>
                <w:webHidden/>
              </w:rPr>
              <w:fldChar w:fldCharType="separate"/>
            </w:r>
            <w:r w:rsidR="000868E7">
              <w:rPr>
                <w:noProof/>
                <w:webHidden/>
              </w:rPr>
              <w:t>38</w:t>
            </w:r>
            <w:r w:rsidR="000868E7">
              <w:rPr>
                <w:noProof/>
                <w:webHidden/>
              </w:rPr>
              <w:fldChar w:fldCharType="end"/>
            </w:r>
          </w:hyperlink>
        </w:p>
        <w:p w14:paraId="50D9C20D" w14:textId="1FF4DF9C"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81" w:history="1">
            <w:r w:rsidR="000868E7" w:rsidRPr="00434936">
              <w:rPr>
                <w:rStyle w:val="Hyperlink"/>
                <w:noProof/>
              </w:rPr>
              <w:t>6.3.</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Nacionalni program oporavka i otpornosti (NPOO)</w:t>
            </w:r>
            <w:r w:rsidR="000868E7">
              <w:rPr>
                <w:noProof/>
                <w:webHidden/>
              </w:rPr>
              <w:tab/>
            </w:r>
            <w:r w:rsidR="000868E7">
              <w:rPr>
                <w:noProof/>
                <w:webHidden/>
              </w:rPr>
              <w:fldChar w:fldCharType="begin"/>
            </w:r>
            <w:r w:rsidR="000868E7">
              <w:rPr>
                <w:noProof/>
                <w:webHidden/>
              </w:rPr>
              <w:instrText xml:space="preserve"> PAGEREF _Toc161040581 \h </w:instrText>
            </w:r>
            <w:r w:rsidR="000868E7">
              <w:rPr>
                <w:noProof/>
                <w:webHidden/>
              </w:rPr>
            </w:r>
            <w:r w:rsidR="000868E7">
              <w:rPr>
                <w:noProof/>
                <w:webHidden/>
              </w:rPr>
              <w:fldChar w:fldCharType="separate"/>
            </w:r>
            <w:r w:rsidR="000868E7">
              <w:rPr>
                <w:noProof/>
                <w:webHidden/>
              </w:rPr>
              <w:t>42</w:t>
            </w:r>
            <w:r w:rsidR="000868E7">
              <w:rPr>
                <w:noProof/>
                <w:webHidden/>
              </w:rPr>
              <w:fldChar w:fldCharType="end"/>
            </w:r>
          </w:hyperlink>
        </w:p>
        <w:p w14:paraId="4CF63EB2" w14:textId="17C5934C" w:rsidR="000868E7" w:rsidRDefault="006C3919">
          <w:pPr>
            <w:pStyle w:val="TOC2"/>
            <w:rPr>
              <w:rFonts w:asciiTheme="minorHAnsi" w:eastAsiaTheme="minorEastAsia" w:hAnsiTheme="minorHAnsi" w:cstheme="minorBidi"/>
              <w:noProof/>
              <w:kern w:val="2"/>
              <w:sz w:val="22"/>
              <w:szCs w:val="22"/>
              <w:lang w:eastAsia="hr-HR"/>
              <w14:ligatures w14:val="standardContextual"/>
            </w:rPr>
          </w:pPr>
          <w:hyperlink w:anchor="_Toc161040582" w:history="1">
            <w:r w:rsidR="000868E7" w:rsidRPr="00434936">
              <w:rPr>
                <w:rStyle w:val="Hyperlink"/>
                <w:noProof/>
              </w:rPr>
              <w:t>6.4.</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Zajam Svjetske banke</w:t>
            </w:r>
            <w:r w:rsidR="000868E7">
              <w:rPr>
                <w:noProof/>
                <w:webHidden/>
              </w:rPr>
              <w:tab/>
            </w:r>
            <w:r w:rsidR="000868E7">
              <w:rPr>
                <w:noProof/>
                <w:webHidden/>
              </w:rPr>
              <w:fldChar w:fldCharType="begin"/>
            </w:r>
            <w:r w:rsidR="000868E7">
              <w:rPr>
                <w:noProof/>
                <w:webHidden/>
              </w:rPr>
              <w:instrText xml:space="preserve"> PAGEREF _Toc161040582 \h </w:instrText>
            </w:r>
            <w:r w:rsidR="000868E7">
              <w:rPr>
                <w:noProof/>
                <w:webHidden/>
              </w:rPr>
            </w:r>
            <w:r w:rsidR="000868E7">
              <w:rPr>
                <w:noProof/>
                <w:webHidden/>
              </w:rPr>
              <w:fldChar w:fldCharType="separate"/>
            </w:r>
            <w:r w:rsidR="000868E7">
              <w:rPr>
                <w:noProof/>
                <w:webHidden/>
              </w:rPr>
              <w:t>42</w:t>
            </w:r>
            <w:r w:rsidR="000868E7">
              <w:rPr>
                <w:noProof/>
                <w:webHidden/>
              </w:rPr>
              <w:fldChar w:fldCharType="end"/>
            </w:r>
          </w:hyperlink>
        </w:p>
        <w:p w14:paraId="1DD00191" w14:textId="3D5FDF01" w:rsid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83" w:history="1">
            <w:r w:rsidR="000868E7" w:rsidRPr="00434936">
              <w:rPr>
                <w:rStyle w:val="Hyperlink"/>
                <w:noProof/>
              </w:rPr>
              <w:t>7.</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ANALIZA UČINAKA I STANJA</w:t>
            </w:r>
            <w:r w:rsidR="000868E7">
              <w:rPr>
                <w:noProof/>
                <w:webHidden/>
              </w:rPr>
              <w:tab/>
            </w:r>
            <w:r w:rsidR="000868E7">
              <w:rPr>
                <w:noProof/>
                <w:webHidden/>
              </w:rPr>
              <w:fldChar w:fldCharType="begin"/>
            </w:r>
            <w:r w:rsidR="000868E7">
              <w:rPr>
                <w:noProof/>
                <w:webHidden/>
              </w:rPr>
              <w:instrText xml:space="preserve"> PAGEREF _Toc161040583 \h </w:instrText>
            </w:r>
            <w:r w:rsidR="000868E7">
              <w:rPr>
                <w:noProof/>
                <w:webHidden/>
              </w:rPr>
            </w:r>
            <w:r w:rsidR="000868E7">
              <w:rPr>
                <w:noProof/>
                <w:webHidden/>
              </w:rPr>
              <w:fldChar w:fldCharType="separate"/>
            </w:r>
            <w:r w:rsidR="000868E7">
              <w:rPr>
                <w:noProof/>
                <w:webHidden/>
              </w:rPr>
              <w:t>46</w:t>
            </w:r>
            <w:r w:rsidR="000868E7">
              <w:rPr>
                <w:noProof/>
                <w:webHidden/>
              </w:rPr>
              <w:fldChar w:fldCharType="end"/>
            </w:r>
          </w:hyperlink>
        </w:p>
        <w:p w14:paraId="4FD8D56B" w14:textId="624E67E0" w:rsidR="000868E7" w:rsidRDefault="006C3919">
          <w:pPr>
            <w:pStyle w:val="TOC1"/>
            <w:rPr>
              <w:rFonts w:asciiTheme="minorHAnsi" w:eastAsiaTheme="minorEastAsia" w:hAnsiTheme="minorHAnsi" w:cstheme="minorBidi"/>
              <w:noProof/>
              <w:kern w:val="2"/>
              <w:sz w:val="22"/>
              <w:szCs w:val="22"/>
              <w:lang w:eastAsia="hr-HR"/>
              <w14:ligatures w14:val="standardContextual"/>
            </w:rPr>
          </w:pPr>
          <w:hyperlink w:anchor="_Toc161040584" w:history="1">
            <w:r w:rsidR="000868E7" w:rsidRPr="00434936">
              <w:rPr>
                <w:rStyle w:val="Hyperlink"/>
                <w:noProof/>
              </w:rPr>
              <w:t>8.</w:t>
            </w:r>
            <w:r w:rsidR="000868E7">
              <w:rPr>
                <w:rFonts w:asciiTheme="minorHAnsi" w:eastAsiaTheme="minorEastAsia" w:hAnsiTheme="minorHAnsi" w:cstheme="minorBidi"/>
                <w:noProof/>
                <w:kern w:val="2"/>
                <w:sz w:val="22"/>
                <w:szCs w:val="22"/>
                <w:lang w:eastAsia="hr-HR"/>
                <w14:ligatures w14:val="standardContextual"/>
              </w:rPr>
              <w:tab/>
            </w:r>
            <w:r w:rsidR="000868E7" w:rsidRPr="00434936">
              <w:rPr>
                <w:rStyle w:val="Hyperlink"/>
                <w:noProof/>
              </w:rPr>
              <w:t>ZAKLJUČAK</w:t>
            </w:r>
            <w:r w:rsidR="000868E7">
              <w:rPr>
                <w:noProof/>
                <w:webHidden/>
              </w:rPr>
              <w:tab/>
            </w:r>
            <w:r w:rsidR="000868E7">
              <w:rPr>
                <w:noProof/>
                <w:webHidden/>
              </w:rPr>
              <w:fldChar w:fldCharType="begin"/>
            </w:r>
            <w:r w:rsidR="000868E7">
              <w:rPr>
                <w:noProof/>
                <w:webHidden/>
              </w:rPr>
              <w:instrText xml:space="preserve"> PAGEREF _Toc161040584 \h </w:instrText>
            </w:r>
            <w:r w:rsidR="000868E7">
              <w:rPr>
                <w:noProof/>
                <w:webHidden/>
              </w:rPr>
            </w:r>
            <w:r w:rsidR="000868E7">
              <w:rPr>
                <w:noProof/>
                <w:webHidden/>
              </w:rPr>
              <w:fldChar w:fldCharType="separate"/>
            </w:r>
            <w:r w:rsidR="000868E7">
              <w:rPr>
                <w:noProof/>
                <w:webHidden/>
              </w:rPr>
              <w:t>48</w:t>
            </w:r>
            <w:r w:rsidR="000868E7">
              <w:rPr>
                <w:noProof/>
                <w:webHidden/>
              </w:rPr>
              <w:fldChar w:fldCharType="end"/>
            </w:r>
          </w:hyperlink>
        </w:p>
        <w:p w14:paraId="12F26F3B" w14:textId="4C80371F" w:rsidR="006E36F1" w:rsidRDefault="006E36F1">
          <w:r>
            <w:rPr>
              <w:b/>
              <w:bCs/>
            </w:rPr>
            <w:fldChar w:fldCharType="end"/>
          </w:r>
        </w:p>
      </w:sdtContent>
    </w:sdt>
    <w:p w14:paraId="65DCCFA6" w14:textId="77777777" w:rsidR="002F7675" w:rsidRPr="00C9549D" w:rsidRDefault="002F7675" w:rsidP="00477F44"/>
    <w:p w14:paraId="425A4CEF" w14:textId="1D463595" w:rsidR="002F7675" w:rsidRPr="00C9549D" w:rsidRDefault="002F7675" w:rsidP="00477F44"/>
    <w:p w14:paraId="5785B635" w14:textId="77777777" w:rsidR="00D942E7" w:rsidRDefault="00D942E7" w:rsidP="00AB0077">
      <w:pPr>
        <w:pStyle w:val="Heading1"/>
        <w:sectPr w:rsidR="00D942E7" w:rsidSect="006F2AB1">
          <w:footerReference w:type="even" r:id="rId12"/>
          <w:footerReference w:type="default" r:id="rId13"/>
          <w:footerReference w:type="first" r:id="rId14"/>
          <w:pgSz w:w="11906" w:h="16838"/>
          <w:pgMar w:top="1418" w:right="1418" w:bottom="1418" w:left="1418" w:header="709" w:footer="709" w:gutter="0"/>
          <w:pgNumType w:start="0"/>
          <w:cols w:space="708"/>
          <w:titlePg/>
          <w:docGrid w:linePitch="360"/>
        </w:sectPr>
      </w:pPr>
    </w:p>
    <w:p w14:paraId="632D19CA" w14:textId="5DE60AA8" w:rsidR="005B1B22" w:rsidRPr="00C9549D" w:rsidRDefault="002F7675" w:rsidP="00AB0077">
      <w:pPr>
        <w:pStyle w:val="Heading1"/>
      </w:pPr>
      <w:bookmarkStart w:id="2" w:name="_Toc161040559"/>
      <w:r w:rsidRPr="00C9549D">
        <w:lastRenderedPageBreak/>
        <w:t>UVOD</w:t>
      </w:r>
      <w:bookmarkEnd w:id="2"/>
    </w:p>
    <w:p w14:paraId="47734096" w14:textId="77777777" w:rsidR="00051D79" w:rsidRDefault="00051D79" w:rsidP="00477F44"/>
    <w:p w14:paraId="4CFC1201" w14:textId="2872ACC9" w:rsidR="00C13430" w:rsidRPr="00C9549D" w:rsidRDefault="002A2F14" w:rsidP="00C13430">
      <w:r>
        <w:t xml:space="preserve">Republiku Hrvatsku su </w:t>
      </w:r>
      <w:r w:rsidR="00972C37">
        <w:t xml:space="preserve">tijekom 2020. godine </w:t>
      </w:r>
      <w:r w:rsidR="00972C37" w:rsidRPr="00972C37">
        <w:t>pogodil</w:t>
      </w:r>
      <w:r w:rsidR="0059017E">
        <w:t>a dva razorna potresa</w:t>
      </w:r>
      <w:r w:rsidR="002C09EC">
        <w:t xml:space="preserve"> kojima je oštećen veliki broj javnih i privatnih zgrada te je </w:t>
      </w:r>
      <w:r w:rsidR="00147C84">
        <w:t>prouzročena</w:t>
      </w:r>
      <w:r w:rsidR="002C09EC">
        <w:t xml:space="preserve"> velika materijalna šteta.</w:t>
      </w:r>
      <w:r w:rsidR="00266758" w:rsidRPr="00266758">
        <w:rPr>
          <w:rFonts w:eastAsia="Times New Roman"/>
          <w:color w:val="231F20"/>
        </w:rPr>
        <w:t xml:space="preserve"> </w:t>
      </w:r>
      <w:r w:rsidR="0087303F">
        <w:t>Oštećeno je 69.</w:t>
      </w:r>
      <w:r w:rsidR="00C13430">
        <w:t xml:space="preserve">000 građevina, a inicijalna šteta procijenjena je na 17 milijardi eura.  </w:t>
      </w:r>
    </w:p>
    <w:p w14:paraId="424DFE27" w14:textId="77777777" w:rsidR="00266758" w:rsidRDefault="00266758" w:rsidP="00266758">
      <w:pPr>
        <w:rPr>
          <w:rFonts w:eastAsia="Times New Roman"/>
          <w:color w:val="231F20"/>
        </w:rPr>
      </w:pPr>
    </w:p>
    <w:p w14:paraId="212F3B78" w14:textId="25DF941A" w:rsidR="00266758" w:rsidRPr="00266758" w:rsidRDefault="00266758" w:rsidP="00266758">
      <w:r w:rsidRPr="00266758">
        <w:t>Potres u Zagrebu (</w:t>
      </w:r>
      <w:r w:rsidR="0087303F">
        <w:t>u daljnjem</w:t>
      </w:r>
      <w:r w:rsidR="00D25354">
        <w:t xml:space="preserve"> tekstu</w:t>
      </w:r>
      <w:r w:rsidRPr="00266758">
        <w:t xml:space="preserve">: zagrebački potres) i okolici dogodio se 22. ožujka 2020. u 6 sati i 24 minute magnitude M=5,5 po </w:t>
      </w:r>
      <w:proofErr w:type="spellStart"/>
      <w:r w:rsidRPr="00266758">
        <w:t>Richteru</w:t>
      </w:r>
      <w:proofErr w:type="spellEnd"/>
      <w:r w:rsidRPr="00266758">
        <w:t xml:space="preserve">, te idući </w:t>
      </w:r>
      <w:r w:rsidR="0087303F">
        <w:t>u 7 sati i 1 minutu magnitude M</w:t>
      </w:r>
      <w:r w:rsidRPr="00266758">
        <w:t xml:space="preserve">=5,0 po </w:t>
      </w:r>
      <w:proofErr w:type="spellStart"/>
      <w:r w:rsidRPr="00266758">
        <w:t>Richteru</w:t>
      </w:r>
      <w:proofErr w:type="spellEnd"/>
      <w:r w:rsidRPr="00266758">
        <w:t xml:space="preserve">, a seizmička aktivnost u široj okolici grada nastavila se tako da je do </w:t>
      </w:r>
      <w:r w:rsidR="001658F9">
        <w:t>31</w:t>
      </w:r>
      <w:r w:rsidRPr="00266758">
        <w:t xml:space="preserve">. </w:t>
      </w:r>
      <w:r w:rsidR="00C76AF3">
        <w:t>prosinca</w:t>
      </w:r>
      <w:r w:rsidRPr="00266758">
        <w:t xml:space="preserve"> 202</w:t>
      </w:r>
      <w:r w:rsidR="00C76AF3">
        <w:t>2</w:t>
      </w:r>
      <w:r w:rsidRPr="00266758">
        <w:t xml:space="preserve">. Seizmološka služba, pri Geofizičkom odsjeku Prirodoslovno-matematičkog fakulteta Sveučilišta u Zagrebu zabilježila na području Grada Zagreba </w:t>
      </w:r>
      <w:r w:rsidR="00C76AF3">
        <w:t>3.925</w:t>
      </w:r>
      <w:r w:rsidRPr="00266758">
        <w:t xml:space="preserve"> potresa. </w:t>
      </w:r>
    </w:p>
    <w:p w14:paraId="2C093B38" w14:textId="77777777" w:rsidR="00266758" w:rsidRPr="00266758" w:rsidRDefault="00266758" w:rsidP="00266758"/>
    <w:p w14:paraId="36116201" w14:textId="64AF289E" w:rsidR="00266758" w:rsidRDefault="00266758" w:rsidP="00266758">
      <w:r w:rsidRPr="00266758">
        <w:t xml:space="preserve">Republiku Hrvatsku su 28. i 29. prosinca 2020. pogodili novi snažni potresi, od kojih je najjači bio magnitude </w:t>
      </w:r>
      <w:r w:rsidR="0087303F">
        <w:t>M=</w:t>
      </w:r>
      <w:r w:rsidRPr="00266758">
        <w:t xml:space="preserve">6,2 po </w:t>
      </w:r>
      <w:proofErr w:type="spellStart"/>
      <w:r w:rsidRPr="00266758">
        <w:t>Richteru</w:t>
      </w:r>
      <w:proofErr w:type="spellEnd"/>
      <w:r w:rsidRPr="00266758">
        <w:t xml:space="preserve"> s epicentrom kod Grada Petrinje </w:t>
      </w:r>
      <w:r w:rsidR="00444E45">
        <w:t>(</w:t>
      </w:r>
      <w:r w:rsidR="00D25354">
        <w:t xml:space="preserve">u </w:t>
      </w:r>
      <w:r w:rsidR="00444E45">
        <w:t xml:space="preserve">daljnjem </w:t>
      </w:r>
      <w:r w:rsidR="00D25354">
        <w:t>tekstu</w:t>
      </w:r>
      <w:r w:rsidRPr="00266758">
        <w:t xml:space="preserve">: petrinjski potres). Potres se osjetio diljem Hrvatske i u okolnim zemljama, a najveći intenzitet procijenjen je </w:t>
      </w:r>
      <w:r w:rsidR="00AB4802">
        <w:t xml:space="preserve">na </w:t>
      </w:r>
      <w:r w:rsidRPr="00266758">
        <w:t xml:space="preserve">VIII – IX (osam do devet) stupnjeva EMS ljestvice. </w:t>
      </w:r>
      <w:r w:rsidR="00282F80">
        <w:t>Do kraja 2022. godine, u petrinjskoj seriji potresa za</w:t>
      </w:r>
      <w:r w:rsidR="00854FA3">
        <w:t xml:space="preserve">bilježeno je 22.513 potresa. </w:t>
      </w:r>
      <w:r w:rsidRPr="00266758">
        <w:t>Na prijedlog ministra unutarnjih poslova i nakon analiziranja stanja na terenu, Vlada Republike Hrvatske je proglasila katastrofu uzrokovanu potresom za područje Sisačko-moslavačke, Zagrebačke i Karlovačke županije.</w:t>
      </w:r>
      <w:r w:rsidR="0090411A">
        <w:t xml:space="preserve"> </w:t>
      </w:r>
      <w:r w:rsidR="00EC0947">
        <w:t>Istovremeno, p</w:t>
      </w:r>
      <w:r w:rsidR="00CD7689">
        <w:t xml:space="preserve">etrinjski potres izazvao je dodatnu štetu na već </w:t>
      </w:r>
      <w:r w:rsidR="00EC0947">
        <w:t xml:space="preserve">postojećim oštećenjima </w:t>
      </w:r>
      <w:r w:rsidR="00CD7689">
        <w:t xml:space="preserve">nastalim </w:t>
      </w:r>
      <w:r w:rsidR="00EC0947">
        <w:t xml:space="preserve">na području zagrebačkog potresa. </w:t>
      </w:r>
    </w:p>
    <w:p w14:paraId="551BBF3E" w14:textId="77777777" w:rsidR="00C13430" w:rsidRDefault="00C13430" w:rsidP="00363CE9"/>
    <w:p w14:paraId="03238B6C" w14:textId="21ADAB64" w:rsidR="00363CE9" w:rsidRDefault="00363CE9" w:rsidP="00363CE9">
      <w:r>
        <w:t>O</w:t>
      </w:r>
      <w:r w:rsidRPr="00C9549D">
        <w:t>bnova pogođenih područja</w:t>
      </w:r>
      <w:r w:rsidR="00DE61AB">
        <w:t xml:space="preserve"> do</w:t>
      </w:r>
      <w:r w:rsidR="009D74B4">
        <w:t xml:space="preserve"> veljače</w:t>
      </w:r>
      <w:r w:rsidR="00DE61AB">
        <w:t xml:space="preserve"> 2023. godine</w:t>
      </w:r>
      <w:r w:rsidR="0076216F">
        <w:t>,</w:t>
      </w:r>
      <w:r w:rsidR="0045173F">
        <w:t xml:space="preserve"> </w:t>
      </w:r>
      <w:r w:rsidRPr="00C9549D">
        <w:t>provodila se temeljem Zakona o obnovi zgrada oštećenih potresom na području Grada Zagreba, Krapinsko-zagorske županije i Zagrebačke županije („Na</w:t>
      </w:r>
      <w:r w:rsidR="0087303F">
        <w:t>rodne novine“, br.</w:t>
      </w:r>
      <w:r w:rsidRPr="00C9549D">
        <w:t xml:space="preserve"> 102/20</w:t>
      </w:r>
      <w:r w:rsidR="0087303F">
        <w:t>.</w:t>
      </w:r>
      <w:r w:rsidRPr="00C9549D">
        <w:t>, 10/21</w:t>
      </w:r>
      <w:r w:rsidR="0087303F">
        <w:t>.</w:t>
      </w:r>
      <w:r w:rsidRPr="00C9549D">
        <w:t xml:space="preserve"> i 117/21</w:t>
      </w:r>
      <w:r w:rsidR="0087303F">
        <w:t>.</w:t>
      </w:r>
      <w:r w:rsidRPr="00C9549D">
        <w:t>).</w:t>
      </w:r>
      <w:r>
        <w:t xml:space="preserve"> </w:t>
      </w:r>
      <w:r w:rsidRPr="00C9549D">
        <w:t>Sukladno navedenom Zakonu, obnovu su provodili Ministarstvo</w:t>
      </w:r>
      <w:r w:rsidR="0045173F">
        <w:t xml:space="preserve"> prostornoga uređenja, graditeljstva i državne imovine (u</w:t>
      </w:r>
      <w:r w:rsidR="00CB0122">
        <w:t xml:space="preserve"> daljnjem</w:t>
      </w:r>
      <w:r w:rsidR="0045173F">
        <w:t xml:space="preserve"> tekstu: Ministarstvo)</w:t>
      </w:r>
      <w:r w:rsidRPr="00C9549D">
        <w:t xml:space="preserve">, Središnji državni ured za obnovu i stambeno zbrinjavanje, te Fond za obnovu Grada Zagreba, Krapinsko-zagorske županije i Zagrebačke županije kao </w:t>
      </w:r>
      <w:r w:rsidR="00430B93">
        <w:t xml:space="preserve">i </w:t>
      </w:r>
      <w:r w:rsidR="00652831">
        <w:t xml:space="preserve">potresom pogođene </w:t>
      </w:r>
      <w:r w:rsidRPr="00C9549D">
        <w:t>županije</w:t>
      </w:r>
      <w:r w:rsidR="00652831">
        <w:t xml:space="preserve"> odnosno Grad Zagreb</w:t>
      </w:r>
      <w:r w:rsidRPr="00C9549D">
        <w:t xml:space="preserve">. </w:t>
      </w:r>
    </w:p>
    <w:p w14:paraId="36DFC06B" w14:textId="77777777" w:rsidR="003942D8" w:rsidRDefault="003942D8" w:rsidP="00363CE9"/>
    <w:p w14:paraId="1A82DC06" w14:textId="47D482E3" w:rsidR="003942D8" w:rsidRDefault="003942D8" w:rsidP="00363CE9">
      <w:r w:rsidRPr="003942D8">
        <w:t>Hrvatski sabor je u veljači 2023. godine donio novi Zakon o obnovi zgrada oštećenih potresom na području Grada Zagreba, Krapinsko-zagorske županije, Zagrebačke županije, Sisačko-moslavačke županije i Karlovačke županije („Narodne novine“, broj 21/23.) (u daljnjem tekstu: Zakon o obnovi)</w:t>
      </w:r>
      <w:r w:rsidR="0076216F">
        <w:t xml:space="preserve"> koji</w:t>
      </w:r>
      <w:r w:rsidR="00F65EA3">
        <w:t xml:space="preserve">m su </w:t>
      </w:r>
      <w:r w:rsidR="00F65EA3" w:rsidRPr="00C9549D">
        <w:t xml:space="preserve">Središnji državni ured za obnovu i stambeno zbrinjavanje te Fond za obnovu Grada Zagreba, Krapinsko-zagorske županije i Zagrebačke županije </w:t>
      </w:r>
      <w:r w:rsidR="00B142DC">
        <w:t xml:space="preserve">integrirani u jedno tijelo Ministarstvo prostornoga uređenja, graditeljstva i državne imovine čime je nadležnost nad provedbom obnove </w:t>
      </w:r>
      <w:r w:rsidR="00246923">
        <w:t xml:space="preserve">objedinjena u jednom tijelu. </w:t>
      </w:r>
    </w:p>
    <w:p w14:paraId="22253363" w14:textId="77777777" w:rsidR="00347F05" w:rsidRDefault="00347F05" w:rsidP="00363CE9"/>
    <w:p w14:paraId="627AD53B" w14:textId="328CDE80" w:rsidR="00347F05" w:rsidRPr="00D96EE7" w:rsidRDefault="00347F05" w:rsidP="00363CE9">
      <w:r>
        <w:t xml:space="preserve">Novim Zakonom </w:t>
      </w:r>
      <w:r w:rsidR="00585554">
        <w:t xml:space="preserve">o obnovi </w:t>
      </w:r>
      <w:r>
        <w:t xml:space="preserve">propisano je da Vlada Republike Hrvatske podnosi Hrvatskom saboru </w:t>
      </w:r>
      <w:r w:rsidR="00585554">
        <w:t xml:space="preserve">izvješće o učincima provedbe ovoga Zakona dva puta godišnje. </w:t>
      </w:r>
    </w:p>
    <w:p w14:paraId="2A5716A9" w14:textId="77777777" w:rsidR="00363CE9" w:rsidRDefault="00363CE9" w:rsidP="00E75F42"/>
    <w:p w14:paraId="1F1FCACC" w14:textId="2F2B5439" w:rsidR="002D3471" w:rsidRDefault="002D3471" w:rsidP="002D3471">
      <w:r w:rsidRPr="002D3471">
        <w:t>Uz provedbu obnove privatne imovine koja se financira iz nacionalnih izvora, u prvoj polovici 2023. godine prioritet Vlade Republike Hrvatske bil</w:t>
      </w:r>
      <w:r>
        <w:t xml:space="preserve">a je </w:t>
      </w:r>
      <w:r w:rsidRPr="002D3471">
        <w:t xml:space="preserve">provedba projekata financiranih iz </w:t>
      </w:r>
      <w:r w:rsidRPr="002D3471">
        <w:lastRenderedPageBreak/>
        <w:t xml:space="preserve">Fonda solidarnosti Europske unije (u daljnjem tekstu: FSEU). Zahvaljujući intenzivnim naporima Vlade Republike Hrvatske, nadležnih ministarstava, županija i Grada Zagreba kao i čitave stručne operative: projektanata, nadzornih inženjera i izvođača, sva </w:t>
      </w:r>
      <w:r>
        <w:t xml:space="preserve">osigurana </w:t>
      </w:r>
      <w:r w:rsidRPr="002D3471">
        <w:t xml:space="preserve">sredstva za obnovu iz FSEU </w:t>
      </w:r>
      <w:r>
        <w:t xml:space="preserve">u iznosu od 1,003 milijarde eura </w:t>
      </w:r>
      <w:r w:rsidRPr="002D3471">
        <w:t xml:space="preserve">u cijelosti su iskorištena. </w:t>
      </w:r>
    </w:p>
    <w:p w14:paraId="03456708" w14:textId="77777777" w:rsidR="002D3471" w:rsidRPr="002D3471" w:rsidRDefault="002D3471" w:rsidP="002D3471"/>
    <w:p w14:paraId="74825D72" w14:textId="52E77972" w:rsidR="00F3332A" w:rsidRDefault="00A36412" w:rsidP="0017579E">
      <w:r>
        <w:t>Druga polovica 2023</w:t>
      </w:r>
      <w:r w:rsidR="00246923">
        <w:t>.</w:t>
      </w:r>
      <w:r>
        <w:t xml:space="preserve"> godine </w:t>
      </w:r>
      <w:r w:rsidR="00ED2FB5">
        <w:t xml:space="preserve">uz pojačanu dinamiku obnove nakon potresa </w:t>
      </w:r>
      <w:r>
        <w:t xml:space="preserve">obilježena je </w:t>
      </w:r>
      <w:r w:rsidR="00246923">
        <w:t xml:space="preserve">stambenim zbrinjavanjem </w:t>
      </w:r>
      <w:r w:rsidR="00D4492A">
        <w:t>potresom pogođenog stanovništva. Z</w:t>
      </w:r>
      <w:r w:rsidR="00192318">
        <w:t>at</w:t>
      </w:r>
      <w:r w:rsidR="00D4492A">
        <w:t>vorena su sva</w:t>
      </w:r>
      <w:r w:rsidR="00192318">
        <w:t xml:space="preserve"> </w:t>
      </w:r>
      <w:r w:rsidR="006546AF">
        <w:t xml:space="preserve">klasična </w:t>
      </w:r>
      <w:r w:rsidR="00100217">
        <w:t>kontejnersk</w:t>
      </w:r>
      <w:r w:rsidR="00D4492A">
        <w:t>a</w:t>
      </w:r>
      <w:r w:rsidR="00100217">
        <w:t xml:space="preserve"> naselja</w:t>
      </w:r>
      <w:r w:rsidR="00D4492A">
        <w:t xml:space="preserve"> na Banovini te je </w:t>
      </w:r>
      <w:r w:rsidR="00100217">
        <w:t>omoguć</w:t>
      </w:r>
      <w:r w:rsidR="00D4492A">
        <w:t>en kvalitetniji i primjereniji s</w:t>
      </w:r>
      <w:r w:rsidR="00100217">
        <w:t>mještaj</w:t>
      </w:r>
      <w:r w:rsidR="00D4492A">
        <w:t xml:space="preserve"> </w:t>
      </w:r>
      <w:r w:rsidR="00C51227">
        <w:t xml:space="preserve">svim </w:t>
      </w:r>
      <w:r w:rsidR="00D4492A">
        <w:t>su</w:t>
      </w:r>
      <w:r w:rsidR="00962896">
        <w:t xml:space="preserve">građanima </w:t>
      </w:r>
      <w:r w:rsidR="00542F52">
        <w:t xml:space="preserve">čiji domovi </w:t>
      </w:r>
      <w:r w:rsidR="00114C21">
        <w:t>još nisu obnovljeni</w:t>
      </w:r>
      <w:r w:rsidR="00301646">
        <w:t>.</w:t>
      </w:r>
      <w:r w:rsidR="00C31261">
        <w:t xml:space="preserve"> Zamjenski smještaj osiguran je kroz 11 modela stambenog zbrinjavanja</w:t>
      </w:r>
      <w:r w:rsidR="00542F52">
        <w:t xml:space="preserve"> u skladu s Programom stambenog zbrinjavanja korisnika mobilnih stambenih jedinica</w:t>
      </w:r>
      <w:r w:rsidR="0027038E">
        <w:t xml:space="preserve"> na području zagrebačkog i petrinjskog potresa</w:t>
      </w:r>
      <w:r w:rsidR="00035EB3">
        <w:t xml:space="preserve"> koji je donijela Vlada Republike Hrvatske </w:t>
      </w:r>
      <w:r w:rsidR="00F546A9">
        <w:t>u veljači 2023. godine</w:t>
      </w:r>
      <w:r w:rsidR="00F3332A">
        <w:t xml:space="preserve">. </w:t>
      </w:r>
    </w:p>
    <w:p w14:paraId="4DA5A5DA" w14:textId="546309D2" w:rsidR="00A36412" w:rsidRDefault="00F546A9" w:rsidP="007242E8">
      <w:pPr>
        <w:spacing w:before="240" w:after="120"/>
      </w:pPr>
      <w:r>
        <w:t>Z</w:t>
      </w:r>
      <w:r w:rsidR="004F33DF">
        <w:t>ahvaljujući izmjenama zakonskog okvira, p</w:t>
      </w:r>
      <w:r w:rsidR="004F33DF" w:rsidRPr="004F33DF">
        <w:t xml:space="preserve">roces obnove je strukturiran, zakonski, financijski i operativno. </w:t>
      </w:r>
      <w:r w:rsidR="007242E8">
        <w:t>D</w:t>
      </w:r>
      <w:r w:rsidR="00B23224">
        <w:t xml:space="preserve">inamika obnove privatne imovine </w:t>
      </w:r>
      <w:r w:rsidR="00F3332A">
        <w:t>značajno</w:t>
      </w:r>
      <w:r>
        <w:t xml:space="preserve"> se</w:t>
      </w:r>
      <w:r w:rsidR="00F3332A">
        <w:t xml:space="preserve"> </w:t>
      </w:r>
      <w:r w:rsidR="00B23224">
        <w:t>ubrzala</w:t>
      </w:r>
      <w:r w:rsidR="00D4492A">
        <w:t>,</w:t>
      </w:r>
      <w:r w:rsidR="00B23224">
        <w:t xml:space="preserve"> a </w:t>
      </w:r>
      <w:r w:rsidR="00345B79">
        <w:t>dovršeni su i brojni projekti obnove javn</w:t>
      </w:r>
      <w:r w:rsidR="00D4492A">
        <w:t>ih zgrada te prometne i komunalne infrastrukture</w:t>
      </w:r>
      <w:r w:rsidR="00345B79">
        <w:t xml:space="preserve">. </w:t>
      </w:r>
    </w:p>
    <w:p w14:paraId="353A3BE3" w14:textId="22E3AA95" w:rsidR="256C7B64" w:rsidRDefault="3F949016" w:rsidP="1BFFE100">
      <w:pPr>
        <w:spacing w:line="259" w:lineRule="auto"/>
      </w:pPr>
      <w:r>
        <w:t xml:space="preserve">U </w:t>
      </w:r>
      <w:r w:rsidR="00BB6F5B">
        <w:t>svrhu potpunog informiranja o po</w:t>
      </w:r>
      <w:r w:rsidR="00886EAC">
        <w:t xml:space="preserve">slije </w:t>
      </w:r>
      <w:r w:rsidR="00BB6F5B">
        <w:t>potresnoj obnovi</w:t>
      </w:r>
      <w:r>
        <w:t>, u izvješće su uvršte</w:t>
      </w:r>
      <w:r w:rsidR="5D6CBB23">
        <w:t>ni i podaci o Ugovor</w:t>
      </w:r>
      <w:r w:rsidR="6D72A035">
        <w:t>u</w:t>
      </w:r>
      <w:r w:rsidR="5D6CBB23">
        <w:t xml:space="preserve"> o zajmu s Međunarodnom bankom za obnovu i razvo</w:t>
      </w:r>
      <w:r w:rsidR="51F55045">
        <w:t>j,</w:t>
      </w:r>
      <w:r w:rsidR="00F647EF">
        <w:t xml:space="preserve"> </w:t>
      </w:r>
      <w:r w:rsidR="256C7B64">
        <w:t>Nacionaln</w:t>
      </w:r>
      <w:r w:rsidR="3BA69B6C">
        <w:t>i</w:t>
      </w:r>
      <w:r w:rsidR="256C7B64">
        <w:t xml:space="preserve"> plan oporavka i otpornosti 2021. - 2026. </w:t>
      </w:r>
      <w:r w:rsidR="00754018">
        <w:t>u</w:t>
      </w:r>
      <w:r w:rsidR="14FFC132">
        <w:t xml:space="preserve"> dijelu koji se odnosi na</w:t>
      </w:r>
      <w:r w:rsidR="256C7B64" w:rsidRPr="1BFFE100">
        <w:rPr>
          <w:color w:val="C00000"/>
        </w:rPr>
        <w:t xml:space="preserve"> </w:t>
      </w:r>
      <w:r w:rsidR="256C7B64">
        <w:t xml:space="preserve">sveobuhvatnu obnovu </w:t>
      </w:r>
      <w:proofErr w:type="spellStart"/>
      <w:r w:rsidR="256C7B64">
        <w:t>višestambenih</w:t>
      </w:r>
      <w:proofErr w:type="spellEnd"/>
      <w:r w:rsidR="256C7B64">
        <w:t xml:space="preserve"> zgrada i zgrada javno</w:t>
      </w:r>
      <w:r w:rsidR="00BB6F5B">
        <w:t>g</w:t>
      </w:r>
      <w:r w:rsidR="256C7B64">
        <w:t xml:space="preserve"> sektor</w:t>
      </w:r>
      <w:r w:rsidR="00BB6F5B">
        <w:t>a</w:t>
      </w:r>
      <w:r w:rsidR="256C7B64">
        <w:t xml:space="preserve"> oštećenih u potres</w:t>
      </w:r>
      <w:r w:rsidR="00051D79">
        <w:t>u</w:t>
      </w:r>
      <w:r w:rsidR="2D080155">
        <w:t xml:space="preserve"> te </w:t>
      </w:r>
      <w:r w:rsidR="00335947">
        <w:t>obnova financirana sredstvima</w:t>
      </w:r>
      <w:r w:rsidR="2D080155">
        <w:t xml:space="preserve"> Operativnog programa </w:t>
      </w:r>
      <w:r w:rsidR="00FD6E1F">
        <w:t>„</w:t>
      </w:r>
      <w:r w:rsidR="2D080155">
        <w:t>Konkurentnost i kohezija</w:t>
      </w:r>
      <w:r w:rsidR="00FD6E1F">
        <w:t>“ 2014. - 2020</w:t>
      </w:r>
      <w:r w:rsidR="2D080155">
        <w:t>.</w:t>
      </w:r>
    </w:p>
    <w:p w14:paraId="2BD21B0C" w14:textId="77777777" w:rsidR="00277D3B" w:rsidRDefault="00277D3B" w:rsidP="1BFFE100">
      <w:pPr>
        <w:spacing w:line="259" w:lineRule="auto"/>
      </w:pPr>
    </w:p>
    <w:p w14:paraId="46B1BA0B" w14:textId="77777777" w:rsidR="00277D3B" w:rsidRDefault="00277D3B" w:rsidP="1BFFE100">
      <w:pPr>
        <w:spacing w:line="259" w:lineRule="auto"/>
      </w:pPr>
    </w:p>
    <w:p w14:paraId="5D9B912E" w14:textId="77777777" w:rsidR="00C740D6" w:rsidRDefault="00C740D6" w:rsidP="0017579E"/>
    <w:p w14:paraId="6B54481F" w14:textId="77777777" w:rsidR="00C740D6" w:rsidRPr="0017579E" w:rsidRDefault="00C740D6" w:rsidP="0017579E"/>
    <w:p w14:paraId="5804610A" w14:textId="77777777" w:rsidR="00702991" w:rsidRDefault="00702991" w:rsidP="00E83024"/>
    <w:p w14:paraId="2736C4E7" w14:textId="1D54229E" w:rsidR="003748B5" w:rsidRPr="00E83024" w:rsidRDefault="003748B5" w:rsidP="00E83024">
      <w:r w:rsidRPr="00C9549D">
        <w:br w:type="page"/>
      </w:r>
    </w:p>
    <w:p w14:paraId="7B2C9979" w14:textId="2BC04936" w:rsidR="003748B5" w:rsidRDefault="0026617D" w:rsidP="003748B5">
      <w:pPr>
        <w:pStyle w:val="Heading1"/>
      </w:pPr>
      <w:bookmarkStart w:id="3" w:name="_Toc161040560"/>
      <w:r>
        <w:lastRenderedPageBreak/>
        <w:t>ZAKONODAVNI OKVIR</w:t>
      </w:r>
      <w:bookmarkEnd w:id="3"/>
      <w:r>
        <w:t xml:space="preserve"> </w:t>
      </w:r>
    </w:p>
    <w:p w14:paraId="5A6CFD5E" w14:textId="77777777" w:rsidR="00EE715F" w:rsidRDefault="00EE715F"/>
    <w:p w14:paraId="2CF25417" w14:textId="38645909" w:rsidR="1703288E" w:rsidRDefault="1703288E">
      <w:bookmarkStart w:id="4" w:name="_Hlk156376771"/>
      <w:r>
        <w:t>Hrvatski sabor je u veljači 2023.</w:t>
      </w:r>
      <w:r w:rsidR="00D86B88">
        <w:t xml:space="preserve"> godine</w:t>
      </w:r>
      <w:r>
        <w:t xml:space="preserve"> donio novi Zakon o obnovi zgrada oštećenih potresom na području </w:t>
      </w:r>
      <w:r w:rsidR="000D18CF" w:rsidRPr="000D18CF">
        <w:t xml:space="preserve">Grada Zagreba, Krapinsko-zagorske županije, Zagrebačke županije, Sisačko-moslavačke županije i Karlovačke županije </w:t>
      </w:r>
      <w:r>
        <w:t>(„Narodne novine“, broj 21/23</w:t>
      </w:r>
      <w:r w:rsidR="00295B8C">
        <w:t>.</w:t>
      </w:r>
      <w:r w:rsidR="008C65E4">
        <w:t>, u daljnjem tekstu</w:t>
      </w:r>
      <w:r w:rsidR="007331B7">
        <w:t>: Zakon o obnovi</w:t>
      </w:r>
      <w:r>
        <w:t xml:space="preserve">). </w:t>
      </w:r>
    </w:p>
    <w:bookmarkEnd w:id="4"/>
    <w:p w14:paraId="6B8D1138" w14:textId="77777777" w:rsidR="01446095" w:rsidRDefault="01446095"/>
    <w:p w14:paraId="6A5CDBCA" w14:textId="33041902" w:rsidR="1703288E" w:rsidRDefault="1703288E">
      <w:r>
        <w:t>Novim Zakonom o obnovi objedinjen</w:t>
      </w:r>
      <w:r w:rsidR="00877E95">
        <w:t xml:space="preserve">a su </w:t>
      </w:r>
      <w:r w:rsidR="00966549">
        <w:t xml:space="preserve">sva </w:t>
      </w:r>
      <w:r w:rsidR="00FB1EC1">
        <w:t xml:space="preserve">tijela koja provode obnovu </w:t>
      </w:r>
      <w:r w:rsidR="00D01B60">
        <w:t>u</w:t>
      </w:r>
      <w:r>
        <w:t xml:space="preserve"> </w:t>
      </w:r>
      <w:r w:rsidR="00335947">
        <w:t>Ministarstvo prostornoga uređenja, graditeljstva i državne imovine</w:t>
      </w:r>
      <w:r w:rsidR="00247AEC">
        <w:t>. R</w:t>
      </w:r>
      <w:r>
        <w:t>ekonstruiran je model obnove i poboljšan model samoobnove tako da s</w:t>
      </w:r>
      <w:r w:rsidR="00335947">
        <w:t>e</w:t>
      </w:r>
      <w:r>
        <w:t xml:space="preserve"> građanima odmah osigura</w:t>
      </w:r>
      <w:r w:rsidR="00335947">
        <w:t>vaju</w:t>
      </w:r>
      <w:r>
        <w:t xml:space="preserve"> sva potrebna sredstva za obnovu odnosno gradnju </w:t>
      </w:r>
      <w:r w:rsidR="00335947">
        <w:t xml:space="preserve">zamjenske </w:t>
      </w:r>
      <w:r>
        <w:t>kuće</w:t>
      </w:r>
      <w:r w:rsidR="00D65158">
        <w:t xml:space="preserve"> te im se ista isplaćuju unaprijed</w:t>
      </w:r>
      <w:r>
        <w:t>. Također, proširen je krug korisnika obnove na srodnike, smanjena je dokumentacija</w:t>
      </w:r>
      <w:r w:rsidR="00335947">
        <w:t xml:space="preserve"> u postupku utvrđivanja činjeničnog stanja</w:t>
      </w:r>
      <w:r>
        <w:t xml:space="preserve">, a time i broj sudionika u procesu obnove te je uvedena mogućnost gradnje novih </w:t>
      </w:r>
      <w:proofErr w:type="spellStart"/>
      <w:r>
        <w:t>višestambenih</w:t>
      </w:r>
      <w:proofErr w:type="spellEnd"/>
      <w:r>
        <w:t xml:space="preserve"> zgrada</w:t>
      </w:r>
      <w:r w:rsidR="00050FFD">
        <w:t xml:space="preserve"> te kupnja nekretnina</w:t>
      </w:r>
      <w:r>
        <w:t xml:space="preserve">, kao i korištenje državnih stanova. </w:t>
      </w:r>
    </w:p>
    <w:p w14:paraId="69D8F39C" w14:textId="77777777" w:rsidR="00245060" w:rsidRDefault="00245060"/>
    <w:p w14:paraId="3195F376" w14:textId="534D86BD" w:rsidR="00245060" w:rsidRDefault="00245060" w:rsidP="00245060">
      <w:r>
        <w:t>Radi ubrzanja i poj</w:t>
      </w:r>
      <w:r w:rsidR="006C422E">
        <w:t>ednostavljenja obnove novim se Z</w:t>
      </w:r>
      <w:r>
        <w:t xml:space="preserve">akonom </w:t>
      </w:r>
      <w:r w:rsidR="006C422E">
        <w:t xml:space="preserve">o obnovi </w:t>
      </w:r>
      <w:r>
        <w:t>ukida izrada elaborata ocjene postojećeg stanja građevinske konstrukcije kod obnove</w:t>
      </w:r>
      <w:r w:rsidR="00B07ABC">
        <w:t xml:space="preserve"> obiteljskih</w:t>
      </w:r>
      <w:r>
        <w:t xml:space="preserve"> kuća, obveza izrade projekta uklanjanja za </w:t>
      </w:r>
      <w:r w:rsidR="00752305">
        <w:t xml:space="preserve">slobodnostojeće </w:t>
      </w:r>
      <w:r>
        <w:t>obiteljske kuće, tehničko-financijska kontrola projekta te potreba ishođenja posebnih konzervatorskih uvjeta za konstrukcijsku obnovu zgrada unutar kulturno-povijesne cjeline</w:t>
      </w:r>
      <w:r w:rsidR="00951449">
        <w:t xml:space="preserve"> koje nisu pojedinačno kulturno dobro</w:t>
      </w:r>
      <w:r>
        <w:t>.</w:t>
      </w:r>
    </w:p>
    <w:p w14:paraId="60A9C5AA" w14:textId="77777777" w:rsidR="00245060" w:rsidRDefault="00245060" w:rsidP="00245060"/>
    <w:p w14:paraId="6C10F5C1" w14:textId="2C9F5A84" w:rsidR="00245060" w:rsidRDefault="000B2442" w:rsidP="00245060">
      <w:r>
        <w:t xml:space="preserve">Istovremeno, kroz novi zakonski okvir uveden je </w:t>
      </w:r>
      <w:r w:rsidR="00245060">
        <w:t xml:space="preserve">model zamjene prava vlasništva umjesto obnove i izgradnje zamjenskih kuća te </w:t>
      </w:r>
      <w:r>
        <w:t xml:space="preserve">je </w:t>
      </w:r>
      <w:r w:rsidR="00245060">
        <w:t>prošir</w:t>
      </w:r>
      <w:r>
        <w:t>en</w:t>
      </w:r>
      <w:r w:rsidR="00245060">
        <w:t xml:space="preserve"> krug osoba s pravom na obnovu na braću i sestre vlasnika, odnosno bračnog</w:t>
      </w:r>
      <w:r>
        <w:t>/</w:t>
      </w:r>
      <w:r w:rsidR="00245060">
        <w:t>izvanbračnog druga, životnog partnera, odnosno neformalnog životnog partnera vlasnikovog srodnika.</w:t>
      </w:r>
    </w:p>
    <w:p w14:paraId="659EF3AC" w14:textId="77777777" w:rsidR="00C3368D" w:rsidRDefault="00C3368D" w:rsidP="00245060"/>
    <w:p w14:paraId="7E8A8252" w14:textId="7D17662E" w:rsidR="00C3368D" w:rsidRDefault="00C3368D" w:rsidP="00245060">
      <w:r>
        <w:t>Z</w:t>
      </w:r>
      <w:r w:rsidRPr="00074C83">
        <w:t xml:space="preserve">a potrebe provedbe postupaka iz </w:t>
      </w:r>
      <w:r>
        <w:t xml:space="preserve">novog </w:t>
      </w:r>
      <w:r w:rsidRPr="00074C83">
        <w:t>Zakona</w:t>
      </w:r>
      <w:r>
        <w:t xml:space="preserve"> o obnovi </w:t>
      </w:r>
      <w:r w:rsidRPr="00074C83">
        <w:t>proširuju se dokazna sredstva kojima podnositelj zahtjeva dokazuje pravo vlasništva, a koja</w:t>
      </w:r>
      <w:r>
        <w:t xml:space="preserve"> </w:t>
      </w:r>
      <w:r w:rsidRPr="00074C83">
        <w:t>se</w:t>
      </w:r>
      <w:r>
        <w:t xml:space="preserve"> </w:t>
      </w:r>
      <w:r w:rsidRPr="00074C83">
        <w:t xml:space="preserve">razlikuju od uobičajenih načina dokazivanja. </w:t>
      </w:r>
      <w:r>
        <w:t xml:space="preserve"> </w:t>
      </w:r>
      <w:r w:rsidRPr="00074C83">
        <w:t>Dodatna dokazna sredstva su uvedena</w:t>
      </w:r>
      <w:r>
        <w:t xml:space="preserve"> </w:t>
      </w:r>
      <w:r w:rsidRPr="00074C83">
        <w:t>radi ubrzanja i pojednostavljenja postupka odlučivanja o obnovi uz napomenu da rješenje o</w:t>
      </w:r>
      <w:r>
        <w:t xml:space="preserve"> </w:t>
      </w:r>
      <w:r w:rsidRPr="00074C83">
        <w:t>obnovi i rješenje o novčanoj pomoći nemaju pravnog učinka na pravo vlasništva i druga stvarna</w:t>
      </w:r>
      <w:r>
        <w:t xml:space="preserve"> </w:t>
      </w:r>
      <w:r w:rsidRPr="00074C83">
        <w:t xml:space="preserve">prava na obnovljenoj nekretnini. </w:t>
      </w:r>
    </w:p>
    <w:p w14:paraId="61B0D5A3" w14:textId="77777777" w:rsidR="00245060" w:rsidRDefault="00245060" w:rsidP="00245060"/>
    <w:p w14:paraId="5800B70A" w14:textId="359CE7E0" w:rsidR="00245060" w:rsidRDefault="00245060" w:rsidP="00245060">
      <w:r>
        <w:t>Agenciji za pravni promet i posredovanje nekretninama da</w:t>
      </w:r>
      <w:r w:rsidR="000B2442">
        <w:t xml:space="preserve">na je </w:t>
      </w:r>
      <w:r>
        <w:t xml:space="preserve">ovlast za gradnju </w:t>
      </w:r>
      <w:proofErr w:type="spellStart"/>
      <w:r>
        <w:t>višestambenih</w:t>
      </w:r>
      <w:proofErr w:type="spellEnd"/>
      <w:r>
        <w:t xml:space="preserve"> zgrada i stjecanje nekretnina za privremeni smještaj.</w:t>
      </w:r>
    </w:p>
    <w:p w14:paraId="2E7AD8E5" w14:textId="77777777" w:rsidR="00245060" w:rsidRDefault="00245060" w:rsidP="00245060"/>
    <w:p w14:paraId="7DBE0874" w14:textId="09B6FCE3" w:rsidR="00662523" w:rsidRDefault="00245060">
      <w:r>
        <w:t>Uv</w:t>
      </w:r>
      <w:r w:rsidR="000B2442">
        <w:t>eden</w:t>
      </w:r>
      <w:r w:rsidR="00C254F7">
        <w:t>a</w:t>
      </w:r>
      <w:r w:rsidR="000B2442">
        <w:t xml:space="preserve"> je </w:t>
      </w:r>
      <w:r>
        <w:t>novčan</w:t>
      </w:r>
      <w:r w:rsidR="00347F05">
        <w:t>a</w:t>
      </w:r>
      <w:r>
        <w:t xml:space="preserve"> pomoć građanima za uklanjanje uništenih zgrada, uključujući i pomoćne, gospodarske i ostale uništene zgrade, novčan</w:t>
      </w:r>
      <w:r w:rsidR="00C254F7">
        <w:t>a</w:t>
      </w:r>
      <w:r>
        <w:t xml:space="preserve"> pomoć za troškove izrade projekta, te mogućnost gradnje zamjenske obiteljske kuće u slučaju u kojem se utvrdi da popravak konstrukcije nije opravdan zbog klizišta i promjena temeljnih karakteristika tla.</w:t>
      </w:r>
      <w:r w:rsidR="00A02AD8">
        <w:t xml:space="preserve"> </w:t>
      </w:r>
      <w:r w:rsidR="00966549">
        <w:t>Ujedno, u</w:t>
      </w:r>
      <w:r w:rsidR="00662523" w:rsidRPr="00662523">
        <w:t>v</w:t>
      </w:r>
      <w:r w:rsidR="00347F05">
        <w:t xml:space="preserve">edena je </w:t>
      </w:r>
      <w:r w:rsidR="00662523" w:rsidRPr="00662523">
        <w:t>mogućnost uklanjanja i onih kuća koje su dobile odluku o konstrukcijskoj obnovi</w:t>
      </w:r>
      <w:r w:rsidR="006C422E">
        <w:t>,</w:t>
      </w:r>
      <w:r w:rsidR="00662523" w:rsidRPr="00662523">
        <w:t xml:space="preserve"> a imaju ponudu donatora za gradnju zamjenske obiteljsk</w:t>
      </w:r>
      <w:r w:rsidR="006C422E">
        <w:t xml:space="preserve">e kuće. U tom slučaju država </w:t>
      </w:r>
      <w:r w:rsidR="00662523" w:rsidRPr="00662523">
        <w:t>ukl</w:t>
      </w:r>
      <w:r w:rsidR="003B771F">
        <w:t xml:space="preserve">anja </w:t>
      </w:r>
      <w:r w:rsidR="00662523" w:rsidRPr="00662523">
        <w:t xml:space="preserve">postojeću kuću i </w:t>
      </w:r>
      <w:r w:rsidR="001D4DE5">
        <w:t>priprem</w:t>
      </w:r>
      <w:r w:rsidR="003B771F">
        <w:t>a</w:t>
      </w:r>
      <w:r w:rsidR="001D4DE5">
        <w:t xml:space="preserve"> </w:t>
      </w:r>
      <w:r w:rsidR="00662523" w:rsidRPr="00662523">
        <w:t xml:space="preserve">teren </w:t>
      </w:r>
      <w:r w:rsidR="002469C3">
        <w:t xml:space="preserve">za gradnju </w:t>
      </w:r>
      <w:r w:rsidR="00A02AD8">
        <w:t xml:space="preserve">zamjenske </w:t>
      </w:r>
      <w:r w:rsidR="002469C3">
        <w:t>obiteljske kuće</w:t>
      </w:r>
      <w:r w:rsidR="00662523" w:rsidRPr="00662523">
        <w:t xml:space="preserve">. </w:t>
      </w:r>
    </w:p>
    <w:p w14:paraId="1B063546" w14:textId="77777777" w:rsidR="004615E8" w:rsidRDefault="004615E8"/>
    <w:p w14:paraId="4CE73203" w14:textId="72DC3F8C" w:rsidR="00703F41" w:rsidRDefault="00966549" w:rsidP="009C7997">
      <w:r>
        <w:lastRenderedPageBreak/>
        <w:t xml:space="preserve">Također, </w:t>
      </w:r>
      <w:r w:rsidR="00703F41">
        <w:t xml:space="preserve">Zakonom o obnovi predviđa se stambeno zbrinjavanje pogođenih osoba davanjem u vlasništvo kuće ili stana umjesto obnove ili izgradnje zamjenske obiteljske kuće. </w:t>
      </w:r>
    </w:p>
    <w:p w14:paraId="494FC807" w14:textId="77777777" w:rsidR="00703F41" w:rsidRDefault="00703F41" w:rsidP="009C7997"/>
    <w:p w14:paraId="72098BA7" w14:textId="5C76816B" w:rsidR="009C7997" w:rsidRDefault="009C7997" w:rsidP="009C7997">
      <w:r>
        <w:t>Uvodi se učinkovitija i prikladnija javna nabava po geografskim cjelinama i blokovskim rješenjima i skraćivanje rokova za izradu projektne dokumentacije i provedbu revizije.</w:t>
      </w:r>
    </w:p>
    <w:p w14:paraId="733F7A67" w14:textId="77777777" w:rsidR="009C7997" w:rsidRDefault="009C7997" w:rsidP="009C7997"/>
    <w:p w14:paraId="60384179" w14:textId="346F83F2" w:rsidR="00662523" w:rsidRDefault="009C7997" w:rsidP="009C7997">
      <w:r>
        <w:t>Najviše cijene usluga i radova utvrđuje tijel</w:t>
      </w:r>
      <w:r w:rsidR="00192D40">
        <w:t>o</w:t>
      </w:r>
      <w:r>
        <w:t xml:space="preserve"> koj</w:t>
      </w:r>
      <w:r w:rsidR="00192D40">
        <w:t>e</w:t>
      </w:r>
      <w:r w:rsidR="00966549">
        <w:t xml:space="preserve">g je </w:t>
      </w:r>
      <w:r>
        <w:t xml:space="preserve">odlukom </w:t>
      </w:r>
      <w:r w:rsidR="008D3D3F">
        <w:t xml:space="preserve">odredila </w:t>
      </w:r>
      <w:r>
        <w:t>Vlada</w:t>
      </w:r>
      <w:r w:rsidR="00B441D5">
        <w:t xml:space="preserve"> Republike Hrvatske</w:t>
      </w:r>
      <w:r w:rsidR="00161697">
        <w:t xml:space="preserve"> </w:t>
      </w:r>
      <w:r w:rsidR="008D3D3F">
        <w:t>a to je</w:t>
      </w:r>
      <w:r w:rsidR="00161697">
        <w:t xml:space="preserve"> Građevinski fakultet</w:t>
      </w:r>
      <w:r w:rsidR="00E4456B">
        <w:t xml:space="preserve"> Sveučilišta u Zagrebu</w:t>
      </w:r>
      <w:r>
        <w:t>. Transparentnost i vidljivost procesa obnove ojača</w:t>
      </w:r>
      <w:r w:rsidR="008D3D3F">
        <w:t xml:space="preserve">na je </w:t>
      </w:r>
      <w:r>
        <w:t>izradom cjelovite GIS - aplikacije područja obuhvaćenog potresom.</w:t>
      </w:r>
    </w:p>
    <w:p w14:paraId="254BF3F3" w14:textId="77777777" w:rsidR="00662523" w:rsidRDefault="00662523"/>
    <w:p w14:paraId="1C4F1B73" w14:textId="78763B6A" w:rsidR="00F53B11" w:rsidRDefault="00FE4BE2">
      <w:r w:rsidRPr="00FE4BE2">
        <w:t xml:space="preserve">Novim </w:t>
      </w:r>
      <w:r w:rsidR="00B465B4">
        <w:t>Z</w:t>
      </w:r>
      <w:r w:rsidRPr="00FE4BE2">
        <w:t>akonom</w:t>
      </w:r>
      <w:r w:rsidR="00B465B4">
        <w:t xml:space="preserve"> o obnovi</w:t>
      </w:r>
      <w:r w:rsidRPr="00FE4BE2">
        <w:t xml:space="preserve"> poboljša</w:t>
      </w:r>
      <w:r w:rsidR="00C7081C">
        <w:t>n</w:t>
      </w:r>
      <w:r w:rsidRPr="00FE4BE2">
        <w:t xml:space="preserve"> </w:t>
      </w:r>
      <w:r w:rsidR="00C7081C">
        <w:t>j</w:t>
      </w:r>
      <w:r w:rsidR="006C422E">
        <w:t xml:space="preserve">e i </w:t>
      </w:r>
      <w:r w:rsidRPr="00FE4BE2">
        <w:t xml:space="preserve">model </w:t>
      </w:r>
      <w:r w:rsidR="00F53E8D">
        <w:t xml:space="preserve">dodjele novčane pomoći tzv. </w:t>
      </w:r>
      <w:r w:rsidRPr="00FE4BE2">
        <w:t>samoobnov</w:t>
      </w:r>
      <w:r w:rsidR="00F53E8D">
        <w:t>a</w:t>
      </w:r>
      <w:r w:rsidRPr="00FE4BE2">
        <w:t>. Zainteresiran</w:t>
      </w:r>
      <w:r w:rsidR="00684E2B">
        <w:t>om</w:t>
      </w:r>
      <w:r w:rsidRPr="00FE4BE2">
        <w:t xml:space="preserve"> građanin</w:t>
      </w:r>
      <w:r w:rsidR="00684E2B">
        <w:t>u</w:t>
      </w:r>
      <w:r w:rsidRPr="00FE4BE2">
        <w:t xml:space="preserve"> čija je kuća oštećena u potresu i koji provodi konstrukcijsku obnovu ili gradi novu zamjensku kuću, onog trenutka kad dobije rješenje Ministarstva na temelju izrađenog nalaza, država na njegov poseban račun u komercijalnoj banci </w:t>
      </w:r>
      <w:r w:rsidR="008D3D3F">
        <w:t>uplaćuje</w:t>
      </w:r>
      <w:r w:rsidRPr="00FE4BE2">
        <w:t xml:space="preserve"> </w:t>
      </w:r>
      <w:r w:rsidR="00684E2B">
        <w:t xml:space="preserve">cjelokupni </w:t>
      </w:r>
      <w:r w:rsidRPr="00FE4BE2">
        <w:t xml:space="preserve">iznos potrebnog novca za obnovu ili izgradnju nove kuće, a u skladu s iznosima predviđenima za veličinu zamjenske kuće ili za projekt konstrukcijske obnove. </w:t>
      </w:r>
      <w:r w:rsidR="008D3D3F">
        <w:t>Dodatno, z</w:t>
      </w:r>
      <w:r w:rsidR="003458BF">
        <w:t xml:space="preserve">a poslove </w:t>
      </w:r>
      <w:r w:rsidR="00C3368D">
        <w:t xml:space="preserve">vođenja </w:t>
      </w:r>
      <w:r w:rsidR="003458BF">
        <w:t xml:space="preserve">obnove </w:t>
      </w:r>
      <w:r w:rsidR="00C3368D">
        <w:t xml:space="preserve">isplaćuje se </w:t>
      </w:r>
      <w:r w:rsidRPr="00FE4BE2">
        <w:t>naknada za koordinaciju samoobnove</w:t>
      </w:r>
      <w:r>
        <w:t>.</w:t>
      </w:r>
    </w:p>
    <w:p w14:paraId="2F195727" w14:textId="77777777" w:rsidR="00F53B11" w:rsidRDefault="00F53B11"/>
    <w:p w14:paraId="45CA9C5C" w14:textId="77777777" w:rsidR="00877E95" w:rsidRPr="00877E95" w:rsidRDefault="00877E95" w:rsidP="00877E95">
      <w:r w:rsidRPr="00877E95">
        <w:t xml:space="preserve">Za potrebe provedbe postupaka iz novog Zakona o obnovi proširuju se dokazna sredstva kojima podnositelj zahtjeva dokazuje pravo vlasništva, a koja se razlikuju od uobičajenih načina dokazivanja.  Dodatna dokazna sredstva su uvedena radi ubrzanja i pojednostavljenja postupka odlučivanja o obnovi uz napomenu da rješenje o obnovi i rješenje o novčanoj pomoći nemaju pravnog učinka na pravo vlasništva i druga stvarna prava na obnovljenoj nekretnini. </w:t>
      </w:r>
    </w:p>
    <w:p w14:paraId="08DD5DBA" w14:textId="77777777" w:rsidR="00877E95" w:rsidRPr="00877E95" w:rsidRDefault="00877E95" w:rsidP="00877E95"/>
    <w:p w14:paraId="2F61560E" w14:textId="77777777" w:rsidR="00877E95" w:rsidRPr="00877E95" w:rsidRDefault="00877E95" w:rsidP="00877E95">
      <w:r w:rsidRPr="00877E95">
        <w:t>Cilj novog zakonodavnog okvira uz ubrzanje dinamike obnove ujedno je i revitalizacija područja pogođenih potresom te pomoć građanima u njihovom stambenom zbrinjavanju.</w:t>
      </w:r>
    </w:p>
    <w:p w14:paraId="442F1461" w14:textId="77777777" w:rsidR="00877E95" w:rsidRPr="00877E95" w:rsidRDefault="00877E95" w:rsidP="00877E95"/>
    <w:p w14:paraId="7ADD0C24" w14:textId="6F4DC0B9" w:rsidR="1703288E" w:rsidRDefault="1703288E">
      <w:r>
        <w:t xml:space="preserve">Istovremeno, radi objedinjavanja državnih tijela nadležnih za obnovu, donesen je Zakon o izmjenama Zakona </w:t>
      </w:r>
      <w:r w:rsidR="00041073">
        <w:t xml:space="preserve">o </w:t>
      </w:r>
      <w:r>
        <w:t>ustrojstvu i djelokrugu tijela državne uprave („Narodne novine“</w:t>
      </w:r>
      <w:r w:rsidR="006C422E">
        <w:t>,</w:t>
      </w:r>
      <w:r>
        <w:t xml:space="preserve"> broj 21/23</w:t>
      </w:r>
      <w:r w:rsidR="006C422E">
        <w:t>.</w:t>
      </w:r>
      <w:r>
        <w:t>) koji</w:t>
      </w:r>
      <w:r w:rsidR="009D69DA">
        <w:t>m je</w:t>
      </w:r>
      <w:r>
        <w:t xml:space="preserve"> Središnji državni ured </w:t>
      </w:r>
      <w:r w:rsidR="007D46FF">
        <w:t>prestao s radom te je</w:t>
      </w:r>
      <w:r w:rsidR="00BA37C2">
        <w:t xml:space="preserve"> </w:t>
      </w:r>
      <w:r>
        <w:t xml:space="preserve">njihove poslove </w:t>
      </w:r>
      <w:r w:rsidR="00D7395D">
        <w:t xml:space="preserve">i službenike </w:t>
      </w:r>
      <w:r>
        <w:t xml:space="preserve">preuzelo Ministarstvo. </w:t>
      </w:r>
    </w:p>
    <w:p w14:paraId="73700805" w14:textId="77777777" w:rsidR="001A6FC0" w:rsidRDefault="001A6FC0"/>
    <w:p w14:paraId="4950E63D" w14:textId="434984DE" w:rsidR="001A6FC0" w:rsidRDefault="004615E8">
      <w:r>
        <w:t xml:space="preserve">Temeljem predmetnog Zakona, </w:t>
      </w:r>
      <w:r w:rsidR="00B134AD" w:rsidRPr="00B134AD">
        <w:t xml:space="preserve">Vlada </w:t>
      </w:r>
      <w:r w:rsidR="00B134AD">
        <w:t xml:space="preserve">Republike Hrvatske </w:t>
      </w:r>
      <w:r w:rsidR="00B134AD" w:rsidRPr="00B134AD">
        <w:t>je 9. ožujka 2023.</w:t>
      </w:r>
      <w:r w:rsidR="00B134AD">
        <w:t xml:space="preserve"> </w:t>
      </w:r>
      <w:r w:rsidR="001715A3">
        <w:t xml:space="preserve">donijela </w:t>
      </w:r>
      <w:r w:rsidR="00B134AD" w:rsidRPr="00B134AD">
        <w:t>Uredbu</w:t>
      </w:r>
      <w:r w:rsidR="001715A3">
        <w:t xml:space="preserve"> </w:t>
      </w:r>
      <w:r w:rsidR="00B134AD" w:rsidRPr="00B134AD">
        <w:t xml:space="preserve">o unutarnjem ustrojstvu Ministarstva prostornoga uređenja, </w:t>
      </w:r>
      <w:r w:rsidR="001715A3">
        <w:t xml:space="preserve">graditeljstva i državne imovine („Narodne novine“, broj </w:t>
      </w:r>
      <w:r w:rsidR="00B134AD" w:rsidRPr="00B134AD">
        <w:t>28/23</w:t>
      </w:r>
      <w:r w:rsidR="001715A3">
        <w:t xml:space="preserve">.) </w:t>
      </w:r>
      <w:r w:rsidR="003E4306">
        <w:t>kojom se uredi</w:t>
      </w:r>
      <w:r w:rsidR="003B6A95">
        <w:t>l</w:t>
      </w:r>
      <w:r w:rsidR="00F733A5">
        <w:t>o unutarnje ustrojstvo</w:t>
      </w:r>
      <w:r w:rsidR="00793D7B">
        <w:t>,</w:t>
      </w:r>
      <w:r w:rsidR="00F733A5">
        <w:t xml:space="preserve"> </w:t>
      </w:r>
      <w:r w:rsidR="00793D7B" w:rsidRPr="00793D7B">
        <w:t>nazivi i djelokrug upravnih organizacija i ustrojstvenih jedinica, način upravljanja, okvirni broj potrebnih državnih službenika i namještenika, način planiranja poslova</w:t>
      </w:r>
      <w:r w:rsidR="003044B6">
        <w:t xml:space="preserve"> </w:t>
      </w:r>
      <w:r w:rsidR="00793D7B" w:rsidRPr="00793D7B">
        <w:t>kao i druga pitanja od osobitog značaja za rad Ministarstva.</w:t>
      </w:r>
      <w:r w:rsidR="003B6A95">
        <w:t xml:space="preserve"> </w:t>
      </w:r>
      <w:r w:rsidR="00793D7B">
        <w:t xml:space="preserve">Sistematizacija radnih mjesta </w:t>
      </w:r>
      <w:r w:rsidR="005B17D5">
        <w:t xml:space="preserve">uređena je Pravilnikom o </w:t>
      </w:r>
      <w:r w:rsidR="006F597F">
        <w:t xml:space="preserve">unutarnjem </w:t>
      </w:r>
      <w:r w:rsidR="003044B6">
        <w:t>redu</w:t>
      </w:r>
      <w:r w:rsidR="00830D24">
        <w:t xml:space="preserve"> </w:t>
      </w:r>
      <w:r w:rsidR="00C27552">
        <w:t>Ministarstva</w:t>
      </w:r>
      <w:r w:rsidR="00C27552" w:rsidRPr="00C27552">
        <w:t xml:space="preserve"> prostornoga uređenja, graditeljstva i državne imovine</w:t>
      </w:r>
      <w:r w:rsidR="006F597F">
        <w:t xml:space="preserve">. </w:t>
      </w:r>
    </w:p>
    <w:p w14:paraId="77D820DE" w14:textId="77777777" w:rsidR="0032708B" w:rsidRDefault="0032708B"/>
    <w:p w14:paraId="5F9F2560" w14:textId="69ACE28A" w:rsidR="0032708B" w:rsidRDefault="0032708B">
      <w:r>
        <w:t>Uz</w:t>
      </w:r>
      <w:r w:rsidR="00490F50">
        <w:t xml:space="preserve"> </w:t>
      </w:r>
      <w:r w:rsidR="00735DE3">
        <w:t xml:space="preserve">donošenje nove </w:t>
      </w:r>
      <w:r w:rsidR="00490F50">
        <w:t>sistematizacij</w:t>
      </w:r>
      <w:r w:rsidR="00735DE3">
        <w:t xml:space="preserve">e, Ministarstvo je </w:t>
      </w:r>
      <w:r w:rsidR="00041073">
        <w:t>po</w:t>
      </w:r>
      <w:r w:rsidR="00735DE3">
        <w:t>krenulo obnovu</w:t>
      </w:r>
      <w:r w:rsidR="0026384A">
        <w:t xml:space="preserve"> </w:t>
      </w:r>
      <w:r w:rsidR="00FB1EC1">
        <w:t xml:space="preserve">vlastitih </w:t>
      </w:r>
      <w:r w:rsidR="00735DE3">
        <w:t xml:space="preserve">zgrada </w:t>
      </w:r>
      <w:r w:rsidR="0026384A">
        <w:t>te je bilo nužno osigurati kontinuiran i nesmetan rad službenik</w:t>
      </w:r>
      <w:r w:rsidR="0017748C">
        <w:t>a</w:t>
      </w:r>
      <w:r w:rsidR="0026384A">
        <w:t xml:space="preserve">. </w:t>
      </w:r>
      <w:r w:rsidR="00490F50">
        <w:t xml:space="preserve"> </w:t>
      </w:r>
    </w:p>
    <w:p w14:paraId="2033C7C9" w14:textId="1FA55462" w:rsidR="01446095" w:rsidRDefault="01446095" w:rsidP="01446095"/>
    <w:p w14:paraId="756053A2" w14:textId="198E99E2" w:rsidR="00F954CE" w:rsidRPr="00F954CE" w:rsidRDefault="00F954CE" w:rsidP="00F954CE">
      <w:r>
        <w:lastRenderedPageBreak/>
        <w:t xml:space="preserve">S ciljem kvalitetnije provedbe Zakona o obnovi donesen je </w:t>
      </w:r>
      <w:proofErr w:type="spellStart"/>
      <w:r w:rsidR="0095771E">
        <w:t>podzakonski</w:t>
      </w:r>
      <w:proofErr w:type="spellEnd"/>
      <w:r w:rsidR="0095771E">
        <w:t xml:space="preserve"> akt, </w:t>
      </w:r>
      <w:r>
        <w:t xml:space="preserve">novi Program mjera </w:t>
      </w:r>
      <w:r w:rsidRPr="00F954CE">
        <w:t>obnove zgrada oštećenih potresom na području Grada Zagreba, Krapinsko-zagorske županije, Zagrebačke županije, Sisačko-moslavačke županije i Karlovačke županije („Narodne novine</w:t>
      </w:r>
      <w:r w:rsidR="001715A3">
        <w:t>“,</w:t>
      </w:r>
      <w:r w:rsidRPr="00F954CE">
        <w:t xml:space="preserve"> broj 28/23</w:t>
      </w:r>
      <w:r w:rsidR="001715A3">
        <w:t>.</w:t>
      </w:r>
      <w:r w:rsidRPr="00F954CE">
        <w:t>)</w:t>
      </w:r>
      <w:r w:rsidR="001E152C">
        <w:t xml:space="preserve"> (dalje: Program mjera)</w:t>
      </w:r>
      <w:r w:rsidR="0095771E">
        <w:t xml:space="preserve"> </w:t>
      </w:r>
      <w:r w:rsidRPr="00F954CE">
        <w:t>kojim se detaljno razrađuje postupanje po podnesenim zahtjevima za obnovu.</w:t>
      </w:r>
    </w:p>
    <w:p w14:paraId="710EEB5D" w14:textId="77777777" w:rsidR="00F954CE" w:rsidRDefault="00F954CE" w:rsidP="003748B5"/>
    <w:p w14:paraId="1E2927C4" w14:textId="140A19DE" w:rsidR="00DB2C7D" w:rsidRDefault="003748B5" w:rsidP="003748B5">
      <w:r w:rsidRPr="00C9549D">
        <w:t xml:space="preserve">Predmetnim Programom mjera pojednostavljuje </w:t>
      </w:r>
      <w:r w:rsidR="00681BDC">
        <w:t xml:space="preserve">se </w:t>
      </w:r>
      <w:r w:rsidRPr="00C9549D">
        <w:t xml:space="preserve">postupak odlučivanja na način da </w:t>
      </w:r>
      <w:r w:rsidR="00E6643F">
        <w:t xml:space="preserve">se </w:t>
      </w:r>
      <w:r w:rsidRPr="00C9549D">
        <w:t>rješenje o obnovi odnosno o novčanoj pomoći donosi nakon izrade nalaza</w:t>
      </w:r>
      <w:r w:rsidR="00E44808">
        <w:t xml:space="preserve"> za razliku od ranijeg postupka kada se prethodno utvrđivalo pravo </w:t>
      </w:r>
      <w:r w:rsidR="008A6006">
        <w:t xml:space="preserve">na </w:t>
      </w:r>
      <w:r w:rsidR="00E44808">
        <w:t>obnov</w:t>
      </w:r>
      <w:r w:rsidR="008A6006">
        <w:t>u</w:t>
      </w:r>
      <w:r w:rsidR="00E44808">
        <w:t xml:space="preserve"> pa tek </w:t>
      </w:r>
      <w:r w:rsidR="00FA7ECD">
        <w:t>tada izrađivao nalaz</w:t>
      </w:r>
      <w:r w:rsidR="006779CD">
        <w:t xml:space="preserve">, </w:t>
      </w:r>
      <w:r w:rsidR="00FA7ECD">
        <w:t>što je nerijetko produživalo sam proces utvrđivanja činjeničnog stanja</w:t>
      </w:r>
      <w:r w:rsidR="00E6643F">
        <w:t>.</w:t>
      </w:r>
    </w:p>
    <w:p w14:paraId="134E4772" w14:textId="77777777" w:rsidR="003748B5" w:rsidRPr="00C9549D" w:rsidRDefault="003748B5" w:rsidP="003748B5"/>
    <w:p w14:paraId="75FFE4CC" w14:textId="2974AAD3" w:rsidR="00C82617" w:rsidRDefault="00DB0D97" w:rsidP="003748B5">
      <w:r>
        <w:t>Uz ubrzanje procesa obnove naglasak je stavljen i na stambeno zbrinjavanje stanovništva potresom pogođenih područja</w:t>
      </w:r>
      <w:r w:rsidR="001715A3">
        <w:t>,</w:t>
      </w:r>
      <w:r>
        <w:t xml:space="preserve"> a koji borave u mobilnim stambenim jedinicama</w:t>
      </w:r>
      <w:r w:rsidR="00C82617">
        <w:t xml:space="preserve"> (kontejnerima) kako bi im se osigurao adekvatan zamjenski smještaj do obnove njihovih domova. </w:t>
      </w:r>
    </w:p>
    <w:p w14:paraId="2C48BEB9" w14:textId="77777777" w:rsidR="00120E29" w:rsidRDefault="00120E29" w:rsidP="003748B5"/>
    <w:p w14:paraId="3C489731" w14:textId="2EF7F82C" w:rsidR="0018438E" w:rsidRPr="008E4C0D" w:rsidRDefault="00CD1A0E" w:rsidP="003748B5">
      <w:r w:rsidRPr="008E4C0D">
        <w:t>Vlada</w:t>
      </w:r>
      <w:r>
        <w:t xml:space="preserve"> Republike Hrvatske</w:t>
      </w:r>
      <w:r w:rsidRPr="008E4C0D">
        <w:t xml:space="preserve"> je</w:t>
      </w:r>
      <w:r>
        <w:t xml:space="preserve"> </w:t>
      </w:r>
      <w:r w:rsidR="001715A3">
        <w:t>8. veljače 2023.</w:t>
      </w:r>
      <w:r>
        <w:t xml:space="preserve"> prihvatila informaciju o donošenju </w:t>
      </w:r>
      <w:r w:rsidR="0018438E" w:rsidRPr="008E4C0D">
        <w:t>Program</w:t>
      </w:r>
      <w:r w:rsidR="00120E29">
        <w:t>a</w:t>
      </w:r>
      <w:r w:rsidR="0018438E" w:rsidRPr="008E4C0D">
        <w:t xml:space="preserve"> zbrinjavanja korisnika mobilnih stambenih jedinica na području Grada Zagreba, Krapinsko-zagorske županije, Zagrebačke županije, Sisačko-moslavačke županije i Karlovačke županije</w:t>
      </w:r>
      <w:r w:rsidR="008E4C0D" w:rsidRPr="008E4C0D">
        <w:t xml:space="preserve">. Programom se utvrđuje status svih korisnika mobilnih stambenih jedinica te modeli njihovog zbrinjavanja kao i uspostava dinamičkog plana obnove njihovih domova koji predstavljaju prioritet u rješavanju zahtjeva za obnovom. </w:t>
      </w:r>
    </w:p>
    <w:p w14:paraId="1B1F678B" w14:textId="77777777" w:rsidR="00C82617" w:rsidRPr="008E4C0D" w:rsidRDefault="00C82617" w:rsidP="003748B5"/>
    <w:p w14:paraId="3D17AE44" w14:textId="5872F969" w:rsidR="003748B5" w:rsidRPr="00C9549D" w:rsidRDefault="003748B5" w:rsidP="003748B5">
      <w:r w:rsidRPr="00C9549D">
        <w:t>Vlada Republike Hrvatske</w:t>
      </w:r>
      <w:r w:rsidR="00C82617">
        <w:t xml:space="preserve"> je</w:t>
      </w:r>
      <w:r w:rsidRPr="00C9549D">
        <w:t xml:space="preserve"> u 2023. </w:t>
      </w:r>
      <w:r w:rsidR="007560D0">
        <w:t>godin</w:t>
      </w:r>
      <w:r w:rsidR="009131A9">
        <w:t>i</w:t>
      </w:r>
      <w:r w:rsidR="007560D0">
        <w:t xml:space="preserve"> </w:t>
      </w:r>
      <w:r w:rsidRPr="00C9549D">
        <w:t xml:space="preserve">donijela </w:t>
      </w:r>
      <w:r w:rsidR="007560D0">
        <w:t xml:space="preserve">niz dodatnih </w:t>
      </w:r>
      <w:r w:rsidRPr="00C9549D">
        <w:t xml:space="preserve">odluka </w:t>
      </w:r>
      <w:r w:rsidR="00377E7B">
        <w:t xml:space="preserve">kojima se </w:t>
      </w:r>
      <w:r w:rsidR="00377E7B" w:rsidRPr="00377E7B">
        <w:t>olakša</w:t>
      </w:r>
      <w:r w:rsidR="00377E7B">
        <w:t>vaju</w:t>
      </w:r>
      <w:r w:rsidR="00377E7B" w:rsidRPr="00377E7B">
        <w:t xml:space="preserve"> troškov</w:t>
      </w:r>
      <w:r w:rsidR="00377E7B">
        <w:t>i</w:t>
      </w:r>
      <w:r w:rsidR="00377E7B" w:rsidRPr="00377E7B">
        <w:t xml:space="preserve"> života stanovnika Banovine, pa su tako odlukama Vlade osigurane subvencije za toplinsku i električnu energiju, besplatan prijevoz vlakom, uz besplatnu vožnju autocestom, a jednako tako i otpisivanje potraživanja kada je riječ o pristojbama. Uvedene su subvencije za režijske troškove, a sufinancira se najamnina i trajnog i privremenog smještaja. </w:t>
      </w:r>
    </w:p>
    <w:p w14:paraId="508535FA" w14:textId="77777777" w:rsidR="003748B5" w:rsidRPr="00FB0584" w:rsidRDefault="003748B5" w:rsidP="003748B5">
      <w:pPr>
        <w:rPr>
          <w:color w:val="FF0000"/>
        </w:rPr>
      </w:pPr>
    </w:p>
    <w:p w14:paraId="21749868" w14:textId="19AC431F" w:rsidR="003748B5" w:rsidRPr="00C9549D" w:rsidRDefault="003748B5" w:rsidP="003748B5">
      <w:r w:rsidRPr="008E4C0D">
        <w:t xml:space="preserve">Na sjednici 16. veljače </w:t>
      </w:r>
      <w:r w:rsidR="007560D0">
        <w:t xml:space="preserve">2023. </w:t>
      </w:r>
      <w:r w:rsidRPr="008E4C0D">
        <w:t xml:space="preserve">donijeta </w:t>
      </w:r>
      <w:r w:rsidR="001715A3">
        <w:t xml:space="preserve">je Odluka o izmjenama </w:t>
      </w:r>
      <w:r w:rsidRPr="00C9549D">
        <w:t xml:space="preserve">i dopunama Odluke o dodjeli jednokratne novčane pomoći osobama u privremenom smještaju stradalim u potresu. Tom odlukom dodijeljeno je (pored već dodijeljenih 1.990.842,13 eura) 343.885,69 eura pomoći za stambeno zbrinjavanje. </w:t>
      </w:r>
    </w:p>
    <w:p w14:paraId="1107866E" w14:textId="77777777" w:rsidR="003748B5" w:rsidRPr="00C9549D" w:rsidRDefault="003748B5" w:rsidP="003748B5"/>
    <w:p w14:paraId="519BAB60" w14:textId="77777777" w:rsidR="00377E7B" w:rsidRDefault="003748B5" w:rsidP="003748B5">
      <w:r w:rsidRPr="00C9549D">
        <w:t>Na sjednici 2. ožujka 2023.</w:t>
      </w:r>
      <w:r w:rsidR="001715A3">
        <w:t xml:space="preserve"> </w:t>
      </w:r>
      <w:r w:rsidRPr="00C9549D">
        <w:t>donijeta je Odluka o sufinanciranju troškova režija za privremeno stambeno zbrinjavanje prema Programu zbrinjavanja korisnika mobilnih stambenih jedinica na području Grada Zagreba, Krapinsko-zagorske županije, Zagrebačke županije, Sisačko-moslavačke županije i Karlovačke županije („Narodne novine“</w:t>
      </w:r>
      <w:r w:rsidR="001715A3">
        <w:t>,</w:t>
      </w:r>
      <w:r w:rsidRPr="00C9549D">
        <w:t xml:space="preserve"> broj 26/23</w:t>
      </w:r>
      <w:r w:rsidR="000C5311">
        <w:t>.</w:t>
      </w:r>
      <w:r w:rsidRPr="00C9549D">
        <w:t>). Navedenom Odlukom financiraju se troškovi režija osoba u privremenom smještaju najviše do 160</w:t>
      </w:r>
      <w:r w:rsidR="00782000">
        <w:t>,00</w:t>
      </w:r>
      <w:r w:rsidRPr="00C9549D">
        <w:t xml:space="preserve"> eura mjesečno. Na istoj sjednici donijeta je Odluka o načinu plaćanja i visini zajedničke pričuve za zgrade oštećene potresom na području Zagrebačke županije, Sisačko-moslavačke županije i Karlovačke županije („Narodne novine“</w:t>
      </w:r>
      <w:r w:rsidR="001715A3">
        <w:t>,</w:t>
      </w:r>
      <w:r w:rsidRPr="00C9549D">
        <w:t xml:space="preserve"> broj 26/23</w:t>
      </w:r>
      <w:r w:rsidR="000C5311">
        <w:t>.</w:t>
      </w:r>
      <w:r w:rsidRPr="00C9549D">
        <w:t>).</w:t>
      </w:r>
      <w:r w:rsidR="00D31D83">
        <w:t xml:space="preserve"> </w:t>
      </w:r>
    </w:p>
    <w:p w14:paraId="3DB21C6F" w14:textId="77777777" w:rsidR="00626CC4" w:rsidRDefault="00626CC4" w:rsidP="003748B5"/>
    <w:p w14:paraId="2DF19EF7" w14:textId="77777777" w:rsidR="00626CC4" w:rsidRDefault="00626CC4" w:rsidP="00626CC4">
      <w:r w:rsidRPr="00C9549D">
        <w:t>Pored navedenog</w:t>
      </w:r>
      <w:r>
        <w:t>a</w:t>
      </w:r>
      <w:r w:rsidRPr="00C9549D">
        <w:t xml:space="preserve">, temeljem novoga Zakona o obnovi, Vlada Republike Hrvatske </w:t>
      </w:r>
      <w:r w:rsidRPr="00EB6370">
        <w:t>je na sjednici održanoj 9. ožujka 2023.</w:t>
      </w:r>
      <w:r>
        <w:t xml:space="preserve"> </w:t>
      </w:r>
      <w:r w:rsidRPr="00EB6370">
        <w:t xml:space="preserve">donijela </w:t>
      </w:r>
      <w:r w:rsidRPr="00C9549D">
        <w:t xml:space="preserve">Uredbu o postupcima koji prethode sklapanju pravnih </w:t>
      </w:r>
      <w:r w:rsidRPr="00C9549D">
        <w:lastRenderedPageBreak/>
        <w:t>poslova u svrhu stjecanja prava vlasništva Agencije za pravni promet i posredovanje nekretninama („Narodne novine</w:t>
      </w:r>
      <w:r>
        <w:t>“,</w:t>
      </w:r>
      <w:r w:rsidRPr="00C9549D">
        <w:t xml:space="preserve"> broj 28/23</w:t>
      </w:r>
      <w:r>
        <w:t>.</w:t>
      </w:r>
      <w:r w:rsidRPr="00C9549D">
        <w:t>) te je</w:t>
      </w:r>
      <w:r w:rsidRPr="00162E76">
        <w:t xml:space="preserve"> na sjednici održanoj 2. ožujka 2023</w:t>
      </w:r>
      <w:r>
        <w:t>.,</w:t>
      </w:r>
      <w:r w:rsidRPr="00162E76">
        <w:t xml:space="preserve"> </w:t>
      </w:r>
      <w:r w:rsidRPr="00C9549D">
        <w:t>također donijeta i Odluka o određivanju tijela koje utvrđuje najviše cijene usluga, radova i građevnih proizvoda koje se mogu prihvatiti za isplatu novčanih pomoći prema Zakonu o obnovi zgrada oštećenih potresom na području Grada Zagreba, Krapinsko-zagorske županije, Zagrebačke županije, Sisačko-moslavačke županije i Karlovačke županije („Narodne novine“</w:t>
      </w:r>
      <w:r>
        <w:t>,</w:t>
      </w:r>
      <w:r w:rsidRPr="00C9549D">
        <w:t xml:space="preserve"> broj 26/23</w:t>
      </w:r>
      <w:r>
        <w:t>.</w:t>
      </w:r>
      <w:r w:rsidRPr="00C9549D">
        <w:t xml:space="preserve">). </w:t>
      </w:r>
    </w:p>
    <w:p w14:paraId="296C3197" w14:textId="77777777" w:rsidR="00626CC4" w:rsidRDefault="00626CC4" w:rsidP="00626CC4"/>
    <w:p w14:paraId="0D45EFE2" w14:textId="4C1B24C6" w:rsidR="003748B5" w:rsidRDefault="003748B5" w:rsidP="003748B5">
      <w:r w:rsidRPr="00C9549D">
        <w:t>Nadalje, na sjednici 16. ožujka 2023.</w:t>
      </w:r>
      <w:r w:rsidR="00256716">
        <w:t xml:space="preserve"> </w:t>
      </w:r>
      <w:r w:rsidRPr="00C9549D">
        <w:t>donijeta je Odluka o dodjeli jednokratne novčane pomoći osobama u privremenom smještaju za stradale u potresu. Navedenom Odlukom dodijeljeno</w:t>
      </w:r>
      <w:r w:rsidR="004A6D4F">
        <w:t xml:space="preserve"> je</w:t>
      </w:r>
      <w:r w:rsidRPr="00C9549D">
        <w:t xml:space="preserve"> ukupno 2.334.743,19 eura za pomoć osobama koje se nalaze u privremenom smještaju. </w:t>
      </w:r>
    </w:p>
    <w:p w14:paraId="52C5A8F6" w14:textId="77777777" w:rsidR="006779CD" w:rsidRPr="00C9549D" w:rsidRDefault="006779CD" w:rsidP="003748B5"/>
    <w:p w14:paraId="4F10700A" w14:textId="012D025A" w:rsidR="003748B5" w:rsidRPr="00C9549D" w:rsidRDefault="00702120" w:rsidP="003748B5">
      <w:r>
        <w:t>N</w:t>
      </w:r>
      <w:r w:rsidR="003748B5" w:rsidRPr="00C9549D">
        <w:t>a sjednici 11. svibnja 2023. donijeta je Odluka o financiranju najamnine za privremeno stambeno zbrinjavanje osoba čije su nekretnine oštećene odnosno un</w:t>
      </w:r>
      <w:r w:rsidR="001715A3">
        <w:t>ištene u potresima na području G</w:t>
      </w:r>
      <w:r w:rsidR="003748B5" w:rsidRPr="00C9549D">
        <w:t>rada Zagreba, Krapinsko-zagorske županije, Zagrebačke županije, Sisačko-moslavačke županije i Karlovačke županije 22. ožujka 2020. te 28. i 29. prosinca 2020. („Narodne novine</w:t>
      </w:r>
      <w:r w:rsidR="001715A3">
        <w:t>“,</w:t>
      </w:r>
      <w:r w:rsidR="003748B5" w:rsidRPr="00C9549D">
        <w:t xml:space="preserve"> broj 51/23</w:t>
      </w:r>
      <w:r w:rsidR="001715A3">
        <w:t>.</w:t>
      </w:r>
      <w:r w:rsidR="003748B5" w:rsidRPr="00C9549D">
        <w:t xml:space="preserve">). </w:t>
      </w:r>
    </w:p>
    <w:p w14:paraId="44A71FA7" w14:textId="77777777" w:rsidR="003748B5" w:rsidRPr="00C9549D" w:rsidRDefault="003748B5" w:rsidP="003748B5"/>
    <w:p w14:paraId="759B1E12" w14:textId="6E6E600E" w:rsidR="001562A0" w:rsidRDefault="0071689D" w:rsidP="003748B5">
      <w:r w:rsidRPr="00626CC4">
        <w:t>U svrhu iskoristivosti sredstava iz Fonda solidarnosti Europske unije za zagrebački potres Vlada Republike Hrvatske je na sjednici održanoj 29. svibnja 2023., donijela Odluku o izmjenama Odluke o načinu raspodjele bespovratnih financijskih sredstava iz Fonda solidarnosti Europske unije za financiranje sanacije šteta od potresa na području Grada Zagreba, Krapinsko-zagorske županije, Zagrebačke županije, imenovanju i određivanju zaduženja nacionalnog koordinacijskog tijela, tijela odgovornih za provedbu financijskog doprinosa i neovisnog revizorskog tijela ( „Narodne novine“, broj 58/23.).</w:t>
      </w:r>
    </w:p>
    <w:p w14:paraId="0E4C94B0" w14:textId="77777777" w:rsidR="0071689D" w:rsidRPr="00C9549D" w:rsidRDefault="0071689D" w:rsidP="003748B5"/>
    <w:p w14:paraId="3B320794" w14:textId="77777777" w:rsidR="006F2520" w:rsidRPr="00626CC4" w:rsidRDefault="006F2520" w:rsidP="006F2520">
      <w:r w:rsidRPr="00626CC4">
        <w:t>Također, u svrhu iskoristivosti sredstava iz Fonda solidarnosti Europske unije za petrinjski potres Vlada Republike Hrvatske je na sjednici održanoj 29. svibnja 2023., donijela Odluku o izmjenama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 „Narodne novine“, broj 58/23.).</w:t>
      </w:r>
    </w:p>
    <w:p w14:paraId="09598472" w14:textId="77777777" w:rsidR="006F2520" w:rsidRPr="006F2520" w:rsidRDefault="006F2520" w:rsidP="006F2520">
      <w:pPr>
        <w:rPr>
          <w:highlight w:val="yellow"/>
        </w:rPr>
      </w:pPr>
    </w:p>
    <w:p w14:paraId="4A3ACE6C" w14:textId="171EAD7D" w:rsidR="006F2520" w:rsidRDefault="006F2520" w:rsidP="006F2520">
      <w:r w:rsidRPr="00626CC4">
        <w:t>Nadalje, u svrhu dovršetka započetih projekata u okviru FSEU  Vlada Republike Hrvatske 28. lipnja 2023. donijela je Odluku o nastavku financiranja projekata započetih iz Fonda solidarnosti Europske unije iz sredstava državnog proračuna.</w:t>
      </w:r>
      <w:r>
        <w:t xml:space="preserve"> </w:t>
      </w:r>
    </w:p>
    <w:p w14:paraId="4F1BBEB5" w14:textId="77777777" w:rsidR="003748B5" w:rsidRPr="00C9549D" w:rsidRDefault="003748B5" w:rsidP="003748B5"/>
    <w:p w14:paraId="766FF267" w14:textId="1595453E" w:rsidR="003748B5" w:rsidRDefault="00626CC4" w:rsidP="003748B5">
      <w:r>
        <w:t>Istovremeno</w:t>
      </w:r>
      <w:r w:rsidR="003748B5" w:rsidRPr="00C9549D">
        <w:t>, temeljem novoga Zakona o obnovi</w:t>
      </w:r>
      <w:r w:rsidR="006A3C31">
        <w:t xml:space="preserve">, </w:t>
      </w:r>
      <w:r w:rsidR="00421986">
        <w:t>10. ožujka 2023.,</w:t>
      </w:r>
      <w:r w:rsidR="003748B5" w:rsidRPr="00C9549D">
        <w:t xml:space="preserve"> donesen je Pravilnik o sadržaju i tehničkim elementima projekata obnove, projekta za uklanjanje zgrade, projekta za građenje zamjenske obiteljske kuće i projekta za građenje </w:t>
      </w:r>
      <w:proofErr w:type="spellStart"/>
      <w:r w:rsidR="003748B5" w:rsidRPr="00C9549D">
        <w:t>višestambene</w:t>
      </w:r>
      <w:proofErr w:type="spellEnd"/>
      <w:r w:rsidR="003748B5" w:rsidRPr="00C9549D">
        <w:t xml:space="preserve"> i stambeno-poslovne zgrade oštećene potresom na području Grada Zagreba, Krapinsko-zagorske županije, </w:t>
      </w:r>
      <w:r w:rsidR="003748B5" w:rsidRPr="00C9549D">
        <w:lastRenderedPageBreak/>
        <w:t>Zagrebačke županije, Sisačko-moslavačke županije i Karlovačke županije („Narodne novine“</w:t>
      </w:r>
      <w:r w:rsidR="00E530E8">
        <w:t>,</w:t>
      </w:r>
      <w:r w:rsidR="003748B5" w:rsidRPr="00C9549D">
        <w:t xml:space="preserve"> broj 28/23</w:t>
      </w:r>
      <w:r w:rsidR="00E530E8">
        <w:t>.</w:t>
      </w:r>
      <w:r w:rsidR="003748B5" w:rsidRPr="00C9549D">
        <w:t>)</w:t>
      </w:r>
      <w:r w:rsidR="001F5139">
        <w:t xml:space="preserve">. </w:t>
      </w:r>
    </w:p>
    <w:p w14:paraId="49D94906" w14:textId="77777777" w:rsidR="0056255F" w:rsidRDefault="0056255F" w:rsidP="003748B5"/>
    <w:p w14:paraId="37018AAF" w14:textId="26E04603" w:rsidR="0056255F" w:rsidRDefault="001F5139" w:rsidP="0056255F">
      <w:r>
        <w:t xml:space="preserve">Zbog zahtjevnih </w:t>
      </w:r>
      <w:r w:rsidR="0056255F" w:rsidRPr="0052056D">
        <w:t>okolnosti na građevinskom tržištu, velik</w:t>
      </w:r>
      <w:r>
        <w:t>ih</w:t>
      </w:r>
      <w:r w:rsidR="0056255F" w:rsidRPr="0052056D">
        <w:t xml:space="preserve"> investicijsk</w:t>
      </w:r>
      <w:r>
        <w:t>ih</w:t>
      </w:r>
      <w:r w:rsidR="0056255F" w:rsidRPr="0052056D">
        <w:t xml:space="preserve"> aktivnost</w:t>
      </w:r>
      <w:r>
        <w:t>i</w:t>
      </w:r>
      <w:r w:rsidR="0056255F" w:rsidRPr="0052056D">
        <w:t xml:space="preserve"> te činjenic</w:t>
      </w:r>
      <w:r>
        <w:t>e</w:t>
      </w:r>
      <w:r w:rsidR="0056255F" w:rsidRPr="0052056D">
        <w:t xml:space="preserve"> da se pojedinačni objekti koji su predmet obnove nalaze na različitim međusobno udaljenim područjima</w:t>
      </w:r>
      <w:r w:rsidR="00377A50">
        <w:t xml:space="preserve"> što sve</w:t>
      </w:r>
      <w:r w:rsidR="0056255F" w:rsidRPr="0052056D">
        <w:t xml:space="preserve"> uzrokuj</w:t>
      </w:r>
      <w:r w:rsidR="00377A50">
        <w:t>e</w:t>
      </w:r>
      <w:r w:rsidR="0056255F" w:rsidRPr="0052056D">
        <w:t xml:space="preserve"> smanjen interes tvrtki koje pružaju usluge i radove u procesu obnove</w:t>
      </w:r>
      <w:r w:rsidR="002A7F40">
        <w:t xml:space="preserve">, </w:t>
      </w:r>
      <w:r w:rsidR="002A7F40" w:rsidRPr="002A7F40">
        <w:t xml:space="preserve">10. ožujka 2023. </w:t>
      </w:r>
      <w:r w:rsidR="0056255F" w:rsidRPr="0052056D">
        <w:t>donesen</w:t>
      </w:r>
      <w:r w:rsidR="002E4FE9">
        <w:t xml:space="preserve"> je</w:t>
      </w:r>
      <w:r w:rsidR="0056255F" w:rsidRPr="0052056D">
        <w:t xml:space="preserve"> Pravilnik o provedbi postupaka nabave roba, usluga i radova za postupke obnove </w:t>
      </w:r>
      <w:r w:rsidR="00974E94" w:rsidRPr="00974E94">
        <w:t>(„Narodne novine“</w:t>
      </w:r>
      <w:r w:rsidR="00E530E8">
        <w:t xml:space="preserve">, broj </w:t>
      </w:r>
      <w:r w:rsidR="00974E94" w:rsidRPr="00974E94">
        <w:t>28/23</w:t>
      </w:r>
      <w:r w:rsidR="00E530E8">
        <w:t>.</w:t>
      </w:r>
      <w:r w:rsidR="00974E94" w:rsidRPr="00974E94">
        <w:t>)</w:t>
      </w:r>
      <w:r w:rsidR="00974E94">
        <w:t xml:space="preserve"> </w:t>
      </w:r>
      <w:r w:rsidR="0056255F" w:rsidRPr="0052056D">
        <w:t>s ciljem da se osigura brza i učinkovitija nabava rob</w:t>
      </w:r>
      <w:r w:rsidR="00377A50">
        <w:t>a</w:t>
      </w:r>
      <w:r w:rsidR="0056255F" w:rsidRPr="0052056D">
        <w:t>, usluga i radova koji su ključni za ublažavanje posljedica potresa</w:t>
      </w:r>
      <w:r>
        <w:t>,</w:t>
      </w:r>
      <w:r w:rsidR="0056255F" w:rsidRPr="0052056D">
        <w:t xml:space="preserve"> a nabava se provodi po blokovskim rješenjima.</w:t>
      </w:r>
    </w:p>
    <w:p w14:paraId="70E492AD" w14:textId="77777777" w:rsidR="002F304F" w:rsidRDefault="002F304F" w:rsidP="0056255F"/>
    <w:p w14:paraId="280F4381" w14:textId="6B9746F2" w:rsidR="00A161C5" w:rsidRDefault="00860F3A" w:rsidP="00A161C5">
      <w:r>
        <w:t>U</w:t>
      </w:r>
      <w:r w:rsidR="00A161C5">
        <w:t xml:space="preserve"> drugoj polovici 2023. godine Vlada Republike Hrvatska donijela je </w:t>
      </w:r>
      <w:r w:rsidR="0016521F">
        <w:t xml:space="preserve">niz </w:t>
      </w:r>
      <w:r w:rsidR="00A161C5">
        <w:t xml:space="preserve">dodatnih odluka koje se odnose na pitanja stambenoga zbrinjavanja te obnove oštećenih zgrada. </w:t>
      </w:r>
    </w:p>
    <w:p w14:paraId="6C9D6927" w14:textId="77777777" w:rsidR="00A161C5" w:rsidRDefault="00A161C5" w:rsidP="00A161C5"/>
    <w:p w14:paraId="6270F059" w14:textId="6EE4EC05" w:rsidR="009F6D94" w:rsidRDefault="009F6D94" w:rsidP="009F6D94">
      <w:pPr>
        <w:spacing w:line="252" w:lineRule="auto"/>
        <w:contextualSpacing/>
      </w:pPr>
      <w:r>
        <w:t xml:space="preserve">Tako je na sjednici </w:t>
      </w:r>
      <w:r w:rsidRPr="00B145A6">
        <w:t xml:space="preserve">4. svibnja 2023. Vlada Republike Hrvatske donijela Odluku o određivanju Agencije za pravni promet i posredovanje nekretninama investitorom provedbe izgradnje </w:t>
      </w:r>
      <w:proofErr w:type="spellStart"/>
      <w:r w:rsidRPr="00B145A6">
        <w:t>višestambenih</w:t>
      </w:r>
      <w:proofErr w:type="spellEnd"/>
      <w:r w:rsidRPr="00B145A6">
        <w:t xml:space="preserve"> zgrada za privremeno zbrinjavanje u k.o. Novi Sisak, k.o. Sisak stari, k.o. </w:t>
      </w:r>
      <w:proofErr w:type="spellStart"/>
      <w:r w:rsidRPr="00B145A6">
        <w:t>Topusko</w:t>
      </w:r>
      <w:proofErr w:type="spellEnd"/>
      <w:r w:rsidRPr="00B145A6">
        <w:t>, k.o. Glina, k.o. Jasenovac i k.o. Sunja, odnosno Odluku za izgradnju 11 građevina s ukupno 197 stanova</w:t>
      </w:r>
      <w:r>
        <w:t xml:space="preserve">. </w:t>
      </w:r>
    </w:p>
    <w:p w14:paraId="21C166FE" w14:textId="77777777" w:rsidR="009F6D94" w:rsidRPr="00B145A6" w:rsidRDefault="009F6D94" w:rsidP="009F6D94">
      <w:pPr>
        <w:spacing w:line="252" w:lineRule="auto"/>
        <w:ind w:left="720"/>
        <w:contextualSpacing/>
      </w:pPr>
    </w:p>
    <w:p w14:paraId="1398DDE4" w14:textId="22BF47FA" w:rsidR="009F6D94" w:rsidRDefault="009F6D94" w:rsidP="009F6D94">
      <w:pPr>
        <w:spacing w:line="252" w:lineRule="auto"/>
        <w:contextualSpacing/>
      </w:pPr>
      <w:r>
        <w:t xml:space="preserve">Dana </w:t>
      </w:r>
      <w:r w:rsidRPr="00B145A6">
        <w:t xml:space="preserve">28. lipnja 2023. Vlada Republike Hrvatske </w:t>
      </w:r>
      <w:r>
        <w:t xml:space="preserve">je </w:t>
      </w:r>
      <w:r w:rsidRPr="00B145A6">
        <w:t xml:space="preserve">donijela Odluku o određivanju Agencije za pravni promet i posredovanje nekretninama investitorom provedbe izgradnje </w:t>
      </w:r>
      <w:proofErr w:type="spellStart"/>
      <w:r w:rsidRPr="00B145A6">
        <w:t>višestambenih</w:t>
      </w:r>
      <w:proofErr w:type="spellEnd"/>
      <w:r w:rsidRPr="00B145A6">
        <w:t xml:space="preserve"> zgrada za privremeno zbrinjavanje u k.o. Hrvatska Kostajnica, k.o. Kutina, k.o. Novi Sisak i k.o. Sisak Stari, odnosno Odluku za izgradnju devet građevina s ukupno 171 stanom.</w:t>
      </w:r>
    </w:p>
    <w:p w14:paraId="6A852F78" w14:textId="77777777" w:rsidR="009F6D94" w:rsidRDefault="009F6D94" w:rsidP="009F6D94">
      <w:pPr>
        <w:pStyle w:val="ListParagraph"/>
      </w:pPr>
    </w:p>
    <w:p w14:paraId="0FB8D2F0" w14:textId="013ABDCA" w:rsidR="00A161C5" w:rsidRDefault="00E4313F" w:rsidP="00A161C5">
      <w:pPr>
        <w:rPr>
          <w:bCs/>
        </w:rPr>
      </w:pPr>
      <w:r w:rsidRPr="00E4313F">
        <w:rPr>
          <w:bCs/>
        </w:rPr>
        <w:t xml:space="preserve">Nadalje, 27. rujna 2023. godine Vlada Republike Hrvatske je donijela Odluku o određivanju Agencije za pravni promet i posredovanje nekretninama investitorom provedbe izgradnje </w:t>
      </w:r>
      <w:proofErr w:type="spellStart"/>
      <w:r w:rsidRPr="00E4313F">
        <w:rPr>
          <w:bCs/>
        </w:rPr>
        <w:t>višestambenih</w:t>
      </w:r>
      <w:proofErr w:type="spellEnd"/>
      <w:r w:rsidRPr="00E4313F">
        <w:rPr>
          <w:bCs/>
        </w:rPr>
        <w:t xml:space="preserve"> zgrada za privremeno zbrinjavanje u k.o. Sisak Stari,  k.o. Novi Sisak i k.o. Lekenik, odnosno odluku za izgradnju ukupno 8 građevina sa 152 stana te dana 13. prosinca 2023. godine Vlada Republike Hrvatske je donijela Odluku o određivanju Agencije za pravni promet i posredovanje nekretninama investitorom provedbe izgradnje </w:t>
      </w:r>
      <w:proofErr w:type="spellStart"/>
      <w:r w:rsidRPr="00E4313F">
        <w:rPr>
          <w:bCs/>
        </w:rPr>
        <w:t>višestambenih</w:t>
      </w:r>
      <w:proofErr w:type="spellEnd"/>
      <w:r w:rsidRPr="00E4313F">
        <w:rPr>
          <w:bCs/>
        </w:rPr>
        <w:t xml:space="preserve"> zgrada za privremeno zbrinjavanje u k.o. Petrinja odnosno Odluku za izgradnju 8 građevina sa ukupno 152 stana.</w:t>
      </w:r>
    </w:p>
    <w:p w14:paraId="699E4D17" w14:textId="77777777" w:rsidR="00E4313F" w:rsidRDefault="00E4313F" w:rsidP="00A161C5"/>
    <w:p w14:paraId="4080FACF" w14:textId="77777777" w:rsidR="00A161C5" w:rsidRDefault="00A161C5" w:rsidP="00A161C5">
      <w:r>
        <w:t xml:space="preserve">Na sjednici 12. listopada 2023. Vlada Republike Hrvatske je donijela Odluka o financiranju organiziranog privremenog smještaja stradalnika potresa od 22. ožujka 2020. te 28. i 29. prosinca 2020. na području Grada Zagreba, Krapinsko-zagorske županije, Zagrebačke županije, Sisačko-moslavačke županije i Karlovačke županije, a na sjednici 19. listopada 2023. donesen je Zaključak u vezi s energetskom obnovom obiteljskih kuća i </w:t>
      </w:r>
      <w:proofErr w:type="spellStart"/>
      <w:r>
        <w:t>višestambenih</w:t>
      </w:r>
      <w:proofErr w:type="spellEnd"/>
      <w:r>
        <w:t xml:space="preserve"> zgrada na području Republike Hrvatske</w:t>
      </w:r>
    </w:p>
    <w:p w14:paraId="2F22A4D4" w14:textId="77777777" w:rsidR="00A161C5" w:rsidRDefault="00A161C5" w:rsidP="00A161C5"/>
    <w:p w14:paraId="5F1A1362" w14:textId="08939B0D" w:rsidR="00A161C5" w:rsidRDefault="00241545" w:rsidP="00A161C5">
      <w:r>
        <w:t>N</w:t>
      </w:r>
      <w:r w:rsidR="00A161C5">
        <w:t xml:space="preserve">a sjednici 2. studenoga 2023. Vlada Republike Hrvatske je donijela Odluku o dodjeli sredstava za pomoć Gradu Petrinji (za financiranje troškova uklanjanja zgrada na području Grada Petrinje i obnovi zgrada oštećenih u potresu koje se nalaze unutar zaštićene kulturno - povijesne cjeline Grada Petrinje) i Odluku o dodjeli sredstava za pomoć Sisačko-moslavačkoj </w:t>
      </w:r>
      <w:r w:rsidR="00A161C5">
        <w:lastRenderedPageBreak/>
        <w:t>županiji (za završetak objekata za privremeni smještaj stanovnika stradalih u potresu i to županijskog naselja „</w:t>
      </w:r>
      <w:proofErr w:type="spellStart"/>
      <w:r w:rsidR="00A161C5">
        <w:t>Petrinia</w:t>
      </w:r>
      <w:proofErr w:type="spellEnd"/>
      <w:r w:rsidR="00A161C5">
        <w:t>“, županijskog naselja „Banovi dvori“ i županijskog naselja „</w:t>
      </w:r>
      <w:proofErr w:type="spellStart"/>
      <w:r w:rsidR="00A161C5">
        <w:t>Zelenjak</w:t>
      </w:r>
      <w:proofErr w:type="spellEnd"/>
      <w:r w:rsidR="00A161C5">
        <w:t>“, za dovršetak obnove Doma za starije Glina i za nastavak financiranja prilaznih cesta do objekata javne namjene pogođenih potresom i uređenja okoliša oko tih objekata).</w:t>
      </w:r>
    </w:p>
    <w:p w14:paraId="0666838D" w14:textId="77777777" w:rsidR="00A161C5" w:rsidRDefault="00A161C5" w:rsidP="00A161C5"/>
    <w:p w14:paraId="3FB352A7" w14:textId="7053F554" w:rsidR="003748B5" w:rsidRPr="00C9549D" w:rsidRDefault="00A161C5" w:rsidP="00A161C5">
      <w:r>
        <w:t>Na sjednici 21. prosinca 2023. Vlada Republike Hrvatske je donijela Odluke o dodjeli sredstava za pomoć Sisačko-moslavačkoj županiji (za obnovu objekata javnih vatrogasnih postrojbi i dobrovoljnih vatrogasnih društava na potresom pogođenom području) i Odluku o dodjeli sredstava za pomoć Gradu Glini (za financiranje troškova vezanih za opskrbu stanovništva pogođenog potresom pitkom vodom na širem području Grada Gline).</w:t>
      </w:r>
      <w:r w:rsidR="00B574A4">
        <w:t xml:space="preserve"> </w:t>
      </w:r>
      <w:r w:rsidR="003748B5" w:rsidRPr="00C9549D">
        <w:br w:type="page"/>
      </w:r>
    </w:p>
    <w:p w14:paraId="343FA799" w14:textId="77777777" w:rsidR="00363C07" w:rsidRDefault="00363C07" w:rsidP="00E96633">
      <w:pPr>
        <w:pStyle w:val="Heading1"/>
      </w:pPr>
      <w:bookmarkStart w:id="5" w:name="_Toc161040561"/>
      <w:r>
        <w:lastRenderedPageBreak/>
        <w:t>OBNOVA</w:t>
      </w:r>
      <w:bookmarkEnd w:id="5"/>
    </w:p>
    <w:p w14:paraId="75B4AE1D" w14:textId="77777777" w:rsidR="0074518F" w:rsidRPr="0074518F" w:rsidRDefault="0074518F" w:rsidP="0074518F"/>
    <w:p w14:paraId="12AC3DFF" w14:textId="77777777" w:rsidR="00DF58F8" w:rsidRPr="00DF58F8" w:rsidRDefault="00DF58F8" w:rsidP="00DF58F8">
      <w:r w:rsidRPr="00DF58F8">
        <w:t xml:space="preserve">Sukladno Zakonu o obnovi i Programu mjera, uklanjanje oštećenih zgrada, odnosno njihova obnova te gradnja zamjenskih obiteljskih kuća te </w:t>
      </w:r>
      <w:proofErr w:type="spellStart"/>
      <w:r w:rsidRPr="00DF58F8">
        <w:t>višestambenih</w:t>
      </w:r>
      <w:proofErr w:type="spellEnd"/>
      <w:r w:rsidRPr="00DF58F8">
        <w:t>, stambeno-poslovnih zgrada i stambeno zbrinjavanje osoba pogođenih potresom provodi se na temelju odluka odnosno rješenja Ministarstva.</w:t>
      </w:r>
    </w:p>
    <w:p w14:paraId="74D317E8" w14:textId="77777777" w:rsidR="00DF58F8" w:rsidRPr="00DF58F8" w:rsidRDefault="00DF58F8" w:rsidP="00DF58F8"/>
    <w:p w14:paraId="614908EE" w14:textId="77777777" w:rsidR="00DF58F8" w:rsidRPr="00DF58F8" w:rsidRDefault="00DF58F8" w:rsidP="00DF58F8">
      <w:r w:rsidRPr="00DF58F8">
        <w:t xml:space="preserve">Zahtjev za obnovu odnosno dodjelu novčane pomoći podnosi se Ministarstvu dok Uprava za graditeljstvo i obnovu utvrđuje zakonsko pravo na obnovu temeljem izrađenog nalaza ovlaštenog inženjera građevinarstva. </w:t>
      </w:r>
    </w:p>
    <w:p w14:paraId="49E870CC" w14:textId="77777777" w:rsidR="00DF58F8" w:rsidRPr="00DF58F8" w:rsidRDefault="00DF58F8" w:rsidP="00DF58F8"/>
    <w:p w14:paraId="753C0FE2" w14:textId="77777777" w:rsidR="00DF58F8" w:rsidRPr="00DF58F8" w:rsidRDefault="00DF58F8" w:rsidP="00DF58F8">
      <w:r w:rsidRPr="00DF58F8">
        <w:t>Nalazom postojećeg stanja građevinske konstrukcije detaljnije se utvrđuje stupanj oštećenja zgrade, odnosno zgrada dobiva odgovarajuću klasifikaciju uporabljivosti. Nalaz ujedno daje preporuke za daljnje postupanje tako što propisuje detaljnije i šire odredbe od onih koje su se provele preliminarnim pregledom zgrade neposredno nakon potresa.</w:t>
      </w:r>
    </w:p>
    <w:p w14:paraId="1C3A3FC6" w14:textId="77777777" w:rsidR="00DF58F8" w:rsidRPr="00DF58F8" w:rsidRDefault="00DF58F8" w:rsidP="00DF58F8"/>
    <w:p w14:paraId="01AD4D59" w14:textId="77777777" w:rsidR="00DF58F8" w:rsidRPr="00DF58F8" w:rsidRDefault="00DF58F8" w:rsidP="00DF58F8">
      <w:r w:rsidRPr="00DF58F8">
        <w:t xml:space="preserve">Dakle, pravo na obnovu utvrđuje se po izradi nalaza te se donosi akt o obnovi koje se potom upućuje Upravi za provedbu obnove Ministarstva. U slučaju organizirane obnove provodi se postupak nabave sudionika u gradnji: operativnih koordinatora, projektanata, izvođača i nadzora. </w:t>
      </w:r>
    </w:p>
    <w:p w14:paraId="707D0E92" w14:textId="77777777" w:rsidR="00DF58F8" w:rsidRPr="00DF58F8" w:rsidRDefault="00DF58F8" w:rsidP="00DF58F8"/>
    <w:p w14:paraId="08A4DC93" w14:textId="77777777" w:rsidR="00DF58F8" w:rsidRPr="00DF58F8" w:rsidRDefault="00DF58F8" w:rsidP="00DF58F8">
      <w:r w:rsidRPr="00DF58F8">
        <w:t xml:space="preserve">Za provedbu obnove prethodno je također potrebno izraditi elaborat popravka za </w:t>
      </w:r>
      <w:proofErr w:type="spellStart"/>
      <w:r w:rsidRPr="00DF58F8">
        <w:t>nekonstrukcijsku</w:t>
      </w:r>
      <w:proofErr w:type="spellEnd"/>
      <w:r w:rsidRPr="00DF58F8">
        <w:t xml:space="preserve"> obnovu, projekt obnove za konstrukcijsku obnovu, projekt za građenje zamjenske obiteljske kuće, projekt za građenje </w:t>
      </w:r>
      <w:proofErr w:type="spellStart"/>
      <w:r w:rsidRPr="00DF58F8">
        <w:t>višestambene</w:t>
      </w:r>
      <w:proofErr w:type="spellEnd"/>
      <w:r w:rsidRPr="00DF58F8">
        <w:t xml:space="preserve"> i stambeno-poslovne zgrade, a u slučaju tipskog projekta prilagodbeni projekt. </w:t>
      </w:r>
    </w:p>
    <w:p w14:paraId="37AE9C3D" w14:textId="77777777" w:rsidR="00DF58F8" w:rsidRPr="00DF58F8" w:rsidRDefault="00DF58F8" w:rsidP="00DF58F8"/>
    <w:p w14:paraId="40ACA9C6" w14:textId="77777777" w:rsidR="00DF58F8" w:rsidRPr="00DF58F8" w:rsidRDefault="00DF58F8" w:rsidP="00DF58F8">
      <w:r w:rsidRPr="00DF58F8">
        <w:t>U slučaju samoobnove, sudionike gradnje bira vlasnik oštećene nekretnine koji nije u obvezi provoditi postupak javne nabave što znatno skraćuje sam proces provedbe obnove. Kroz obnovu vlasnik ima podršku Ministarstva budući da Uprava za provedbu obnove prati i ovjerava opravdan trošak obnove.</w:t>
      </w:r>
    </w:p>
    <w:p w14:paraId="3AF9F40F" w14:textId="77777777" w:rsidR="00DF58F8" w:rsidRPr="00DF58F8" w:rsidRDefault="00DF58F8" w:rsidP="00DF58F8"/>
    <w:p w14:paraId="2214C934" w14:textId="77777777" w:rsidR="00DF58F8" w:rsidRPr="00DF58F8" w:rsidRDefault="00DF58F8" w:rsidP="00DF58F8">
      <w:r w:rsidRPr="00DF58F8">
        <w:t>Rok za predaju zahtjeva za obnovu i dodjelu novčane pomoći istekao je 31. prosinca 2023.  Ministarstvo je, prema trenutno raspoloživim informacijama, zaprimilo 37 562 zahtjeva koji se odnose na sve vrste obnova i obuhvaćaju 25 489 lokacija. U sustav Ministarstva još se uvijek unose zahtjevi koji su predani fizički putem pošte stoga ovaj broj nije konačan.  U 2023. godini  zaprimljeno je 6.630, a samo u mjesecu prosincu 3.260. Ukupno 495 zahtjeva zaprimljenih u prosincu predano je prazno odnosno bez lokacije i bilo kakvih podataka vezanih uz oštećenu nekretninu i ti će se zahtjevi ukoliko se ne vežu uz oštećenu nekretninu odbaciti.</w:t>
      </w:r>
    </w:p>
    <w:p w14:paraId="774C3E19" w14:textId="77777777" w:rsidR="002E00D2" w:rsidRDefault="002E00D2" w:rsidP="00875C0C"/>
    <w:p w14:paraId="27C0B36A" w14:textId="77777777" w:rsidR="00F45961" w:rsidRDefault="00F45961">
      <w:pPr>
        <w:spacing w:after="160" w:line="259" w:lineRule="auto"/>
        <w:jc w:val="left"/>
        <w:rPr>
          <w:b/>
        </w:rPr>
      </w:pPr>
      <w:r>
        <w:br w:type="page"/>
      </w:r>
    </w:p>
    <w:p w14:paraId="7B22BF15" w14:textId="282ED57C" w:rsidR="003748B5" w:rsidRDefault="006C1567" w:rsidP="00F4045F">
      <w:pPr>
        <w:pStyle w:val="Heading2"/>
      </w:pPr>
      <w:bookmarkStart w:id="6" w:name="_Toc161040562"/>
      <w:r>
        <w:lastRenderedPageBreak/>
        <w:t>PROVEDB</w:t>
      </w:r>
      <w:r w:rsidR="00F653DC">
        <w:t>ENI AKTI</w:t>
      </w:r>
      <w:bookmarkEnd w:id="6"/>
    </w:p>
    <w:p w14:paraId="7193245A" w14:textId="77777777" w:rsidR="00D61991" w:rsidRPr="00D61991" w:rsidRDefault="00D61991" w:rsidP="00D61991"/>
    <w:p w14:paraId="4EE52C1B" w14:textId="3DC63308" w:rsidR="001730DA" w:rsidRDefault="004B7948" w:rsidP="00D90C6C">
      <w:pPr>
        <w:spacing w:after="60"/>
      </w:pPr>
      <w:r>
        <w:t xml:space="preserve">Do </w:t>
      </w:r>
      <w:r w:rsidR="008B7703">
        <w:t>3</w:t>
      </w:r>
      <w:r w:rsidR="00101EF8">
        <w:t>1. prosinca</w:t>
      </w:r>
      <w:r w:rsidR="008B7703">
        <w:t xml:space="preserve"> 2023.</w:t>
      </w:r>
      <w:r w:rsidR="00560ACA">
        <w:t>, ukupno je doneseno 2</w:t>
      </w:r>
      <w:r w:rsidR="002B7442">
        <w:t>4</w:t>
      </w:r>
      <w:r w:rsidR="00556E7A">
        <w:t>.</w:t>
      </w:r>
      <w:r w:rsidR="002B7442">
        <w:t>638</w:t>
      </w:r>
      <w:r w:rsidR="00556E7A">
        <w:t xml:space="preserve"> ak</w:t>
      </w:r>
      <w:r w:rsidR="00EF464F">
        <w:t>a</w:t>
      </w:r>
      <w:r w:rsidR="00556E7A">
        <w:t>ta, od čega je</w:t>
      </w:r>
      <w:r w:rsidR="00C60C71">
        <w:t xml:space="preserve"> </w:t>
      </w:r>
      <w:bookmarkStart w:id="7" w:name="_Hlk150777838"/>
      <w:r w:rsidR="00525BA4">
        <w:t xml:space="preserve">tijekom </w:t>
      </w:r>
      <w:r w:rsidR="008B7703">
        <w:t>2023.</w:t>
      </w:r>
      <w:bookmarkEnd w:id="7"/>
      <w:r w:rsidR="002E683A">
        <w:t xml:space="preserve"> doneseno </w:t>
      </w:r>
      <w:r w:rsidR="002B7442">
        <w:t>7.111</w:t>
      </w:r>
      <w:r w:rsidR="002E683A">
        <w:t xml:space="preserve"> akata</w:t>
      </w:r>
      <w:r w:rsidR="00556E7A">
        <w:t xml:space="preserve">. </w:t>
      </w:r>
      <w:r w:rsidR="000327FF">
        <w:t>Od ukupn</w:t>
      </w:r>
      <w:r w:rsidR="00E44F1D">
        <w:t>og broja</w:t>
      </w:r>
      <w:r w:rsidR="008E7B17">
        <w:t xml:space="preserve"> </w:t>
      </w:r>
      <w:r w:rsidR="002E683A">
        <w:t>ak</w:t>
      </w:r>
      <w:r w:rsidR="008E7B17">
        <w:t>a</w:t>
      </w:r>
      <w:r w:rsidR="002E683A">
        <w:t>t</w:t>
      </w:r>
      <w:r w:rsidR="008E7B17">
        <w:t>a</w:t>
      </w:r>
      <w:r w:rsidR="00AF1D4C">
        <w:t>, 1</w:t>
      </w:r>
      <w:r w:rsidR="002B7442">
        <w:t>8</w:t>
      </w:r>
      <w:r w:rsidR="00223053">
        <w:t>.</w:t>
      </w:r>
      <w:r w:rsidR="00A9580D">
        <w:t>80</w:t>
      </w:r>
      <w:r w:rsidR="002B7442">
        <w:t>2</w:t>
      </w:r>
      <w:r w:rsidR="004D38D5">
        <w:t xml:space="preserve"> akata</w:t>
      </w:r>
      <w:r w:rsidR="00497FF8">
        <w:t xml:space="preserve"> </w:t>
      </w:r>
      <w:r w:rsidR="00413DD3">
        <w:t>(</w:t>
      </w:r>
      <w:r w:rsidR="00913DE1">
        <w:t>7</w:t>
      </w:r>
      <w:r w:rsidR="00001EA4">
        <w:t>6</w:t>
      </w:r>
      <w:r w:rsidR="008B3B64">
        <w:t xml:space="preserve"> %</w:t>
      </w:r>
      <w:r w:rsidR="00913DE1">
        <w:t>)</w:t>
      </w:r>
      <w:r w:rsidR="00497FF8">
        <w:t xml:space="preserve"> odnosi </w:t>
      </w:r>
      <w:r w:rsidR="00913DE1">
        <w:t>se</w:t>
      </w:r>
      <w:r w:rsidR="00497FF8">
        <w:t xml:space="preserve"> na </w:t>
      </w:r>
      <w:proofErr w:type="spellStart"/>
      <w:r w:rsidR="00497FF8">
        <w:t>nekonstrukcijsku</w:t>
      </w:r>
      <w:proofErr w:type="spellEnd"/>
      <w:r w:rsidR="00497FF8">
        <w:t xml:space="preserve"> obnovu</w:t>
      </w:r>
      <w:r w:rsidR="00B750A1">
        <w:t xml:space="preserve">, </w:t>
      </w:r>
      <w:r w:rsidR="00B02895">
        <w:t xml:space="preserve">a </w:t>
      </w:r>
      <w:r w:rsidR="00193F4E">
        <w:t>5</w:t>
      </w:r>
      <w:r w:rsidR="00B02895">
        <w:t>.</w:t>
      </w:r>
      <w:r w:rsidR="00193F4E">
        <w:t>836</w:t>
      </w:r>
      <w:r w:rsidR="00B02895">
        <w:t xml:space="preserve"> </w:t>
      </w:r>
      <w:r w:rsidR="004D38D5">
        <w:t xml:space="preserve">akata </w:t>
      </w:r>
      <w:r w:rsidR="00B762DC">
        <w:t>(2</w:t>
      </w:r>
      <w:r w:rsidR="00193F4E">
        <w:t>4</w:t>
      </w:r>
      <w:r w:rsidR="008B3B64">
        <w:t xml:space="preserve"> %</w:t>
      </w:r>
      <w:r w:rsidR="00B762DC">
        <w:t xml:space="preserve">) </w:t>
      </w:r>
      <w:r w:rsidR="00B02895">
        <w:t xml:space="preserve">na </w:t>
      </w:r>
      <w:r w:rsidR="00B17A96">
        <w:t xml:space="preserve">ostale vrste </w:t>
      </w:r>
      <w:r w:rsidR="00B762DC">
        <w:t>zahtjeva.</w:t>
      </w:r>
      <w:r w:rsidR="002E683A">
        <w:t xml:space="preserve"> </w:t>
      </w:r>
      <w:r w:rsidR="00930F5D">
        <w:t xml:space="preserve">Od </w:t>
      </w:r>
      <w:r w:rsidR="009D1627">
        <w:t>24.638 akata 12.</w:t>
      </w:r>
      <w:r w:rsidR="0096327A">
        <w:t xml:space="preserve">483 </w:t>
      </w:r>
      <w:r w:rsidR="00B03083">
        <w:t xml:space="preserve">se </w:t>
      </w:r>
      <w:r w:rsidR="0096327A">
        <w:t>odnos</w:t>
      </w:r>
      <w:r w:rsidR="00B03083">
        <w:t>i</w:t>
      </w:r>
      <w:r w:rsidR="0096327A">
        <w:t xml:space="preserve"> na upravni postupak, a 12.155 se odnose na organiziranu </w:t>
      </w:r>
      <w:proofErr w:type="spellStart"/>
      <w:r w:rsidR="0096327A">
        <w:t>nekonstrukcijsku</w:t>
      </w:r>
      <w:proofErr w:type="spellEnd"/>
      <w:r w:rsidR="0096327A">
        <w:t xml:space="preserve"> obnovu</w:t>
      </w:r>
      <w:r w:rsidR="003F688B">
        <w:t xml:space="preserve"> od čega 10.309 na područje petrinjskog, a </w:t>
      </w:r>
      <w:r w:rsidR="00DD0265">
        <w:t>1.846 na područje zagrebačkog potresa.</w:t>
      </w:r>
    </w:p>
    <w:p w14:paraId="6D64246D" w14:textId="77777777" w:rsidR="001730DA" w:rsidRDefault="001730DA" w:rsidP="00D90C6C">
      <w:pPr>
        <w:spacing w:after="60"/>
      </w:pPr>
    </w:p>
    <w:p w14:paraId="49832FF6" w14:textId="79A8082C" w:rsidR="002E683A" w:rsidRDefault="002E683A" w:rsidP="00D90C6C">
      <w:pPr>
        <w:spacing w:after="60"/>
      </w:pPr>
      <w:r>
        <w:t xml:space="preserve">Od </w:t>
      </w:r>
      <w:r w:rsidR="00AD408F">
        <w:t>5.366</w:t>
      </w:r>
      <w:r>
        <w:t xml:space="preserve"> ak</w:t>
      </w:r>
      <w:r w:rsidR="004D033E">
        <w:t>a</w:t>
      </w:r>
      <w:r>
        <w:t>ta donesen</w:t>
      </w:r>
      <w:r w:rsidR="004D033E">
        <w:t>ih</w:t>
      </w:r>
      <w:r w:rsidR="00AD408F">
        <w:t xml:space="preserve"> u upravnom postupku</w:t>
      </w:r>
      <w:r>
        <w:t xml:space="preserve"> </w:t>
      </w:r>
      <w:r w:rsidR="00133533">
        <w:t xml:space="preserve">tijekom </w:t>
      </w:r>
      <w:r w:rsidR="008B7703">
        <w:t>2023.</w:t>
      </w:r>
      <w:r w:rsidR="00133533">
        <w:t xml:space="preserve"> godine</w:t>
      </w:r>
      <w:r w:rsidR="004125B4">
        <w:t>,</w:t>
      </w:r>
      <w:r>
        <w:t xml:space="preserve"> </w:t>
      </w:r>
      <w:r w:rsidR="001D35FB">
        <w:t>3.786</w:t>
      </w:r>
      <w:r>
        <w:t xml:space="preserve"> ak</w:t>
      </w:r>
      <w:r w:rsidR="001D35FB">
        <w:t>a</w:t>
      </w:r>
      <w:r>
        <w:t>ta (</w:t>
      </w:r>
      <w:r w:rsidR="00E21035">
        <w:t>7</w:t>
      </w:r>
      <w:r w:rsidR="001D35FB">
        <w:t>1</w:t>
      </w:r>
      <w:r w:rsidR="008B3B64">
        <w:t xml:space="preserve"> %</w:t>
      </w:r>
      <w:r>
        <w:t>) su akti o obnovi temeljem kojih se nastavlja s postupanjem</w:t>
      </w:r>
      <w:r w:rsidR="008E55F3">
        <w:t xml:space="preserve"> odnosno</w:t>
      </w:r>
      <w:r>
        <w:t xml:space="preserve"> </w:t>
      </w:r>
      <w:r w:rsidR="00FE4043">
        <w:t xml:space="preserve">projektiranjem ili </w:t>
      </w:r>
      <w:r w:rsidR="00C3712A">
        <w:t>isplatom novčane naknade</w:t>
      </w:r>
      <w:r w:rsidR="00DA2253">
        <w:t>,</w:t>
      </w:r>
      <w:r>
        <w:t xml:space="preserve"> a </w:t>
      </w:r>
      <w:r w:rsidR="001D35FB">
        <w:t>1.580</w:t>
      </w:r>
      <w:r>
        <w:t xml:space="preserve"> ak</w:t>
      </w:r>
      <w:r w:rsidR="001D35FB">
        <w:t>a</w:t>
      </w:r>
      <w:r>
        <w:t>ta (</w:t>
      </w:r>
      <w:r w:rsidR="00312AFF">
        <w:t>2</w:t>
      </w:r>
      <w:r w:rsidR="001D35FB">
        <w:t>9</w:t>
      </w:r>
      <w:r w:rsidR="008B3B64">
        <w:t xml:space="preserve"> %</w:t>
      </w:r>
      <w:r>
        <w:t>)</w:t>
      </w:r>
      <w:r w:rsidR="00C3712A">
        <w:t xml:space="preserve"> </w:t>
      </w:r>
      <w:r>
        <w:t xml:space="preserve">su akti kojima se odbijaju zahtjevi koji ne zadovoljavaju uvjete predviđene </w:t>
      </w:r>
      <w:r w:rsidR="00C05738">
        <w:t>Z</w:t>
      </w:r>
      <w:r>
        <w:t>akonom o obnovi.</w:t>
      </w:r>
      <w:r w:rsidR="00E26BF9">
        <w:t xml:space="preserve"> </w:t>
      </w:r>
      <w:r w:rsidR="00185350">
        <w:t>Tijekom 2023. godine zaprimljeno je ukupno 6.205 zahtjeva od kojih je za 6</w:t>
      </w:r>
      <w:r w:rsidR="008F73EA">
        <w:t>1</w:t>
      </w:r>
      <w:r w:rsidR="00185350">
        <w:t xml:space="preserve">4 zatražena nadopuna </w:t>
      </w:r>
      <w:r w:rsidR="008F73EA">
        <w:t xml:space="preserve">podataka (uključujući i podatke </w:t>
      </w:r>
      <w:r w:rsidR="0074164E">
        <w:t xml:space="preserve">o lokaciji </w:t>
      </w:r>
      <w:r w:rsidR="008F73EA">
        <w:t>županiji)</w:t>
      </w:r>
      <w:r w:rsidR="00221C27">
        <w:t xml:space="preserve"> pa </w:t>
      </w:r>
      <w:r w:rsidR="008F73EA">
        <w:t>navedeni</w:t>
      </w:r>
      <w:r w:rsidR="00221C27">
        <w:t xml:space="preserve"> </w:t>
      </w:r>
      <w:r w:rsidR="008F73EA">
        <w:t>zahtjevi</w:t>
      </w:r>
      <w:r w:rsidR="00221C27">
        <w:t xml:space="preserve"> nisu uključen</w:t>
      </w:r>
      <w:r w:rsidR="008F73EA">
        <w:t>i</w:t>
      </w:r>
      <w:r w:rsidR="00221C27">
        <w:t xml:space="preserve"> u </w:t>
      </w:r>
      <w:r w:rsidR="008F73EA">
        <w:t>raspodjelu po županijama.</w:t>
      </w:r>
    </w:p>
    <w:p w14:paraId="444D713B" w14:textId="77777777" w:rsidR="0029190F" w:rsidRDefault="0029190F" w:rsidP="00D90C6C">
      <w:pPr>
        <w:spacing w:after="60"/>
      </w:pPr>
    </w:p>
    <w:p w14:paraId="1E31E9E7" w14:textId="73EE7063" w:rsidR="00D90C6C" w:rsidRDefault="00D90C6C" w:rsidP="00D90C6C">
      <w:pPr>
        <w:spacing w:after="60"/>
        <w:rPr>
          <w:i/>
          <w:iCs/>
        </w:rPr>
      </w:pPr>
      <w:r w:rsidRPr="00C9549D">
        <w:rPr>
          <w:i/>
          <w:iCs/>
        </w:rPr>
        <w:t>Pregled broja zaprimljenih zahtjeva i lokacija po županijama te broj donesenih akata</w:t>
      </w:r>
      <w:r w:rsidR="00C63F2E">
        <w:rPr>
          <w:i/>
          <w:iCs/>
        </w:rPr>
        <w:t xml:space="preserve"> u upravnom postupku</w:t>
      </w:r>
      <w:r w:rsidR="003D0832">
        <w:rPr>
          <w:i/>
          <w:iCs/>
        </w:rPr>
        <w:t xml:space="preserve"> </w:t>
      </w:r>
      <w:r w:rsidR="00C63F2E">
        <w:rPr>
          <w:i/>
          <w:iCs/>
        </w:rPr>
        <w:t xml:space="preserve">tijekom </w:t>
      </w:r>
      <w:r w:rsidR="008B7703">
        <w:rPr>
          <w:i/>
          <w:iCs/>
        </w:rPr>
        <w:t>2023.</w:t>
      </w:r>
      <w:r w:rsidR="00974359">
        <w:rPr>
          <w:i/>
          <w:iCs/>
        </w:rPr>
        <w:t xml:space="preserve"> godine.</w:t>
      </w:r>
    </w:p>
    <w:tbl>
      <w:tblPr>
        <w:tblW w:w="9067" w:type="dxa"/>
        <w:tblLayout w:type="fixed"/>
        <w:tblLook w:val="04A0" w:firstRow="1" w:lastRow="0" w:firstColumn="1" w:lastColumn="0" w:noHBand="0" w:noVBand="1"/>
      </w:tblPr>
      <w:tblGrid>
        <w:gridCol w:w="2972"/>
        <w:gridCol w:w="1219"/>
        <w:gridCol w:w="1219"/>
        <w:gridCol w:w="1219"/>
        <w:gridCol w:w="1219"/>
        <w:gridCol w:w="1219"/>
      </w:tblGrid>
      <w:tr w:rsidR="001746FA" w:rsidRPr="00C67F0F" w14:paraId="016F92A4" w14:textId="77777777" w:rsidTr="003B0489">
        <w:trPr>
          <w:trHeight w:val="680"/>
        </w:trPr>
        <w:tc>
          <w:tcPr>
            <w:tcW w:w="2972"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0A865CD7" w14:textId="77777777" w:rsidR="001746FA" w:rsidRPr="00C67F0F" w:rsidRDefault="001746FA">
            <w:pPr>
              <w:spacing w:line="240" w:lineRule="auto"/>
              <w:jc w:val="center"/>
              <w:rPr>
                <w:rFonts w:eastAsia="Times New Roman"/>
                <w:color w:val="FFFFFF"/>
                <w:sz w:val="22"/>
                <w:szCs w:val="22"/>
                <w:lang w:eastAsia="hr-HR"/>
              </w:rPr>
            </w:pPr>
            <w:r w:rsidRPr="00C67F0F">
              <w:rPr>
                <w:rFonts w:eastAsia="Times New Roman"/>
                <w:color w:val="FFFFFF"/>
                <w:sz w:val="22"/>
                <w:szCs w:val="22"/>
                <w:lang w:eastAsia="hr-HR"/>
              </w:rPr>
              <w:t>Područje</w:t>
            </w:r>
          </w:p>
        </w:tc>
        <w:tc>
          <w:tcPr>
            <w:tcW w:w="1219" w:type="dxa"/>
            <w:tcBorders>
              <w:top w:val="single" w:sz="4" w:space="0" w:color="A6A6A6"/>
              <w:left w:val="nil"/>
              <w:bottom w:val="single" w:sz="4" w:space="0" w:color="A6A6A6"/>
              <w:right w:val="single" w:sz="4" w:space="0" w:color="A6A6A6"/>
            </w:tcBorders>
            <w:shd w:val="clear" w:color="000000" w:fill="002060"/>
            <w:vAlign w:val="center"/>
            <w:hideMark/>
          </w:tcPr>
          <w:p w14:paraId="5FA46165" w14:textId="77777777" w:rsidR="001746FA" w:rsidRPr="00C67F0F" w:rsidRDefault="001746FA">
            <w:pPr>
              <w:spacing w:line="240" w:lineRule="auto"/>
              <w:jc w:val="center"/>
              <w:rPr>
                <w:rFonts w:eastAsia="Times New Roman"/>
                <w:color w:val="FFFFFF"/>
                <w:sz w:val="22"/>
                <w:szCs w:val="22"/>
                <w:lang w:eastAsia="hr-HR"/>
              </w:rPr>
            </w:pPr>
            <w:r w:rsidRPr="00C67F0F">
              <w:rPr>
                <w:rFonts w:eastAsia="Times New Roman"/>
                <w:color w:val="FFFFFF"/>
                <w:sz w:val="22"/>
                <w:szCs w:val="22"/>
                <w:lang w:eastAsia="hr-HR"/>
              </w:rPr>
              <w:t>Broj zahtjeva</w:t>
            </w:r>
          </w:p>
        </w:tc>
        <w:tc>
          <w:tcPr>
            <w:tcW w:w="1219" w:type="dxa"/>
            <w:tcBorders>
              <w:top w:val="single" w:sz="4" w:space="0" w:color="A6A6A6"/>
              <w:left w:val="nil"/>
              <w:bottom w:val="single" w:sz="4" w:space="0" w:color="A6A6A6"/>
              <w:right w:val="single" w:sz="4" w:space="0" w:color="A6A6A6"/>
            </w:tcBorders>
            <w:shd w:val="clear" w:color="000000" w:fill="002060"/>
            <w:vAlign w:val="center"/>
            <w:hideMark/>
          </w:tcPr>
          <w:p w14:paraId="40394FDC" w14:textId="77777777" w:rsidR="001746FA" w:rsidRPr="00C67F0F" w:rsidRDefault="001746FA">
            <w:pPr>
              <w:spacing w:line="240" w:lineRule="auto"/>
              <w:jc w:val="center"/>
              <w:rPr>
                <w:rFonts w:eastAsia="Times New Roman"/>
                <w:color w:val="FFFFFF"/>
                <w:sz w:val="22"/>
                <w:szCs w:val="22"/>
                <w:lang w:eastAsia="hr-HR"/>
              </w:rPr>
            </w:pPr>
            <w:r w:rsidRPr="00C67F0F">
              <w:rPr>
                <w:rFonts w:eastAsia="Times New Roman"/>
                <w:color w:val="FFFFFF"/>
                <w:sz w:val="22"/>
                <w:szCs w:val="22"/>
                <w:lang w:eastAsia="hr-HR"/>
              </w:rPr>
              <w:t>Broj lokacija</w:t>
            </w:r>
          </w:p>
        </w:tc>
        <w:tc>
          <w:tcPr>
            <w:tcW w:w="1219" w:type="dxa"/>
            <w:tcBorders>
              <w:top w:val="single" w:sz="4" w:space="0" w:color="A6A6A6"/>
              <w:left w:val="nil"/>
              <w:bottom w:val="single" w:sz="4" w:space="0" w:color="A6A6A6"/>
              <w:right w:val="single" w:sz="4" w:space="0" w:color="A6A6A6"/>
            </w:tcBorders>
            <w:shd w:val="clear" w:color="000000" w:fill="002060"/>
            <w:vAlign w:val="center"/>
            <w:hideMark/>
          </w:tcPr>
          <w:p w14:paraId="71B98189" w14:textId="77777777" w:rsidR="001746FA" w:rsidRPr="00C67F0F" w:rsidRDefault="001746FA">
            <w:pPr>
              <w:spacing w:line="240" w:lineRule="auto"/>
              <w:jc w:val="center"/>
              <w:rPr>
                <w:rFonts w:eastAsia="Times New Roman"/>
                <w:color w:val="FFFFFF"/>
                <w:sz w:val="22"/>
                <w:szCs w:val="22"/>
                <w:lang w:eastAsia="hr-HR"/>
              </w:rPr>
            </w:pPr>
            <w:r w:rsidRPr="00C67F0F">
              <w:rPr>
                <w:rFonts w:eastAsia="Times New Roman"/>
                <w:color w:val="FFFFFF"/>
                <w:sz w:val="22"/>
                <w:szCs w:val="22"/>
                <w:lang w:eastAsia="hr-HR"/>
              </w:rPr>
              <w:t>Odluke i Rješenja</w:t>
            </w:r>
          </w:p>
        </w:tc>
        <w:tc>
          <w:tcPr>
            <w:tcW w:w="1219" w:type="dxa"/>
            <w:tcBorders>
              <w:top w:val="single" w:sz="4" w:space="0" w:color="A6A6A6"/>
              <w:left w:val="nil"/>
              <w:bottom w:val="single" w:sz="4" w:space="0" w:color="A6A6A6"/>
              <w:right w:val="single" w:sz="4" w:space="0" w:color="A6A6A6"/>
            </w:tcBorders>
            <w:shd w:val="clear" w:color="000000" w:fill="002060"/>
            <w:vAlign w:val="center"/>
            <w:hideMark/>
          </w:tcPr>
          <w:p w14:paraId="74AB6412" w14:textId="77777777" w:rsidR="001746FA" w:rsidRPr="00C67F0F" w:rsidRDefault="001746FA">
            <w:pPr>
              <w:spacing w:line="240" w:lineRule="auto"/>
              <w:jc w:val="center"/>
              <w:rPr>
                <w:rFonts w:eastAsia="Times New Roman"/>
                <w:color w:val="FFFFFF"/>
                <w:sz w:val="22"/>
                <w:szCs w:val="22"/>
                <w:lang w:eastAsia="hr-HR"/>
              </w:rPr>
            </w:pPr>
            <w:r w:rsidRPr="00C67F0F">
              <w:rPr>
                <w:rFonts w:eastAsia="Times New Roman"/>
                <w:color w:val="FFFFFF"/>
                <w:sz w:val="22"/>
                <w:szCs w:val="22"/>
                <w:lang w:eastAsia="hr-HR"/>
              </w:rPr>
              <w:t>Prestanak postupka</w:t>
            </w:r>
          </w:p>
        </w:tc>
        <w:tc>
          <w:tcPr>
            <w:tcW w:w="1219" w:type="dxa"/>
            <w:tcBorders>
              <w:top w:val="single" w:sz="4" w:space="0" w:color="A6A6A6"/>
              <w:left w:val="nil"/>
              <w:bottom w:val="single" w:sz="4" w:space="0" w:color="A6A6A6"/>
              <w:right w:val="single" w:sz="4" w:space="0" w:color="A6A6A6"/>
            </w:tcBorders>
            <w:shd w:val="clear" w:color="000000" w:fill="002060"/>
            <w:vAlign w:val="center"/>
            <w:hideMark/>
          </w:tcPr>
          <w:p w14:paraId="6E2AF7C1" w14:textId="77777777" w:rsidR="001746FA" w:rsidRPr="00C67F0F" w:rsidRDefault="001746FA">
            <w:pPr>
              <w:spacing w:line="240" w:lineRule="auto"/>
              <w:jc w:val="center"/>
              <w:rPr>
                <w:rFonts w:eastAsia="Times New Roman"/>
                <w:color w:val="FFFFFF"/>
                <w:sz w:val="22"/>
                <w:szCs w:val="22"/>
                <w:lang w:eastAsia="hr-HR"/>
              </w:rPr>
            </w:pPr>
            <w:r w:rsidRPr="00C67F0F">
              <w:rPr>
                <w:rFonts w:eastAsia="Times New Roman"/>
                <w:color w:val="FFFFFF"/>
                <w:sz w:val="22"/>
                <w:szCs w:val="22"/>
                <w:lang w:eastAsia="hr-HR"/>
              </w:rPr>
              <w:t>Ukupno akata</w:t>
            </w:r>
          </w:p>
        </w:tc>
      </w:tr>
      <w:tr w:rsidR="003B32B7" w:rsidRPr="00C67F0F" w14:paraId="5ACCD2DF"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000000" w:fill="D9E1F2"/>
            <w:noWrap/>
            <w:vAlign w:val="center"/>
            <w:hideMark/>
          </w:tcPr>
          <w:p w14:paraId="305943DE" w14:textId="77777777" w:rsidR="003B32B7" w:rsidRPr="00C67F0F" w:rsidRDefault="003B32B7" w:rsidP="003B32B7">
            <w:pPr>
              <w:spacing w:line="240" w:lineRule="auto"/>
              <w:jc w:val="left"/>
              <w:rPr>
                <w:rFonts w:eastAsia="Times New Roman"/>
                <w:color w:val="000000"/>
                <w:sz w:val="22"/>
                <w:szCs w:val="22"/>
                <w:lang w:eastAsia="hr-HR"/>
              </w:rPr>
            </w:pPr>
            <w:r w:rsidRPr="00C67F0F">
              <w:rPr>
                <w:rFonts w:eastAsia="Times New Roman"/>
                <w:color w:val="000000"/>
                <w:sz w:val="22"/>
                <w:szCs w:val="22"/>
                <w:lang w:eastAsia="hr-HR"/>
              </w:rPr>
              <w:t>Zagrebački potres</w:t>
            </w:r>
          </w:p>
        </w:tc>
        <w:tc>
          <w:tcPr>
            <w:tcW w:w="1219" w:type="dxa"/>
            <w:tcBorders>
              <w:top w:val="nil"/>
              <w:left w:val="nil"/>
              <w:bottom w:val="single" w:sz="4" w:space="0" w:color="A6A6A6"/>
              <w:right w:val="single" w:sz="4" w:space="0" w:color="A6A6A6"/>
            </w:tcBorders>
            <w:shd w:val="clear" w:color="000000" w:fill="D9E1F2"/>
            <w:noWrap/>
            <w:vAlign w:val="center"/>
            <w:hideMark/>
          </w:tcPr>
          <w:p w14:paraId="6B8D6E85" w14:textId="5009267E"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2860</w:t>
            </w:r>
          </w:p>
        </w:tc>
        <w:tc>
          <w:tcPr>
            <w:tcW w:w="1219" w:type="dxa"/>
            <w:tcBorders>
              <w:top w:val="nil"/>
              <w:left w:val="nil"/>
              <w:bottom w:val="single" w:sz="4" w:space="0" w:color="A6A6A6"/>
              <w:right w:val="single" w:sz="4" w:space="0" w:color="A6A6A6"/>
            </w:tcBorders>
            <w:shd w:val="clear" w:color="000000" w:fill="D9E1F2"/>
            <w:noWrap/>
            <w:vAlign w:val="center"/>
            <w:hideMark/>
          </w:tcPr>
          <w:p w14:paraId="2BD5C59D" w14:textId="0A169B73"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2410</w:t>
            </w:r>
          </w:p>
        </w:tc>
        <w:tc>
          <w:tcPr>
            <w:tcW w:w="1219" w:type="dxa"/>
            <w:tcBorders>
              <w:top w:val="nil"/>
              <w:left w:val="nil"/>
              <w:bottom w:val="single" w:sz="4" w:space="0" w:color="A6A6A6"/>
              <w:right w:val="single" w:sz="4" w:space="0" w:color="A6A6A6"/>
            </w:tcBorders>
            <w:shd w:val="clear" w:color="000000" w:fill="D9E1F2"/>
            <w:noWrap/>
            <w:vAlign w:val="center"/>
            <w:hideMark/>
          </w:tcPr>
          <w:p w14:paraId="430AD973" w14:textId="20563EEE"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1877</w:t>
            </w:r>
          </w:p>
        </w:tc>
        <w:tc>
          <w:tcPr>
            <w:tcW w:w="1219" w:type="dxa"/>
            <w:tcBorders>
              <w:top w:val="nil"/>
              <w:left w:val="nil"/>
              <w:bottom w:val="single" w:sz="4" w:space="0" w:color="A6A6A6"/>
              <w:right w:val="single" w:sz="4" w:space="0" w:color="A6A6A6"/>
            </w:tcBorders>
            <w:shd w:val="clear" w:color="000000" w:fill="D9E1F2"/>
            <w:noWrap/>
            <w:vAlign w:val="center"/>
            <w:hideMark/>
          </w:tcPr>
          <w:p w14:paraId="1244DA36" w14:textId="27B8F41F"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409</w:t>
            </w:r>
          </w:p>
        </w:tc>
        <w:tc>
          <w:tcPr>
            <w:tcW w:w="1219" w:type="dxa"/>
            <w:tcBorders>
              <w:top w:val="nil"/>
              <w:left w:val="nil"/>
              <w:bottom w:val="single" w:sz="4" w:space="0" w:color="A6A6A6"/>
              <w:right w:val="single" w:sz="4" w:space="0" w:color="A6A6A6"/>
            </w:tcBorders>
            <w:shd w:val="clear" w:color="000000" w:fill="D9E1F2"/>
            <w:noWrap/>
            <w:vAlign w:val="center"/>
            <w:hideMark/>
          </w:tcPr>
          <w:p w14:paraId="7673FD64" w14:textId="7D7A23EC"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2286</w:t>
            </w:r>
          </w:p>
        </w:tc>
      </w:tr>
      <w:tr w:rsidR="003B32B7" w:rsidRPr="00C67F0F" w14:paraId="14C2D6B4"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7EC2A46D" w14:textId="77777777" w:rsidR="003B32B7" w:rsidRPr="00C67F0F" w:rsidRDefault="003B32B7" w:rsidP="003B32B7">
            <w:pPr>
              <w:spacing w:line="240" w:lineRule="auto"/>
              <w:jc w:val="left"/>
              <w:rPr>
                <w:rFonts w:eastAsia="Times New Roman"/>
                <w:i/>
                <w:iCs/>
                <w:color w:val="000000"/>
                <w:sz w:val="22"/>
                <w:szCs w:val="22"/>
                <w:lang w:eastAsia="hr-HR"/>
              </w:rPr>
            </w:pPr>
            <w:r w:rsidRPr="00C67F0F">
              <w:rPr>
                <w:rFonts w:eastAsia="Times New Roman"/>
                <w:i/>
                <w:iCs/>
                <w:color w:val="000000"/>
                <w:sz w:val="22"/>
                <w:szCs w:val="22"/>
                <w:lang w:eastAsia="hr-HR"/>
              </w:rPr>
              <w:t>Grad Zagreb</w:t>
            </w:r>
          </w:p>
        </w:tc>
        <w:tc>
          <w:tcPr>
            <w:tcW w:w="1219" w:type="dxa"/>
            <w:tcBorders>
              <w:top w:val="nil"/>
              <w:left w:val="nil"/>
              <w:bottom w:val="single" w:sz="4" w:space="0" w:color="A6A6A6"/>
              <w:right w:val="single" w:sz="4" w:space="0" w:color="A6A6A6"/>
            </w:tcBorders>
            <w:shd w:val="clear" w:color="auto" w:fill="auto"/>
            <w:noWrap/>
            <w:vAlign w:val="center"/>
            <w:hideMark/>
          </w:tcPr>
          <w:p w14:paraId="0C2AEDA0" w14:textId="51C10CB2"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2617</w:t>
            </w:r>
          </w:p>
        </w:tc>
        <w:tc>
          <w:tcPr>
            <w:tcW w:w="1219" w:type="dxa"/>
            <w:tcBorders>
              <w:top w:val="nil"/>
              <w:left w:val="nil"/>
              <w:bottom w:val="single" w:sz="4" w:space="0" w:color="A6A6A6"/>
              <w:right w:val="single" w:sz="4" w:space="0" w:color="A6A6A6"/>
            </w:tcBorders>
            <w:shd w:val="clear" w:color="auto" w:fill="auto"/>
            <w:noWrap/>
            <w:vAlign w:val="center"/>
            <w:hideMark/>
          </w:tcPr>
          <w:p w14:paraId="65EAC8B2" w14:textId="7610DB28"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2179</w:t>
            </w:r>
          </w:p>
        </w:tc>
        <w:tc>
          <w:tcPr>
            <w:tcW w:w="1219" w:type="dxa"/>
            <w:tcBorders>
              <w:top w:val="nil"/>
              <w:left w:val="nil"/>
              <w:bottom w:val="single" w:sz="4" w:space="0" w:color="A6A6A6"/>
              <w:right w:val="single" w:sz="4" w:space="0" w:color="A6A6A6"/>
            </w:tcBorders>
            <w:shd w:val="clear" w:color="auto" w:fill="auto"/>
            <w:noWrap/>
            <w:vAlign w:val="center"/>
            <w:hideMark/>
          </w:tcPr>
          <w:p w14:paraId="7B224FFE" w14:textId="7FB48D35"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1776</w:t>
            </w:r>
          </w:p>
        </w:tc>
        <w:tc>
          <w:tcPr>
            <w:tcW w:w="1219" w:type="dxa"/>
            <w:tcBorders>
              <w:top w:val="nil"/>
              <w:left w:val="nil"/>
              <w:bottom w:val="single" w:sz="4" w:space="0" w:color="A6A6A6"/>
              <w:right w:val="single" w:sz="4" w:space="0" w:color="A6A6A6"/>
            </w:tcBorders>
            <w:shd w:val="clear" w:color="auto" w:fill="auto"/>
            <w:noWrap/>
            <w:vAlign w:val="center"/>
            <w:hideMark/>
          </w:tcPr>
          <w:p w14:paraId="6E63C2B9" w14:textId="4C9A17E0"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378</w:t>
            </w:r>
          </w:p>
        </w:tc>
        <w:tc>
          <w:tcPr>
            <w:tcW w:w="1219" w:type="dxa"/>
            <w:tcBorders>
              <w:top w:val="nil"/>
              <w:left w:val="nil"/>
              <w:bottom w:val="single" w:sz="4" w:space="0" w:color="A6A6A6"/>
              <w:right w:val="single" w:sz="4" w:space="0" w:color="A6A6A6"/>
            </w:tcBorders>
            <w:shd w:val="clear" w:color="auto" w:fill="auto"/>
            <w:noWrap/>
            <w:vAlign w:val="center"/>
            <w:hideMark/>
          </w:tcPr>
          <w:p w14:paraId="0432325D" w14:textId="4E92BC53"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2.154</w:t>
            </w:r>
          </w:p>
        </w:tc>
      </w:tr>
      <w:tr w:rsidR="003B32B7" w:rsidRPr="00C67F0F" w14:paraId="7979CD36"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11B384B8" w14:textId="77777777" w:rsidR="003B32B7" w:rsidRPr="00C67F0F" w:rsidRDefault="003B32B7" w:rsidP="003B32B7">
            <w:pPr>
              <w:spacing w:line="240" w:lineRule="auto"/>
              <w:jc w:val="left"/>
              <w:rPr>
                <w:rFonts w:eastAsia="Times New Roman"/>
                <w:i/>
                <w:iCs/>
                <w:color w:val="000000"/>
                <w:sz w:val="22"/>
                <w:szCs w:val="22"/>
                <w:lang w:eastAsia="hr-HR"/>
              </w:rPr>
            </w:pPr>
            <w:r w:rsidRPr="00C67F0F">
              <w:rPr>
                <w:rFonts w:eastAsia="Times New Roman"/>
                <w:i/>
                <w:iCs/>
                <w:color w:val="000000"/>
                <w:sz w:val="22"/>
                <w:szCs w:val="22"/>
                <w:lang w:eastAsia="hr-HR"/>
              </w:rPr>
              <w:t>Krapinsko-zagorska županija</w:t>
            </w:r>
          </w:p>
        </w:tc>
        <w:tc>
          <w:tcPr>
            <w:tcW w:w="1219" w:type="dxa"/>
            <w:tcBorders>
              <w:top w:val="nil"/>
              <w:left w:val="nil"/>
              <w:bottom w:val="single" w:sz="4" w:space="0" w:color="A6A6A6"/>
              <w:right w:val="single" w:sz="4" w:space="0" w:color="A6A6A6"/>
            </w:tcBorders>
            <w:shd w:val="clear" w:color="auto" w:fill="auto"/>
            <w:noWrap/>
            <w:vAlign w:val="center"/>
            <w:hideMark/>
          </w:tcPr>
          <w:p w14:paraId="2EF74BB4" w14:textId="6E4F8EB9"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243</w:t>
            </w:r>
          </w:p>
        </w:tc>
        <w:tc>
          <w:tcPr>
            <w:tcW w:w="1219" w:type="dxa"/>
            <w:tcBorders>
              <w:top w:val="nil"/>
              <w:left w:val="nil"/>
              <w:bottom w:val="single" w:sz="4" w:space="0" w:color="A6A6A6"/>
              <w:right w:val="single" w:sz="4" w:space="0" w:color="A6A6A6"/>
            </w:tcBorders>
            <w:shd w:val="clear" w:color="auto" w:fill="auto"/>
            <w:noWrap/>
            <w:vAlign w:val="center"/>
            <w:hideMark/>
          </w:tcPr>
          <w:p w14:paraId="60200F75" w14:textId="7D232F7D"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231</w:t>
            </w:r>
          </w:p>
        </w:tc>
        <w:tc>
          <w:tcPr>
            <w:tcW w:w="1219" w:type="dxa"/>
            <w:tcBorders>
              <w:top w:val="nil"/>
              <w:left w:val="nil"/>
              <w:bottom w:val="single" w:sz="4" w:space="0" w:color="A6A6A6"/>
              <w:right w:val="single" w:sz="4" w:space="0" w:color="A6A6A6"/>
            </w:tcBorders>
            <w:shd w:val="clear" w:color="auto" w:fill="auto"/>
            <w:noWrap/>
            <w:vAlign w:val="center"/>
            <w:hideMark/>
          </w:tcPr>
          <w:p w14:paraId="48FDD7E4" w14:textId="49E1B7FC"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101</w:t>
            </w:r>
          </w:p>
        </w:tc>
        <w:tc>
          <w:tcPr>
            <w:tcW w:w="1219" w:type="dxa"/>
            <w:tcBorders>
              <w:top w:val="nil"/>
              <w:left w:val="nil"/>
              <w:bottom w:val="single" w:sz="4" w:space="0" w:color="A6A6A6"/>
              <w:right w:val="single" w:sz="4" w:space="0" w:color="A6A6A6"/>
            </w:tcBorders>
            <w:shd w:val="clear" w:color="auto" w:fill="auto"/>
            <w:noWrap/>
            <w:vAlign w:val="center"/>
            <w:hideMark/>
          </w:tcPr>
          <w:p w14:paraId="4D501E3E" w14:textId="735C15D6"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31</w:t>
            </w:r>
          </w:p>
        </w:tc>
        <w:tc>
          <w:tcPr>
            <w:tcW w:w="1219" w:type="dxa"/>
            <w:tcBorders>
              <w:top w:val="nil"/>
              <w:left w:val="nil"/>
              <w:bottom w:val="single" w:sz="4" w:space="0" w:color="A6A6A6"/>
              <w:right w:val="single" w:sz="4" w:space="0" w:color="A6A6A6"/>
            </w:tcBorders>
            <w:shd w:val="clear" w:color="auto" w:fill="auto"/>
            <w:noWrap/>
            <w:vAlign w:val="center"/>
            <w:hideMark/>
          </w:tcPr>
          <w:p w14:paraId="15A51741" w14:textId="2EBEA409"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132</w:t>
            </w:r>
          </w:p>
        </w:tc>
      </w:tr>
      <w:tr w:rsidR="003B32B7" w:rsidRPr="00C67F0F" w14:paraId="4FBA690B"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000000" w:fill="D9E1F2"/>
            <w:noWrap/>
            <w:vAlign w:val="center"/>
            <w:hideMark/>
          </w:tcPr>
          <w:p w14:paraId="50C27E16" w14:textId="77777777" w:rsidR="003B32B7" w:rsidRPr="00C67F0F" w:rsidRDefault="003B32B7" w:rsidP="003B32B7">
            <w:pPr>
              <w:spacing w:line="240" w:lineRule="auto"/>
              <w:jc w:val="left"/>
              <w:rPr>
                <w:rFonts w:eastAsia="Times New Roman"/>
                <w:color w:val="000000"/>
                <w:sz w:val="22"/>
                <w:szCs w:val="22"/>
                <w:lang w:eastAsia="hr-HR"/>
              </w:rPr>
            </w:pPr>
            <w:r w:rsidRPr="00C67F0F">
              <w:rPr>
                <w:rFonts w:eastAsia="Times New Roman"/>
                <w:color w:val="000000"/>
                <w:sz w:val="22"/>
                <w:szCs w:val="22"/>
                <w:lang w:eastAsia="hr-HR"/>
              </w:rPr>
              <w:t>Petrinjski potres</w:t>
            </w:r>
          </w:p>
        </w:tc>
        <w:tc>
          <w:tcPr>
            <w:tcW w:w="1219" w:type="dxa"/>
            <w:tcBorders>
              <w:top w:val="nil"/>
              <w:left w:val="nil"/>
              <w:bottom w:val="single" w:sz="4" w:space="0" w:color="A6A6A6"/>
              <w:right w:val="single" w:sz="4" w:space="0" w:color="A6A6A6"/>
            </w:tcBorders>
            <w:shd w:val="clear" w:color="000000" w:fill="D9E1F2"/>
            <w:noWrap/>
            <w:vAlign w:val="center"/>
            <w:hideMark/>
          </w:tcPr>
          <w:p w14:paraId="506BFA5E" w14:textId="62A7B952"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2.731</w:t>
            </w:r>
          </w:p>
        </w:tc>
        <w:tc>
          <w:tcPr>
            <w:tcW w:w="1219" w:type="dxa"/>
            <w:tcBorders>
              <w:top w:val="nil"/>
              <w:left w:val="nil"/>
              <w:bottom w:val="single" w:sz="4" w:space="0" w:color="A6A6A6"/>
              <w:right w:val="single" w:sz="4" w:space="0" w:color="A6A6A6"/>
            </w:tcBorders>
            <w:shd w:val="clear" w:color="000000" w:fill="D9E1F2"/>
            <w:noWrap/>
            <w:vAlign w:val="center"/>
            <w:hideMark/>
          </w:tcPr>
          <w:p w14:paraId="5970C2F6" w14:textId="577D66A3"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2.419</w:t>
            </w:r>
          </w:p>
        </w:tc>
        <w:tc>
          <w:tcPr>
            <w:tcW w:w="1219" w:type="dxa"/>
            <w:tcBorders>
              <w:top w:val="nil"/>
              <w:left w:val="nil"/>
              <w:bottom w:val="single" w:sz="4" w:space="0" w:color="A6A6A6"/>
              <w:right w:val="single" w:sz="4" w:space="0" w:color="A6A6A6"/>
            </w:tcBorders>
            <w:shd w:val="clear" w:color="000000" w:fill="D9E1F2"/>
            <w:noWrap/>
            <w:vAlign w:val="center"/>
            <w:hideMark/>
          </w:tcPr>
          <w:p w14:paraId="55F436E6" w14:textId="00D771FB"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1.909</w:t>
            </w:r>
          </w:p>
        </w:tc>
        <w:tc>
          <w:tcPr>
            <w:tcW w:w="1219" w:type="dxa"/>
            <w:tcBorders>
              <w:top w:val="nil"/>
              <w:left w:val="nil"/>
              <w:bottom w:val="single" w:sz="4" w:space="0" w:color="A6A6A6"/>
              <w:right w:val="single" w:sz="4" w:space="0" w:color="A6A6A6"/>
            </w:tcBorders>
            <w:shd w:val="clear" w:color="000000" w:fill="D9E1F2"/>
            <w:noWrap/>
            <w:vAlign w:val="center"/>
            <w:hideMark/>
          </w:tcPr>
          <w:p w14:paraId="14EB061A" w14:textId="643C59D6"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1.171</w:t>
            </w:r>
          </w:p>
        </w:tc>
        <w:tc>
          <w:tcPr>
            <w:tcW w:w="1219" w:type="dxa"/>
            <w:tcBorders>
              <w:top w:val="nil"/>
              <w:left w:val="nil"/>
              <w:bottom w:val="single" w:sz="4" w:space="0" w:color="A6A6A6"/>
              <w:right w:val="single" w:sz="4" w:space="0" w:color="A6A6A6"/>
            </w:tcBorders>
            <w:shd w:val="clear" w:color="000000" w:fill="D9E1F2"/>
            <w:noWrap/>
            <w:vAlign w:val="center"/>
            <w:hideMark/>
          </w:tcPr>
          <w:p w14:paraId="1755C02E" w14:textId="7A4F54A9"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3.080</w:t>
            </w:r>
          </w:p>
        </w:tc>
      </w:tr>
      <w:tr w:rsidR="003B32B7" w:rsidRPr="00C67F0F" w14:paraId="2637350B"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3D5CBE03" w14:textId="77777777" w:rsidR="003B32B7" w:rsidRPr="00C67F0F" w:rsidRDefault="003B32B7" w:rsidP="003B32B7">
            <w:pPr>
              <w:spacing w:line="240" w:lineRule="auto"/>
              <w:jc w:val="left"/>
              <w:rPr>
                <w:rFonts w:eastAsia="Times New Roman"/>
                <w:i/>
                <w:iCs/>
                <w:color w:val="000000"/>
                <w:sz w:val="22"/>
                <w:szCs w:val="22"/>
                <w:lang w:eastAsia="hr-HR"/>
              </w:rPr>
            </w:pPr>
            <w:r w:rsidRPr="00C67F0F">
              <w:rPr>
                <w:rFonts w:eastAsia="Times New Roman"/>
                <w:i/>
                <w:iCs/>
                <w:color w:val="000000"/>
                <w:sz w:val="22"/>
                <w:szCs w:val="22"/>
                <w:lang w:eastAsia="hr-HR"/>
              </w:rPr>
              <w:t>Sisačko-Moslavačka županija</w:t>
            </w:r>
          </w:p>
        </w:tc>
        <w:tc>
          <w:tcPr>
            <w:tcW w:w="1219" w:type="dxa"/>
            <w:tcBorders>
              <w:top w:val="nil"/>
              <w:left w:val="nil"/>
              <w:bottom w:val="single" w:sz="4" w:space="0" w:color="A6A6A6"/>
              <w:right w:val="single" w:sz="4" w:space="0" w:color="A6A6A6"/>
            </w:tcBorders>
            <w:shd w:val="clear" w:color="auto" w:fill="auto"/>
            <w:noWrap/>
            <w:vAlign w:val="center"/>
            <w:hideMark/>
          </w:tcPr>
          <w:p w14:paraId="29F24BF6" w14:textId="506FCE9B"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2.511</w:t>
            </w:r>
          </w:p>
        </w:tc>
        <w:tc>
          <w:tcPr>
            <w:tcW w:w="1219" w:type="dxa"/>
            <w:tcBorders>
              <w:top w:val="nil"/>
              <w:left w:val="nil"/>
              <w:bottom w:val="single" w:sz="4" w:space="0" w:color="A6A6A6"/>
              <w:right w:val="single" w:sz="4" w:space="0" w:color="A6A6A6"/>
            </w:tcBorders>
            <w:shd w:val="clear" w:color="auto" w:fill="auto"/>
            <w:noWrap/>
            <w:vAlign w:val="center"/>
            <w:hideMark/>
          </w:tcPr>
          <w:p w14:paraId="4F58F229" w14:textId="6C55E9D8"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2.231</w:t>
            </w:r>
          </w:p>
        </w:tc>
        <w:tc>
          <w:tcPr>
            <w:tcW w:w="1219" w:type="dxa"/>
            <w:tcBorders>
              <w:top w:val="nil"/>
              <w:left w:val="nil"/>
              <w:bottom w:val="single" w:sz="4" w:space="0" w:color="A6A6A6"/>
              <w:right w:val="single" w:sz="4" w:space="0" w:color="A6A6A6"/>
            </w:tcBorders>
            <w:shd w:val="clear" w:color="auto" w:fill="auto"/>
            <w:noWrap/>
            <w:vAlign w:val="center"/>
            <w:hideMark/>
          </w:tcPr>
          <w:p w14:paraId="224EE7E9" w14:textId="36F905FF"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1817</w:t>
            </w:r>
          </w:p>
        </w:tc>
        <w:tc>
          <w:tcPr>
            <w:tcW w:w="1219" w:type="dxa"/>
            <w:tcBorders>
              <w:top w:val="nil"/>
              <w:left w:val="nil"/>
              <w:bottom w:val="single" w:sz="4" w:space="0" w:color="A6A6A6"/>
              <w:right w:val="single" w:sz="4" w:space="0" w:color="A6A6A6"/>
            </w:tcBorders>
            <w:shd w:val="clear" w:color="auto" w:fill="auto"/>
            <w:noWrap/>
            <w:vAlign w:val="center"/>
            <w:hideMark/>
          </w:tcPr>
          <w:p w14:paraId="4823A764" w14:textId="0A67CB4D"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1060</w:t>
            </w:r>
          </w:p>
        </w:tc>
        <w:tc>
          <w:tcPr>
            <w:tcW w:w="1219" w:type="dxa"/>
            <w:tcBorders>
              <w:top w:val="nil"/>
              <w:left w:val="nil"/>
              <w:bottom w:val="single" w:sz="4" w:space="0" w:color="A6A6A6"/>
              <w:right w:val="single" w:sz="4" w:space="0" w:color="A6A6A6"/>
            </w:tcBorders>
            <w:shd w:val="clear" w:color="auto" w:fill="auto"/>
            <w:noWrap/>
            <w:vAlign w:val="center"/>
            <w:hideMark/>
          </w:tcPr>
          <w:p w14:paraId="1AD987B0" w14:textId="4AEEFD46"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2.877</w:t>
            </w:r>
          </w:p>
        </w:tc>
      </w:tr>
      <w:tr w:rsidR="003B32B7" w:rsidRPr="00C67F0F" w14:paraId="3A5660E1"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2EFAB320" w14:textId="77777777" w:rsidR="003B32B7" w:rsidRPr="00C67F0F" w:rsidRDefault="003B32B7" w:rsidP="003B32B7">
            <w:pPr>
              <w:spacing w:line="240" w:lineRule="auto"/>
              <w:jc w:val="left"/>
              <w:rPr>
                <w:rFonts w:eastAsia="Times New Roman"/>
                <w:i/>
                <w:iCs/>
                <w:color w:val="000000"/>
                <w:sz w:val="22"/>
                <w:szCs w:val="22"/>
                <w:lang w:eastAsia="hr-HR"/>
              </w:rPr>
            </w:pPr>
            <w:r w:rsidRPr="00C67F0F">
              <w:rPr>
                <w:rFonts w:eastAsia="Times New Roman"/>
                <w:i/>
                <w:iCs/>
                <w:color w:val="000000"/>
                <w:sz w:val="22"/>
                <w:szCs w:val="22"/>
                <w:lang w:eastAsia="hr-HR"/>
              </w:rPr>
              <w:t>Zagrebačka županija</w:t>
            </w:r>
          </w:p>
        </w:tc>
        <w:tc>
          <w:tcPr>
            <w:tcW w:w="1219" w:type="dxa"/>
            <w:tcBorders>
              <w:top w:val="nil"/>
              <w:left w:val="nil"/>
              <w:bottom w:val="single" w:sz="4" w:space="0" w:color="A6A6A6"/>
              <w:right w:val="single" w:sz="4" w:space="0" w:color="A6A6A6"/>
            </w:tcBorders>
            <w:shd w:val="clear" w:color="auto" w:fill="auto"/>
            <w:noWrap/>
            <w:vAlign w:val="center"/>
            <w:hideMark/>
          </w:tcPr>
          <w:p w14:paraId="62B69B14" w14:textId="4D773807"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144</w:t>
            </w:r>
          </w:p>
        </w:tc>
        <w:tc>
          <w:tcPr>
            <w:tcW w:w="1219" w:type="dxa"/>
            <w:tcBorders>
              <w:top w:val="nil"/>
              <w:left w:val="nil"/>
              <w:bottom w:val="single" w:sz="4" w:space="0" w:color="A6A6A6"/>
              <w:right w:val="single" w:sz="4" w:space="0" w:color="A6A6A6"/>
            </w:tcBorders>
            <w:shd w:val="clear" w:color="auto" w:fill="auto"/>
            <w:noWrap/>
            <w:vAlign w:val="center"/>
            <w:hideMark/>
          </w:tcPr>
          <w:p w14:paraId="126840E9" w14:textId="71AD36F6"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125</w:t>
            </w:r>
          </w:p>
        </w:tc>
        <w:tc>
          <w:tcPr>
            <w:tcW w:w="1219" w:type="dxa"/>
            <w:tcBorders>
              <w:top w:val="nil"/>
              <w:left w:val="nil"/>
              <w:bottom w:val="single" w:sz="4" w:space="0" w:color="A6A6A6"/>
              <w:right w:val="single" w:sz="4" w:space="0" w:color="A6A6A6"/>
            </w:tcBorders>
            <w:shd w:val="clear" w:color="auto" w:fill="auto"/>
            <w:noWrap/>
            <w:vAlign w:val="center"/>
            <w:hideMark/>
          </w:tcPr>
          <w:p w14:paraId="448EDAAC" w14:textId="1D227414"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68</w:t>
            </w:r>
          </w:p>
        </w:tc>
        <w:tc>
          <w:tcPr>
            <w:tcW w:w="1219" w:type="dxa"/>
            <w:tcBorders>
              <w:top w:val="nil"/>
              <w:left w:val="nil"/>
              <w:bottom w:val="single" w:sz="4" w:space="0" w:color="A6A6A6"/>
              <w:right w:val="single" w:sz="4" w:space="0" w:color="A6A6A6"/>
            </w:tcBorders>
            <w:shd w:val="clear" w:color="auto" w:fill="auto"/>
            <w:noWrap/>
            <w:vAlign w:val="center"/>
            <w:hideMark/>
          </w:tcPr>
          <w:p w14:paraId="3767E2E2" w14:textId="4DCBEEB8"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89</w:t>
            </w:r>
          </w:p>
        </w:tc>
        <w:tc>
          <w:tcPr>
            <w:tcW w:w="1219" w:type="dxa"/>
            <w:tcBorders>
              <w:top w:val="nil"/>
              <w:left w:val="nil"/>
              <w:bottom w:val="single" w:sz="4" w:space="0" w:color="A6A6A6"/>
              <w:right w:val="single" w:sz="4" w:space="0" w:color="A6A6A6"/>
            </w:tcBorders>
            <w:shd w:val="clear" w:color="auto" w:fill="auto"/>
            <w:noWrap/>
            <w:vAlign w:val="center"/>
            <w:hideMark/>
          </w:tcPr>
          <w:p w14:paraId="2777CF3F" w14:textId="2391DF50"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157</w:t>
            </w:r>
          </w:p>
        </w:tc>
      </w:tr>
      <w:tr w:rsidR="003B32B7" w:rsidRPr="00C67F0F" w14:paraId="74CEA80C"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1ECF6C09" w14:textId="77777777" w:rsidR="003B32B7" w:rsidRPr="00C67F0F" w:rsidRDefault="003B32B7" w:rsidP="003B32B7">
            <w:pPr>
              <w:spacing w:line="240" w:lineRule="auto"/>
              <w:jc w:val="left"/>
              <w:rPr>
                <w:rFonts w:eastAsia="Times New Roman"/>
                <w:i/>
                <w:iCs/>
                <w:color w:val="000000"/>
                <w:sz w:val="22"/>
                <w:szCs w:val="22"/>
                <w:lang w:eastAsia="hr-HR"/>
              </w:rPr>
            </w:pPr>
            <w:r w:rsidRPr="00C67F0F">
              <w:rPr>
                <w:rFonts w:eastAsia="Times New Roman"/>
                <w:i/>
                <w:iCs/>
                <w:color w:val="000000"/>
                <w:sz w:val="22"/>
                <w:szCs w:val="22"/>
                <w:lang w:eastAsia="hr-HR"/>
              </w:rPr>
              <w:t>Karlovačka županija</w:t>
            </w:r>
          </w:p>
        </w:tc>
        <w:tc>
          <w:tcPr>
            <w:tcW w:w="1219" w:type="dxa"/>
            <w:tcBorders>
              <w:top w:val="nil"/>
              <w:left w:val="nil"/>
              <w:bottom w:val="single" w:sz="4" w:space="0" w:color="A6A6A6"/>
              <w:right w:val="single" w:sz="4" w:space="0" w:color="A6A6A6"/>
            </w:tcBorders>
            <w:shd w:val="clear" w:color="auto" w:fill="auto"/>
            <w:noWrap/>
            <w:vAlign w:val="center"/>
            <w:hideMark/>
          </w:tcPr>
          <w:p w14:paraId="16705603" w14:textId="2E30CB11"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76</w:t>
            </w:r>
          </w:p>
        </w:tc>
        <w:tc>
          <w:tcPr>
            <w:tcW w:w="1219" w:type="dxa"/>
            <w:tcBorders>
              <w:top w:val="nil"/>
              <w:left w:val="nil"/>
              <w:bottom w:val="single" w:sz="4" w:space="0" w:color="A6A6A6"/>
              <w:right w:val="single" w:sz="4" w:space="0" w:color="A6A6A6"/>
            </w:tcBorders>
            <w:shd w:val="clear" w:color="auto" w:fill="auto"/>
            <w:noWrap/>
            <w:vAlign w:val="center"/>
            <w:hideMark/>
          </w:tcPr>
          <w:p w14:paraId="6EA0622A" w14:textId="20EB1E33"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63</w:t>
            </w:r>
          </w:p>
        </w:tc>
        <w:tc>
          <w:tcPr>
            <w:tcW w:w="1219" w:type="dxa"/>
            <w:tcBorders>
              <w:top w:val="nil"/>
              <w:left w:val="nil"/>
              <w:bottom w:val="single" w:sz="4" w:space="0" w:color="A6A6A6"/>
              <w:right w:val="single" w:sz="4" w:space="0" w:color="A6A6A6"/>
            </w:tcBorders>
            <w:shd w:val="clear" w:color="auto" w:fill="auto"/>
            <w:noWrap/>
            <w:vAlign w:val="center"/>
            <w:hideMark/>
          </w:tcPr>
          <w:p w14:paraId="19E2E47D" w14:textId="76F247E4"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24</w:t>
            </w:r>
          </w:p>
        </w:tc>
        <w:tc>
          <w:tcPr>
            <w:tcW w:w="1219" w:type="dxa"/>
            <w:tcBorders>
              <w:top w:val="nil"/>
              <w:left w:val="nil"/>
              <w:bottom w:val="single" w:sz="4" w:space="0" w:color="A6A6A6"/>
              <w:right w:val="single" w:sz="4" w:space="0" w:color="A6A6A6"/>
            </w:tcBorders>
            <w:shd w:val="clear" w:color="auto" w:fill="auto"/>
            <w:noWrap/>
            <w:vAlign w:val="center"/>
            <w:hideMark/>
          </w:tcPr>
          <w:p w14:paraId="3064535F" w14:textId="47BCECF7"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22</w:t>
            </w:r>
          </w:p>
        </w:tc>
        <w:tc>
          <w:tcPr>
            <w:tcW w:w="1219" w:type="dxa"/>
            <w:tcBorders>
              <w:top w:val="nil"/>
              <w:left w:val="nil"/>
              <w:bottom w:val="single" w:sz="4" w:space="0" w:color="A6A6A6"/>
              <w:right w:val="single" w:sz="4" w:space="0" w:color="A6A6A6"/>
            </w:tcBorders>
            <w:shd w:val="clear" w:color="auto" w:fill="auto"/>
            <w:noWrap/>
            <w:vAlign w:val="center"/>
            <w:hideMark/>
          </w:tcPr>
          <w:p w14:paraId="13DF33B0" w14:textId="35DB9261" w:rsidR="003B32B7" w:rsidRPr="00C67F0F" w:rsidRDefault="003B32B7" w:rsidP="003B32B7">
            <w:pPr>
              <w:spacing w:line="240" w:lineRule="auto"/>
              <w:jc w:val="center"/>
              <w:rPr>
                <w:rFonts w:eastAsia="Times New Roman"/>
                <w:color w:val="000000"/>
                <w:sz w:val="22"/>
                <w:szCs w:val="22"/>
                <w:lang w:eastAsia="hr-HR"/>
              </w:rPr>
            </w:pPr>
            <w:r>
              <w:rPr>
                <w:color w:val="000000"/>
                <w:sz w:val="22"/>
                <w:szCs w:val="22"/>
              </w:rPr>
              <w:t>46</w:t>
            </w:r>
          </w:p>
        </w:tc>
      </w:tr>
      <w:tr w:rsidR="003B32B7" w:rsidRPr="00C67F0F" w14:paraId="3CAE7E1B" w14:textId="77777777" w:rsidTr="005A786C">
        <w:trPr>
          <w:trHeight w:val="510"/>
        </w:trPr>
        <w:tc>
          <w:tcPr>
            <w:tcW w:w="2972" w:type="dxa"/>
            <w:tcBorders>
              <w:top w:val="nil"/>
              <w:left w:val="single" w:sz="4" w:space="0" w:color="A6A6A6"/>
              <w:bottom w:val="single" w:sz="4" w:space="0" w:color="A6A6A6"/>
              <w:right w:val="single" w:sz="4" w:space="0" w:color="A6A6A6"/>
            </w:tcBorders>
            <w:shd w:val="clear" w:color="000000" w:fill="002060"/>
            <w:noWrap/>
            <w:vAlign w:val="center"/>
            <w:hideMark/>
          </w:tcPr>
          <w:p w14:paraId="3711CEA5" w14:textId="77777777" w:rsidR="003B32B7" w:rsidRPr="00C67F0F" w:rsidRDefault="003B32B7" w:rsidP="003B32B7">
            <w:pPr>
              <w:spacing w:line="240" w:lineRule="auto"/>
              <w:jc w:val="left"/>
              <w:rPr>
                <w:rFonts w:eastAsia="Times New Roman"/>
                <w:color w:val="FFFFFF"/>
                <w:sz w:val="22"/>
                <w:szCs w:val="22"/>
                <w:lang w:eastAsia="hr-HR"/>
              </w:rPr>
            </w:pPr>
            <w:r w:rsidRPr="00C67F0F">
              <w:rPr>
                <w:rFonts w:eastAsia="Times New Roman"/>
                <w:color w:val="FFFFFF"/>
                <w:sz w:val="22"/>
                <w:szCs w:val="22"/>
                <w:lang w:eastAsia="hr-HR"/>
              </w:rPr>
              <w:t>UKUPNO</w:t>
            </w:r>
          </w:p>
        </w:tc>
        <w:tc>
          <w:tcPr>
            <w:tcW w:w="1219" w:type="dxa"/>
            <w:tcBorders>
              <w:top w:val="nil"/>
              <w:left w:val="nil"/>
              <w:bottom w:val="single" w:sz="4" w:space="0" w:color="A6A6A6"/>
              <w:right w:val="single" w:sz="4" w:space="0" w:color="A6A6A6"/>
            </w:tcBorders>
            <w:shd w:val="clear" w:color="000000" w:fill="002060"/>
            <w:noWrap/>
            <w:vAlign w:val="center"/>
            <w:hideMark/>
          </w:tcPr>
          <w:p w14:paraId="41315434" w14:textId="438B5420" w:rsidR="003B32B7" w:rsidRPr="00C67F0F" w:rsidRDefault="003B32B7" w:rsidP="003B32B7">
            <w:pPr>
              <w:spacing w:line="240" w:lineRule="auto"/>
              <w:jc w:val="center"/>
              <w:rPr>
                <w:rFonts w:eastAsia="Times New Roman"/>
                <w:color w:val="FFFFFF"/>
                <w:sz w:val="22"/>
                <w:szCs w:val="22"/>
                <w:lang w:eastAsia="hr-HR"/>
              </w:rPr>
            </w:pPr>
            <w:r>
              <w:rPr>
                <w:color w:val="FFFFFF"/>
                <w:sz w:val="22"/>
                <w:szCs w:val="22"/>
              </w:rPr>
              <w:t>5.591</w:t>
            </w:r>
          </w:p>
        </w:tc>
        <w:tc>
          <w:tcPr>
            <w:tcW w:w="1219" w:type="dxa"/>
            <w:tcBorders>
              <w:top w:val="nil"/>
              <w:left w:val="nil"/>
              <w:bottom w:val="single" w:sz="4" w:space="0" w:color="A6A6A6"/>
              <w:right w:val="single" w:sz="4" w:space="0" w:color="A6A6A6"/>
            </w:tcBorders>
            <w:shd w:val="clear" w:color="000000" w:fill="002060"/>
            <w:noWrap/>
            <w:vAlign w:val="center"/>
            <w:hideMark/>
          </w:tcPr>
          <w:p w14:paraId="1C781494" w14:textId="53273501" w:rsidR="003B32B7" w:rsidRPr="00C67F0F" w:rsidRDefault="003B32B7" w:rsidP="003B32B7">
            <w:pPr>
              <w:spacing w:line="240" w:lineRule="auto"/>
              <w:jc w:val="center"/>
              <w:rPr>
                <w:rFonts w:eastAsia="Times New Roman"/>
                <w:color w:val="FFFFFF"/>
                <w:sz w:val="22"/>
                <w:szCs w:val="22"/>
                <w:lang w:eastAsia="hr-HR"/>
              </w:rPr>
            </w:pPr>
            <w:r>
              <w:rPr>
                <w:color w:val="FFFFFF"/>
                <w:sz w:val="22"/>
                <w:szCs w:val="22"/>
              </w:rPr>
              <w:t>4.829</w:t>
            </w:r>
          </w:p>
        </w:tc>
        <w:tc>
          <w:tcPr>
            <w:tcW w:w="1219" w:type="dxa"/>
            <w:tcBorders>
              <w:top w:val="nil"/>
              <w:left w:val="nil"/>
              <w:bottom w:val="single" w:sz="4" w:space="0" w:color="A6A6A6"/>
              <w:right w:val="single" w:sz="4" w:space="0" w:color="A6A6A6"/>
            </w:tcBorders>
            <w:shd w:val="clear" w:color="000000" w:fill="002060"/>
            <w:noWrap/>
            <w:vAlign w:val="center"/>
            <w:hideMark/>
          </w:tcPr>
          <w:p w14:paraId="45BA2265" w14:textId="222937FD" w:rsidR="003B32B7" w:rsidRPr="00C67F0F" w:rsidRDefault="003B32B7" w:rsidP="003B32B7">
            <w:pPr>
              <w:spacing w:line="240" w:lineRule="auto"/>
              <w:jc w:val="center"/>
              <w:rPr>
                <w:rFonts w:eastAsia="Times New Roman"/>
                <w:color w:val="FFFFFF"/>
                <w:sz w:val="22"/>
                <w:szCs w:val="22"/>
                <w:lang w:eastAsia="hr-HR"/>
              </w:rPr>
            </w:pPr>
            <w:r>
              <w:rPr>
                <w:color w:val="FFFFFF"/>
                <w:sz w:val="22"/>
                <w:szCs w:val="22"/>
              </w:rPr>
              <w:t>3.786</w:t>
            </w:r>
          </w:p>
        </w:tc>
        <w:tc>
          <w:tcPr>
            <w:tcW w:w="1219" w:type="dxa"/>
            <w:tcBorders>
              <w:top w:val="nil"/>
              <w:left w:val="nil"/>
              <w:bottom w:val="single" w:sz="4" w:space="0" w:color="A6A6A6"/>
              <w:right w:val="single" w:sz="4" w:space="0" w:color="A6A6A6"/>
            </w:tcBorders>
            <w:shd w:val="clear" w:color="000000" w:fill="002060"/>
            <w:noWrap/>
            <w:vAlign w:val="center"/>
            <w:hideMark/>
          </w:tcPr>
          <w:p w14:paraId="10C6521D" w14:textId="2255A979" w:rsidR="003B32B7" w:rsidRPr="00C67F0F" w:rsidRDefault="003B32B7" w:rsidP="003B32B7">
            <w:pPr>
              <w:spacing w:line="240" w:lineRule="auto"/>
              <w:jc w:val="center"/>
              <w:rPr>
                <w:rFonts w:eastAsia="Times New Roman"/>
                <w:color w:val="FFFFFF"/>
                <w:sz w:val="22"/>
                <w:szCs w:val="22"/>
                <w:lang w:eastAsia="hr-HR"/>
              </w:rPr>
            </w:pPr>
            <w:r>
              <w:rPr>
                <w:color w:val="FFFFFF"/>
                <w:sz w:val="22"/>
                <w:szCs w:val="22"/>
              </w:rPr>
              <w:t>1.580</w:t>
            </w:r>
          </w:p>
        </w:tc>
        <w:tc>
          <w:tcPr>
            <w:tcW w:w="1219" w:type="dxa"/>
            <w:tcBorders>
              <w:top w:val="nil"/>
              <w:left w:val="nil"/>
              <w:bottom w:val="single" w:sz="4" w:space="0" w:color="A6A6A6"/>
              <w:right w:val="single" w:sz="4" w:space="0" w:color="A6A6A6"/>
            </w:tcBorders>
            <w:shd w:val="clear" w:color="000000" w:fill="002060"/>
            <w:noWrap/>
            <w:vAlign w:val="center"/>
            <w:hideMark/>
          </w:tcPr>
          <w:p w14:paraId="2348D8B6" w14:textId="4B534226" w:rsidR="003B32B7" w:rsidRPr="00C67F0F" w:rsidRDefault="003B32B7" w:rsidP="003B32B7">
            <w:pPr>
              <w:spacing w:line="240" w:lineRule="auto"/>
              <w:jc w:val="center"/>
              <w:rPr>
                <w:rFonts w:eastAsia="Times New Roman"/>
                <w:color w:val="FFFFFF"/>
                <w:sz w:val="22"/>
                <w:szCs w:val="22"/>
                <w:lang w:eastAsia="hr-HR"/>
              </w:rPr>
            </w:pPr>
            <w:r>
              <w:rPr>
                <w:color w:val="FFFFFF"/>
                <w:sz w:val="22"/>
                <w:szCs w:val="22"/>
              </w:rPr>
              <w:t>5.366</w:t>
            </w:r>
          </w:p>
        </w:tc>
      </w:tr>
    </w:tbl>
    <w:p w14:paraId="3F7DCE35" w14:textId="77777777" w:rsidR="003123FE" w:rsidRDefault="003123FE" w:rsidP="00D90C6C"/>
    <w:p w14:paraId="45489F8E" w14:textId="77777777" w:rsidR="00EB59BD" w:rsidRDefault="00EB59BD" w:rsidP="00D90C6C"/>
    <w:p w14:paraId="4FA0FFF6" w14:textId="3822D3F9" w:rsidR="00297FFA" w:rsidRDefault="002E683A" w:rsidP="002E683A">
      <w:r w:rsidRPr="0085749D">
        <w:t>Tijekom 2023. godine</w:t>
      </w:r>
      <w:r w:rsidR="00DB7616">
        <w:t>,</w:t>
      </w:r>
      <w:r w:rsidRPr="0085749D">
        <w:t xml:space="preserve"> izrađeno </w:t>
      </w:r>
      <w:r w:rsidR="00DB7616">
        <w:t>je</w:t>
      </w:r>
      <w:r w:rsidRPr="0085749D">
        <w:t xml:space="preserve"> </w:t>
      </w:r>
      <w:r w:rsidR="008729B8">
        <w:t>2.</w:t>
      </w:r>
      <w:r w:rsidR="00AA6B5F">
        <w:t>636</w:t>
      </w:r>
      <w:r w:rsidRPr="0085749D">
        <w:t xml:space="preserve"> nalaza što je </w:t>
      </w:r>
      <w:r w:rsidR="00314B84">
        <w:t xml:space="preserve">značajno poboljšanje </w:t>
      </w:r>
      <w:r w:rsidR="008A523F">
        <w:t xml:space="preserve">s obzirom da je </w:t>
      </w:r>
      <w:r w:rsidR="00087E4A">
        <w:t xml:space="preserve">od početka provedbe </w:t>
      </w:r>
      <w:r w:rsidR="005E4E9D">
        <w:t>Z</w:t>
      </w:r>
      <w:r w:rsidR="00087E4A">
        <w:t xml:space="preserve">akona o obnovi </w:t>
      </w:r>
      <w:r w:rsidR="00456FBE">
        <w:t xml:space="preserve">do </w:t>
      </w:r>
      <w:r w:rsidR="008B7703">
        <w:t>31. prosinca 2022.</w:t>
      </w:r>
      <w:r w:rsidR="008F05DF">
        <w:t xml:space="preserve"> </w:t>
      </w:r>
      <w:r w:rsidRPr="0085749D">
        <w:t xml:space="preserve">izrađeno </w:t>
      </w:r>
      <w:r w:rsidR="00087E4A">
        <w:t xml:space="preserve">ukupno </w:t>
      </w:r>
      <w:r w:rsidRPr="0085749D">
        <w:t xml:space="preserve">1.217 nalaza. </w:t>
      </w:r>
    </w:p>
    <w:p w14:paraId="64BBFE74" w14:textId="77777777" w:rsidR="00297FFA" w:rsidRDefault="00297FFA" w:rsidP="002E683A"/>
    <w:p w14:paraId="2E626DA7" w14:textId="023506CC" w:rsidR="001D5F21" w:rsidRDefault="002E683A" w:rsidP="002E683A">
      <w:r w:rsidRPr="0085749D">
        <w:t>Od</w:t>
      </w:r>
      <w:r w:rsidR="00D648BE">
        <w:t xml:space="preserve"> sveukupno izrađenih</w:t>
      </w:r>
      <w:r w:rsidRPr="0085749D">
        <w:t xml:space="preserve"> </w:t>
      </w:r>
      <w:r w:rsidR="001B110A">
        <w:t>3</w:t>
      </w:r>
      <w:r w:rsidRPr="0085749D">
        <w:t>.</w:t>
      </w:r>
      <w:r w:rsidR="001B110A">
        <w:t>853</w:t>
      </w:r>
      <w:r w:rsidRPr="0085749D">
        <w:t xml:space="preserve"> nalaza kod 1.</w:t>
      </w:r>
      <w:r w:rsidR="001B110A">
        <w:t>884</w:t>
      </w:r>
      <w:r w:rsidRPr="0085749D">
        <w:t xml:space="preserve"> nalaza (4</w:t>
      </w:r>
      <w:r w:rsidR="001B110A">
        <w:t>9</w:t>
      </w:r>
      <w:r w:rsidR="002B7F0C">
        <w:t xml:space="preserve"> </w:t>
      </w:r>
      <w:r w:rsidR="008B3B64">
        <w:t>%</w:t>
      </w:r>
      <w:r w:rsidRPr="0085749D">
        <w:t>) utvrđen</w:t>
      </w:r>
      <w:r w:rsidR="00070934">
        <w:t>a</w:t>
      </w:r>
      <w:r w:rsidRPr="0085749D">
        <w:t xml:space="preserve"> je </w:t>
      </w:r>
      <w:r w:rsidR="00070934">
        <w:t>potreba</w:t>
      </w:r>
      <w:r w:rsidRPr="0085749D">
        <w:t xml:space="preserve"> konstrukcijsk</w:t>
      </w:r>
      <w:r w:rsidR="00070934">
        <w:t>e</w:t>
      </w:r>
      <w:r w:rsidRPr="0085749D">
        <w:t xml:space="preserve"> obnov</w:t>
      </w:r>
      <w:r w:rsidR="00070934">
        <w:t>e</w:t>
      </w:r>
      <w:r w:rsidRPr="0085749D">
        <w:t xml:space="preserve">, kod </w:t>
      </w:r>
      <w:r w:rsidR="00306716">
        <w:t>977</w:t>
      </w:r>
      <w:r w:rsidRPr="0085749D">
        <w:t xml:space="preserve"> nalaza (2</w:t>
      </w:r>
      <w:r w:rsidR="00306716">
        <w:t>5</w:t>
      </w:r>
      <w:r w:rsidR="008B3B64">
        <w:t xml:space="preserve"> %</w:t>
      </w:r>
      <w:r w:rsidRPr="0085749D">
        <w:t xml:space="preserve">) utvrđeno je </w:t>
      </w:r>
      <w:r w:rsidR="00070934">
        <w:t>potreba</w:t>
      </w:r>
      <w:r w:rsidRPr="0085749D">
        <w:t xml:space="preserve"> </w:t>
      </w:r>
      <w:proofErr w:type="spellStart"/>
      <w:r w:rsidRPr="0085749D">
        <w:t>nekonstrukcijsk</w:t>
      </w:r>
      <w:r w:rsidR="00070934">
        <w:t>e</w:t>
      </w:r>
      <w:proofErr w:type="spellEnd"/>
      <w:r w:rsidRPr="0085749D">
        <w:t xml:space="preserve"> obnov</w:t>
      </w:r>
      <w:r w:rsidR="00070934">
        <w:t>e</w:t>
      </w:r>
      <w:r w:rsidRPr="0085749D">
        <w:t xml:space="preserve">, a kod </w:t>
      </w:r>
      <w:r w:rsidR="00306716">
        <w:t>9</w:t>
      </w:r>
      <w:r w:rsidRPr="0085749D">
        <w:t>12 nalaza (2</w:t>
      </w:r>
      <w:r w:rsidR="00306716">
        <w:t>4</w:t>
      </w:r>
      <w:r w:rsidR="008B3B64">
        <w:t xml:space="preserve"> %</w:t>
      </w:r>
      <w:r w:rsidRPr="0085749D">
        <w:t>) utvrđen</w:t>
      </w:r>
      <w:r w:rsidR="00070934">
        <w:t>a</w:t>
      </w:r>
      <w:r w:rsidRPr="0085749D">
        <w:t xml:space="preserve"> je </w:t>
      </w:r>
      <w:r w:rsidR="00070934">
        <w:t>potreba</w:t>
      </w:r>
      <w:r w:rsidRPr="0085749D">
        <w:t xml:space="preserve"> uklanjanj</w:t>
      </w:r>
      <w:r w:rsidR="00911D99">
        <w:t>a</w:t>
      </w:r>
      <w:r w:rsidRPr="0085749D">
        <w:t xml:space="preserve"> odnosno uklanjanj</w:t>
      </w:r>
      <w:r w:rsidR="00911D99">
        <w:t>a</w:t>
      </w:r>
      <w:r w:rsidRPr="0085749D">
        <w:t xml:space="preserve"> i gradnj</w:t>
      </w:r>
      <w:r w:rsidR="00911D99">
        <w:t>e</w:t>
      </w:r>
      <w:r w:rsidRPr="0085749D">
        <w:t xml:space="preserve">. </w:t>
      </w:r>
    </w:p>
    <w:p w14:paraId="000B8018" w14:textId="77777777" w:rsidR="001D5F21" w:rsidRDefault="001D5F21" w:rsidP="002E683A"/>
    <w:p w14:paraId="46625623" w14:textId="77777777" w:rsidR="0029190F" w:rsidRDefault="0029190F" w:rsidP="002E683A"/>
    <w:p w14:paraId="56F5E82D" w14:textId="664B8EA1" w:rsidR="006D14A3" w:rsidRPr="00C9549D" w:rsidRDefault="006D14A3" w:rsidP="006D14A3">
      <w:pPr>
        <w:spacing w:after="60"/>
        <w:rPr>
          <w:i/>
          <w:iCs/>
        </w:rPr>
      </w:pPr>
      <w:r w:rsidRPr="00C9549D">
        <w:rPr>
          <w:i/>
          <w:iCs/>
        </w:rPr>
        <w:lastRenderedPageBreak/>
        <w:t>Pregled broja izrađenih nalaza</w:t>
      </w:r>
    </w:p>
    <w:tbl>
      <w:tblPr>
        <w:tblW w:w="9067" w:type="dxa"/>
        <w:tblLook w:val="04A0" w:firstRow="1" w:lastRow="0" w:firstColumn="1" w:lastColumn="0" w:noHBand="0" w:noVBand="1"/>
      </w:tblPr>
      <w:tblGrid>
        <w:gridCol w:w="3220"/>
        <w:gridCol w:w="1949"/>
        <w:gridCol w:w="1949"/>
        <w:gridCol w:w="1949"/>
      </w:tblGrid>
      <w:tr w:rsidR="006D14A3" w:rsidRPr="000342D7" w14:paraId="0A377D43" w14:textId="77777777" w:rsidTr="00861662">
        <w:trPr>
          <w:trHeight w:val="900"/>
        </w:trPr>
        <w:tc>
          <w:tcPr>
            <w:tcW w:w="3220"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32D8E043" w14:textId="77777777" w:rsidR="006D14A3" w:rsidRPr="000342D7" w:rsidRDefault="006D14A3" w:rsidP="00861662">
            <w:pPr>
              <w:spacing w:line="240" w:lineRule="auto"/>
              <w:jc w:val="center"/>
              <w:rPr>
                <w:rFonts w:eastAsia="Times New Roman"/>
                <w:color w:val="FFFFFF"/>
                <w:lang w:eastAsia="hr-HR"/>
              </w:rPr>
            </w:pPr>
            <w:r w:rsidRPr="000342D7">
              <w:rPr>
                <w:rFonts w:eastAsia="Times New Roman"/>
                <w:color w:val="FFFFFF"/>
                <w:lang w:eastAsia="hr-HR"/>
              </w:rPr>
              <w:t>OPIS</w:t>
            </w:r>
          </w:p>
        </w:tc>
        <w:tc>
          <w:tcPr>
            <w:tcW w:w="1949" w:type="dxa"/>
            <w:tcBorders>
              <w:top w:val="single" w:sz="4" w:space="0" w:color="A6A6A6"/>
              <w:left w:val="nil"/>
              <w:bottom w:val="single" w:sz="4" w:space="0" w:color="A6A6A6"/>
              <w:right w:val="single" w:sz="4" w:space="0" w:color="A6A6A6"/>
            </w:tcBorders>
            <w:shd w:val="clear" w:color="000000" w:fill="002060"/>
            <w:vAlign w:val="center"/>
            <w:hideMark/>
          </w:tcPr>
          <w:p w14:paraId="452042FB" w14:textId="190CDBE5" w:rsidR="006D14A3" w:rsidRPr="000342D7" w:rsidRDefault="006D14A3" w:rsidP="00861662">
            <w:pPr>
              <w:spacing w:line="240" w:lineRule="auto"/>
              <w:jc w:val="center"/>
              <w:rPr>
                <w:rFonts w:eastAsia="Times New Roman"/>
                <w:color w:val="FFFFFF"/>
                <w:lang w:eastAsia="hr-HR"/>
              </w:rPr>
            </w:pPr>
            <w:r w:rsidRPr="000342D7">
              <w:rPr>
                <w:rFonts w:eastAsia="Times New Roman"/>
                <w:color w:val="FFFFFF"/>
                <w:lang w:eastAsia="hr-HR"/>
              </w:rPr>
              <w:t>Stanje na</w:t>
            </w:r>
            <w:r w:rsidRPr="000342D7">
              <w:rPr>
                <w:rFonts w:eastAsia="Times New Roman"/>
                <w:color w:val="FFFFFF"/>
                <w:lang w:eastAsia="hr-HR"/>
              </w:rPr>
              <w:br/>
              <w:t>31.</w:t>
            </w:r>
            <w:r w:rsidR="00B96573" w:rsidRPr="000342D7">
              <w:rPr>
                <w:rFonts w:eastAsia="Times New Roman"/>
                <w:color w:val="FFFFFF"/>
                <w:lang w:eastAsia="hr-HR"/>
              </w:rPr>
              <w:t xml:space="preserve">prosinca </w:t>
            </w:r>
            <w:r w:rsidRPr="000342D7">
              <w:rPr>
                <w:rFonts w:eastAsia="Times New Roman"/>
                <w:color w:val="FFFFFF"/>
                <w:lang w:eastAsia="hr-HR"/>
              </w:rPr>
              <w:t>2022.</w:t>
            </w:r>
          </w:p>
        </w:tc>
        <w:tc>
          <w:tcPr>
            <w:tcW w:w="1949" w:type="dxa"/>
            <w:tcBorders>
              <w:top w:val="single" w:sz="4" w:space="0" w:color="A6A6A6"/>
              <w:left w:val="nil"/>
              <w:bottom w:val="single" w:sz="4" w:space="0" w:color="A6A6A6"/>
              <w:right w:val="single" w:sz="4" w:space="0" w:color="A6A6A6"/>
            </w:tcBorders>
            <w:shd w:val="clear" w:color="000000" w:fill="002060"/>
            <w:vAlign w:val="center"/>
            <w:hideMark/>
          </w:tcPr>
          <w:p w14:paraId="01B66C75" w14:textId="2B568F7D" w:rsidR="006D14A3" w:rsidRPr="000342D7" w:rsidRDefault="00B107C7" w:rsidP="00861662">
            <w:pPr>
              <w:spacing w:line="240" w:lineRule="auto"/>
              <w:jc w:val="center"/>
              <w:rPr>
                <w:rFonts w:eastAsia="Times New Roman"/>
                <w:color w:val="FFFFFF"/>
                <w:lang w:eastAsia="hr-HR"/>
              </w:rPr>
            </w:pPr>
            <w:r w:rsidRPr="000342D7">
              <w:rPr>
                <w:color w:val="FFFFFF"/>
              </w:rPr>
              <w:t xml:space="preserve"> Realizacija tijekom 2023. godine </w:t>
            </w:r>
          </w:p>
        </w:tc>
        <w:tc>
          <w:tcPr>
            <w:tcW w:w="1949" w:type="dxa"/>
            <w:tcBorders>
              <w:top w:val="single" w:sz="4" w:space="0" w:color="A6A6A6"/>
              <w:left w:val="nil"/>
              <w:bottom w:val="single" w:sz="4" w:space="0" w:color="A6A6A6"/>
              <w:right w:val="single" w:sz="4" w:space="0" w:color="A6A6A6"/>
            </w:tcBorders>
            <w:shd w:val="clear" w:color="000000" w:fill="002060"/>
            <w:vAlign w:val="center"/>
            <w:hideMark/>
          </w:tcPr>
          <w:p w14:paraId="2EFF1D71" w14:textId="77777777" w:rsidR="00CD5F67" w:rsidRPr="000342D7" w:rsidRDefault="00B107C7" w:rsidP="00B107C7">
            <w:pPr>
              <w:spacing w:line="240" w:lineRule="auto"/>
              <w:jc w:val="center"/>
              <w:rPr>
                <w:color w:val="FFFFFF"/>
              </w:rPr>
            </w:pPr>
            <w:r w:rsidRPr="000342D7">
              <w:rPr>
                <w:color w:val="FFFFFF"/>
              </w:rPr>
              <w:t xml:space="preserve"> Stanje na </w:t>
            </w:r>
          </w:p>
          <w:p w14:paraId="4E6B6CBD" w14:textId="07121700" w:rsidR="006D14A3" w:rsidRPr="000342D7" w:rsidRDefault="00B107C7" w:rsidP="00861662">
            <w:pPr>
              <w:spacing w:line="240" w:lineRule="auto"/>
              <w:jc w:val="center"/>
              <w:rPr>
                <w:rFonts w:eastAsia="Times New Roman"/>
                <w:color w:val="FFFFFF"/>
                <w:lang w:eastAsia="hr-HR"/>
              </w:rPr>
            </w:pPr>
            <w:r w:rsidRPr="000342D7">
              <w:rPr>
                <w:color w:val="FFFFFF"/>
              </w:rPr>
              <w:t>3</w:t>
            </w:r>
            <w:r w:rsidR="007527F9">
              <w:rPr>
                <w:color w:val="FFFFFF"/>
              </w:rPr>
              <w:t>1</w:t>
            </w:r>
            <w:r w:rsidRPr="000342D7">
              <w:rPr>
                <w:color w:val="FFFFFF"/>
              </w:rPr>
              <w:t>.</w:t>
            </w:r>
            <w:r w:rsidR="00AA6B5F">
              <w:rPr>
                <w:color w:val="FFFFFF"/>
              </w:rPr>
              <w:t>prosinca</w:t>
            </w:r>
            <w:r w:rsidR="00AA6B5F" w:rsidRPr="000342D7">
              <w:rPr>
                <w:color w:val="FFFFFF"/>
              </w:rPr>
              <w:t xml:space="preserve"> </w:t>
            </w:r>
            <w:r w:rsidRPr="000342D7">
              <w:rPr>
                <w:color w:val="FFFFFF"/>
              </w:rPr>
              <w:t xml:space="preserve">2023. </w:t>
            </w:r>
          </w:p>
        </w:tc>
      </w:tr>
      <w:tr w:rsidR="00AA6B5F" w:rsidRPr="000342D7" w14:paraId="53EE5EDF" w14:textId="77777777" w:rsidTr="0023668D">
        <w:trPr>
          <w:trHeight w:val="397"/>
        </w:trPr>
        <w:tc>
          <w:tcPr>
            <w:tcW w:w="3220" w:type="dxa"/>
            <w:tcBorders>
              <w:top w:val="nil"/>
              <w:left w:val="single" w:sz="4" w:space="0" w:color="A6A6A6"/>
              <w:bottom w:val="single" w:sz="4" w:space="0" w:color="A6A6A6"/>
              <w:right w:val="single" w:sz="4" w:space="0" w:color="A6A6A6"/>
            </w:tcBorders>
            <w:shd w:val="clear" w:color="000000" w:fill="D9E1F2"/>
            <w:noWrap/>
            <w:vAlign w:val="center"/>
            <w:hideMark/>
          </w:tcPr>
          <w:p w14:paraId="0DCD1B5B" w14:textId="77777777" w:rsidR="00AA6B5F" w:rsidRPr="000342D7" w:rsidRDefault="00AA6B5F" w:rsidP="00AA6B5F">
            <w:pPr>
              <w:spacing w:line="240" w:lineRule="auto"/>
              <w:rPr>
                <w:rFonts w:eastAsia="Times New Roman"/>
                <w:color w:val="000000"/>
                <w:lang w:eastAsia="hr-HR"/>
              </w:rPr>
            </w:pPr>
            <w:r w:rsidRPr="000342D7">
              <w:rPr>
                <w:rFonts w:eastAsia="Times New Roman"/>
                <w:color w:val="000000"/>
                <w:lang w:eastAsia="hr-HR"/>
              </w:rPr>
              <w:t>Izrađen nalaz</w:t>
            </w:r>
          </w:p>
        </w:tc>
        <w:tc>
          <w:tcPr>
            <w:tcW w:w="1949" w:type="dxa"/>
            <w:tcBorders>
              <w:top w:val="nil"/>
              <w:left w:val="nil"/>
              <w:bottom w:val="single" w:sz="4" w:space="0" w:color="A6A6A6"/>
              <w:right w:val="single" w:sz="4" w:space="0" w:color="A6A6A6"/>
            </w:tcBorders>
            <w:shd w:val="clear" w:color="000000" w:fill="D9E1F2"/>
            <w:vAlign w:val="center"/>
            <w:hideMark/>
          </w:tcPr>
          <w:p w14:paraId="109F2563" w14:textId="5C091405" w:rsidR="00AA6B5F" w:rsidRPr="000342D7" w:rsidRDefault="00AA6B5F" w:rsidP="00AA6B5F">
            <w:pPr>
              <w:spacing w:line="240" w:lineRule="auto"/>
              <w:jc w:val="center"/>
              <w:rPr>
                <w:rFonts w:eastAsia="Times New Roman"/>
                <w:color w:val="000000"/>
                <w:lang w:eastAsia="hr-HR"/>
              </w:rPr>
            </w:pPr>
            <w:r>
              <w:rPr>
                <w:color w:val="000000"/>
                <w:sz w:val="22"/>
                <w:szCs w:val="22"/>
              </w:rPr>
              <w:t>1.217</w:t>
            </w:r>
          </w:p>
        </w:tc>
        <w:tc>
          <w:tcPr>
            <w:tcW w:w="1949" w:type="dxa"/>
            <w:tcBorders>
              <w:top w:val="nil"/>
              <w:left w:val="nil"/>
              <w:bottom w:val="single" w:sz="4" w:space="0" w:color="A6A6A6"/>
              <w:right w:val="single" w:sz="4" w:space="0" w:color="A6A6A6"/>
            </w:tcBorders>
            <w:shd w:val="clear" w:color="000000" w:fill="D9E1F2"/>
            <w:vAlign w:val="center"/>
            <w:hideMark/>
          </w:tcPr>
          <w:p w14:paraId="446A0AB3" w14:textId="6351E66C" w:rsidR="00AA6B5F" w:rsidRPr="000342D7" w:rsidRDefault="00AA6B5F" w:rsidP="00AA6B5F">
            <w:pPr>
              <w:spacing w:line="240" w:lineRule="auto"/>
              <w:jc w:val="center"/>
              <w:rPr>
                <w:rFonts w:eastAsia="Times New Roman"/>
                <w:color w:val="000000"/>
                <w:lang w:eastAsia="hr-HR"/>
              </w:rPr>
            </w:pPr>
            <w:r>
              <w:rPr>
                <w:color w:val="000000"/>
                <w:sz w:val="22"/>
                <w:szCs w:val="22"/>
              </w:rPr>
              <w:t>2.636</w:t>
            </w:r>
          </w:p>
        </w:tc>
        <w:tc>
          <w:tcPr>
            <w:tcW w:w="1949" w:type="dxa"/>
            <w:tcBorders>
              <w:top w:val="nil"/>
              <w:left w:val="nil"/>
              <w:bottom w:val="single" w:sz="4" w:space="0" w:color="A6A6A6"/>
              <w:right w:val="single" w:sz="4" w:space="0" w:color="A6A6A6"/>
            </w:tcBorders>
            <w:shd w:val="clear" w:color="000000" w:fill="D9E1F2"/>
            <w:vAlign w:val="center"/>
            <w:hideMark/>
          </w:tcPr>
          <w:p w14:paraId="332956A9" w14:textId="58019892" w:rsidR="00AA6B5F" w:rsidRPr="000342D7" w:rsidRDefault="00AA6B5F" w:rsidP="00AA6B5F">
            <w:pPr>
              <w:spacing w:line="240" w:lineRule="auto"/>
              <w:jc w:val="center"/>
              <w:rPr>
                <w:rFonts w:eastAsia="Times New Roman"/>
                <w:color w:val="000000"/>
                <w:lang w:eastAsia="hr-HR"/>
              </w:rPr>
            </w:pPr>
            <w:r>
              <w:rPr>
                <w:color w:val="000000"/>
                <w:sz w:val="22"/>
                <w:szCs w:val="22"/>
              </w:rPr>
              <w:t>3.853</w:t>
            </w:r>
          </w:p>
        </w:tc>
      </w:tr>
      <w:tr w:rsidR="00AA6B5F" w:rsidRPr="000342D7" w14:paraId="1CB42BFE" w14:textId="77777777" w:rsidTr="0023668D">
        <w:trPr>
          <w:trHeight w:val="397"/>
        </w:trPr>
        <w:tc>
          <w:tcPr>
            <w:tcW w:w="3220" w:type="dxa"/>
            <w:tcBorders>
              <w:top w:val="nil"/>
              <w:left w:val="single" w:sz="4" w:space="0" w:color="A6A6A6"/>
              <w:bottom w:val="single" w:sz="4" w:space="0" w:color="A6A6A6"/>
              <w:right w:val="single" w:sz="4" w:space="0" w:color="A6A6A6"/>
            </w:tcBorders>
            <w:shd w:val="clear" w:color="auto" w:fill="auto"/>
            <w:noWrap/>
            <w:vAlign w:val="center"/>
            <w:hideMark/>
          </w:tcPr>
          <w:p w14:paraId="7ABA63CE" w14:textId="77777777" w:rsidR="00AA6B5F" w:rsidRPr="000342D7" w:rsidRDefault="00AA6B5F" w:rsidP="000A132C">
            <w:pPr>
              <w:spacing w:line="240" w:lineRule="auto"/>
              <w:ind w:left="-120" w:firstLineChars="200" w:firstLine="480"/>
              <w:jc w:val="left"/>
              <w:rPr>
                <w:rFonts w:eastAsia="Times New Roman"/>
                <w:color w:val="000000"/>
                <w:lang w:eastAsia="hr-HR"/>
              </w:rPr>
            </w:pPr>
            <w:proofErr w:type="spellStart"/>
            <w:r w:rsidRPr="000342D7">
              <w:rPr>
                <w:rFonts w:eastAsia="Times New Roman"/>
                <w:color w:val="000000"/>
                <w:lang w:eastAsia="hr-HR"/>
              </w:rPr>
              <w:t>Nekonstrukcijska</w:t>
            </w:r>
            <w:proofErr w:type="spellEnd"/>
            <w:r w:rsidRPr="000342D7">
              <w:rPr>
                <w:rFonts w:eastAsia="Times New Roman"/>
                <w:color w:val="000000"/>
                <w:lang w:eastAsia="hr-HR"/>
              </w:rPr>
              <w:t xml:space="preserve"> obnova</w:t>
            </w:r>
          </w:p>
        </w:tc>
        <w:tc>
          <w:tcPr>
            <w:tcW w:w="1949" w:type="dxa"/>
            <w:tcBorders>
              <w:top w:val="nil"/>
              <w:left w:val="nil"/>
              <w:bottom w:val="single" w:sz="4" w:space="0" w:color="A6A6A6"/>
              <w:right w:val="single" w:sz="4" w:space="0" w:color="A6A6A6"/>
            </w:tcBorders>
            <w:shd w:val="clear" w:color="auto" w:fill="auto"/>
            <w:noWrap/>
            <w:vAlign w:val="center"/>
            <w:hideMark/>
          </w:tcPr>
          <w:p w14:paraId="5B93CB06" w14:textId="504702FD" w:rsidR="00AA6B5F" w:rsidRPr="000342D7" w:rsidRDefault="00AA6B5F" w:rsidP="00AA6B5F">
            <w:pPr>
              <w:spacing w:line="240" w:lineRule="auto"/>
              <w:jc w:val="center"/>
              <w:rPr>
                <w:rFonts w:eastAsia="Times New Roman"/>
                <w:i/>
                <w:iCs/>
                <w:color w:val="000000"/>
                <w:lang w:eastAsia="hr-HR"/>
              </w:rPr>
            </w:pPr>
            <w:r>
              <w:rPr>
                <w:color w:val="000000"/>
                <w:sz w:val="22"/>
                <w:szCs w:val="22"/>
              </w:rPr>
              <w:t>323</w:t>
            </w:r>
          </w:p>
        </w:tc>
        <w:tc>
          <w:tcPr>
            <w:tcW w:w="1949" w:type="dxa"/>
            <w:tcBorders>
              <w:top w:val="nil"/>
              <w:left w:val="nil"/>
              <w:bottom w:val="single" w:sz="4" w:space="0" w:color="A6A6A6"/>
              <w:right w:val="single" w:sz="4" w:space="0" w:color="A6A6A6"/>
            </w:tcBorders>
            <w:shd w:val="clear" w:color="auto" w:fill="auto"/>
            <w:noWrap/>
            <w:vAlign w:val="center"/>
            <w:hideMark/>
          </w:tcPr>
          <w:p w14:paraId="4FE08251" w14:textId="4F4A779B" w:rsidR="00AA6B5F" w:rsidRPr="000342D7" w:rsidRDefault="00AA6B5F" w:rsidP="00AA6B5F">
            <w:pPr>
              <w:spacing w:line="240" w:lineRule="auto"/>
              <w:jc w:val="center"/>
              <w:rPr>
                <w:rFonts w:eastAsia="Times New Roman"/>
                <w:i/>
                <w:iCs/>
                <w:color w:val="000000"/>
                <w:lang w:eastAsia="hr-HR"/>
              </w:rPr>
            </w:pPr>
            <w:r>
              <w:rPr>
                <w:color w:val="000000"/>
                <w:sz w:val="22"/>
                <w:szCs w:val="22"/>
              </w:rPr>
              <w:t>654</w:t>
            </w:r>
          </w:p>
        </w:tc>
        <w:tc>
          <w:tcPr>
            <w:tcW w:w="1949" w:type="dxa"/>
            <w:tcBorders>
              <w:top w:val="nil"/>
              <w:left w:val="nil"/>
              <w:bottom w:val="single" w:sz="4" w:space="0" w:color="A6A6A6"/>
              <w:right w:val="single" w:sz="4" w:space="0" w:color="A6A6A6"/>
            </w:tcBorders>
            <w:shd w:val="clear" w:color="auto" w:fill="auto"/>
            <w:vAlign w:val="center"/>
            <w:hideMark/>
          </w:tcPr>
          <w:p w14:paraId="72F42ECC" w14:textId="76DB4B06" w:rsidR="00AA6B5F" w:rsidRPr="000342D7" w:rsidRDefault="00AA6B5F" w:rsidP="00AA6B5F">
            <w:pPr>
              <w:spacing w:line="240" w:lineRule="auto"/>
              <w:jc w:val="center"/>
              <w:rPr>
                <w:rFonts w:eastAsia="Times New Roman"/>
                <w:color w:val="000000"/>
                <w:lang w:eastAsia="hr-HR"/>
              </w:rPr>
            </w:pPr>
            <w:r>
              <w:rPr>
                <w:color w:val="000000"/>
                <w:sz w:val="22"/>
                <w:szCs w:val="22"/>
              </w:rPr>
              <w:t>977</w:t>
            </w:r>
          </w:p>
        </w:tc>
      </w:tr>
      <w:tr w:rsidR="00AA6B5F" w:rsidRPr="000342D7" w14:paraId="6B5FB3CD" w14:textId="77777777" w:rsidTr="0023668D">
        <w:trPr>
          <w:trHeight w:val="397"/>
        </w:trPr>
        <w:tc>
          <w:tcPr>
            <w:tcW w:w="3220" w:type="dxa"/>
            <w:tcBorders>
              <w:top w:val="nil"/>
              <w:left w:val="single" w:sz="4" w:space="0" w:color="A6A6A6"/>
              <w:bottom w:val="single" w:sz="4" w:space="0" w:color="A6A6A6"/>
              <w:right w:val="single" w:sz="4" w:space="0" w:color="A6A6A6"/>
            </w:tcBorders>
            <w:shd w:val="clear" w:color="auto" w:fill="auto"/>
            <w:noWrap/>
            <w:vAlign w:val="center"/>
            <w:hideMark/>
          </w:tcPr>
          <w:p w14:paraId="470867B2" w14:textId="77777777" w:rsidR="00AA6B5F" w:rsidRPr="000342D7" w:rsidRDefault="00AA6B5F" w:rsidP="000A132C">
            <w:pPr>
              <w:spacing w:line="240" w:lineRule="auto"/>
              <w:ind w:left="-120" w:firstLineChars="200" w:firstLine="480"/>
              <w:jc w:val="left"/>
              <w:rPr>
                <w:rFonts w:eastAsia="Times New Roman"/>
                <w:color w:val="000000"/>
                <w:lang w:eastAsia="hr-HR"/>
              </w:rPr>
            </w:pPr>
            <w:r w:rsidRPr="000342D7">
              <w:rPr>
                <w:rFonts w:eastAsia="Times New Roman"/>
                <w:color w:val="000000"/>
                <w:lang w:eastAsia="hr-HR"/>
              </w:rPr>
              <w:t>Konstrukcijska obnova</w:t>
            </w:r>
          </w:p>
        </w:tc>
        <w:tc>
          <w:tcPr>
            <w:tcW w:w="1949" w:type="dxa"/>
            <w:tcBorders>
              <w:top w:val="nil"/>
              <w:left w:val="nil"/>
              <w:bottom w:val="single" w:sz="4" w:space="0" w:color="A6A6A6"/>
              <w:right w:val="single" w:sz="4" w:space="0" w:color="A6A6A6"/>
            </w:tcBorders>
            <w:shd w:val="clear" w:color="auto" w:fill="auto"/>
            <w:noWrap/>
            <w:vAlign w:val="center"/>
            <w:hideMark/>
          </w:tcPr>
          <w:p w14:paraId="287EE8E3" w14:textId="55DA1D97" w:rsidR="00AA6B5F" w:rsidRPr="000342D7" w:rsidRDefault="00AA6B5F" w:rsidP="00AA6B5F">
            <w:pPr>
              <w:spacing w:line="240" w:lineRule="auto"/>
              <w:jc w:val="center"/>
              <w:rPr>
                <w:rFonts w:eastAsia="Times New Roman"/>
                <w:i/>
                <w:iCs/>
                <w:color w:val="000000"/>
                <w:lang w:eastAsia="hr-HR"/>
              </w:rPr>
            </w:pPr>
            <w:r>
              <w:rPr>
                <w:color w:val="000000"/>
                <w:sz w:val="22"/>
                <w:szCs w:val="22"/>
              </w:rPr>
              <w:t>628</w:t>
            </w:r>
          </w:p>
        </w:tc>
        <w:tc>
          <w:tcPr>
            <w:tcW w:w="1949" w:type="dxa"/>
            <w:tcBorders>
              <w:top w:val="nil"/>
              <w:left w:val="nil"/>
              <w:bottom w:val="single" w:sz="4" w:space="0" w:color="A6A6A6"/>
              <w:right w:val="single" w:sz="4" w:space="0" w:color="A6A6A6"/>
            </w:tcBorders>
            <w:shd w:val="clear" w:color="auto" w:fill="auto"/>
            <w:noWrap/>
            <w:vAlign w:val="center"/>
            <w:hideMark/>
          </w:tcPr>
          <w:p w14:paraId="27B92269" w14:textId="2BADFFCD" w:rsidR="00AA6B5F" w:rsidRPr="000342D7" w:rsidRDefault="00AA6B5F" w:rsidP="00AA6B5F">
            <w:pPr>
              <w:spacing w:line="240" w:lineRule="auto"/>
              <w:jc w:val="center"/>
              <w:rPr>
                <w:rFonts w:eastAsia="Times New Roman"/>
                <w:i/>
                <w:iCs/>
                <w:color w:val="000000"/>
                <w:lang w:eastAsia="hr-HR"/>
              </w:rPr>
            </w:pPr>
            <w:r>
              <w:rPr>
                <w:color w:val="000000"/>
                <w:sz w:val="22"/>
                <w:szCs w:val="22"/>
              </w:rPr>
              <w:t>1.256</w:t>
            </w:r>
          </w:p>
        </w:tc>
        <w:tc>
          <w:tcPr>
            <w:tcW w:w="1949" w:type="dxa"/>
            <w:tcBorders>
              <w:top w:val="nil"/>
              <w:left w:val="nil"/>
              <w:bottom w:val="single" w:sz="4" w:space="0" w:color="A6A6A6"/>
              <w:right w:val="single" w:sz="4" w:space="0" w:color="A6A6A6"/>
            </w:tcBorders>
            <w:shd w:val="clear" w:color="auto" w:fill="auto"/>
            <w:vAlign w:val="center"/>
            <w:hideMark/>
          </w:tcPr>
          <w:p w14:paraId="0469D6BD" w14:textId="4D3B1C0F" w:rsidR="00AA6B5F" w:rsidRPr="000342D7" w:rsidRDefault="00AA6B5F" w:rsidP="00AA6B5F">
            <w:pPr>
              <w:spacing w:line="240" w:lineRule="auto"/>
              <w:jc w:val="center"/>
              <w:rPr>
                <w:rFonts w:eastAsia="Times New Roman"/>
                <w:color w:val="000000"/>
                <w:lang w:eastAsia="hr-HR"/>
              </w:rPr>
            </w:pPr>
            <w:r>
              <w:rPr>
                <w:color w:val="000000"/>
                <w:sz w:val="22"/>
                <w:szCs w:val="22"/>
              </w:rPr>
              <w:t>1.884</w:t>
            </w:r>
          </w:p>
        </w:tc>
      </w:tr>
      <w:tr w:rsidR="00AA6B5F" w:rsidRPr="000342D7" w14:paraId="24C9038C" w14:textId="77777777" w:rsidTr="0023668D">
        <w:trPr>
          <w:trHeight w:val="397"/>
        </w:trPr>
        <w:tc>
          <w:tcPr>
            <w:tcW w:w="3220" w:type="dxa"/>
            <w:tcBorders>
              <w:top w:val="nil"/>
              <w:left w:val="single" w:sz="4" w:space="0" w:color="A6A6A6"/>
              <w:bottom w:val="single" w:sz="4" w:space="0" w:color="A6A6A6"/>
              <w:right w:val="single" w:sz="4" w:space="0" w:color="A6A6A6"/>
            </w:tcBorders>
            <w:shd w:val="clear" w:color="auto" w:fill="auto"/>
            <w:noWrap/>
            <w:vAlign w:val="center"/>
            <w:hideMark/>
          </w:tcPr>
          <w:p w14:paraId="5181A094" w14:textId="77777777" w:rsidR="00AA6B5F" w:rsidRPr="000342D7" w:rsidRDefault="00AA6B5F" w:rsidP="000A132C">
            <w:pPr>
              <w:spacing w:line="240" w:lineRule="auto"/>
              <w:ind w:left="-120" w:firstLineChars="200" w:firstLine="480"/>
              <w:jc w:val="left"/>
              <w:rPr>
                <w:rFonts w:eastAsia="Times New Roman"/>
                <w:color w:val="000000"/>
                <w:lang w:eastAsia="hr-HR"/>
              </w:rPr>
            </w:pPr>
            <w:r w:rsidRPr="000342D7">
              <w:rPr>
                <w:rFonts w:eastAsia="Times New Roman"/>
                <w:color w:val="000000"/>
                <w:lang w:eastAsia="hr-HR"/>
              </w:rPr>
              <w:t>Uklanjanje</w:t>
            </w:r>
          </w:p>
        </w:tc>
        <w:tc>
          <w:tcPr>
            <w:tcW w:w="1949" w:type="dxa"/>
            <w:tcBorders>
              <w:top w:val="nil"/>
              <w:left w:val="nil"/>
              <w:bottom w:val="single" w:sz="4" w:space="0" w:color="A6A6A6"/>
              <w:right w:val="single" w:sz="4" w:space="0" w:color="A6A6A6"/>
            </w:tcBorders>
            <w:shd w:val="clear" w:color="auto" w:fill="auto"/>
            <w:noWrap/>
            <w:vAlign w:val="center"/>
            <w:hideMark/>
          </w:tcPr>
          <w:p w14:paraId="74FA3730" w14:textId="6FB05B51" w:rsidR="00AA6B5F" w:rsidRPr="000342D7" w:rsidRDefault="00AA6B5F" w:rsidP="00AA6B5F">
            <w:pPr>
              <w:spacing w:line="240" w:lineRule="auto"/>
              <w:jc w:val="center"/>
              <w:rPr>
                <w:rFonts w:eastAsia="Times New Roman"/>
                <w:i/>
                <w:iCs/>
                <w:color w:val="000000"/>
                <w:lang w:eastAsia="hr-HR"/>
              </w:rPr>
            </w:pPr>
            <w:r>
              <w:rPr>
                <w:color w:val="000000"/>
                <w:sz w:val="22"/>
                <w:szCs w:val="22"/>
              </w:rPr>
              <w:t>266</w:t>
            </w:r>
          </w:p>
        </w:tc>
        <w:tc>
          <w:tcPr>
            <w:tcW w:w="1949" w:type="dxa"/>
            <w:tcBorders>
              <w:top w:val="nil"/>
              <w:left w:val="nil"/>
              <w:bottom w:val="single" w:sz="4" w:space="0" w:color="A6A6A6"/>
              <w:right w:val="single" w:sz="4" w:space="0" w:color="A6A6A6"/>
            </w:tcBorders>
            <w:shd w:val="clear" w:color="auto" w:fill="auto"/>
            <w:noWrap/>
            <w:vAlign w:val="center"/>
            <w:hideMark/>
          </w:tcPr>
          <w:p w14:paraId="3E241C15" w14:textId="5BAC1388" w:rsidR="00AA6B5F" w:rsidRPr="000342D7" w:rsidRDefault="00AA6B5F" w:rsidP="00AA6B5F">
            <w:pPr>
              <w:spacing w:line="240" w:lineRule="auto"/>
              <w:jc w:val="center"/>
              <w:rPr>
                <w:rFonts w:eastAsia="Times New Roman"/>
                <w:i/>
                <w:iCs/>
                <w:color w:val="000000"/>
                <w:lang w:eastAsia="hr-HR"/>
              </w:rPr>
            </w:pPr>
            <w:r>
              <w:rPr>
                <w:color w:val="000000"/>
                <w:sz w:val="22"/>
                <w:szCs w:val="22"/>
              </w:rPr>
              <w:t>646</w:t>
            </w:r>
          </w:p>
        </w:tc>
        <w:tc>
          <w:tcPr>
            <w:tcW w:w="1949" w:type="dxa"/>
            <w:tcBorders>
              <w:top w:val="nil"/>
              <w:left w:val="nil"/>
              <w:bottom w:val="single" w:sz="4" w:space="0" w:color="A6A6A6"/>
              <w:right w:val="single" w:sz="4" w:space="0" w:color="A6A6A6"/>
            </w:tcBorders>
            <w:shd w:val="clear" w:color="auto" w:fill="auto"/>
            <w:vAlign w:val="center"/>
            <w:hideMark/>
          </w:tcPr>
          <w:p w14:paraId="0A561DFC" w14:textId="737631D4" w:rsidR="00AA6B5F" w:rsidRPr="000342D7" w:rsidRDefault="00AA6B5F" w:rsidP="00AA6B5F">
            <w:pPr>
              <w:spacing w:line="240" w:lineRule="auto"/>
              <w:jc w:val="center"/>
              <w:rPr>
                <w:rFonts w:eastAsia="Times New Roman"/>
                <w:color w:val="000000"/>
                <w:lang w:eastAsia="hr-HR"/>
              </w:rPr>
            </w:pPr>
            <w:r>
              <w:rPr>
                <w:color w:val="000000"/>
                <w:sz w:val="22"/>
                <w:szCs w:val="22"/>
              </w:rPr>
              <w:t>912</w:t>
            </w:r>
          </w:p>
        </w:tc>
      </w:tr>
      <w:tr w:rsidR="00AA6B5F" w:rsidRPr="000342D7" w14:paraId="2DBA0C6B" w14:textId="77777777" w:rsidTr="0023668D">
        <w:trPr>
          <w:trHeight w:val="397"/>
        </w:trPr>
        <w:tc>
          <w:tcPr>
            <w:tcW w:w="3220" w:type="dxa"/>
            <w:tcBorders>
              <w:top w:val="nil"/>
              <w:left w:val="single" w:sz="4" w:space="0" w:color="A6A6A6"/>
              <w:bottom w:val="single" w:sz="4" w:space="0" w:color="A6A6A6"/>
              <w:right w:val="single" w:sz="4" w:space="0" w:color="A6A6A6"/>
            </w:tcBorders>
            <w:shd w:val="clear" w:color="auto" w:fill="auto"/>
            <w:noWrap/>
            <w:vAlign w:val="center"/>
          </w:tcPr>
          <w:p w14:paraId="479262DC" w14:textId="766A2B5F" w:rsidR="00AA6B5F" w:rsidRPr="000342D7" w:rsidRDefault="00AA6B5F" w:rsidP="000A132C">
            <w:pPr>
              <w:spacing w:line="240" w:lineRule="auto"/>
              <w:ind w:left="-120" w:firstLineChars="200" w:firstLine="480"/>
              <w:jc w:val="left"/>
              <w:rPr>
                <w:rFonts w:eastAsia="Times New Roman"/>
                <w:color w:val="000000"/>
                <w:lang w:eastAsia="hr-HR"/>
              </w:rPr>
            </w:pPr>
            <w:r w:rsidRPr="00AA6B5F">
              <w:rPr>
                <w:rFonts w:eastAsia="Times New Roman"/>
                <w:color w:val="000000"/>
                <w:lang w:eastAsia="hr-HR"/>
              </w:rPr>
              <w:t>Ostalo</w:t>
            </w:r>
          </w:p>
        </w:tc>
        <w:tc>
          <w:tcPr>
            <w:tcW w:w="1949" w:type="dxa"/>
            <w:tcBorders>
              <w:top w:val="nil"/>
              <w:left w:val="nil"/>
              <w:bottom w:val="single" w:sz="4" w:space="0" w:color="A6A6A6"/>
              <w:right w:val="single" w:sz="4" w:space="0" w:color="A6A6A6"/>
            </w:tcBorders>
            <w:shd w:val="clear" w:color="auto" w:fill="auto"/>
            <w:noWrap/>
            <w:vAlign w:val="center"/>
          </w:tcPr>
          <w:p w14:paraId="55E776D9" w14:textId="6609264B" w:rsidR="00AA6B5F" w:rsidRPr="000342D7" w:rsidRDefault="00AA6B5F" w:rsidP="00AA6B5F">
            <w:pPr>
              <w:spacing w:line="240" w:lineRule="auto"/>
              <w:jc w:val="center"/>
              <w:rPr>
                <w:rFonts w:eastAsia="Times New Roman"/>
                <w:i/>
                <w:iCs/>
                <w:color w:val="000000"/>
                <w:lang w:eastAsia="hr-HR"/>
              </w:rPr>
            </w:pPr>
            <w:r>
              <w:rPr>
                <w:color w:val="000000"/>
                <w:sz w:val="22"/>
                <w:szCs w:val="22"/>
              </w:rPr>
              <w:t>0</w:t>
            </w:r>
          </w:p>
        </w:tc>
        <w:tc>
          <w:tcPr>
            <w:tcW w:w="1949" w:type="dxa"/>
            <w:tcBorders>
              <w:top w:val="nil"/>
              <w:left w:val="nil"/>
              <w:bottom w:val="single" w:sz="4" w:space="0" w:color="A6A6A6"/>
              <w:right w:val="single" w:sz="4" w:space="0" w:color="A6A6A6"/>
            </w:tcBorders>
            <w:shd w:val="clear" w:color="auto" w:fill="auto"/>
            <w:noWrap/>
            <w:vAlign w:val="center"/>
          </w:tcPr>
          <w:p w14:paraId="2BC7565F" w14:textId="080EE90F" w:rsidR="00AA6B5F" w:rsidRPr="000342D7" w:rsidRDefault="00AA6B5F" w:rsidP="00AA6B5F">
            <w:pPr>
              <w:spacing w:line="240" w:lineRule="auto"/>
              <w:jc w:val="center"/>
              <w:rPr>
                <w:color w:val="000000"/>
              </w:rPr>
            </w:pPr>
            <w:r>
              <w:rPr>
                <w:color w:val="000000"/>
                <w:sz w:val="22"/>
                <w:szCs w:val="22"/>
              </w:rPr>
              <w:t>80</w:t>
            </w:r>
          </w:p>
        </w:tc>
        <w:tc>
          <w:tcPr>
            <w:tcW w:w="1949" w:type="dxa"/>
            <w:tcBorders>
              <w:top w:val="nil"/>
              <w:left w:val="nil"/>
              <w:bottom w:val="single" w:sz="4" w:space="0" w:color="A6A6A6"/>
              <w:right w:val="single" w:sz="4" w:space="0" w:color="A6A6A6"/>
            </w:tcBorders>
            <w:shd w:val="clear" w:color="auto" w:fill="auto"/>
            <w:vAlign w:val="center"/>
          </w:tcPr>
          <w:p w14:paraId="194957CD" w14:textId="3F0FA7CF" w:rsidR="00AA6B5F" w:rsidRPr="000342D7" w:rsidRDefault="00AA6B5F" w:rsidP="00AA6B5F">
            <w:pPr>
              <w:spacing w:line="240" w:lineRule="auto"/>
              <w:jc w:val="center"/>
              <w:rPr>
                <w:i/>
                <w:iCs/>
                <w:color w:val="000000"/>
              </w:rPr>
            </w:pPr>
            <w:r>
              <w:rPr>
                <w:color w:val="000000"/>
                <w:sz w:val="22"/>
                <w:szCs w:val="22"/>
              </w:rPr>
              <w:t>80</w:t>
            </w:r>
          </w:p>
        </w:tc>
      </w:tr>
    </w:tbl>
    <w:p w14:paraId="784B991C" w14:textId="77777777" w:rsidR="005F4BF2" w:rsidRDefault="005F4BF2" w:rsidP="01446095">
      <w:pPr>
        <w:spacing w:before="60" w:after="60" w:line="259" w:lineRule="auto"/>
      </w:pPr>
      <w:bookmarkStart w:id="8" w:name="_Toc134359320"/>
    </w:p>
    <w:p w14:paraId="2E4427B8" w14:textId="4753E381" w:rsidR="00D90C6C" w:rsidRDefault="00D90C6C" w:rsidP="01446095">
      <w:pPr>
        <w:spacing w:before="60" w:after="60" w:line="259" w:lineRule="auto"/>
      </w:pPr>
      <w:r>
        <w:t xml:space="preserve">Važno je za naglasiti da se </w:t>
      </w:r>
      <w:r w:rsidR="005669BD">
        <w:t>temeljem</w:t>
      </w:r>
      <w:r>
        <w:t xml:space="preserve"> novog Zakona o obnovi</w:t>
      </w:r>
      <w:r w:rsidR="00807D3F">
        <w:t>,</w:t>
      </w:r>
      <w:r>
        <w:t xml:space="preserve"> rješenja donose nakon izrade nalaza. Prethodno navedena prilagodba procesa je značajno ubrzala postupanje jer se po donošenju istih neposredno pristupa projektiranju, isplati novčanih sredstava i ostalim aktivnostima potrebnim za provedbu obnove.</w:t>
      </w:r>
    </w:p>
    <w:p w14:paraId="03BACA3C" w14:textId="77777777" w:rsidR="00334006" w:rsidRDefault="00334006" w:rsidP="009B440C">
      <w:pPr>
        <w:spacing w:after="60"/>
      </w:pPr>
    </w:p>
    <w:p w14:paraId="7D661F5B" w14:textId="7563468C" w:rsidR="00DA7533" w:rsidRDefault="009B440C" w:rsidP="009B440C">
      <w:pPr>
        <w:spacing w:after="60"/>
      </w:pPr>
      <w:r w:rsidRPr="008826F0">
        <w:t xml:space="preserve">Ubrzanje izrade nalaza i aktivno poticanje prelaska na samoobnovu rezultiralo je s povećanjem dinamike donošenja akata o </w:t>
      </w:r>
      <w:r w:rsidR="00B15CC5">
        <w:t>n</w:t>
      </w:r>
      <w:r w:rsidR="00B15CC5" w:rsidRPr="00B15CC5">
        <w:t>ovčanoj pomoći za konstrukcijsku obnovu</w:t>
      </w:r>
      <w:r w:rsidRPr="008826F0">
        <w:t xml:space="preserve"> i </w:t>
      </w:r>
      <w:r w:rsidR="00B15CC5" w:rsidRPr="00B15CC5">
        <w:t>gradnju</w:t>
      </w:r>
      <w:r w:rsidR="005E6D19">
        <w:t>,</w:t>
      </w:r>
      <w:r w:rsidRPr="008826F0">
        <w:t xml:space="preserve"> </w:t>
      </w:r>
      <w:r w:rsidR="009A4702">
        <w:t xml:space="preserve">a </w:t>
      </w:r>
      <w:r w:rsidRPr="008826F0">
        <w:t xml:space="preserve">što je rezultiralo većim brojem uvođenja konstrukcijskih obnova i gradnji obiteljskih kuća u projektiranje. </w:t>
      </w:r>
    </w:p>
    <w:p w14:paraId="7610904C" w14:textId="77777777" w:rsidR="00FC56E7" w:rsidRDefault="00FC56E7" w:rsidP="009B440C">
      <w:pPr>
        <w:spacing w:after="60"/>
      </w:pPr>
    </w:p>
    <w:p w14:paraId="4A0879C9" w14:textId="166AE59A" w:rsidR="00DA7533" w:rsidRDefault="00DA3DF5" w:rsidP="00DA7533">
      <w:pPr>
        <w:spacing w:before="60" w:after="60" w:line="259" w:lineRule="auto"/>
      </w:pPr>
      <w:r>
        <w:t xml:space="preserve">Kako je većina </w:t>
      </w:r>
      <w:r w:rsidR="000B33C6">
        <w:t xml:space="preserve">dokumentacije za </w:t>
      </w:r>
      <w:proofErr w:type="spellStart"/>
      <w:r w:rsidR="00B80305">
        <w:t>nekonstruk</w:t>
      </w:r>
      <w:r>
        <w:t>cijsku</w:t>
      </w:r>
      <w:proofErr w:type="spellEnd"/>
      <w:r>
        <w:t xml:space="preserve"> obnovu </w:t>
      </w:r>
      <w:r w:rsidR="000B33C6">
        <w:t>riješena, b</w:t>
      </w:r>
      <w:r w:rsidR="00A97E9F">
        <w:t xml:space="preserve">roj </w:t>
      </w:r>
      <w:r w:rsidR="00DA7533">
        <w:t xml:space="preserve">akata </w:t>
      </w:r>
      <w:r w:rsidR="00B80305">
        <w:t xml:space="preserve">za </w:t>
      </w:r>
      <w:r w:rsidR="000B33C6">
        <w:t>tu vrstu o</w:t>
      </w:r>
      <w:r w:rsidR="0055640E">
        <w:t>bnove</w:t>
      </w:r>
      <w:r>
        <w:t xml:space="preserve"> </w:t>
      </w:r>
      <w:r w:rsidR="00DA7533">
        <w:t>se u 2023. godini</w:t>
      </w:r>
      <w:r w:rsidR="009171B9">
        <w:t xml:space="preserve"> </w:t>
      </w:r>
      <w:r w:rsidR="00F75C86">
        <w:t>smanji</w:t>
      </w:r>
      <w:r w:rsidR="005E6D19">
        <w:t>o</w:t>
      </w:r>
      <w:r w:rsidR="00F13AFE">
        <w:t>, dok je dinamika donošenja</w:t>
      </w:r>
      <w:r w:rsidR="00DA7533">
        <w:t xml:space="preserve"> akata o konstrukcijskoj obnovi ubrzan</w:t>
      </w:r>
      <w:r w:rsidR="00F13AFE">
        <w:t>a</w:t>
      </w:r>
      <w:r w:rsidR="00DA7533">
        <w:t xml:space="preserve"> s obzirom na povećani broj </w:t>
      </w:r>
      <w:r w:rsidR="002E259E">
        <w:t xml:space="preserve">izrađenih </w:t>
      </w:r>
      <w:r w:rsidR="00DA7533">
        <w:t>nalaza</w:t>
      </w:r>
      <w:r w:rsidR="00BB1ED8">
        <w:t>.</w:t>
      </w:r>
    </w:p>
    <w:p w14:paraId="6301AA58" w14:textId="77777777" w:rsidR="006B4540" w:rsidRDefault="006B4540" w:rsidP="00DA7533">
      <w:pPr>
        <w:spacing w:before="60" w:after="60" w:line="259" w:lineRule="auto"/>
      </w:pPr>
    </w:p>
    <w:p w14:paraId="61D5FF37" w14:textId="017393F1" w:rsidR="00EE5695" w:rsidRDefault="008703CE" w:rsidP="008703CE">
      <w:pPr>
        <w:spacing w:before="60" w:after="60" w:line="259" w:lineRule="auto"/>
      </w:pPr>
      <w:r w:rsidRPr="00D35421">
        <w:t xml:space="preserve">Do </w:t>
      </w:r>
      <w:r w:rsidR="008B7703">
        <w:t>3</w:t>
      </w:r>
      <w:r w:rsidR="00AD2F20">
        <w:t>1</w:t>
      </w:r>
      <w:r w:rsidR="008B7703">
        <w:t xml:space="preserve">. </w:t>
      </w:r>
      <w:r w:rsidR="00CD005B">
        <w:t xml:space="preserve">prosinca </w:t>
      </w:r>
      <w:r w:rsidR="008B7703">
        <w:t>2023.</w:t>
      </w:r>
      <w:r w:rsidR="00EE5695" w:rsidRPr="00D35421">
        <w:t>,</w:t>
      </w:r>
      <w:r w:rsidRPr="00D35421">
        <w:t xml:space="preserve"> </w:t>
      </w:r>
      <w:r w:rsidR="00D35421" w:rsidRPr="00D35421">
        <w:t xml:space="preserve">od </w:t>
      </w:r>
      <w:r w:rsidR="00807D3F" w:rsidRPr="00D35421">
        <w:t>sve</w:t>
      </w:r>
      <w:r w:rsidRPr="00D35421">
        <w:t xml:space="preserve">ukupno </w:t>
      </w:r>
      <w:r w:rsidR="00D35421" w:rsidRPr="00D35421">
        <w:t>donesenih</w:t>
      </w:r>
      <w:r w:rsidRPr="00D35421">
        <w:t xml:space="preserve"> 2</w:t>
      </w:r>
      <w:r w:rsidR="007A17FC">
        <w:t>4</w:t>
      </w:r>
      <w:r w:rsidRPr="00D35421">
        <w:t>.</w:t>
      </w:r>
      <w:r w:rsidR="007A17FC">
        <w:t>638</w:t>
      </w:r>
      <w:r w:rsidRPr="00D35421">
        <w:t xml:space="preserve"> ak</w:t>
      </w:r>
      <w:r w:rsidR="006E1D76">
        <w:t>a</w:t>
      </w:r>
      <w:r w:rsidRPr="00D35421">
        <w:t>ta</w:t>
      </w:r>
      <w:r w:rsidR="00D35421" w:rsidRPr="00D35421">
        <w:t xml:space="preserve">, </w:t>
      </w:r>
      <w:r w:rsidRPr="00D35421">
        <w:t>1</w:t>
      </w:r>
      <w:r w:rsidR="007A17FC">
        <w:t>8</w:t>
      </w:r>
      <w:r w:rsidRPr="00D35421">
        <w:t>.</w:t>
      </w:r>
      <w:r w:rsidR="007A17FC">
        <w:t>802</w:t>
      </w:r>
      <w:r w:rsidRPr="00D35421">
        <w:t xml:space="preserve"> (7</w:t>
      </w:r>
      <w:r w:rsidR="007A17FC">
        <w:t>6</w:t>
      </w:r>
      <w:r w:rsidR="008B3B64">
        <w:t xml:space="preserve"> %</w:t>
      </w:r>
      <w:r w:rsidRPr="00D35421">
        <w:t xml:space="preserve">) odnosi </w:t>
      </w:r>
      <w:r w:rsidR="00D35421" w:rsidRPr="00D35421">
        <w:t xml:space="preserve">se </w:t>
      </w:r>
      <w:r w:rsidRPr="00D35421">
        <w:t xml:space="preserve">na </w:t>
      </w:r>
      <w:proofErr w:type="spellStart"/>
      <w:r w:rsidRPr="00D35421">
        <w:t>nekonstrukcijsku</w:t>
      </w:r>
      <w:proofErr w:type="spellEnd"/>
      <w:r w:rsidRPr="00D35421">
        <w:t xml:space="preserve"> obnovu, </w:t>
      </w:r>
      <w:r w:rsidR="007A17FC">
        <w:t>3</w:t>
      </w:r>
      <w:r w:rsidRPr="00D35421">
        <w:t>.</w:t>
      </w:r>
      <w:r w:rsidR="007A17FC">
        <w:t>5</w:t>
      </w:r>
      <w:r w:rsidR="00E0573F">
        <w:t>8</w:t>
      </w:r>
      <w:r w:rsidR="007A17FC">
        <w:t>0</w:t>
      </w:r>
      <w:r w:rsidRPr="00D35421">
        <w:t xml:space="preserve"> (1</w:t>
      </w:r>
      <w:r w:rsidR="007A17FC">
        <w:t>5</w:t>
      </w:r>
      <w:r w:rsidR="008B3B64">
        <w:t xml:space="preserve"> %</w:t>
      </w:r>
      <w:r w:rsidRPr="00D35421">
        <w:t>) na konstrukcijsku obnovu, 1.</w:t>
      </w:r>
      <w:r w:rsidR="007A17FC">
        <w:t>536</w:t>
      </w:r>
      <w:r w:rsidRPr="00D35421">
        <w:t xml:space="preserve"> (6</w:t>
      </w:r>
      <w:r w:rsidR="008B3B64">
        <w:t xml:space="preserve"> %</w:t>
      </w:r>
      <w:r w:rsidRPr="00D35421">
        <w:t xml:space="preserve">) na uklanjanje i gradnju te </w:t>
      </w:r>
      <w:r w:rsidR="00BF7A80">
        <w:t>3</w:t>
      </w:r>
      <w:r w:rsidR="008B3B64">
        <w:t xml:space="preserve"> %</w:t>
      </w:r>
      <w:r w:rsidRPr="00D35421">
        <w:t xml:space="preserve"> na ostale vrste akata.</w:t>
      </w:r>
      <w:r w:rsidRPr="002A7D87">
        <w:t xml:space="preserve"> </w:t>
      </w:r>
    </w:p>
    <w:p w14:paraId="186339A9" w14:textId="77777777" w:rsidR="008703CE" w:rsidRPr="00C65991" w:rsidRDefault="008703CE" w:rsidP="008703CE">
      <w:pPr>
        <w:spacing w:before="60" w:after="60" w:line="259" w:lineRule="auto"/>
        <w:rPr>
          <w:highlight w:val="yellow"/>
        </w:rPr>
      </w:pPr>
    </w:p>
    <w:p w14:paraId="67E792AF" w14:textId="22F42781" w:rsidR="008703CE" w:rsidRPr="007254E1" w:rsidRDefault="00A86803" w:rsidP="008703CE">
      <w:pPr>
        <w:spacing w:before="60" w:after="60" w:line="259" w:lineRule="auto"/>
      </w:pPr>
      <w:r>
        <w:t>Tijekom</w:t>
      </w:r>
      <w:r w:rsidR="008B7703">
        <w:t xml:space="preserve"> 2023.</w:t>
      </w:r>
      <w:r>
        <w:t xml:space="preserve"> </w:t>
      </w:r>
      <w:r w:rsidR="008703CE" w:rsidRPr="007254E1">
        <w:t xml:space="preserve">doneseno je </w:t>
      </w:r>
      <w:r>
        <w:t>4.614</w:t>
      </w:r>
      <w:r w:rsidR="008703CE" w:rsidRPr="007254E1">
        <w:t xml:space="preserve"> akata koji se odnose na </w:t>
      </w:r>
      <w:proofErr w:type="spellStart"/>
      <w:r w:rsidR="00A52D8C">
        <w:t>ne</w:t>
      </w:r>
      <w:r w:rsidR="008703CE" w:rsidRPr="007254E1">
        <w:t>konstrukcijsku</w:t>
      </w:r>
      <w:proofErr w:type="spellEnd"/>
      <w:r w:rsidR="008703CE" w:rsidRPr="007254E1">
        <w:t xml:space="preserve"> obnovu od čega je u </w:t>
      </w:r>
      <w:r>
        <w:t xml:space="preserve">3.183 </w:t>
      </w:r>
      <w:r w:rsidR="008703CE" w:rsidRPr="007254E1">
        <w:t>(</w:t>
      </w:r>
      <w:r>
        <w:t>69</w:t>
      </w:r>
      <w:r w:rsidR="008B3B64">
        <w:t xml:space="preserve"> %</w:t>
      </w:r>
      <w:r w:rsidR="008703CE" w:rsidRPr="007254E1">
        <w:t xml:space="preserve">) slučajeva utvrđeno pravo na obnovu, a u </w:t>
      </w:r>
      <w:r w:rsidR="003C09A5">
        <w:t>1.431</w:t>
      </w:r>
      <w:r w:rsidR="008703CE" w:rsidRPr="007254E1">
        <w:t xml:space="preserve"> slučaja (</w:t>
      </w:r>
      <w:r>
        <w:t>31</w:t>
      </w:r>
      <w:r w:rsidR="008B3B64">
        <w:t xml:space="preserve"> %</w:t>
      </w:r>
      <w:r w:rsidR="008703CE" w:rsidRPr="007254E1">
        <w:t>) došlo je do prestanka postupka s obzirom da nisu zadovoljeni Zakonom propisani uvjeti za ostvarivanje prava na obnovu.</w:t>
      </w:r>
    </w:p>
    <w:p w14:paraId="0C7D1910" w14:textId="77777777" w:rsidR="008703CE" w:rsidRPr="00C65991" w:rsidRDefault="008703CE" w:rsidP="008703CE">
      <w:pPr>
        <w:spacing w:before="60" w:after="60" w:line="259" w:lineRule="auto"/>
        <w:rPr>
          <w:highlight w:val="yellow"/>
        </w:rPr>
      </w:pPr>
    </w:p>
    <w:p w14:paraId="39F33ED5" w14:textId="2B27BE14" w:rsidR="008703CE" w:rsidRPr="00707CEB" w:rsidRDefault="00BF7A80" w:rsidP="008703CE">
      <w:pPr>
        <w:spacing w:before="60" w:after="60" w:line="259" w:lineRule="auto"/>
      </w:pPr>
      <w:r>
        <w:t>Tijekom</w:t>
      </w:r>
      <w:r w:rsidR="008B7703">
        <w:t xml:space="preserve"> 2023.</w:t>
      </w:r>
      <w:r w:rsidR="00EC4F1B" w:rsidRPr="00EC4F1B">
        <w:t xml:space="preserve"> </w:t>
      </w:r>
      <w:r w:rsidR="008703CE" w:rsidRPr="00707CEB">
        <w:t xml:space="preserve">doneseno je </w:t>
      </w:r>
      <w:r w:rsidR="00D463ED">
        <w:t>1.733</w:t>
      </w:r>
      <w:r w:rsidR="008703CE" w:rsidRPr="00707CEB">
        <w:t xml:space="preserve"> akata koji se odnose na konstrukcijsku obnovu od čega je u </w:t>
      </w:r>
      <w:r w:rsidR="00D463ED">
        <w:t>1.159</w:t>
      </w:r>
      <w:r w:rsidR="008703CE" w:rsidRPr="00707CEB">
        <w:t xml:space="preserve"> (</w:t>
      </w:r>
      <w:r w:rsidR="00D463ED">
        <w:t>67</w:t>
      </w:r>
      <w:r w:rsidR="008B3B64">
        <w:t xml:space="preserve"> %</w:t>
      </w:r>
      <w:r w:rsidR="008703CE" w:rsidRPr="00707CEB">
        <w:t xml:space="preserve">) slučaja utvrđeno pravo na obnovu, a u </w:t>
      </w:r>
      <w:r w:rsidR="00D463ED">
        <w:t>574</w:t>
      </w:r>
      <w:r w:rsidR="008703CE" w:rsidRPr="00707CEB">
        <w:t xml:space="preserve"> slučaja (</w:t>
      </w:r>
      <w:r w:rsidR="006B1501">
        <w:t>33</w:t>
      </w:r>
      <w:r w:rsidR="008B3B64">
        <w:t xml:space="preserve"> %</w:t>
      </w:r>
      <w:r w:rsidR="008703CE" w:rsidRPr="00707CEB">
        <w:t>) došlo je do prestanka postupka s obzirom da nisu zadovoljeni Zakonom propisani uvjeti za ostvarivanje prava na obnovu. Najčešći razlog za obustavu postupka je nalazom utvrđeno</w:t>
      </w:r>
      <w:r w:rsidR="008703CE">
        <w:t xml:space="preserve"> </w:t>
      </w:r>
      <w:r w:rsidR="00707CEB">
        <w:t>stanje</w:t>
      </w:r>
      <w:r w:rsidR="008703CE" w:rsidRPr="00707CEB">
        <w:t xml:space="preserve"> da je potrebna </w:t>
      </w:r>
      <w:proofErr w:type="spellStart"/>
      <w:r w:rsidR="008703CE" w:rsidRPr="00707CEB">
        <w:t>nekonstrukcijska</w:t>
      </w:r>
      <w:proofErr w:type="spellEnd"/>
      <w:r w:rsidR="008703CE" w:rsidRPr="00707CEB">
        <w:t xml:space="preserve"> obnova odnosno u manjem broju slučajeva uklanjanje i gradnja.</w:t>
      </w:r>
    </w:p>
    <w:p w14:paraId="204CD314" w14:textId="77777777" w:rsidR="008703CE" w:rsidRPr="00C65991" w:rsidRDefault="008703CE" w:rsidP="008703CE">
      <w:pPr>
        <w:spacing w:before="60" w:after="60" w:line="259" w:lineRule="auto"/>
        <w:rPr>
          <w:highlight w:val="yellow"/>
        </w:rPr>
      </w:pPr>
    </w:p>
    <w:p w14:paraId="74914EC0" w14:textId="7855A439" w:rsidR="00F70B32" w:rsidRDefault="006B1501" w:rsidP="008703CE">
      <w:pPr>
        <w:spacing w:before="60" w:after="60" w:line="259" w:lineRule="auto"/>
      </w:pPr>
      <w:r>
        <w:t>Tijekom</w:t>
      </w:r>
      <w:r w:rsidR="008B7703">
        <w:t xml:space="preserve"> 2023.</w:t>
      </w:r>
      <w:r w:rsidR="00EC4F1B" w:rsidRPr="00EC4F1B">
        <w:t xml:space="preserve"> </w:t>
      </w:r>
      <w:r w:rsidR="008703CE" w:rsidRPr="00BB4065">
        <w:t xml:space="preserve">doneseno je </w:t>
      </w:r>
      <w:r>
        <w:t>588</w:t>
      </w:r>
      <w:r w:rsidR="008703CE" w:rsidRPr="00BB4065">
        <w:t xml:space="preserve"> akata koji se odnose na uklanjanje odnosno gradnju od čega je u </w:t>
      </w:r>
      <w:r w:rsidR="000E39BE">
        <w:t>339</w:t>
      </w:r>
      <w:r w:rsidR="008703CE" w:rsidRPr="00BB4065">
        <w:t xml:space="preserve"> (</w:t>
      </w:r>
      <w:r w:rsidR="000E39BE">
        <w:t>58</w:t>
      </w:r>
      <w:r w:rsidR="008B3B64">
        <w:t xml:space="preserve"> %</w:t>
      </w:r>
      <w:r w:rsidR="008703CE" w:rsidRPr="00BB4065">
        <w:t xml:space="preserve">) slučajeva utvrđeno pravo, a u </w:t>
      </w:r>
      <w:r w:rsidR="000E39BE">
        <w:t>249</w:t>
      </w:r>
      <w:r w:rsidR="008703CE" w:rsidRPr="00BB4065">
        <w:t xml:space="preserve"> slučajeva (</w:t>
      </w:r>
      <w:r w:rsidR="00F7036B">
        <w:t>4</w:t>
      </w:r>
      <w:r w:rsidR="000E39BE">
        <w:t>2</w:t>
      </w:r>
      <w:r w:rsidR="008B3B64">
        <w:t xml:space="preserve"> %</w:t>
      </w:r>
      <w:r w:rsidR="008703CE" w:rsidRPr="00BB4065">
        <w:t xml:space="preserve">) došlo je do prestanka postupka </w:t>
      </w:r>
      <w:r w:rsidR="008703CE" w:rsidRPr="00BB4065">
        <w:lastRenderedPageBreak/>
        <w:t xml:space="preserve">s obzirom da nisu zadovoljeni Zakonom propisani uvjeti za ostvarivanje prava na </w:t>
      </w:r>
      <w:r w:rsidR="00807D3F">
        <w:t>gradnju</w:t>
      </w:r>
      <w:r w:rsidR="008703CE" w:rsidRPr="00BB4065">
        <w:t xml:space="preserve">. Najčešći razlog za obustavu postupka je činjenica da je nalazom utvrđeno da je potrebna konstrukcijska obnova, da podnositelj ima drugu nekretninu te da je u manjem broju slučajeva potrebna </w:t>
      </w:r>
      <w:proofErr w:type="spellStart"/>
      <w:r w:rsidR="008703CE" w:rsidRPr="00BB4065">
        <w:t>nekonstrukcijska</w:t>
      </w:r>
      <w:proofErr w:type="spellEnd"/>
      <w:r w:rsidR="008703CE" w:rsidRPr="00BB4065">
        <w:t xml:space="preserve"> obnova ili šteta nije nastala od potresa</w:t>
      </w:r>
      <w:r w:rsidR="00F70B32">
        <w:t>.</w:t>
      </w:r>
      <w:r w:rsidR="005019AE">
        <w:t xml:space="preserve"> </w:t>
      </w:r>
      <w:r w:rsidR="00F70B32" w:rsidRPr="009919AF">
        <w:t xml:space="preserve">Od </w:t>
      </w:r>
      <w:r w:rsidR="000E1888" w:rsidRPr="009919AF">
        <w:t>588 akata</w:t>
      </w:r>
      <w:r w:rsidR="00F5138F" w:rsidRPr="009919AF">
        <w:t xml:space="preserve"> </w:t>
      </w:r>
      <w:r w:rsidR="002B785B" w:rsidRPr="009919AF">
        <w:t xml:space="preserve">o uklanjanju i gradnji </w:t>
      </w:r>
      <w:r w:rsidR="00F5138F" w:rsidRPr="009919AF">
        <w:t xml:space="preserve">donesenih u 2023. </w:t>
      </w:r>
      <w:r w:rsidR="00A46173" w:rsidRPr="009919AF">
        <w:t>godini</w:t>
      </w:r>
      <w:r w:rsidR="00EE70A8" w:rsidRPr="009919AF">
        <w:t xml:space="preserve">, </w:t>
      </w:r>
      <w:r w:rsidR="00810EBC" w:rsidRPr="009919AF">
        <w:t xml:space="preserve">262 </w:t>
      </w:r>
      <w:r w:rsidR="00A13DE0" w:rsidRPr="009919AF">
        <w:t xml:space="preserve">akta </w:t>
      </w:r>
      <w:r w:rsidR="00810EBC" w:rsidRPr="009919AF">
        <w:t xml:space="preserve">(45%) odnose </w:t>
      </w:r>
      <w:r w:rsidR="00A13DE0" w:rsidRPr="009919AF">
        <w:t xml:space="preserve">se </w:t>
      </w:r>
      <w:r w:rsidR="00810EBC" w:rsidRPr="009919AF">
        <w:t xml:space="preserve">na uklanjanje i gradnju, </w:t>
      </w:r>
      <w:r w:rsidR="005B40F0" w:rsidRPr="009919AF">
        <w:t xml:space="preserve">138 </w:t>
      </w:r>
      <w:r w:rsidR="00A13DE0" w:rsidRPr="009919AF">
        <w:t xml:space="preserve">akata </w:t>
      </w:r>
      <w:r w:rsidR="005B40F0" w:rsidRPr="009919AF">
        <w:t xml:space="preserve">(23%) odnosi </w:t>
      </w:r>
      <w:r w:rsidR="00A13DE0" w:rsidRPr="009919AF">
        <w:t xml:space="preserve">se </w:t>
      </w:r>
      <w:r w:rsidR="005B40F0" w:rsidRPr="009919AF">
        <w:t xml:space="preserve">na gradnju (u slučajevima gdje </w:t>
      </w:r>
      <w:r w:rsidR="004A36A9" w:rsidRPr="009919AF">
        <w:t>kuća ve</w:t>
      </w:r>
      <w:r w:rsidR="00C663FC" w:rsidRPr="009919AF">
        <w:t>ć uklonjena)</w:t>
      </w:r>
      <w:r w:rsidR="00A13DE0" w:rsidRPr="009919AF">
        <w:t>, a</w:t>
      </w:r>
      <w:r w:rsidR="00C663FC" w:rsidRPr="009919AF">
        <w:t xml:space="preserve"> </w:t>
      </w:r>
      <w:r w:rsidR="006F709D" w:rsidRPr="009919AF">
        <w:t>188</w:t>
      </w:r>
      <w:r w:rsidR="00A13DE0" w:rsidRPr="009919AF">
        <w:t xml:space="preserve"> akata</w:t>
      </w:r>
      <w:r w:rsidR="006F709D" w:rsidRPr="009919AF">
        <w:t xml:space="preserve"> </w:t>
      </w:r>
      <w:r w:rsidR="00C73865" w:rsidRPr="009919AF">
        <w:t xml:space="preserve">(32%) </w:t>
      </w:r>
      <w:r w:rsidR="00A13DE0" w:rsidRPr="009919AF">
        <w:t xml:space="preserve">odnosi se </w:t>
      </w:r>
      <w:r w:rsidR="006F709D" w:rsidRPr="009919AF">
        <w:t xml:space="preserve">na </w:t>
      </w:r>
      <w:r w:rsidR="005F07CD" w:rsidRPr="009919AF">
        <w:t xml:space="preserve">uklanjanje </w:t>
      </w:r>
      <w:r w:rsidR="00A13DE0" w:rsidRPr="009919AF">
        <w:t>(</w:t>
      </w:r>
      <w:r w:rsidR="002B0837" w:rsidRPr="009919AF">
        <w:t>pomoćn</w:t>
      </w:r>
      <w:r w:rsidR="00A13DE0" w:rsidRPr="009919AF">
        <w:t>e</w:t>
      </w:r>
      <w:r w:rsidR="002B0837" w:rsidRPr="009919AF">
        <w:t xml:space="preserve"> građevin</w:t>
      </w:r>
      <w:r w:rsidR="00A13DE0" w:rsidRPr="009919AF">
        <w:t>e ili nema prava na gradnju</w:t>
      </w:r>
      <w:r w:rsidR="002B0837" w:rsidRPr="009919AF">
        <w:t>).</w:t>
      </w:r>
    </w:p>
    <w:p w14:paraId="20437099" w14:textId="77777777" w:rsidR="005F1BE8" w:rsidRDefault="005F1BE8" w:rsidP="008703CE">
      <w:pPr>
        <w:spacing w:before="60" w:after="60" w:line="259" w:lineRule="auto"/>
      </w:pPr>
    </w:p>
    <w:p w14:paraId="7262A845" w14:textId="49D39AB8" w:rsidR="00E62E23" w:rsidRPr="008703CE" w:rsidRDefault="00B12394" w:rsidP="008703CE">
      <w:pPr>
        <w:rPr>
          <w:color w:val="FF0000"/>
        </w:rPr>
        <w:sectPr w:rsidR="00E62E23" w:rsidRPr="008703CE" w:rsidSect="006F2AB1">
          <w:footerReference w:type="default" r:id="rId15"/>
          <w:footerReference w:type="first" r:id="rId16"/>
          <w:pgSz w:w="11906" w:h="16838"/>
          <w:pgMar w:top="1418" w:right="1418" w:bottom="1418" w:left="1418" w:header="709" w:footer="709" w:gutter="0"/>
          <w:pgNumType w:start="1"/>
          <w:cols w:space="708"/>
          <w:titlePg/>
          <w:docGrid w:linePitch="360"/>
        </w:sectPr>
      </w:pPr>
      <w:r>
        <w:t xml:space="preserve">Ministarstvo je </w:t>
      </w:r>
      <w:r w:rsidR="00164216">
        <w:t xml:space="preserve">ostvarilo </w:t>
      </w:r>
      <w:r>
        <w:t xml:space="preserve">značajne </w:t>
      </w:r>
      <w:r w:rsidR="00164216">
        <w:t>uspjehe</w:t>
      </w:r>
      <w:r>
        <w:t xml:space="preserve"> poticanje</w:t>
      </w:r>
      <w:r w:rsidR="00164216">
        <w:t>m</w:t>
      </w:r>
      <w:r>
        <w:t xml:space="preserve"> samoobnove što je </w:t>
      </w:r>
      <w:r w:rsidR="00164216">
        <w:t xml:space="preserve">značajno ubrzalo postupak obrade zahtjeva i donošenja akata što je jasno vidljivo iz podatka da </w:t>
      </w:r>
      <w:r w:rsidR="007E18E4">
        <w:t>je do 31. prosinc</w:t>
      </w:r>
      <w:r w:rsidR="00404D18">
        <w:t xml:space="preserve">a 2022. godine doneseno </w:t>
      </w:r>
      <w:r w:rsidR="005D79D2">
        <w:t xml:space="preserve">349 </w:t>
      </w:r>
      <w:r w:rsidR="00B7648E">
        <w:t xml:space="preserve">odluka vezanih za konstrukcijsku samoobnovu i novčane pomoći umjesto gradnje, a tijekom </w:t>
      </w:r>
      <w:r w:rsidR="00306055">
        <w:t xml:space="preserve">2023. godine </w:t>
      </w:r>
      <w:r w:rsidR="00B0594F">
        <w:t>donesen</w:t>
      </w:r>
      <w:r w:rsidR="001D4C86">
        <w:t>a su</w:t>
      </w:r>
      <w:r w:rsidR="00B0594F">
        <w:t xml:space="preserve"> 734 rješenja </w:t>
      </w:r>
      <w:r w:rsidR="00600EFE">
        <w:t>odnosno</w:t>
      </w:r>
      <w:r w:rsidR="00B0594F">
        <w:t xml:space="preserve"> dvostruko više </w:t>
      </w:r>
      <w:r w:rsidR="00600EFE">
        <w:t xml:space="preserve">od ukupnog ostvarenja </w:t>
      </w:r>
      <w:r w:rsidR="00BD1C2E">
        <w:t>u prethodne dvije godine</w:t>
      </w:r>
      <w:r w:rsidR="00600EFE">
        <w:t>.</w:t>
      </w:r>
      <w:r w:rsidR="009B5340">
        <w:t xml:space="preserve"> Rezultat ubrzanja je jasno vidljiv iz isplaćenih novčanih naknada i broja postupaka što je detaljno </w:t>
      </w:r>
      <w:r w:rsidR="00C34404">
        <w:t>prikazano</w:t>
      </w:r>
      <w:r w:rsidR="009B5340">
        <w:t xml:space="preserve"> u </w:t>
      </w:r>
      <w:r w:rsidR="00C34404">
        <w:t>kasnijim poglavljima.</w:t>
      </w:r>
      <w:r w:rsidR="00D90C6C" w:rsidRPr="1BFFE100">
        <w:rPr>
          <w:i/>
          <w:iCs/>
        </w:rPr>
        <w:t xml:space="preserve"> </w:t>
      </w:r>
    </w:p>
    <w:p w14:paraId="49F9C8BB" w14:textId="7C30524B" w:rsidR="00C06DF9" w:rsidRDefault="00C06DF9" w:rsidP="00C06DF9">
      <w:pPr>
        <w:spacing w:after="120"/>
        <w:rPr>
          <w:i/>
          <w:iCs/>
        </w:rPr>
      </w:pPr>
      <w:r w:rsidRPr="007A59E0">
        <w:rPr>
          <w:i/>
          <w:iCs/>
        </w:rPr>
        <w:lastRenderedPageBreak/>
        <w:t xml:space="preserve">Pregled donošenja akata po vrsti akta i </w:t>
      </w:r>
      <w:r>
        <w:rPr>
          <w:i/>
          <w:iCs/>
        </w:rPr>
        <w:t xml:space="preserve">vrsti </w:t>
      </w:r>
      <w:r w:rsidRPr="007A59E0">
        <w:rPr>
          <w:i/>
          <w:iCs/>
        </w:rPr>
        <w:t>obnove</w:t>
      </w:r>
      <w:r w:rsidR="00560B2D">
        <w:rPr>
          <w:i/>
          <w:iCs/>
        </w:rPr>
        <w:t>:</w:t>
      </w:r>
    </w:p>
    <w:tbl>
      <w:tblPr>
        <w:tblW w:w="0" w:type="auto"/>
        <w:tblLayout w:type="fixed"/>
        <w:tblLook w:val="04A0" w:firstRow="1" w:lastRow="0" w:firstColumn="1" w:lastColumn="0" w:noHBand="0" w:noVBand="1"/>
      </w:tblPr>
      <w:tblGrid>
        <w:gridCol w:w="2016"/>
        <w:gridCol w:w="1330"/>
        <w:gridCol w:w="1331"/>
        <w:gridCol w:w="1331"/>
        <w:gridCol w:w="1330"/>
        <w:gridCol w:w="1331"/>
        <w:gridCol w:w="1331"/>
        <w:gridCol w:w="1330"/>
        <w:gridCol w:w="1331"/>
        <w:gridCol w:w="1331"/>
      </w:tblGrid>
      <w:tr w:rsidR="00B77774" w:rsidRPr="00B26E5C" w14:paraId="5967E6D9" w14:textId="77777777" w:rsidTr="000342D7">
        <w:trPr>
          <w:trHeight w:val="624"/>
        </w:trPr>
        <w:tc>
          <w:tcPr>
            <w:tcW w:w="2016" w:type="dxa"/>
            <w:vMerge w:val="restart"/>
            <w:tcBorders>
              <w:top w:val="single" w:sz="4" w:space="0" w:color="A6A6A6"/>
              <w:left w:val="single" w:sz="4" w:space="0" w:color="A6A6A6"/>
              <w:bottom w:val="single" w:sz="4" w:space="0" w:color="A6A6A6"/>
              <w:right w:val="single" w:sz="4" w:space="0" w:color="A6A6A6"/>
            </w:tcBorders>
            <w:shd w:val="clear" w:color="000000" w:fill="002060"/>
            <w:noWrap/>
            <w:vAlign w:val="center"/>
            <w:hideMark/>
          </w:tcPr>
          <w:p w14:paraId="0E969CFB" w14:textId="77777777"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Vrsta obnove</w:t>
            </w:r>
          </w:p>
        </w:tc>
        <w:tc>
          <w:tcPr>
            <w:tcW w:w="3992" w:type="dxa"/>
            <w:gridSpan w:val="3"/>
            <w:tcBorders>
              <w:top w:val="single" w:sz="4" w:space="0" w:color="A6A6A6"/>
              <w:left w:val="nil"/>
              <w:bottom w:val="single" w:sz="4" w:space="0" w:color="A6A6A6"/>
              <w:right w:val="single" w:sz="4" w:space="0" w:color="A6A6A6"/>
            </w:tcBorders>
            <w:shd w:val="clear" w:color="000000" w:fill="002060"/>
            <w:vAlign w:val="center"/>
            <w:hideMark/>
          </w:tcPr>
          <w:p w14:paraId="43110401" w14:textId="5E769DC0"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Stanje na 31.</w:t>
            </w:r>
            <w:r w:rsidR="00B96573">
              <w:rPr>
                <w:rFonts w:eastAsia="Times New Roman"/>
                <w:color w:val="FFFFFF"/>
                <w:sz w:val="22"/>
                <w:szCs w:val="22"/>
                <w:lang w:eastAsia="hr-HR"/>
              </w:rPr>
              <w:t xml:space="preserve">prosinca </w:t>
            </w:r>
            <w:r w:rsidRPr="00B26E5C">
              <w:rPr>
                <w:rFonts w:eastAsia="Times New Roman"/>
                <w:color w:val="FFFFFF"/>
                <w:sz w:val="22"/>
                <w:szCs w:val="22"/>
                <w:lang w:eastAsia="hr-HR"/>
              </w:rPr>
              <w:t>2022.</w:t>
            </w:r>
            <w:r w:rsidR="00B96573">
              <w:rPr>
                <w:rFonts w:eastAsia="Times New Roman"/>
                <w:color w:val="FFFFFF"/>
                <w:sz w:val="22"/>
                <w:szCs w:val="22"/>
                <w:lang w:eastAsia="hr-HR"/>
              </w:rPr>
              <w:t>g.</w:t>
            </w:r>
          </w:p>
        </w:tc>
        <w:tc>
          <w:tcPr>
            <w:tcW w:w="3992" w:type="dxa"/>
            <w:gridSpan w:val="3"/>
            <w:tcBorders>
              <w:top w:val="single" w:sz="4" w:space="0" w:color="A6A6A6"/>
              <w:left w:val="nil"/>
              <w:bottom w:val="single" w:sz="4" w:space="0" w:color="A6A6A6"/>
              <w:right w:val="single" w:sz="4" w:space="0" w:color="A6A6A6"/>
            </w:tcBorders>
            <w:shd w:val="clear" w:color="000000" w:fill="002060"/>
            <w:vAlign w:val="center"/>
            <w:hideMark/>
          </w:tcPr>
          <w:p w14:paraId="7ED36464" w14:textId="6182A01D"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 xml:space="preserve">Realizacija </w:t>
            </w:r>
            <w:r w:rsidR="008B7703">
              <w:rPr>
                <w:rFonts w:eastAsia="Times New Roman"/>
                <w:color w:val="FFFFFF"/>
                <w:sz w:val="22"/>
                <w:szCs w:val="22"/>
                <w:lang w:eastAsia="hr-HR"/>
              </w:rPr>
              <w:t>2023.</w:t>
            </w:r>
            <w:r w:rsidR="00A5623B">
              <w:rPr>
                <w:rFonts w:eastAsia="Times New Roman"/>
                <w:color w:val="FFFFFF"/>
                <w:sz w:val="22"/>
                <w:szCs w:val="22"/>
                <w:lang w:eastAsia="hr-HR"/>
              </w:rPr>
              <w:t xml:space="preserve"> godina</w:t>
            </w:r>
          </w:p>
        </w:tc>
        <w:tc>
          <w:tcPr>
            <w:tcW w:w="3992" w:type="dxa"/>
            <w:gridSpan w:val="3"/>
            <w:tcBorders>
              <w:top w:val="single" w:sz="4" w:space="0" w:color="A6A6A6"/>
              <w:left w:val="nil"/>
              <w:bottom w:val="single" w:sz="4" w:space="0" w:color="A6A6A6"/>
              <w:right w:val="single" w:sz="4" w:space="0" w:color="A6A6A6"/>
            </w:tcBorders>
            <w:shd w:val="clear" w:color="000000" w:fill="002060"/>
            <w:noWrap/>
            <w:vAlign w:val="center"/>
            <w:hideMark/>
          </w:tcPr>
          <w:p w14:paraId="0EBF3BDB" w14:textId="615891CC"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Stanje na 3</w:t>
            </w:r>
            <w:r w:rsidR="006F5F1C">
              <w:rPr>
                <w:rFonts w:eastAsia="Times New Roman"/>
                <w:color w:val="FFFFFF"/>
                <w:sz w:val="22"/>
                <w:szCs w:val="22"/>
                <w:lang w:eastAsia="hr-HR"/>
              </w:rPr>
              <w:t>1</w:t>
            </w:r>
            <w:r w:rsidRPr="00B26E5C">
              <w:rPr>
                <w:rFonts w:eastAsia="Times New Roman"/>
                <w:color w:val="FFFFFF"/>
                <w:sz w:val="22"/>
                <w:szCs w:val="22"/>
                <w:lang w:eastAsia="hr-HR"/>
              </w:rPr>
              <w:t>.</w:t>
            </w:r>
            <w:r w:rsidR="00A5623B">
              <w:rPr>
                <w:rFonts w:eastAsia="Times New Roman"/>
                <w:color w:val="FFFFFF"/>
                <w:sz w:val="22"/>
                <w:szCs w:val="22"/>
                <w:lang w:eastAsia="hr-HR"/>
              </w:rPr>
              <w:t xml:space="preserve"> prosinca</w:t>
            </w:r>
            <w:r w:rsidR="00B96573">
              <w:rPr>
                <w:rFonts w:eastAsia="Times New Roman"/>
                <w:color w:val="FFFFFF"/>
                <w:sz w:val="22"/>
                <w:szCs w:val="22"/>
                <w:lang w:eastAsia="hr-HR"/>
              </w:rPr>
              <w:t xml:space="preserve"> </w:t>
            </w:r>
            <w:r w:rsidRPr="00B26E5C">
              <w:rPr>
                <w:rFonts w:eastAsia="Times New Roman"/>
                <w:color w:val="FFFFFF"/>
                <w:sz w:val="22"/>
                <w:szCs w:val="22"/>
                <w:lang w:eastAsia="hr-HR"/>
              </w:rPr>
              <w:t>2023.</w:t>
            </w:r>
            <w:r w:rsidR="00B96573">
              <w:rPr>
                <w:rFonts w:eastAsia="Times New Roman"/>
                <w:color w:val="FFFFFF"/>
                <w:sz w:val="22"/>
                <w:szCs w:val="22"/>
                <w:lang w:eastAsia="hr-HR"/>
              </w:rPr>
              <w:t>g.</w:t>
            </w:r>
          </w:p>
        </w:tc>
      </w:tr>
      <w:tr w:rsidR="00B77774" w:rsidRPr="00B26E5C" w14:paraId="1669BB27" w14:textId="77777777" w:rsidTr="007A37C1">
        <w:trPr>
          <w:trHeight w:val="855"/>
        </w:trPr>
        <w:tc>
          <w:tcPr>
            <w:tcW w:w="2016" w:type="dxa"/>
            <w:vMerge/>
            <w:tcBorders>
              <w:top w:val="single" w:sz="4" w:space="0" w:color="A6A6A6"/>
              <w:left w:val="single" w:sz="4" w:space="0" w:color="A6A6A6"/>
              <w:bottom w:val="single" w:sz="4" w:space="0" w:color="A6A6A6"/>
              <w:right w:val="single" w:sz="4" w:space="0" w:color="A6A6A6"/>
            </w:tcBorders>
            <w:vAlign w:val="center"/>
            <w:hideMark/>
          </w:tcPr>
          <w:p w14:paraId="020FE5B5" w14:textId="77777777" w:rsidR="00C06DF9" w:rsidRPr="00B26E5C" w:rsidRDefault="00C06DF9">
            <w:pPr>
              <w:spacing w:line="240" w:lineRule="auto"/>
              <w:jc w:val="left"/>
              <w:rPr>
                <w:rFonts w:eastAsia="Times New Roman"/>
                <w:color w:val="FFFFFF"/>
                <w:sz w:val="22"/>
                <w:szCs w:val="22"/>
                <w:lang w:eastAsia="hr-HR"/>
              </w:rPr>
            </w:pPr>
          </w:p>
        </w:tc>
        <w:tc>
          <w:tcPr>
            <w:tcW w:w="1330" w:type="dxa"/>
            <w:tcBorders>
              <w:top w:val="nil"/>
              <w:left w:val="nil"/>
              <w:bottom w:val="single" w:sz="4" w:space="0" w:color="A6A6A6"/>
              <w:right w:val="single" w:sz="4" w:space="0" w:color="A6A6A6"/>
            </w:tcBorders>
            <w:shd w:val="clear" w:color="000000" w:fill="002060"/>
            <w:vAlign w:val="center"/>
            <w:hideMark/>
          </w:tcPr>
          <w:p w14:paraId="76BDDBE9" w14:textId="2F123DA5" w:rsidR="007A37C1" w:rsidRDefault="00B77774">
            <w:pPr>
              <w:spacing w:line="240" w:lineRule="auto"/>
              <w:jc w:val="center"/>
              <w:rPr>
                <w:rFonts w:eastAsia="Times New Roman"/>
                <w:color w:val="FFFFFF"/>
                <w:sz w:val="22"/>
                <w:szCs w:val="22"/>
                <w:lang w:eastAsia="hr-HR"/>
              </w:rPr>
            </w:pPr>
            <w:r>
              <w:rPr>
                <w:rFonts w:eastAsia="Times New Roman"/>
                <w:color w:val="FFFFFF"/>
                <w:sz w:val="22"/>
                <w:szCs w:val="22"/>
                <w:lang w:eastAsia="hr-HR"/>
              </w:rPr>
              <w:t>Odluke</w:t>
            </w:r>
            <w:r w:rsidR="00A54051">
              <w:rPr>
                <w:rFonts w:eastAsia="Times New Roman"/>
                <w:color w:val="FFFFFF"/>
                <w:sz w:val="22"/>
                <w:szCs w:val="22"/>
                <w:lang w:eastAsia="hr-HR"/>
              </w:rPr>
              <w:t xml:space="preserve"> i</w:t>
            </w:r>
          </w:p>
          <w:p w14:paraId="36EC002F" w14:textId="7AC4BA49"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Rješenja</w:t>
            </w:r>
            <w:r w:rsidR="00600802">
              <w:rPr>
                <w:rStyle w:val="FootnoteReference"/>
                <w:rFonts w:eastAsia="Times New Roman"/>
                <w:color w:val="FFFFFF"/>
                <w:sz w:val="22"/>
                <w:szCs w:val="22"/>
                <w:lang w:eastAsia="hr-HR"/>
              </w:rPr>
              <w:footnoteReference w:id="2"/>
            </w:r>
          </w:p>
        </w:tc>
        <w:tc>
          <w:tcPr>
            <w:tcW w:w="1331" w:type="dxa"/>
            <w:tcBorders>
              <w:top w:val="nil"/>
              <w:left w:val="nil"/>
              <w:bottom w:val="single" w:sz="4" w:space="0" w:color="A6A6A6"/>
              <w:right w:val="single" w:sz="4" w:space="0" w:color="A6A6A6"/>
            </w:tcBorders>
            <w:shd w:val="clear" w:color="000000" w:fill="002060"/>
            <w:vAlign w:val="center"/>
            <w:hideMark/>
          </w:tcPr>
          <w:p w14:paraId="16CFE418" w14:textId="167D6EC2" w:rsidR="00C06DF9" w:rsidRPr="00B26E5C" w:rsidRDefault="00C06DF9">
            <w:pPr>
              <w:spacing w:line="240" w:lineRule="auto"/>
              <w:jc w:val="center"/>
              <w:rPr>
                <w:rFonts w:eastAsia="Times New Roman"/>
                <w:color w:val="FFFFFF"/>
                <w:sz w:val="22"/>
                <w:szCs w:val="22"/>
                <w:lang w:eastAsia="hr-HR"/>
              </w:rPr>
            </w:pPr>
            <w:r>
              <w:rPr>
                <w:rFonts w:eastAsia="Times New Roman"/>
                <w:color w:val="FFFFFF"/>
                <w:sz w:val="22"/>
                <w:szCs w:val="22"/>
                <w:lang w:eastAsia="hr-HR"/>
              </w:rPr>
              <w:t>Prestanak postupka</w:t>
            </w:r>
            <w:r w:rsidR="0078722F">
              <w:rPr>
                <w:rStyle w:val="FootnoteReference"/>
                <w:rFonts w:eastAsia="Times New Roman"/>
                <w:color w:val="FFFFFF"/>
                <w:sz w:val="22"/>
                <w:szCs w:val="22"/>
                <w:lang w:eastAsia="hr-HR"/>
              </w:rPr>
              <w:footnoteReference w:id="3"/>
            </w:r>
          </w:p>
        </w:tc>
        <w:tc>
          <w:tcPr>
            <w:tcW w:w="1331" w:type="dxa"/>
            <w:tcBorders>
              <w:top w:val="nil"/>
              <w:left w:val="nil"/>
              <w:bottom w:val="single" w:sz="4" w:space="0" w:color="A6A6A6"/>
              <w:right w:val="single" w:sz="4" w:space="0" w:color="A6A6A6"/>
            </w:tcBorders>
            <w:shd w:val="clear" w:color="000000" w:fill="002060"/>
            <w:vAlign w:val="center"/>
            <w:hideMark/>
          </w:tcPr>
          <w:p w14:paraId="406E2F1B" w14:textId="77777777"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Ukupno</w:t>
            </w:r>
          </w:p>
        </w:tc>
        <w:tc>
          <w:tcPr>
            <w:tcW w:w="1330" w:type="dxa"/>
            <w:tcBorders>
              <w:top w:val="nil"/>
              <w:left w:val="nil"/>
              <w:bottom w:val="single" w:sz="4" w:space="0" w:color="A6A6A6"/>
              <w:right w:val="single" w:sz="4" w:space="0" w:color="A6A6A6"/>
            </w:tcBorders>
            <w:shd w:val="clear" w:color="000000" w:fill="002060"/>
            <w:vAlign w:val="center"/>
            <w:hideMark/>
          </w:tcPr>
          <w:p w14:paraId="31564ABF" w14:textId="77777777" w:rsidR="00A54051" w:rsidRDefault="00A54051" w:rsidP="00A54051">
            <w:pPr>
              <w:spacing w:line="240" w:lineRule="auto"/>
              <w:jc w:val="center"/>
              <w:rPr>
                <w:rFonts w:eastAsia="Times New Roman"/>
                <w:color w:val="FFFFFF"/>
                <w:sz w:val="22"/>
                <w:szCs w:val="22"/>
                <w:lang w:eastAsia="hr-HR"/>
              </w:rPr>
            </w:pPr>
            <w:r>
              <w:rPr>
                <w:rFonts w:eastAsia="Times New Roman"/>
                <w:color w:val="FFFFFF"/>
                <w:sz w:val="22"/>
                <w:szCs w:val="22"/>
                <w:lang w:eastAsia="hr-HR"/>
              </w:rPr>
              <w:t>Odluke i</w:t>
            </w:r>
          </w:p>
          <w:p w14:paraId="5E11F619" w14:textId="567E4C3D"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Rješenja</w:t>
            </w:r>
          </w:p>
        </w:tc>
        <w:tc>
          <w:tcPr>
            <w:tcW w:w="1331" w:type="dxa"/>
            <w:tcBorders>
              <w:top w:val="nil"/>
              <w:left w:val="nil"/>
              <w:bottom w:val="single" w:sz="4" w:space="0" w:color="A6A6A6"/>
              <w:right w:val="single" w:sz="4" w:space="0" w:color="A6A6A6"/>
            </w:tcBorders>
            <w:shd w:val="clear" w:color="000000" w:fill="002060"/>
            <w:vAlign w:val="center"/>
            <w:hideMark/>
          </w:tcPr>
          <w:p w14:paraId="721B0E5F" w14:textId="77777777" w:rsidR="00C06DF9" w:rsidRPr="00B26E5C" w:rsidRDefault="00C06DF9">
            <w:pPr>
              <w:spacing w:line="240" w:lineRule="auto"/>
              <w:jc w:val="center"/>
              <w:rPr>
                <w:rFonts w:eastAsia="Times New Roman"/>
                <w:color w:val="FFFFFF"/>
                <w:sz w:val="22"/>
                <w:szCs w:val="22"/>
                <w:lang w:eastAsia="hr-HR"/>
              </w:rPr>
            </w:pPr>
            <w:r>
              <w:rPr>
                <w:rFonts w:eastAsia="Times New Roman"/>
                <w:color w:val="FFFFFF"/>
                <w:sz w:val="22"/>
                <w:szCs w:val="22"/>
                <w:lang w:eastAsia="hr-HR"/>
              </w:rPr>
              <w:t>Prestanak postupka</w:t>
            </w:r>
          </w:p>
        </w:tc>
        <w:tc>
          <w:tcPr>
            <w:tcW w:w="1331" w:type="dxa"/>
            <w:tcBorders>
              <w:top w:val="nil"/>
              <w:left w:val="nil"/>
              <w:bottom w:val="single" w:sz="4" w:space="0" w:color="A6A6A6"/>
              <w:right w:val="single" w:sz="4" w:space="0" w:color="A6A6A6"/>
            </w:tcBorders>
            <w:shd w:val="clear" w:color="000000" w:fill="002060"/>
            <w:vAlign w:val="center"/>
            <w:hideMark/>
          </w:tcPr>
          <w:p w14:paraId="130344EE" w14:textId="77777777"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Ukupno</w:t>
            </w:r>
          </w:p>
        </w:tc>
        <w:tc>
          <w:tcPr>
            <w:tcW w:w="1330" w:type="dxa"/>
            <w:tcBorders>
              <w:top w:val="nil"/>
              <w:left w:val="nil"/>
              <w:bottom w:val="single" w:sz="4" w:space="0" w:color="A6A6A6"/>
              <w:right w:val="single" w:sz="4" w:space="0" w:color="A6A6A6"/>
            </w:tcBorders>
            <w:shd w:val="clear" w:color="000000" w:fill="002060"/>
            <w:vAlign w:val="center"/>
            <w:hideMark/>
          </w:tcPr>
          <w:p w14:paraId="3D34F205" w14:textId="77777777" w:rsidR="00A54051" w:rsidRDefault="00A54051" w:rsidP="00A54051">
            <w:pPr>
              <w:spacing w:line="240" w:lineRule="auto"/>
              <w:jc w:val="center"/>
              <w:rPr>
                <w:rFonts w:eastAsia="Times New Roman"/>
                <w:color w:val="FFFFFF"/>
                <w:sz w:val="22"/>
                <w:szCs w:val="22"/>
                <w:lang w:eastAsia="hr-HR"/>
              </w:rPr>
            </w:pPr>
            <w:r>
              <w:rPr>
                <w:rFonts w:eastAsia="Times New Roman"/>
                <w:color w:val="FFFFFF"/>
                <w:sz w:val="22"/>
                <w:szCs w:val="22"/>
                <w:lang w:eastAsia="hr-HR"/>
              </w:rPr>
              <w:t>Odluke i</w:t>
            </w:r>
          </w:p>
          <w:p w14:paraId="7F782005" w14:textId="3335768B"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Rješenja</w:t>
            </w:r>
          </w:p>
        </w:tc>
        <w:tc>
          <w:tcPr>
            <w:tcW w:w="1331" w:type="dxa"/>
            <w:tcBorders>
              <w:top w:val="nil"/>
              <w:left w:val="nil"/>
              <w:bottom w:val="single" w:sz="4" w:space="0" w:color="A6A6A6"/>
              <w:right w:val="single" w:sz="4" w:space="0" w:color="A6A6A6"/>
            </w:tcBorders>
            <w:shd w:val="clear" w:color="000000" w:fill="002060"/>
            <w:vAlign w:val="center"/>
            <w:hideMark/>
          </w:tcPr>
          <w:p w14:paraId="3E715D8C" w14:textId="77777777" w:rsidR="00C06DF9" w:rsidRPr="00B26E5C" w:rsidRDefault="00C06DF9">
            <w:pPr>
              <w:spacing w:line="240" w:lineRule="auto"/>
              <w:jc w:val="center"/>
              <w:rPr>
                <w:rFonts w:eastAsia="Times New Roman"/>
                <w:color w:val="FFFFFF"/>
                <w:sz w:val="22"/>
                <w:szCs w:val="22"/>
                <w:lang w:eastAsia="hr-HR"/>
              </w:rPr>
            </w:pPr>
            <w:r>
              <w:rPr>
                <w:rFonts w:eastAsia="Times New Roman"/>
                <w:color w:val="FFFFFF"/>
                <w:sz w:val="22"/>
                <w:szCs w:val="22"/>
                <w:lang w:eastAsia="hr-HR"/>
              </w:rPr>
              <w:t>Prestanak postupka</w:t>
            </w:r>
          </w:p>
        </w:tc>
        <w:tc>
          <w:tcPr>
            <w:tcW w:w="1331" w:type="dxa"/>
            <w:tcBorders>
              <w:top w:val="nil"/>
              <w:left w:val="nil"/>
              <w:bottom w:val="single" w:sz="4" w:space="0" w:color="A6A6A6"/>
              <w:right w:val="single" w:sz="4" w:space="0" w:color="A6A6A6"/>
            </w:tcBorders>
            <w:shd w:val="clear" w:color="000000" w:fill="002060"/>
            <w:vAlign w:val="center"/>
            <w:hideMark/>
          </w:tcPr>
          <w:p w14:paraId="1E1E95E9" w14:textId="77777777" w:rsidR="00C06DF9" w:rsidRPr="00B26E5C" w:rsidRDefault="00C06DF9">
            <w:pPr>
              <w:spacing w:line="240" w:lineRule="auto"/>
              <w:jc w:val="center"/>
              <w:rPr>
                <w:rFonts w:eastAsia="Times New Roman"/>
                <w:color w:val="FFFFFF"/>
                <w:sz w:val="22"/>
                <w:szCs w:val="22"/>
                <w:lang w:eastAsia="hr-HR"/>
              </w:rPr>
            </w:pPr>
            <w:r w:rsidRPr="00B26E5C">
              <w:rPr>
                <w:rFonts w:eastAsia="Times New Roman"/>
                <w:color w:val="FFFFFF"/>
                <w:sz w:val="22"/>
                <w:szCs w:val="22"/>
                <w:lang w:eastAsia="hr-HR"/>
              </w:rPr>
              <w:t>Ukupno</w:t>
            </w:r>
          </w:p>
        </w:tc>
      </w:tr>
      <w:tr w:rsidR="00F172CF" w:rsidRPr="00B26E5C" w14:paraId="4615FCFF" w14:textId="77777777" w:rsidTr="005C499D">
        <w:trPr>
          <w:trHeight w:val="737"/>
        </w:trPr>
        <w:tc>
          <w:tcPr>
            <w:tcW w:w="2016" w:type="dxa"/>
            <w:tcBorders>
              <w:top w:val="nil"/>
              <w:left w:val="single" w:sz="4" w:space="0" w:color="A6A6A6"/>
              <w:bottom w:val="single" w:sz="4" w:space="0" w:color="A6A6A6"/>
              <w:right w:val="single" w:sz="4" w:space="0" w:color="A6A6A6"/>
            </w:tcBorders>
            <w:shd w:val="clear" w:color="auto" w:fill="auto"/>
            <w:vAlign w:val="center"/>
          </w:tcPr>
          <w:p w14:paraId="713D80C9" w14:textId="3AA51C2C" w:rsidR="00F172CF" w:rsidRPr="00B26E5C" w:rsidRDefault="00F172CF" w:rsidP="00F172CF">
            <w:pPr>
              <w:spacing w:line="240" w:lineRule="auto"/>
              <w:jc w:val="left"/>
              <w:rPr>
                <w:rFonts w:eastAsia="Times New Roman"/>
                <w:color w:val="000000"/>
                <w:sz w:val="22"/>
                <w:szCs w:val="22"/>
                <w:lang w:eastAsia="hr-HR"/>
              </w:rPr>
            </w:pPr>
            <w:proofErr w:type="spellStart"/>
            <w:r>
              <w:rPr>
                <w:color w:val="000000"/>
                <w:sz w:val="22"/>
                <w:szCs w:val="22"/>
              </w:rPr>
              <w:t>Nekonstrukcijska</w:t>
            </w:r>
            <w:proofErr w:type="spellEnd"/>
            <w:r>
              <w:rPr>
                <w:color w:val="000000"/>
                <w:sz w:val="22"/>
                <w:szCs w:val="22"/>
              </w:rPr>
              <w:t xml:space="preserve"> obnova</w:t>
            </w:r>
            <w:r>
              <w:rPr>
                <w:rStyle w:val="FootnoteReference"/>
                <w:color w:val="000000"/>
                <w:sz w:val="22"/>
                <w:szCs w:val="22"/>
              </w:rPr>
              <w:footnoteReference w:id="4"/>
            </w:r>
          </w:p>
        </w:tc>
        <w:tc>
          <w:tcPr>
            <w:tcW w:w="1330" w:type="dxa"/>
            <w:tcBorders>
              <w:top w:val="nil"/>
              <w:left w:val="nil"/>
              <w:bottom w:val="single" w:sz="4" w:space="0" w:color="A6A6A6"/>
              <w:right w:val="single" w:sz="4" w:space="0" w:color="A6A6A6"/>
            </w:tcBorders>
            <w:shd w:val="clear" w:color="auto" w:fill="auto"/>
            <w:noWrap/>
            <w:vAlign w:val="center"/>
          </w:tcPr>
          <w:p w14:paraId="5F829302" w14:textId="1DDE386C"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10.842</w:t>
            </w:r>
          </w:p>
        </w:tc>
        <w:tc>
          <w:tcPr>
            <w:tcW w:w="1331" w:type="dxa"/>
            <w:tcBorders>
              <w:top w:val="nil"/>
              <w:left w:val="nil"/>
              <w:bottom w:val="single" w:sz="4" w:space="0" w:color="A6A6A6"/>
              <w:right w:val="single" w:sz="4" w:space="0" w:color="A6A6A6"/>
            </w:tcBorders>
            <w:shd w:val="clear" w:color="auto" w:fill="auto"/>
            <w:noWrap/>
            <w:vAlign w:val="center"/>
          </w:tcPr>
          <w:p w14:paraId="2F4E9476" w14:textId="71273DA1"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3.346</w:t>
            </w:r>
          </w:p>
        </w:tc>
        <w:tc>
          <w:tcPr>
            <w:tcW w:w="1331" w:type="dxa"/>
            <w:tcBorders>
              <w:top w:val="nil"/>
              <w:left w:val="nil"/>
              <w:bottom w:val="single" w:sz="4" w:space="0" w:color="A6A6A6"/>
              <w:right w:val="single" w:sz="4" w:space="0" w:color="A6A6A6"/>
            </w:tcBorders>
            <w:shd w:val="clear" w:color="auto" w:fill="auto"/>
            <w:noWrap/>
            <w:vAlign w:val="center"/>
          </w:tcPr>
          <w:p w14:paraId="74A23972" w14:textId="097444C0"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14.188</w:t>
            </w:r>
          </w:p>
        </w:tc>
        <w:tc>
          <w:tcPr>
            <w:tcW w:w="1330" w:type="dxa"/>
            <w:tcBorders>
              <w:top w:val="nil"/>
              <w:left w:val="nil"/>
              <w:bottom w:val="single" w:sz="4" w:space="0" w:color="A6A6A6"/>
              <w:right w:val="single" w:sz="4" w:space="0" w:color="A6A6A6"/>
            </w:tcBorders>
            <w:shd w:val="clear" w:color="auto" w:fill="auto"/>
            <w:noWrap/>
            <w:vAlign w:val="center"/>
          </w:tcPr>
          <w:p w14:paraId="0E82CEAA" w14:textId="4C7E2595"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3.183</w:t>
            </w:r>
          </w:p>
        </w:tc>
        <w:tc>
          <w:tcPr>
            <w:tcW w:w="1331" w:type="dxa"/>
            <w:tcBorders>
              <w:top w:val="nil"/>
              <w:left w:val="nil"/>
              <w:bottom w:val="single" w:sz="4" w:space="0" w:color="A6A6A6"/>
              <w:right w:val="single" w:sz="4" w:space="0" w:color="A6A6A6"/>
            </w:tcBorders>
            <w:shd w:val="clear" w:color="auto" w:fill="auto"/>
            <w:noWrap/>
            <w:vAlign w:val="center"/>
          </w:tcPr>
          <w:p w14:paraId="4B3F1A29" w14:textId="1E74A8F0"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1.431</w:t>
            </w:r>
          </w:p>
        </w:tc>
        <w:tc>
          <w:tcPr>
            <w:tcW w:w="1331" w:type="dxa"/>
            <w:tcBorders>
              <w:top w:val="nil"/>
              <w:left w:val="nil"/>
              <w:bottom w:val="single" w:sz="4" w:space="0" w:color="A6A6A6"/>
              <w:right w:val="single" w:sz="4" w:space="0" w:color="A6A6A6"/>
            </w:tcBorders>
            <w:shd w:val="clear" w:color="auto" w:fill="auto"/>
            <w:noWrap/>
            <w:vAlign w:val="center"/>
          </w:tcPr>
          <w:p w14:paraId="4EDB7EE5" w14:textId="7C81B090"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4.614</w:t>
            </w:r>
          </w:p>
        </w:tc>
        <w:tc>
          <w:tcPr>
            <w:tcW w:w="1330" w:type="dxa"/>
            <w:tcBorders>
              <w:top w:val="nil"/>
              <w:left w:val="nil"/>
              <w:bottom w:val="single" w:sz="4" w:space="0" w:color="A6A6A6"/>
              <w:right w:val="single" w:sz="4" w:space="0" w:color="A6A6A6"/>
            </w:tcBorders>
            <w:shd w:val="clear" w:color="auto" w:fill="auto"/>
            <w:noWrap/>
            <w:vAlign w:val="center"/>
          </w:tcPr>
          <w:p w14:paraId="559FF586" w14:textId="165F790E"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14.025</w:t>
            </w:r>
          </w:p>
        </w:tc>
        <w:tc>
          <w:tcPr>
            <w:tcW w:w="1331" w:type="dxa"/>
            <w:tcBorders>
              <w:top w:val="nil"/>
              <w:left w:val="nil"/>
              <w:bottom w:val="single" w:sz="4" w:space="0" w:color="A6A6A6"/>
              <w:right w:val="single" w:sz="4" w:space="0" w:color="A6A6A6"/>
            </w:tcBorders>
            <w:shd w:val="clear" w:color="auto" w:fill="auto"/>
            <w:noWrap/>
            <w:vAlign w:val="center"/>
          </w:tcPr>
          <w:p w14:paraId="749B09D1" w14:textId="67B3C18F"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4.777</w:t>
            </w:r>
          </w:p>
        </w:tc>
        <w:tc>
          <w:tcPr>
            <w:tcW w:w="1331" w:type="dxa"/>
            <w:tcBorders>
              <w:top w:val="nil"/>
              <w:left w:val="nil"/>
              <w:bottom w:val="single" w:sz="4" w:space="0" w:color="A6A6A6"/>
              <w:right w:val="single" w:sz="4" w:space="0" w:color="A6A6A6"/>
            </w:tcBorders>
            <w:shd w:val="clear" w:color="auto" w:fill="auto"/>
            <w:noWrap/>
            <w:vAlign w:val="center"/>
          </w:tcPr>
          <w:p w14:paraId="7AD48597" w14:textId="761582FB"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18.802</w:t>
            </w:r>
          </w:p>
        </w:tc>
      </w:tr>
      <w:tr w:rsidR="00F172CF" w:rsidRPr="00B26E5C" w14:paraId="487B35D9" w14:textId="77777777" w:rsidTr="005C499D">
        <w:trPr>
          <w:trHeight w:val="737"/>
        </w:trPr>
        <w:tc>
          <w:tcPr>
            <w:tcW w:w="2016" w:type="dxa"/>
            <w:tcBorders>
              <w:top w:val="nil"/>
              <w:left w:val="single" w:sz="4" w:space="0" w:color="A6A6A6"/>
              <w:bottom w:val="single" w:sz="4" w:space="0" w:color="A6A6A6"/>
              <w:right w:val="single" w:sz="4" w:space="0" w:color="A6A6A6"/>
            </w:tcBorders>
            <w:shd w:val="clear" w:color="auto" w:fill="auto"/>
            <w:vAlign w:val="center"/>
          </w:tcPr>
          <w:p w14:paraId="5497A850" w14:textId="77777777" w:rsidR="00F172CF" w:rsidRPr="00B26E5C" w:rsidRDefault="00F172CF" w:rsidP="00F172CF">
            <w:pPr>
              <w:spacing w:line="240" w:lineRule="auto"/>
              <w:jc w:val="left"/>
              <w:rPr>
                <w:rFonts w:eastAsia="Times New Roman"/>
                <w:color w:val="000000"/>
                <w:sz w:val="22"/>
                <w:szCs w:val="22"/>
                <w:lang w:eastAsia="hr-HR"/>
              </w:rPr>
            </w:pPr>
            <w:r>
              <w:rPr>
                <w:color w:val="000000"/>
                <w:sz w:val="22"/>
                <w:szCs w:val="22"/>
              </w:rPr>
              <w:t>Konstrukcijska obnova</w:t>
            </w:r>
          </w:p>
        </w:tc>
        <w:tc>
          <w:tcPr>
            <w:tcW w:w="1330" w:type="dxa"/>
            <w:tcBorders>
              <w:top w:val="nil"/>
              <w:left w:val="nil"/>
              <w:bottom w:val="single" w:sz="4" w:space="0" w:color="A6A6A6"/>
              <w:right w:val="single" w:sz="4" w:space="0" w:color="A6A6A6"/>
            </w:tcBorders>
            <w:shd w:val="clear" w:color="auto" w:fill="auto"/>
            <w:noWrap/>
            <w:vAlign w:val="center"/>
          </w:tcPr>
          <w:p w14:paraId="5920F18F" w14:textId="324ED6F0"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1.527</w:t>
            </w:r>
          </w:p>
        </w:tc>
        <w:tc>
          <w:tcPr>
            <w:tcW w:w="1331" w:type="dxa"/>
            <w:tcBorders>
              <w:top w:val="nil"/>
              <w:left w:val="nil"/>
              <w:bottom w:val="single" w:sz="4" w:space="0" w:color="A6A6A6"/>
              <w:right w:val="single" w:sz="4" w:space="0" w:color="A6A6A6"/>
            </w:tcBorders>
            <w:shd w:val="clear" w:color="auto" w:fill="auto"/>
            <w:noWrap/>
            <w:vAlign w:val="center"/>
          </w:tcPr>
          <w:p w14:paraId="5FDFD563" w14:textId="1598837E"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320</w:t>
            </w:r>
          </w:p>
        </w:tc>
        <w:tc>
          <w:tcPr>
            <w:tcW w:w="1331" w:type="dxa"/>
            <w:tcBorders>
              <w:top w:val="nil"/>
              <w:left w:val="nil"/>
              <w:bottom w:val="single" w:sz="4" w:space="0" w:color="A6A6A6"/>
              <w:right w:val="single" w:sz="4" w:space="0" w:color="A6A6A6"/>
            </w:tcBorders>
            <w:shd w:val="clear" w:color="auto" w:fill="auto"/>
            <w:noWrap/>
            <w:vAlign w:val="center"/>
          </w:tcPr>
          <w:p w14:paraId="290A1A06" w14:textId="16F92522"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1.847</w:t>
            </w:r>
          </w:p>
        </w:tc>
        <w:tc>
          <w:tcPr>
            <w:tcW w:w="1330" w:type="dxa"/>
            <w:tcBorders>
              <w:top w:val="nil"/>
              <w:left w:val="nil"/>
              <w:bottom w:val="single" w:sz="4" w:space="0" w:color="A6A6A6"/>
              <w:right w:val="single" w:sz="4" w:space="0" w:color="A6A6A6"/>
            </w:tcBorders>
            <w:shd w:val="clear" w:color="auto" w:fill="auto"/>
            <w:noWrap/>
            <w:vAlign w:val="center"/>
          </w:tcPr>
          <w:p w14:paraId="0395109B" w14:textId="6F125135"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1.159</w:t>
            </w:r>
          </w:p>
        </w:tc>
        <w:tc>
          <w:tcPr>
            <w:tcW w:w="1331" w:type="dxa"/>
            <w:tcBorders>
              <w:top w:val="nil"/>
              <w:left w:val="nil"/>
              <w:bottom w:val="single" w:sz="4" w:space="0" w:color="A6A6A6"/>
              <w:right w:val="single" w:sz="4" w:space="0" w:color="A6A6A6"/>
            </w:tcBorders>
            <w:shd w:val="clear" w:color="auto" w:fill="auto"/>
            <w:noWrap/>
            <w:vAlign w:val="center"/>
          </w:tcPr>
          <w:p w14:paraId="08AAB52C" w14:textId="2CC23F83"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574</w:t>
            </w:r>
          </w:p>
        </w:tc>
        <w:tc>
          <w:tcPr>
            <w:tcW w:w="1331" w:type="dxa"/>
            <w:tcBorders>
              <w:top w:val="nil"/>
              <w:left w:val="nil"/>
              <w:bottom w:val="single" w:sz="4" w:space="0" w:color="A6A6A6"/>
              <w:right w:val="single" w:sz="4" w:space="0" w:color="A6A6A6"/>
            </w:tcBorders>
            <w:shd w:val="clear" w:color="auto" w:fill="auto"/>
            <w:noWrap/>
            <w:vAlign w:val="center"/>
          </w:tcPr>
          <w:p w14:paraId="17F50891" w14:textId="330B55BD"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1.733</w:t>
            </w:r>
          </w:p>
        </w:tc>
        <w:tc>
          <w:tcPr>
            <w:tcW w:w="1330" w:type="dxa"/>
            <w:tcBorders>
              <w:top w:val="nil"/>
              <w:left w:val="nil"/>
              <w:bottom w:val="single" w:sz="4" w:space="0" w:color="A6A6A6"/>
              <w:right w:val="single" w:sz="4" w:space="0" w:color="A6A6A6"/>
            </w:tcBorders>
            <w:shd w:val="clear" w:color="auto" w:fill="auto"/>
            <w:noWrap/>
            <w:vAlign w:val="center"/>
          </w:tcPr>
          <w:p w14:paraId="2E566344" w14:textId="54E502A2"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2.686</w:t>
            </w:r>
          </w:p>
        </w:tc>
        <w:tc>
          <w:tcPr>
            <w:tcW w:w="1331" w:type="dxa"/>
            <w:tcBorders>
              <w:top w:val="nil"/>
              <w:left w:val="nil"/>
              <w:bottom w:val="single" w:sz="4" w:space="0" w:color="A6A6A6"/>
              <w:right w:val="single" w:sz="4" w:space="0" w:color="A6A6A6"/>
            </w:tcBorders>
            <w:shd w:val="clear" w:color="auto" w:fill="auto"/>
            <w:noWrap/>
            <w:vAlign w:val="center"/>
          </w:tcPr>
          <w:p w14:paraId="432AF135" w14:textId="70A2EBEC"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894</w:t>
            </w:r>
          </w:p>
        </w:tc>
        <w:tc>
          <w:tcPr>
            <w:tcW w:w="1331" w:type="dxa"/>
            <w:tcBorders>
              <w:top w:val="nil"/>
              <w:left w:val="nil"/>
              <w:bottom w:val="single" w:sz="4" w:space="0" w:color="A6A6A6"/>
              <w:right w:val="single" w:sz="4" w:space="0" w:color="A6A6A6"/>
            </w:tcBorders>
            <w:shd w:val="clear" w:color="auto" w:fill="auto"/>
            <w:noWrap/>
            <w:vAlign w:val="center"/>
          </w:tcPr>
          <w:p w14:paraId="61745F5C" w14:textId="3541AC3B"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3.580</w:t>
            </w:r>
          </w:p>
        </w:tc>
      </w:tr>
      <w:tr w:rsidR="00F172CF" w:rsidRPr="00B26E5C" w14:paraId="3C22BBD7" w14:textId="77777777" w:rsidTr="005C499D">
        <w:trPr>
          <w:trHeight w:val="737"/>
        </w:trPr>
        <w:tc>
          <w:tcPr>
            <w:tcW w:w="2016" w:type="dxa"/>
            <w:tcBorders>
              <w:top w:val="nil"/>
              <w:left w:val="single" w:sz="4" w:space="0" w:color="A6A6A6"/>
              <w:bottom w:val="single" w:sz="4" w:space="0" w:color="A6A6A6"/>
              <w:right w:val="single" w:sz="4" w:space="0" w:color="A6A6A6"/>
            </w:tcBorders>
            <w:shd w:val="clear" w:color="auto" w:fill="auto"/>
            <w:vAlign w:val="center"/>
          </w:tcPr>
          <w:p w14:paraId="39CD8F1D" w14:textId="77777777" w:rsidR="00F172CF" w:rsidRPr="00B26E5C" w:rsidRDefault="00F172CF" w:rsidP="00F172CF">
            <w:pPr>
              <w:spacing w:line="240" w:lineRule="auto"/>
              <w:jc w:val="left"/>
              <w:rPr>
                <w:rFonts w:eastAsia="Times New Roman"/>
                <w:color w:val="000000"/>
                <w:sz w:val="22"/>
                <w:szCs w:val="22"/>
                <w:lang w:eastAsia="hr-HR"/>
              </w:rPr>
            </w:pPr>
            <w:r>
              <w:rPr>
                <w:color w:val="000000"/>
                <w:sz w:val="22"/>
                <w:szCs w:val="22"/>
              </w:rPr>
              <w:t>Uklanjanje i gradnja</w:t>
            </w:r>
          </w:p>
        </w:tc>
        <w:tc>
          <w:tcPr>
            <w:tcW w:w="1330" w:type="dxa"/>
            <w:tcBorders>
              <w:top w:val="nil"/>
              <w:left w:val="nil"/>
              <w:bottom w:val="single" w:sz="4" w:space="0" w:color="A6A6A6"/>
              <w:right w:val="single" w:sz="4" w:space="0" w:color="A6A6A6"/>
            </w:tcBorders>
            <w:shd w:val="clear" w:color="auto" w:fill="auto"/>
            <w:noWrap/>
            <w:vAlign w:val="center"/>
          </w:tcPr>
          <w:p w14:paraId="1DF817BD" w14:textId="337911B3"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590</w:t>
            </w:r>
          </w:p>
        </w:tc>
        <w:tc>
          <w:tcPr>
            <w:tcW w:w="1331" w:type="dxa"/>
            <w:tcBorders>
              <w:top w:val="nil"/>
              <w:left w:val="nil"/>
              <w:bottom w:val="single" w:sz="4" w:space="0" w:color="A6A6A6"/>
              <w:right w:val="single" w:sz="4" w:space="0" w:color="A6A6A6"/>
            </w:tcBorders>
            <w:shd w:val="clear" w:color="auto" w:fill="auto"/>
            <w:noWrap/>
            <w:vAlign w:val="center"/>
          </w:tcPr>
          <w:p w14:paraId="51B37D15" w14:textId="46A8D7B2"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358</w:t>
            </w:r>
          </w:p>
        </w:tc>
        <w:tc>
          <w:tcPr>
            <w:tcW w:w="1331" w:type="dxa"/>
            <w:tcBorders>
              <w:top w:val="nil"/>
              <w:left w:val="nil"/>
              <w:bottom w:val="single" w:sz="4" w:space="0" w:color="A6A6A6"/>
              <w:right w:val="single" w:sz="4" w:space="0" w:color="A6A6A6"/>
            </w:tcBorders>
            <w:shd w:val="clear" w:color="auto" w:fill="auto"/>
            <w:noWrap/>
            <w:vAlign w:val="center"/>
          </w:tcPr>
          <w:p w14:paraId="6DD27D25" w14:textId="56678F12"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948</w:t>
            </w:r>
          </w:p>
        </w:tc>
        <w:tc>
          <w:tcPr>
            <w:tcW w:w="1330" w:type="dxa"/>
            <w:tcBorders>
              <w:top w:val="nil"/>
              <w:left w:val="nil"/>
              <w:bottom w:val="single" w:sz="4" w:space="0" w:color="A6A6A6"/>
              <w:right w:val="single" w:sz="4" w:space="0" w:color="A6A6A6"/>
            </w:tcBorders>
            <w:shd w:val="clear" w:color="auto" w:fill="auto"/>
            <w:noWrap/>
            <w:vAlign w:val="center"/>
          </w:tcPr>
          <w:p w14:paraId="3F17F192" w14:textId="5DE88359"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339</w:t>
            </w:r>
          </w:p>
        </w:tc>
        <w:tc>
          <w:tcPr>
            <w:tcW w:w="1331" w:type="dxa"/>
            <w:tcBorders>
              <w:top w:val="nil"/>
              <w:left w:val="nil"/>
              <w:bottom w:val="single" w:sz="4" w:space="0" w:color="A6A6A6"/>
              <w:right w:val="single" w:sz="4" w:space="0" w:color="A6A6A6"/>
            </w:tcBorders>
            <w:shd w:val="clear" w:color="auto" w:fill="auto"/>
            <w:noWrap/>
            <w:vAlign w:val="center"/>
          </w:tcPr>
          <w:p w14:paraId="149B5512" w14:textId="3C03D70E"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249</w:t>
            </w:r>
          </w:p>
        </w:tc>
        <w:tc>
          <w:tcPr>
            <w:tcW w:w="1331" w:type="dxa"/>
            <w:tcBorders>
              <w:top w:val="nil"/>
              <w:left w:val="nil"/>
              <w:bottom w:val="single" w:sz="4" w:space="0" w:color="A6A6A6"/>
              <w:right w:val="single" w:sz="4" w:space="0" w:color="A6A6A6"/>
            </w:tcBorders>
            <w:shd w:val="clear" w:color="auto" w:fill="auto"/>
            <w:noWrap/>
            <w:vAlign w:val="center"/>
          </w:tcPr>
          <w:p w14:paraId="261B3DA7" w14:textId="7A5E193C"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588</w:t>
            </w:r>
          </w:p>
        </w:tc>
        <w:tc>
          <w:tcPr>
            <w:tcW w:w="1330" w:type="dxa"/>
            <w:tcBorders>
              <w:top w:val="nil"/>
              <w:left w:val="nil"/>
              <w:bottom w:val="single" w:sz="4" w:space="0" w:color="A6A6A6"/>
              <w:right w:val="single" w:sz="4" w:space="0" w:color="A6A6A6"/>
            </w:tcBorders>
            <w:shd w:val="clear" w:color="auto" w:fill="auto"/>
            <w:noWrap/>
            <w:vAlign w:val="center"/>
          </w:tcPr>
          <w:p w14:paraId="7E18E64A" w14:textId="06FB1B3F"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929</w:t>
            </w:r>
          </w:p>
        </w:tc>
        <w:tc>
          <w:tcPr>
            <w:tcW w:w="1331" w:type="dxa"/>
            <w:tcBorders>
              <w:top w:val="nil"/>
              <w:left w:val="nil"/>
              <w:bottom w:val="single" w:sz="4" w:space="0" w:color="A6A6A6"/>
              <w:right w:val="single" w:sz="4" w:space="0" w:color="A6A6A6"/>
            </w:tcBorders>
            <w:shd w:val="clear" w:color="auto" w:fill="auto"/>
            <w:noWrap/>
            <w:vAlign w:val="center"/>
          </w:tcPr>
          <w:p w14:paraId="1C478EAF" w14:textId="6A50EA85"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607</w:t>
            </w:r>
          </w:p>
        </w:tc>
        <w:tc>
          <w:tcPr>
            <w:tcW w:w="1331" w:type="dxa"/>
            <w:tcBorders>
              <w:top w:val="nil"/>
              <w:left w:val="nil"/>
              <w:bottom w:val="single" w:sz="4" w:space="0" w:color="A6A6A6"/>
              <w:right w:val="single" w:sz="4" w:space="0" w:color="A6A6A6"/>
            </w:tcBorders>
            <w:shd w:val="clear" w:color="auto" w:fill="auto"/>
            <w:noWrap/>
            <w:vAlign w:val="center"/>
          </w:tcPr>
          <w:p w14:paraId="00399556" w14:textId="3D41D7B8"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1.536</w:t>
            </w:r>
          </w:p>
        </w:tc>
      </w:tr>
      <w:tr w:rsidR="00F172CF" w:rsidRPr="00B26E5C" w14:paraId="7F0A1CAB" w14:textId="77777777" w:rsidTr="005C499D">
        <w:trPr>
          <w:trHeight w:val="737"/>
        </w:trPr>
        <w:tc>
          <w:tcPr>
            <w:tcW w:w="2016" w:type="dxa"/>
            <w:tcBorders>
              <w:top w:val="nil"/>
              <w:left w:val="single" w:sz="4" w:space="0" w:color="A6A6A6"/>
              <w:bottom w:val="single" w:sz="4" w:space="0" w:color="A6A6A6"/>
              <w:right w:val="single" w:sz="4" w:space="0" w:color="A6A6A6"/>
            </w:tcBorders>
            <w:shd w:val="clear" w:color="auto" w:fill="auto"/>
            <w:vAlign w:val="center"/>
          </w:tcPr>
          <w:p w14:paraId="1B8CF868" w14:textId="21FD7ACC" w:rsidR="00F172CF" w:rsidRPr="00B26E5C" w:rsidRDefault="00F172CF" w:rsidP="00F172CF">
            <w:pPr>
              <w:spacing w:line="240" w:lineRule="auto"/>
              <w:jc w:val="left"/>
              <w:rPr>
                <w:rFonts w:eastAsia="Times New Roman"/>
                <w:color w:val="000000"/>
                <w:sz w:val="22"/>
                <w:szCs w:val="22"/>
                <w:lang w:eastAsia="hr-HR"/>
              </w:rPr>
            </w:pPr>
            <w:r>
              <w:rPr>
                <w:color w:val="000000"/>
                <w:sz w:val="22"/>
                <w:szCs w:val="22"/>
              </w:rPr>
              <w:t>Ostalo</w:t>
            </w:r>
          </w:p>
        </w:tc>
        <w:tc>
          <w:tcPr>
            <w:tcW w:w="1330" w:type="dxa"/>
            <w:tcBorders>
              <w:top w:val="nil"/>
              <w:left w:val="nil"/>
              <w:bottom w:val="single" w:sz="4" w:space="0" w:color="A6A6A6"/>
              <w:right w:val="single" w:sz="4" w:space="0" w:color="A6A6A6"/>
            </w:tcBorders>
            <w:shd w:val="clear" w:color="auto" w:fill="auto"/>
            <w:noWrap/>
            <w:vAlign w:val="center"/>
          </w:tcPr>
          <w:p w14:paraId="0A2272B8" w14:textId="145CAC7E"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128</w:t>
            </w:r>
          </w:p>
        </w:tc>
        <w:tc>
          <w:tcPr>
            <w:tcW w:w="1331" w:type="dxa"/>
            <w:tcBorders>
              <w:top w:val="nil"/>
              <w:left w:val="nil"/>
              <w:bottom w:val="single" w:sz="4" w:space="0" w:color="A6A6A6"/>
              <w:right w:val="single" w:sz="4" w:space="0" w:color="A6A6A6"/>
            </w:tcBorders>
            <w:shd w:val="clear" w:color="auto" w:fill="auto"/>
            <w:noWrap/>
            <w:vAlign w:val="center"/>
          </w:tcPr>
          <w:p w14:paraId="6697B483" w14:textId="42522315"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414</w:t>
            </w:r>
          </w:p>
        </w:tc>
        <w:tc>
          <w:tcPr>
            <w:tcW w:w="1331" w:type="dxa"/>
            <w:tcBorders>
              <w:top w:val="nil"/>
              <w:left w:val="nil"/>
              <w:bottom w:val="single" w:sz="4" w:space="0" w:color="A6A6A6"/>
              <w:right w:val="single" w:sz="4" w:space="0" w:color="A6A6A6"/>
            </w:tcBorders>
            <w:shd w:val="clear" w:color="auto" w:fill="auto"/>
            <w:noWrap/>
            <w:vAlign w:val="center"/>
          </w:tcPr>
          <w:p w14:paraId="64F50437" w14:textId="6418B724"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542</w:t>
            </w:r>
          </w:p>
        </w:tc>
        <w:tc>
          <w:tcPr>
            <w:tcW w:w="1330" w:type="dxa"/>
            <w:tcBorders>
              <w:top w:val="nil"/>
              <w:left w:val="nil"/>
              <w:bottom w:val="single" w:sz="4" w:space="0" w:color="A6A6A6"/>
              <w:right w:val="single" w:sz="4" w:space="0" w:color="A6A6A6"/>
            </w:tcBorders>
            <w:shd w:val="clear" w:color="auto" w:fill="auto"/>
            <w:noWrap/>
            <w:vAlign w:val="center"/>
          </w:tcPr>
          <w:p w14:paraId="26AFB123" w14:textId="2336CA1B"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0</w:t>
            </w:r>
          </w:p>
        </w:tc>
        <w:tc>
          <w:tcPr>
            <w:tcW w:w="1331" w:type="dxa"/>
            <w:tcBorders>
              <w:top w:val="nil"/>
              <w:left w:val="nil"/>
              <w:bottom w:val="single" w:sz="4" w:space="0" w:color="A6A6A6"/>
              <w:right w:val="single" w:sz="4" w:space="0" w:color="A6A6A6"/>
            </w:tcBorders>
            <w:shd w:val="clear" w:color="auto" w:fill="auto"/>
            <w:noWrap/>
            <w:vAlign w:val="center"/>
          </w:tcPr>
          <w:p w14:paraId="3D2B488F" w14:textId="07F4221D"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4</w:t>
            </w:r>
          </w:p>
        </w:tc>
        <w:tc>
          <w:tcPr>
            <w:tcW w:w="1331" w:type="dxa"/>
            <w:tcBorders>
              <w:top w:val="nil"/>
              <w:left w:val="nil"/>
              <w:bottom w:val="single" w:sz="4" w:space="0" w:color="A6A6A6"/>
              <w:right w:val="single" w:sz="4" w:space="0" w:color="A6A6A6"/>
            </w:tcBorders>
            <w:shd w:val="clear" w:color="auto" w:fill="auto"/>
            <w:noWrap/>
            <w:vAlign w:val="center"/>
          </w:tcPr>
          <w:p w14:paraId="408B5C4F" w14:textId="3BCD5DC5" w:rsidR="00F172CF" w:rsidRPr="00B26E5C" w:rsidRDefault="00F172CF" w:rsidP="00F172CF">
            <w:pPr>
              <w:spacing w:line="240" w:lineRule="auto"/>
              <w:jc w:val="center"/>
              <w:rPr>
                <w:rFonts w:eastAsia="Times New Roman"/>
                <w:color w:val="000000"/>
                <w:sz w:val="22"/>
                <w:szCs w:val="22"/>
                <w:lang w:eastAsia="hr-HR"/>
              </w:rPr>
            </w:pPr>
            <w:r>
              <w:rPr>
                <w:color w:val="000000"/>
                <w:sz w:val="22"/>
                <w:szCs w:val="22"/>
              </w:rPr>
              <w:t>4</w:t>
            </w:r>
          </w:p>
        </w:tc>
        <w:tc>
          <w:tcPr>
            <w:tcW w:w="1330" w:type="dxa"/>
            <w:tcBorders>
              <w:top w:val="nil"/>
              <w:left w:val="nil"/>
              <w:bottom w:val="single" w:sz="4" w:space="0" w:color="A6A6A6"/>
              <w:right w:val="single" w:sz="4" w:space="0" w:color="A6A6A6"/>
            </w:tcBorders>
            <w:shd w:val="clear" w:color="auto" w:fill="auto"/>
            <w:noWrap/>
            <w:vAlign w:val="center"/>
          </w:tcPr>
          <w:p w14:paraId="3D610BAE" w14:textId="509320FD"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128</w:t>
            </w:r>
          </w:p>
        </w:tc>
        <w:tc>
          <w:tcPr>
            <w:tcW w:w="1331" w:type="dxa"/>
            <w:tcBorders>
              <w:top w:val="nil"/>
              <w:left w:val="nil"/>
              <w:bottom w:val="single" w:sz="4" w:space="0" w:color="A6A6A6"/>
              <w:right w:val="single" w:sz="4" w:space="0" w:color="A6A6A6"/>
            </w:tcBorders>
            <w:shd w:val="clear" w:color="auto" w:fill="auto"/>
            <w:noWrap/>
            <w:vAlign w:val="center"/>
          </w:tcPr>
          <w:p w14:paraId="4F09E8E7" w14:textId="37655C42"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418</w:t>
            </w:r>
          </w:p>
        </w:tc>
        <w:tc>
          <w:tcPr>
            <w:tcW w:w="1331" w:type="dxa"/>
            <w:tcBorders>
              <w:top w:val="nil"/>
              <w:left w:val="nil"/>
              <w:bottom w:val="single" w:sz="4" w:space="0" w:color="A6A6A6"/>
              <w:right w:val="single" w:sz="4" w:space="0" w:color="A6A6A6"/>
            </w:tcBorders>
            <w:shd w:val="clear" w:color="auto" w:fill="auto"/>
            <w:noWrap/>
            <w:vAlign w:val="center"/>
          </w:tcPr>
          <w:p w14:paraId="4A38C5D3" w14:textId="46911B5B" w:rsidR="00F172CF" w:rsidRPr="00B26E5C" w:rsidRDefault="00F172CF" w:rsidP="00F172CF">
            <w:pPr>
              <w:spacing w:line="240" w:lineRule="auto"/>
              <w:jc w:val="center"/>
              <w:rPr>
                <w:rFonts w:eastAsia="Times New Roman"/>
                <w:i/>
                <w:iCs/>
                <w:color w:val="000000"/>
                <w:sz w:val="22"/>
                <w:szCs w:val="22"/>
                <w:lang w:eastAsia="hr-HR"/>
              </w:rPr>
            </w:pPr>
            <w:r>
              <w:rPr>
                <w:color w:val="000000"/>
                <w:sz w:val="22"/>
                <w:szCs w:val="22"/>
              </w:rPr>
              <w:t>546</w:t>
            </w:r>
          </w:p>
        </w:tc>
      </w:tr>
      <w:tr w:rsidR="00F172CF" w:rsidRPr="00B26E5C" w14:paraId="001399B2" w14:textId="77777777" w:rsidTr="005C499D">
        <w:trPr>
          <w:trHeight w:val="737"/>
        </w:trPr>
        <w:tc>
          <w:tcPr>
            <w:tcW w:w="2016" w:type="dxa"/>
            <w:tcBorders>
              <w:top w:val="nil"/>
              <w:left w:val="single" w:sz="4" w:space="0" w:color="A6A6A6"/>
              <w:bottom w:val="single" w:sz="4" w:space="0" w:color="A6A6A6"/>
              <w:right w:val="single" w:sz="4" w:space="0" w:color="A6A6A6"/>
            </w:tcBorders>
            <w:shd w:val="clear" w:color="auto" w:fill="auto"/>
            <w:vAlign w:val="center"/>
          </w:tcPr>
          <w:p w14:paraId="6E9B77D7" w14:textId="1734F569" w:rsidR="00F172CF" w:rsidDel="004328D1" w:rsidRDefault="00F172CF" w:rsidP="00F172CF">
            <w:pPr>
              <w:spacing w:line="240" w:lineRule="auto"/>
              <w:jc w:val="left"/>
              <w:rPr>
                <w:color w:val="000000"/>
                <w:sz w:val="22"/>
                <w:szCs w:val="22"/>
              </w:rPr>
            </w:pPr>
            <w:r w:rsidRPr="00C46316">
              <w:rPr>
                <w:color w:val="000000"/>
                <w:sz w:val="22"/>
                <w:szCs w:val="22"/>
              </w:rPr>
              <w:t>Stambeno zbrinjavanje</w:t>
            </w:r>
          </w:p>
        </w:tc>
        <w:tc>
          <w:tcPr>
            <w:tcW w:w="1330" w:type="dxa"/>
            <w:tcBorders>
              <w:top w:val="nil"/>
              <w:left w:val="nil"/>
              <w:bottom w:val="single" w:sz="4" w:space="0" w:color="A6A6A6"/>
              <w:right w:val="single" w:sz="4" w:space="0" w:color="A6A6A6"/>
            </w:tcBorders>
            <w:shd w:val="clear" w:color="auto" w:fill="auto"/>
            <w:noWrap/>
            <w:vAlign w:val="center"/>
          </w:tcPr>
          <w:p w14:paraId="5D517747" w14:textId="1AE281F1" w:rsidR="00F172CF" w:rsidRDefault="00F172CF" w:rsidP="00F172CF">
            <w:pPr>
              <w:spacing w:line="240" w:lineRule="auto"/>
              <w:jc w:val="center"/>
              <w:rPr>
                <w:color w:val="000000"/>
                <w:sz w:val="22"/>
                <w:szCs w:val="22"/>
              </w:rPr>
            </w:pPr>
            <w:r>
              <w:rPr>
                <w:color w:val="000000"/>
                <w:sz w:val="22"/>
                <w:szCs w:val="22"/>
              </w:rPr>
              <w:t> </w:t>
            </w:r>
          </w:p>
        </w:tc>
        <w:tc>
          <w:tcPr>
            <w:tcW w:w="1331" w:type="dxa"/>
            <w:tcBorders>
              <w:top w:val="nil"/>
              <w:left w:val="nil"/>
              <w:bottom w:val="single" w:sz="4" w:space="0" w:color="A6A6A6"/>
              <w:right w:val="single" w:sz="4" w:space="0" w:color="A6A6A6"/>
            </w:tcBorders>
            <w:shd w:val="clear" w:color="auto" w:fill="auto"/>
            <w:noWrap/>
            <w:vAlign w:val="center"/>
          </w:tcPr>
          <w:p w14:paraId="1959C885" w14:textId="7E9FBB23" w:rsidR="00F172CF" w:rsidRDefault="00F172CF" w:rsidP="00F172CF">
            <w:pPr>
              <w:spacing w:line="240" w:lineRule="auto"/>
              <w:jc w:val="center"/>
              <w:rPr>
                <w:color w:val="000000"/>
                <w:sz w:val="22"/>
                <w:szCs w:val="22"/>
              </w:rPr>
            </w:pPr>
            <w:r>
              <w:rPr>
                <w:color w:val="000000"/>
                <w:sz w:val="22"/>
                <w:szCs w:val="22"/>
              </w:rPr>
              <w:t>2</w:t>
            </w:r>
          </w:p>
        </w:tc>
        <w:tc>
          <w:tcPr>
            <w:tcW w:w="1331" w:type="dxa"/>
            <w:tcBorders>
              <w:top w:val="nil"/>
              <w:left w:val="nil"/>
              <w:bottom w:val="single" w:sz="4" w:space="0" w:color="A6A6A6"/>
              <w:right w:val="single" w:sz="4" w:space="0" w:color="A6A6A6"/>
            </w:tcBorders>
            <w:shd w:val="clear" w:color="auto" w:fill="auto"/>
            <w:noWrap/>
            <w:vAlign w:val="center"/>
          </w:tcPr>
          <w:p w14:paraId="246E551C" w14:textId="50DB1D95" w:rsidR="00F172CF" w:rsidRDefault="00F172CF" w:rsidP="00F172CF">
            <w:pPr>
              <w:spacing w:line="240" w:lineRule="auto"/>
              <w:jc w:val="center"/>
              <w:rPr>
                <w:color w:val="000000"/>
                <w:sz w:val="22"/>
                <w:szCs w:val="22"/>
              </w:rPr>
            </w:pPr>
            <w:r>
              <w:rPr>
                <w:color w:val="000000"/>
                <w:sz w:val="22"/>
                <w:szCs w:val="22"/>
              </w:rPr>
              <w:t>2</w:t>
            </w:r>
          </w:p>
        </w:tc>
        <w:tc>
          <w:tcPr>
            <w:tcW w:w="1330" w:type="dxa"/>
            <w:tcBorders>
              <w:top w:val="nil"/>
              <w:left w:val="nil"/>
              <w:bottom w:val="single" w:sz="4" w:space="0" w:color="A6A6A6"/>
              <w:right w:val="single" w:sz="4" w:space="0" w:color="A6A6A6"/>
            </w:tcBorders>
            <w:shd w:val="clear" w:color="auto" w:fill="auto"/>
            <w:noWrap/>
            <w:vAlign w:val="center"/>
          </w:tcPr>
          <w:p w14:paraId="37C3CEE4" w14:textId="010ABE51" w:rsidR="00F172CF" w:rsidRDefault="00F172CF" w:rsidP="00F172CF">
            <w:pPr>
              <w:spacing w:line="240" w:lineRule="auto"/>
              <w:jc w:val="center"/>
              <w:rPr>
                <w:color w:val="000000"/>
                <w:sz w:val="22"/>
                <w:szCs w:val="22"/>
              </w:rPr>
            </w:pPr>
            <w:r>
              <w:rPr>
                <w:color w:val="000000"/>
                <w:sz w:val="22"/>
                <w:szCs w:val="22"/>
              </w:rPr>
              <w:t>122</w:t>
            </w:r>
          </w:p>
        </w:tc>
        <w:tc>
          <w:tcPr>
            <w:tcW w:w="1331" w:type="dxa"/>
            <w:tcBorders>
              <w:top w:val="nil"/>
              <w:left w:val="nil"/>
              <w:bottom w:val="single" w:sz="4" w:space="0" w:color="A6A6A6"/>
              <w:right w:val="single" w:sz="4" w:space="0" w:color="A6A6A6"/>
            </w:tcBorders>
            <w:shd w:val="clear" w:color="auto" w:fill="auto"/>
            <w:noWrap/>
            <w:vAlign w:val="center"/>
          </w:tcPr>
          <w:p w14:paraId="6DE4D1C0" w14:textId="1433CD18" w:rsidR="00F172CF" w:rsidRDefault="00F172CF" w:rsidP="00F172CF">
            <w:pPr>
              <w:spacing w:line="240" w:lineRule="auto"/>
              <w:jc w:val="center"/>
              <w:rPr>
                <w:color w:val="000000"/>
                <w:sz w:val="22"/>
                <w:szCs w:val="22"/>
              </w:rPr>
            </w:pPr>
            <w:r>
              <w:rPr>
                <w:color w:val="000000"/>
                <w:sz w:val="22"/>
                <w:szCs w:val="22"/>
              </w:rPr>
              <w:t>50</w:t>
            </w:r>
          </w:p>
        </w:tc>
        <w:tc>
          <w:tcPr>
            <w:tcW w:w="1331" w:type="dxa"/>
            <w:tcBorders>
              <w:top w:val="nil"/>
              <w:left w:val="nil"/>
              <w:bottom w:val="single" w:sz="4" w:space="0" w:color="A6A6A6"/>
              <w:right w:val="single" w:sz="4" w:space="0" w:color="A6A6A6"/>
            </w:tcBorders>
            <w:shd w:val="clear" w:color="auto" w:fill="auto"/>
            <w:noWrap/>
            <w:vAlign w:val="center"/>
          </w:tcPr>
          <w:p w14:paraId="7E4F932E" w14:textId="224FD6E2" w:rsidR="00F172CF" w:rsidRDefault="00F172CF" w:rsidP="00F172CF">
            <w:pPr>
              <w:spacing w:line="240" w:lineRule="auto"/>
              <w:jc w:val="center"/>
              <w:rPr>
                <w:color w:val="000000"/>
                <w:sz w:val="22"/>
                <w:szCs w:val="22"/>
              </w:rPr>
            </w:pPr>
            <w:r>
              <w:rPr>
                <w:color w:val="000000"/>
                <w:sz w:val="22"/>
                <w:szCs w:val="22"/>
              </w:rPr>
              <w:t>172</w:t>
            </w:r>
          </w:p>
        </w:tc>
        <w:tc>
          <w:tcPr>
            <w:tcW w:w="1330" w:type="dxa"/>
            <w:tcBorders>
              <w:top w:val="nil"/>
              <w:left w:val="nil"/>
              <w:bottom w:val="single" w:sz="4" w:space="0" w:color="A6A6A6"/>
              <w:right w:val="single" w:sz="4" w:space="0" w:color="A6A6A6"/>
            </w:tcBorders>
            <w:shd w:val="clear" w:color="auto" w:fill="auto"/>
            <w:noWrap/>
            <w:vAlign w:val="center"/>
          </w:tcPr>
          <w:p w14:paraId="4DCE4339" w14:textId="6BF34DD0" w:rsidR="00F172CF" w:rsidRDefault="00F172CF" w:rsidP="00F172CF">
            <w:pPr>
              <w:spacing w:line="240" w:lineRule="auto"/>
              <w:jc w:val="center"/>
              <w:rPr>
                <w:color w:val="000000"/>
                <w:sz w:val="22"/>
                <w:szCs w:val="22"/>
              </w:rPr>
            </w:pPr>
            <w:r>
              <w:rPr>
                <w:color w:val="000000"/>
                <w:sz w:val="22"/>
                <w:szCs w:val="22"/>
              </w:rPr>
              <w:t>122</w:t>
            </w:r>
          </w:p>
        </w:tc>
        <w:tc>
          <w:tcPr>
            <w:tcW w:w="1331" w:type="dxa"/>
            <w:tcBorders>
              <w:top w:val="nil"/>
              <w:left w:val="nil"/>
              <w:bottom w:val="single" w:sz="4" w:space="0" w:color="A6A6A6"/>
              <w:right w:val="single" w:sz="4" w:space="0" w:color="A6A6A6"/>
            </w:tcBorders>
            <w:shd w:val="clear" w:color="auto" w:fill="auto"/>
            <w:noWrap/>
            <w:vAlign w:val="center"/>
          </w:tcPr>
          <w:p w14:paraId="7CF5B0C1" w14:textId="6FFD2579" w:rsidR="00F172CF" w:rsidRDefault="00F172CF" w:rsidP="00F172CF">
            <w:pPr>
              <w:spacing w:line="240" w:lineRule="auto"/>
              <w:jc w:val="center"/>
              <w:rPr>
                <w:color w:val="000000"/>
                <w:sz w:val="22"/>
                <w:szCs w:val="22"/>
              </w:rPr>
            </w:pPr>
            <w:r>
              <w:rPr>
                <w:color w:val="000000"/>
                <w:sz w:val="22"/>
                <w:szCs w:val="22"/>
              </w:rPr>
              <w:t>52</w:t>
            </w:r>
          </w:p>
        </w:tc>
        <w:tc>
          <w:tcPr>
            <w:tcW w:w="1331" w:type="dxa"/>
            <w:tcBorders>
              <w:top w:val="nil"/>
              <w:left w:val="nil"/>
              <w:bottom w:val="single" w:sz="4" w:space="0" w:color="A6A6A6"/>
              <w:right w:val="single" w:sz="4" w:space="0" w:color="A6A6A6"/>
            </w:tcBorders>
            <w:shd w:val="clear" w:color="auto" w:fill="auto"/>
            <w:noWrap/>
            <w:vAlign w:val="center"/>
          </w:tcPr>
          <w:p w14:paraId="788ACE27" w14:textId="5D9393C2" w:rsidR="00F172CF" w:rsidRDefault="00F172CF" w:rsidP="00F172CF">
            <w:pPr>
              <w:spacing w:line="240" w:lineRule="auto"/>
              <w:jc w:val="center"/>
              <w:rPr>
                <w:color w:val="000000"/>
                <w:sz w:val="22"/>
                <w:szCs w:val="22"/>
              </w:rPr>
            </w:pPr>
            <w:r>
              <w:rPr>
                <w:color w:val="000000"/>
                <w:sz w:val="22"/>
                <w:szCs w:val="22"/>
              </w:rPr>
              <w:t>174</w:t>
            </w:r>
          </w:p>
        </w:tc>
      </w:tr>
      <w:tr w:rsidR="00F172CF" w:rsidRPr="00B26E5C" w14:paraId="25EA1A2F" w14:textId="77777777" w:rsidTr="005C499D">
        <w:trPr>
          <w:trHeight w:val="737"/>
        </w:trPr>
        <w:tc>
          <w:tcPr>
            <w:tcW w:w="2016" w:type="dxa"/>
            <w:tcBorders>
              <w:top w:val="nil"/>
              <w:left w:val="single" w:sz="4" w:space="0" w:color="A6A6A6"/>
              <w:bottom w:val="single" w:sz="4" w:space="0" w:color="A6A6A6"/>
              <w:right w:val="single" w:sz="4" w:space="0" w:color="A6A6A6"/>
            </w:tcBorders>
            <w:shd w:val="clear" w:color="000000" w:fill="002060"/>
            <w:noWrap/>
            <w:vAlign w:val="center"/>
            <w:hideMark/>
          </w:tcPr>
          <w:p w14:paraId="41C2C833" w14:textId="77777777" w:rsidR="00F172CF" w:rsidRPr="00B26E5C" w:rsidRDefault="00F172CF" w:rsidP="00F172CF">
            <w:pPr>
              <w:spacing w:line="240" w:lineRule="auto"/>
              <w:jc w:val="left"/>
              <w:rPr>
                <w:rFonts w:eastAsia="Times New Roman"/>
                <w:color w:val="FFFFFF"/>
                <w:sz w:val="22"/>
                <w:szCs w:val="22"/>
                <w:lang w:eastAsia="hr-HR"/>
              </w:rPr>
            </w:pPr>
            <w:r w:rsidRPr="00B26E5C">
              <w:rPr>
                <w:rFonts w:eastAsia="Times New Roman"/>
                <w:color w:val="FFFFFF"/>
                <w:sz w:val="22"/>
                <w:szCs w:val="22"/>
                <w:lang w:eastAsia="hr-HR"/>
              </w:rPr>
              <w:t>UKUPNO</w:t>
            </w:r>
          </w:p>
        </w:tc>
        <w:tc>
          <w:tcPr>
            <w:tcW w:w="1330" w:type="dxa"/>
            <w:tcBorders>
              <w:top w:val="nil"/>
              <w:left w:val="nil"/>
              <w:bottom w:val="single" w:sz="4" w:space="0" w:color="A6A6A6"/>
              <w:right w:val="single" w:sz="4" w:space="0" w:color="A6A6A6"/>
            </w:tcBorders>
            <w:shd w:val="clear" w:color="000000" w:fill="002060"/>
            <w:noWrap/>
            <w:vAlign w:val="center"/>
            <w:hideMark/>
          </w:tcPr>
          <w:p w14:paraId="688730B4" w14:textId="39C5CAAF"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13.087</w:t>
            </w:r>
          </w:p>
        </w:tc>
        <w:tc>
          <w:tcPr>
            <w:tcW w:w="1331" w:type="dxa"/>
            <w:tcBorders>
              <w:top w:val="nil"/>
              <w:left w:val="nil"/>
              <w:bottom w:val="single" w:sz="4" w:space="0" w:color="A6A6A6"/>
              <w:right w:val="single" w:sz="4" w:space="0" w:color="A6A6A6"/>
            </w:tcBorders>
            <w:shd w:val="clear" w:color="000000" w:fill="002060"/>
            <w:noWrap/>
            <w:vAlign w:val="center"/>
            <w:hideMark/>
          </w:tcPr>
          <w:p w14:paraId="256463FA" w14:textId="73FD5BDC"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4.440</w:t>
            </w:r>
          </w:p>
        </w:tc>
        <w:tc>
          <w:tcPr>
            <w:tcW w:w="1331" w:type="dxa"/>
            <w:tcBorders>
              <w:top w:val="nil"/>
              <w:left w:val="nil"/>
              <w:bottom w:val="single" w:sz="4" w:space="0" w:color="A6A6A6"/>
              <w:right w:val="single" w:sz="4" w:space="0" w:color="A6A6A6"/>
            </w:tcBorders>
            <w:shd w:val="clear" w:color="000000" w:fill="002060"/>
            <w:noWrap/>
            <w:vAlign w:val="center"/>
            <w:hideMark/>
          </w:tcPr>
          <w:p w14:paraId="175C2798" w14:textId="59BA0147"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17.527</w:t>
            </w:r>
          </w:p>
        </w:tc>
        <w:tc>
          <w:tcPr>
            <w:tcW w:w="1330" w:type="dxa"/>
            <w:tcBorders>
              <w:top w:val="nil"/>
              <w:left w:val="nil"/>
              <w:bottom w:val="single" w:sz="4" w:space="0" w:color="A6A6A6"/>
              <w:right w:val="single" w:sz="4" w:space="0" w:color="A6A6A6"/>
            </w:tcBorders>
            <w:shd w:val="clear" w:color="000000" w:fill="002060"/>
            <w:noWrap/>
            <w:vAlign w:val="center"/>
            <w:hideMark/>
          </w:tcPr>
          <w:p w14:paraId="4567A76B" w14:textId="4FCFF275"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4.803</w:t>
            </w:r>
          </w:p>
        </w:tc>
        <w:tc>
          <w:tcPr>
            <w:tcW w:w="1331" w:type="dxa"/>
            <w:tcBorders>
              <w:top w:val="nil"/>
              <w:left w:val="nil"/>
              <w:bottom w:val="single" w:sz="4" w:space="0" w:color="A6A6A6"/>
              <w:right w:val="single" w:sz="4" w:space="0" w:color="A6A6A6"/>
            </w:tcBorders>
            <w:shd w:val="clear" w:color="000000" w:fill="002060"/>
            <w:noWrap/>
            <w:vAlign w:val="center"/>
            <w:hideMark/>
          </w:tcPr>
          <w:p w14:paraId="348E8C5D" w14:textId="77956165"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2.308</w:t>
            </w:r>
          </w:p>
        </w:tc>
        <w:tc>
          <w:tcPr>
            <w:tcW w:w="1331" w:type="dxa"/>
            <w:tcBorders>
              <w:top w:val="nil"/>
              <w:left w:val="nil"/>
              <w:bottom w:val="single" w:sz="4" w:space="0" w:color="A6A6A6"/>
              <w:right w:val="single" w:sz="4" w:space="0" w:color="A6A6A6"/>
            </w:tcBorders>
            <w:shd w:val="clear" w:color="000000" w:fill="002060"/>
            <w:noWrap/>
            <w:vAlign w:val="center"/>
            <w:hideMark/>
          </w:tcPr>
          <w:p w14:paraId="5BAB931E" w14:textId="38C6594D"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7.111</w:t>
            </w:r>
          </w:p>
        </w:tc>
        <w:tc>
          <w:tcPr>
            <w:tcW w:w="1330" w:type="dxa"/>
            <w:tcBorders>
              <w:top w:val="nil"/>
              <w:left w:val="nil"/>
              <w:bottom w:val="single" w:sz="4" w:space="0" w:color="A6A6A6"/>
              <w:right w:val="single" w:sz="4" w:space="0" w:color="A6A6A6"/>
            </w:tcBorders>
            <w:shd w:val="clear" w:color="000000" w:fill="002060"/>
            <w:noWrap/>
            <w:vAlign w:val="center"/>
            <w:hideMark/>
          </w:tcPr>
          <w:p w14:paraId="6037BCBD" w14:textId="2C5CB152"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17.890</w:t>
            </w:r>
          </w:p>
        </w:tc>
        <w:tc>
          <w:tcPr>
            <w:tcW w:w="1331" w:type="dxa"/>
            <w:tcBorders>
              <w:top w:val="nil"/>
              <w:left w:val="nil"/>
              <w:bottom w:val="single" w:sz="4" w:space="0" w:color="A6A6A6"/>
              <w:right w:val="single" w:sz="4" w:space="0" w:color="A6A6A6"/>
            </w:tcBorders>
            <w:shd w:val="clear" w:color="000000" w:fill="002060"/>
            <w:noWrap/>
            <w:vAlign w:val="center"/>
            <w:hideMark/>
          </w:tcPr>
          <w:p w14:paraId="55508C81" w14:textId="7B0B622A"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6.748</w:t>
            </w:r>
          </w:p>
        </w:tc>
        <w:tc>
          <w:tcPr>
            <w:tcW w:w="1331" w:type="dxa"/>
            <w:tcBorders>
              <w:top w:val="nil"/>
              <w:left w:val="nil"/>
              <w:bottom w:val="single" w:sz="4" w:space="0" w:color="A6A6A6"/>
              <w:right w:val="single" w:sz="4" w:space="0" w:color="A6A6A6"/>
            </w:tcBorders>
            <w:shd w:val="clear" w:color="000000" w:fill="002060"/>
            <w:noWrap/>
            <w:vAlign w:val="center"/>
            <w:hideMark/>
          </w:tcPr>
          <w:p w14:paraId="0E2B15A5" w14:textId="7EC1DB1E" w:rsidR="00F172CF" w:rsidRPr="00B26E5C" w:rsidRDefault="00F172CF" w:rsidP="00F172CF">
            <w:pPr>
              <w:spacing w:line="240" w:lineRule="auto"/>
              <w:jc w:val="center"/>
              <w:rPr>
                <w:rFonts w:eastAsia="Times New Roman"/>
                <w:color w:val="FFFFFF"/>
                <w:sz w:val="22"/>
                <w:szCs w:val="22"/>
                <w:lang w:eastAsia="hr-HR"/>
              </w:rPr>
            </w:pPr>
            <w:r>
              <w:rPr>
                <w:color w:val="FFFFFF"/>
                <w:sz w:val="22"/>
                <w:szCs w:val="22"/>
              </w:rPr>
              <w:t>24.638</w:t>
            </w:r>
          </w:p>
        </w:tc>
      </w:tr>
    </w:tbl>
    <w:p w14:paraId="56CF20F8" w14:textId="77777777" w:rsidR="005E1B38" w:rsidRDefault="005E1B38" w:rsidP="007E4FCE">
      <w:pPr>
        <w:rPr>
          <w:i/>
          <w:iCs/>
        </w:rPr>
        <w:sectPr w:rsidR="005E1B38" w:rsidSect="006F2AB1">
          <w:pgSz w:w="16838" w:h="11906" w:orient="landscape"/>
          <w:pgMar w:top="1418" w:right="1418" w:bottom="1418" w:left="1418" w:header="709" w:footer="709" w:gutter="0"/>
          <w:cols w:space="708"/>
          <w:titlePg/>
          <w:docGrid w:linePitch="360"/>
        </w:sectPr>
      </w:pPr>
    </w:p>
    <w:p w14:paraId="12E6D3C1" w14:textId="6BE173D9" w:rsidR="00065F5D" w:rsidRDefault="00D73959" w:rsidP="00F4045F">
      <w:pPr>
        <w:pStyle w:val="Heading2"/>
      </w:pPr>
      <w:bookmarkStart w:id="9" w:name="_Toc161040563"/>
      <w:bookmarkEnd w:id="8"/>
      <w:r>
        <w:lastRenderedPageBreak/>
        <w:t>PROVEDBA OBNOVE</w:t>
      </w:r>
      <w:bookmarkEnd w:id="9"/>
    </w:p>
    <w:p w14:paraId="14514642" w14:textId="77777777" w:rsidR="00C92BF4" w:rsidRPr="00C92BF4" w:rsidRDefault="00C92BF4" w:rsidP="00C92BF4"/>
    <w:p w14:paraId="0E98C5FF" w14:textId="0BBA3306" w:rsidR="00373BAA" w:rsidRDefault="005842A1" w:rsidP="00357453">
      <w:pPr>
        <w:spacing w:after="60"/>
      </w:pPr>
      <w:r w:rsidRPr="005842A1">
        <w:t>Zakon o ob</w:t>
      </w:r>
      <w:r w:rsidR="00BC7ABC">
        <w:t xml:space="preserve">novi poznaje dva oblika obnove: </w:t>
      </w:r>
      <w:r w:rsidRPr="005842A1">
        <w:t>organiziranu obnovu</w:t>
      </w:r>
      <w:r w:rsidR="00373BAA">
        <w:t xml:space="preserve"> i </w:t>
      </w:r>
      <w:r w:rsidR="00622FF8">
        <w:t xml:space="preserve">model </w:t>
      </w:r>
      <w:r w:rsidR="00373BAA">
        <w:t>novčane pomoći</w:t>
      </w:r>
      <w:r w:rsidR="00622FF8">
        <w:t xml:space="preserve"> tzv. samoobnovu</w:t>
      </w:r>
      <w:r w:rsidRPr="005842A1">
        <w:t xml:space="preserve">. </w:t>
      </w:r>
      <w:r w:rsidR="00373BAA">
        <w:t xml:space="preserve">U </w:t>
      </w:r>
      <w:r w:rsidR="005E214B">
        <w:t>organiziranoj obnovi, s</w:t>
      </w:r>
      <w:r w:rsidR="00373BAA" w:rsidRPr="00373BAA">
        <w:t xml:space="preserve">uvlasnici </w:t>
      </w:r>
      <w:r w:rsidR="00CA20C5">
        <w:t xml:space="preserve">(odnosno </w:t>
      </w:r>
      <w:r w:rsidR="00373BAA" w:rsidRPr="00373BAA">
        <w:t>upravitelj</w:t>
      </w:r>
      <w:r w:rsidR="00A41DE2">
        <w:t xml:space="preserve"> ili predstavnik suvlasnika</w:t>
      </w:r>
      <w:r w:rsidR="00373BAA" w:rsidRPr="00373BAA">
        <w:t xml:space="preserve">) podnose zahtjev Ministarstvu </w:t>
      </w:r>
      <w:r w:rsidR="007B456E">
        <w:t xml:space="preserve">koje donosi </w:t>
      </w:r>
      <w:r w:rsidR="00A41DE2">
        <w:t>Rješenje</w:t>
      </w:r>
      <w:r w:rsidR="003E71FF">
        <w:t xml:space="preserve">, </w:t>
      </w:r>
      <w:r w:rsidR="007B456E">
        <w:t>pokreće</w:t>
      </w:r>
      <w:r w:rsidR="003E71FF">
        <w:t xml:space="preserve"> i provodi</w:t>
      </w:r>
      <w:r w:rsidR="007B456E">
        <w:t xml:space="preserve"> obnovu. </w:t>
      </w:r>
      <w:r w:rsidR="00BA2A09">
        <w:t>S</w:t>
      </w:r>
      <w:r w:rsidR="00373BAA" w:rsidRPr="00373BAA">
        <w:t>udionici u gradnji biraju se kroz primjenu Zakona o javnoj nabavi</w:t>
      </w:r>
      <w:r w:rsidR="00BA2A09">
        <w:t xml:space="preserve">. </w:t>
      </w:r>
    </w:p>
    <w:p w14:paraId="1DE1448B" w14:textId="77777777" w:rsidR="00D54FEE" w:rsidRDefault="00D54FEE" w:rsidP="00357453">
      <w:pPr>
        <w:spacing w:after="60"/>
      </w:pPr>
    </w:p>
    <w:p w14:paraId="42473EED" w14:textId="33BA33DA" w:rsidR="003E71FF" w:rsidRDefault="00B142A0" w:rsidP="00214311">
      <w:pPr>
        <w:spacing w:after="60"/>
      </w:pPr>
      <w:r>
        <w:t>Model samoobnove (novčane pomoći)</w:t>
      </w:r>
      <w:r w:rsidR="0045016C">
        <w:t xml:space="preserve"> omogućuje </w:t>
      </w:r>
      <w:r w:rsidR="0021598F">
        <w:t xml:space="preserve">vlasnicima oštećenih nekretnina samostalno odlučivanje o </w:t>
      </w:r>
      <w:r w:rsidR="00867898">
        <w:t xml:space="preserve">ključnim koracima provedbenog procesa </w:t>
      </w:r>
      <w:r w:rsidR="0021598F">
        <w:t>obnov</w:t>
      </w:r>
      <w:r w:rsidR="00867898">
        <w:t xml:space="preserve">e tako što sami biraju projektanta, izvođača radova, nadzor, kao i razdoblje početka i završetka radova. </w:t>
      </w:r>
      <w:r w:rsidR="00910986">
        <w:t xml:space="preserve">Proces obnove po modelu samoobnove kontinuirano nadzire i prati Ministarstvo te odobrava isplatu </w:t>
      </w:r>
      <w:r w:rsidR="00C72154">
        <w:t>novčanih nakna</w:t>
      </w:r>
      <w:r w:rsidR="00D8169F">
        <w:t xml:space="preserve">da. </w:t>
      </w:r>
    </w:p>
    <w:p w14:paraId="523D859F" w14:textId="77777777" w:rsidR="00B424C5" w:rsidRDefault="00B424C5" w:rsidP="00214311">
      <w:pPr>
        <w:spacing w:after="60"/>
      </w:pPr>
    </w:p>
    <w:p w14:paraId="46597194" w14:textId="7F688F94" w:rsidR="00373BAA" w:rsidRDefault="00214311" w:rsidP="00214311">
      <w:pPr>
        <w:spacing w:after="60"/>
      </w:pPr>
      <w:r>
        <w:t xml:space="preserve">Novim Zakonom o obnovi zgrada oštećenih potresom model samoobnove dodatno je unaprijeđen te su njime omogućene pogodnosti za vlasnike nekretnina oštećenih u potresu koji se odluče za obnovu po </w:t>
      </w:r>
      <w:r w:rsidR="003E71FF">
        <w:t xml:space="preserve">ovom </w:t>
      </w:r>
      <w:r>
        <w:t>modelu. Trošak konstrukcijske obnove</w:t>
      </w:r>
      <w:r w:rsidR="00A41DE2">
        <w:t xml:space="preserve"> i trošak gradnje i uklanjanja </w:t>
      </w:r>
      <w:r>
        <w:t xml:space="preserve">država </w:t>
      </w:r>
      <w:r w:rsidR="003E71FF">
        <w:t>f</w:t>
      </w:r>
      <w:r>
        <w:t>inancira u stopostotnom iznosu na području na kojem je proglašena katastrofa, a na području prirodne nepogode država financira</w:t>
      </w:r>
      <w:r w:rsidR="003E71FF">
        <w:t xml:space="preserve"> </w:t>
      </w:r>
      <w:r>
        <w:t>80</w:t>
      </w:r>
      <w:r w:rsidR="008B3B64">
        <w:t xml:space="preserve"> %</w:t>
      </w:r>
      <w:r>
        <w:t xml:space="preserve"> konstrukcijske obnove, dok 20</w:t>
      </w:r>
      <w:r w:rsidR="008B3B64">
        <w:t xml:space="preserve"> %</w:t>
      </w:r>
      <w:r>
        <w:t xml:space="preserve"> financira Grad Zagreb, odnosno Krapinsko-zagorska županija. </w:t>
      </w:r>
    </w:p>
    <w:p w14:paraId="7317B5A3" w14:textId="77777777" w:rsidR="00D54FEE" w:rsidRDefault="00D54FEE" w:rsidP="00214311">
      <w:pPr>
        <w:spacing w:after="60"/>
      </w:pPr>
    </w:p>
    <w:p w14:paraId="48A20BB9" w14:textId="482620E0" w:rsidR="00B412DD" w:rsidRPr="00D54FEE" w:rsidRDefault="009B3E3C" w:rsidP="00357453">
      <w:pPr>
        <w:spacing w:after="60"/>
      </w:pPr>
      <w:r w:rsidRPr="00D54FEE">
        <w:t xml:space="preserve">Na dan </w:t>
      </w:r>
      <w:r w:rsidR="008B7703">
        <w:t>3</w:t>
      </w:r>
      <w:r w:rsidR="00226884">
        <w:t>1</w:t>
      </w:r>
      <w:r w:rsidR="008B7703">
        <w:t xml:space="preserve">. </w:t>
      </w:r>
      <w:r w:rsidR="00226884">
        <w:t xml:space="preserve">prosinca </w:t>
      </w:r>
      <w:r w:rsidR="008B7703">
        <w:t>2023.</w:t>
      </w:r>
      <w:r w:rsidRPr="00D54FEE">
        <w:t>, z</w:t>
      </w:r>
      <w:r w:rsidR="00357453" w:rsidRPr="00D54FEE">
        <w:t xml:space="preserve">avršeni su radovi </w:t>
      </w:r>
      <w:r w:rsidR="002733E7">
        <w:t xml:space="preserve">obnove </w:t>
      </w:r>
      <w:r w:rsidR="00357453" w:rsidRPr="00D54FEE">
        <w:t xml:space="preserve">na ukupno </w:t>
      </w:r>
      <w:r w:rsidR="00226884">
        <w:t>10</w:t>
      </w:r>
      <w:r w:rsidR="00357453" w:rsidRPr="00D54FEE">
        <w:t>.</w:t>
      </w:r>
      <w:r w:rsidR="00226884">
        <w:t>4</w:t>
      </w:r>
      <w:r w:rsidR="008B6E78">
        <w:t>17</w:t>
      </w:r>
      <w:r w:rsidR="00AC7FE1">
        <w:t xml:space="preserve"> obiteljsk</w:t>
      </w:r>
      <w:r w:rsidR="00226884">
        <w:t>ih</w:t>
      </w:r>
      <w:r w:rsidR="00AC7FE1">
        <w:t xml:space="preserve"> kuć</w:t>
      </w:r>
      <w:r w:rsidR="00226884">
        <w:t>a</w:t>
      </w:r>
      <w:r w:rsidR="00357453" w:rsidRPr="00D54FEE">
        <w:t xml:space="preserve"> i zgrad</w:t>
      </w:r>
      <w:r w:rsidR="00226884">
        <w:t>a</w:t>
      </w:r>
      <w:r w:rsidR="00365E8C">
        <w:t xml:space="preserve">. </w:t>
      </w:r>
      <w:r w:rsidR="002733E7">
        <w:t>Izgrađeno je</w:t>
      </w:r>
      <w:r w:rsidR="00357453" w:rsidRPr="00D54FEE">
        <w:t xml:space="preserve"> </w:t>
      </w:r>
      <w:r w:rsidR="007B4574">
        <w:t>207</w:t>
      </w:r>
      <w:r w:rsidR="00357453" w:rsidRPr="00D54FEE">
        <w:t xml:space="preserve"> kuća</w:t>
      </w:r>
      <w:r w:rsidR="002733E7">
        <w:t xml:space="preserve"> i 12 </w:t>
      </w:r>
      <w:proofErr w:type="spellStart"/>
      <w:r w:rsidR="002733E7">
        <w:t>višestambenih</w:t>
      </w:r>
      <w:proofErr w:type="spellEnd"/>
      <w:r w:rsidR="002733E7">
        <w:t xml:space="preserve"> zgrada</w:t>
      </w:r>
      <w:r w:rsidR="00277D78">
        <w:t>. Z</w:t>
      </w:r>
      <w:r w:rsidR="002733E7">
        <w:t>avršeno</w:t>
      </w:r>
      <w:r w:rsidR="00277D78">
        <w:t xml:space="preserve"> je</w:t>
      </w:r>
      <w:r w:rsidR="002733E7">
        <w:t xml:space="preserve"> </w:t>
      </w:r>
      <w:r w:rsidR="007B4574">
        <w:t>114</w:t>
      </w:r>
      <w:r w:rsidR="00357453" w:rsidRPr="00D54FEE">
        <w:t xml:space="preserve"> konstrukcijskih obnova</w:t>
      </w:r>
      <w:r w:rsidR="00277D78">
        <w:t>,</w:t>
      </w:r>
      <w:r w:rsidR="00357453" w:rsidRPr="00D54FEE">
        <w:t xml:space="preserve"> </w:t>
      </w:r>
      <w:r w:rsidR="007B4574">
        <w:t>10</w:t>
      </w:r>
      <w:r w:rsidR="00357453" w:rsidRPr="00D54FEE">
        <w:t>.0</w:t>
      </w:r>
      <w:r w:rsidR="007B4574">
        <w:t>84</w:t>
      </w:r>
      <w:r w:rsidR="00357453" w:rsidRPr="00D54FEE">
        <w:t xml:space="preserve"> </w:t>
      </w:r>
      <w:proofErr w:type="spellStart"/>
      <w:r w:rsidR="00357453" w:rsidRPr="00D54FEE">
        <w:t>nekonstrukcijskih</w:t>
      </w:r>
      <w:proofErr w:type="spellEnd"/>
      <w:r w:rsidR="00357453" w:rsidRPr="00D54FEE">
        <w:t xml:space="preserve"> obnova</w:t>
      </w:r>
      <w:r w:rsidR="00B335E5">
        <w:t xml:space="preserve">, a </w:t>
      </w:r>
      <w:r w:rsidR="00347F51">
        <w:t>završen</w:t>
      </w:r>
      <w:r w:rsidR="00EF6E72">
        <w:t xml:space="preserve">a </w:t>
      </w:r>
      <w:r w:rsidR="00B335E5">
        <w:t xml:space="preserve">je i </w:t>
      </w:r>
      <w:r w:rsidR="00EF6E72">
        <w:t xml:space="preserve">kupnja 8 obiteljskih kuća ili stana </w:t>
      </w:r>
      <w:r w:rsidR="00B335E5">
        <w:t xml:space="preserve">umjesto gradnje zamjenskih kuća te je </w:t>
      </w:r>
      <w:r w:rsidR="00F543AD" w:rsidRPr="00D54FEE">
        <w:t xml:space="preserve">uklonjeno </w:t>
      </w:r>
      <w:r w:rsidR="00357453" w:rsidRPr="00B335E5">
        <w:t>1.</w:t>
      </w:r>
      <w:r w:rsidR="00B335E5" w:rsidRPr="00B335E5">
        <w:t>367</w:t>
      </w:r>
      <w:r w:rsidR="00F543AD" w:rsidRPr="00D54FEE">
        <w:t xml:space="preserve"> objekata</w:t>
      </w:r>
      <w:r w:rsidR="003B5CE7" w:rsidRPr="00D54FEE">
        <w:t xml:space="preserve">. </w:t>
      </w:r>
    </w:p>
    <w:p w14:paraId="3E4773D5" w14:textId="77777777" w:rsidR="003168C5" w:rsidRPr="00D54FEE" w:rsidRDefault="003168C5" w:rsidP="00357453">
      <w:pPr>
        <w:spacing w:after="60"/>
      </w:pPr>
    </w:p>
    <w:p w14:paraId="5015FB68" w14:textId="1C0D02D1" w:rsidR="009B3E3C" w:rsidRDefault="00F66FE3" w:rsidP="00357453">
      <w:pPr>
        <w:spacing w:after="60"/>
      </w:pPr>
      <w:r w:rsidRPr="00AD0CE4">
        <w:t xml:space="preserve">Na dan </w:t>
      </w:r>
      <w:r w:rsidR="008B7703" w:rsidRPr="00AD0CE4">
        <w:t>3</w:t>
      </w:r>
      <w:r w:rsidR="007B4574" w:rsidRPr="00AD0CE4">
        <w:t>1</w:t>
      </w:r>
      <w:r w:rsidR="008B7703" w:rsidRPr="00AD0CE4">
        <w:t xml:space="preserve">. </w:t>
      </w:r>
      <w:r w:rsidR="007B4574" w:rsidRPr="00AD0CE4">
        <w:t xml:space="preserve">prosinca </w:t>
      </w:r>
      <w:r w:rsidR="008B7703" w:rsidRPr="00AD0CE4">
        <w:t>2023.</w:t>
      </w:r>
      <w:r w:rsidRPr="00AD0CE4">
        <w:t xml:space="preserve"> </w:t>
      </w:r>
      <w:r w:rsidR="001D4B37" w:rsidRPr="00AD0CE4">
        <w:t xml:space="preserve">postupak obnove i samoobnove je u tijeku na </w:t>
      </w:r>
      <w:r w:rsidR="00932655" w:rsidRPr="00AD0CE4">
        <w:t>1.</w:t>
      </w:r>
      <w:r w:rsidR="001D4B37" w:rsidRPr="00AD0CE4">
        <w:t>11</w:t>
      </w:r>
      <w:r w:rsidR="00AD0CE4" w:rsidRPr="00AD0CE4">
        <w:t>4</w:t>
      </w:r>
      <w:r w:rsidR="009B3E3C" w:rsidRPr="00AD0CE4">
        <w:t xml:space="preserve"> privatnih zgrada i kuća od toga 2</w:t>
      </w:r>
      <w:r w:rsidR="001D4B37" w:rsidRPr="00AD0CE4">
        <w:t>46</w:t>
      </w:r>
      <w:r w:rsidR="009B3E3C" w:rsidRPr="00AD0CE4">
        <w:t xml:space="preserve"> </w:t>
      </w:r>
      <w:proofErr w:type="spellStart"/>
      <w:r w:rsidR="009B3E3C" w:rsidRPr="00AD0CE4">
        <w:t>nekonstrukcijskih</w:t>
      </w:r>
      <w:proofErr w:type="spellEnd"/>
      <w:r w:rsidR="009B3E3C" w:rsidRPr="00AD0CE4">
        <w:t xml:space="preserve"> obnova, </w:t>
      </w:r>
      <w:r w:rsidR="00E12BE4" w:rsidRPr="00AD0CE4">
        <w:t>63</w:t>
      </w:r>
      <w:r w:rsidR="00817D80" w:rsidRPr="00AD0CE4">
        <w:t>1</w:t>
      </w:r>
      <w:r w:rsidR="009B3E3C" w:rsidRPr="00AD0CE4">
        <w:t xml:space="preserve"> konstrukcijskih obnova, </w:t>
      </w:r>
      <w:r w:rsidR="00E12BE4" w:rsidRPr="00AD0CE4">
        <w:t>2</w:t>
      </w:r>
      <w:r w:rsidR="00B335E5" w:rsidRPr="00AD0CE4">
        <w:t>2</w:t>
      </w:r>
      <w:r w:rsidR="00E12BE4" w:rsidRPr="00AD0CE4">
        <w:t>9</w:t>
      </w:r>
      <w:r w:rsidR="009B3E3C" w:rsidRPr="00AD0CE4">
        <w:t xml:space="preserve"> gradnji zamjenskih obiteljskih kuća</w:t>
      </w:r>
      <w:r w:rsidR="00D60DE6" w:rsidRPr="00AD0CE4">
        <w:t xml:space="preserve"> i</w:t>
      </w:r>
      <w:r w:rsidR="009B3E3C" w:rsidRPr="00AD0CE4">
        <w:t xml:space="preserve"> </w:t>
      </w:r>
      <w:r w:rsidR="00E12BE4" w:rsidRPr="00AD0CE4">
        <w:t>8</w:t>
      </w:r>
      <w:r w:rsidR="009B3E3C" w:rsidRPr="00AD0CE4">
        <w:t xml:space="preserve"> </w:t>
      </w:r>
      <w:r w:rsidR="00D60DE6" w:rsidRPr="00AD0CE4">
        <w:t xml:space="preserve">gradnji </w:t>
      </w:r>
      <w:proofErr w:type="spellStart"/>
      <w:r w:rsidR="009B3E3C" w:rsidRPr="00AD0CE4">
        <w:t>višestambenih</w:t>
      </w:r>
      <w:proofErr w:type="spellEnd"/>
      <w:r w:rsidR="009B3E3C" w:rsidRPr="00AD0CE4">
        <w:t xml:space="preserve"> zgrada</w:t>
      </w:r>
      <w:r w:rsidR="00603F89" w:rsidRPr="00AD0CE4">
        <w:t>.</w:t>
      </w:r>
      <w:r w:rsidR="00603F89">
        <w:t xml:space="preserve"> </w:t>
      </w:r>
    </w:p>
    <w:p w14:paraId="0773E6EE" w14:textId="77777777" w:rsidR="008F4D30" w:rsidRDefault="008F4D30" w:rsidP="006C5AAF">
      <w:pPr>
        <w:spacing w:after="60"/>
        <w:rPr>
          <w:bCs/>
        </w:rPr>
      </w:pPr>
    </w:p>
    <w:p w14:paraId="6E29F533" w14:textId="6D48F8C9" w:rsidR="00E37485" w:rsidRDefault="00E37485" w:rsidP="006C5AAF">
      <w:pPr>
        <w:spacing w:after="60"/>
        <w:rPr>
          <w:bCs/>
        </w:rPr>
      </w:pPr>
      <w:r>
        <w:rPr>
          <w:bCs/>
        </w:rPr>
        <w:t xml:space="preserve">Radove organizirane obnove </w:t>
      </w:r>
      <w:r w:rsidR="00C446DF">
        <w:rPr>
          <w:bCs/>
        </w:rPr>
        <w:t xml:space="preserve">privatne imovine </w:t>
      </w:r>
      <w:r>
        <w:rPr>
          <w:bCs/>
        </w:rPr>
        <w:t xml:space="preserve">na dan </w:t>
      </w:r>
      <w:r w:rsidR="008B7703">
        <w:rPr>
          <w:bCs/>
        </w:rPr>
        <w:t>3</w:t>
      </w:r>
      <w:r w:rsidR="00D60DE6">
        <w:rPr>
          <w:bCs/>
        </w:rPr>
        <w:t>1</w:t>
      </w:r>
      <w:r w:rsidR="008B7703">
        <w:rPr>
          <w:bCs/>
        </w:rPr>
        <w:t xml:space="preserve">. </w:t>
      </w:r>
      <w:r w:rsidR="00D60DE6">
        <w:rPr>
          <w:bCs/>
        </w:rPr>
        <w:t xml:space="preserve">prosinca </w:t>
      </w:r>
      <w:r w:rsidR="008B7703">
        <w:rPr>
          <w:bCs/>
        </w:rPr>
        <w:t>2023.</w:t>
      </w:r>
      <w:r>
        <w:rPr>
          <w:bCs/>
        </w:rPr>
        <w:t xml:space="preserve"> provod</w:t>
      </w:r>
      <w:r w:rsidR="00770EB8">
        <w:rPr>
          <w:bCs/>
        </w:rPr>
        <w:t>i</w:t>
      </w:r>
      <w:r>
        <w:rPr>
          <w:bCs/>
        </w:rPr>
        <w:t xml:space="preserve"> </w:t>
      </w:r>
      <w:r w:rsidR="00770EB8">
        <w:rPr>
          <w:bCs/>
        </w:rPr>
        <w:t>76</w:t>
      </w:r>
      <w:r>
        <w:rPr>
          <w:bCs/>
        </w:rPr>
        <w:t xml:space="preserve"> građevinsk</w:t>
      </w:r>
      <w:r w:rsidR="00C446DF">
        <w:rPr>
          <w:bCs/>
        </w:rPr>
        <w:t>ih</w:t>
      </w:r>
      <w:r>
        <w:rPr>
          <w:bCs/>
        </w:rPr>
        <w:t xml:space="preserve"> tvrtk</w:t>
      </w:r>
      <w:r w:rsidR="00770EB8">
        <w:rPr>
          <w:bCs/>
        </w:rPr>
        <w:t>i</w:t>
      </w:r>
      <w:r>
        <w:rPr>
          <w:bCs/>
        </w:rPr>
        <w:t xml:space="preserve">. </w:t>
      </w:r>
    </w:p>
    <w:p w14:paraId="1E138D8C" w14:textId="77777777" w:rsidR="0080395E" w:rsidRPr="007F2F3A" w:rsidRDefault="0080395E" w:rsidP="006C5AAF">
      <w:pPr>
        <w:spacing w:after="60"/>
        <w:rPr>
          <w:b/>
        </w:rPr>
      </w:pPr>
    </w:p>
    <w:p w14:paraId="1D020717" w14:textId="3C5D436D" w:rsidR="00125616" w:rsidRPr="007F2F3A" w:rsidRDefault="00125616" w:rsidP="00F4045F">
      <w:pPr>
        <w:pStyle w:val="Heading3"/>
        <w:numPr>
          <w:ilvl w:val="2"/>
          <w:numId w:val="12"/>
        </w:numPr>
        <w:rPr>
          <w:b/>
          <w:bCs w:val="0"/>
          <w:i w:val="0"/>
          <w:iCs w:val="0"/>
        </w:rPr>
      </w:pPr>
      <w:bookmarkStart w:id="10" w:name="_Toc161040564"/>
      <w:proofErr w:type="spellStart"/>
      <w:r w:rsidRPr="007F2F3A">
        <w:rPr>
          <w:b/>
          <w:bCs w:val="0"/>
          <w:i w:val="0"/>
          <w:iCs w:val="0"/>
        </w:rPr>
        <w:t>N</w:t>
      </w:r>
      <w:r w:rsidR="00494FE3" w:rsidRPr="007F2F3A">
        <w:rPr>
          <w:b/>
          <w:bCs w:val="0"/>
          <w:i w:val="0"/>
          <w:iCs w:val="0"/>
        </w:rPr>
        <w:t>ekonstrukci</w:t>
      </w:r>
      <w:r w:rsidR="00D2454D" w:rsidRPr="007F2F3A">
        <w:rPr>
          <w:b/>
          <w:bCs w:val="0"/>
          <w:i w:val="0"/>
          <w:iCs w:val="0"/>
        </w:rPr>
        <w:t>jsk</w:t>
      </w:r>
      <w:r w:rsidR="00494FE3" w:rsidRPr="007F2F3A">
        <w:rPr>
          <w:b/>
          <w:bCs w:val="0"/>
          <w:i w:val="0"/>
          <w:iCs w:val="0"/>
        </w:rPr>
        <w:t>a</w:t>
      </w:r>
      <w:proofErr w:type="spellEnd"/>
      <w:r w:rsidR="00494FE3" w:rsidRPr="007F2F3A">
        <w:rPr>
          <w:b/>
          <w:bCs w:val="0"/>
          <w:i w:val="0"/>
          <w:iCs w:val="0"/>
        </w:rPr>
        <w:t xml:space="preserve"> obnova</w:t>
      </w:r>
      <w:bookmarkEnd w:id="10"/>
    </w:p>
    <w:p w14:paraId="0F90BDAC" w14:textId="55F61A8D" w:rsidR="0071228A" w:rsidRPr="0071228A" w:rsidRDefault="00D131A1" w:rsidP="00D131A1">
      <w:pPr>
        <w:spacing w:after="120"/>
        <w:rPr>
          <w:bCs/>
        </w:rPr>
      </w:pPr>
      <w:r>
        <w:rPr>
          <w:bCs/>
        </w:rPr>
        <w:t xml:space="preserve">Pravo na popravak </w:t>
      </w:r>
      <w:proofErr w:type="spellStart"/>
      <w:r>
        <w:rPr>
          <w:bCs/>
        </w:rPr>
        <w:t>nekonstrukcijskih</w:t>
      </w:r>
      <w:proofErr w:type="spellEnd"/>
      <w:r>
        <w:rPr>
          <w:bCs/>
        </w:rPr>
        <w:t xml:space="preserve"> elemenata imaju </w:t>
      </w:r>
      <w:r w:rsidR="0071228A" w:rsidRPr="0071228A">
        <w:rPr>
          <w:bCs/>
        </w:rPr>
        <w:t>kuće i zgrade k</w:t>
      </w:r>
      <w:r w:rsidR="00A6362F">
        <w:rPr>
          <w:bCs/>
        </w:rPr>
        <w:t>oje</w:t>
      </w:r>
      <w:r w:rsidR="0071228A" w:rsidRPr="0071228A">
        <w:rPr>
          <w:bCs/>
        </w:rPr>
        <w:t xml:space="preserve"> imaju zelenu U2, iznimno U1,</w:t>
      </w:r>
      <w:r>
        <w:rPr>
          <w:bCs/>
        </w:rPr>
        <w:t xml:space="preserve"> </w:t>
      </w:r>
      <w:r w:rsidR="0071228A" w:rsidRPr="0071228A">
        <w:rPr>
          <w:bCs/>
        </w:rPr>
        <w:t xml:space="preserve">žutu PN1 ili PN2, crvenu N1 ili N2 oznaku oštećenja. </w:t>
      </w:r>
    </w:p>
    <w:p w14:paraId="695C1C22" w14:textId="5DC19CF4" w:rsidR="0071228A" w:rsidRPr="0071228A" w:rsidRDefault="0071228A" w:rsidP="0071228A">
      <w:pPr>
        <w:spacing w:after="120"/>
        <w:rPr>
          <w:bCs/>
        </w:rPr>
      </w:pPr>
      <w:r w:rsidRPr="0071228A">
        <w:rPr>
          <w:bCs/>
        </w:rPr>
        <w:t>Novčana pomoć može se dobiti za: nužnu privremenu zaštitu zgrade ili obiteljske kuće od utjecaja atmosferilija te</w:t>
      </w:r>
      <w:r w:rsidR="00D131A1">
        <w:rPr>
          <w:bCs/>
        </w:rPr>
        <w:t xml:space="preserve"> </w:t>
      </w:r>
      <w:r w:rsidRPr="0071228A">
        <w:rPr>
          <w:bCs/>
        </w:rPr>
        <w:t>uklanjanje i pridržavanje opasnih dijelova zgrade koji su mogli odnosno koji</w:t>
      </w:r>
      <w:r w:rsidR="00D131A1">
        <w:rPr>
          <w:bCs/>
        </w:rPr>
        <w:t xml:space="preserve"> </w:t>
      </w:r>
      <w:r w:rsidRPr="0071228A">
        <w:rPr>
          <w:bCs/>
        </w:rPr>
        <w:t>mogu ugroziti život ili zdravlje ljudi</w:t>
      </w:r>
      <w:r w:rsidR="00D131A1">
        <w:rPr>
          <w:bCs/>
        </w:rPr>
        <w:t xml:space="preserve">; </w:t>
      </w:r>
      <w:r w:rsidRPr="0071228A">
        <w:rPr>
          <w:bCs/>
        </w:rPr>
        <w:t xml:space="preserve"> popravak ili zamjenu dimnjaka</w:t>
      </w:r>
      <w:r w:rsidR="00D131A1">
        <w:rPr>
          <w:bCs/>
        </w:rPr>
        <w:t xml:space="preserve">, </w:t>
      </w:r>
      <w:r w:rsidRPr="0071228A">
        <w:rPr>
          <w:bCs/>
        </w:rPr>
        <w:t xml:space="preserve"> popravak ili zamjenu </w:t>
      </w:r>
      <w:proofErr w:type="spellStart"/>
      <w:r w:rsidRPr="0071228A">
        <w:rPr>
          <w:bCs/>
        </w:rPr>
        <w:t>zabatnog</w:t>
      </w:r>
      <w:proofErr w:type="spellEnd"/>
      <w:r w:rsidRPr="0071228A">
        <w:rPr>
          <w:bCs/>
        </w:rPr>
        <w:t xml:space="preserve"> zida,</w:t>
      </w:r>
      <w:r w:rsidR="00D131A1">
        <w:rPr>
          <w:bCs/>
        </w:rPr>
        <w:t xml:space="preserve"> </w:t>
      </w:r>
      <w:r w:rsidRPr="0071228A">
        <w:rPr>
          <w:bCs/>
        </w:rPr>
        <w:t>popravak stubišta</w:t>
      </w:r>
      <w:r w:rsidR="00D131A1">
        <w:rPr>
          <w:bCs/>
        </w:rPr>
        <w:t xml:space="preserve"> te</w:t>
      </w:r>
      <w:r w:rsidRPr="0071228A">
        <w:rPr>
          <w:bCs/>
        </w:rPr>
        <w:t xml:space="preserve"> popravak dizala</w:t>
      </w:r>
      <w:r w:rsidR="00D131A1">
        <w:rPr>
          <w:bCs/>
        </w:rPr>
        <w:t xml:space="preserve">. </w:t>
      </w:r>
    </w:p>
    <w:p w14:paraId="71D6BCAB" w14:textId="6745FEBB" w:rsidR="00125616" w:rsidRPr="00C9549D" w:rsidRDefault="0071228A" w:rsidP="0071228A">
      <w:pPr>
        <w:spacing w:after="120"/>
        <w:rPr>
          <w:bCs/>
        </w:rPr>
      </w:pPr>
      <w:r w:rsidRPr="0071228A">
        <w:rPr>
          <w:bCs/>
        </w:rPr>
        <w:lastRenderedPageBreak/>
        <w:t>Opravdani troškovi obuhvaćaju:</w:t>
      </w:r>
      <w:r w:rsidR="00D131A1">
        <w:rPr>
          <w:bCs/>
        </w:rPr>
        <w:t xml:space="preserve"> </w:t>
      </w:r>
      <w:r w:rsidRPr="0071228A">
        <w:rPr>
          <w:bCs/>
        </w:rPr>
        <w:t>izradu projektne dokumentacije od ovlaštenih osoba,</w:t>
      </w:r>
      <w:r w:rsidR="00D131A1">
        <w:rPr>
          <w:bCs/>
        </w:rPr>
        <w:t xml:space="preserve"> </w:t>
      </w:r>
      <w:r w:rsidRPr="0071228A">
        <w:rPr>
          <w:bCs/>
        </w:rPr>
        <w:t xml:space="preserve"> izvođenje radova od ovlaštenih osoba,</w:t>
      </w:r>
      <w:r w:rsidR="00D131A1">
        <w:rPr>
          <w:bCs/>
        </w:rPr>
        <w:t xml:space="preserve"> </w:t>
      </w:r>
      <w:r w:rsidRPr="0071228A">
        <w:rPr>
          <w:bCs/>
        </w:rPr>
        <w:t>nabavu i dopremu građevnih proizvoda i materijala</w:t>
      </w:r>
      <w:r w:rsidR="00D131A1">
        <w:rPr>
          <w:bCs/>
        </w:rPr>
        <w:t xml:space="preserve"> te </w:t>
      </w:r>
      <w:r w:rsidRPr="0071228A">
        <w:rPr>
          <w:bCs/>
        </w:rPr>
        <w:t xml:space="preserve"> provedbu stručnog nadzora</w:t>
      </w:r>
      <w:r w:rsidR="00D131A1">
        <w:rPr>
          <w:bCs/>
        </w:rPr>
        <w:t xml:space="preserve">. </w:t>
      </w:r>
    </w:p>
    <w:p w14:paraId="7DE56740" w14:textId="77777777" w:rsidR="00CB7AB9" w:rsidRDefault="00CB7AB9" w:rsidP="0003730A">
      <w:r w:rsidRPr="00CB7AB9">
        <w:t xml:space="preserve">Novčana sredstva za </w:t>
      </w:r>
      <w:proofErr w:type="spellStart"/>
      <w:r w:rsidRPr="00CB7AB9">
        <w:t>nekonstrukcijsku</w:t>
      </w:r>
      <w:proofErr w:type="spellEnd"/>
      <w:r w:rsidRPr="00CB7AB9">
        <w:t xml:space="preserve"> obnovu isplaćuju se nakon provedene obnove. Ministarstvo vrši isplatu (povrat) prihvatljivih troškova za izvedene radove koji su dokumentirani ili specificirani, u maksimalnom iznosu od 2.986,26</w:t>
      </w:r>
      <w:r>
        <w:t xml:space="preserve"> eura</w:t>
      </w:r>
      <w:r w:rsidRPr="00CB7AB9">
        <w:t xml:space="preserve"> po posebnom dijelu obiteljske kuće, stambeno-poslovne zgrade, </w:t>
      </w:r>
      <w:proofErr w:type="spellStart"/>
      <w:r w:rsidRPr="00CB7AB9">
        <w:t>višestambene</w:t>
      </w:r>
      <w:proofErr w:type="spellEnd"/>
      <w:r w:rsidRPr="00CB7AB9">
        <w:t xml:space="preserve"> zgrade i poslovne zgrade, odnosno 4.711,66 </w:t>
      </w:r>
      <w:r>
        <w:t>eura</w:t>
      </w:r>
      <w:r w:rsidRPr="00CB7AB9">
        <w:t xml:space="preserve"> po obiteljskoj kući ako nema više posebnih dijelova. </w:t>
      </w:r>
    </w:p>
    <w:p w14:paraId="225510B3" w14:textId="77777777" w:rsidR="00A844BA" w:rsidRDefault="00A844BA" w:rsidP="0003730A"/>
    <w:p w14:paraId="21EF99EA" w14:textId="77777777" w:rsidR="00A844BA" w:rsidRPr="00A844BA" w:rsidRDefault="00A844BA" w:rsidP="00A844BA">
      <w:r w:rsidRPr="00A844BA">
        <w:t xml:space="preserve">Vlasnici odnosno suvlasnici oštećenih </w:t>
      </w:r>
      <w:proofErr w:type="spellStart"/>
      <w:r w:rsidRPr="00A844BA">
        <w:t>višestambenih</w:t>
      </w:r>
      <w:proofErr w:type="spellEnd"/>
      <w:r w:rsidRPr="00A844BA">
        <w:t xml:space="preserve">, stambeno-poslovnih i poslovnih zgrada koji prema posebnom propisu imaju upravitelja ovlašteni su putem upravitelja ili predstavnika suvlasnika podnijeti zahtjev za isplatu novčane pomoći na račun obvezne pričuve prije početka </w:t>
      </w:r>
      <w:proofErr w:type="spellStart"/>
      <w:r w:rsidRPr="00A844BA">
        <w:t>nekonstrukcijske</w:t>
      </w:r>
      <w:proofErr w:type="spellEnd"/>
      <w:r w:rsidRPr="00A844BA">
        <w:t xml:space="preserve"> obnove u visini od 25 % maksimalnog iznosa utvrđenog Odlukom Vlade, dok se ukupni iznos opravdanih troškova obnove isplaćuje nakon  dovršene </w:t>
      </w:r>
      <w:proofErr w:type="spellStart"/>
      <w:r w:rsidRPr="00A844BA">
        <w:t>nekonstrukcijske</w:t>
      </w:r>
      <w:proofErr w:type="spellEnd"/>
      <w:r w:rsidRPr="00A844BA">
        <w:t xml:space="preserve"> obnove. </w:t>
      </w:r>
    </w:p>
    <w:p w14:paraId="5CF421BB" w14:textId="77777777" w:rsidR="00CB7AB9" w:rsidRDefault="00CB7AB9" w:rsidP="0003730A"/>
    <w:p w14:paraId="6A1D49D3" w14:textId="15F6D9C4" w:rsidR="0003730A" w:rsidRDefault="00CB7AB9" w:rsidP="0003730A">
      <w:r w:rsidRPr="00CB7AB9">
        <w:t>Ovlašteni nadzorni inženjer pregledom i ovjerom izvršenih usluga i izvedenih radova,  potvrđuju da su usluge i radovi izvedeni po pravilima struke.</w:t>
      </w:r>
    </w:p>
    <w:p w14:paraId="6192C4D1" w14:textId="77777777" w:rsidR="00CB7AB9" w:rsidRDefault="00CB7AB9" w:rsidP="0003730A"/>
    <w:p w14:paraId="0455B2AC" w14:textId="5D75BECD" w:rsidR="00125616" w:rsidRPr="0003730A" w:rsidRDefault="00125616" w:rsidP="0003730A">
      <w:pPr>
        <w:rPr>
          <w:b/>
        </w:rPr>
      </w:pPr>
      <w:r w:rsidRPr="0003730A">
        <w:rPr>
          <w:b/>
        </w:rPr>
        <w:t xml:space="preserve">Završeni radovi </w:t>
      </w:r>
      <w:proofErr w:type="spellStart"/>
      <w:r w:rsidRPr="0003730A">
        <w:rPr>
          <w:b/>
        </w:rPr>
        <w:t>nekonstrukcijske</w:t>
      </w:r>
      <w:proofErr w:type="spellEnd"/>
      <w:r w:rsidRPr="0003730A">
        <w:rPr>
          <w:b/>
        </w:rPr>
        <w:t xml:space="preserve"> obnove </w:t>
      </w:r>
    </w:p>
    <w:p w14:paraId="374BCCDE" w14:textId="77777777" w:rsidR="00B3495A" w:rsidRDefault="00B3495A" w:rsidP="00F03048"/>
    <w:p w14:paraId="1FD1D901" w14:textId="1B271790" w:rsidR="00125616" w:rsidRDefault="00125616" w:rsidP="00F03048">
      <w:r w:rsidRPr="00FB0741">
        <w:t xml:space="preserve">Na </w:t>
      </w:r>
      <w:r w:rsidR="0055015B" w:rsidRPr="00FB0741">
        <w:t xml:space="preserve">dan </w:t>
      </w:r>
      <w:r w:rsidRPr="00FB0741">
        <w:t>3</w:t>
      </w:r>
      <w:r w:rsidR="00DC55BF">
        <w:t>1</w:t>
      </w:r>
      <w:r w:rsidRPr="00FB0741">
        <w:t>.</w:t>
      </w:r>
      <w:r w:rsidR="00AC49E6" w:rsidRPr="00FB0741">
        <w:t xml:space="preserve"> </w:t>
      </w:r>
      <w:r w:rsidR="00DC55BF">
        <w:t>prosinca</w:t>
      </w:r>
      <w:r w:rsidR="00DC55BF" w:rsidRPr="00FB0741">
        <w:t xml:space="preserve"> </w:t>
      </w:r>
      <w:r w:rsidRPr="00FB0741">
        <w:t>202</w:t>
      </w:r>
      <w:r w:rsidR="00FB0741" w:rsidRPr="00FB0741">
        <w:t>3</w:t>
      </w:r>
      <w:r w:rsidR="008B7703">
        <w:t>.</w:t>
      </w:r>
      <w:r w:rsidRPr="00FB0741">
        <w:t xml:space="preserve"> bilo je ukupno </w:t>
      </w:r>
      <w:r w:rsidR="00DC55BF">
        <w:t>10.084</w:t>
      </w:r>
      <w:r w:rsidRPr="00C9549D">
        <w:t xml:space="preserve"> završenih </w:t>
      </w:r>
      <w:proofErr w:type="spellStart"/>
      <w:r w:rsidRPr="00C9549D">
        <w:t>nekonstrukcijskih</w:t>
      </w:r>
      <w:proofErr w:type="spellEnd"/>
      <w:r w:rsidRPr="00C9549D">
        <w:t xml:space="preserve"> obnova, a u izvještajnom razdoblju završeno je </w:t>
      </w:r>
      <w:r w:rsidR="00DC55BF">
        <w:t>2.869</w:t>
      </w:r>
      <w:r w:rsidRPr="00C9549D">
        <w:t xml:space="preserve"> </w:t>
      </w:r>
      <w:proofErr w:type="spellStart"/>
      <w:r w:rsidRPr="00C9549D">
        <w:t>nekonstrukcijsk</w:t>
      </w:r>
      <w:r w:rsidR="00D60DE6">
        <w:t>ih</w:t>
      </w:r>
      <w:proofErr w:type="spellEnd"/>
      <w:r w:rsidRPr="00C9549D">
        <w:t xml:space="preserve"> obnov</w:t>
      </w:r>
      <w:r w:rsidR="008F0199">
        <w:t>e</w:t>
      </w:r>
      <w:r w:rsidRPr="00C9549D">
        <w:t xml:space="preserve"> od čega se </w:t>
      </w:r>
      <w:r w:rsidRPr="005D07F2">
        <w:t>1.</w:t>
      </w:r>
      <w:r w:rsidR="00DC55BF" w:rsidRPr="005D07F2">
        <w:t>599</w:t>
      </w:r>
      <w:r w:rsidRPr="005D07F2">
        <w:t xml:space="preserve"> </w:t>
      </w:r>
      <w:r w:rsidR="006D60F2" w:rsidRPr="005D07F2">
        <w:t>obnova</w:t>
      </w:r>
      <w:r w:rsidR="006D60F2">
        <w:t xml:space="preserve"> </w:t>
      </w:r>
      <w:r w:rsidRPr="00C9549D">
        <w:t xml:space="preserve">odnosi na </w:t>
      </w:r>
      <w:r w:rsidRPr="00E35E01">
        <w:t xml:space="preserve">organiziranu </w:t>
      </w:r>
      <w:r w:rsidR="00E35E01">
        <w:t>obnovu</w:t>
      </w:r>
      <w:r w:rsidRPr="00C9549D">
        <w:t xml:space="preserve">, a </w:t>
      </w:r>
      <w:r w:rsidR="004A3370">
        <w:t>1.270</w:t>
      </w:r>
      <w:r w:rsidRPr="00C9549D">
        <w:t xml:space="preserve"> na samoobnov</w:t>
      </w:r>
      <w:r w:rsidR="00E35E01">
        <w:t>u</w:t>
      </w:r>
      <w:r w:rsidRPr="00C9549D">
        <w:t>.</w:t>
      </w:r>
    </w:p>
    <w:p w14:paraId="36112A5A" w14:textId="77777777" w:rsidR="004F036F" w:rsidRPr="00C9549D" w:rsidRDefault="004F036F" w:rsidP="00F03048">
      <w:pPr>
        <w:rPr>
          <w:i/>
          <w:iCs/>
        </w:rPr>
      </w:pPr>
    </w:p>
    <w:p w14:paraId="6E152940" w14:textId="3A0CF744" w:rsidR="00CE577B" w:rsidRDefault="00125616" w:rsidP="00125616">
      <w:pPr>
        <w:spacing w:before="120"/>
        <w:rPr>
          <w:i/>
          <w:iCs/>
        </w:rPr>
      </w:pPr>
      <w:r w:rsidRPr="00C9549D">
        <w:rPr>
          <w:i/>
          <w:iCs/>
        </w:rPr>
        <w:t xml:space="preserve">Pregled završenih radova </w:t>
      </w:r>
      <w:proofErr w:type="spellStart"/>
      <w:r w:rsidRPr="00C9549D">
        <w:rPr>
          <w:i/>
          <w:iCs/>
        </w:rPr>
        <w:t>nekonstrukcijske</w:t>
      </w:r>
      <w:proofErr w:type="spellEnd"/>
      <w:r w:rsidRPr="00C9549D">
        <w:rPr>
          <w:i/>
          <w:iCs/>
        </w:rPr>
        <w:t xml:space="preserve"> obnove po lokaciji i vrsti obnove</w:t>
      </w:r>
    </w:p>
    <w:tbl>
      <w:tblPr>
        <w:tblW w:w="9067" w:type="dxa"/>
        <w:tblLayout w:type="fixed"/>
        <w:tblLook w:val="04A0" w:firstRow="1" w:lastRow="0" w:firstColumn="1" w:lastColumn="0" w:noHBand="0" w:noVBand="1"/>
      </w:tblPr>
      <w:tblGrid>
        <w:gridCol w:w="3397"/>
        <w:gridCol w:w="1890"/>
        <w:gridCol w:w="1890"/>
        <w:gridCol w:w="1890"/>
      </w:tblGrid>
      <w:tr w:rsidR="00896838" w:rsidRPr="00896838" w14:paraId="72CF303E" w14:textId="77777777" w:rsidTr="000A132C">
        <w:trPr>
          <w:trHeight w:val="810"/>
        </w:trPr>
        <w:tc>
          <w:tcPr>
            <w:tcW w:w="3397"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02A703BA" w14:textId="77777777" w:rsidR="00896838" w:rsidRPr="00896838" w:rsidRDefault="00896838" w:rsidP="00896838">
            <w:pPr>
              <w:spacing w:line="240" w:lineRule="auto"/>
              <w:jc w:val="center"/>
              <w:rPr>
                <w:rFonts w:eastAsia="Times New Roman"/>
                <w:color w:val="FFFFFF"/>
                <w:sz w:val="22"/>
                <w:szCs w:val="22"/>
                <w:lang w:eastAsia="hr-HR"/>
              </w:rPr>
            </w:pPr>
            <w:r w:rsidRPr="00896838">
              <w:rPr>
                <w:rFonts w:eastAsia="Times New Roman"/>
                <w:color w:val="FFFFFF"/>
                <w:sz w:val="22"/>
                <w:szCs w:val="22"/>
                <w:lang w:eastAsia="hr-HR"/>
              </w:rPr>
              <w:t>OPIS</w:t>
            </w:r>
          </w:p>
        </w:tc>
        <w:tc>
          <w:tcPr>
            <w:tcW w:w="1890" w:type="dxa"/>
            <w:tcBorders>
              <w:top w:val="single" w:sz="4" w:space="0" w:color="A6A6A6"/>
              <w:left w:val="nil"/>
              <w:bottom w:val="single" w:sz="4" w:space="0" w:color="A6A6A6"/>
              <w:right w:val="single" w:sz="4" w:space="0" w:color="A6A6A6"/>
            </w:tcBorders>
            <w:shd w:val="clear" w:color="000000" w:fill="002060"/>
            <w:vAlign w:val="center"/>
            <w:hideMark/>
          </w:tcPr>
          <w:p w14:paraId="1F01B402" w14:textId="47BF88AF" w:rsidR="00896838" w:rsidRPr="00896838" w:rsidRDefault="00896838" w:rsidP="00896838">
            <w:pPr>
              <w:spacing w:line="240" w:lineRule="auto"/>
              <w:jc w:val="center"/>
              <w:rPr>
                <w:rFonts w:eastAsia="Times New Roman"/>
                <w:color w:val="FFFFFF"/>
                <w:sz w:val="22"/>
                <w:szCs w:val="22"/>
                <w:lang w:eastAsia="hr-HR"/>
              </w:rPr>
            </w:pPr>
            <w:r w:rsidRPr="00896838">
              <w:rPr>
                <w:rFonts w:eastAsia="Times New Roman"/>
                <w:color w:val="FFFFFF"/>
                <w:sz w:val="22"/>
                <w:szCs w:val="22"/>
                <w:lang w:eastAsia="hr-HR"/>
              </w:rPr>
              <w:t>Stanje na</w:t>
            </w:r>
            <w:r w:rsidRPr="00896838">
              <w:rPr>
                <w:rFonts w:eastAsia="Times New Roman"/>
                <w:color w:val="FFFFFF"/>
                <w:sz w:val="22"/>
                <w:szCs w:val="22"/>
                <w:lang w:eastAsia="hr-HR"/>
              </w:rPr>
              <w:br/>
              <w:t>31.</w:t>
            </w:r>
            <w:r w:rsidR="00D60DE6">
              <w:rPr>
                <w:rFonts w:eastAsia="Times New Roman"/>
                <w:color w:val="FFFFFF"/>
                <w:sz w:val="22"/>
                <w:szCs w:val="22"/>
                <w:lang w:eastAsia="hr-HR"/>
              </w:rPr>
              <w:t xml:space="preserve"> </w:t>
            </w:r>
            <w:r w:rsidR="009078E1">
              <w:rPr>
                <w:rFonts w:eastAsia="Times New Roman"/>
                <w:color w:val="FFFFFF"/>
                <w:sz w:val="22"/>
                <w:szCs w:val="22"/>
                <w:lang w:eastAsia="hr-HR"/>
              </w:rPr>
              <w:t xml:space="preserve">prosinca </w:t>
            </w:r>
            <w:r w:rsidRPr="00896838">
              <w:rPr>
                <w:rFonts w:eastAsia="Times New Roman"/>
                <w:color w:val="FFFFFF"/>
                <w:sz w:val="22"/>
                <w:szCs w:val="22"/>
                <w:lang w:eastAsia="hr-HR"/>
              </w:rPr>
              <w:t>2022.</w:t>
            </w:r>
          </w:p>
        </w:tc>
        <w:tc>
          <w:tcPr>
            <w:tcW w:w="1890" w:type="dxa"/>
            <w:tcBorders>
              <w:top w:val="single" w:sz="4" w:space="0" w:color="A6A6A6"/>
              <w:left w:val="nil"/>
              <w:bottom w:val="single" w:sz="4" w:space="0" w:color="A6A6A6"/>
              <w:right w:val="single" w:sz="4" w:space="0" w:color="A6A6A6"/>
            </w:tcBorders>
            <w:shd w:val="clear" w:color="000000" w:fill="002060"/>
            <w:vAlign w:val="center"/>
            <w:hideMark/>
          </w:tcPr>
          <w:p w14:paraId="1F637B22" w14:textId="77777777" w:rsidR="00896838" w:rsidRPr="00896838" w:rsidRDefault="00896838" w:rsidP="00896838">
            <w:pPr>
              <w:spacing w:line="240" w:lineRule="auto"/>
              <w:jc w:val="center"/>
              <w:rPr>
                <w:rFonts w:eastAsia="Times New Roman"/>
                <w:color w:val="FFFFFF"/>
                <w:sz w:val="20"/>
                <w:szCs w:val="20"/>
                <w:lang w:eastAsia="hr-HR"/>
              </w:rPr>
            </w:pPr>
            <w:r w:rsidRPr="00896838">
              <w:rPr>
                <w:rFonts w:eastAsia="Times New Roman"/>
                <w:color w:val="FFFFFF"/>
                <w:sz w:val="20"/>
                <w:szCs w:val="20"/>
                <w:lang w:eastAsia="hr-HR"/>
              </w:rPr>
              <w:t>Realizacija tijekom 2023. godine</w:t>
            </w:r>
          </w:p>
        </w:tc>
        <w:tc>
          <w:tcPr>
            <w:tcW w:w="1890" w:type="dxa"/>
            <w:tcBorders>
              <w:top w:val="single" w:sz="4" w:space="0" w:color="A6A6A6"/>
              <w:left w:val="nil"/>
              <w:bottom w:val="single" w:sz="4" w:space="0" w:color="A6A6A6"/>
              <w:right w:val="single" w:sz="4" w:space="0" w:color="A6A6A6"/>
            </w:tcBorders>
            <w:shd w:val="clear" w:color="000000" w:fill="002060"/>
            <w:vAlign w:val="center"/>
            <w:hideMark/>
          </w:tcPr>
          <w:p w14:paraId="467788FD" w14:textId="77247D21" w:rsidR="00896838" w:rsidRPr="00896838" w:rsidRDefault="00896838" w:rsidP="00896838">
            <w:pPr>
              <w:spacing w:line="240" w:lineRule="auto"/>
              <w:jc w:val="center"/>
              <w:rPr>
                <w:rFonts w:eastAsia="Times New Roman"/>
                <w:color w:val="FFFFFF"/>
                <w:sz w:val="22"/>
                <w:szCs w:val="22"/>
                <w:lang w:eastAsia="hr-HR"/>
              </w:rPr>
            </w:pPr>
            <w:r w:rsidRPr="00896838">
              <w:rPr>
                <w:rFonts w:eastAsia="Times New Roman"/>
                <w:color w:val="FFFFFF"/>
                <w:sz w:val="22"/>
                <w:szCs w:val="22"/>
                <w:lang w:eastAsia="hr-HR"/>
              </w:rPr>
              <w:t>Stanje na</w:t>
            </w:r>
            <w:r w:rsidRPr="00896838">
              <w:rPr>
                <w:rFonts w:eastAsia="Times New Roman"/>
                <w:color w:val="FFFFFF"/>
                <w:sz w:val="22"/>
                <w:szCs w:val="22"/>
                <w:lang w:eastAsia="hr-HR"/>
              </w:rPr>
              <w:br/>
              <w:t>3</w:t>
            </w:r>
            <w:r w:rsidR="00D60DE6">
              <w:rPr>
                <w:rFonts w:eastAsia="Times New Roman"/>
                <w:color w:val="FFFFFF"/>
                <w:sz w:val="22"/>
                <w:szCs w:val="22"/>
                <w:lang w:eastAsia="hr-HR"/>
              </w:rPr>
              <w:t>1</w:t>
            </w:r>
            <w:r w:rsidRPr="00896838">
              <w:rPr>
                <w:rFonts w:eastAsia="Times New Roman"/>
                <w:color w:val="FFFFFF"/>
                <w:sz w:val="22"/>
                <w:szCs w:val="22"/>
                <w:lang w:eastAsia="hr-HR"/>
              </w:rPr>
              <w:t>.</w:t>
            </w:r>
            <w:r w:rsidR="00D60DE6">
              <w:rPr>
                <w:rFonts w:eastAsia="Times New Roman"/>
                <w:color w:val="FFFFFF"/>
                <w:sz w:val="22"/>
                <w:szCs w:val="22"/>
                <w:lang w:eastAsia="hr-HR"/>
              </w:rPr>
              <w:t xml:space="preserve"> </w:t>
            </w:r>
            <w:r w:rsidR="00775CE1">
              <w:rPr>
                <w:rFonts w:eastAsia="Times New Roman"/>
                <w:color w:val="FFFFFF"/>
                <w:sz w:val="22"/>
                <w:szCs w:val="22"/>
                <w:lang w:eastAsia="hr-HR"/>
              </w:rPr>
              <w:t xml:space="preserve">prosinca </w:t>
            </w:r>
            <w:r w:rsidRPr="00896838">
              <w:rPr>
                <w:rFonts w:eastAsia="Times New Roman"/>
                <w:color w:val="FFFFFF"/>
                <w:sz w:val="22"/>
                <w:szCs w:val="22"/>
                <w:lang w:eastAsia="hr-HR"/>
              </w:rPr>
              <w:t>2023.</w:t>
            </w:r>
          </w:p>
        </w:tc>
      </w:tr>
      <w:tr w:rsidR="00DC55BF" w:rsidRPr="00896838" w14:paraId="56790600"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D9E1F2"/>
            <w:noWrap/>
            <w:vAlign w:val="center"/>
            <w:hideMark/>
          </w:tcPr>
          <w:p w14:paraId="117AAEAA" w14:textId="77777777" w:rsidR="00DC55BF" w:rsidRPr="00896838" w:rsidRDefault="00DC55BF" w:rsidP="00DC55BF">
            <w:pPr>
              <w:spacing w:line="240" w:lineRule="auto"/>
              <w:jc w:val="left"/>
              <w:rPr>
                <w:rFonts w:eastAsia="Times New Roman"/>
                <w:color w:val="000000"/>
                <w:sz w:val="22"/>
                <w:szCs w:val="22"/>
                <w:lang w:eastAsia="hr-HR"/>
              </w:rPr>
            </w:pPr>
            <w:r w:rsidRPr="00896838">
              <w:rPr>
                <w:rFonts w:eastAsia="Times New Roman"/>
                <w:color w:val="000000"/>
                <w:sz w:val="22"/>
                <w:szCs w:val="22"/>
                <w:lang w:eastAsia="hr-HR"/>
              </w:rPr>
              <w:t xml:space="preserve">Organizirana </w:t>
            </w:r>
            <w:proofErr w:type="spellStart"/>
            <w:r w:rsidRPr="00896838">
              <w:rPr>
                <w:rFonts w:eastAsia="Times New Roman"/>
                <w:color w:val="000000"/>
                <w:sz w:val="22"/>
                <w:szCs w:val="22"/>
                <w:lang w:eastAsia="hr-HR"/>
              </w:rPr>
              <w:t>nekonstrukcijska</w:t>
            </w:r>
            <w:proofErr w:type="spellEnd"/>
            <w:r w:rsidRPr="00896838">
              <w:rPr>
                <w:rFonts w:eastAsia="Times New Roman"/>
                <w:color w:val="000000"/>
                <w:sz w:val="22"/>
                <w:szCs w:val="22"/>
                <w:lang w:eastAsia="hr-HR"/>
              </w:rPr>
              <w:t xml:space="preserve"> obnova</w:t>
            </w:r>
          </w:p>
        </w:tc>
        <w:tc>
          <w:tcPr>
            <w:tcW w:w="1890" w:type="dxa"/>
            <w:tcBorders>
              <w:top w:val="nil"/>
              <w:left w:val="nil"/>
              <w:bottom w:val="single" w:sz="4" w:space="0" w:color="A6A6A6"/>
              <w:right w:val="single" w:sz="4" w:space="0" w:color="A6A6A6"/>
            </w:tcBorders>
            <w:shd w:val="clear" w:color="000000" w:fill="D9E1F2"/>
            <w:noWrap/>
            <w:vAlign w:val="center"/>
            <w:hideMark/>
          </w:tcPr>
          <w:p w14:paraId="438FA242" w14:textId="4DE1654E"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3.590</w:t>
            </w:r>
          </w:p>
        </w:tc>
        <w:tc>
          <w:tcPr>
            <w:tcW w:w="1890" w:type="dxa"/>
            <w:tcBorders>
              <w:top w:val="nil"/>
              <w:left w:val="nil"/>
              <w:bottom w:val="single" w:sz="4" w:space="0" w:color="A6A6A6"/>
              <w:right w:val="single" w:sz="4" w:space="0" w:color="A6A6A6"/>
            </w:tcBorders>
            <w:shd w:val="clear" w:color="000000" w:fill="D9E1F2"/>
            <w:noWrap/>
            <w:vAlign w:val="center"/>
            <w:hideMark/>
          </w:tcPr>
          <w:p w14:paraId="7850945E" w14:textId="01CEEA55"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1.599</w:t>
            </w:r>
          </w:p>
        </w:tc>
        <w:tc>
          <w:tcPr>
            <w:tcW w:w="1890" w:type="dxa"/>
            <w:tcBorders>
              <w:top w:val="nil"/>
              <w:left w:val="nil"/>
              <w:bottom w:val="single" w:sz="4" w:space="0" w:color="A6A6A6"/>
              <w:right w:val="single" w:sz="4" w:space="0" w:color="A6A6A6"/>
            </w:tcBorders>
            <w:shd w:val="clear" w:color="000000" w:fill="D9E1F2"/>
            <w:noWrap/>
            <w:vAlign w:val="center"/>
            <w:hideMark/>
          </w:tcPr>
          <w:p w14:paraId="4658C48C" w14:textId="7D0AABEC"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5.189</w:t>
            </w:r>
          </w:p>
        </w:tc>
      </w:tr>
      <w:tr w:rsidR="00DC55BF" w:rsidRPr="00896838" w14:paraId="52169C5E"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FFFFFF"/>
            <w:noWrap/>
            <w:vAlign w:val="center"/>
            <w:hideMark/>
          </w:tcPr>
          <w:p w14:paraId="7BE8115A" w14:textId="77777777" w:rsidR="00DC55BF" w:rsidRPr="00896838" w:rsidRDefault="00DC55BF" w:rsidP="00DC55BF">
            <w:pPr>
              <w:spacing w:line="240" w:lineRule="auto"/>
              <w:ind w:firstLineChars="200" w:firstLine="440"/>
              <w:jc w:val="left"/>
              <w:rPr>
                <w:rFonts w:eastAsia="Times New Roman"/>
                <w:i/>
                <w:iCs/>
                <w:color w:val="000000"/>
                <w:sz w:val="22"/>
                <w:szCs w:val="22"/>
                <w:lang w:eastAsia="hr-HR"/>
              </w:rPr>
            </w:pPr>
            <w:r w:rsidRPr="00896838">
              <w:rPr>
                <w:rFonts w:eastAsia="Times New Roman"/>
                <w:i/>
                <w:iCs/>
                <w:color w:val="000000"/>
                <w:sz w:val="22"/>
                <w:szCs w:val="22"/>
                <w:lang w:eastAsia="hr-HR"/>
              </w:rPr>
              <w:t>Petrinjski potres</w:t>
            </w:r>
          </w:p>
        </w:tc>
        <w:tc>
          <w:tcPr>
            <w:tcW w:w="1890" w:type="dxa"/>
            <w:tcBorders>
              <w:top w:val="nil"/>
              <w:left w:val="nil"/>
              <w:bottom w:val="single" w:sz="4" w:space="0" w:color="A6A6A6"/>
              <w:right w:val="single" w:sz="4" w:space="0" w:color="A6A6A6"/>
            </w:tcBorders>
            <w:shd w:val="clear" w:color="000000" w:fill="FFFFFF"/>
            <w:noWrap/>
            <w:vAlign w:val="center"/>
            <w:hideMark/>
          </w:tcPr>
          <w:p w14:paraId="2E23F7DF" w14:textId="1D726B8E"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3.587</w:t>
            </w:r>
          </w:p>
        </w:tc>
        <w:tc>
          <w:tcPr>
            <w:tcW w:w="1890" w:type="dxa"/>
            <w:tcBorders>
              <w:top w:val="nil"/>
              <w:left w:val="nil"/>
              <w:bottom w:val="single" w:sz="4" w:space="0" w:color="A6A6A6"/>
              <w:right w:val="single" w:sz="4" w:space="0" w:color="A6A6A6"/>
            </w:tcBorders>
            <w:shd w:val="clear" w:color="000000" w:fill="FFFFFF"/>
            <w:noWrap/>
            <w:vAlign w:val="center"/>
            <w:hideMark/>
          </w:tcPr>
          <w:p w14:paraId="34E9046C" w14:textId="7238BE8C"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1.571</w:t>
            </w:r>
          </w:p>
        </w:tc>
        <w:tc>
          <w:tcPr>
            <w:tcW w:w="1890" w:type="dxa"/>
            <w:tcBorders>
              <w:top w:val="nil"/>
              <w:left w:val="nil"/>
              <w:bottom w:val="single" w:sz="4" w:space="0" w:color="A6A6A6"/>
              <w:right w:val="single" w:sz="4" w:space="0" w:color="A6A6A6"/>
            </w:tcBorders>
            <w:shd w:val="clear" w:color="000000" w:fill="FFFFFF"/>
            <w:noWrap/>
            <w:vAlign w:val="center"/>
            <w:hideMark/>
          </w:tcPr>
          <w:p w14:paraId="6A5B77FA" w14:textId="529A014E"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5.158</w:t>
            </w:r>
          </w:p>
        </w:tc>
      </w:tr>
      <w:tr w:rsidR="00DC55BF" w:rsidRPr="00896838" w14:paraId="61A9A7F4"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FFFFFF"/>
            <w:noWrap/>
            <w:vAlign w:val="center"/>
            <w:hideMark/>
          </w:tcPr>
          <w:p w14:paraId="4879A73A" w14:textId="77777777" w:rsidR="00DC55BF" w:rsidRPr="00896838" w:rsidRDefault="00DC55BF" w:rsidP="00DC55BF">
            <w:pPr>
              <w:spacing w:line="240" w:lineRule="auto"/>
              <w:ind w:firstLineChars="200" w:firstLine="440"/>
              <w:jc w:val="left"/>
              <w:rPr>
                <w:rFonts w:eastAsia="Times New Roman"/>
                <w:i/>
                <w:iCs/>
                <w:color w:val="000000"/>
                <w:sz w:val="22"/>
                <w:szCs w:val="22"/>
                <w:lang w:eastAsia="hr-HR"/>
              </w:rPr>
            </w:pPr>
            <w:r w:rsidRPr="00896838">
              <w:rPr>
                <w:rFonts w:eastAsia="Times New Roman"/>
                <w:i/>
                <w:iCs/>
                <w:color w:val="000000"/>
                <w:sz w:val="22"/>
                <w:szCs w:val="22"/>
                <w:lang w:eastAsia="hr-HR"/>
              </w:rPr>
              <w:t>Zagrebački potres</w:t>
            </w:r>
          </w:p>
        </w:tc>
        <w:tc>
          <w:tcPr>
            <w:tcW w:w="1890" w:type="dxa"/>
            <w:tcBorders>
              <w:top w:val="nil"/>
              <w:left w:val="nil"/>
              <w:bottom w:val="single" w:sz="4" w:space="0" w:color="A6A6A6"/>
              <w:right w:val="single" w:sz="4" w:space="0" w:color="A6A6A6"/>
            </w:tcBorders>
            <w:shd w:val="clear" w:color="000000" w:fill="FFFFFF"/>
            <w:noWrap/>
            <w:vAlign w:val="center"/>
            <w:hideMark/>
          </w:tcPr>
          <w:p w14:paraId="757EDB1D" w14:textId="7930F422"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3</w:t>
            </w:r>
          </w:p>
        </w:tc>
        <w:tc>
          <w:tcPr>
            <w:tcW w:w="1890" w:type="dxa"/>
            <w:tcBorders>
              <w:top w:val="nil"/>
              <w:left w:val="nil"/>
              <w:bottom w:val="single" w:sz="4" w:space="0" w:color="A6A6A6"/>
              <w:right w:val="single" w:sz="4" w:space="0" w:color="A6A6A6"/>
            </w:tcBorders>
            <w:shd w:val="clear" w:color="000000" w:fill="FFFFFF"/>
            <w:noWrap/>
            <w:vAlign w:val="center"/>
            <w:hideMark/>
          </w:tcPr>
          <w:p w14:paraId="1EA8EE09" w14:textId="6612C4A5"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28</w:t>
            </w:r>
          </w:p>
        </w:tc>
        <w:tc>
          <w:tcPr>
            <w:tcW w:w="1890" w:type="dxa"/>
            <w:tcBorders>
              <w:top w:val="nil"/>
              <w:left w:val="nil"/>
              <w:bottom w:val="single" w:sz="4" w:space="0" w:color="A6A6A6"/>
              <w:right w:val="single" w:sz="4" w:space="0" w:color="A6A6A6"/>
            </w:tcBorders>
            <w:shd w:val="clear" w:color="000000" w:fill="FFFFFF"/>
            <w:noWrap/>
            <w:vAlign w:val="center"/>
            <w:hideMark/>
          </w:tcPr>
          <w:p w14:paraId="51C0848B" w14:textId="790ED75D"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31</w:t>
            </w:r>
          </w:p>
        </w:tc>
      </w:tr>
      <w:tr w:rsidR="00DC55BF" w:rsidRPr="00896838" w14:paraId="770C0E3A"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D9E1F2"/>
            <w:noWrap/>
            <w:vAlign w:val="center"/>
            <w:hideMark/>
          </w:tcPr>
          <w:p w14:paraId="449D2537" w14:textId="77777777" w:rsidR="00DC55BF" w:rsidRPr="00896838" w:rsidRDefault="00DC55BF" w:rsidP="00DC55BF">
            <w:pPr>
              <w:spacing w:line="240" w:lineRule="auto"/>
              <w:jc w:val="left"/>
              <w:rPr>
                <w:rFonts w:eastAsia="Times New Roman"/>
                <w:color w:val="000000"/>
                <w:sz w:val="22"/>
                <w:szCs w:val="22"/>
                <w:lang w:eastAsia="hr-HR"/>
              </w:rPr>
            </w:pPr>
            <w:r w:rsidRPr="00896838">
              <w:rPr>
                <w:rFonts w:eastAsia="Times New Roman"/>
                <w:color w:val="000000"/>
                <w:sz w:val="22"/>
                <w:szCs w:val="22"/>
                <w:lang w:eastAsia="hr-HR"/>
              </w:rPr>
              <w:t xml:space="preserve">Novčana pomoć za </w:t>
            </w:r>
            <w:proofErr w:type="spellStart"/>
            <w:r w:rsidRPr="00896838">
              <w:rPr>
                <w:rFonts w:eastAsia="Times New Roman"/>
                <w:color w:val="000000"/>
                <w:sz w:val="22"/>
                <w:szCs w:val="22"/>
                <w:lang w:eastAsia="hr-HR"/>
              </w:rPr>
              <w:t>nekonstrukcijsku</w:t>
            </w:r>
            <w:proofErr w:type="spellEnd"/>
            <w:r w:rsidRPr="00896838">
              <w:rPr>
                <w:rFonts w:eastAsia="Times New Roman"/>
                <w:color w:val="000000"/>
                <w:sz w:val="22"/>
                <w:szCs w:val="22"/>
                <w:lang w:eastAsia="hr-HR"/>
              </w:rPr>
              <w:t xml:space="preserve"> obnovu</w:t>
            </w:r>
          </w:p>
        </w:tc>
        <w:tc>
          <w:tcPr>
            <w:tcW w:w="1890" w:type="dxa"/>
            <w:tcBorders>
              <w:top w:val="nil"/>
              <w:left w:val="nil"/>
              <w:bottom w:val="single" w:sz="4" w:space="0" w:color="A6A6A6"/>
              <w:right w:val="single" w:sz="4" w:space="0" w:color="A6A6A6"/>
            </w:tcBorders>
            <w:shd w:val="clear" w:color="000000" w:fill="D9E1F2"/>
            <w:noWrap/>
            <w:vAlign w:val="center"/>
            <w:hideMark/>
          </w:tcPr>
          <w:p w14:paraId="118E167E" w14:textId="5B5C1A50"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2.423</w:t>
            </w:r>
          </w:p>
        </w:tc>
        <w:tc>
          <w:tcPr>
            <w:tcW w:w="1890" w:type="dxa"/>
            <w:tcBorders>
              <w:top w:val="nil"/>
              <w:left w:val="nil"/>
              <w:bottom w:val="single" w:sz="4" w:space="0" w:color="A6A6A6"/>
              <w:right w:val="single" w:sz="4" w:space="0" w:color="A6A6A6"/>
            </w:tcBorders>
            <w:shd w:val="clear" w:color="000000" w:fill="D9E1F2"/>
            <w:noWrap/>
            <w:vAlign w:val="center"/>
            <w:hideMark/>
          </w:tcPr>
          <w:p w14:paraId="13018996" w14:textId="776A4C6C"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1.233</w:t>
            </w:r>
          </w:p>
        </w:tc>
        <w:tc>
          <w:tcPr>
            <w:tcW w:w="1890" w:type="dxa"/>
            <w:tcBorders>
              <w:top w:val="nil"/>
              <w:left w:val="nil"/>
              <w:bottom w:val="single" w:sz="4" w:space="0" w:color="A6A6A6"/>
              <w:right w:val="single" w:sz="4" w:space="0" w:color="A6A6A6"/>
            </w:tcBorders>
            <w:shd w:val="clear" w:color="000000" w:fill="D9E1F2"/>
            <w:noWrap/>
            <w:vAlign w:val="center"/>
            <w:hideMark/>
          </w:tcPr>
          <w:p w14:paraId="3D08009B" w14:textId="3660C62F"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3.656</w:t>
            </w:r>
          </w:p>
        </w:tc>
      </w:tr>
      <w:tr w:rsidR="00DC55BF" w:rsidRPr="00896838" w14:paraId="43E71EC7"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FFFFFF"/>
            <w:noWrap/>
            <w:vAlign w:val="center"/>
            <w:hideMark/>
          </w:tcPr>
          <w:p w14:paraId="248AB1B2" w14:textId="77777777" w:rsidR="00DC55BF" w:rsidRPr="00896838" w:rsidRDefault="00DC55BF" w:rsidP="00DC55BF">
            <w:pPr>
              <w:spacing w:line="240" w:lineRule="auto"/>
              <w:ind w:firstLineChars="200" w:firstLine="440"/>
              <w:jc w:val="left"/>
              <w:rPr>
                <w:rFonts w:eastAsia="Times New Roman"/>
                <w:i/>
                <w:iCs/>
                <w:color w:val="000000"/>
                <w:sz w:val="22"/>
                <w:szCs w:val="22"/>
                <w:lang w:eastAsia="hr-HR"/>
              </w:rPr>
            </w:pPr>
            <w:r w:rsidRPr="00896838">
              <w:rPr>
                <w:rFonts w:eastAsia="Times New Roman"/>
                <w:i/>
                <w:iCs/>
                <w:color w:val="000000"/>
                <w:sz w:val="22"/>
                <w:szCs w:val="22"/>
                <w:lang w:eastAsia="hr-HR"/>
              </w:rPr>
              <w:t>Petrinjski potres</w:t>
            </w:r>
          </w:p>
        </w:tc>
        <w:tc>
          <w:tcPr>
            <w:tcW w:w="1890" w:type="dxa"/>
            <w:tcBorders>
              <w:top w:val="nil"/>
              <w:left w:val="nil"/>
              <w:bottom w:val="single" w:sz="4" w:space="0" w:color="A6A6A6"/>
              <w:right w:val="single" w:sz="4" w:space="0" w:color="A6A6A6"/>
            </w:tcBorders>
            <w:shd w:val="clear" w:color="000000" w:fill="FFFFFF"/>
            <w:noWrap/>
            <w:vAlign w:val="center"/>
            <w:hideMark/>
          </w:tcPr>
          <w:p w14:paraId="77EF7031" w14:textId="399FB983"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444</w:t>
            </w:r>
          </w:p>
        </w:tc>
        <w:tc>
          <w:tcPr>
            <w:tcW w:w="1890" w:type="dxa"/>
            <w:tcBorders>
              <w:top w:val="nil"/>
              <w:left w:val="nil"/>
              <w:bottom w:val="single" w:sz="4" w:space="0" w:color="A6A6A6"/>
              <w:right w:val="single" w:sz="4" w:space="0" w:color="A6A6A6"/>
            </w:tcBorders>
            <w:shd w:val="clear" w:color="000000" w:fill="FFFFFF"/>
            <w:noWrap/>
            <w:vAlign w:val="center"/>
            <w:hideMark/>
          </w:tcPr>
          <w:p w14:paraId="37AFFF9D" w14:textId="3F9CB885"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588</w:t>
            </w:r>
          </w:p>
        </w:tc>
        <w:tc>
          <w:tcPr>
            <w:tcW w:w="1890" w:type="dxa"/>
            <w:tcBorders>
              <w:top w:val="nil"/>
              <w:left w:val="nil"/>
              <w:bottom w:val="single" w:sz="4" w:space="0" w:color="A6A6A6"/>
              <w:right w:val="single" w:sz="4" w:space="0" w:color="A6A6A6"/>
            </w:tcBorders>
            <w:shd w:val="clear" w:color="000000" w:fill="FFFFFF"/>
            <w:noWrap/>
            <w:vAlign w:val="center"/>
            <w:hideMark/>
          </w:tcPr>
          <w:p w14:paraId="75EDEE97" w14:textId="7A5FAFAA"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1.032</w:t>
            </w:r>
          </w:p>
        </w:tc>
      </w:tr>
      <w:tr w:rsidR="00DC55BF" w:rsidRPr="00896838" w14:paraId="15114E6F"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FFFFFF"/>
            <w:noWrap/>
            <w:vAlign w:val="center"/>
            <w:hideMark/>
          </w:tcPr>
          <w:p w14:paraId="14947EF4" w14:textId="77777777" w:rsidR="00DC55BF" w:rsidRPr="00896838" w:rsidRDefault="00DC55BF" w:rsidP="00DC55BF">
            <w:pPr>
              <w:spacing w:line="240" w:lineRule="auto"/>
              <w:ind w:firstLineChars="200" w:firstLine="440"/>
              <w:jc w:val="left"/>
              <w:rPr>
                <w:rFonts w:eastAsia="Times New Roman"/>
                <w:i/>
                <w:iCs/>
                <w:color w:val="000000"/>
                <w:sz w:val="22"/>
                <w:szCs w:val="22"/>
                <w:lang w:eastAsia="hr-HR"/>
              </w:rPr>
            </w:pPr>
            <w:r w:rsidRPr="00896838">
              <w:rPr>
                <w:rFonts w:eastAsia="Times New Roman"/>
                <w:i/>
                <w:iCs/>
                <w:color w:val="000000"/>
                <w:sz w:val="22"/>
                <w:szCs w:val="22"/>
                <w:lang w:eastAsia="hr-HR"/>
              </w:rPr>
              <w:t>Zagrebački potres</w:t>
            </w:r>
          </w:p>
        </w:tc>
        <w:tc>
          <w:tcPr>
            <w:tcW w:w="1890" w:type="dxa"/>
            <w:tcBorders>
              <w:top w:val="nil"/>
              <w:left w:val="nil"/>
              <w:bottom w:val="single" w:sz="4" w:space="0" w:color="A6A6A6"/>
              <w:right w:val="single" w:sz="4" w:space="0" w:color="A6A6A6"/>
            </w:tcBorders>
            <w:shd w:val="clear" w:color="000000" w:fill="FFFFFF"/>
            <w:noWrap/>
            <w:vAlign w:val="center"/>
            <w:hideMark/>
          </w:tcPr>
          <w:p w14:paraId="19527F90" w14:textId="43E2F56F"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1.979</w:t>
            </w:r>
          </w:p>
        </w:tc>
        <w:tc>
          <w:tcPr>
            <w:tcW w:w="1890" w:type="dxa"/>
            <w:tcBorders>
              <w:top w:val="nil"/>
              <w:left w:val="nil"/>
              <w:bottom w:val="single" w:sz="4" w:space="0" w:color="A6A6A6"/>
              <w:right w:val="single" w:sz="4" w:space="0" w:color="A6A6A6"/>
            </w:tcBorders>
            <w:shd w:val="clear" w:color="000000" w:fill="FFFFFF"/>
            <w:noWrap/>
            <w:vAlign w:val="center"/>
            <w:hideMark/>
          </w:tcPr>
          <w:p w14:paraId="0CF4725C" w14:textId="74EE73B8"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645</w:t>
            </w:r>
          </w:p>
        </w:tc>
        <w:tc>
          <w:tcPr>
            <w:tcW w:w="1890" w:type="dxa"/>
            <w:tcBorders>
              <w:top w:val="nil"/>
              <w:left w:val="nil"/>
              <w:bottom w:val="single" w:sz="4" w:space="0" w:color="A6A6A6"/>
              <w:right w:val="single" w:sz="4" w:space="0" w:color="A6A6A6"/>
            </w:tcBorders>
            <w:shd w:val="clear" w:color="000000" w:fill="FFFFFF"/>
            <w:noWrap/>
            <w:vAlign w:val="center"/>
            <w:hideMark/>
          </w:tcPr>
          <w:p w14:paraId="18D3EBFF" w14:textId="252AB6A1"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2.624</w:t>
            </w:r>
          </w:p>
        </w:tc>
      </w:tr>
      <w:tr w:rsidR="00DC55BF" w:rsidRPr="00896838" w14:paraId="00BD070C"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D9E1F2"/>
            <w:noWrap/>
            <w:vAlign w:val="center"/>
            <w:hideMark/>
          </w:tcPr>
          <w:p w14:paraId="53FAC606" w14:textId="77777777" w:rsidR="00DC55BF" w:rsidRPr="00896838" w:rsidRDefault="00DC55BF" w:rsidP="00DC55BF">
            <w:pPr>
              <w:spacing w:line="240" w:lineRule="auto"/>
              <w:jc w:val="left"/>
              <w:rPr>
                <w:rFonts w:eastAsia="Times New Roman"/>
                <w:color w:val="000000"/>
                <w:sz w:val="22"/>
                <w:szCs w:val="22"/>
                <w:lang w:eastAsia="hr-HR"/>
              </w:rPr>
            </w:pPr>
            <w:r w:rsidRPr="00896838">
              <w:rPr>
                <w:rFonts w:eastAsia="Times New Roman"/>
                <w:color w:val="000000"/>
                <w:sz w:val="22"/>
                <w:szCs w:val="22"/>
                <w:lang w:eastAsia="hr-HR"/>
              </w:rPr>
              <w:t>SDUOSZ program samoobnove</w:t>
            </w:r>
          </w:p>
        </w:tc>
        <w:tc>
          <w:tcPr>
            <w:tcW w:w="1890" w:type="dxa"/>
            <w:tcBorders>
              <w:top w:val="nil"/>
              <w:left w:val="nil"/>
              <w:bottom w:val="single" w:sz="4" w:space="0" w:color="A6A6A6"/>
              <w:right w:val="single" w:sz="4" w:space="0" w:color="A6A6A6"/>
            </w:tcBorders>
            <w:shd w:val="clear" w:color="000000" w:fill="D9E1F2"/>
            <w:noWrap/>
            <w:vAlign w:val="center"/>
            <w:hideMark/>
          </w:tcPr>
          <w:p w14:paraId="49B38F90" w14:textId="72AD03F2"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1.202</w:t>
            </w:r>
          </w:p>
        </w:tc>
        <w:tc>
          <w:tcPr>
            <w:tcW w:w="1890" w:type="dxa"/>
            <w:tcBorders>
              <w:top w:val="nil"/>
              <w:left w:val="nil"/>
              <w:bottom w:val="single" w:sz="4" w:space="0" w:color="A6A6A6"/>
              <w:right w:val="single" w:sz="4" w:space="0" w:color="A6A6A6"/>
            </w:tcBorders>
            <w:shd w:val="clear" w:color="000000" w:fill="D9E1F2"/>
            <w:noWrap/>
            <w:vAlign w:val="center"/>
            <w:hideMark/>
          </w:tcPr>
          <w:p w14:paraId="08976593" w14:textId="727D435D"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37</w:t>
            </w:r>
          </w:p>
        </w:tc>
        <w:tc>
          <w:tcPr>
            <w:tcW w:w="1890" w:type="dxa"/>
            <w:tcBorders>
              <w:top w:val="nil"/>
              <w:left w:val="nil"/>
              <w:bottom w:val="single" w:sz="4" w:space="0" w:color="A6A6A6"/>
              <w:right w:val="single" w:sz="4" w:space="0" w:color="A6A6A6"/>
            </w:tcBorders>
            <w:shd w:val="clear" w:color="000000" w:fill="D9E1F2"/>
            <w:noWrap/>
            <w:vAlign w:val="center"/>
            <w:hideMark/>
          </w:tcPr>
          <w:p w14:paraId="33207F36" w14:textId="4A8E28B7" w:rsidR="00DC55BF" w:rsidRPr="00896838" w:rsidRDefault="00DC55BF" w:rsidP="00DC55BF">
            <w:pPr>
              <w:spacing w:line="240" w:lineRule="auto"/>
              <w:jc w:val="center"/>
              <w:rPr>
                <w:rFonts w:eastAsia="Times New Roman"/>
                <w:color w:val="000000"/>
                <w:sz w:val="22"/>
                <w:szCs w:val="22"/>
                <w:lang w:eastAsia="hr-HR"/>
              </w:rPr>
            </w:pPr>
            <w:r>
              <w:rPr>
                <w:color w:val="000000"/>
                <w:sz w:val="22"/>
                <w:szCs w:val="22"/>
              </w:rPr>
              <w:t>1.239</w:t>
            </w:r>
          </w:p>
        </w:tc>
      </w:tr>
      <w:tr w:rsidR="00DC55BF" w:rsidRPr="00896838" w14:paraId="165E654B" w14:textId="77777777" w:rsidTr="000A132C">
        <w:trPr>
          <w:trHeight w:val="567"/>
        </w:trPr>
        <w:tc>
          <w:tcPr>
            <w:tcW w:w="3397" w:type="dxa"/>
            <w:tcBorders>
              <w:top w:val="nil"/>
              <w:left w:val="single" w:sz="4" w:space="0" w:color="A6A6A6"/>
              <w:bottom w:val="single" w:sz="4" w:space="0" w:color="A6A6A6"/>
              <w:right w:val="single" w:sz="4" w:space="0" w:color="A6A6A6"/>
            </w:tcBorders>
            <w:shd w:val="clear" w:color="000000" w:fill="002060"/>
            <w:vAlign w:val="center"/>
            <w:hideMark/>
          </w:tcPr>
          <w:p w14:paraId="6EC41553" w14:textId="77777777" w:rsidR="00DC55BF" w:rsidRPr="00896838" w:rsidRDefault="00DC55BF" w:rsidP="00DC55BF">
            <w:pPr>
              <w:spacing w:line="240" w:lineRule="auto"/>
              <w:jc w:val="left"/>
              <w:rPr>
                <w:rFonts w:eastAsia="Times New Roman"/>
                <w:color w:val="FFFFFF"/>
                <w:sz w:val="22"/>
                <w:szCs w:val="22"/>
                <w:lang w:eastAsia="hr-HR"/>
              </w:rPr>
            </w:pPr>
            <w:r w:rsidRPr="00896838">
              <w:rPr>
                <w:rFonts w:eastAsia="Times New Roman"/>
                <w:color w:val="FFFFFF"/>
                <w:sz w:val="22"/>
                <w:szCs w:val="22"/>
                <w:lang w:eastAsia="hr-HR"/>
              </w:rPr>
              <w:t>UKUPNO</w:t>
            </w:r>
          </w:p>
        </w:tc>
        <w:tc>
          <w:tcPr>
            <w:tcW w:w="1890" w:type="dxa"/>
            <w:tcBorders>
              <w:top w:val="nil"/>
              <w:left w:val="nil"/>
              <w:bottom w:val="single" w:sz="4" w:space="0" w:color="A6A6A6"/>
              <w:right w:val="single" w:sz="4" w:space="0" w:color="A6A6A6"/>
            </w:tcBorders>
            <w:shd w:val="clear" w:color="000000" w:fill="002060"/>
            <w:vAlign w:val="center"/>
            <w:hideMark/>
          </w:tcPr>
          <w:p w14:paraId="1BED0122" w14:textId="4A99D690" w:rsidR="00DC55BF" w:rsidRPr="00896838" w:rsidRDefault="00DC55BF" w:rsidP="00DC55BF">
            <w:pPr>
              <w:spacing w:line="240" w:lineRule="auto"/>
              <w:jc w:val="center"/>
              <w:rPr>
                <w:rFonts w:eastAsia="Times New Roman"/>
                <w:color w:val="FFFFFF"/>
                <w:sz w:val="22"/>
                <w:szCs w:val="22"/>
                <w:lang w:eastAsia="hr-HR"/>
              </w:rPr>
            </w:pPr>
            <w:r>
              <w:rPr>
                <w:color w:val="FFFFFF"/>
                <w:sz w:val="22"/>
                <w:szCs w:val="22"/>
              </w:rPr>
              <w:t>7.215</w:t>
            </w:r>
          </w:p>
        </w:tc>
        <w:tc>
          <w:tcPr>
            <w:tcW w:w="1890" w:type="dxa"/>
            <w:tcBorders>
              <w:top w:val="nil"/>
              <w:left w:val="nil"/>
              <w:bottom w:val="single" w:sz="4" w:space="0" w:color="A6A6A6"/>
              <w:right w:val="single" w:sz="4" w:space="0" w:color="A6A6A6"/>
            </w:tcBorders>
            <w:shd w:val="clear" w:color="000000" w:fill="002060"/>
            <w:vAlign w:val="center"/>
            <w:hideMark/>
          </w:tcPr>
          <w:p w14:paraId="6E512A53" w14:textId="60A47D60" w:rsidR="00DC55BF" w:rsidRPr="00896838" w:rsidRDefault="00DC55BF" w:rsidP="00DC55BF">
            <w:pPr>
              <w:spacing w:line="240" w:lineRule="auto"/>
              <w:jc w:val="center"/>
              <w:rPr>
                <w:rFonts w:eastAsia="Times New Roman"/>
                <w:color w:val="FFFFFF"/>
                <w:sz w:val="22"/>
                <w:szCs w:val="22"/>
                <w:lang w:eastAsia="hr-HR"/>
              </w:rPr>
            </w:pPr>
            <w:r>
              <w:rPr>
                <w:color w:val="FFFFFF"/>
                <w:sz w:val="22"/>
                <w:szCs w:val="22"/>
              </w:rPr>
              <w:t>2.869</w:t>
            </w:r>
          </w:p>
        </w:tc>
        <w:tc>
          <w:tcPr>
            <w:tcW w:w="1890" w:type="dxa"/>
            <w:tcBorders>
              <w:top w:val="nil"/>
              <w:left w:val="nil"/>
              <w:bottom w:val="single" w:sz="4" w:space="0" w:color="A6A6A6"/>
              <w:right w:val="single" w:sz="4" w:space="0" w:color="A6A6A6"/>
            </w:tcBorders>
            <w:shd w:val="clear" w:color="000000" w:fill="002060"/>
            <w:vAlign w:val="center"/>
            <w:hideMark/>
          </w:tcPr>
          <w:p w14:paraId="3AD19C1A" w14:textId="216ABA65" w:rsidR="00DC55BF" w:rsidRPr="00896838" w:rsidRDefault="00DC55BF" w:rsidP="00DC55BF">
            <w:pPr>
              <w:spacing w:line="240" w:lineRule="auto"/>
              <w:jc w:val="center"/>
              <w:rPr>
                <w:rFonts w:eastAsia="Times New Roman"/>
                <w:color w:val="FFFFFF"/>
                <w:sz w:val="22"/>
                <w:szCs w:val="22"/>
                <w:lang w:eastAsia="hr-HR"/>
              </w:rPr>
            </w:pPr>
            <w:r>
              <w:rPr>
                <w:color w:val="FFFFFF"/>
                <w:sz w:val="22"/>
                <w:szCs w:val="22"/>
              </w:rPr>
              <w:t>10.084</w:t>
            </w:r>
          </w:p>
        </w:tc>
      </w:tr>
    </w:tbl>
    <w:p w14:paraId="7EEAFACF" w14:textId="14013D7E" w:rsidR="00AA6BD1" w:rsidRDefault="00125616" w:rsidP="00F45961">
      <w:pPr>
        <w:spacing w:before="60" w:after="60"/>
        <w:rPr>
          <w:b/>
          <w:bCs/>
        </w:rPr>
      </w:pPr>
      <w:r w:rsidRPr="00C9549D">
        <w:lastRenderedPageBreak/>
        <w:t xml:space="preserve"> </w:t>
      </w:r>
      <w:r w:rsidR="00AA6BD1" w:rsidRPr="00AF6FF8">
        <w:rPr>
          <w:b/>
          <w:bCs/>
        </w:rPr>
        <w:t xml:space="preserve">Novčana pomoć za </w:t>
      </w:r>
      <w:proofErr w:type="spellStart"/>
      <w:r w:rsidR="00AA6BD1" w:rsidRPr="00AF6FF8">
        <w:rPr>
          <w:b/>
          <w:bCs/>
        </w:rPr>
        <w:t>nekonstrukcijsku</w:t>
      </w:r>
      <w:proofErr w:type="spellEnd"/>
      <w:r w:rsidR="00AA6BD1" w:rsidRPr="00AF6FF8">
        <w:rPr>
          <w:b/>
          <w:bCs/>
        </w:rPr>
        <w:t xml:space="preserve"> obnovu</w:t>
      </w:r>
    </w:p>
    <w:p w14:paraId="17A4CF3D" w14:textId="6A555118" w:rsidR="00AA6BD1" w:rsidRDefault="00AA6BD1" w:rsidP="00AA6BD1">
      <w:r w:rsidRPr="00AF6FF8">
        <w:t xml:space="preserve">Do </w:t>
      </w:r>
      <w:r w:rsidR="008B7703">
        <w:t>3</w:t>
      </w:r>
      <w:r w:rsidR="00996C1E">
        <w:t xml:space="preserve">1. prosinca </w:t>
      </w:r>
      <w:r w:rsidR="008B7703">
        <w:t>2023.</w:t>
      </w:r>
      <w:r w:rsidRPr="00AF6FF8">
        <w:t xml:space="preserve"> izvršeno je ukupno </w:t>
      </w:r>
      <w:r w:rsidR="00996C1E">
        <w:t>4</w:t>
      </w:r>
      <w:r w:rsidRPr="00AF6FF8">
        <w:t>.</w:t>
      </w:r>
      <w:r w:rsidR="00996C1E">
        <w:t>717</w:t>
      </w:r>
      <w:r w:rsidRPr="00AF6FF8">
        <w:t xml:space="preserve"> isplata novčanih pomoći za </w:t>
      </w:r>
      <w:proofErr w:type="spellStart"/>
      <w:r w:rsidRPr="00AF6FF8">
        <w:t>nekonstrukcijsku</w:t>
      </w:r>
      <w:proofErr w:type="spellEnd"/>
      <w:r w:rsidRPr="00AF6FF8">
        <w:t xml:space="preserve"> obnovu za 3.</w:t>
      </w:r>
      <w:r w:rsidR="00996C1E">
        <w:t>656</w:t>
      </w:r>
      <w:r w:rsidRPr="00AF6FF8">
        <w:t xml:space="preserve"> </w:t>
      </w:r>
      <w:r w:rsidR="00996C1E">
        <w:t>kuća i zgrada</w:t>
      </w:r>
      <w:r w:rsidRPr="00AF6FF8">
        <w:t xml:space="preserve">, a ukupno je isplaćeno </w:t>
      </w:r>
      <w:r w:rsidR="00996C1E">
        <w:t>36</w:t>
      </w:r>
      <w:r w:rsidRPr="00AF6FF8">
        <w:rPr>
          <w:color w:val="000000" w:themeColor="text1"/>
        </w:rPr>
        <w:t>,</w:t>
      </w:r>
      <w:r w:rsidR="00996C1E">
        <w:rPr>
          <w:color w:val="000000" w:themeColor="text1"/>
        </w:rPr>
        <w:t>4</w:t>
      </w:r>
      <w:r w:rsidRPr="00AF6FF8">
        <w:rPr>
          <w:color w:val="000000" w:themeColor="text1"/>
        </w:rPr>
        <w:t xml:space="preserve"> milijuna eura</w:t>
      </w:r>
      <w:r w:rsidRPr="00AF6FF8">
        <w:t>. Tijekom izvještajnog razdoblja ubrzala se dinamika isplata što je vidljivo</w:t>
      </w:r>
      <w:r>
        <w:t xml:space="preserve"> </w:t>
      </w:r>
      <w:r w:rsidR="00A13380">
        <w:t xml:space="preserve">iz činjenice da je tijekom </w:t>
      </w:r>
      <w:r w:rsidRPr="00AF6FF8">
        <w:t xml:space="preserve">2023. godine </w:t>
      </w:r>
      <w:r w:rsidRPr="00E46073">
        <w:t xml:space="preserve">izvršeno </w:t>
      </w:r>
      <w:r w:rsidR="00E46DA7">
        <w:t>1.879 isplata</w:t>
      </w:r>
      <w:r w:rsidRPr="00E46073">
        <w:t xml:space="preserve"> u visini od </w:t>
      </w:r>
      <w:r w:rsidR="00E46DA7">
        <w:t>16</w:t>
      </w:r>
      <w:r w:rsidRPr="00E46073">
        <w:t>,</w:t>
      </w:r>
      <w:r w:rsidR="00E46DA7">
        <w:t>5</w:t>
      </w:r>
      <w:r w:rsidRPr="00E46073">
        <w:t xml:space="preserve"> milijuna eura</w:t>
      </w:r>
      <w:r w:rsidRPr="00AF6FF8">
        <w:t xml:space="preserve"> što je </w:t>
      </w:r>
      <w:r w:rsidR="00336203">
        <w:t>44</w:t>
      </w:r>
      <w:r w:rsidR="008B3B64">
        <w:t xml:space="preserve"> %</w:t>
      </w:r>
      <w:r w:rsidRPr="00AF6FF8">
        <w:t xml:space="preserve"> </w:t>
      </w:r>
      <w:r w:rsidR="00336203">
        <w:t xml:space="preserve">veći </w:t>
      </w:r>
      <w:r w:rsidRPr="00AF6FF8">
        <w:t>broj isplata</w:t>
      </w:r>
      <w:r w:rsidR="00336203">
        <w:t xml:space="preserve"> od </w:t>
      </w:r>
      <w:r w:rsidR="009E61BF">
        <w:t>1.300 isplata</w:t>
      </w:r>
      <w:r w:rsidR="00F71C4D">
        <w:t xml:space="preserve"> u </w:t>
      </w:r>
      <w:r w:rsidR="00336203">
        <w:t>2022. godin</w:t>
      </w:r>
      <w:r w:rsidR="00F71C4D">
        <w:t>i</w:t>
      </w:r>
      <w:r w:rsidRPr="00AF6FF8">
        <w:t xml:space="preserve"> te </w:t>
      </w:r>
      <w:r w:rsidR="004A25F0">
        <w:t>60</w:t>
      </w:r>
      <w:r w:rsidR="008B3B64">
        <w:t xml:space="preserve"> %</w:t>
      </w:r>
      <w:r w:rsidRPr="00AF6FF8">
        <w:t xml:space="preserve"> </w:t>
      </w:r>
      <w:r w:rsidR="004A25F0">
        <w:t xml:space="preserve">veći iznos od </w:t>
      </w:r>
      <w:r w:rsidR="009E61BF">
        <w:t>10</w:t>
      </w:r>
      <w:r w:rsidR="008860ED">
        <w:t>,</w:t>
      </w:r>
      <w:r w:rsidR="009E61BF">
        <w:t xml:space="preserve">28 </w:t>
      </w:r>
      <w:r w:rsidR="008F0FD1">
        <w:t xml:space="preserve">milijuna eura isplaćenih </w:t>
      </w:r>
      <w:r w:rsidR="004A25F0">
        <w:t>tijekom</w:t>
      </w:r>
      <w:r w:rsidRPr="00AF6FF8">
        <w:t xml:space="preserve"> 2022. godin</w:t>
      </w:r>
      <w:r w:rsidR="004A25F0">
        <w:t>e</w:t>
      </w:r>
      <w:r w:rsidRPr="00AF6FF8">
        <w:t>.</w:t>
      </w:r>
    </w:p>
    <w:p w14:paraId="28AF0A57" w14:textId="293B4608" w:rsidR="00AA6BD1" w:rsidRPr="00AF6FF8" w:rsidRDefault="00AA6BD1" w:rsidP="00AA6BD1">
      <w:pPr>
        <w:spacing w:before="120"/>
        <w:rPr>
          <w:i/>
          <w:iCs/>
        </w:rPr>
      </w:pPr>
      <w:r w:rsidRPr="00AF6FF8">
        <w:rPr>
          <w:i/>
          <w:iCs/>
        </w:rPr>
        <w:t>Pregled isplata, broja lokacija i ukupno isplaćenog iznosa po izvještajnim razdobljima</w:t>
      </w:r>
    </w:p>
    <w:tbl>
      <w:tblPr>
        <w:tblW w:w="9067" w:type="dxa"/>
        <w:tblLayout w:type="fixed"/>
        <w:tblLook w:val="04A0" w:firstRow="1" w:lastRow="0" w:firstColumn="1" w:lastColumn="0" w:noHBand="0" w:noVBand="1"/>
      </w:tblPr>
      <w:tblGrid>
        <w:gridCol w:w="2547"/>
        <w:gridCol w:w="1984"/>
        <w:gridCol w:w="1985"/>
        <w:gridCol w:w="2551"/>
      </w:tblGrid>
      <w:tr w:rsidR="00AA6BD1" w:rsidRPr="00AF6FF8" w14:paraId="0F697649" w14:textId="77777777" w:rsidTr="000A132C">
        <w:trPr>
          <w:trHeight w:val="454"/>
        </w:trPr>
        <w:tc>
          <w:tcPr>
            <w:tcW w:w="2547"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5E2C6167" w14:textId="77777777" w:rsidR="00AA6BD1" w:rsidRPr="00AF6FF8" w:rsidRDefault="00AA6BD1">
            <w:pPr>
              <w:spacing w:line="240" w:lineRule="auto"/>
              <w:jc w:val="center"/>
              <w:rPr>
                <w:rFonts w:eastAsia="Times New Roman"/>
                <w:color w:val="FFFFFF"/>
                <w:sz w:val="22"/>
                <w:szCs w:val="22"/>
                <w:lang w:eastAsia="hr-HR"/>
              </w:rPr>
            </w:pPr>
            <w:r w:rsidRPr="00AF6FF8">
              <w:rPr>
                <w:rFonts w:eastAsia="Times New Roman"/>
                <w:color w:val="FFFFFF"/>
                <w:sz w:val="22"/>
                <w:szCs w:val="22"/>
                <w:lang w:eastAsia="hr-HR"/>
              </w:rPr>
              <w:t>Stanje na dan</w:t>
            </w:r>
          </w:p>
        </w:tc>
        <w:tc>
          <w:tcPr>
            <w:tcW w:w="1984" w:type="dxa"/>
            <w:tcBorders>
              <w:top w:val="single" w:sz="4" w:space="0" w:color="A6A6A6"/>
              <w:left w:val="nil"/>
              <w:bottom w:val="single" w:sz="4" w:space="0" w:color="A6A6A6"/>
              <w:right w:val="single" w:sz="4" w:space="0" w:color="A6A6A6"/>
            </w:tcBorders>
            <w:shd w:val="clear" w:color="000000" w:fill="002060"/>
            <w:vAlign w:val="center"/>
            <w:hideMark/>
          </w:tcPr>
          <w:p w14:paraId="67A1964A" w14:textId="77777777" w:rsidR="00AA6BD1" w:rsidRPr="00AF6FF8" w:rsidRDefault="00AA6BD1">
            <w:pPr>
              <w:spacing w:line="240" w:lineRule="auto"/>
              <w:jc w:val="center"/>
              <w:rPr>
                <w:rFonts w:eastAsia="Times New Roman"/>
                <w:color w:val="FFFFFF"/>
                <w:sz w:val="22"/>
                <w:szCs w:val="22"/>
                <w:lang w:eastAsia="hr-HR"/>
              </w:rPr>
            </w:pPr>
            <w:r w:rsidRPr="00AF6FF8">
              <w:rPr>
                <w:rFonts w:eastAsia="Times New Roman"/>
                <w:color w:val="FFFFFF"/>
                <w:sz w:val="22"/>
                <w:szCs w:val="22"/>
                <w:lang w:eastAsia="hr-HR"/>
              </w:rPr>
              <w:t>Broj isplata</w:t>
            </w:r>
          </w:p>
        </w:tc>
        <w:tc>
          <w:tcPr>
            <w:tcW w:w="1985" w:type="dxa"/>
            <w:tcBorders>
              <w:top w:val="single" w:sz="4" w:space="0" w:color="A6A6A6"/>
              <w:left w:val="nil"/>
              <w:bottom w:val="single" w:sz="4" w:space="0" w:color="A6A6A6"/>
              <w:right w:val="single" w:sz="4" w:space="0" w:color="A6A6A6"/>
            </w:tcBorders>
            <w:shd w:val="clear" w:color="000000" w:fill="002060"/>
            <w:vAlign w:val="center"/>
            <w:hideMark/>
          </w:tcPr>
          <w:p w14:paraId="3D0F87F9" w14:textId="77777777" w:rsidR="00AA6BD1" w:rsidRPr="00AF6FF8" w:rsidRDefault="00AA6BD1">
            <w:pPr>
              <w:spacing w:line="240" w:lineRule="auto"/>
              <w:jc w:val="center"/>
              <w:rPr>
                <w:rFonts w:eastAsia="Times New Roman"/>
                <w:color w:val="FFFFFF"/>
                <w:sz w:val="22"/>
                <w:szCs w:val="22"/>
                <w:lang w:eastAsia="hr-HR"/>
              </w:rPr>
            </w:pPr>
            <w:r w:rsidRPr="00AF6FF8">
              <w:rPr>
                <w:rFonts w:eastAsia="Times New Roman"/>
                <w:color w:val="FFFFFF"/>
                <w:sz w:val="22"/>
                <w:szCs w:val="22"/>
                <w:lang w:eastAsia="hr-HR"/>
              </w:rPr>
              <w:t>Broj lokacija</w:t>
            </w:r>
          </w:p>
        </w:tc>
        <w:tc>
          <w:tcPr>
            <w:tcW w:w="2551" w:type="dxa"/>
            <w:tcBorders>
              <w:top w:val="single" w:sz="4" w:space="0" w:color="A6A6A6"/>
              <w:left w:val="nil"/>
              <w:bottom w:val="single" w:sz="4" w:space="0" w:color="A6A6A6"/>
              <w:right w:val="single" w:sz="4" w:space="0" w:color="A6A6A6"/>
            </w:tcBorders>
            <w:shd w:val="clear" w:color="000000" w:fill="002060"/>
            <w:vAlign w:val="center"/>
            <w:hideMark/>
          </w:tcPr>
          <w:p w14:paraId="17E0354C" w14:textId="63D90908" w:rsidR="00AA6BD1" w:rsidRPr="00AF6FF8" w:rsidRDefault="00BF751A">
            <w:pPr>
              <w:spacing w:line="240" w:lineRule="auto"/>
              <w:jc w:val="center"/>
              <w:rPr>
                <w:rFonts w:eastAsia="Times New Roman"/>
                <w:color w:val="FFFFFF"/>
                <w:sz w:val="22"/>
                <w:szCs w:val="22"/>
                <w:lang w:eastAsia="hr-HR"/>
              </w:rPr>
            </w:pPr>
            <w:r>
              <w:rPr>
                <w:rFonts w:eastAsia="Times New Roman"/>
                <w:color w:val="FFFFFF"/>
                <w:sz w:val="22"/>
                <w:szCs w:val="22"/>
                <w:lang w:eastAsia="hr-HR"/>
              </w:rPr>
              <w:t>Ukupno i</w:t>
            </w:r>
            <w:r w:rsidR="00AA6BD1" w:rsidRPr="00AF6FF8">
              <w:rPr>
                <w:rFonts w:eastAsia="Times New Roman"/>
                <w:color w:val="FFFFFF"/>
                <w:sz w:val="22"/>
                <w:szCs w:val="22"/>
                <w:lang w:eastAsia="hr-HR"/>
              </w:rPr>
              <w:t>splaćeno</w:t>
            </w:r>
          </w:p>
        </w:tc>
      </w:tr>
      <w:tr w:rsidR="00422475" w:rsidRPr="00AF6FF8" w14:paraId="6C84DC89" w14:textId="77777777" w:rsidTr="000A132C">
        <w:trPr>
          <w:trHeight w:val="454"/>
        </w:trPr>
        <w:tc>
          <w:tcPr>
            <w:tcW w:w="2547" w:type="dxa"/>
            <w:tcBorders>
              <w:top w:val="nil"/>
              <w:left w:val="single" w:sz="4" w:space="0" w:color="A6A6A6"/>
              <w:bottom w:val="single" w:sz="4" w:space="0" w:color="A6A6A6"/>
              <w:right w:val="single" w:sz="4" w:space="0" w:color="A6A6A6"/>
            </w:tcBorders>
            <w:shd w:val="clear" w:color="auto" w:fill="auto"/>
            <w:vAlign w:val="center"/>
            <w:hideMark/>
          </w:tcPr>
          <w:p w14:paraId="5BEB818B" w14:textId="577867C3" w:rsidR="00422475" w:rsidRPr="00AF6FF8" w:rsidRDefault="00422475" w:rsidP="00422475">
            <w:pPr>
              <w:spacing w:line="240" w:lineRule="auto"/>
              <w:jc w:val="left"/>
              <w:rPr>
                <w:rFonts w:eastAsia="Times New Roman"/>
                <w:color w:val="000000"/>
                <w:sz w:val="22"/>
                <w:szCs w:val="22"/>
                <w:lang w:eastAsia="hr-HR"/>
              </w:rPr>
            </w:pPr>
            <w:r>
              <w:rPr>
                <w:rFonts w:eastAsia="Times New Roman"/>
                <w:color w:val="000000"/>
                <w:sz w:val="22"/>
                <w:szCs w:val="22"/>
                <w:lang w:eastAsia="hr-HR"/>
              </w:rPr>
              <w:t>31. prosinca 2020.</w:t>
            </w:r>
          </w:p>
        </w:tc>
        <w:tc>
          <w:tcPr>
            <w:tcW w:w="1984" w:type="dxa"/>
            <w:tcBorders>
              <w:top w:val="nil"/>
              <w:left w:val="nil"/>
              <w:bottom w:val="single" w:sz="4" w:space="0" w:color="A6A6A6"/>
              <w:right w:val="single" w:sz="4" w:space="0" w:color="A6A6A6"/>
            </w:tcBorders>
            <w:shd w:val="clear" w:color="auto" w:fill="auto"/>
            <w:noWrap/>
            <w:vAlign w:val="center"/>
            <w:hideMark/>
          </w:tcPr>
          <w:p w14:paraId="74D5A615" w14:textId="7DD84527"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691</w:t>
            </w:r>
          </w:p>
        </w:tc>
        <w:tc>
          <w:tcPr>
            <w:tcW w:w="1985" w:type="dxa"/>
            <w:tcBorders>
              <w:top w:val="nil"/>
              <w:left w:val="nil"/>
              <w:bottom w:val="single" w:sz="4" w:space="0" w:color="A6A6A6"/>
              <w:right w:val="single" w:sz="4" w:space="0" w:color="A6A6A6"/>
            </w:tcBorders>
            <w:shd w:val="clear" w:color="auto" w:fill="auto"/>
            <w:noWrap/>
            <w:vAlign w:val="center"/>
            <w:hideMark/>
          </w:tcPr>
          <w:p w14:paraId="435165BF" w14:textId="6CE1D2BD"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683</w:t>
            </w:r>
          </w:p>
        </w:tc>
        <w:tc>
          <w:tcPr>
            <w:tcW w:w="2551" w:type="dxa"/>
            <w:tcBorders>
              <w:top w:val="nil"/>
              <w:left w:val="nil"/>
              <w:bottom w:val="single" w:sz="4" w:space="0" w:color="A6A6A6"/>
              <w:right w:val="single" w:sz="4" w:space="0" w:color="A6A6A6"/>
            </w:tcBorders>
            <w:shd w:val="clear" w:color="auto" w:fill="auto"/>
            <w:noWrap/>
            <w:vAlign w:val="center"/>
            <w:hideMark/>
          </w:tcPr>
          <w:p w14:paraId="24B91C71" w14:textId="2E5E9A51" w:rsidR="00422475" w:rsidRPr="00AF6FF8" w:rsidRDefault="00422475" w:rsidP="00422475">
            <w:pPr>
              <w:spacing w:line="240" w:lineRule="auto"/>
              <w:jc w:val="right"/>
              <w:rPr>
                <w:rFonts w:eastAsia="Times New Roman"/>
                <w:color w:val="000000"/>
                <w:sz w:val="22"/>
                <w:szCs w:val="22"/>
                <w:lang w:eastAsia="hr-HR"/>
              </w:rPr>
            </w:pPr>
            <w:r>
              <w:rPr>
                <w:color w:val="000000"/>
                <w:sz w:val="22"/>
                <w:szCs w:val="22"/>
              </w:rPr>
              <w:t xml:space="preserve">                  3.438.811,73 € </w:t>
            </w:r>
          </w:p>
        </w:tc>
      </w:tr>
      <w:tr w:rsidR="00422475" w:rsidRPr="00AF6FF8" w14:paraId="68BB7BB1" w14:textId="77777777" w:rsidTr="000A132C">
        <w:trPr>
          <w:trHeight w:val="454"/>
        </w:trPr>
        <w:tc>
          <w:tcPr>
            <w:tcW w:w="2547" w:type="dxa"/>
            <w:tcBorders>
              <w:top w:val="nil"/>
              <w:left w:val="single" w:sz="4" w:space="0" w:color="A6A6A6"/>
              <w:bottom w:val="single" w:sz="4" w:space="0" w:color="A6A6A6"/>
              <w:right w:val="single" w:sz="4" w:space="0" w:color="A6A6A6"/>
            </w:tcBorders>
            <w:shd w:val="clear" w:color="auto" w:fill="auto"/>
            <w:vAlign w:val="center"/>
            <w:hideMark/>
          </w:tcPr>
          <w:p w14:paraId="400D6A88" w14:textId="58F7CDEC" w:rsidR="00422475" w:rsidRPr="00AF6FF8" w:rsidRDefault="00422475" w:rsidP="00422475">
            <w:pPr>
              <w:spacing w:line="240" w:lineRule="auto"/>
              <w:jc w:val="left"/>
              <w:rPr>
                <w:rFonts w:eastAsia="Times New Roman"/>
                <w:color w:val="000000"/>
                <w:sz w:val="22"/>
                <w:szCs w:val="22"/>
                <w:lang w:eastAsia="hr-HR"/>
              </w:rPr>
            </w:pPr>
            <w:r>
              <w:rPr>
                <w:rFonts w:eastAsia="Times New Roman"/>
                <w:color w:val="000000"/>
                <w:sz w:val="22"/>
                <w:szCs w:val="22"/>
                <w:lang w:eastAsia="hr-HR"/>
              </w:rPr>
              <w:t>31. prosinca 2021.</w:t>
            </w:r>
          </w:p>
        </w:tc>
        <w:tc>
          <w:tcPr>
            <w:tcW w:w="1984" w:type="dxa"/>
            <w:tcBorders>
              <w:top w:val="nil"/>
              <w:left w:val="nil"/>
              <w:bottom w:val="single" w:sz="4" w:space="0" w:color="A6A6A6"/>
              <w:right w:val="single" w:sz="4" w:space="0" w:color="A6A6A6"/>
            </w:tcBorders>
            <w:shd w:val="clear" w:color="auto" w:fill="auto"/>
            <w:noWrap/>
            <w:vAlign w:val="center"/>
            <w:hideMark/>
          </w:tcPr>
          <w:p w14:paraId="5DBCB97F" w14:textId="7E52E06D"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1.537</w:t>
            </w:r>
          </w:p>
        </w:tc>
        <w:tc>
          <w:tcPr>
            <w:tcW w:w="1985" w:type="dxa"/>
            <w:tcBorders>
              <w:top w:val="nil"/>
              <w:left w:val="nil"/>
              <w:bottom w:val="single" w:sz="4" w:space="0" w:color="A6A6A6"/>
              <w:right w:val="single" w:sz="4" w:space="0" w:color="A6A6A6"/>
            </w:tcBorders>
            <w:shd w:val="clear" w:color="auto" w:fill="auto"/>
            <w:noWrap/>
            <w:vAlign w:val="center"/>
            <w:hideMark/>
          </w:tcPr>
          <w:p w14:paraId="2C253207" w14:textId="4C78AEFB"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1.517</w:t>
            </w:r>
          </w:p>
        </w:tc>
        <w:tc>
          <w:tcPr>
            <w:tcW w:w="2551" w:type="dxa"/>
            <w:tcBorders>
              <w:top w:val="nil"/>
              <w:left w:val="nil"/>
              <w:bottom w:val="single" w:sz="4" w:space="0" w:color="A6A6A6"/>
              <w:right w:val="single" w:sz="4" w:space="0" w:color="A6A6A6"/>
            </w:tcBorders>
            <w:shd w:val="clear" w:color="auto" w:fill="auto"/>
            <w:noWrap/>
            <w:vAlign w:val="center"/>
            <w:hideMark/>
          </w:tcPr>
          <w:p w14:paraId="29FCF7CF" w14:textId="4CDDB6EA" w:rsidR="00422475" w:rsidRPr="00AF6FF8" w:rsidRDefault="00422475" w:rsidP="00422475">
            <w:pPr>
              <w:spacing w:line="240" w:lineRule="auto"/>
              <w:jc w:val="right"/>
              <w:rPr>
                <w:rFonts w:eastAsia="Times New Roman"/>
                <w:color w:val="000000"/>
                <w:sz w:val="22"/>
                <w:szCs w:val="22"/>
                <w:lang w:eastAsia="hr-HR"/>
              </w:rPr>
            </w:pPr>
            <w:r>
              <w:rPr>
                <w:color w:val="000000"/>
                <w:sz w:val="22"/>
                <w:szCs w:val="22"/>
              </w:rPr>
              <w:t xml:space="preserve">                  9.704.786,78 € </w:t>
            </w:r>
          </w:p>
        </w:tc>
      </w:tr>
      <w:tr w:rsidR="00422475" w:rsidRPr="00AF6FF8" w14:paraId="4B2D0F27" w14:textId="77777777" w:rsidTr="000A132C">
        <w:trPr>
          <w:trHeight w:val="454"/>
        </w:trPr>
        <w:tc>
          <w:tcPr>
            <w:tcW w:w="2547" w:type="dxa"/>
            <w:tcBorders>
              <w:top w:val="nil"/>
              <w:left w:val="single" w:sz="4" w:space="0" w:color="A6A6A6"/>
              <w:bottom w:val="single" w:sz="4" w:space="0" w:color="A6A6A6"/>
              <w:right w:val="single" w:sz="4" w:space="0" w:color="A6A6A6"/>
            </w:tcBorders>
            <w:shd w:val="clear" w:color="auto" w:fill="auto"/>
            <w:vAlign w:val="center"/>
            <w:hideMark/>
          </w:tcPr>
          <w:p w14:paraId="7B8517AE" w14:textId="78303C68" w:rsidR="00422475" w:rsidRPr="00AF6FF8" w:rsidRDefault="00422475" w:rsidP="00422475">
            <w:pPr>
              <w:spacing w:line="240" w:lineRule="auto"/>
              <w:jc w:val="left"/>
              <w:rPr>
                <w:rFonts w:eastAsia="Times New Roman"/>
                <w:color w:val="000000"/>
                <w:sz w:val="22"/>
                <w:szCs w:val="22"/>
                <w:lang w:eastAsia="hr-HR"/>
              </w:rPr>
            </w:pPr>
            <w:r>
              <w:rPr>
                <w:rFonts w:eastAsia="Times New Roman"/>
                <w:color w:val="000000"/>
                <w:sz w:val="22"/>
                <w:szCs w:val="22"/>
                <w:lang w:eastAsia="hr-HR"/>
              </w:rPr>
              <w:t>31. prosinca 2022.</w:t>
            </w:r>
          </w:p>
        </w:tc>
        <w:tc>
          <w:tcPr>
            <w:tcW w:w="1984" w:type="dxa"/>
            <w:tcBorders>
              <w:top w:val="nil"/>
              <w:left w:val="nil"/>
              <w:bottom w:val="single" w:sz="4" w:space="0" w:color="A6A6A6"/>
              <w:right w:val="single" w:sz="4" w:space="0" w:color="A6A6A6"/>
            </w:tcBorders>
            <w:shd w:val="clear" w:color="auto" w:fill="auto"/>
            <w:noWrap/>
            <w:vAlign w:val="center"/>
            <w:hideMark/>
          </w:tcPr>
          <w:p w14:paraId="3BEA5B02" w14:textId="70BEFFC7"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2.838</w:t>
            </w:r>
          </w:p>
        </w:tc>
        <w:tc>
          <w:tcPr>
            <w:tcW w:w="1985" w:type="dxa"/>
            <w:tcBorders>
              <w:top w:val="nil"/>
              <w:left w:val="nil"/>
              <w:bottom w:val="single" w:sz="4" w:space="0" w:color="A6A6A6"/>
              <w:right w:val="single" w:sz="4" w:space="0" w:color="A6A6A6"/>
            </w:tcBorders>
            <w:shd w:val="clear" w:color="auto" w:fill="auto"/>
            <w:noWrap/>
            <w:vAlign w:val="center"/>
            <w:hideMark/>
          </w:tcPr>
          <w:p w14:paraId="28B22BAD" w14:textId="6A676E26"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2.423</w:t>
            </w:r>
          </w:p>
        </w:tc>
        <w:tc>
          <w:tcPr>
            <w:tcW w:w="2551" w:type="dxa"/>
            <w:tcBorders>
              <w:top w:val="nil"/>
              <w:left w:val="nil"/>
              <w:bottom w:val="single" w:sz="4" w:space="0" w:color="A6A6A6"/>
              <w:right w:val="single" w:sz="4" w:space="0" w:color="A6A6A6"/>
            </w:tcBorders>
            <w:shd w:val="clear" w:color="auto" w:fill="auto"/>
            <w:noWrap/>
            <w:vAlign w:val="center"/>
            <w:hideMark/>
          </w:tcPr>
          <w:p w14:paraId="56425E6B" w14:textId="1CF9A78F" w:rsidR="00422475" w:rsidRPr="00AF6FF8" w:rsidRDefault="00422475" w:rsidP="00422475">
            <w:pPr>
              <w:spacing w:line="240" w:lineRule="auto"/>
              <w:jc w:val="right"/>
              <w:rPr>
                <w:rFonts w:eastAsia="Times New Roman"/>
                <w:color w:val="000000"/>
                <w:sz w:val="22"/>
                <w:szCs w:val="22"/>
                <w:lang w:eastAsia="hr-HR"/>
              </w:rPr>
            </w:pPr>
            <w:r>
              <w:rPr>
                <w:color w:val="000000"/>
                <w:sz w:val="22"/>
                <w:szCs w:val="22"/>
              </w:rPr>
              <w:t xml:space="preserve">                19.980.012,30 € </w:t>
            </w:r>
          </w:p>
        </w:tc>
      </w:tr>
      <w:tr w:rsidR="00422475" w:rsidRPr="00AF6FF8" w14:paraId="7C812773" w14:textId="77777777" w:rsidTr="000A132C">
        <w:trPr>
          <w:trHeight w:val="454"/>
        </w:trPr>
        <w:tc>
          <w:tcPr>
            <w:tcW w:w="2547" w:type="dxa"/>
            <w:tcBorders>
              <w:top w:val="nil"/>
              <w:left w:val="single" w:sz="4" w:space="0" w:color="A6A6A6"/>
              <w:bottom w:val="single" w:sz="4" w:space="0" w:color="A6A6A6"/>
              <w:right w:val="single" w:sz="4" w:space="0" w:color="A6A6A6"/>
            </w:tcBorders>
            <w:shd w:val="clear" w:color="auto" w:fill="auto"/>
            <w:vAlign w:val="center"/>
            <w:hideMark/>
          </w:tcPr>
          <w:p w14:paraId="1AAB34AB" w14:textId="309DE72D" w:rsidR="00422475" w:rsidRPr="00AF6FF8" w:rsidRDefault="00422475" w:rsidP="00422475">
            <w:pPr>
              <w:spacing w:line="240" w:lineRule="auto"/>
              <w:jc w:val="left"/>
              <w:rPr>
                <w:rFonts w:eastAsia="Times New Roman"/>
                <w:color w:val="000000"/>
                <w:sz w:val="22"/>
                <w:szCs w:val="22"/>
                <w:lang w:eastAsia="hr-HR"/>
              </w:rPr>
            </w:pPr>
            <w:r>
              <w:rPr>
                <w:rFonts w:eastAsia="Times New Roman"/>
                <w:color w:val="000000"/>
                <w:sz w:val="22"/>
                <w:szCs w:val="22"/>
                <w:lang w:eastAsia="hr-HR"/>
              </w:rPr>
              <w:t>31. prosinca 2023.</w:t>
            </w:r>
          </w:p>
        </w:tc>
        <w:tc>
          <w:tcPr>
            <w:tcW w:w="1984" w:type="dxa"/>
            <w:tcBorders>
              <w:top w:val="nil"/>
              <w:left w:val="nil"/>
              <w:bottom w:val="single" w:sz="4" w:space="0" w:color="A6A6A6"/>
              <w:right w:val="single" w:sz="4" w:space="0" w:color="A6A6A6"/>
            </w:tcBorders>
            <w:shd w:val="clear" w:color="auto" w:fill="auto"/>
            <w:noWrap/>
            <w:vAlign w:val="center"/>
            <w:hideMark/>
          </w:tcPr>
          <w:p w14:paraId="3510545F" w14:textId="34BA751A"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4.717</w:t>
            </w:r>
          </w:p>
        </w:tc>
        <w:tc>
          <w:tcPr>
            <w:tcW w:w="1985" w:type="dxa"/>
            <w:tcBorders>
              <w:top w:val="nil"/>
              <w:left w:val="nil"/>
              <w:bottom w:val="single" w:sz="4" w:space="0" w:color="A6A6A6"/>
              <w:right w:val="single" w:sz="4" w:space="0" w:color="A6A6A6"/>
            </w:tcBorders>
            <w:shd w:val="clear" w:color="auto" w:fill="auto"/>
            <w:noWrap/>
            <w:vAlign w:val="center"/>
            <w:hideMark/>
          </w:tcPr>
          <w:p w14:paraId="4E818898" w14:textId="702B326C" w:rsidR="00422475" w:rsidRPr="00AF6FF8" w:rsidRDefault="00422475" w:rsidP="00422475">
            <w:pPr>
              <w:spacing w:line="240" w:lineRule="auto"/>
              <w:jc w:val="center"/>
              <w:rPr>
                <w:rFonts w:eastAsia="Times New Roman"/>
                <w:color w:val="000000"/>
                <w:sz w:val="22"/>
                <w:szCs w:val="22"/>
                <w:lang w:eastAsia="hr-HR"/>
              </w:rPr>
            </w:pPr>
            <w:r>
              <w:rPr>
                <w:color w:val="000000"/>
                <w:sz w:val="22"/>
                <w:szCs w:val="22"/>
              </w:rPr>
              <w:t>3.656</w:t>
            </w:r>
          </w:p>
        </w:tc>
        <w:tc>
          <w:tcPr>
            <w:tcW w:w="2551" w:type="dxa"/>
            <w:tcBorders>
              <w:top w:val="nil"/>
              <w:left w:val="nil"/>
              <w:bottom w:val="single" w:sz="4" w:space="0" w:color="A6A6A6"/>
              <w:right w:val="single" w:sz="4" w:space="0" w:color="A6A6A6"/>
            </w:tcBorders>
            <w:shd w:val="clear" w:color="auto" w:fill="auto"/>
            <w:noWrap/>
            <w:vAlign w:val="center"/>
            <w:hideMark/>
          </w:tcPr>
          <w:p w14:paraId="5A61FF04" w14:textId="443A3A1E" w:rsidR="00422475" w:rsidRPr="00AF6FF8" w:rsidRDefault="00422475" w:rsidP="00422475">
            <w:pPr>
              <w:spacing w:line="240" w:lineRule="auto"/>
              <w:jc w:val="right"/>
              <w:rPr>
                <w:rFonts w:eastAsia="Times New Roman"/>
                <w:color w:val="000000"/>
                <w:sz w:val="22"/>
                <w:szCs w:val="22"/>
                <w:lang w:eastAsia="hr-HR"/>
              </w:rPr>
            </w:pPr>
            <w:r>
              <w:rPr>
                <w:color w:val="000000"/>
                <w:sz w:val="22"/>
                <w:szCs w:val="22"/>
              </w:rPr>
              <w:t xml:space="preserve">                36.429.127,69 € </w:t>
            </w:r>
          </w:p>
        </w:tc>
      </w:tr>
    </w:tbl>
    <w:p w14:paraId="01D34F4E" w14:textId="6819CA1E" w:rsidR="00AA6BD1" w:rsidRPr="00AF6FF8" w:rsidRDefault="00467BCF" w:rsidP="00AA6BD1">
      <w:pPr>
        <w:spacing w:before="60" w:after="60"/>
        <w:rPr>
          <w:noProof/>
        </w:rPr>
      </w:pPr>
      <w:r>
        <w:rPr>
          <w:noProof/>
          <w:lang w:eastAsia="hr-HR"/>
        </w:rPr>
        <w:drawing>
          <wp:inline distT="0" distB="0" distL="0" distR="0" wp14:anchorId="357C57D2" wp14:editId="573D9F42">
            <wp:extent cx="2844000" cy="3960000"/>
            <wp:effectExtent l="0" t="0" r="13970" b="2540"/>
            <wp:docPr id="361415745" name="Grafikon 1">
              <a:extLst xmlns:a="http://schemas.openxmlformats.org/drawingml/2006/main">
                <a:ext uri="{FF2B5EF4-FFF2-40B4-BE49-F238E27FC236}">
                  <a16:creationId xmlns:a16="http://schemas.microsoft.com/office/drawing/2014/main" id="{69FB88DA-D96A-363C-CB41-D7E8A733C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A6BD1" w:rsidRPr="00AF6FF8">
        <w:rPr>
          <w:noProof/>
        </w:rPr>
        <w:t xml:space="preserve"> </w:t>
      </w:r>
      <w:r>
        <w:rPr>
          <w:noProof/>
          <w:lang w:eastAsia="hr-HR"/>
        </w:rPr>
        <w:drawing>
          <wp:inline distT="0" distB="0" distL="0" distR="0" wp14:anchorId="1254D4EC" wp14:editId="491743CD">
            <wp:extent cx="2844000" cy="3960000"/>
            <wp:effectExtent l="0" t="0" r="13970" b="2540"/>
            <wp:docPr id="1756739578" name="Grafikon 1">
              <a:extLst xmlns:a="http://schemas.openxmlformats.org/drawingml/2006/main">
                <a:ext uri="{FF2B5EF4-FFF2-40B4-BE49-F238E27FC236}">
                  <a16:creationId xmlns:a16="http://schemas.microsoft.com/office/drawing/2014/main" id="{1C956C2E-9BD0-1ED3-5CA5-C73BAF6B9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E5834E" w14:textId="77777777" w:rsidR="00AA6BD1" w:rsidRDefault="00AA6BD1" w:rsidP="0003730A">
      <w:pPr>
        <w:spacing w:before="60" w:after="60"/>
        <w:rPr>
          <w:b/>
          <w:bCs/>
        </w:rPr>
      </w:pPr>
    </w:p>
    <w:p w14:paraId="5AEF1B8F" w14:textId="0925B7C9" w:rsidR="00125616" w:rsidRPr="0003730A" w:rsidRDefault="00125616" w:rsidP="0003730A">
      <w:pPr>
        <w:spacing w:before="60" w:after="60"/>
        <w:rPr>
          <w:b/>
          <w:bCs/>
        </w:rPr>
      </w:pPr>
      <w:r w:rsidRPr="0003730A">
        <w:rPr>
          <w:b/>
          <w:bCs/>
        </w:rPr>
        <w:t xml:space="preserve">Radovi </w:t>
      </w:r>
      <w:proofErr w:type="spellStart"/>
      <w:r w:rsidRPr="0003730A">
        <w:rPr>
          <w:b/>
          <w:bCs/>
        </w:rPr>
        <w:t>nekonstrukcijske</w:t>
      </w:r>
      <w:proofErr w:type="spellEnd"/>
      <w:r w:rsidRPr="0003730A">
        <w:rPr>
          <w:b/>
          <w:bCs/>
        </w:rPr>
        <w:t xml:space="preserve"> obnove u tijeku </w:t>
      </w:r>
    </w:p>
    <w:p w14:paraId="37FFD5C0" w14:textId="6A6891F6" w:rsidR="0006522C" w:rsidRDefault="001537CA" w:rsidP="00125616">
      <w:pPr>
        <w:spacing w:after="60"/>
      </w:pPr>
      <w:r>
        <w:t xml:space="preserve">Na dan </w:t>
      </w:r>
      <w:r w:rsidR="008B7703">
        <w:t>3</w:t>
      </w:r>
      <w:r w:rsidR="0006522C">
        <w:t>1</w:t>
      </w:r>
      <w:r w:rsidR="008B7703">
        <w:t xml:space="preserve">. </w:t>
      </w:r>
      <w:r w:rsidR="0006522C">
        <w:t xml:space="preserve">prosinca </w:t>
      </w:r>
      <w:r w:rsidR="008B7703">
        <w:t>2023.</w:t>
      </w:r>
      <w:r>
        <w:t xml:space="preserve"> </w:t>
      </w:r>
      <w:r w:rsidR="00497C83">
        <w:t>u</w:t>
      </w:r>
      <w:r w:rsidR="00F9134A">
        <w:t xml:space="preserve"> tijeku su radovi na </w:t>
      </w:r>
      <w:r w:rsidR="0006522C">
        <w:t>246</w:t>
      </w:r>
      <w:r w:rsidR="00CF167B">
        <w:t xml:space="preserve"> gradilišta </w:t>
      </w:r>
      <w:proofErr w:type="spellStart"/>
      <w:r w:rsidR="00497C83">
        <w:t>nekonstrukcijske</w:t>
      </w:r>
      <w:proofErr w:type="spellEnd"/>
      <w:r w:rsidR="00497C83">
        <w:t xml:space="preserve"> obnove</w:t>
      </w:r>
      <w:r w:rsidR="000366EC" w:rsidRPr="000366EC">
        <w:t xml:space="preserve"> </w:t>
      </w:r>
      <w:r w:rsidR="000366EC">
        <w:t xml:space="preserve">od čega su tijeku i radovi 51 </w:t>
      </w:r>
      <w:proofErr w:type="spellStart"/>
      <w:r w:rsidR="000366EC">
        <w:t>nekonstrukcijske</w:t>
      </w:r>
      <w:proofErr w:type="spellEnd"/>
      <w:r w:rsidR="000366EC">
        <w:t xml:space="preserve"> obnove s energetskom obnovom na području petrinjskog potresa</w:t>
      </w:r>
      <w:r w:rsidR="00497C83">
        <w:t xml:space="preserve">. </w:t>
      </w:r>
      <w:r w:rsidR="008F43DE">
        <w:t xml:space="preserve">Na području petrinjskog potresa obnova se provodi kontinuirano i bez zastoja, no na području </w:t>
      </w:r>
      <w:r w:rsidR="00125616" w:rsidRPr="00C9549D">
        <w:t xml:space="preserve"> Grada Zagreba </w:t>
      </w:r>
      <w:r w:rsidR="00EF1A20">
        <w:t>najvećim djelom stradale</w:t>
      </w:r>
      <w:r w:rsidR="008F43DE">
        <w:t xml:space="preserve"> su</w:t>
      </w:r>
      <w:r w:rsidR="00EF1A20">
        <w:t xml:space="preserve"> zgrade na Donjem i Gornjem Gradu koje su starije od 100 godina te su pod zaštitom kulturne baštine,</w:t>
      </w:r>
      <w:r w:rsidR="00D56725">
        <w:t xml:space="preserve"> </w:t>
      </w:r>
      <w:r w:rsidR="008F43DE">
        <w:t>stoga je</w:t>
      </w:r>
      <w:r w:rsidR="0003383D">
        <w:t xml:space="preserve"> postupak </w:t>
      </w:r>
      <w:r w:rsidR="008F43DE">
        <w:t>njihov</w:t>
      </w:r>
      <w:r w:rsidR="0003383D">
        <w:t>e</w:t>
      </w:r>
      <w:r w:rsidR="008F43DE">
        <w:t xml:space="preserve"> obnov</w:t>
      </w:r>
      <w:r w:rsidR="0003383D">
        <w:t>e</w:t>
      </w:r>
      <w:r w:rsidR="008F43DE">
        <w:t xml:space="preserve"> zahtjevnij</w:t>
      </w:r>
      <w:r w:rsidR="0003383D">
        <w:t>i</w:t>
      </w:r>
      <w:r w:rsidR="008F43DE">
        <w:t>.</w:t>
      </w:r>
    </w:p>
    <w:p w14:paraId="21B6D3D2" w14:textId="595E6645" w:rsidR="00125616" w:rsidRPr="00C9549D" w:rsidRDefault="00125616" w:rsidP="00125616">
      <w:pPr>
        <w:rPr>
          <w:i/>
          <w:iCs/>
        </w:rPr>
      </w:pPr>
      <w:r w:rsidRPr="00C9549D">
        <w:rPr>
          <w:i/>
          <w:iCs/>
        </w:rPr>
        <w:lastRenderedPageBreak/>
        <w:t xml:space="preserve">Pregled radova </w:t>
      </w:r>
      <w:proofErr w:type="spellStart"/>
      <w:r w:rsidRPr="00C9549D">
        <w:rPr>
          <w:i/>
          <w:iCs/>
        </w:rPr>
        <w:t>nekonstrukcijske</w:t>
      </w:r>
      <w:proofErr w:type="spellEnd"/>
      <w:r w:rsidRPr="00C9549D">
        <w:rPr>
          <w:i/>
          <w:iCs/>
        </w:rPr>
        <w:t xml:space="preserve"> obnove u tijeku po lokaciji i vrsti obnove</w:t>
      </w:r>
    </w:p>
    <w:tbl>
      <w:tblPr>
        <w:tblW w:w="9072" w:type="dxa"/>
        <w:tblInd w:w="-5" w:type="dxa"/>
        <w:tblLayout w:type="fixed"/>
        <w:tblLook w:val="04A0" w:firstRow="1" w:lastRow="0" w:firstColumn="1" w:lastColumn="0" w:noHBand="0" w:noVBand="1"/>
      </w:tblPr>
      <w:tblGrid>
        <w:gridCol w:w="3401"/>
        <w:gridCol w:w="2695"/>
        <w:gridCol w:w="2976"/>
      </w:tblGrid>
      <w:tr w:rsidR="00DF5399" w:rsidRPr="00C9549D" w14:paraId="2D7FB38F" w14:textId="77777777" w:rsidTr="005F4BF2">
        <w:trPr>
          <w:trHeight w:val="567"/>
        </w:trPr>
        <w:tc>
          <w:tcPr>
            <w:tcW w:w="3401"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7DE8E15F" w14:textId="77777777" w:rsidR="00DF5399" w:rsidRPr="00C9549D" w:rsidRDefault="00DF539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2695" w:type="dxa"/>
            <w:tcBorders>
              <w:top w:val="single" w:sz="4" w:space="0" w:color="A6A6A6"/>
              <w:left w:val="nil"/>
              <w:bottom w:val="single" w:sz="4" w:space="0" w:color="A6A6A6"/>
              <w:right w:val="single" w:sz="4" w:space="0" w:color="A6A6A6"/>
            </w:tcBorders>
            <w:shd w:val="clear" w:color="000000" w:fill="002060"/>
            <w:vAlign w:val="center"/>
            <w:hideMark/>
          </w:tcPr>
          <w:p w14:paraId="3A4F3B38" w14:textId="77777777" w:rsidR="009162C9" w:rsidRDefault="00DF539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Stanje na</w:t>
            </w:r>
          </w:p>
          <w:p w14:paraId="6A1B01A7" w14:textId="69AC0681" w:rsidR="00DF5399" w:rsidRPr="00C9549D" w:rsidRDefault="00DF539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31.12.2022.</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291B6585" w14:textId="351EB285" w:rsidR="00DF5399" w:rsidRPr="00C9549D" w:rsidRDefault="00DF539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Stanje na</w:t>
            </w:r>
            <w:r w:rsidR="00ED1CA9">
              <w:rPr>
                <w:rFonts w:eastAsia="Times New Roman"/>
                <w:color w:val="FFFFFF"/>
                <w:sz w:val="22"/>
                <w:szCs w:val="22"/>
                <w:lang w:eastAsia="hr-HR"/>
              </w:rPr>
              <w:t xml:space="preserve"> </w:t>
            </w:r>
            <w:r w:rsidRPr="00C9549D">
              <w:rPr>
                <w:rFonts w:eastAsia="Times New Roman"/>
                <w:color w:val="FFFFFF"/>
                <w:sz w:val="22"/>
                <w:szCs w:val="22"/>
                <w:lang w:eastAsia="hr-HR"/>
              </w:rPr>
              <w:t>3</w:t>
            </w:r>
            <w:r w:rsidR="009162C9">
              <w:rPr>
                <w:rFonts w:eastAsia="Times New Roman"/>
                <w:color w:val="FFFFFF"/>
                <w:sz w:val="22"/>
                <w:szCs w:val="22"/>
                <w:lang w:eastAsia="hr-HR"/>
              </w:rPr>
              <w:t>1</w:t>
            </w:r>
            <w:r w:rsidRPr="00C9549D">
              <w:rPr>
                <w:rFonts w:eastAsia="Times New Roman"/>
                <w:color w:val="FFFFFF"/>
                <w:sz w:val="22"/>
                <w:szCs w:val="22"/>
                <w:lang w:eastAsia="hr-HR"/>
              </w:rPr>
              <w:t>.</w:t>
            </w:r>
            <w:r w:rsidR="009162C9">
              <w:rPr>
                <w:rFonts w:eastAsia="Times New Roman"/>
                <w:color w:val="FFFFFF"/>
                <w:sz w:val="22"/>
                <w:szCs w:val="22"/>
                <w:lang w:eastAsia="hr-HR"/>
              </w:rPr>
              <w:t>12</w:t>
            </w:r>
            <w:r w:rsidRPr="00C9549D">
              <w:rPr>
                <w:rFonts w:eastAsia="Times New Roman"/>
                <w:color w:val="FFFFFF"/>
                <w:sz w:val="22"/>
                <w:szCs w:val="22"/>
                <w:lang w:eastAsia="hr-HR"/>
              </w:rPr>
              <w:t>.2023.</w:t>
            </w:r>
          </w:p>
        </w:tc>
      </w:tr>
      <w:tr w:rsidR="0006522C" w:rsidRPr="0041227D" w14:paraId="46DA0C02" w14:textId="77777777" w:rsidTr="004B4F52">
        <w:trPr>
          <w:trHeight w:val="397"/>
        </w:trPr>
        <w:tc>
          <w:tcPr>
            <w:tcW w:w="3401" w:type="dxa"/>
            <w:tcBorders>
              <w:top w:val="nil"/>
              <w:left w:val="single" w:sz="4" w:space="0" w:color="A6A6A6"/>
              <w:bottom w:val="single" w:sz="4" w:space="0" w:color="A6A6A6"/>
              <w:right w:val="single" w:sz="4" w:space="0" w:color="A6A6A6"/>
            </w:tcBorders>
            <w:shd w:val="clear" w:color="000000" w:fill="FFFFFF"/>
            <w:noWrap/>
            <w:vAlign w:val="center"/>
            <w:hideMark/>
          </w:tcPr>
          <w:p w14:paraId="17184B6B" w14:textId="77777777" w:rsidR="0006522C" w:rsidRPr="0041227D" w:rsidRDefault="0006522C" w:rsidP="0006522C">
            <w:pPr>
              <w:spacing w:line="240" w:lineRule="auto"/>
              <w:ind w:firstLineChars="200" w:firstLine="440"/>
              <w:jc w:val="left"/>
              <w:rPr>
                <w:rFonts w:eastAsia="Times New Roman"/>
                <w:i/>
                <w:iCs/>
                <w:sz w:val="22"/>
                <w:szCs w:val="22"/>
                <w:lang w:eastAsia="hr-HR"/>
              </w:rPr>
            </w:pPr>
            <w:r w:rsidRPr="0041227D">
              <w:rPr>
                <w:i/>
                <w:iCs/>
                <w:sz w:val="22"/>
                <w:szCs w:val="22"/>
              </w:rPr>
              <w:t>Petrinjski potres</w:t>
            </w:r>
          </w:p>
        </w:tc>
        <w:tc>
          <w:tcPr>
            <w:tcW w:w="2695" w:type="dxa"/>
            <w:tcBorders>
              <w:top w:val="nil"/>
              <w:left w:val="nil"/>
              <w:bottom w:val="single" w:sz="4" w:space="0" w:color="A6A6A6"/>
              <w:right w:val="single" w:sz="4" w:space="0" w:color="A6A6A6"/>
            </w:tcBorders>
            <w:shd w:val="clear" w:color="000000" w:fill="FFFFFF"/>
            <w:noWrap/>
            <w:vAlign w:val="center"/>
            <w:hideMark/>
          </w:tcPr>
          <w:p w14:paraId="1A1212E1" w14:textId="77777777" w:rsidR="0006522C" w:rsidRPr="0041227D" w:rsidRDefault="0006522C" w:rsidP="0006522C">
            <w:pPr>
              <w:spacing w:line="240" w:lineRule="auto"/>
              <w:jc w:val="center"/>
              <w:rPr>
                <w:rFonts w:eastAsia="Times New Roman"/>
                <w:sz w:val="22"/>
                <w:szCs w:val="22"/>
                <w:lang w:eastAsia="hr-HR"/>
              </w:rPr>
            </w:pPr>
            <w:r w:rsidRPr="0041227D">
              <w:t>586</w:t>
            </w:r>
          </w:p>
        </w:tc>
        <w:tc>
          <w:tcPr>
            <w:tcW w:w="2976" w:type="dxa"/>
            <w:tcBorders>
              <w:top w:val="nil"/>
              <w:left w:val="nil"/>
              <w:bottom w:val="single" w:sz="4" w:space="0" w:color="A6A6A6"/>
              <w:right w:val="single" w:sz="4" w:space="0" w:color="A6A6A6"/>
            </w:tcBorders>
            <w:shd w:val="clear" w:color="000000" w:fill="FFFFFF"/>
            <w:noWrap/>
            <w:vAlign w:val="center"/>
            <w:hideMark/>
          </w:tcPr>
          <w:p w14:paraId="426AEE65" w14:textId="75B37440" w:rsidR="0006522C" w:rsidRPr="0041227D" w:rsidRDefault="0006522C" w:rsidP="0006522C">
            <w:pPr>
              <w:spacing w:line="240" w:lineRule="auto"/>
              <w:jc w:val="center"/>
              <w:rPr>
                <w:rFonts w:eastAsia="Times New Roman"/>
                <w:sz w:val="22"/>
                <w:szCs w:val="22"/>
                <w:lang w:eastAsia="hr-HR"/>
              </w:rPr>
            </w:pPr>
            <w:r>
              <w:rPr>
                <w:color w:val="000000"/>
                <w:sz w:val="22"/>
                <w:szCs w:val="22"/>
              </w:rPr>
              <w:t>236</w:t>
            </w:r>
          </w:p>
        </w:tc>
      </w:tr>
      <w:tr w:rsidR="0006522C" w:rsidRPr="0041227D" w14:paraId="0A52ABCA" w14:textId="77777777" w:rsidTr="004B4F52">
        <w:trPr>
          <w:trHeight w:val="397"/>
        </w:trPr>
        <w:tc>
          <w:tcPr>
            <w:tcW w:w="3401" w:type="dxa"/>
            <w:tcBorders>
              <w:top w:val="nil"/>
              <w:left w:val="single" w:sz="4" w:space="0" w:color="A6A6A6"/>
              <w:bottom w:val="single" w:sz="4" w:space="0" w:color="A6A6A6"/>
              <w:right w:val="single" w:sz="4" w:space="0" w:color="A6A6A6"/>
            </w:tcBorders>
            <w:shd w:val="clear" w:color="000000" w:fill="FFFFFF"/>
            <w:noWrap/>
            <w:vAlign w:val="center"/>
            <w:hideMark/>
          </w:tcPr>
          <w:p w14:paraId="360B7B39" w14:textId="77777777" w:rsidR="0006522C" w:rsidRPr="0041227D" w:rsidRDefault="0006522C" w:rsidP="0006522C">
            <w:pPr>
              <w:spacing w:line="240" w:lineRule="auto"/>
              <w:ind w:firstLineChars="200" w:firstLine="440"/>
              <w:jc w:val="left"/>
              <w:rPr>
                <w:rFonts w:eastAsia="Times New Roman"/>
                <w:i/>
                <w:iCs/>
                <w:sz w:val="22"/>
                <w:szCs w:val="22"/>
                <w:lang w:eastAsia="hr-HR"/>
              </w:rPr>
            </w:pPr>
            <w:r w:rsidRPr="0041227D">
              <w:rPr>
                <w:i/>
                <w:iCs/>
                <w:sz w:val="22"/>
                <w:szCs w:val="22"/>
              </w:rPr>
              <w:t>Zagrebački potres</w:t>
            </w:r>
          </w:p>
        </w:tc>
        <w:tc>
          <w:tcPr>
            <w:tcW w:w="2695" w:type="dxa"/>
            <w:tcBorders>
              <w:top w:val="nil"/>
              <w:left w:val="nil"/>
              <w:bottom w:val="single" w:sz="4" w:space="0" w:color="A6A6A6"/>
              <w:right w:val="single" w:sz="4" w:space="0" w:color="A6A6A6"/>
            </w:tcBorders>
            <w:shd w:val="clear" w:color="000000" w:fill="FFFFFF"/>
            <w:noWrap/>
            <w:vAlign w:val="center"/>
            <w:hideMark/>
          </w:tcPr>
          <w:p w14:paraId="71831305" w14:textId="77777777" w:rsidR="0006522C" w:rsidRPr="0041227D" w:rsidRDefault="0006522C" w:rsidP="0006522C">
            <w:pPr>
              <w:spacing w:line="240" w:lineRule="auto"/>
              <w:jc w:val="center"/>
              <w:rPr>
                <w:rFonts w:eastAsia="Times New Roman"/>
                <w:sz w:val="22"/>
                <w:szCs w:val="22"/>
                <w:lang w:eastAsia="hr-HR"/>
              </w:rPr>
            </w:pPr>
            <w:r w:rsidRPr="0041227D">
              <w:t>12</w:t>
            </w:r>
          </w:p>
        </w:tc>
        <w:tc>
          <w:tcPr>
            <w:tcW w:w="2976" w:type="dxa"/>
            <w:tcBorders>
              <w:top w:val="nil"/>
              <w:left w:val="nil"/>
              <w:bottom w:val="single" w:sz="4" w:space="0" w:color="A6A6A6"/>
              <w:right w:val="single" w:sz="4" w:space="0" w:color="A6A6A6"/>
            </w:tcBorders>
            <w:shd w:val="clear" w:color="000000" w:fill="FFFFFF"/>
            <w:noWrap/>
            <w:vAlign w:val="center"/>
            <w:hideMark/>
          </w:tcPr>
          <w:p w14:paraId="4C7D9470" w14:textId="007FB696" w:rsidR="0006522C" w:rsidRPr="0041227D" w:rsidRDefault="0006522C" w:rsidP="0006522C">
            <w:pPr>
              <w:spacing w:line="240" w:lineRule="auto"/>
              <w:jc w:val="center"/>
              <w:rPr>
                <w:rFonts w:eastAsia="Times New Roman"/>
                <w:sz w:val="22"/>
                <w:szCs w:val="22"/>
                <w:lang w:eastAsia="hr-HR"/>
              </w:rPr>
            </w:pPr>
            <w:r>
              <w:rPr>
                <w:color w:val="000000"/>
                <w:sz w:val="22"/>
                <w:szCs w:val="22"/>
              </w:rPr>
              <w:t>10</w:t>
            </w:r>
          </w:p>
        </w:tc>
      </w:tr>
      <w:tr w:rsidR="0006522C" w:rsidRPr="0041227D" w14:paraId="7A2EA70A" w14:textId="77777777" w:rsidTr="004B4F52">
        <w:trPr>
          <w:trHeight w:val="397"/>
        </w:trPr>
        <w:tc>
          <w:tcPr>
            <w:tcW w:w="3401" w:type="dxa"/>
            <w:tcBorders>
              <w:top w:val="nil"/>
              <w:left w:val="single" w:sz="4" w:space="0" w:color="A6A6A6"/>
              <w:bottom w:val="single" w:sz="4" w:space="0" w:color="A6A6A6"/>
              <w:right w:val="single" w:sz="4" w:space="0" w:color="A6A6A6"/>
            </w:tcBorders>
            <w:shd w:val="clear" w:color="000000" w:fill="002060"/>
            <w:vAlign w:val="center"/>
            <w:hideMark/>
          </w:tcPr>
          <w:p w14:paraId="20951E4E" w14:textId="77777777" w:rsidR="0006522C" w:rsidRPr="0041227D" w:rsidRDefault="0006522C" w:rsidP="0006522C">
            <w:pPr>
              <w:spacing w:line="240" w:lineRule="auto"/>
              <w:jc w:val="left"/>
              <w:rPr>
                <w:rFonts w:eastAsia="Times New Roman"/>
                <w:sz w:val="22"/>
                <w:szCs w:val="22"/>
                <w:lang w:eastAsia="hr-HR"/>
              </w:rPr>
            </w:pPr>
            <w:r w:rsidRPr="0041227D">
              <w:rPr>
                <w:rFonts w:eastAsia="Times New Roman"/>
                <w:sz w:val="22"/>
                <w:szCs w:val="22"/>
                <w:lang w:eastAsia="hr-HR"/>
              </w:rPr>
              <w:t>UKUPNO</w:t>
            </w:r>
          </w:p>
        </w:tc>
        <w:tc>
          <w:tcPr>
            <w:tcW w:w="2695" w:type="dxa"/>
            <w:tcBorders>
              <w:top w:val="nil"/>
              <w:left w:val="nil"/>
              <w:bottom w:val="single" w:sz="4" w:space="0" w:color="A6A6A6"/>
              <w:right w:val="single" w:sz="4" w:space="0" w:color="A6A6A6"/>
            </w:tcBorders>
            <w:shd w:val="clear" w:color="000000" w:fill="002060"/>
            <w:vAlign w:val="center"/>
            <w:hideMark/>
          </w:tcPr>
          <w:p w14:paraId="13B8597A" w14:textId="77777777" w:rsidR="0006522C" w:rsidRPr="0041227D" w:rsidRDefault="0006522C" w:rsidP="0006522C">
            <w:pPr>
              <w:spacing w:line="240" w:lineRule="auto"/>
              <w:jc w:val="center"/>
              <w:rPr>
                <w:rFonts w:eastAsia="Times New Roman"/>
                <w:sz w:val="22"/>
                <w:szCs w:val="22"/>
                <w:lang w:eastAsia="hr-HR"/>
              </w:rPr>
            </w:pPr>
            <w:r w:rsidRPr="0041227D">
              <w:t>598</w:t>
            </w:r>
          </w:p>
        </w:tc>
        <w:tc>
          <w:tcPr>
            <w:tcW w:w="2976" w:type="dxa"/>
            <w:tcBorders>
              <w:top w:val="nil"/>
              <w:left w:val="nil"/>
              <w:bottom w:val="single" w:sz="4" w:space="0" w:color="A6A6A6"/>
              <w:right w:val="single" w:sz="4" w:space="0" w:color="A6A6A6"/>
            </w:tcBorders>
            <w:shd w:val="clear" w:color="000000" w:fill="002060"/>
            <w:vAlign w:val="center"/>
            <w:hideMark/>
          </w:tcPr>
          <w:p w14:paraId="224D4735" w14:textId="3E8C4B5E" w:rsidR="0006522C" w:rsidRPr="0041227D" w:rsidRDefault="0006522C" w:rsidP="0006522C">
            <w:pPr>
              <w:spacing w:line="240" w:lineRule="auto"/>
              <w:jc w:val="center"/>
              <w:rPr>
                <w:rFonts w:eastAsia="Times New Roman"/>
                <w:sz w:val="22"/>
                <w:szCs w:val="22"/>
                <w:lang w:eastAsia="hr-HR"/>
              </w:rPr>
            </w:pPr>
            <w:r>
              <w:rPr>
                <w:color w:val="FFFFFF"/>
                <w:sz w:val="22"/>
                <w:szCs w:val="22"/>
              </w:rPr>
              <w:t>246</w:t>
            </w:r>
          </w:p>
        </w:tc>
      </w:tr>
    </w:tbl>
    <w:p w14:paraId="54C72124" w14:textId="77777777" w:rsidR="00B335E5" w:rsidRDefault="00B335E5" w:rsidP="00B335E5"/>
    <w:p w14:paraId="4D89EDB2" w14:textId="20DCE197" w:rsidR="006717EC" w:rsidRPr="007F2F3A" w:rsidRDefault="006717EC" w:rsidP="00F4045F">
      <w:pPr>
        <w:pStyle w:val="Heading3"/>
        <w:numPr>
          <w:ilvl w:val="2"/>
          <w:numId w:val="11"/>
        </w:numPr>
        <w:rPr>
          <w:b/>
          <w:bCs w:val="0"/>
          <w:i w:val="0"/>
          <w:iCs w:val="0"/>
        </w:rPr>
      </w:pPr>
      <w:bookmarkStart w:id="11" w:name="_Toc161040565"/>
      <w:r w:rsidRPr="007F2F3A">
        <w:rPr>
          <w:b/>
          <w:bCs w:val="0"/>
          <w:i w:val="0"/>
          <w:iCs w:val="0"/>
        </w:rPr>
        <w:t>K</w:t>
      </w:r>
      <w:r w:rsidR="00D2454D" w:rsidRPr="007F2F3A">
        <w:rPr>
          <w:b/>
          <w:bCs w:val="0"/>
          <w:i w:val="0"/>
          <w:iCs w:val="0"/>
        </w:rPr>
        <w:t>onstrukcijska obnova</w:t>
      </w:r>
      <w:bookmarkEnd w:id="11"/>
    </w:p>
    <w:p w14:paraId="328B54F4" w14:textId="4E55490C" w:rsidR="002C3034" w:rsidRPr="0071228A" w:rsidRDefault="002C3034" w:rsidP="002C3034">
      <w:pPr>
        <w:spacing w:after="120"/>
        <w:rPr>
          <w:bCs/>
        </w:rPr>
      </w:pPr>
      <w:r>
        <w:rPr>
          <w:bCs/>
        </w:rPr>
        <w:t xml:space="preserve">Pravo na popravak konstrukcijskih elemenata imaju </w:t>
      </w:r>
      <w:r w:rsidRPr="0071228A">
        <w:rPr>
          <w:bCs/>
        </w:rPr>
        <w:t>kuće i zgrade k</w:t>
      </w:r>
      <w:r>
        <w:rPr>
          <w:bCs/>
        </w:rPr>
        <w:t>oje</w:t>
      </w:r>
      <w:r w:rsidRPr="0071228A">
        <w:rPr>
          <w:bCs/>
        </w:rPr>
        <w:t xml:space="preserve"> imaju</w:t>
      </w:r>
      <w:r>
        <w:rPr>
          <w:bCs/>
        </w:rPr>
        <w:t xml:space="preserve"> </w:t>
      </w:r>
      <w:r w:rsidRPr="0071228A">
        <w:rPr>
          <w:bCs/>
        </w:rPr>
        <w:t>žutu PN1 ili PN2</w:t>
      </w:r>
      <w:r w:rsidR="00653972">
        <w:rPr>
          <w:bCs/>
        </w:rPr>
        <w:t xml:space="preserve"> te</w:t>
      </w:r>
      <w:r w:rsidRPr="0071228A">
        <w:rPr>
          <w:bCs/>
        </w:rPr>
        <w:t xml:space="preserve"> crvenu N1 ili N2 oznaku oštećenja</w:t>
      </w:r>
      <w:r w:rsidR="0003383D">
        <w:rPr>
          <w:bCs/>
        </w:rPr>
        <w:t>,</w:t>
      </w:r>
      <w:r w:rsidR="00653972">
        <w:rPr>
          <w:bCs/>
        </w:rPr>
        <w:t xml:space="preserve"> a u skladu s nalazom ovlaštenog inženjera</w:t>
      </w:r>
      <w:r w:rsidRPr="0071228A">
        <w:rPr>
          <w:bCs/>
        </w:rPr>
        <w:t xml:space="preserve">. </w:t>
      </w:r>
    </w:p>
    <w:p w14:paraId="3F70B3BC" w14:textId="395ABEFE" w:rsidR="006717EC" w:rsidRDefault="00E0062E" w:rsidP="006717EC">
      <w:pPr>
        <w:spacing w:after="120"/>
      </w:pPr>
      <w:r>
        <w:t>U slučaju odabira modela samoobnove, n</w:t>
      </w:r>
      <w:r w:rsidR="005A17CB">
        <w:t xml:space="preserve">ovčana pomoć može se dobiti </w:t>
      </w:r>
      <w:r w:rsidR="00761701" w:rsidRPr="00761701">
        <w:t xml:space="preserve">prije početka obnove </w:t>
      </w:r>
      <w:proofErr w:type="spellStart"/>
      <w:r w:rsidR="00761701" w:rsidRPr="00761701">
        <w:t>višestambene</w:t>
      </w:r>
      <w:proofErr w:type="spellEnd"/>
      <w:r w:rsidR="00761701" w:rsidRPr="00761701">
        <w:t>, stambeno-poslovne i poslovne zgrade na račun obvezne pričuve</w:t>
      </w:r>
      <w:r w:rsidR="00653972">
        <w:t xml:space="preserve">, </w:t>
      </w:r>
      <w:r w:rsidR="00761701" w:rsidRPr="00761701">
        <w:t>prije početka obnove obiteljske kuće na posebno otvoren namjenski račun korisnika novčane pomoći</w:t>
      </w:r>
      <w:r w:rsidR="00653972">
        <w:t xml:space="preserve">, </w:t>
      </w:r>
      <w:r w:rsidR="00761701" w:rsidRPr="00761701">
        <w:t>tijekom obnove (isplaćuje se temeljem računa ispostavljenih po pojedinačno okončanim radovima, odnosno ovjerenim privremenim i okončanim situacijama)</w:t>
      </w:r>
      <w:r w:rsidR="00653972">
        <w:t xml:space="preserve"> te </w:t>
      </w:r>
      <w:r w:rsidR="00761701" w:rsidRPr="00761701">
        <w:t>nakon završene obnove (isplaćuje se nakon završetka svih radova)</w:t>
      </w:r>
      <w:r w:rsidR="00653972">
        <w:t xml:space="preserve">. </w:t>
      </w:r>
    </w:p>
    <w:p w14:paraId="196FBAD6" w14:textId="0708506C" w:rsidR="006717EC" w:rsidRPr="006717EC" w:rsidRDefault="006717EC" w:rsidP="006717EC">
      <w:pPr>
        <w:spacing w:after="160" w:line="259" w:lineRule="auto"/>
        <w:jc w:val="left"/>
        <w:rPr>
          <w:b/>
          <w:bCs/>
        </w:rPr>
      </w:pPr>
      <w:r w:rsidRPr="006717EC">
        <w:rPr>
          <w:b/>
          <w:bCs/>
        </w:rPr>
        <w:t xml:space="preserve">Završeni radovi konstrukcijske obnove </w:t>
      </w:r>
    </w:p>
    <w:p w14:paraId="6E5F5AF6" w14:textId="6784860C" w:rsidR="006717EC" w:rsidRPr="00C9549D" w:rsidRDefault="006717EC" w:rsidP="006717EC">
      <w:r w:rsidRPr="00C9549D">
        <w:t>Na</w:t>
      </w:r>
      <w:r w:rsidR="0016288B">
        <w:t xml:space="preserve"> dan</w:t>
      </w:r>
      <w:r w:rsidRPr="00C9549D">
        <w:t xml:space="preserve"> </w:t>
      </w:r>
      <w:r w:rsidR="008B7703">
        <w:t>31. prosinca 2022.</w:t>
      </w:r>
      <w:r w:rsidRPr="00C9549D">
        <w:t xml:space="preserve"> bilo je ukupno 13 završenih konstrukcijskih obnova, a u izvještajnom razdoblju završen</w:t>
      </w:r>
      <w:r w:rsidR="009472B0">
        <w:t>a</w:t>
      </w:r>
      <w:r w:rsidR="008C668B">
        <w:t xml:space="preserve"> </w:t>
      </w:r>
      <w:r w:rsidR="009472B0">
        <w:t>je</w:t>
      </w:r>
      <w:r w:rsidR="008C668B">
        <w:t xml:space="preserve"> </w:t>
      </w:r>
      <w:r w:rsidR="00987596">
        <w:t>10</w:t>
      </w:r>
      <w:r w:rsidR="009472B0">
        <w:t>1</w:t>
      </w:r>
      <w:r w:rsidRPr="00C9549D">
        <w:t xml:space="preserve"> konstrukcijsk</w:t>
      </w:r>
      <w:r w:rsidR="009472B0">
        <w:t>a</w:t>
      </w:r>
      <w:r w:rsidRPr="00C9549D">
        <w:t xml:space="preserve"> obnov</w:t>
      </w:r>
      <w:r w:rsidR="009472B0">
        <w:t>a</w:t>
      </w:r>
      <w:r w:rsidR="00AC7FE1">
        <w:t xml:space="preserve"> od čega se </w:t>
      </w:r>
      <w:r w:rsidR="00987596">
        <w:t>14</w:t>
      </w:r>
      <w:r w:rsidRPr="00C9549D">
        <w:t xml:space="preserve"> odnosi na organiziranu </w:t>
      </w:r>
      <w:r w:rsidR="00E0062E">
        <w:t>konstrukcijsku obnovu</w:t>
      </w:r>
      <w:r w:rsidRPr="00C9549D">
        <w:t xml:space="preserve">, a </w:t>
      </w:r>
      <w:r w:rsidR="00D7081A">
        <w:t>87</w:t>
      </w:r>
      <w:r w:rsidRPr="00C9549D">
        <w:t xml:space="preserve"> na završenu samoobnovu</w:t>
      </w:r>
      <w:r w:rsidR="00E0062E">
        <w:t xml:space="preserve"> odnosno model novčane pomoći</w:t>
      </w:r>
      <w:r w:rsidRPr="00C9549D">
        <w:t>.</w:t>
      </w:r>
    </w:p>
    <w:p w14:paraId="5B318A8C" w14:textId="77777777" w:rsidR="006717EC" w:rsidRPr="00C9549D" w:rsidRDefault="006717EC" w:rsidP="006717EC"/>
    <w:p w14:paraId="169D0E61" w14:textId="640255B7" w:rsidR="006717EC" w:rsidRPr="00C9549D" w:rsidRDefault="006717EC" w:rsidP="006717EC">
      <w:pPr>
        <w:rPr>
          <w:i/>
          <w:iCs/>
        </w:rPr>
      </w:pPr>
      <w:r w:rsidRPr="00C9549D">
        <w:rPr>
          <w:i/>
          <w:iCs/>
        </w:rPr>
        <w:t>Pregled završenih radova konstrukcijske obnove po lokaciji i vrsti obnove</w:t>
      </w:r>
    </w:p>
    <w:tbl>
      <w:tblPr>
        <w:tblW w:w="9072" w:type="dxa"/>
        <w:tblInd w:w="-5" w:type="dxa"/>
        <w:tblLayout w:type="fixed"/>
        <w:tblLook w:val="04A0" w:firstRow="1" w:lastRow="0" w:firstColumn="1" w:lastColumn="0" w:noHBand="0" w:noVBand="1"/>
      </w:tblPr>
      <w:tblGrid>
        <w:gridCol w:w="3119"/>
        <w:gridCol w:w="1984"/>
        <w:gridCol w:w="1984"/>
        <w:gridCol w:w="1985"/>
      </w:tblGrid>
      <w:tr w:rsidR="00A84327" w:rsidRPr="00C9549D" w14:paraId="10BC6328" w14:textId="77777777" w:rsidTr="006F70DD">
        <w:trPr>
          <w:trHeight w:val="567"/>
        </w:trPr>
        <w:tc>
          <w:tcPr>
            <w:tcW w:w="3119"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223D59D6" w14:textId="77777777" w:rsidR="006717EC" w:rsidRPr="00C9549D" w:rsidRDefault="006717EC"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1984" w:type="dxa"/>
            <w:tcBorders>
              <w:top w:val="single" w:sz="4" w:space="0" w:color="A6A6A6"/>
              <w:left w:val="nil"/>
              <w:bottom w:val="single" w:sz="4" w:space="0" w:color="A6A6A6"/>
              <w:right w:val="single" w:sz="4" w:space="0" w:color="A6A6A6"/>
            </w:tcBorders>
            <w:shd w:val="clear" w:color="000000" w:fill="002060"/>
            <w:vAlign w:val="center"/>
            <w:hideMark/>
          </w:tcPr>
          <w:p w14:paraId="3A82F24A" w14:textId="77777777" w:rsidR="00E537BA" w:rsidRDefault="00316C75" w:rsidP="00861662">
            <w:pPr>
              <w:spacing w:line="240" w:lineRule="auto"/>
              <w:jc w:val="center"/>
              <w:rPr>
                <w:color w:val="FFFFFF"/>
                <w:sz w:val="22"/>
                <w:szCs w:val="22"/>
              </w:rPr>
            </w:pPr>
            <w:r>
              <w:rPr>
                <w:color w:val="FFFFFF"/>
                <w:sz w:val="22"/>
                <w:szCs w:val="22"/>
              </w:rPr>
              <w:t xml:space="preserve"> </w:t>
            </w:r>
            <w:r w:rsidR="006717EC">
              <w:rPr>
                <w:color w:val="FFFFFF"/>
                <w:sz w:val="22"/>
                <w:szCs w:val="22"/>
              </w:rPr>
              <w:t>Stanje na</w:t>
            </w:r>
          </w:p>
          <w:p w14:paraId="26AC1BDE" w14:textId="621774B7" w:rsidR="006717EC" w:rsidRPr="00C9549D" w:rsidRDefault="006717EC" w:rsidP="00861662">
            <w:pPr>
              <w:spacing w:line="240" w:lineRule="auto"/>
              <w:jc w:val="center"/>
              <w:rPr>
                <w:rFonts w:eastAsia="Times New Roman"/>
                <w:color w:val="FFFFFF"/>
                <w:sz w:val="22"/>
                <w:szCs w:val="22"/>
                <w:lang w:eastAsia="hr-HR"/>
              </w:rPr>
            </w:pPr>
            <w:r>
              <w:rPr>
                <w:color w:val="FFFFFF"/>
                <w:sz w:val="22"/>
                <w:szCs w:val="22"/>
              </w:rPr>
              <w:t>31.</w:t>
            </w:r>
            <w:r w:rsidR="00E537BA">
              <w:rPr>
                <w:color w:val="FFFFFF"/>
                <w:sz w:val="22"/>
                <w:szCs w:val="22"/>
              </w:rPr>
              <w:t xml:space="preserve"> </w:t>
            </w:r>
            <w:r w:rsidR="008F262F">
              <w:rPr>
                <w:color w:val="FFFFFF"/>
                <w:sz w:val="22"/>
                <w:szCs w:val="22"/>
              </w:rPr>
              <w:t xml:space="preserve">prosinca </w:t>
            </w:r>
            <w:r>
              <w:rPr>
                <w:color w:val="FFFFFF"/>
                <w:sz w:val="22"/>
                <w:szCs w:val="22"/>
              </w:rPr>
              <w:t>2022.</w:t>
            </w:r>
            <w:r w:rsidR="00316C75">
              <w:rPr>
                <w:color w:val="FFFFFF"/>
                <w:sz w:val="22"/>
                <w:szCs w:val="22"/>
              </w:rPr>
              <w:t xml:space="preserve"> </w:t>
            </w:r>
          </w:p>
        </w:tc>
        <w:tc>
          <w:tcPr>
            <w:tcW w:w="1984" w:type="dxa"/>
            <w:tcBorders>
              <w:top w:val="single" w:sz="4" w:space="0" w:color="A6A6A6"/>
              <w:left w:val="nil"/>
              <w:bottom w:val="single" w:sz="4" w:space="0" w:color="A6A6A6"/>
              <w:right w:val="single" w:sz="4" w:space="0" w:color="A6A6A6"/>
            </w:tcBorders>
            <w:shd w:val="clear" w:color="000000" w:fill="002060"/>
            <w:vAlign w:val="center"/>
            <w:hideMark/>
          </w:tcPr>
          <w:p w14:paraId="33B5E52C" w14:textId="68119A63" w:rsidR="006717EC" w:rsidRPr="00C9549D" w:rsidRDefault="00316C75" w:rsidP="00861662">
            <w:pPr>
              <w:spacing w:line="240" w:lineRule="auto"/>
              <w:jc w:val="center"/>
              <w:rPr>
                <w:rFonts w:eastAsia="Times New Roman"/>
                <w:color w:val="FFFFFF"/>
                <w:sz w:val="22"/>
                <w:szCs w:val="22"/>
                <w:lang w:eastAsia="hr-HR"/>
              </w:rPr>
            </w:pPr>
            <w:r>
              <w:rPr>
                <w:color w:val="FFFFFF"/>
                <w:sz w:val="22"/>
                <w:szCs w:val="22"/>
              </w:rPr>
              <w:t xml:space="preserve"> Realizacija tijekom 2023. godine </w:t>
            </w:r>
          </w:p>
        </w:tc>
        <w:tc>
          <w:tcPr>
            <w:tcW w:w="1985" w:type="dxa"/>
            <w:tcBorders>
              <w:top w:val="single" w:sz="4" w:space="0" w:color="A6A6A6"/>
              <w:left w:val="nil"/>
              <w:bottom w:val="single" w:sz="4" w:space="0" w:color="A6A6A6"/>
              <w:right w:val="single" w:sz="4" w:space="0" w:color="A6A6A6"/>
            </w:tcBorders>
            <w:shd w:val="clear" w:color="000000" w:fill="002060"/>
            <w:vAlign w:val="center"/>
            <w:hideMark/>
          </w:tcPr>
          <w:p w14:paraId="619A39A0" w14:textId="77777777" w:rsidR="008F262F" w:rsidRDefault="00316C75" w:rsidP="00316C75">
            <w:pPr>
              <w:spacing w:line="240" w:lineRule="auto"/>
              <w:jc w:val="center"/>
              <w:rPr>
                <w:color w:val="FFFFFF"/>
                <w:sz w:val="22"/>
                <w:szCs w:val="22"/>
              </w:rPr>
            </w:pPr>
            <w:r>
              <w:rPr>
                <w:color w:val="FFFFFF"/>
                <w:sz w:val="22"/>
                <w:szCs w:val="22"/>
              </w:rPr>
              <w:t xml:space="preserve"> Stanje na </w:t>
            </w:r>
          </w:p>
          <w:p w14:paraId="6425946F" w14:textId="57BBD477" w:rsidR="006717EC" w:rsidRPr="00C9549D" w:rsidRDefault="00316C75" w:rsidP="00861662">
            <w:pPr>
              <w:spacing w:line="240" w:lineRule="auto"/>
              <w:jc w:val="center"/>
              <w:rPr>
                <w:rFonts w:eastAsia="Times New Roman"/>
                <w:color w:val="FFFFFF"/>
                <w:sz w:val="20"/>
                <w:szCs w:val="20"/>
                <w:lang w:eastAsia="hr-HR"/>
              </w:rPr>
            </w:pPr>
            <w:r>
              <w:rPr>
                <w:color w:val="FFFFFF"/>
                <w:sz w:val="22"/>
                <w:szCs w:val="22"/>
              </w:rPr>
              <w:t>3</w:t>
            </w:r>
            <w:r w:rsidR="00E537BA">
              <w:rPr>
                <w:color w:val="FFFFFF"/>
                <w:sz w:val="22"/>
                <w:szCs w:val="22"/>
              </w:rPr>
              <w:t>1</w:t>
            </w:r>
            <w:r>
              <w:rPr>
                <w:color w:val="FFFFFF"/>
                <w:sz w:val="22"/>
                <w:szCs w:val="22"/>
              </w:rPr>
              <w:t>.</w:t>
            </w:r>
            <w:r w:rsidR="00E537BA">
              <w:rPr>
                <w:color w:val="FFFFFF"/>
                <w:sz w:val="22"/>
                <w:szCs w:val="22"/>
              </w:rPr>
              <w:t xml:space="preserve"> prosinca </w:t>
            </w:r>
            <w:r>
              <w:rPr>
                <w:color w:val="FFFFFF"/>
                <w:sz w:val="22"/>
                <w:szCs w:val="22"/>
              </w:rPr>
              <w:t xml:space="preserve">2023. </w:t>
            </w:r>
          </w:p>
        </w:tc>
      </w:tr>
      <w:tr w:rsidR="00A84327" w:rsidRPr="00C9549D" w14:paraId="73DA4131" w14:textId="77777777" w:rsidTr="006F70DD">
        <w:trPr>
          <w:trHeight w:val="567"/>
        </w:trPr>
        <w:tc>
          <w:tcPr>
            <w:tcW w:w="3119" w:type="dxa"/>
            <w:tcBorders>
              <w:top w:val="nil"/>
              <w:left w:val="single" w:sz="4" w:space="0" w:color="A6A6A6"/>
              <w:bottom w:val="single" w:sz="4" w:space="0" w:color="A6A6A6"/>
              <w:right w:val="single" w:sz="4" w:space="0" w:color="A6A6A6"/>
            </w:tcBorders>
            <w:shd w:val="clear" w:color="000000" w:fill="D9E1F2"/>
            <w:noWrap/>
            <w:vAlign w:val="center"/>
            <w:hideMark/>
          </w:tcPr>
          <w:p w14:paraId="2634C089" w14:textId="77777777" w:rsidR="009472B0" w:rsidRPr="00C9549D" w:rsidRDefault="009472B0" w:rsidP="009472B0">
            <w:pPr>
              <w:spacing w:line="240" w:lineRule="auto"/>
              <w:jc w:val="left"/>
              <w:rPr>
                <w:rFonts w:eastAsia="Times New Roman"/>
                <w:color w:val="000000"/>
                <w:sz w:val="22"/>
                <w:szCs w:val="22"/>
                <w:lang w:eastAsia="hr-HR"/>
              </w:rPr>
            </w:pPr>
            <w:r w:rsidRPr="00C9549D">
              <w:rPr>
                <w:color w:val="000000"/>
                <w:sz w:val="22"/>
                <w:szCs w:val="22"/>
              </w:rPr>
              <w:t>Organizirana konstrukcijska obnova</w:t>
            </w:r>
          </w:p>
        </w:tc>
        <w:tc>
          <w:tcPr>
            <w:tcW w:w="1984" w:type="dxa"/>
            <w:tcBorders>
              <w:top w:val="nil"/>
              <w:left w:val="nil"/>
              <w:bottom w:val="single" w:sz="4" w:space="0" w:color="A6A6A6"/>
              <w:right w:val="single" w:sz="4" w:space="0" w:color="A6A6A6"/>
            </w:tcBorders>
            <w:shd w:val="clear" w:color="000000" w:fill="D9E1F2"/>
            <w:noWrap/>
            <w:vAlign w:val="center"/>
            <w:hideMark/>
          </w:tcPr>
          <w:p w14:paraId="50CB1ACA" w14:textId="3BF5820B" w:rsidR="009472B0" w:rsidRPr="00C9549D" w:rsidRDefault="009472B0" w:rsidP="009472B0">
            <w:pPr>
              <w:spacing w:line="240" w:lineRule="auto"/>
              <w:jc w:val="center"/>
              <w:rPr>
                <w:rFonts w:eastAsia="Times New Roman"/>
                <w:color w:val="000000"/>
                <w:sz w:val="22"/>
                <w:szCs w:val="22"/>
                <w:lang w:eastAsia="hr-HR"/>
              </w:rPr>
            </w:pPr>
            <w:r w:rsidRPr="00C9549D">
              <w:rPr>
                <w:color w:val="000000"/>
                <w:sz w:val="22"/>
                <w:szCs w:val="22"/>
              </w:rPr>
              <w:t>0</w:t>
            </w:r>
          </w:p>
        </w:tc>
        <w:tc>
          <w:tcPr>
            <w:tcW w:w="1984" w:type="dxa"/>
            <w:tcBorders>
              <w:top w:val="nil"/>
              <w:left w:val="nil"/>
              <w:bottom w:val="single" w:sz="4" w:space="0" w:color="A6A6A6"/>
              <w:right w:val="single" w:sz="4" w:space="0" w:color="A6A6A6"/>
            </w:tcBorders>
            <w:shd w:val="clear" w:color="000000" w:fill="D9E1F2"/>
            <w:noWrap/>
            <w:vAlign w:val="center"/>
            <w:hideMark/>
          </w:tcPr>
          <w:p w14:paraId="1ACF9B1D" w14:textId="5BD2B098"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14</w:t>
            </w:r>
          </w:p>
        </w:tc>
        <w:tc>
          <w:tcPr>
            <w:tcW w:w="1985" w:type="dxa"/>
            <w:tcBorders>
              <w:top w:val="nil"/>
              <w:left w:val="nil"/>
              <w:bottom w:val="single" w:sz="4" w:space="0" w:color="A6A6A6"/>
              <w:right w:val="single" w:sz="4" w:space="0" w:color="A6A6A6"/>
            </w:tcBorders>
            <w:shd w:val="clear" w:color="000000" w:fill="D9E1F2"/>
            <w:noWrap/>
            <w:vAlign w:val="center"/>
            <w:hideMark/>
          </w:tcPr>
          <w:p w14:paraId="297E784F" w14:textId="3CCDAF7B"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14</w:t>
            </w:r>
          </w:p>
        </w:tc>
      </w:tr>
      <w:tr w:rsidR="00A84327" w:rsidRPr="00C9549D" w14:paraId="0C5CD7EF" w14:textId="77777777" w:rsidTr="00ED1CA9">
        <w:trPr>
          <w:trHeight w:val="510"/>
        </w:trPr>
        <w:tc>
          <w:tcPr>
            <w:tcW w:w="3119" w:type="dxa"/>
            <w:tcBorders>
              <w:top w:val="nil"/>
              <w:left w:val="single" w:sz="4" w:space="0" w:color="A6A6A6"/>
              <w:bottom w:val="single" w:sz="4" w:space="0" w:color="A6A6A6"/>
              <w:right w:val="single" w:sz="4" w:space="0" w:color="A6A6A6"/>
            </w:tcBorders>
            <w:shd w:val="clear" w:color="000000" w:fill="FFFFFF"/>
            <w:noWrap/>
            <w:vAlign w:val="center"/>
            <w:hideMark/>
          </w:tcPr>
          <w:p w14:paraId="1703F47B" w14:textId="77777777" w:rsidR="009472B0" w:rsidRPr="00C9549D" w:rsidRDefault="009472B0" w:rsidP="009472B0">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Petrinjski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0DC6D9F2" w14:textId="561890C1" w:rsidR="009472B0" w:rsidRPr="00C9549D" w:rsidRDefault="009472B0" w:rsidP="009472B0">
            <w:pPr>
              <w:spacing w:line="240" w:lineRule="auto"/>
              <w:jc w:val="center"/>
              <w:rPr>
                <w:rFonts w:eastAsia="Times New Roman"/>
                <w:color w:val="000000"/>
                <w:sz w:val="22"/>
                <w:szCs w:val="22"/>
                <w:lang w:eastAsia="hr-HR"/>
              </w:rPr>
            </w:pPr>
            <w:r w:rsidRPr="00C9549D">
              <w:rPr>
                <w:color w:val="000000"/>
                <w:sz w:val="22"/>
                <w:szCs w:val="22"/>
              </w:rPr>
              <w:t>0</w:t>
            </w:r>
          </w:p>
        </w:tc>
        <w:tc>
          <w:tcPr>
            <w:tcW w:w="1984" w:type="dxa"/>
            <w:tcBorders>
              <w:top w:val="nil"/>
              <w:left w:val="nil"/>
              <w:bottom w:val="single" w:sz="4" w:space="0" w:color="A6A6A6"/>
              <w:right w:val="single" w:sz="4" w:space="0" w:color="A6A6A6"/>
            </w:tcBorders>
            <w:shd w:val="clear" w:color="000000" w:fill="FFFFFF"/>
            <w:noWrap/>
            <w:vAlign w:val="center"/>
            <w:hideMark/>
          </w:tcPr>
          <w:p w14:paraId="20A3C26D" w14:textId="39D1C99E"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4</w:t>
            </w:r>
          </w:p>
        </w:tc>
        <w:tc>
          <w:tcPr>
            <w:tcW w:w="1985" w:type="dxa"/>
            <w:tcBorders>
              <w:top w:val="nil"/>
              <w:left w:val="nil"/>
              <w:bottom w:val="single" w:sz="4" w:space="0" w:color="A6A6A6"/>
              <w:right w:val="single" w:sz="4" w:space="0" w:color="A6A6A6"/>
            </w:tcBorders>
            <w:shd w:val="clear" w:color="000000" w:fill="FFFFFF"/>
            <w:noWrap/>
            <w:vAlign w:val="center"/>
            <w:hideMark/>
          </w:tcPr>
          <w:p w14:paraId="45669B33" w14:textId="40307443"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4</w:t>
            </w:r>
          </w:p>
        </w:tc>
      </w:tr>
      <w:tr w:rsidR="00A84327" w:rsidRPr="00C9549D" w14:paraId="4A4DF6D6" w14:textId="77777777" w:rsidTr="00ED1CA9">
        <w:trPr>
          <w:trHeight w:val="510"/>
        </w:trPr>
        <w:tc>
          <w:tcPr>
            <w:tcW w:w="3119" w:type="dxa"/>
            <w:tcBorders>
              <w:top w:val="nil"/>
              <w:left w:val="single" w:sz="4" w:space="0" w:color="A6A6A6"/>
              <w:bottom w:val="single" w:sz="4" w:space="0" w:color="A6A6A6"/>
              <w:right w:val="single" w:sz="4" w:space="0" w:color="A6A6A6"/>
            </w:tcBorders>
            <w:shd w:val="clear" w:color="000000" w:fill="FFFFFF"/>
            <w:noWrap/>
            <w:vAlign w:val="center"/>
            <w:hideMark/>
          </w:tcPr>
          <w:p w14:paraId="60D4AE95" w14:textId="77777777" w:rsidR="009472B0" w:rsidRPr="00C9549D" w:rsidRDefault="009472B0" w:rsidP="009472B0">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Zagrebački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5A3A8443" w14:textId="61A9A0B3" w:rsidR="009472B0" w:rsidRPr="00C9549D" w:rsidRDefault="009472B0" w:rsidP="009472B0">
            <w:pPr>
              <w:spacing w:line="240" w:lineRule="auto"/>
              <w:jc w:val="center"/>
              <w:rPr>
                <w:rFonts w:eastAsia="Times New Roman"/>
                <w:color w:val="000000"/>
                <w:sz w:val="22"/>
                <w:szCs w:val="22"/>
                <w:lang w:eastAsia="hr-HR"/>
              </w:rPr>
            </w:pPr>
            <w:r w:rsidRPr="00C9549D">
              <w:rPr>
                <w:color w:val="000000"/>
                <w:sz w:val="22"/>
                <w:szCs w:val="22"/>
              </w:rPr>
              <w:t>0</w:t>
            </w:r>
          </w:p>
        </w:tc>
        <w:tc>
          <w:tcPr>
            <w:tcW w:w="1984" w:type="dxa"/>
            <w:tcBorders>
              <w:top w:val="nil"/>
              <w:left w:val="nil"/>
              <w:bottom w:val="single" w:sz="4" w:space="0" w:color="A6A6A6"/>
              <w:right w:val="single" w:sz="4" w:space="0" w:color="A6A6A6"/>
            </w:tcBorders>
            <w:shd w:val="clear" w:color="000000" w:fill="FFFFFF"/>
            <w:noWrap/>
            <w:vAlign w:val="center"/>
            <w:hideMark/>
          </w:tcPr>
          <w:p w14:paraId="11F0DB07" w14:textId="1DE8FB38"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10</w:t>
            </w:r>
          </w:p>
        </w:tc>
        <w:tc>
          <w:tcPr>
            <w:tcW w:w="1985" w:type="dxa"/>
            <w:tcBorders>
              <w:top w:val="nil"/>
              <w:left w:val="nil"/>
              <w:bottom w:val="single" w:sz="4" w:space="0" w:color="A6A6A6"/>
              <w:right w:val="single" w:sz="4" w:space="0" w:color="A6A6A6"/>
            </w:tcBorders>
            <w:shd w:val="clear" w:color="000000" w:fill="FFFFFF"/>
            <w:noWrap/>
            <w:vAlign w:val="center"/>
            <w:hideMark/>
          </w:tcPr>
          <w:p w14:paraId="600F6977" w14:textId="0DFA54C2"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10</w:t>
            </w:r>
          </w:p>
        </w:tc>
      </w:tr>
      <w:tr w:rsidR="00A84327" w:rsidRPr="00C9549D" w14:paraId="3EBBC642" w14:textId="77777777" w:rsidTr="006F70DD">
        <w:trPr>
          <w:trHeight w:val="567"/>
        </w:trPr>
        <w:tc>
          <w:tcPr>
            <w:tcW w:w="3119" w:type="dxa"/>
            <w:tcBorders>
              <w:top w:val="nil"/>
              <w:left w:val="single" w:sz="4" w:space="0" w:color="A6A6A6"/>
              <w:bottom w:val="single" w:sz="4" w:space="0" w:color="A6A6A6"/>
              <w:right w:val="single" w:sz="4" w:space="0" w:color="A6A6A6"/>
            </w:tcBorders>
            <w:shd w:val="clear" w:color="000000" w:fill="D9E1F2"/>
            <w:noWrap/>
            <w:vAlign w:val="center"/>
            <w:hideMark/>
          </w:tcPr>
          <w:p w14:paraId="2C034C35" w14:textId="77777777" w:rsidR="009472B0" w:rsidRPr="00C9549D" w:rsidRDefault="009472B0" w:rsidP="009472B0">
            <w:pPr>
              <w:spacing w:line="240" w:lineRule="auto"/>
              <w:jc w:val="left"/>
              <w:rPr>
                <w:rFonts w:eastAsia="Times New Roman"/>
                <w:color w:val="000000"/>
                <w:sz w:val="22"/>
                <w:szCs w:val="22"/>
                <w:lang w:eastAsia="hr-HR"/>
              </w:rPr>
            </w:pPr>
            <w:r w:rsidRPr="00C9549D">
              <w:rPr>
                <w:color w:val="000000"/>
                <w:sz w:val="22"/>
                <w:szCs w:val="22"/>
              </w:rPr>
              <w:t>Novčana pomoć za konstrukcijsku obnovu</w:t>
            </w:r>
          </w:p>
        </w:tc>
        <w:tc>
          <w:tcPr>
            <w:tcW w:w="1984" w:type="dxa"/>
            <w:tcBorders>
              <w:top w:val="nil"/>
              <w:left w:val="nil"/>
              <w:bottom w:val="single" w:sz="4" w:space="0" w:color="A6A6A6"/>
              <w:right w:val="single" w:sz="4" w:space="0" w:color="A6A6A6"/>
            </w:tcBorders>
            <w:shd w:val="clear" w:color="000000" w:fill="D9E1F2"/>
            <w:noWrap/>
            <w:vAlign w:val="center"/>
            <w:hideMark/>
          </w:tcPr>
          <w:p w14:paraId="158F4647" w14:textId="0F7ED42D" w:rsidR="009472B0" w:rsidRPr="00C9549D" w:rsidRDefault="009472B0" w:rsidP="009472B0">
            <w:pPr>
              <w:spacing w:line="240" w:lineRule="auto"/>
              <w:jc w:val="center"/>
              <w:rPr>
                <w:rFonts w:eastAsia="Times New Roman"/>
                <w:color w:val="000000"/>
                <w:sz w:val="22"/>
                <w:szCs w:val="22"/>
                <w:lang w:eastAsia="hr-HR"/>
              </w:rPr>
            </w:pPr>
            <w:r w:rsidRPr="00C9549D">
              <w:rPr>
                <w:color w:val="000000"/>
                <w:sz w:val="22"/>
                <w:szCs w:val="22"/>
              </w:rPr>
              <w:t>13</w:t>
            </w:r>
          </w:p>
        </w:tc>
        <w:tc>
          <w:tcPr>
            <w:tcW w:w="1984" w:type="dxa"/>
            <w:tcBorders>
              <w:top w:val="nil"/>
              <w:left w:val="nil"/>
              <w:bottom w:val="single" w:sz="4" w:space="0" w:color="A6A6A6"/>
              <w:right w:val="single" w:sz="4" w:space="0" w:color="A6A6A6"/>
            </w:tcBorders>
            <w:shd w:val="clear" w:color="000000" w:fill="D9E1F2"/>
            <w:noWrap/>
            <w:vAlign w:val="center"/>
            <w:hideMark/>
          </w:tcPr>
          <w:p w14:paraId="3487CE09" w14:textId="57925FE8"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87</w:t>
            </w:r>
          </w:p>
        </w:tc>
        <w:tc>
          <w:tcPr>
            <w:tcW w:w="1985" w:type="dxa"/>
            <w:tcBorders>
              <w:top w:val="nil"/>
              <w:left w:val="nil"/>
              <w:bottom w:val="single" w:sz="4" w:space="0" w:color="A6A6A6"/>
              <w:right w:val="single" w:sz="4" w:space="0" w:color="A6A6A6"/>
            </w:tcBorders>
            <w:shd w:val="clear" w:color="000000" w:fill="D9E1F2"/>
            <w:noWrap/>
            <w:vAlign w:val="center"/>
            <w:hideMark/>
          </w:tcPr>
          <w:p w14:paraId="58F80A9B" w14:textId="2576216C"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100</w:t>
            </w:r>
          </w:p>
        </w:tc>
      </w:tr>
      <w:tr w:rsidR="00A84327" w:rsidRPr="00C9549D" w14:paraId="0CA08EF1" w14:textId="77777777" w:rsidTr="00ED1CA9">
        <w:trPr>
          <w:trHeight w:val="510"/>
        </w:trPr>
        <w:tc>
          <w:tcPr>
            <w:tcW w:w="3119" w:type="dxa"/>
            <w:tcBorders>
              <w:top w:val="nil"/>
              <w:left w:val="single" w:sz="4" w:space="0" w:color="A6A6A6"/>
              <w:bottom w:val="single" w:sz="4" w:space="0" w:color="A6A6A6"/>
              <w:right w:val="single" w:sz="4" w:space="0" w:color="A6A6A6"/>
            </w:tcBorders>
            <w:shd w:val="clear" w:color="000000" w:fill="FFFFFF"/>
            <w:noWrap/>
            <w:vAlign w:val="center"/>
            <w:hideMark/>
          </w:tcPr>
          <w:p w14:paraId="44B1A5AC" w14:textId="77777777" w:rsidR="009472B0" w:rsidRPr="00C9549D" w:rsidRDefault="009472B0" w:rsidP="009472B0">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Petrinjski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6E2D8D33" w14:textId="364EAE59" w:rsidR="009472B0" w:rsidRPr="00C9549D" w:rsidRDefault="009472B0" w:rsidP="009472B0">
            <w:pPr>
              <w:spacing w:line="240" w:lineRule="auto"/>
              <w:jc w:val="center"/>
              <w:rPr>
                <w:rFonts w:eastAsia="Times New Roman"/>
                <w:color w:val="000000"/>
                <w:sz w:val="22"/>
                <w:szCs w:val="22"/>
                <w:lang w:eastAsia="hr-HR"/>
              </w:rPr>
            </w:pPr>
            <w:r w:rsidRPr="00C9549D">
              <w:rPr>
                <w:color w:val="000000"/>
                <w:sz w:val="22"/>
                <w:szCs w:val="22"/>
              </w:rPr>
              <w:t>0</w:t>
            </w:r>
          </w:p>
        </w:tc>
        <w:tc>
          <w:tcPr>
            <w:tcW w:w="1984" w:type="dxa"/>
            <w:tcBorders>
              <w:top w:val="nil"/>
              <w:left w:val="nil"/>
              <w:bottom w:val="single" w:sz="4" w:space="0" w:color="A6A6A6"/>
              <w:right w:val="single" w:sz="4" w:space="0" w:color="A6A6A6"/>
            </w:tcBorders>
            <w:shd w:val="clear" w:color="000000" w:fill="FFFFFF"/>
            <w:noWrap/>
            <w:vAlign w:val="center"/>
            <w:hideMark/>
          </w:tcPr>
          <w:p w14:paraId="648ED5EF" w14:textId="3FECF36B"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28</w:t>
            </w:r>
          </w:p>
        </w:tc>
        <w:tc>
          <w:tcPr>
            <w:tcW w:w="1985" w:type="dxa"/>
            <w:tcBorders>
              <w:top w:val="nil"/>
              <w:left w:val="nil"/>
              <w:bottom w:val="single" w:sz="4" w:space="0" w:color="A6A6A6"/>
              <w:right w:val="single" w:sz="4" w:space="0" w:color="A6A6A6"/>
            </w:tcBorders>
            <w:shd w:val="clear" w:color="000000" w:fill="FFFFFF"/>
            <w:noWrap/>
            <w:vAlign w:val="center"/>
            <w:hideMark/>
          </w:tcPr>
          <w:p w14:paraId="56B22E21" w14:textId="004318C8"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28</w:t>
            </w:r>
          </w:p>
        </w:tc>
      </w:tr>
      <w:tr w:rsidR="00A84327" w:rsidRPr="00C9549D" w14:paraId="7D4B92E5" w14:textId="77777777" w:rsidTr="00ED1CA9">
        <w:trPr>
          <w:trHeight w:val="510"/>
        </w:trPr>
        <w:tc>
          <w:tcPr>
            <w:tcW w:w="3119" w:type="dxa"/>
            <w:tcBorders>
              <w:top w:val="nil"/>
              <w:left w:val="single" w:sz="4" w:space="0" w:color="A6A6A6"/>
              <w:bottom w:val="single" w:sz="4" w:space="0" w:color="A6A6A6"/>
              <w:right w:val="single" w:sz="4" w:space="0" w:color="A6A6A6"/>
            </w:tcBorders>
            <w:shd w:val="clear" w:color="000000" w:fill="FFFFFF"/>
            <w:noWrap/>
            <w:vAlign w:val="center"/>
            <w:hideMark/>
          </w:tcPr>
          <w:p w14:paraId="06987D0F" w14:textId="77777777" w:rsidR="009472B0" w:rsidRPr="00C9549D" w:rsidRDefault="009472B0" w:rsidP="009472B0">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Zagrebački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23026332" w14:textId="6BDFA801" w:rsidR="009472B0" w:rsidRPr="00C9549D" w:rsidRDefault="009472B0" w:rsidP="009472B0">
            <w:pPr>
              <w:spacing w:line="240" w:lineRule="auto"/>
              <w:jc w:val="center"/>
              <w:rPr>
                <w:rFonts w:eastAsia="Times New Roman"/>
                <w:color w:val="000000"/>
                <w:sz w:val="22"/>
                <w:szCs w:val="22"/>
                <w:lang w:eastAsia="hr-HR"/>
              </w:rPr>
            </w:pPr>
            <w:r w:rsidRPr="00C9549D">
              <w:rPr>
                <w:color w:val="000000"/>
                <w:sz w:val="22"/>
                <w:szCs w:val="22"/>
              </w:rPr>
              <w:t>13</w:t>
            </w:r>
          </w:p>
        </w:tc>
        <w:tc>
          <w:tcPr>
            <w:tcW w:w="1984" w:type="dxa"/>
            <w:tcBorders>
              <w:top w:val="nil"/>
              <w:left w:val="nil"/>
              <w:bottom w:val="single" w:sz="4" w:space="0" w:color="A6A6A6"/>
              <w:right w:val="single" w:sz="4" w:space="0" w:color="A6A6A6"/>
            </w:tcBorders>
            <w:shd w:val="clear" w:color="000000" w:fill="FFFFFF"/>
            <w:noWrap/>
            <w:vAlign w:val="center"/>
            <w:hideMark/>
          </w:tcPr>
          <w:p w14:paraId="2DA4383A" w14:textId="291A5A05"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59</w:t>
            </w:r>
          </w:p>
        </w:tc>
        <w:tc>
          <w:tcPr>
            <w:tcW w:w="1985" w:type="dxa"/>
            <w:tcBorders>
              <w:top w:val="nil"/>
              <w:left w:val="nil"/>
              <w:bottom w:val="single" w:sz="4" w:space="0" w:color="A6A6A6"/>
              <w:right w:val="single" w:sz="4" w:space="0" w:color="A6A6A6"/>
            </w:tcBorders>
            <w:shd w:val="clear" w:color="000000" w:fill="FFFFFF"/>
            <w:noWrap/>
            <w:vAlign w:val="center"/>
            <w:hideMark/>
          </w:tcPr>
          <w:p w14:paraId="100DD25A" w14:textId="72FC2F7B" w:rsidR="009472B0" w:rsidRPr="00C9549D" w:rsidRDefault="009472B0" w:rsidP="009472B0">
            <w:pPr>
              <w:spacing w:line="240" w:lineRule="auto"/>
              <w:jc w:val="center"/>
              <w:rPr>
                <w:rFonts w:eastAsia="Times New Roman"/>
                <w:color w:val="000000"/>
                <w:sz w:val="22"/>
                <w:szCs w:val="22"/>
                <w:lang w:eastAsia="hr-HR"/>
              </w:rPr>
            </w:pPr>
            <w:r>
              <w:rPr>
                <w:color w:val="000000"/>
                <w:sz w:val="22"/>
                <w:szCs w:val="22"/>
              </w:rPr>
              <w:t>72</w:t>
            </w:r>
          </w:p>
        </w:tc>
      </w:tr>
      <w:tr w:rsidR="00A84327" w:rsidRPr="00C9549D" w14:paraId="53AE9EDD" w14:textId="77777777" w:rsidTr="006F70DD">
        <w:trPr>
          <w:trHeight w:val="567"/>
        </w:trPr>
        <w:tc>
          <w:tcPr>
            <w:tcW w:w="3119" w:type="dxa"/>
            <w:tcBorders>
              <w:top w:val="nil"/>
              <w:left w:val="single" w:sz="4" w:space="0" w:color="A6A6A6"/>
              <w:bottom w:val="single" w:sz="4" w:space="0" w:color="A6A6A6"/>
              <w:right w:val="single" w:sz="4" w:space="0" w:color="A6A6A6"/>
            </w:tcBorders>
            <w:shd w:val="clear" w:color="000000" w:fill="002060"/>
            <w:vAlign w:val="center"/>
            <w:hideMark/>
          </w:tcPr>
          <w:p w14:paraId="574F50FA" w14:textId="77777777" w:rsidR="009472B0" w:rsidRPr="00C9549D" w:rsidRDefault="009472B0" w:rsidP="009472B0">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1984" w:type="dxa"/>
            <w:tcBorders>
              <w:top w:val="nil"/>
              <w:left w:val="nil"/>
              <w:bottom w:val="single" w:sz="4" w:space="0" w:color="A6A6A6"/>
              <w:right w:val="single" w:sz="4" w:space="0" w:color="A6A6A6"/>
            </w:tcBorders>
            <w:shd w:val="clear" w:color="000000" w:fill="002060"/>
            <w:vAlign w:val="center"/>
            <w:hideMark/>
          </w:tcPr>
          <w:p w14:paraId="18E27558" w14:textId="523329C5" w:rsidR="009472B0" w:rsidRPr="00C9549D" w:rsidRDefault="009472B0" w:rsidP="009472B0">
            <w:pPr>
              <w:spacing w:line="240" w:lineRule="auto"/>
              <w:jc w:val="center"/>
              <w:rPr>
                <w:rFonts w:eastAsia="Times New Roman"/>
                <w:color w:val="FFFFFF"/>
                <w:sz w:val="22"/>
                <w:szCs w:val="22"/>
                <w:lang w:eastAsia="hr-HR"/>
              </w:rPr>
            </w:pPr>
            <w:r w:rsidRPr="00C9549D">
              <w:rPr>
                <w:color w:val="FFFFFF"/>
                <w:sz w:val="22"/>
                <w:szCs w:val="22"/>
              </w:rPr>
              <w:t>13</w:t>
            </w:r>
          </w:p>
        </w:tc>
        <w:tc>
          <w:tcPr>
            <w:tcW w:w="1984" w:type="dxa"/>
            <w:tcBorders>
              <w:top w:val="nil"/>
              <w:left w:val="nil"/>
              <w:bottom w:val="single" w:sz="4" w:space="0" w:color="A6A6A6"/>
              <w:right w:val="single" w:sz="4" w:space="0" w:color="A6A6A6"/>
            </w:tcBorders>
            <w:shd w:val="clear" w:color="000000" w:fill="002060"/>
            <w:vAlign w:val="center"/>
            <w:hideMark/>
          </w:tcPr>
          <w:p w14:paraId="42BC615F" w14:textId="4FB67CB7" w:rsidR="009472B0" w:rsidRPr="00C9549D" w:rsidRDefault="009472B0" w:rsidP="009472B0">
            <w:pPr>
              <w:spacing w:line="240" w:lineRule="auto"/>
              <w:jc w:val="center"/>
              <w:rPr>
                <w:rFonts w:eastAsia="Times New Roman"/>
                <w:color w:val="FFFFFF"/>
                <w:sz w:val="22"/>
                <w:szCs w:val="22"/>
                <w:lang w:eastAsia="hr-HR"/>
              </w:rPr>
            </w:pPr>
            <w:r>
              <w:rPr>
                <w:color w:val="FFFFFF"/>
                <w:sz w:val="22"/>
                <w:szCs w:val="22"/>
              </w:rPr>
              <w:t>101</w:t>
            </w:r>
          </w:p>
        </w:tc>
        <w:tc>
          <w:tcPr>
            <w:tcW w:w="1985" w:type="dxa"/>
            <w:tcBorders>
              <w:top w:val="nil"/>
              <w:left w:val="nil"/>
              <w:bottom w:val="single" w:sz="4" w:space="0" w:color="A6A6A6"/>
              <w:right w:val="single" w:sz="4" w:space="0" w:color="A6A6A6"/>
            </w:tcBorders>
            <w:shd w:val="clear" w:color="000000" w:fill="002060"/>
            <w:vAlign w:val="center"/>
            <w:hideMark/>
          </w:tcPr>
          <w:p w14:paraId="4FF06063" w14:textId="26DB5C36" w:rsidR="009472B0" w:rsidRPr="00C9549D" w:rsidRDefault="009472B0" w:rsidP="009472B0">
            <w:pPr>
              <w:spacing w:line="240" w:lineRule="auto"/>
              <w:jc w:val="center"/>
              <w:rPr>
                <w:rFonts w:eastAsia="Times New Roman"/>
                <w:color w:val="FFFFFF"/>
                <w:sz w:val="22"/>
                <w:szCs w:val="22"/>
                <w:lang w:eastAsia="hr-HR"/>
              </w:rPr>
            </w:pPr>
            <w:r>
              <w:rPr>
                <w:color w:val="FFFFFF"/>
                <w:sz w:val="22"/>
                <w:szCs w:val="22"/>
              </w:rPr>
              <w:t>114</w:t>
            </w:r>
          </w:p>
        </w:tc>
      </w:tr>
    </w:tbl>
    <w:p w14:paraId="79B7262C" w14:textId="77777777" w:rsidR="00BF0719" w:rsidRDefault="006717EC" w:rsidP="000C3E51">
      <w:r w:rsidRPr="00C9549D">
        <w:t xml:space="preserve"> </w:t>
      </w:r>
    </w:p>
    <w:p w14:paraId="02405615" w14:textId="613FC808" w:rsidR="00BF0719" w:rsidRPr="00D33EB1" w:rsidRDefault="00BF0719" w:rsidP="00BF0719">
      <w:pPr>
        <w:rPr>
          <w:b/>
          <w:bCs/>
        </w:rPr>
      </w:pPr>
      <w:r w:rsidRPr="00D33EB1">
        <w:rPr>
          <w:b/>
          <w:bCs/>
        </w:rPr>
        <w:t>Novčana pomoć za konstrukcijsku obnovu</w:t>
      </w:r>
    </w:p>
    <w:p w14:paraId="79330CE9" w14:textId="77777777" w:rsidR="00BF0719" w:rsidRPr="00D33EB1" w:rsidRDefault="00BF0719" w:rsidP="00BF0719"/>
    <w:p w14:paraId="36834A12" w14:textId="03C2761A" w:rsidR="00BF0719" w:rsidRPr="000A132C" w:rsidRDefault="00BF0719" w:rsidP="00BF0719">
      <w:pPr>
        <w:rPr>
          <w:color w:val="000000" w:themeColor="text1"/>
        </w:rPr>
      </w:pPr>
      <w:r w:rsidRPr="004C315C">
        <w:t xml:space="preserve">Do </w:t>
      </w:r>
      <w:r w:rsidR="008B7703">
        <w:t>3</w:t>
      </w:r>
      <w:r w:rsidR="000D40F6">
        <w:t>1</w:t>
      </w:r>
      <w:r w:rsidR="008B7703">
        <w:t xml:space="preserve">. </w:t>
      </w:r>
      <w:r w:rsidR="000D40F6">
        <w:t xml:space="preserve">prosinca </w:t>
      </w:r>
      <w:r w:rsidR="008B7703">
        <w:t>2023.</w:t>
      </w:r>
      <w:r w:rsidRPr="004C315C">
        <w:t xml:space="preserve"> izvršen</w:t>
      </w:r>
      <w:r w:rsidR="00D7081A">
        <w:t>a</w:t>
      </w:r>
      <w:r w:rsidRPr="004C315C">
        <w:t xml:space="preserve"> je ukupno </w:t>
      </w:r>
      <w:r w:rsidR="001D2310">
        <w:t>701</w:t>
      </w:r>
      <w:r w:rsidRPr="004C315C">
        <w:t xml:space="preserve"> isplata novčanih pomoći za konstrukcijsku obnovu za </w:t>
      </w:r>
      <w:r w:rsidR="001D2310">
        <w:t xml:space="preserve">631 </w:t>
      </w:r>
      <w:r w:rsidR="00C42CA9">
        <w:t>obiteljsku kuću i zgradu</w:t>
      </w:r>
      <w:r w:rsidR="00E60986" w:rsidRPr="004C315C">
        <w:t xml:space="preserve"> te je </w:t>
      </w:r>
      <w:r w:rsidRPr="004C315C">
        <w:t xml:space="preserve">isplaćeno </w:t>
      </w:r>
      <w:r w:rsidR="001D2310">
        <w:rPr>
          <w:color w:val="000000" w:themeColor="text1"/>
        </w:rPr>
        <w:t>103,9</w:t>
      </w:r>
      <w:r w:rsidRPr="004C315C">
        <w:rPr>
          <w:color w:val="000000" w:themeColor="text1"/>
        </w:rPr>
        <w:t xml:space="preserve"> milijuna eura</w:t>
      </w:r>
      <w:r w:rsidRPr="004C315C">
        <w:t>. Tijekom izvještajnog razdoblja dinamika isplata</w:t>
      </w:r>
      <w:r w:rsidR="000B4D77" w:rsidRPr="004C315C">
        <w:t xml:space="preserve"> novčane pomoći se značajno ubrzala pa je tako </w:t>
      </w:r>
      <w:r w:rsidR="001D2310">
        <w:t>tijekom</w:t>
      </w:r>
      <w:r w:rsidRPr="004C315C">
        <w:t xml:space="preserve"> </w:t>
      </w:r>
      <w:r w:rsidRPr="004C315C">
        <w:lastRenderedPageBreak/>
        <w:t xml:space="preserve">2023. godine izvršeno </w:t>
      </w:r>
      <w:r w:rsidR="005129B3">
        <w:t>671</w:t>
      </w:r>
      <w:r w:rsidRPr="004C315C">
        <w:t xml:space="preserve"> </w:t>
      </w:r>
      <w:r w:rsidR="000B4D77" w:rsidRPr="004C315C">
        <w:t>plaćanj</w:t>
      </w:r>
      <w:r w:rsidR="005129B3">
        <w:t xml:space="preserve">e </w:t>
      </w:r>
      <w:r w:rsidR="000B4D77" w:rsidRPr="004C315C">
        <w:t xml:space="preserve">u iznosu od </w:t>
      </w:r>
      <w:r w:rsidR="005129B3">
        <w:t>99</w:t>
      </w:r>
      <w:r w:rsidRPr="004C315C">
        <w:t>,</w:t>
      </w:r>
      <w:r w:rsidR="005129B3">
        <w:t>2</w:t>
      </w:r>
      <w:r w:rsidRPr="004C315C">
        <w:t xml:space="preserve"> milijuna eura što je </w:t>
      </w:r>
      <w:r w:rsidR="00DF1899">
        <w:t>21</w:t>
      </w:r>
      <w:r w:rsidR="00DF1899" w:rsidRPr="004C315C">
        <w:t xml:space="preserve"> </w:t>
      </w:r>
      <w:r w:rsidRPr="004C315C">
        <w:t>puta više od ukupno isplaćenog iznosa u 2022. godini</w:t>
      </w:r>
      <w:r w:rsidR="000A0203">
        <w:t xml:space="preserve"> i jasan pokazatelj uspjeha u poticanju samoobnove.</w:t>
      </w:r>
    </w:p>
    <w:p w14:paraId="306583B8" w14:textId="0661CAB6" w:rsidR="00BF0719" w:rsidRPr="00D33EB1" w:rsidRDefault="00BF0719" w:rsidP="00BF0719">
      <w:pPr>
        <w:spacing w:before="120"/>
        <w:rPr>
          <w:i/>
          <w:iCs/>
        </w:rPr>
      </w:pPr>
      <w:r w:rsidRPr="00D33EB1">
        <w:rPr>
          <w:i/>
          <w:iCs/>
        </w:rPr>
        <w:t>Pregled isplata, broja lokacija i ukupno isplaćenog iznosa za konstrukcijsku obnovu</w:t>
      </w:r>
    </w:p>
    <w:tbl>
      <w:tblPr>
        <w:tblW w:w="9067" w:type="dxa"/>
        <w:tblLayout w:type="fixed"/>
        <w:tblLook w:val="04A0" w:firstRow="1" w:lastRow="0" w:firstColumn="1" w:lastColumn="0" w:noHBand="0" w:noVBand="1"/>
      </w:tblPr>
      <w:tblGrid>
        <w:gridCol w:w="2266"/>
        <w:gridCol w:w="2267"/>
        <w:gridCol w:w="2267"/>
        <w:gridCol w:w="2267"/>
      </w:tblGrid>
      <w:tr w:rsidR="00BF0719" w:rsidRPr="00D33EB1" w14:paraId="33AB2F79" w14:textId="77777777" w:rsidTr="000A132C">
        <w:trPr>
          <w:trHeight w:val="567"/>
        </w:trPr>
        <w:tc>
          <w:tcPr>
            <w:tcW w:w="2266"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417B04E2" w14:textId="77777777"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Stanje na dan</w:t>
            </w:r>
          </w:p>
        </w:tc>
        <w:tc>
          <w:tcPr>
            <w:tcW w:w="2267" w:type="dxa"/>
            <w:tcBorders>
              <w:top w:val="single" w:sz="4" w:space="0" w:color="A6A6A6"/>
              <w:left w:val="nil"/>
              <w:bottom w:val="single" w:sz="4" w:space="0" w:color="A6A6A6"/>
              <w:right w:val="single" w:sz="4" w:space="0" w:color="A6A6A6"/>
            </w:tcBorders>
            <w:shd w:val="clear" w:color="000000" w:fill="002060"/>
            <w:vAlign w:val="center"/>
            <w:hideMark/>
          </w:tcPr>
          <w:p w14:paraId="2777202E" w14:textId="28A91D50"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Broj isplata</w:t>
            </w:r>
          </w:p>
        </w:tc>
        <w:tc>
          <w:tcPr>
            <w:tcW w:w="2267" w:type="dxa"/>
            <w:tcBorders>
              <w:top w:val="single" w:sz="4" w:space="0" w:color="A6A6A6"/>
              <w:left w:val="nil"/>
              <w:bottom w:val="single" w:sz="4" w:space="0" w:color="A6A6A6"/>
              <w:right w:val="single" w:sz="4" w:space="0" w:color="A6A6A6"/>
            </w:tcBorders>
            <w:shd w:val="clear" w:color="000000" w:fill="002060"/>
            <w:vAlign w:val="center"/>
            <w:hideMark/>
          </w:tcPr>
          <w:p w14:paraId="201A4287" w14:textId="77777777"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Broj lokacija</w:t>
            </w:r>
          </w:p>
        </w:tc>
        <w:tc>
          <w:tcPr>
            <w:tcW w:w="2267" w:type="dxa"/>
            <w:tcBorders>
              <w:top w:val="single" w:sz="4" w:space="0" w:color="A6A6A6"/>
              <w:left w:val="nil"/>
              <w:bottom w:val="single" w:sz="4" w:space="0" w:color="A6A6A6"/>
              <w:right w:val="single" w:sz="4" w:space="0" w:color="A6A6A6"/>
            </w:tcBorders>
            <w:shd w:val="clear" w:color="000000" w:fill="002060"/>
            <w:vAlign w:val="center"/>
            <w:hideMark/>
          </w:tcPr>
          <w:p w14:paraId="2A770944" w14:textId="77777777"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Isplaćeno</w:t>
            </w:r>
          </w:p>
        </w:tc>
      </w:tr>
      <w:tr w:rsidR="000D40F6" w:rsidRPr="00D33EB1" w14:paraId="51E0D0BB" w14:textId="77777777" w:rsidTr="000A132C">
        <w:trPr>
          <w:trHeight w:val="454"/>
        </w:trPr>
        <w:tc>
          <w:tcPr>
            <w:tcW w:w="2266" w:type="dxa"/>
            <w:tcBorders>
              <w:top w:val="nil"/>
              <w:left w:val="single" w:sz="4" w:space="0" w:color="A6A6A6"/>
              <w:bottom w:val="single" w:sz="4" w:space="0" w:color="A6A6A6"/>
              <w:right w:val="single" w:sz="4" w:space="0" w:color="A6A6A6"/>
            </w:tcBorders>
            <w:shd w:val="clear" w:color="auto" w:fill="auto"/>
            <w:vAlign w:val="center"/>
            <w:hideMark/>
          </w:tcPr>
          <w:p w14:paraId="49491085" w14:textId="7551F061" w:rsidR="000D40F6" w:rsidRPr="00D33EB1" w:rsidRDefault="000D40F6" w:rsidP="000D40F6">
            <w:pPr>
              <w:spacing w:line="240" w:lineRule="auto"/>
              <w:jc w:val="left"/>
              <w:rPr>
                <w:rFonts w:eastAsia="Times New Roman"/>
                <w:color w:val="000000"/>
                <w:sz w:val="22"/>
                <w:szCs w:val="22"/>
                <w:lang w:eastAsia="hr-HR"/>
              </w:rPr>
            </w:pPr>
            <w:r w:rsidRPr="00D33EB1">
              <w:rPr>
                <w:color w:val="000000"/>
                <w:sz w:val="22"/>
                <w:szCs w:val="22"/>
              </w:rPr>
              <w:t>31.</w:t>
            </w:r>
            <w:r>
              <w:rPr>
                <w:color w:val="000000"/>
                <w:sz w:val="22"/>
                <w:szCs w:val="22"/>
              </w:rPr>
              <w:t xml:space="preserve"> prosinca </w:t>
            </w:r>
            <w:r w:rsidRPr="00D33EB1">
              <w:rPr>
                <w:color w:val="000000"/>
                <w:sz w:val="22"/>
                <w:szCs w:val="22"/>
              </w:rPr>
              <w:t>2022.</w:t>
            </w:r>
          </w:p>
        </w:tc>
        <w:tc>
          <w:tcPr>
            <w:tcW w:w="2267" w:type="dxa"/>
            <w:tcBorders>
              <w:top w:val="nil"/>
              <w:left w:val="nil"/>
              <w:bottom w:val="single" w:sz="4" w:space="0" w:color="A6A6A6"/>
              <w:right w:val="single" w:sz="4" w:space="0" w:color="A6A6A6"/>
            </w:tcBorders>
            <w:shd w:val="clear" w:color="auto" w:fill="auto"/>
            <w:noWrap/>
            <w:vAlign w:val="center"/>
            <w:hideMark/>
          </w:tcPr>
          <w:p w14:paraId="130B96CF" w14:textId="5392747D" w:rsidR="000D40F6" w:rsidRPr="00D33EB1" w:rsidRDefault="0016795D" w:rsidP="000D40F6">
            <w:pPr>
              <w:spacing w:line="240" w:lineRule="auto"/>
              <w:jc w:val="center"/>
              <w:rPr>
                <w:rFonts w:eastAsia="Times New Roman"/>
                <w:color w:val="000000"/>
                <w:sz w:val="22"/>
                <w:szCs w:val="22"/>
                <w:lang w:eastAsia="hr-HR"/>
              </w:rPr>
            </w:pPr>
            <w:r>
              <w:rPr>
                <w:color w:val="000000"/>
                <w:sz w:val="22"/>
                <w:szCs w:val="22"/>
              </w:rPr>
              <w:t>42</w:t>
            </w:r>
          </w:p>
        </w:tc>
        <w:tc>
          <w:tcPr>
            <w:tcW w:w="2267" w:type="dxa"/>
            <w:tcBorders>
              <w:top w:val="nil"/>
              <w:left w:val="nil"/>
              <w:bottom w:val="single" w:sz="4" w:space="0" w:color="A6A6A6"/>
              <w:right w:val="single" w:sz="4" w:space="0" w:color="A6A6A6"/>
            </w:tcBorders>
            <w:shd w:val="clear" w:color="auto" w:fill="auto"/>
            <w:noWrap/>
            <w:vAlign w:val="center"/>
            <w:hideMark/>
          </w:tcPr>
          <w:p w14:paraId="3EA54A88" w14:textId="348BB07C" w:rsidR="000D40F6" w:rsidRPr="00D33EB1" w:rsidRDefault="0016795D" w:rsidP="000D40F6">
            <w:pPr>
              <w:spacing w:line="240" w:lineRule="auto"/>
              <w:jc w:val="center"/>
              <w:rPr>
                <w:rFonts w:eastAsia="Times New Roman"/>
                <w:color w:val="000000"/>
                <w:sz w:val="22"/>
                <w:szCs w:val="22"/>
                <w:lang w:eastAsia="hr-HR"/>
              </w:rPr>
            </w:pPr>
            <w:r>
              <w:rPr>
                <w:color w:val="000000"/>
                <w:sz w:val="22"/>
                <w:szCs w:val="22"/>
              </w:rPr>
              <w:t>30</w:t>
            </w:r>
          </w:p>
        </w:tc>
        <w:tc>
          <w:tcPr>
            <w:tcW w:w="2267" w:type="dxa"/>
            <w:tcBorders>
              <w:top w:val="nil"/>
              <w:left w:val="nil"/>
              <w:bottom w:val="single" w:sz="4" w:space="0" w:color="A6A6A6"/>
              <w:right w:val="single" w:sz="4" w:space="0" w:color="A6A6A6"/>
            </w:tcBorders>
            <w:shd w:val="clear" w:color="auto" w:fill="auto"/>
            <w:noWrap/>
            <w:vAlign w:val="center"/>
            <w:hideMark/>
          </w:tcPr>
          <w:p w14:paraId="66291A3F" w14:textId="7F29BF9F" w:rsidR="000D40F6" w:rsidRPr="00D33EB1" w:rsidRDefault="000D40F6" w:rsidP="000D40F6">
            <w:pPr>
              <w:spacing w:line="240" w:lineRule="auto"/>
              <w:jc w:val="right"/>
              <w:rPr>
                <w:rFonts w:eastAsia="Times New Roman"/>
                <w:color w:val="000000"/>
                <w:sz w:val="22"/>
                <w:szCs w:val="22"/>
                <w:lang w:eastAsia="hr-HR"/>
              </w:rPr>
            </w:pPr>
            <w:r>
              <w:rPr>
                <w:color w:val="000000"/>
                <w:sz w:val="22"/>
                <w:szCs w:val="22"/>
              </w:rPr>
              <w:t xml:space="preserve">4.662.980,36 € </w:t>
            </w:r>
          </w:p>
        </w:tc>
      </w:tr>
      <w:tr w:rsidR="000D40F6" w:rsidRPr="00D33EB1" w14:paraId="3819ED17" w14:textId="77777777" w:rsidTr="000A132C">
        <w:trPr>
          <w:trHeight w:val="454"/>
        </w:trPr>
        <w:tc>
          <w:tcPr>
            <w:tcW w:w="2266" w:type="dxa"/>
            <w:tcBorders>
              <w:top w:val="nil"/>
              <w:left w:val="single" w:sz="4" w:space="0" w:color="A6A6A6"/>
              <w:bottom w:val="single" w:sz="4" w:space="0" w:color="A6A6A6"/>
              <w:right w:val="single" w:sz="4" w:space="0" w:color="A6A6A6"/>
            </w:tcBorders>
            <w:shd w:val="clear" w:color="auto" w:fill="auto"/>
            <w:vAlign w:val="center"/>
            <w:hideMark/>
          </w:tcPr>
          <w:p w14:paraId="38B47AB7" w14:textId="5F4ED912" w:rsidR="000D40F6" w:rsidRPr="00D33EB1" w:rsidRDefault="000D40F6" w:rsidP="000D40F6">
            <w:pPr>
              <w:spacing w:line="240" w:lineRule="auto"/>
              <w:jc w:val="left"/>
              <w:rPr>
                <w:rFonts w:eastAsia="Times New Roman"/>
                <w:color w:val="000000"/>
                <w:sz w:val="22"/>
                <w:szCs w:val="22"/>
                <w:lang w:eastAsia="hr-HR"/>
              </w:rPr>
            </w:pPr>
            <w:r w:rsidRPr="00D33EB1">
              <w:rPr>
                <w:color w:val="000000"/>
                <w:sz w:val="22"/>
                <w:szCs w:val="22"/>
              </w:rPr>
              <w:t>31.</w:t>
            </w:r>
            <w:r>
              <w:rPr>
                <w:color w:val="000000"/>
                <w:sz w:val="22"/>
                <w:szCs w:val="22"/>
              </w:rPr>
              <w:t xml:space="preserve"> prosinca </w:t>
            </w:r>
            <w:r w:rsidRPr="00D33EB1">
              <w:rPr>
                <w:color w:val="000000"/>
                <w:sz w:val="22"/>
                <w:szCs w:val="22"/>
              </w:rPr>
              <w:t>202</w:t>
            </w:r>
            <w:r>
              <w:rPr>
                <w:color w:val="000000"/>
                <w:sz w:val="22"/>
                <w:szCs w:val="22"/>
              </w:rPr>
              <w:t>3</w:t>
            </w:r>
            <w:r w:rsidRPr="00D33EB1">
              <w:rPr>
                <w:color w:val="000000"/>
                <w:sz w:val="22"/>
                <w:szCs w:val="22"/>
              </w:rPr>
              <w:t>.</w:t>
            </w:r>
          </w:p>
        </w:tc>
        <w:tc>
          <w:tcPr>
            <w:tcW w:w="2267" w:type="dxa"/>
            <w:tcBorders>
              <w:top w:val="nil"/>
              <w:left w:val="nil"/>
              <w:bottom w:val="single" w:sz="4" w:space="0" w:color="A6A6A6"/>
              <w:right w:val="single" w:sz="4" w:space="0" w:color="A6A6A6"/>
            </w:tcBorders>
            <w:shd w:val="clear" w:color="auto" w:fill="auto"/>
            <w:noWrap/>
            <w:vAlign w:val="center"/>
            <w:hideMark/>
          </w:tcPr>
          <w:p w14:paraId="7ED47DB7" w14:textId="6EEA6160" w:rsidR="000D40F6" w:rsidRPr="00D33EB1" w:rsidRDefault="000D40F6" w:rsidP="000D40F6">
            <w:pPr>
              <w:spacing w:line="240" w:lineRule="auto"/>
              <w:jc w:val="center"/>
              <w:rPr>
                <w:rFonts w:eastAsia="Times New Roman"/>
                <w:color w:val="000000"/>
                <w:sz w:val="22"/>
                <w:szCs w:val="22"/>
                <w:lang w:eastAsia="hr-HR"/>
              </w:rPr>
            </w:pPr>
            <w:r>
              <w:rPr>
                <w:color w:val="000000"/>
                <w:sz w:val="22"/>
                <w:szCs w:val="22"/>
              </w:rPr>
              <w:t>701</w:t>
            </w:r>
          </w:p>
        </w:tc>
        <w:tc>
          <w:tcPr>
            <w:tcW w:w="2267" w:type="dxa"/>
            <w:tcBorders>
              <w:top w:val="nil"/>
              <w:left w:val="nil"/>
              <w:bottom w:val="single" w:sz="4" w:space="0" w:color="A6A6A6"/>
              <w:right w:val="single" w:sz="4" w:space="0" w:color="A6A6A6"/>
            </w:tcBorders>
            <w:shd w:val="clear" w:color="auto" w:fill="auto"/>
            <w:noWrap/>
            <w:vAlign w:val="center"/>
            <w:hideMark/>
          </w:tcPr>
          <w:p w14:paraId="38E7E15F" w14:textId="30A697E9" w:rsidR="000D40F6" w:rsidRPr="00D33EB1" w:rsidRDefault="000D40F6" w:rsidP="000D40F6">
            <w:pPr>
              <w:spacing w:line="240" w:lineRule="auto"/>
              <w:jc w:val="center"/>
              <w:rPr>
                <w:rFonts w:eastAsia="Times New Roman"/>
                <w:color w:val="000000"/>
                <w:sz w:val="22"/>
                <w:szCs w:val="22"/>
                <w:lang w:eastAsia="hr-HR"/>
              </w:rPr>
            </w:pPr>
            <w:r>
              <w:rPr>
                <w:color w:val="000000"/>
                <w:sz w:val="22"/>
                <w:szCs w:val="22"/>
              </w:rPr>
              <w:t>631</w:t>
            </w:r>
          </w:p>
        </w:tc>
        <w:tc>
          <w:tcPr>
            <w:tcW w:w="2267" w:type="dxa"/>
            <w:tcBorders>
              <w:top w:val="nil"/>
              <w:left w:val="nil"/>
              <w:bottom w:val="single" w:sz="4" w:space="0" w:color="A6A6A6"/>
              <w:right w:val="single" w:sz="4" w:space="0" w:color="A6A6A6"/>
            </w:tcBorders>
            <w:shd w:val="clear" w:color="auto" w:fill="auto"/>
            <w:noWrap/>
            <w:vAlign w:val="center"/>
            <w:hideMark/>
          </w:tcPr>
          <w:p w14:paraId="32BDD826" w14:textId="021E9F30" w:rsidR="000D40F6" w:rsidRPr="00D33EB1" w:rsidRDefault="000D40F6" w:rsidP="000D40F6">
            <w:pPr>
              <w:spacing w:line="240" w:lineRule="auto"/>
              <w:jc w:val="right"/>
              <w:rPr>
                <w:rFonts w:eastAsia="Times New Roman"/>
                <w:color w:val="000000"/>
                <w:sz w:val="22"/>
                <w:szCs w:val="22"/>
                <w:lang w:eastAsia="hr-HR"/>
              </w:rPr>
            </w:pPr>
            <w:r>
              <w:rPr>
                <w:color w:val="000000"/>
                <w:sz w:val="22"/>
                <w:szCs w:val="22"/>
              </w:rPr>
              <w:t xml:space="preserve">103.910.012,14 € </w:t>
            </w:r>
          </w:p>
        </w:tc>
      </w:tr>
    </w:tbl>
    <w:p w14:paraId="55A9698A" w14:textId="6BCDAA3C" w:rsidR="00BF0719" w:rsidRDefault="00772C13" w:rsidP="00BF0719">
      <w:pPr>
        <w:spacing w:before="120"/>
      </w:pPr>
      <w:r>
        <w:rPr>
          <w:noProof/>
          <w:lang w:eastAsia="hr-HR"/>
        </w:rPr>
        <w:drawing>
          <wp:inline distT="0" distB="0" distL="0" distR="0" wp14:anchorId="09C5ED39" wp14:editId="0CF05C04">
            <wp:extent cx="5759450" cy="3563620"/>
            <wp:effectExtent l="0" t="0" r="12700" b="17780"/>
            <wp:docPr id="1413049664" name="Grafikon 1">
              <a:extLst xmlns:a="http://schemas.openxmlformats.org/drawingml/2006/main">
                <a:ext uri="{FF2B5EF4-FFF2-40B4-BE49-F238E27FC236}">
                  <a16:creationId xmlns:a16="http://schemas.microsoft.com/office/drawing/2014/main" id="{E894113B-4ED9-D18D-222C-F77388AE9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DFFD4E" w14:textId="151FEC79" w:rsidR="002D3BCE" w:rsidRDefault="00666019" w:rsidP="00BF0719">
      <w:pPr>
        <w:spacing w:after="160" w:line="259" w:lineRule="auto"/>
        <w:rPr>
          <w:bCs/>
        </w:rPr>
      </w:pPr>
      <w:r>
        <w:rPr>
          <w:noProof/>
          <w:lang w:eastAsia="hr-HR"/>
        </w:rPr>
        <w:drawing>
          <wp:inline distT="0" distB="0" distL="0" distR="0" wp14:anchorId="76EAF976" wp14:editId="31025312">
            <wp:extent cx="2844000" cy="3528000"/>
            <wp:effectExtent l="0" t="0" r="13970" b="15875"/>
            <wp:docPr id="1868822821" name="Grafikon 1">
              <a:extLst xmlns:a="http://schemas.openxmlformats.org/drawingml/2006/main">
                <a:ext uri="{FF2B5EF4-FFF2-40B4-BE49-F238E27FC236}">
                  <a16:creationId xmlns:a16="http://schemas.microsoft.com/office/drawing/2014/main" id="{FFF2C14B-904F-71D1-323A-C9A4475834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525B5">
        <w:rPr>
          <w:bCs/>
        </w:rPr>
        <w:t xml:space="preserve"> </w:t>
      </w:r>
      <w:r w:rsidR="000D3410">
        <w:rPr>
          <w:noProof/>
          <w:lang w:eastAsia="hr-HR"/>
        </w:rPr>
        <w:drawing>
          <wp:inline distT="0" distB="0" distL="0" distR="0" wp14:anchorId="31E6E8E9" wp14:editId="3D378375">
            <wp:extent cx="2844000" cy="3528000"/>
            <wp:effectExtent l="0" t="0" r="13970" b="15875"/>
            <wp:docPr id="933320538" name="Grafikon 1">
              <a:extLst xmlns:a="http://schemas.openxmlformats.org/drawingml/2006/main">
                <a:ext uri="{FF2B5EF4-FFF2-40B4-BE49-F238E27FC236}">
                  <a16:creationId xmlns:a16="http://schemas.microsoft.com/office/drawing/2014/main" id="{E940A7EF-5861-8505-289C-C45ABC0F7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E8711F" w14:textId="11B32092" w:rsidR="00BF0719" w:rsidRPr="00D33EB1" w:rsidRDefault="00BF0719" w:rsidP="00BF0719">
      <w:pPr>
        <w:spacing w:after="160" w:line="259" w:lineRule="auto"/>
        <w:rPr>
          <w:bCs/>
        </w:rPr>
      </w:pPr>
      <w:r w:rsidRPr="00D33EB1">
        <w:rPr>
          <w:bCs/>
        </w:rPr>
        <w:lastRenderedPageBreak/>
        <w:t>Krajem travnja 2023. godine izvršena je prva isplata novčanih pomoći za konstrukcijsku obnovu na poseban račun</w:t>
      </w:r>
      <w:r w:rsidR="00047872">
        <w:rPr>
          <w:bCs/>
        </w:rPr>
        <w:t xml:space="preserve"> po poboljšanom modelu koji je uveden novim zakonodavnim okvirom u veljači 2023. godine,</w:t>
      </w:r>
      <w:r w:rsidRPr="00D33EB1">
        <w:rPr>
          <w:bCs/>
        </w:rPr>
        <w:t xml:space="preserve"> te </w:t>
      </w:r>
      <w:r w:rsidR="00A96302">
        <w:rPr>
          <w:bCs/>
        </w:rPr>
        <w:t>je</w:t>
      </w:r>
      <w:r w:rsidRPr="00D33EB1">
        <w:rPr>
          <w:bCs/>
        </w:rPr>
        <w:t xml:space="preserve"> </w:t>
      </w:r>
      <w:r w:rsidR="00047872">
        <w:rPr>
          <w:bCs/>
        </w:rPr>
        <w:t xml:space="preserve">do </w:t>
      </w:r>
      <w:r w:rsidR="008B7703">
        <w:rPr>
          <w:bCs/>
        </w:rPr>
        <w:t>3</w:t>
      </w:r>
      <w:r w:rsidR="003A344A">
        <w:rPr>
          <w:bCs/>
        </w:rPr>
        <w:t>1</w:t>
      </w:r>
      <w:r w:rsidR="008B7703">
        <w:rPr>
          <w:bCs/>
        </w:rPr>
        <w:t xml:space="preserve">. </w:t>
      </w:r>
      <w:r w:rsidR="0094614E">
        <w:rPr>
          <w:bCs/>
        </w:rPr>
        <w:t xml:space="preserve">prosinca </w:t>
      </w:r>
      <w:r w:rsidR="008B7703">
        <w:rPr>
          <w:bCs/>
        </w:rPr>
        <w:t>2023.</w:t>
      </w:r>
      <w:r w:rsidR="00047872">
        <w:rPr>
          <w:bCs/>
        </w:rPr>
        <w:t xml:space="preserve"> </w:t>
      </w:r>
      <w:r w:rsidR="00A96302">
        <w:rPr>
          <w:bCs/>
        </w:rPr>
        <w:t xml:space="preserve">na </w:t>
      </w:r>
      <w:r w:rsidR="0065313B">
        <w:rPr>
          <w:bCs/>
        </w:rPr>
        <w:t>3</w:t>
      </w:r>
      <w:r w:rsidRPr="00D33EB1">
        <w:rPr>
          <w:bCs/>
        </w:rPr>
        <w:t>9</w:t>
      </w:r>
      <w:r w:rsidR="0065313B">
        <w:rPr>
          <w:bCs/>
        </w:rPr>
        <w:t>3</w:t>
      </w:r>
      <w:r w:rsidRPr="00D33EB1">
        <w:rPr>
          <w:bCs/>
        </w:rPr>
        <w:t xml:space="preserve"> </w:t>
      </w:r>
      <w:r w:rsidR="00A96302">
        <w:rPr>
          <w:bCs/>
        </w:rPr>
        <w:t>posebn</w:t>
      </w:r>
      <w:r w:rsidR="00D2028F">
        <w:rPr>
          <w:bCs/>
        </w:rPr>
        <w:t>a</w:t>
      </w:r>
      <w:r w:rsidR="00A96302">
        <w:rPr>
          <w:bCs/>
        </w:rPr>
        <w:t xml:space="preserve"> računa građana</w:t>
      </w:r>
      <w:r w:rsidR="00A96302" w:rsidRPr="00A96302">
        <w:rPr>
          <w:bCs/>
        </w:rPr>
        <w:t xml:space="preserve"> </w:t>
      </w:r>
      <w:r w:rsidR="00A96302">
        <w:rPr>
          <w:bCs/>
        </w:rPr>
        <w:t>isplaćeno</w:t>
      </w:r>
      <w:r w:rsidR="00A96302" w:rsidRPr="00D33EB1">
        <w:rPr>
          <w:bCs/>
        </w:rPr>
        <w:t xml:space="preserve"> </w:t>
      </w:r>
      <w:r w:rsidR="00A96302">
        <w:rPr>
          <w:bCs/>
        </w:rPr>
        <w:t>27</w:t>
      </w:r>
      <w:r w:rsidR="00A96302" w:rsidRPr="00D33EB1">
        <w:rPr>
          <w:bCs/>
        </w:rPr>
        <w:t>,</w:t>
      </w:r>
      <w:r w:rsidR="00A96302">
        <w:rPr>
          <w:bCs/>
        </w:rPr>
        <w:t>1</w:t>
      </w:r>
      <w:r w:rsidR="00A96302" w:rsidRPr="00D33EB1">
        <w:rPr>
          <w:bCs/>
        </w:rPr>
        <w:t xml:space="preserve"> milijun</w:t>
      </w:r>
      <w:r w:rsidR="00D2028F">
        <w:rPr>
          <w:bCs/>
        </w:rPr>
        <w:t>a</w:t>
      </w:r>
      <w:r w:rsidR="00A96302" w:rsidRPr="00D33EB1">
        <w:rPr>
          <w:bCs/>
        </w:rPr>
        <w:t xml:space="preserve"> eura</w:t>
      </w:r>
      <w:r w:rsidRPr="00D33EB1">
        <w:rPr>
          <w:bCs/>
        </w:rPr>
        <w:t>.</w:t>
      </w:r>
    </w:p>
    <w:p w14:paraId="72A684DD" w14:textId="6DB3541B" w:rsidR="00BF0719" w:rsidRPr="00D33EB1" w:rsidRDefault="00BF0719" w:rsidP="00BF0719">
      <w:pPr>
        <w:spacing w:after="60" w:line="259" w:lineRule="auto"/>
        <w:rPr>
          <w:bCs/>
          <w:i/>
          <w:iCs/>
        </w:rPr>
      </w:pPr>
      <w:r w:rsidRPr="00D33EB1">
        <w:rPr>
          <w:bCs/>
          <w:i/>
          <w:iCs/>
        </w:rPr>
        <w:t>Pregled isplata</w:t>
      </w:r>
      <w:r w:rsidR="005D1B9B">
        <w:rPr>
          <w:bCs/>
          <w:i/>
          <w:iCs/>
        </w:rPr>
        <w:t xml:space="preserve"> prije konstrukcijske obnove</w:t>
      </w:r>
      <w:r w:rsidRPr="00D33EB1">
        <w:rPr>
          <w:bCs/>
          <w:i/>
          <w:iCs/>
        </w:rPr>
        <w:t xml:space="preserve"> na posebne račune</w:t>
      </w:r>
    </w:p>
    <w:tbl>
      <w:tblPr>
        <w:tblW w:w="8926" w:type="dxa"/>
        <w:tblLook w:val="04A0" w:firstRow="1" w:lastRow="0" w:firstColumn="1" w:lastColumn="0" w:noHBand="0" w:noVBand="1"/>
      </w:tblPr>
      <w:tblGrid>
        <w:gridCol w:w="4815"/>
        <w:gridCol w:w="1984"/>
        <w:gridCol w:w="2127"/>
      </w:tblGrid>
      <w:tr w:rsidR="00BF0719" w:rsidRPr="00D33EB1" w14:paraId="04A60B6E" w14:textId="77777777" w:rsidTr="000A132C">
        <w:trPr>
          <w:trHeight w:val="454"/>
        </w:trPr>
        <w:tc>
          <w:tcPr>
            <w:tcW w:w="4815" w:type="dxa"/>
            <w:tcBorders>
              <w:top w:val="single" w:sz="4" w:space="0" w:color="A6A6A6"/>
              <w:left w:val="single" w:sz="4" w:space="0" w:color="A6A6A6"/>
              <w:bottom w:val="single" w:sz="4" w:space="0" w:color="A6A6A6"/>
              <w:right w:val="single" w:sz="4" w:space="0" w:color="A6A6A6"/>
            </w:tcBorders>
            <w:shd w:val="clear" w:color="000000" w:fill="002060"/>
            <w:noWrap/>
            <w:vAlign w:val="center"/>
            <w:hideMark/>
          </w:tcPr>
          <w:p w14:paraId="79441315" w14:textId="77777777"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BANKA</w:t>
            </w:r>
          </w:p>
        </w:tc>
        <w:tc>
          <w:tcPr>
            <w:tcW w:w="1984" w:type="dxa"/>
            <w:tcBorders>
              <w:top w:val="single" w:sz="4" w:space="0" w:color="A6A6A6"/>
              <w:left w:val="nil"/>
              <w:bottom w:val="single" w:sz="4" w:space="0" w:color="A6A6A6"/>
              <w:right w:val="single" w:sz="4" w:space="0" w:color="A6A6A6"/>
            </w:tcBorders>
            <w:shd w:val="clear" w:color="000000" w:fill="002060"/>
            <w:vAlign w:val="center"/>
            <w:hideMark/>
          </w:tcPr>
          <w:p w14:paraId="439D161F" w14:textId="77777777"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BROJ ISPLATA</w:t>
            </w:r>
          </w:p>
        </w:tc>
        <w:tc>
          <w:tcPr>
            <w:tcW w:w="2127" w:type="dxa"/>
            <w:tcBorders>
              <w:top w:val="single" w:sz="4" w:space="0" w:color="A6A6A6"/>
              <w:left w:val="nil"/>
              <w:bottom w:val="single" w:sz="4" w:space="0" w:color="A6A6A6"/>
              <w:right w:val="single" w:sz="4" w:space="0" w:color="A6A6A6"/>
            </w:tcBorders>
            <w:shd w:val="clear" w:color="000000" w:fill="002060"/>
            <w:vAlign w:val="center"/>
            <w:hideMark/>
          </w:tcPr>
          <w:p w14:paraId="7C668916" w14:textId="77777777" w:rsidR="00BF0719" w:rsidRPr="00D33EB1" w:rsidRDefault="00BF0719">
            <w:pPr>
              <w:spacing w:line="240" w:lineRule="auto"/>
              <w:jc w:val="center"/>
              <w:rPr>
                <w:rFonts w:eastAsia="Times New Roman"/>
                <w:color w:val="FFFFFF"/>
                <w:sz w:val="22"/>
                <w:szCs w:val="22"/>
                <w:lang w:eastAsia="hr-HR"/>
              </w:rPr>
            </w:pPr>
            <w:r w:rsidRPr="00D33EB1">
              <w:rPr>
                <w:rFonts w:eastAsia="Times New Roman"/>
                <w:color w:val="FFFFFF"/>
                <w:sz w:val="22"/>
                <w:szCs w:val="22"/>
                <w:lang w:eastAsia="hr-HR"/>
              </w:rPr>
              <w:t>IZNOS</w:t>
            </w:r>
          </w:p>
        </w:tc>
      </w:tr>
      <w:tr w:rsidR="00FE6EC9" w:rsidRPr="00D33EB1" w14:paraId="34510F41" w14:textId="77777777" w:rsidTr="000A132C">
        <w:trPr>
          <w:trHeight w:val="454"/>
        </w:trPr>
        <w:tc>
          <w:tcPr>
            <w:tcW w:w="4815" w:type="dxa"/>
            <w:tcBorders>
              <w:top w:val="nil"/>
              <w:left w:val="single" w:sz="4" w:space="0" w:color="A6A6A6"/>
              <w:bottom w:val="single" w:sz="4" w:space="0" w:color="A6A6A6"/>
              <w:right w:val="single" w:sz="4" w:space="0" w:color="A6A6A6"/>
            </w:tcBorders>
            <w:shd w:val="clear" w:color="000000" w:fill="FFFFFF"/>
            <w:noWrap/>
            <w:vAlign w:val="center"/>
            <w:hideMark/>
          </w:tcPr>
          <w:p w14:paraId="711126F1" w14:textId="5D1569E7" w:rsidR="00FE6EC9" w:rsidRPr="00D33EB1" w:rsidRDefault="00FE6EC9" w:rsidP="00FE6EC9">
            <w:pPr>
              <w:spacing w:line="240" w:lineRule="auto"/>
              <w:jc w:val="left"/>
              <w:rPr>
                <w:rFonts w:eastAsia="Times New Roman"/>
                <w:color w:val="000000"/>
                <w:sz w:val="22"/>
                <w:szCs w:val="22"/>
                <w:lang w:eastAsia="hr-HR"/>
              </w:rPr>
            </w:pPr>
            <w:r>
              <w:rPr>
                <w:color w:val="000000"/>
                <w:sz w:val="22"/>
                <w:szCs w:val="22"/>
              </w:rPr>
              <w:t>ERSTE&amp;STEIERMÄRKISCHE BANK d.d. Rijeka</w:t>
            </w:r>
          </w:p>
        </w:tc>
        <w:tc>
          <w:tcPr>
            <w:tcW w:w="1984" w:type="dxa"/>
            <w:tcBorders>
              <w:top w:val="nil"/>
              <w:left w:val="nil"/>
              <w:bottom w:val="single" w:sz="4" w:space="0" w:color="A6A6A6"/>
              <w:right w:val="single" w:sz="4" w:space="0" w:color="A6A6A6"/>
            </w:tcBorders>
            <w:shd w:val="clear" w:color="000000" w:fill="FFFFFF"/>
            <w:vAlign w:val="center"/>
            <w:hideMark/>
          </w:tcPr>
          <w:p w14:paraId="3A0FDD4B" w14:textId="198CABE5" w:rsidR="00FE6EC9" w:rsidRPr="00D33EB1" w:rsidRDefault="00FE6EC9" w:rsidP="00FE6EC9">
            <w:pPr>
              <w:spacing w:line="240" w:lineRule="auto"/>
              <w:jc w:val="center"/>
              <w:rPr>
                <w:rFonts w:eastAsia="Times New Roman"/>
                <w:color w:val="000000"/>
                <w:sz w:val="22"/>
                <w:szCs w:val="22"/>
                <w:lang w:eastAsia="hr-HR"/>
              </w:rPr>
            </w:pPr>
            <w:r>
              <w:rPr>
                <w:color w:val="000000"/>
                <w:sz w:val="22"/>
                <w:szCs w:val="22"/>
              </w:rPr>
              <w:t>197</w:t>
            </w:r>
          </w:p>
        </w:tc>
        <w:tc>
          <w:tcPr>
            <w:tcW w:w="2127" w:type="dxa"/>
            <w:tcBorders>
              <w:top w:val="nil"/>
              <w:left w:val="nil"/>
              <w:bottom w:val="single" w:sz="4" w:space="0" w:color="A6A6A6"/>
              <w:right w:val="single" w:sz="4" w:space="0" w:color="A6A6A6"/>
            </w:tcBorders>
            <w:shd w:val="clear" w:color="000000" w:fill="FFFFFF"/>
            <w:vAlign w:val="center"/>
            <w:hideMark/>
          </w:tcPr>
          <w:p w14:paraId="0DA955E6" w14:textId="44AB3606" w:rsidR="00FE6EC9" w:rsidRPr="00D33EB1" w:rsidRDefault="00FE6EC9" w:rsidP="000A132C">
            <w:pPr>
              <w:spacing w:line="240" w:lineRule="auto"/>
              <w:jc w:val="right"/>
              <w:rPr>
                <w:rFonts w:eastAsia="Times New Roman"/>
                <w:color w:val="000000"/>
                <w:sz w:val="22"/>
                <w:szCs w:val="22"/>
                <w:lang w:eastAsia="hr-HR"/>
              </w:rPr>
            </w:pPr>
            <w:r>
              <w:rPr>
                <w:color w:val="000000"/>
                <w:sz w:val="22"/>
                <w:szCs w:val="22"/>
              </w:rPr>
              <w:t xml:space="preserve">12.684.899,13 € </w:t>
            </w:r>
          </w:p>
        </w:tc>
      </w:tr>
      <w:tr w:rsidR="00FE6EC9" w:rsidRPr="00D33EB1" w14:paraId="545A8618" w14:textId="77777777" w:rsidTr="000A132C">
        <w:trPr>
          <w:trHeight w:val="454"/>
        </w:trPr>
        <w:tc>
          <w:tcPr>
            <w:tcW w:w="4815" w:type="dxa"/>
            <w:tcBorders>
              <w:top w:val="nil"/>
              <w:left w:val="single" w:sz="4" w:space="0" w:color="A6A6A6"/>
              <w:bottom w:val="single" w:sz="4" w:space="0" w:color="A6A6A6"/>
              <w:right w:val="single" w:sz="4" w:space="0" w:color="A6A6A6"/>
            </w:tcBorders>
            <w:shd w:val="clear" w:color="000000" w:fill="FFFFFF"/>
            <w:noWrap/>
            <w:vAlign w:val="center"/>
            <w:hideMark/>
          </w:tcPr>
          <w:p w14:paraId="24C2FB05" w14:textId="7744691B" w:rsidR="00FE6EC9" w:rsidRPr="00D33EB1" w:rsidRDefault="00FE6EC9" w:rsidP="00FE6EC9">
            <w:pPr>
              <w:spacing w:line="240" w:lineRule="auto"/>
              <w:jc w:val="left"/>
              <w:rPr>
                <w:rFonts w:eastAsia="Times New Roman"/>
                <w:color w:val="000000"/>
                <w:sz w:val="22"/>
                <w:szCs w:val="22"/>
                <w:lang w:eastAsia="hr-HR"/>
              </w:rPr>
            </w:pPr>
            <w:r>
              <w:rPr>
                <w:color w:val="000000"/>
                <w:sz w:val="22"/>
                <w:szCs w:val="22"/>
              </w:rPr>
              <w:t>HRVATSKA POŠTANSKA BANKA d.d. Zagreb</w:t>
            </w:r>
          </w:p>
        </w:tc>
        <w:tc>
          <w:tcPr>
            <w:tcW w:w="1984" w:type="dxa"/>
            <w:tcBorders>
              <w:top w:val="nil"/>
              <w:left w:val="nil"/>
              <w:bottom w:val="single" w:sz="4" w:space="0" w:color="A6A6A6"/>
              <w:right w:val="single" w:sz="4" w:space="0" w:color="A6A6A6"/>
            </w:tcBorders>
            <w:shd w:val="clear" w:color="000000" w:fill="FFFFFF"/>
            <w:vAlign w:val="center"/>
            <w:hideMark/>
          </w:tcPr>
          <w:p w14:paraId="6724B074" w14:textId="1681245A" w:rsidR="00FE6EC9" w:rsidRPr="00D33EB1" w:rsidRDefault="00FE6EC9" w:rsidP="00FE6EC9">
            <w:pPr>
              <w:spacing w:line="240" w:lineRule="auto"/>
              <w:jc w:val="center"/>
              <w:rPr>
                <w:rFonts w:eastAsia="Times New Roman"/>
                <w:color w:val="000000"/>
                <w:sz w:val="22"/>
                <w:szCs w:val="22"/>
                <w:lang w:eastAsia="hr-HR"/>
              </w:rPr>
            </w:pPr>
            <w:r>
              <w:rPr>
                <w:color w:val="000000"/>
                <w:sz w:val="22"/>
                <w:szCs w:val="22"/>
              </w:rPr>
              <w:t>95</w:t>
            </w:r>
          </w:p>
        </w:tc>
        <w:tc>
          <w:tcPr>
            <w:tcW w:w="2127" w:type="dxa"/>
            <w:tcBorders>
              <w:top w:val="nil"/>
              <w:left w:val="nil"/>
              <w:bottom w:val="single" w:sz="4" w:space="0" w:color="A6A6A6"/>
              <w:right w:val="single" w:sz="4" w:space="0" w:color="A6A6A6"/>
            </w:tcBorders>
            <w:shd w:val="clear" w:color="000000" w:fill="FFFFFF"/>
            <w:vAlign w:val="center"/>
            <w:hideMark/>
          </w:tcPr>
          <w:p w14:paraId="0592307B" w14:textId="735C47C4" w:rsidR="00FE6EC9" w:rsidRPr="00D33EB1" w:rsidRDefault="00FE6EC9" w:rsidP="000A132C">
            <w:pPr>
              <w:spacing w:line="240" w:lineRule="auto"/>
              <w:jc w:val="right"/>
              <w:rPr>
                <w:rFonts w:eastAsia="Times New Roman"/>
                <w:color w:val="000000"/>
                <w:sz w:val="22"/>
                <w:szCs w:val="22"/>
                <w:lang w:eastAsia="hr-HR"/>
              </w:rPr>
            </w:pPr>
            <w:r>
              <w:rPr>
                <w:color w:val="000000"/>
                <w:sz w:val="22"/>
                <w:szCs w:val="22"/>
              </w:rPr>
              <w:t xml:space="preserve">6.667.358,68 € </w:t>
            </w:r>
          </w:p>
        </w:tc>
      </w:tr>
      <w:tr w:rsidR="007E3B33" w:rsidRPr="00D33EB1" w14:paraId="3167D09D" w14:textId="77777777" w:rsidTr="000A132C">
        <w:trPr>
          <w:trHeight w:val="454"/>
        </w:trPr>
        <w:tc>
          <w:tcPr>
            <w:tcW w:w="4815" w:type="dxa"/>
            <w:tcBorders>
              <w:top w:val="nil"/>
              <w:left w:val="single" w:sz="4" w:space="0" w:color="A6A6A6"/>
              <w:bottom w:val="single" w:sz="4" w:space="0" w:color="A6A6A6"/>
              <w:right w:val="single" w:sz="4" w:space="0" w:color="A6A6A6"/>
            </w:tcBorders>
            <w:shd w:val="clear" w:color="000000" w:fill="FFFFFF"/>
            <w:noWrap/>
            <w:vAlign w:val="center"/>
          </w:tcPr>
          <w:p w14:paraId="50ACDBCB" w14:textId="5DEC8E53" w:rsidR="007E3B33" w:rsidRPr="00D33EB1" w:rsidRDefault="007E3B33" w:rsidP="007E3B33">
            <w:pPr>
              <w:spacing w:line="240" w:lineRule="auto"/>
              <w:jc w:val="left"/>
              <w:rPr>
                <w:rFonts w:eastAsia="Times New Roman"/>
                <w:color w:val="000000"/>
                <w:sz w:val="22"/>
                <w:szCs w:val="22"/>
                <w:lang w:eastAsia="hr-HR"/>
              </w:rPr>
            </w:pPr>
            <w:r>
              <w:rPr>
                <w:color w:val="000000"/>
                <w:sz w:val="22"/>
                <w:szCs w:val="22"/>
              </w:rPr>
              <w:t>ZAGREBAČKA BANKA d.d. Zagreb</w:t>
            </w:r>
          </w:p>
        </w:tc>
        <w:tc>
          <w:tcPr>
            <w:tcW w:w="1984" w:type="dxa"/>
            <w:tcBorders>
              <w:top w:val="nil"/>
              <w:left w:val="nil"/>
              <w:bottom w:val="single" w:sz="4" w:space="0" w:color="A6A6A6"/>
              <w:right w:val="single" w:sz="4" w:space="0" w:color="A6A6A6"/>
            </w:tcBorders>
            <w:shd w:val="clear" w:color="000000" w:fill="FFFFFF"/>
            <w:vAlign w:val="center"/>
          </w:tcPr>
          <w:p w14:paraId="1278C9A6" w14:textId="571CFFD6" w:rsidR="007E3B33" w:rsidRPr="00D33EB1" w:rsidRDefault="007E3B33" w:rsidP="007E3B33">
            <w:pPr>
              <w:spacing w:line="240" w:lineRule="auto"/>
              <w:jc w:val="center"/>
              <w:rPr>
                <w:rFonts w:eastAsia="Times New Roman"/>
                <w:color w:val="000000"/>
                <w:sz w:val="22"/>
                <w:szCs w:val="22"/>
                <w:lang w:eastAsia="hr-HR"/>
              </w:rPr>
            </w:pPr>
            <w:r>
              <w:rPr>
                <w:color w:val="000000"/>
                <w:sz w:val="22"/>
                <w:szCs w:val="22"/>
              </w:rPr>
              <w:t>77</w:t>
            </w:r>
          </w:p>
        </w:tc>
        <w:tc>
          <w:tcPr>
            <w:tcW w:w="2127" w:type="dxa"/>
            <w:tcBorders>
              <w:top w:val="nil"/>
              <w:left w:val="nil"/>
              <w:bottom w:val="single" w:sz="4" w:space="0" w:color="A6A6A6"/>
              <w:right w:val="single" w:sz="4" w:space="0" w:color="A6A6A6"/>
            </w:tcBorders>
            <w:shd w:val="clear" w:color="000000" w:fill="FFFFFF"/>
            <w:vAlign w:val="center"/>
          </w:tcPr>
          <w:p w14:paraId="3EDCA30C" w14:textId="69E886A1" w:rsidR="007E3B33" w:rsidRPr="00D33EB1" w:rsidRDefault="007E3B33" w:rsidP="000A132C">
            <w:pPr>
              <w:spacing w:line="240" w:lineRule="auto"/>
              <w:jc w:val="right"/>
              <w:rPr>
                <w:rFonts w:eastAsia="Times New Roman"/>
                <w:color w:val="000000"/>
                <w:sz w:val="22"/>
                <w:szCs w:val="22"/>
                <w:lang w:eastAsia="hr-HR"/>
              </w:rPr>
            </w:pPr>
            <w:r>
              <w:rPr>
                <w:color w:val="000000"/>
                <w:sz w:val="22"/>
                <w:szCs w:val="22"/>
              </w:rPr>
              <w:t xml:space="preserve">6.062.103,72 € </w:t>
            </w:r>
          </w:p>
        </w:tc>
      </w:tr>
      <w:tr w:rsidR="007E3B33" w:rsidRPr="00D33EB1" w14:paraId="0F21E9DA" w14:textId="77777777" w:rsidTr="000A132C">
        <w:trPr>
          <w:trHeight w:val="454"/>
        </w:trPr>
        <w:tc>
          <w:tcPr>
            <w:tcW w:w="4815" w:type="dxa"/>
            <w:tcBorders>
              <w:top w:val="nil"/>
              <w:left w:val="single" w:sz="4" w:space="0" w:color="A6A6A6"/>
              <w:bottom w:val="single" w:sz="4" w:space="0" w:color="A6A6A6"/>
              <w:right w:val="single" w:sz="4" w:space="0" w:color="A6A6A6"/>
            </w:tcBorders>
            <w:shd w:val="clear" w:color="000000" w:fill="FFFFFF"/>
            <w:noWrap/>
            <w:vAlign w:val="center"/>
          </w:tcPr>
          <w:p w14:paraId="0EB4F878" w14:textId="3446BCD6" w:rsidR="007E3B33" w:rsidRPr="00D33EB1" w:rsidRDefault="007E3B33" w:rsidP="007E3B33">
            <w:pPr>
              <w:spacing w:line="240" w:lineRule="auto"/>
              <w:jc w:val="left"/>
              <w:rPr>
                <w:rFonts w:eastAsia="Times New Roman"/>
                <w:color w:val="000000"/>
                <w:sz w:val="22"/>
                <w:szCs w:val="22"/>
                <w:lang w:eastAsia="hr-HR"/>
              </w:rPr>
            </w:pPr>
            <w:r>
              <w:rPr>
                <w:color w:val="000000"/>
                <w:sz w:val="22"/>
                <w:szCs w:val="22"/>
              </w:rPr>
              <w:t>PRIVREDNA BANKA ZAGREB d.d. Zagreb</w:t>
            </w:r>
          </w:p>
        </w:tc>
        <w:tc>
          <w:tcPr>
            <w:tcW w:w="1984" w:type="dxa"/>
            <w:tcBorders>
              <w:top w:val="nil"/>
              <w:left w:val="nil"/>
              <w:bottom w:val="single" w:sz="4" w:space="0" w:color="A6A6A6"/>
              <w:right w:val="single" w:sz="4" w:space="0" w:color="A6A6A6"/>
            </w:tcBorders>
            <w:shd w:val="clear" w:color="000000" w:fill="FFFFFF"/>
            <w:vAlign w:val="center"/>
          </w:tcPr>
          <w:p w14:paraId="4FACC053" w14:textId="18C731BD" w:rsidR="007E3B33" w:rsidRPr="00D33EB1" w:rsidRDefault="007E3B33" w:rsidP="007E3B33">
            <w:pPr>
              <w:spacing w:line="240" w:lineRule="auto"/>
              <w:jc w:val="center"/>
              <w:rPr>
                <w:rFonts w:eastAsia="Times New Roman"/>
                <w:color w:val="000000"/>
                <w:sz w:val="22"/>
                <w:szCs w:val="22"/>
                <w:lang w:eastAsia="hr-HR"/>
              </w:rPr>
            </w:pPr>
            <w:r>
              <w:rPr>
                <w:color w:val="000000"/>
                <w:sz w:val="22"/>
                <w:szCs w:val="22"/>
              </w:rPr>
              <w:t>20</w:t>
            </w:r>
          </w:p>
        </w:tc>
        <w:tc>
          <w:tcPr>
            <w:tcW w:w="2127" w:type="dxa"/>
            <w:tcBorders>
              <w:top w:val="nil"/>
              <w:left w:val="nil"/>
              <w:bottom w:val="single" w:sz="4" w:space="0" w:color="A6A6A6"/>
              <w:right w:val="single" w:sz="4" w:space="0" w:color="A6A6A6"/>
            </w:tcBorders>
            <w:shd w:val="clear" w:color="000000" w:fill="FFFFFF"/>
            <w:vAlign w:val="center"/>
          </w:tcPr>
          <w:p w14:paraId="315B1ADA" w14:textId="6FF0CDC1" w:rsidR="007E3B33" w:rsidRPr="00D33EB1" w:rsidRDefault="007E3B33" w:rsidP="000A132C">
            <w:pPr>
              <w:spacing w:line="240" w:lineRule="auto"/>
              <w:jc w:val="right"/>
              <w:rPr>
                <w:rFonts w:eastAsia="Times New Roman"/>
                <w:color w:val="000000"/>
                <w:sz w:val="22"/>
                <w:szCs w:val="22"/>
                <w:lang w:eastAsia="hr-HR"/>
              </w:rPr>
            </w:pPr>
            <w:r>
              <w:rPr>
                <w:color w:val="000000"/>
                <w:sz w:val="22"/>
                <w:szCs w:val="22"/>
              </w:rPr>
              <w:t xml:space="preserve">1.340.684,40 € </w:t>
            </w:r>
          </w:p>
        </w:tc>
      </w:tr>
      <w:tr w:rsidR="007E3B33" w:rsidRPr="00D33EB1" w14:paraId="758CAED6" w14:textId="77777777" w:rsidTr="000A132C">
        <w:trPr>
          <w:trHeight w:val="454"/>
        </w:trPr>
        <w:tc>
          <w:tcPr>
            <w:tcW w:w="4815" w:type="dxa"/>
            <w:tcBorders>
              <w:top w:val="nil"/>
              <w:left w:val="single" w:sz="4" w:space="0" w:color="A6A6A6"/>
              <w:bottom w:val="single" w:sz="4" w:space="0" w:color="A6A6A6"/>
              <w:right w:val="single" w:sz="4" w:space="0" w:color="A6A6A6"/>
            </w:tcBorders>
            <w:shd w:val="clear" w:color="000000" w:fill="FFFFFF"/>
            <w:noWrap/>
            <w:vAlign w:val="center"/>
            <w:hideMark/>
          </w:tcPr>
          <w:p w14:paraId="2FD73564" w14:textId="363A1773" w:rsidR="007E3B33" w:rsidRPr="00D33EB1" w:rsidRDefault="007E3B33" w:rsidP="007E3B33">
            <w:pPr>
              <w:spacing w:line="240" w:lineRule="auto"/>
              <w:jc w:val="left"/>
              <w:rPr>
                <w:rFonts w:eastAsia="Times New Roman"/>
                <w:color w:val="000000"/>
                <w:sz w:val="22"/>
                <w:szCs w:val="22"/>
                <w:lang w:eastAsia="hr-HR"/>
              </w:rPr>
            </w:pPr>
            <w:r>
              <w:rPr>
                <w:color w:val="000000"/>
                <w:sz w:val="22"/>
                <w:szCs w:val="22"/>
              </w:rPr>
              <w:t>OTP BANKA d.d. Split</w:t>
            </w:r>
          </w:p>
        </w:tc>
        <w:tc>
          <w:tcPr>
            <w:tcW w:w="1984" w:type="dxa"/>
            <w:tcBorders>
              <w:top w:val="nil"/>
              <w:left w:val="nil"/>
              <w:bottom w:val="single" w:sz="4" w:space="0" w:color="A6A6A6"/>
              <w:right w:val="single" w:sz="4" w:space="0" w:color="A6A6A6"/>
            </w:tcBorders>
            <w:shd w:val="clear" w:color="000000" w:fill="FFFFFF"/>
            <w:vAlign w:val="center"/>
            <w:hideMark/>
          </w:tcPr>
          <w:p w14:paraId="6E27FBAA" w14:textId="6DA26A52" w:rsidR="007E3B33" w:rsidRPr="00D33EB1" w:rsidRDefault="007E3B33" w:rsidP="007E3B33">
            <w:pPr>
              <w:spacing w:line="240" w:lineRule="auto"/>
              <w:jc w:val="center"/>
              <w:rPr>
                <w:rFonts w:eastAsia="Times New Roman"/>
                <w:color w:val="000000"/>
                <w:sz w:val="22"/>
                <w:szCs w:val="22"/>
                <w:lang w:eastAsia="hr-HR"/>
              </w:rPr>
            </w:pPr>
            <w:r>
              <w:rPr>
                <w:color w:val="000000"/>
                <w:sz w:val="22"/>
                <w:szCs w:val="22"/>
              </w:rPr>
              <w:t>4</w:t>
            </w:r>
          </w:p>
        </w:tc>
        <w:tc>
          <w:tcPr>
            <w:tcW w:w="2127" w:type="dxa"/>
            <w:tcBorders>
              <w:top w:val="nil"/>
              <w:left w:val="nil"/>
              <w:bottom w:val="single" w:sz="4" w:space="0" w:color="A6A6A6"/>
              <w:right w:val="single" w:sz="4" w:space="0" w:color="A6A6A6"/>
            </w:tcBorders>
            <w:shd w:val="clear" w:color="000000" w:fill="FFFFFF"/>
            <w:vAlign w:val="center"/>
            <w:hideMark/>
          </w:tcPr>
          <w:p w14:paraId="0EEEADC2" w14:textId="0AD5B9F0" w:rsidR="007E3B33" w:rsidRPr="00D33EB1" w:rsidRDefault="007E3B33" w:rsidP="000A132C">
            <w:pPr>
              <w:spacing w:line="240" w:lineRule="auto"/>
              <w:jc w:val="right"/>
              <w:rPr>
                <w:rFonts w:eastAsia="Times New Roman"/>
                <w:color w:val="000000"/>
                <w:sz w:val="22"/>
                <w:szCs w:val="22"/>
                <w:lang w:eastAsia="hr-HR"/>
              </w:rPr>
            </w:pPr>
            <w:r>
              <w:rPr>
                <w:color w:val="000000"/>
                <w:sz w:val="22"/>
                <w:szCs w:val="22"/>
              </w:rPr>
              <w:t xml:space="preserve">368.929,96 € </w:t>
            </w:r>
          </w:p>
        </w:tc>
      </w:tr>
      <w:tr w:rsidR="007E3B33" w:rsidRPr="00D33EB1" w14:paraId="3E556DE9" w14:textId="77777777" w:rsidTr="000A132C">
        <w:trPr>
          <w:trHeight w:val="454"/>
        </w:trPr>
        <w:tc>
          <w:tcPr>
            <w:tcW w:w="4815" w:type="dxa"/>
            <w:tcBorders>
              <w:top w:val="nil"/>
              <w:left w:val="single" w:sz="4" w:space="0" w:color="A6A6A6"/>
              <w:bottom w:val="single" w:sz="4" w:space="0" w:color="A6A6A6"/>
              <w:right w:val="single" w:sz="4" w:space="0" w:color="A6A6A6"/>
            </w:tcBorders>
            <w:shd w:val="clear" w:color="000000" w:fill="002060"/>
            <w:noWrap/>
            <w:vAlign w:val="center"/>
            <w:hideMark/>
          </w:tcPr>
          <w:p w14:paraId="311C2CE6" w14:textId="444AE043" w:rsidR="007E3B33" w:rsidRPr="00D33EB1" w:rsidRDefault="007E3B33" w:rsidP="007E3B33">
            <w:pPr>
              <w:spacing w:line="240" w:lineRule="auto"/>
              <w:jc w:val="left"/>
              <w:rPr>
                <w:rFonts w:eastAsia="Times New Roman"/>
                <w:color w:val="FFFFFF"/>
                <w:sz w:val="22"/>
                <w:szCs w:val="22"/>
                <w:lang w:eastAsia="hr-HR"/>
              </w:rPr>
            </w:pPr>
            <w:r>
              <w:rPr>
                <w:color w:val="FFFFFF"/>
                <w:sz w:val="22"/>
                <w:szCs w:val="22"/>
              </w:rPr>
              <w:t>UKUPNO</w:t>
            </w:r>
          </w:p>
        </w:tc>
        <w:tc>
          <w:tcPr>
            <w:tcW w:w="1984" w:type="dxa"/>
            <w:tcBorders>
              <w:top w:val="nil"/>
              <w:left w:val="nil"/>
              <w:bottom w:val="single" w:sz="4" w:space="0" w:color="A6A6A6"/>
              <w:right w:val="single" w:sz="4" w:space="0" w:color="A6A6A6"/>
            </w:tcBorders>
            <w:shd w:val="clear" w:color="000000" w:fill="002060"/>
            <w:vAlign w:val="center"/>
            <w:hideMark/>
          </w:tcPr>
          <w:p w14:paraId="20F32F6D" w14:textId="078A4D66" w:rsidR="007E3B33" w:rsidRPr="00D33EB1" w:rsidRDefault="007E3B33" w:rsidP="007E3B33">
            <w:pPr>
              <w:spacing w:line="240" w:lineRule="auto"/>
              <w:jc w:val="center"/>
              <w:rPr>
                <w:rFonts w:eastAsia="Times New Roman"/>
                <w:color w:val="FFFFFF"/>
                <w:sz w:val="22"/>
                <w:szCs w:val="22"/>
                <w:lang w:eastAsia="hr-HR"/>
              </w:rPr>
            </w:pPr>
            <w:r>
              <w:rPr>
                <w:color w:val="FFFFFF"/>
                <w:sz w:val="22"/>
                <w:szCs w:val="22"/>
              </w:rPr>
              <w:t>393</w:t>
            </w:r>
          </w:p>
        </w:tc>
        <w:tc>
          <w:tcPr>
            <w:tcW w:w="2127" w:type="dxa"/>
            <w:tcBorders>
              <w:top w:val="nil"/>
              <w:left w:val="nil"/>
              <w:bottom w:val="single" w:sz="4" w:space="0" w:color="A6A6A6"/>
              <w:right w:val="single" w:sz="4" w:space="0" w:color="A6A6A6"/>
            </w:tcBorders>
            <w:shd w:val="clear" w:color="000000" w:fill="002060"/>
            <w:vAlign w:val="center"/>
            <w:hideMark/>
          </w:tcPr>
          <w:p w14:paraId="2C6F2118" w14:textId="5FC7FA79" w:rsidR="007E3B33" w:rsidRPr="00D33EB1" w:rsidRDefault="007E3B33" w:rsidP="000A132C">
            <w:pPr>
              <w:spacing w:line="240" w:lineRule="auto"/>
              <w:jc w:val="right"/>
              <w:rPr>
                <w:rFonts w:eastAsia="Times New Roman"/>
                <w:color w:val="FFFFFF"/>
                <w:sz w:val="22"/>
                <w:szCs w:val="22"/>
                <w:lang w:eastAsia="hr-HR"/>
              </w:rPr>
            </w:pPr>
            <w:r>
              <w:rPr>
                <w:color w:val="FFFFFF"/>
                <w:sz w:val="22"/>
                <w:szCs w:val="22"/>
              </w:rPr>
              <w:t xml:space="preserve">27.123.975,89 € </w:t>
            </w:r>
          </w:p>
        </w:tc>
      </w:tr>
    </w:tbl>
    <w:p w14:paraId="32BFC819" w14:textId="77777777" w:rsidR="004C25D7" w:rsidRDefault="004C25D7" w:rsidP="00BF0719">
      <w:pPr>
        <w:spacing w:before="120"/>
      </w:pPr>
    </w:p>
    <w:p w14:paraId="66E99D8E" w14:textId="56BF7EF7" w:rsidR="00BF0719" w:rsidRPr="00D33EB1" w:rsidRDefault="00BF0719" w:rsidP="00BF0719">
      <w:pPr>
        <w:spacing w:before="120"/>
      </w:pPr>
      <w:r w:rsidRPr="00D33EB1">
        <w:t>Uz isplate novčanih pomoći za konstrukcijsku obnovu, tijekom 2023. godine izvršen</w:t>
      </w:r>
      <w:r w:rsidR="00C77933">
        <w:t>o je deset</w:t>
      </w:r>
      <w:r w:rsidRPr="00D33EB1">
        <w:t xml:space="preserve"> isplat</w:t>
      </w:r>
      <w:r w:rsidR="00C77933">
        <w:t>a</w:t>
      </w:r>
      <w:r w:rsidRPr="00D33EB1">
        <w:t xml:space="preserve"> novčanih pomoći za trošak izrade projekta</w:t>
      </w:r>
      <w:r w:rsidR="00865474">
        <w:t xml:space="preserve"> </w:t>
      </w:r>
      <w:r w:rsidR="00C10C3C">
        <w:t>ukupne vrijednosti od</w:t>
      </w:r>
      <w:r w:rsidR="00865474">
        <w:t xml:space="preserve"> </w:t>
      </w:r>
      <w:r w:rsidR="00B824EC">
        <w:t>160</w:t>
      </w:r>
      <w:r w:rsidRPr="00D33EB1">
        <w:t xml:space="preserve"> tisuća eura.</w:t>
      </w:r>
    </w:p>
    <w:p w14:paraId="756F54D5" w14:textId="77777777" w:rsidR="001B5044" w:rsidRPr="00D33EB1" w:rsidRDefault="001B5044" w:rsidP="00BF0719">
      <w:pPr>
        <w:spacing w:before="120"/>
      </w:pPr>
    </w:p>
    <w:p w14:paraId="7A83F827" w14:textId="6501EDC3" w:rsidR="006717EC" w:rsidRPr="000C3E51" w:rsidRDefault="006717EC" w:rsidP="000C3E51">
      <w:pPr>
        <w:rPr>
          <w:b/>
        </w:rPr>
      </w:pPr>
      <w:r w:rsidRPr="000C3E51">
        <w:rPr>
          <w:b/>
        </w:rPr>
        <w:t xml:space="preserve">Radovi konstrukcijske obnove u tijeku </w:t>
      </w:r>
    </w:p>
    <w:p w14:paraId="74357311" w14:textId="77777777" w:rsidR="004C25D7" w:rsidRPr="00865474" w:rsidRDefault="004C25D7" w:rsidP="00865474"/>
    <w:p w14:paraId="33D3E847" w14:textId="4355B335" w:rsidR="006717EC" w:rsidRPr="00C9549D" w:rsidRDefault="006717EC" w:rsidP="006717EC">
      <w:pPr>
        <w:rPr>
          <w:noProof/>
        </w:rPr>
      </w:pPr>
      <w:r w:rsidRPr="00C9549D">
        <w:rPr>
          <w:noProof/>
        </w:rPr>
        <w:t>Na početku izvještajnog razdoblja bilo je ukupno 22 gradilišta konstrukcijske obnove, a</w:t>
      </w:r>
      <w:r w:rsidR="0016648C">
        <w:rPr>
          <w:noProof/>
        </w:rPr>
        <w:t xml:space="preserve"> n</w:t>
      </w:r>
      <w:r w:rsidRPr="00C9549D">
        <w:t xml:space="preserve">a </w:t>
      </w:r>
      <w:r w:rsidR="0016288B">
        <w:t xml:space="preserve">dan </w:t>
      </w:r>
      <w:r w:rsidR="008B7703">
        <w:t>3</w:t>
      </w:r>
      <w:r w:rsidR="005E4E9D">
        <w:t>1</w:t>
      </w:r>
      <w:r w:rsidR="008B7703">
        <w:t xml:space="preserve">. </w:t>
      </w:r>
      <w:r w:rsidR="00450B70">
        <w:t xml:space="preserve">prosinca </w:t>
      </w:r>
      <w:r w:rsidR="008B7703">
        <w:t>2023.</w:t>
      </w:r>
      <w:r w:rsidRPr="00C9549D">
        <w:t xml:space="preserve"> u </w:t>
      </w:r>
      <w:r w:rsidR="000A0B53">
        <w:t>obnovi</w:t>
      </w:r>
      <w:r w:rsidR="000A0B53" w:rsidRPr="00C9549D">
        <w:t xml:space="preserve"> </w:t>
      </w:r>
      <w:r w:rsidRPr="00C9549D">
        <w:t xml:space="preserve">je bilo </w:t>
      </w:r>
      <w:r w:rsidR="000A0B53">
        <w:t>6</w:t>
      </w:r>
      <w:r w:rsidR="00A22C9B">
        <w:t>31</w:t>
      </w:r>
      <w:r w:rsidR="000A0B53" w:rsidRPr="00C9549D">
        <w:t xml:space="preserve"> </w:t>
      </w:r>
      <w:r w:rsidRPr="00C9549D">
        <w:t>konstrukcijsk</w:t>
      </w:r>
      <w:r w:rsidR="000A0B53">
        <w:t>a</w:t>
      </w:r>
      <w:r w:rsidRPr="00C9549D">
        <w:t xml:space="preserve"> obnova od čega </w:t>
      </w:r>
      <w:r w:rsidR="000A0B53">
        <w:t>47</w:t>
      </w:r>
      <w:r w:rsidRPr="00C9549D">
        <w:t xml:space="preserve"> u organiziranoj obnovi</w:t>
      </w:r>
      <w:r w:rsidR="00CF3BF8">
        <w:t xml:space="preserve"> </w:t>
      </w:r>
      <w:r w:rsidRPr="00C9549D">
        <w:t xml:space="preserve">te </w:t>
      </w:r>
      <w:r w:rsidR="000A0B53">
        <w:t>584</w:t>
      </w:r>
      <w:r w:rsidRPr="00C9549D">
        <w:t xml:space="preserve"> u samoobnov</w:t>
      </w:r>
      <w:r w:rsidR="00CF3BF8">
        <w:t>i</w:t>
      </w:r>
      <w:r w:rsidR="00B30E24">
        <w:t xml:space="preserve"> koristeći model novčane pomoći</w:t>
      </w:r>
      <w:r w:rsidRPr="00C9549D">
        <w:t>.</w:t>
      </w:r>
    </w:p>
    <w:p w14:paraId="6382CC39" w14:textId="77777777" w:rsidR="006717EC" w:rsidRPr="00C9549D" w:rsidRDefault="006717EC" w:rsidP="006717EC"/>
    <w:p w14:paraId="2BE19E25" w14:textId="73CA7758" w:rsidR="006717EC" w:rsidRPr="00C9549D" w:rsidRDefault="006717EC" w:rsidP="006717EC">
      <w:pPr>
        <w:rPr>
          <w:i/>
          <w:iCs/>
        </w:rPr>
      </w:pPr>
      <w:r w:rsidRPr="00C9549D">
        <w:rPr>
          <w:i/>
          <w:iCs/>
        </w:rPr>
        <w:t>Pregled konstrukcijske obnove u tijeku po lokaciji i vrsti obnove</w:t>
      </w:r>
    </w:p>
    <w:tbl>
      <w:tblPr>
        <w:tblW w:w="8931" w:type="dxa"/>
        <w:tblInd w:w="-5" w:type="dxa"/>
        <w:tblLayout w:type="fixed"/>
        <w:tblLook w:val="04A0" w:firstRow="1" w:lastRow="0" w:firstColumn="1" w:lastColumn="0" w:noHBand="0" w:noVBand="1"/>
      </w:tblPr>
      <w:tblGrid>
        <w:gridCol w:w="4962"/>
        <w:gridCol w:w="1984"/>
        <w:gridCol w:w="1985"/>
      </w:tblGrid>
      <w:tr w:rsidR="00A03751" w:rsidRPr="00C9549D" w14:paraId="387802CF" w14:textId="77777777" w:rsidTr="00A03751">
        <w:trPr>
          <w:trHeight w:val="567"/>
        </w:trPr>
        <w:tc>
          <w:tcPr>
            <w:tcW w:w="4962"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097CB973" w14:textId="77777777" w:rsidR="00A03751" w:rsidRPr="00C9549D" w:rsidRDefault="00A03751"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1984" w:type="dxa"/>
            <w:tcBorders>
              <w:top w:val="single" w:sz="4" w:space="0" w:color="A6A6A6"/>
              <w:left w:val="nil"/>
              <w:bottom w:val="single" w:sz="4" w:space="0" w:color="A6A6A6"/>
              <w:right w:val="single" w:sz="4" w:space="0" w:color="A6A6A6"/>
            </w:tcBorders>
            <w:shd w:val="clear" w:color="000000" w:fill="002060"/>
            <w:vAlign w:val="center"/>
            <w:hideMark/>
          </w:tcPr>
          <w:p w14:paraId="10E3399C" w14:textId="1D90AA7E" w:rsidR="00A03751" w:rsidRPr="00C9549D" w:rsidRDefault="00A03751" w:rsidP="00861662">
            <w:pPr>
              <w:spacing w:line="240" w:lineRule="auto"/>
              <w:jc w:val="center"/>
              <w:rPr>
                <w:rFonts w:eastAsia="Times New Roman"/>
                <w:color w:val="FFFFFF"/>
                <w:sz w:val="22"/>
                <w:szCs w:val="22"/>
                <w:lang w:eastAsia="hr-HR"/>
              </w:rPr>
            </w:pPr>
            <w:r>
              <w:rPr>
                <w:color w:val="FFFFFF"/>
                <w:sz w:val="22"/>
                <w:szCs w:val="22"/>
              </w:rPr>
              <w:t xml:space="preserve"> Stanje na 31.prosinca 2022. </w:t>
            </w:r>
          </w:p>
        </w:tc>
        <w:tc>
          <w:tcPr>
            <w:tcW w:w="1985" w:type="dxa"/>
            <w:tcBorders>
              <w:top w:val="single" w:sz="4" w:space="0" w:color="A6A6A6"/>
              <w:left w:val="nil"/>
              <w:bottom w:val="single" w:sz="4" w:space="0" w:color="A6A6A6"/>
              <w:right w:val="single" w:sz="4" w:space="0" w:color="A6A6A6"/>
            </w:tcBorders>
            <w:shd w:val="clear" w:color="000000" w:fill="002060"/>
            <w:vAlign w:val="center"/>
            <w:hideMark/>
          </w:tcPr>
          <w:p w14:paraId="6C8D2C16" w14:textId="77777777" w:rsidR="00A03751" w:rsidRDefault="00A03751" w:rsidP="00EB5637">
            <w:pPr>
              <w:spacing w:line="240" w:lineRule="auto"/>
              <w:jc w:val="center"/>
              <w:rPr>
                <w:color w:val="FFFFFF"/>
                <w:sz w:val="22"/>
                <w:szCs w:val="22"/>
              </w:rPr>
            </w:pPr>
            <w:r>
              <w:rPr>
                <w:color w:val="FFFFFF"/>
                <w:sz w:val="22"/>
                <w:szCs w:val="22"/>
              </w:rPr>
              <w:t xml:space="preserve"> Stanje na </w:t>
            </w:r>
          </w:p>
          <w:p w14:paraId="5FD2E3BF" w14:textId="6C873859" w:rsidR="00A03751" w:rsidRPr="000A132C" w:rsidRDefault="00A03751" w:rsidP="007527F9">
            <w:pPr>
              <w:spacing w:line="240" w:lineRule="auto"/>
              <w:jc w:val="center"/>
              <w:rPr>
                <w:color w:val="FFFFFF"/>
                <w:sz w:val="22"/>
                <w:szCs w:val="22"/>
              </w:rPr>
            </w:pPr>
            <w:r>
              <w:rPr>
                <w:color w:val="FFFFFF"/>
                <w:sz w:val="22"/>
                <w:szCs w:val="22"/>
              </w:rPr>
              <w:t xml:space="preserve">31. prosinca 2023. </w:t>
            </w:r>
          </w:p>
        </w:tc>
      </w:tr>
      <w:tr w:rsidR="00A03751" w:rsidRPr="00C9549D" w14:paraId="4B932D63"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D9E1F2"/>
            <w:noWrap/>
            <w:vAlign w:val="center"/>
            <w:hideMark/>
          </w:tcPr>
          <w:p w14:paraId="1825F62E" w14:textId="77777777" w:rsidR="00A03751" w:rsidRDefault="00A03751" w:rsidP="00561284">
            <w:pPr>
              <w:spacing w:line="240" w:lineRule="auto"/>
              <w:jc w:val="left"/>
              <w:rPr>
                <w:color w:val="000000"/>
                <w:sz w:val="22"/>
                <w:szCs w:val="22"/>
              </w:rPr>
            </w:pPr>
            <w:r w:rsidRPr="00C9549D">
              <w:rPr>
                <w:color w:val="000000"/>
                <w:sz w:val="22"/>
                <w:szCs w:val="22"/>
              </w:rPr>
              <w:t xml:space="preserve">Organizirana </w:t>
            </w:r>
          </w:p>
          <w:p w14:paraId="6F1092AB" w14:textId="2BD4A761" w:rsidR="00A03751" w:rsidRPr="00C9549D" w:rsidRDefault="00A03751" w:rsidP="00561284">
            <w:pPr>
              <w:spacing w:line="240" w:lineRule="auto"/>
              <w:jc w:val="left"/>
              <w:rPr>
                <w:rFonts w:eastAsia="Times New Roman"/>
                <w:color w:val="000000"/>
                <w:sz w:val="22"/>
                <w:szCs w:val="22"/>
                <w:lang w:eastAsia="hr-HR"/>
              </w:rPr>
            </w:pPr>
            <w:r w:rsidRPr="00C9549D">
              <w:rPr>
                <w:color w:val="000000"/>
                <w:sz w:val="22"/>
                <w:szCs w:val="22"/>
              </w:rPr>
              <w:t>konstrukcijska obnova</w:t>
            </w:r>
          </w:p>
        </w:tc>
        <w:tc>
          <w:tcPr>
            <w:tcW w:w="1984" w:type="dxa"/>
            <w:tcBorders>
              <w:top w:val="nil"/>
              <w:left w:val="nil"/>
              <w:bottom w:val="single" w:sz="4" w:space="0" w:color="A6A6A6"/>
              <w:right w:val="single" w:sz="4" w:space="0" w:color="A6A6A6"/>
            </w:tcBorders>
            <w:shd w:val="clear" w:color="000000" w:fill="D9E1F2"/>
            <w:noWrap/>
            <w:vAlign w:val="center"/>
            <w:hideMark/>
          </w:tcPr>
          <w:p w14:paraId="69D7914C" w14:textId="435CF41E" w:rsidR="00A03751" w:rsidRPr="00C9549D" w:rsidRDefault="00A03751" w:rsidP="00561284">
            <w:pPr>
              <w:spacing w:line="240" w:lineRule="auto"/>
              <w:jc w:val="center"/>
              <w:rPr>
                <w:rFonts w:eastAsia="Times New Roman"/>
                <w:color w:val="000000"/>
                <w:sz w:val="22"/>
                <w:szCs w:val="22"/>
                <w:lang w:eastAsia="hr-HR"/>
              </w:rPr>
            </w:pPr>
            <w:r w:rsidRPr="00C9549D">
              <w:rPr>
                <w:color w:val="000000"/>
                <w:sz w:val="22"/>
                <w:szCs w:val="22"/>
              </w:rPr>
              <w:t>5</w:t>
            </w:r>
          </w:p>
        </w:tc>
        <w:tc>
          <w:tcPr>
            <w:tcW w:w="1985" w:type="dxa"/>
            <w:tcBorders>
              <w:top w:val="nil"/>
              <w:left w:val="nil"/>
              <w:bottom w:val="single" w:sz="4" w:space="0" w:color="A6A6A6"/>
              <w:right w:val="single" w:sz="4" w:space="0" w:color="A6A6A6"/>
            </w:tcBorders>
            <w:shd w:val="clear" w:color="000000" w:fill="D9E1F2"/>
            <w:noWrap/>
            <w:vAlign w:val="center"/>
            <w:hideMark/>
          </w:tcPr>
          <w:p w14:paraId="7BFA476D" w14:textId="2A4AE586" w:rsidR="00A03751" w:rsidRPr="00C9549D" w:rsidRDefault="00A03751" w:rsidP="00561284">
            <w:pPr>
              <w:spacing w:line="240" w:lineRule="auto"/>
              <w:jc w:val="center"/>
              <w:rPr>
                <w:rFonts w:eastAsia="Times New Roman"/>
                <w:color w:val="000000"/>
                <w:sz w:val="22"/>
                <w:szCs w:val="22"/>
                <w:lang w:eastAsia="hr-HR"/>
              </w:rPr>
            </w:pPr>
            <w:r>
              <w:rPr>
                <w:color w:val="000000"/>
                <w:sz w:val="22"/>
                <w:szCs w:val="22"/>
              </w:rPr>
              <w:t>47</w:t>
            </w:r>
          </w:p>
        </w:tc>
      </w:tr>
      <w:tr w:rsidR="00A03751" w:rsidRPr="00C9549D" w14:paraId="42BA9E71"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FFFFFF"/>
            <w:noWrap/>
            <w:vAlign w:val="center"/>
            <w:hideMark/>
          </w:tcPr>
          <w:p w14:paraId="6841147E" w14:textId="77777777" w:rsidR="00A03751" w:rsidRPr="00C9549D" w:rsidRDefault="00A03751" w:rsidP="00561284">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Petrinjski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23BC0456" w14:textId="3CFF04D0" w:rsidR="00A03751" w:rsidRPr="00C9549D" w:rsidRDefault="00A03751" w:rsidP="00561284">
            <w:pPr>
              <w:spacing w:line="240" w:lineRule="auto"/>
              <w:jc w:val="center"/>
              <w:rPr>
                <w:rFonts w:eastAsia="Times New Roman"/>
                <w:color w:val="000000"/>
                <w:sz w:val="22"/>
                <w:szCs w:val="22"/>
                <w:lang w:eastAsia="hr-HR"/>
              </w:rPr>
            </w:pPr>
            <w:r w:rsidRPr="00C9549D">
              <w:rPr>
                <w:color w:val="000000"/>
                <w:sz w:val="22"/>
                <w:szCs w:val="22"/>
              </w:rPr>
              <w:t>0</w:t>
            </w:r>
          </w:p>
        </w:tc>
        <w:tc>
          <w:tcPr>
            <w:tcW w:w="1985" w:type="dxa"/>
            <w:tcBorders>
              <w:top w:val="nil"/>
              <w:left w:val="nil"/>
              <w:bottom w:val="single" w:sz="4" w:space="0" w:color="A6A6A6"/>
              <w:right w:val="single" w:sz="4" w:space="0" w:color="A6A6A6"/>
            </w:tcBorders>
            <w:shd w:val="clear" w:color="000000" w:fill="FFFFFF"/>
            <w:noWrap/>
            <w:vAlign w:val="center"/>
            <w:hideMark/>
          </w:tcPr>
          <w:p w14:paraId="1A9E3742" w14:textId="2F61DB81" w:rsidR="00A03751" w:rsidRPr="00C9549D" w:rsidRDefault="00A03751" w:rsidP="00561284">
            <w:pPr>
              <w:spacing w:line="240" w:lineRule="auto"/>
              <w:jc w:val="center"/>
              <w:rPr>
                <w:rFonts w:eastAsia="Times New Roman"/>
                <w:color w:val="000000"/>
                <w:sz w:val="22"/>
                <w:szCs w:val="22"/>
                <w:lang w:eastAsia="hr-HR"/>
              </w:rPr>
            </w:pPr>
            <w:r>
              <w:rPr>
                <w:color w:val="000000"/>
                <w:sz w:val="22"/>
                <w:szCs w:val="22"/>
              </w:rPr>
              <w:t>32</w:t>
            </w:r>
          </w:p>
        </w:tc>
      </w:tr>
      <w:tr w:rsidR="00A03751" w:rsidRPr="00C9549D" w14:paraId="66648B6C"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FFFFFF"/>
            <w:noWrap/>
            <w:vAlign w:val="center"/>
            <w:hideMark/>
          </w:tcPr>
          <w:p w14:paraId="0C5D2920" w14:textId="77777777" w:rsidR="00A03751" w:rsidRPr="00C9549D" w:rsidRDefault="00A03751" w:rsidP="00561284">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Zagrebački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6CFF5C75" w14:textId="35672B88" w:rsidR="00A03751" w:rsidRPr="00C9549D" w:rsidRDefault="00A03751" w:rsidP="00561284">
            <w:pPr>
              <w:spacing w:line="240" w:lineRule="auto"/>
              <w:jc w:val="center"/>
              <w:rPr>
                <w:rFonts w:eastAsia="Times New Roman"/>
                <w:color w:val="000000"/>
                <w:sz w:val="22"/>
                <w:szCs w:val="22"/>
                <w:lang w:eastAsia="hr-HR"/>
              </w:rPr>
            </w:pPr>
            <w:r w:rsidRPr="00C9549D">
              <w:rPr>
                <w:color w:val="000000"/>
                <w:sz w:val="22"/>
                <w:szCs w:val="22"/>
              </w:rPr>
              <w:t>5</w:t>
            </w:r>
          </w:p>
        </w:tc>
        <w:tc>
          <w:tcPr>
            <w:tcW w:w="1985" w:type="dxa"/>
            <w:tcBorders>
              <w:top w:val="nil"/>
              <w:left w:val="nil"/>
              <w:bottom w:val="single" w:sz="4" w:space="0" w:color="A6A6A6"/>
              <w:right w:val="single" w:sz="4" w:space="0" w:color="A6A6A6"/>
            </w:tcBorders>
            <w:shd w:val="clear" w:color="000000" w:fill="FFFFFF"/>
            <w:noWrap/>
            <w:vAlign w:val="center"/>
            <w:hideMark/>
          </w:tcPr>
          <w:p w14:paraId="38992671" w14:textId="13CBD898" w:rsidR="00A03751" w:rsidRPr="00C9549D" w:rsidRDefault="00A03751" w:rsidP="00561284">
            <w:pPr>
              <w:spacing w:line="240" w:lineRule="auto"/>
              <w:jc w:val="center"/>
              <w:rPr>
                <w:rFonts w:eastAsia="Times New Roman"/>
                <w:color w:val="000000"/>
                <w:sz w:val="22"/>
                <w:szCs w:val="22"/>
                <w:lang w:eastAsia="hr-HR"/>
              </w:rPr>
            </w:pPr>
            <w:r>
              <w:rPr>
                <w:color w:val="000000"/>
                <w:sz w:val="22"/>
                <w:szCs w:val="22"/>
              </w:rPr>
              <w:t>15</w:t>
            </w:r>
          </w:p>
        </w:tc>
      </w:tr>
      <w:tr w:rsidR="00A03751" w:rsidRPr="00C9549D" w14:paraId="35251966"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D9E1F2"/>
            <w:noWrap/>
            <w:vAlign w:val="center"/>
            <w:hideMark/>
          </w:tcPr>
          <w:p w14:paraId="3A45AE4A" w14:textId="77777777" w:rsidR="00A03751" w:rsidRPr="00C9549D" w:rsidRDefault="00A03751" w:rsidP="00561284">
            <w:pPr>
              <w:spacing w:line="240" w:lineRule="auto"/>
              <w:jc w:val="left"/>
              <w:rPr>
                <w:rFonts w:eastAsia="Times New Roman"/>
                <w:color w:val="000000"/>
                <w:sz w:val="22"/>
                <w:szCs w:val="22"/>
                <w:lang w:eastAsia="hr-HR"/>
              </w:rPr>
            </w:pPr>
            <w:r w:rsidRPr="00C9549D">
              <w:rPr>
                <w:color w:val="000000"/>
                <w:sz w:val="22"/>
                <w:szCs w:val="22"/>
              </w:rPr>
              <w:t>Novčana pomoć za konstrukcijsku obnovu</w:t>
            </w:r>
          </w:p>
        </w:tc>
        <w:tc>
          <w:tcPr>
            <w:tcW w:w="1984" w:type="dxa"/>
            <w:tcBorders>
              <w:top w:val="nil"/>
              <w:left w:val="nil"/>
              <w:bottom w:val="single" w:sz="4" w:space="0" w:color="A6A6A6"/>
              <w:right w:val="single" w:sz="4" w:space="0" w:color="A6A6A6"/>
            </w:tcBorders>
            <w:shd w:val="clear" w:color="000000" w:fill="D9E1F2"/>
            <w:noWrap/>
            <w:vAlign w:val="center"/>
            <w:hideMark/>
          </w:tcPr>
          <w:p w14:paraId="1E3C109F" w14:textId="192C0BAB" w:rsidR="00A03751" w:rsidRPr="00C9549D" w:rsidRDefault="00A03751" w:rsidP="00561284">
            <w:pPr>
              <w:spacing w:line="240" w:lineRule="auto"/>
              <w:jc w:val="center"/>
              <w:rPr>
                <w:rFonts w:eastAsia="Times New Roman"/>
                <w:color w:val="000000"/>
                <w:sz w:val="22"/>
                <w:szCs w:val="22"/>
                <w:lang w:eastAsia="hr-HR"/>
              </w:rPr>
            </w:pPr>
            <w:r w:rsidRPr="00C9549D">
              <w:rPr>
                <w:color w:val="000000"/>
                <w:sz w:val="22"/>
                <w:szCs w:val="22"/>
              </w:rPr>
              <w:t>17</w:t>
            </w:r>
          </w:p>
        </w:tc>
        <w:tc>
          <w:tcPr>
            <w:tcW w:w="1985" w:type="dxa"/>
            <w:tcBorders>
              <w:top w:val="nil"/>
              <w:left w:val="nil"/>
              <w:bottom w:val="single" w:sz="4" w:space="0" w:color="A6A6A6"/>
              <w:right w:val="single" w:sz="4" w:space="0" w:color="A6A6A6"/>
            </w:tcBorders>
            <w:shd w:val="clear" w:color="000000" w:fill="D9E1F2"/>
            <w:noWrap/>
            <w:vAlign w:val="center"/>
            <w:hideMark/>
          </w:tcPr>
          <w:p w14:paraId="69888361" w14:textId="6B389904" w:rsidR="00A03751" w:rsidRPr="00C9549D" w:rsidRDefault="00A03751" w:rsidP="00561284">
            <w:pPr>
              <w:spacing w:line="240" w:lineRule="auto"/>
              <w:jc w:val="center"/>
              <w:rPr>
                <w:rFonts w:eastAsia="Times New Roman"/>
                <w:color w:val="000000"/>
                <w:sz w:val="22"/>
                <w:szCs w:val="22"/>
                <w:lang w:eastAsia="hr-HR"/>
              </w:rPr>
            </w:pPr>
            <w:r>
              <w:rPr>
                <w:color w:val="000000"/>
                <w:sz w:val="22"/>
                <w:szCs w:val="22"/>
              </w:rPr>
              <w:t>584</w:t>
            </w:r>
          </w:p>
        </w:tc>
      </w:tr>
      <w:tr w:rsidR="00A03751" w:rsidRPr="00C9549D" w14:paraId="72F01FDE"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FFFFFF"/>
            <w:noWrap/>
            <w:vAlign w:val="center"/>
            <w:hideMark/>
          </w:tcPr>
          <w:p w14:paraId="6B4C3857" w14:textId="77777777" w:rsidR="00A03751" w:rsidRPr="00C9549D" w:rsidRDefault="00A03751" w:rsidP="00561284">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Petrinjski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661A5D16" w14:textId="23B15F16" w:rsidR="00A03751" w:rsidRPr="00C9549D" w:rsidRDefault="00A03751" w:rsidP="00561284">
            <w:pPr>
              <w:spacing w:line="240" w:lineRule="auto"/>
              <w:jc w:val="center"/>
              <w:rPr>
                <w:rFonts w:eastAsia="Times New Roman"/>
                <w:color w:val="000000"/>
                <w:sz w:val="22"/>
                <w:szCs w:val="22"/>
                <w:lang w:eastAsia="hr-HR"/>
              </w:rPr>
            </w:pPr>
            <w:r w:rsidRPr="00C9549D">
              <w:rPr>
                <w:color w:val="000000"/>
                <w:sz w:val="22"/>
                <w:szCs w:val="22"/>
              </w:rPr>
              <w:t>0</w:t>
            </w:r>
          </w:p>
        </w:tc>
        <w:tc>
          <w:tcPr>
            <w:tcW w:w="1985" w:type="dxa"/>
            <w:tcBorders>
              <w:top w:val="nil"/>
              <w:left w:val="nil"/>
              <w:bottom w:val="single" w:sz="4" w:space="0" w:color="A6A6A6"/>
              <w:right w:val="single" w:sz="4" w:space="0" w:color="A6A6A6"/>
            </w:tcBorders>
            <w:shd w:val="clear" w:color="000000" w:fill="FFFFFF"/>
            <w:noWrap/>
            <w:vAlign w:val="center"/>
            <w:hideMark/>
          </w:tcPr>
          <w:p w14:paraId="5BDE1C4A" w14:textId="124E9EEC" w:rsidR="00A03751" w:rsidRPr="00C9549D" w:rsidRDefault="00A03751" w:rsidP="00561284">
            <w:pPr>
              <w:spacing w:line="240" w:lineRule="auto"/>
              <w:jc w:val="center"/>
              <w:rPr>
                <w:rFonts w:eastAsia="Times New Roman"/>
                <w:color w:val="000000"/>
                <w:sz w:val="22"/>
                <w:szCs w:val="22"/>
                <w:lang w:eastAsia="hr-HR"/>
              </w:rPr>
            </w:pPr>
            <w:r>
              <w:rPr>
                <w:color w:val="000000"/>
                <w:sz w:val="22"/>
                <w:szCs w:val="22"/>
              </w:rPr>
              <w:t>314</w:t>
            </w:r>
          </w:p>
        </w:tc>
      </w:tr>
      <w:tr w:rsidR="00A03751" w:rsidRPr="00C9549D" w14:paraId="7BFE0E6D"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FFFFFF"/>
            <w:noWrap/>
            <w:vAlign w:val="center"/>
            <w:hideMark/>
          </w:tcPr>
          <w:p w14:paraId="01037174" w14:textId="77777777" w:rsidR="00A03751" w:rsidRPr="00C9549D" w:rsidRDefault="00A03751" w:rsidP="00561284">
            <w:pPr>
              <w:spacing w:line="240" w:lineRule="auto"/>
              <w:ind w:firstLineChars="200" w:firstLine="440"/>
              <w:jc w:val="left"/>
              <w:rPr>
                <w:rFonts w:eastAsia="Times New Roman"/>
                <w:i/>
                <w:iCs/>
                <w:color w:val="000000"/>
                <w:sz w:val="22"/>
                <w:szCs w:val="22"/>
                <w:lang w:eastAsia="hr-HR"/>
              </w:rPr>
            </w:pPr>
            <w:r w:rsidRPr="00C9549D">
              <w:rPr>
                <w:i/>
                <w:iCs/>
                <w:color w:val="000000"/>
                <w:sz w:val="22"/>
                <w:szCs w:val="22"/>
              </w:rPr>
              <w:t>Zagrebački potres</w:t>
            </w:r>
          </w:p>
        </w:tc>
        <w:tc>
          <w:tcPr>
            <w:tcW w:w="1984" w:type="dxa"/>
            <w:tcBorders>
              <w:top w:val="nil"/>
              <w:left w:val="nil"/>
              <w:bottom w:val="single" w:sz="4" w:space="0" w:color="A6A6A6"/>
              <w:right w:val="single" w:sz="4" w:space="0" w:color="A6A6A6"/>
            </w:tcBorders>
            <w:shd w:val="clear" w:color="000000" w:fill="FFFFFF"/>
            <w:noWrap/>
            <w:vAlign w:val="center"/>
            <w:hideMark/>
          </w:tcPr>
          <w:p w14:paraId="7C240E88" w14:textId="0847EECD" w:rsidR="00A03751" w:rsidRPr="00C9549D" w:rsidRDefault="00A03751" w:rsidP="00561284">
            <w:pPr>
              <w:spacing w:line="240" w:lineRule="auto"/>
              <w:jc w:val="center"/>
              <w:rPr>
                <w:rFonts w:eastAsia="Times New Roman"/>
                <w:color w:val="000000"/>
                <w:sz w:val="22"/>
                <w:szCs w:val="22"/>
                <w:lang w:eastAsia="hr-HR"/>
              </w:rPr>
            </w:pPr>
            <w:r w:rsidRPr="00C9549D">
              <w:rPr>
                <w:color w:val="000000"/>
                <w:sz w:val="22"/>
                <w:szCs w:val="22"/>
              </w:rPr>
              <w:t>17</w:t>
            </w:r>
          </w:p>
        </w:tc>
        <w:tc>
          <w:tcPr>
            <w:tcW w:w="1985" w:type="dxa"/>
            <w:tcBorders>
              <w:top w:val="nil"/>
              <w:left w:val="nil"/>
              <w:bottom w:val="single" w:sz="4" w:space="0" w:color="A6A6A6"/>
              <w:right w:val="single" w:sz="4" w:space="0" w:color="A6A6A6"/>
            </w:tcBorders>
            <w:shd w:val="clear" w:color="000000" w:fill="FFFFFF"/>
            <w:noWrap/>
            <w:vAlign w:val="center"/>
            <w:hideMark/>
          </w:tcPr>
          <w:p w14:paraId="73ED91C4" w14:textId="6D2E84BB" w:rsidR="00A03751" w:rsidRPr="00C9549D" w:rsidRDefault="00A03751" w:rsidP="00561284">
            <w:pPr>
              <w:spacing w:line="240" w:lineRule="auto"/>
              <w:jc w:val="center"/>
              <w:rPr>
                <w:rFonts w:eastAsia="Times New Roman"/>
                <w:color w:val="000000"/>
                <w:sz w:val="22"/>
                <w:szCs w:val="22"/>
                <w:lang w:eastAsia="hr-HR"/>
              </w:rPr>
            </w:pPr>
            <w:r>
              <w:rPr>
                <w:color w:val="000000"/>
                <w:sz w:val="22"/>
                <w:szCs w:val="22"/>
              </w:rPr>
              <w:t>270</w:t>
            </w:r>
          </w:p>
        </w:tc>
      </w:tr>
      <w:tr w:rsidR="00A03751" w:rsidRPr="00C9549D" w14:paraId="42B0DEB3" w14:textId="77777777" w:rsidTr="00A03751">
        <w:trPr>
          <w:trHeight w:val="567"/>
        </w:trPr>
        <w:tc>
          <w:tcPr>
            <w:tcW w:w="4962" w:type="dxa"/>
            <w:tcBorders>
              <w:top w:val="nil"/>
              <w:left w:val="single" w:sz="4" w:space="0" w:color="A6A6A6"/>
              <w:bottom w:val="single" w:sz="4" w:space="0" w:color="A6A6A6"/>
              <w:right w:val="single" w:sz="4" w:space="0" w:color="A6A6A6"/>
            </w:tcBorders>
            <w:shd w:val="clear" w:color="000000" w:fill="002060"/>
            <w:vAlign w:val="center"/>
            <w:hideMark/>
          </w:tcPr>
          <w:p w14:paraId="5C7C601C" w14:textId="77777777" w:rsidR="00A03751" w:rsidRPr="00C9549D" w:rsidRDefault="00A03751" w:rsidP="00561284">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1984" w:type="dxa"/>
            <w:tcBorders>
              <w:top w:val="nil"/>
              <w:left w:val="nil"/>
              <w:bottom w:val="single" w:sz="4" w:space="0" w:color="A6A6A6"/>
              <w:right w:val="single" w:sz="4" w:space="0" w:color="A6A6A6"/>
            </w:tcBorders>
            <w:shd w:val="clear" w:color="000000" w:fill="002060"/>
            <w:vAlign w:val="center"/>
            <w:hideMark/>
          </w:tcPr>
          <w:p w14:paraId="2A7FFD65" w14:textId="0A7B147A" w:rsidR="00A03751" w:rsidRPr="00C9549D" w:rsidRDefault="00A03751" w:rsidP="00561284">
            <w:pPr>
              <w:spacing w:line="240" w:lineRule="auto"/>
              <w:jc w:val="center"/>
              <w:rPr>
                <w:rFonts w:eastAsia="Times New Roman"/>
                <w:color w:val="FFFFFF"/>
                <w:sz w:val="22"/>
                <w:szCs w:val="22"/>
                <w:lang w:eastAsia="hr-HR"/>
              </w:rPr>
            </w:pPr>
            <w:r w:rsidRPr="00C9549D">
              <w:rPr>
                <w:color w:val="FFFFFF"/>
                <w:sz w:val="22"/>
                <w:szCs w:val="22"/>
              </w:rPr>
              <w:t>22</w:t>
            </w:r>
          </w:p>
        </w:tc>
        <w:tc>
          <w:tcPr>
            <w:tcW w:w="1985" w:type="dxa"/>
            <w:tcBorders>
              <w:top w:val="nil"/>
              <w:left w:val="nil"/>
              <w:bottom w:val="single" w:sz="4" w:space="0" w:color="A6A6A6"/>
              <w:right w:val="single" w:sz="4" w:space="0" w:color="A6A6A6"/>
            </w:tcBorders>
            <w:shd w:val="clear" w:color="000000" w:fill="002060"/>
            <w:vAlign w:val="center"/>
            <w:hideMark/>
          </w:tcPr>
          <w:p w14:paraId="3A9008DD" w14:textId="1B94F0F3" w:rsidR="00A03751" w:rsidRPr="00C9549D" w:rsidRDefault="00A03751" w:rsidP="00561284">
            <w:pPr>
              <w:spacing w:line="240" w:lineRule="auto"/>
              <w:jc w:val="center"/>
              <w:rPr>
                <w:rFonts w:eastAsia="Times New Roman"/>
                <w:color w:val="FFFFFF"/>
                <w:sz w:val="22"/>
                <w:szCs w:val="22"/>
                <w:lang w:eastAsia="hr-HR"/>
              </w:rPr>
            </w:pPr>
            <w:r>
              <w:rPr>
                <w:color w:val="FFFFFF"/>
                <w:sz w:val="22"/>
                <w:szCs w:val="22"/>
              </w:rPr>
              <w:t>631</w:t>
            </w:r>
          </w:p>
        </w:tc>
      </w:tr>
    </w:tbl>
    <w:p w14:paraId="0A9D2D73" w14:textId="1D51BFF9" w:rsidR="009B27CD" w:rsidRDefault="00913672" w:rsidP="00913672">
      <w:r>
        <w:rPr>
          <w:noProof/>
          <w:lang w:eastAsia="hr-HR"/>
        </w:rPr>
        <w:lastRenderedPageBreak/>
        <w:drawing>
          <wp:inline distT="0" distB="0" distL="0" distR="0" wp14:anchorId="35739D74" wp14:editId="1708B611">
            <wp:extent cx="2844000" cy="3600000"/>
            <wp:effectExtent l="0" t="0" r="13970" b="635"/>
            <wp:docPr id="206997003" name="Grafikon 1">
              <a:extLst xmlns:a="http://schemas.openxmlformats.org/drawingml/2006/main">
                <a:ext uri="{FF2B5EF4-FFF2-40B4-BE49-F238E27FC236}">
                  <a16:creationId xmlns:a16="http://schemas.microsoft.com/office/drawing/2014/main" id="{62B3E8E3-E3AF-0C2B-B0F3-03D587700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D0C70">
        <w:t xml:space="preserve"> </w:t>
      </w:r>
      <w:r w:rsidR="009D0C70">
        <w:rPr>
          <w:noProof/>
          <w:lang w:eastAsia="hr-HR"/>
        </w:rPr>
        <w:drawing>
          <wp:inline distT="0" distB="0" distL="0" distR="0" wp14:anchorId="036E4BF6" wp14:editId="21EE4183">
            <wp:extent cx="2844000" cy="3600000"/>
            <wp:effectExtent l="0" t="0" r="13970" b="635"/>
            <wp:docPr id="2068940369" name="Grafikon 1">
              <a:extLst xmlns:a="http://schemas.openxmlformats.org/drawingml/2006/main">
                <a:ext uri="{FF2B5EF4-FFF2-40B4-BE49-F238E27FC236}">
                  <a16:creationId xmlns:a16="http://schemas.microsoft.com/office/drawing/2014/main" id="{CE8925DE-9954-57E0-8241-17395E1191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69D345" w14:textId="77777777" w:rsidR="00913672" w:rsidRDefault="00913672"/>
    <w:p w14:paraId="506B0E7B" w14:textId="06FF48EC" w:rsidR="0026731F" w:rsidRPr="007F2F3A" w:rsidRDefault="0026731F" w:rsidP="00F4045F">
      <w:pPr>
        <w:pStyle w:val="Heading3"/>
        <w:numPr>
          <w:ilvl w:val="2"/>
          <w:numId w:val="11"/>
        </w:numPr>
        <w:rPr>
          <w:b/>
          <w:bCs w:val="0"/>
          <w:i w:val="0"/>
          <w:iCs w:val="0"/>
        </w:rPr>
      </w:pPr>
      <w:bookmarkStart w:id="12" w:name="_Toc161040566"/>
      <w:r w:rsidRPr="007F2F3A">
        <w:rPr>
          <w:b/>
          <w:bCs w:val="0"/>
          <w:i w:val="0"/>
          <w:iCs w:val="0"/>
        </w:rPr>
        <w:t>U</w:t>
      </w:r>
      <w:r w:rsidR="00D2454D" w:rsidRPr="007F2F3A">
        <w:rPr>
          <w:b/>
          <w:bCs w:val="0"/>
          <w:i w:val="0"/>
          <w:iCs w:val="0"/>
        </w:rPr>
        <w:t>klanjanje i gradnja obiteljskih kuća</w:t>
      </w:r>
      <w:bookmarkEnd w:id="12"/>
      <w:r w:rsidR="00D2454D" w:rsidRPr="007F2F3A">
        <w:rPr>
          <w:b/>
          <w:bCs w:val="0"/>
          <w:i w:val="0"/>
          <w:iCs w:val="0"/>
        </w:rPr>
        <w:t xml:space="preserve"> </w:t>
      </w:r>
    </w:p>
    <w:p w14:paraId="36176F9B" w14:textId="3637B319" w:rsidR="0026731F" w:rsidRPr="0026731F" w:rsidRDefault="0026731F" w:rsidP="0026731F">
      <w:r w:rsidRPr="0026731F">
        <w:t>Na temelju Zakona o obnovi uklanjaju se zgrade, uključujući i pomoćne zgrade, koje su izgubile svoju mehaničku otpornost i/ili stabilnost u toj mjeri da su urušene i</w:t>
      </w:r>
      <w:r w:rsidR="000F26D5">
        <w:t>li</w:t>
      </w:r>
      <w:r w:rsidRPr="0026731F">
        <w:t xml:space="preserve"> da njihova obnova nije moguća. Uklanjanje</w:t>
      </w:r>
      <w:r w:rsidR="000F26D5">
        <w:t xml:space="preserve"> se </w:t>
      </w:r>
      <w:r w:rsidRPr="0026731F">
        <w:t>provod</w:t>
      </w:r>
      <w:r w:rsidR="000F26D5">
        <w:t xml:space="preserve">i </w:t>
      </w:r>
      <w:r w:rsidRPr="0026731F">
        <w:t xml:space="preserve">temeljem odluke Ministarstva ili </w:t>
      </w:r>
      <w:r w:rsidR="000F26D5">
        <w:t>po nalogu</w:t>
      </w:r>
      <w:r w:rsidR="00594CB4">
        <w:t xml:space="preserve"> građe</w:t>
      </w:r>
      <w:r w:rsidR="00903A0A">
        <w:t>vinske inspekcije Državnog inspektorata</w:t>
      </w:r>
      <w:r w:rsidR="000F26D5">
        <w:t xml:space="preserve"> (</w:t>
      </w:r>
      <w:r w:rsidR="006718C8" w:rsidRPr="0026731F">
        <w:t xml:space="preserve">u daljnjem tekstu: </w:t>
      </w:r>
      <w:r w:rsidR="000F26D5">
        <w:t>DIRH)</w:t>
      </w:r>
      <w:r w:rsidR="00903A0A">
        <w:t xml:space="preserve"> na temelj</w:t>
      </w:r>
      <w:r w:rsidR="00632FDF">
        <w:t>u članka 113.a Zakona o D</w:t>
      </w:r>
      <w:r w:rsidR="00903A0A">
        <w:t>ržavnom inspektoratu</w:t>
      </w:r>
      <w:r w:rsidR="00AC7FE1">
        <w:t xml:space="preserve"> („Narodne novine“,</w:t>
      </w:r>
      <w:r w:rsidR="00632FDF">
        <w:t xml:space="preserve"> br.</w:t>
      </w:r>
      <w:r w:rsidR="00CD51F4">
        <w:t xml:space="preserve"> </w:t>
      </w:r>
      <w:r w:rsidR="00632FDF">
        <w:t xml:space="preserve">115/18., </w:t>
      </w:r>
      <w:r w:rsidR="00CD51F4">
        <w:t>117</w:t>
      </w:r>
      <w:r w:rsidR="00FF660B">
        <w:t>/21</w:t>
      </w:r>
      <w:r w:rsidR="00AC7FE1">
        <w:t>.</w:t>
      </w:r>
      <w:r w:rsidR="00632FDF">
        <w:t xml:space="preserve"> i 67/23.</w:t>
      </w:r>
      <w:r w:rsidR="00FF660B">
        <w:t xml:space="preserve">), </w:t>
      </w:r>
      <w:r w:rsidRPr="0026731F">
        <w:t>u slučaju u kojem se radi o zgradi čiji ostaci neposredno prijete sigurnosti i zdravlju ljudi. Prije novele Zakona o obnovi iz listopada 2021. godine hitna uklanjanja provodio je Stožer civilne zaštite Republike Hrvatske (u daljnjem tekstu: Stožer civilne zaštite)</w:t>
      </w:r>
      <w:r w:rsidR="00FF660B">
        <w:t xml:space="preserve"> i </w:t>
      </w:r>
      <w:r w:rsidR="006718C8">
        <w:t>DIRH na temelju odluka Stožera civilne zaštite.</w:t>
      </w:r>
    </w:p>
    <w:p w14:paraId="6B0D3801" w14:textId="77777777" w:rsidR="0026731F" w:rsidRDefault="0026731F" w:rsidP="0026731F"/>
    <w:p w14:paraId="752A5E1E" w14:textId="31A0584F" w:rsidR="0026731F" w:rsidRDefault="0026731F" w:rsidP="0026731F">
      <w:r w:rsidRPr="00787987">
        <w:t xml:space="preserve">Od početka provedbe obnove do </w:t>
      </w:r>
      <w:r w:rsidR="008B7703" w:rsidRPr="00787987">
        <w:t>3</w:t>
      </w:r>
      <w:r w:rsidR="009276C5" w:rsidRPr="00787987">
        <w:t>1</w:t>
      </w:r>
      <w:r w:rsidR="008B7703" w:rsidRPr="00787987">
        <w:t xml:space="preserve">. </w:t>
      </w:r>
      <w:r w:rsidR="009276C5" w:rsidRPr="00787987">
        <w:t xml:space="preserve">prosinca </w:t>
      </w:r>
      <w:r w:rsidR="008B7703" w:rsidRPr="00787987">
        <w:t>2023.</w:t>
      </w:r>
      <w:r w:rsidRPr="00787987">
        <w:t xml:space="preserve"> izvršeno je ukupno 1.</w:t>
      </w:r>
      <w:r w:rsidR="001A03AC" w:rsidRPr="00787987">
        <w:t>367</w:t>
      </w:r>
      <w:r w:rsidR="00632FDF" w:rsidRPr="00787987">
        <w:t xml:space="preserve"> </w:t>
      </w:r>
      <w:r w:rsidRPr="00787987">
        <w:t xml:space="preserve"> uklanjanja, od čega </w:t>
      </w:r>
      <w:r w:rsidR="001A03AC" w:rsidRPr="00787987">
        <w:t>je</w:t>
      </w:r>
      <w:r w:rsidRPr="00787987">
        <w:t xml:space="preserve"> </w:t>
      </w:r>
      <w:r w:rsidR="001A03AC" w:rsidRPr="00787987">
        <w:t>410</w:t>
      </w:r>
      <w:r w:rsidRPr="00787987">
        <w:t xml:space="preserve"> uklanjanja izvršen</w:t>
      </w:r>
      <w:r w:rsidR="001A03AC" w:rsidRPr="00787987">
        <w:t>o</w:t>
      </w:r>
      <w:r w:rsidRPr="00787987">
        <w:t xml:space="preserve"> tijekom izvještajnog razdoblja. Od ukupnog broja</w:t>
      </w:r>
      <w:r w:rsidR="00BD6723" w:rsidRPr="00787987">
        <w:t>,</w:t>
      </w:r>
      <w:r w:rsidRPr="00787987">
        <w:t xml:space="preserve"> </w:t>
      </w:r>
      <w:r w:rsidR="001A03AC" w:rsidRPr="00787987">
        <w:t>1.018</w:t>
      </w:r>
      <w:r w:rsidR="00632FDF" w:rsidRPr="00787987">
        <w:t xml:space="preserve"> </w:t>
      </w:r>
      <w:r w:rsidRPr="00787987">
        <w:t>uklanjanja izvrši</w:t>
      </w:r>
      <w:r w:rsidR="003C5AFE" w:rsidRPr="00787987">
        <w:t xml:space="preserve">li su Stožer civilne zaštite </w:t>
      </w:r>
      <w:r w:rsidRPr="00787987">
        <w:t xml:space="preserve">i DIRH, a </w:t>
      </w:r>
      <w:r w:rsidR="001A03AC" w:rsidRPr="00787987">
        <w:t>349</w:t>
      </w:r>
      <w:r w:rsidRPr="00787987">
        <w:t xml:space="preserve"> uklanjanja </w:t>
      </w:r>
      <w:r w:rsidR="00E60BA6" w:rsidRPr="00787987">
        <w:t>provedben</w:t>
      </w:r>
      <w:r w:rsidR="00D01857" w:rsidRPr="00787987">
        <w:t>a</w:t>
      </w:r>
      <w:r w:rsidR="00E60BA6" w:rsidRPr="00787987">
        <w:t xml:space="preserve"> tijela</w:t>
      </w:r>
      <w:r w:rsidRPr="00787987">
        <w:t>. Tijekom izvještajnog razdoblja uklonjen</w:t>
      </w:r>
      <w:r w:rsidR="000C6483" w:rsidRPr="00787987">
        <w:t>o</w:t>
      </w:r>
      <w:r w:rsidRPr="00787987">
        <w:t xml:space="preserve"> </w:t>
      </w:r>
      <w:r w:rsidR="000C6483" w:rsidRPr="00787987">
        <w:t>je</w:t>
      </w:r>
      <w:r w:rsidRPr="00787987">
        <w:t xml:space="preserve"> </w:t>
      </w:r>
      <w:r w:rsidR="00194658" w:rsidRPr="00787987">
        <w:t>410</w:t>
      </w:r>
      <w:r w:rsidRPr="00787987">
        <w:t xml:space="preserve"> zgrad</w:t>
      </w:r>
      <w:r w:rsidR="00194658" w:rsidRPr="00787987">
        <w:t>a</w:t>
      </w:r>
      <w:r w:rsidRPr="00787987">
        <w:t xml:space="preserve"> što je </w:t>
      </w:r>
      <w:r w:rsidR="00787987" w:rsidRPr="00787987">
        <w:t>10</w:t>
      </w:r>
      <w:r w:rsidR="008B3B64" w:rsidRPr="00787987">
        <w:t xml:space="preserve"> %</w:t>
      </w:r>
      <w:r w:rsidRPr="00787987">
        <w:t xml:space="preserve"> </w:t>
      </w:r>
      <w:r w:rsidR="00787987" w:rsidRPr="00787987">
        <w:t>više od</w:t>
      </w:r>
      <w:r w:rsidRPr="00787987">
        <w:t xml:space="preserve"> ukupnog </w:t>
      </w:r>
      <w:r w:rsidR="00EF56BA" w:rsidRPr="00787987">
        <w:t>broja uklonjenih zgrada</w:t>
      </w:r>
      <w:r w:rsidRPr="00787987">
        <w:t xml:space="preserve"> u 2022. godini </w:t>
      </w:r>
      <w:r w:rsidR="00E41F9B" w:rsidRPr="00787987">
        <w:t>(372)</w:t>
      </w:r>
      <w:r w:rsidRPr="00787987">
        <w:t>.</w:t>
      </w:r>
    </w:p>
    <w:p w14:paraId="6C337CF6" w14:textId="77777777" w:rsidR="00F45961" w:rsidRPr="0026731F" w:rsidRDefault="00F45961" w:rsidP="0026731F"/>
    <w:p w14:paraId="71BE9EE1" w14:textId="413179E7" w:rsidR="0026731F" w:rsidRPr="002B0278" w:rsidRDefault="0026731F" w:rsidP="002B0278">
      <w:pPr>
        <w:spacing w:before="60" w:after="60"/>
        <w:rPr>
          <w:i/>
          <w:iCs/>
        </w:rPr>
      </w:pPr>
      <w:r w:rsidRPr="00787987">
        <w:rPr>
          <w:i/>
        </w:rPr>
        <w:t xml:space="preserve">Pregled uklanjanja </w:t>
      </w:r>
      <w:r w:rsidR="00F1584C" w:rsidRPr="00787987">
        <w:rPr>
          <w:i/>
        </w:rPr>
        <w:t>zgrada</w:t>
      </w:r>
      <w:r w:rsidRPr="00787987">
        <w:rPr>
          <w:i/>
        </w:rPr>
        <w:t xml:space="preserve"> po tijelima</w:t>
      </w:r>
    </w:p>
    <w:tbl>
      <w:tblPr>
        <w:tblW w:w="9067" w:type="dxa"/>
        <w:tblLook w:val="04A0" w:firstRow="1" w:lastRow="0" w:firstColumn="1" w:lastColumn="0" w:noHBand="0" w:noVBand="1"/>
      </w:tblPr>
      <w:tblGrid>
        <w:gridCol w:w="2689"/>
        <w:gridCol w:w="2126"/>
        <w:gridCol w:w="2126"/>
        <w:gridCol w:w="2126"/>
      </w:tblGrid>
      <w:tr w:rsidR="0026731F" w:rsidRPr="00302C72" w14:paraId="67F4BD75" w14:textId="77777777" w:rsidTr="00861662">
        <w:trPr>
          <w:trHeight w:val="600"/>
        </w:trPr>
        <w:tc>
          <w:tcPr>
            <w:tcW w:w="2689"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38E2085D" w14:textId="77777777" w:rsidR="0026731F" w:rsidRPr="000A132C" w:rsidRDefault="0026731F" w:rsidP="0026731F">
            <w:pPr>
              <w:spacing w:line="240" w:lineRule="auto"/>
              <w:jc w:val="center"/>
              <w:rPr>
                <w:rFonts w:eastAsia="Times New Roman"/>
                <w:color w:val="FFFFFF"/>
                <w:lang w:eastAsia="hr-HR"/>
              </w:rPr>
            </w:pPr>
            <w:r w:rsidRPr="000A132C">
              <w:rPr>
                <w:rFonts w:eastAsia="Times New Roman"/>
                <w:color w:val="FFFFFF"/>
                <w:lang w:eastAsia="hr-HR"/>
              </w:rPr>
              <w:t>OPIS</w:t>
            </w:r>
          </w:p>
        </w:tc>
        <w:tc>
          <w:tcPr>
            <w:tcW w:w="2126" w:type="dxa"/>
            <w:tcBorders>
              <w:top w:val="single" w:sz="4" w:space="0" w:color="A6A6A6"/>
              <w:left w:val="nil"/>
              <w:bottom w:val="single" w:sz="4" w:space="0" w:color="A6A6A6"/>
              <w:right w:val="single" w:sz="4" w:space="0" w:color="A6A6A6"/>
            </w:tcBorders>
            <w:shd w:val="clear" w:color="000000" w:fill="002060"/>
            <w:vAlign w:val="center"/>
            <w:hideMark/>
          </w:tcPr>
          <w:p w14:paraId="52679D8B" w14:textId="418F6A31" w:rsidR="0026731F" w:rsidRPr="000A132C" w:rsidRDefault="0026731F" w:rsidP="0026731F">
            <w:pPr>
              <w:spacing w:line="240" w:lineRule="auto"/>
              <w:jc w:val="center"/>
              <w:rPr>
                <w:color w:val="FFFFFF"/>
                <w:lang w:eastAsia="hr-HR"/>
              </w:rPr>
            </w:pPr>
            <w:r w:rsidRPr="000A132C">
              <w:rPr>
                <w:color w:val="FFFFFF"/>
              </w:rPr>
              <w:t>Stanje na</w:t>
            </w:r>
            <w:r w:rsidRPr="000A132C">
              <w:rPr>
                <w:color w:val="FFFFFF"/>
              </w:rPr>
              <w:br/>
              <w:t>31.</w:t>
            </w:r>
            <w:r w:rsidR="00302C72">
              <w:rPr>
                <w:color w:val="FFFFFF"/>
              </w:rPr>
              <w:t xml:space="preserve"> </w:t>
            </w:r>
            <w:r w:rsidR="00051E36" w:rsidRPr="000A132C">
              <w:rPr>
                <w:color w:val="FFFFFF"/>
              </w:rPr>
              <w:t xml:space="preserve">prosinca </w:t>
            </w:r>
            <w:r w:rsidRPr="000A132C">
              <w:rPr>
                <w:color w:val="FFFFFF"/>
              </w:rPr>
              <w:t>2022.</w:t>
            </w:r>
          </w:p>
        </w:tc>
        <w:tc>
          <w:tcPr>
            <w:tcW w:w="2126" w:type="dxa"/>
            <w:tcBorders>
              <w:top w:val="single" w:sz="4" w:space="0" w:color="A6A6A6"/>
              <w:left w:val="nil"/>
              <w:bottom w:val="single" w:sz="4" w:space="0" w:color="A6A6A6"/>
              <w:right w:val="single" w:sz="4" w:space="0" w:color="A6A6A6"/>
            </w:tcBorders>
            <w:shd w:val="clear" w:color="000000" w:fill="002060"/>
            <w:vAlign w:val="center"/>
            <w:hideMark/>
          </w:tcPr>
          <w:p w14:paraId="6C13BB74" w14:textId="2B024ABC" w:rsidR="0026731F" w:rsidRPr="000A132C" w:rsidRDefault="00B14790" w:rsidP="0026731F">
            <w:pPr>
              <w:spacing w:line="240" w:lineRule="auto"/>
              <w:jc w:val="center"/>
              <w:rPr>
                <w:rFonts w:eastAsia="Times New Roman"/>
                <w:color w:val="FFFFFF"/>
                <w:lang w:eastAsia="hr-HR"/>
              </w:rPr>
            </w:pPr>
            <w:r w:rsidRPr="000A132C">
              <w:rPr>
                <w:rFonts w:eastAsia="Times New Roman"/>
                <w:color w:val="FFFFFF"/>
                <w:lang w:eastAsia="hr-HR"/>
              </w:rPr>
              <w:t>Realizacija tijekom 2023. godine</w:t>
            </w:r>
          </w:p>
        </w:tc>
        <w:tc>
          <w:tcPr>
            <w:tcW w:w="2126" w:type="dxa"/>
            <w:tcBorders>
              <w:top w:val="single" w:sz="4" w:space="0" w:color="A6A6A6"/>
              <w:left w:val="nil"/>
              <w:bottom w:val="single" w:sz="4" w:space="0" w:color="A6A6A6"/>
              <w:right w:val="single" w:sz="4" w:space="0" w:color="A6A6A6"/>
            </w:tcBorders>
            <w:shd w:val="clear" w:color="000000" w:fill="002060"/>
            <w:vAlign w:val="center"/>
            <w:hideMark/>
          </w:tcPr>
          <w:p w14:paraId="4C0B48CD" w14:textId="11F9C573" w:rsidR="0026731F" w:rsidRPr="000A132C" w:rsidRDefault="00B14790" w:rsidP="0026731F">
            <w:pPr>
              <w:spacing w:line="240" w:lineRule="auto"/>
              <w:jc w:val="center"/>
              <w:rPr>
                <w:rFonts w:eastAsia="Times New Roman"/>
                <w:color w:val="FFFFFF"/>
                <w:lang w:eastAsia="hr-HR"/>
              </w:rPr>
            </w:pPr>
            <w:r w:rsidRPr="000A132C">
              <w:rPr>
                <w:color w:val="FFFFFF"/>
              </w:rPr>
              <w:t>Stanje na</w:t>
            </w:r>
            <w:r w:rsidRPr="000A132C">
              <w:rPr>
                <w:color w:val="FFFFFF"/>
              </w:rPr>
              <w:br/>
              <w:t>31.</w:t>
            </w:r>
            <w:r w:rsidR="00302C72">
              <w:rPr>
                <w:color w:val="FFFFFF"/>
              </w:rPr>
              <w:t xml:space="preserve"> </w:t>
            </w:r>
            <w:r w:rsidRPr="000A132C">
              <w:rPr>
                <w:color w:val="FFFFFF"/>
              </w:rPr>
              <w:t>prosinca 2023.</w:t>
            </w:r>
          </w:p>
        </w:tc>
      </w:tr>
      <w:tr w:rsidR="00BD6723" w:rsidRPr="00302C72" w14:paraId="26E62B24" w14:textId="77777777" w:rsidTr="000A132C">
        <w:trPr>
          <w:trHeight w:val="340"/>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33151B4E" w14:textId="77777777" w:rsidR="00BD6723" w:rsidRPr="000A132C" w:rsidRDefault="00BD6723" w:rsidP="00BD6723">
            <w:pPr>
              <w:spacing w:line="240" w:lineRule="auto"/>
              <w:ind w:firstLineChars="100" w:firstLine="240"/>
              <w:jc w:val="left"/>
              <w:rPr>
                <w:color w:val="000000"/>
                <w:lang w:eastAsia="hr-HR"/>
              </w:rPr>
            </w:pPr>
            <w:r w:rsidRPr="000A132C">
              <w:rPr>
                <w:color w:val="000000"/>
              </w:rPr>
              <w:t>Ministarstvo</w:t>
            </w:r>
          </w:p>
        </w:tc>
        <w:tc>
          <w:tcPr>
            <w:tcW w:w="2126" w:type="dxa"/>
            <w:tcBorders>
              <w:top w:val="nil"/>
              <w:left w:val="nil"/>
              <w:bottom w:val="single" w:sz="4" w:space="0" w:color="A6A6A6"/>
              <w:right w:val="single" w:sz="4" w:space="0" w:color="A6A6A6"/>
            </w:tcBorders>
            <w:shd w:val="clear" w:color="000000" w:fill="FFFFFF"/>
            <w:vAlign w:val="center"/>
            <w:hideMark/>
          </w:tcPr>
          <w:p w14:paraId="4BC54518" w14:textId="6E7175D7" w:rsidR="00BD6723" w:rsidRPr="000A132C" w:rsidRDefault="00BD6723" w:rsidP="00BD6723">
            <w:pPr>
              <w:spacing w:line="240" w:lineRule="auto"/>
              <w:jc w:val="center"/>
              <w:rPr>
                <w:rFonts w:eastAsia="Times New Roman"/>
                <w:color w:val="000000"/>
                <w:lang w:eastAsia="hr-HR"/>
              </w:rPr>
            </w:pPr>
            <w:r>
              <w:rPr>
                <w:color w:val="000000"/>
                <w:sz w:val="22"/>
                <w:szCs w:val="22"/>
              </w:rPr>
              <w:t>148</w:t>
            </w:r>
          </w:p>
        </w:tc>
        <w:tc>
          <w:tcPr>
            <w:tcW w:w="2126" w:type="dxa"/>
            <w:tcBorders>
              <w:top w:val="nil"/>
              <w:left w:val="nil"/>
              <w:bottom w:val="single" w:sz="4" w:space="0" w:color="A6A6A6"/>
              <w:right w:val="single" w:sz="4" w:space="0" w:color="A6A6A6"/>
            </w:tcBorders>
            <w:shd w:val="clear" w:color="000000" w:fill="FFFFFF"/>
            <w:vAlign w:val="center"/>
          </w:tcPr>
          <w:p w14:paraId="69F887AD" w14:textId="11C29BDD" w:rsidR="00BD6723" w:rsidRPr="000A132C" w:rsidRDefault="003E6632" w:rsidP="00BD6723">
            <w:pPr>
              <w:spacing w:line="240" w:lineRule="auto"/>
              <w:jc w:val="center"/>
              <w:rPr>
                <w:rFonts w:eastAsia="Times New Roman"/>
                <w:color w:val="000000"/>
                <w:lang w:eastAsia="hr-HR"/>
              </w:rPr>
            </w:pPr>
            <w:r>
              <w:rPr>
                <w:color w:val="000000"/>
                <w:sz w:val="22"/>
                <w:szCs w:val="22"/>
              </w:rPr>
              <w:t>201</w:t>
            </w:r>
          </w:p>
        </w:tc>
        <w:tc>
          <w:tcPr>
            <w:tcW w:w="2126" w:type="dxa"/>
            <w:tcBorders>
              <w:top w:val="nil"/>
              <w:left w:val="nil"/>
              <w:bottom w:val="single" w:sz="4" w:space="0" w:color="A6A6A6"/>
              <w:right w:val="single" w:sz="4" w:space="0" w:color="A6A6A6"/>
            </w:tcBorders>
            <w:shd w:val="clear" w:color="000000" w:fill="FFFFFF"/>
            <w:vAlign w:val="center"/>
          </w:tcPr>
          <w:p w14:paraId="7E79EF81" w14:textId="71E23058" w:rsidR="00BD6723" w:rsidRPr="000A132C" w:rsidRDefault="003E6632" w:rsidP="00BD6723">
            <w:pPr>
              <w:spacing w:line="240" w:lineRule="auto"/>
              <w:jc w:val="center"/>
              <w:rPr>
                <w:rFonts w:eastAsia="Times New Roman"/>
                <w:color w:val="000000"/>
                <w:lang w:eastAsia="hr-HR"/>
              </w:rPr>
            </w:pPr>
            <w:r>
              <w:rPr>
                <w:color w:val="000000"/>
                <w:sz w:val="22"/>
                <w:szCs w:val="22"/>
              </w:rPr>
              <w:t>349</w:t>
            </w:r>
          </w:p>
        </w:tc>
      </w:tr>
      <w:tr w:rsidR="00BD6723" w:rsidRPr="00302C72" w14:paraId="0ACA3FE9" w14:textId="77777777" w:rsidTr="000A132C">
        <w:trPr>
          <w:trHeight w:val="340"/>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6711C08B" w14:textId="345A7F6C" w:rsidR="00BD6723" w:rsidRPr="000A132C" w:rsidRDefault="00BD6723" w:rsidP="00BD6723">
            <w:pPr>
              <w:spacing w:line="240" w:lineRule="auto"/>
              <w:ind w:firstLineChars="100" w:firstLine="240"/>
              <w:jc w:val="left"/>
              <w:rPr>
                <w:rFonts w:eastAsia="Times New Roman"/>
                <w:color w:val="000000"/>
                <w:lang w:eastAsia="hr-HR"/>
              </w:rPr>
            </w:pPr>
            <w:r w:rsidRPr="000A132C">
              <w:rPr>
                <w:rFonts w:eastAsia="Times New Roman"/>
                <w:color w:val="000000"/>
                <w:lang w:eastAsia="hr-HR"/>
              </w:rPr>
              <w:t>Stožer</w:t>
            </w:r>
            <w:r w:rsidR="00594CB4" w:rsidRPr="000A132C">
              <w:rPr>
                <w:rFonts w:eastAsia="Times New Roman"/>
                <w:color w:val="000000"/>
                <w:lang w:eastAsia="hr-HR"/>
              </w:rPr>
              <w:t xml:space="preserve"> civilne zaštite</w:t>
            </w:r>
          </w:p>
        </w:tc>
        <w:tc>
          <w:tcPr>
            <w:tcW w:w="2126" w:type="dxa"/>
            <w:tcBorders>
              <w:top w:val="nil"/>
              <w:left w:val="nil"/>
              <w:bottom w:val="single" w:sz="4" w:space="0" w:color="A6A6A6"/>
              <w:right w:val="single" w:sz="4" w:space="0" w:color="A6A6A6"/>
            </w:tcBorders>
            <w:shd w:val="clear" w:color="000000" w:fill="FFFFFF"/>
            <w:vAlign w:val="center"/>
            <w:hideMark/>
          </w:tcPr>
          <w:p w14:paraId="2F1484BD" w14:textId="0C434664" w:rsidR="00BD6723" w:rsidRPr="000A132C" w:rsidRDefault="00BD6723" w:rsidP="00BD6723">
            <w:pPr>
              <w:spacing w:line="240" w:lineRule="auto"/>
              <w:jc w:val="center"/>
              <w:rPr>
                <w:rFonts w:eastAsia="Times New Roman"/>
                <w:color w:val="000000"/>
                <w:lang w:eastAsia="hr-HR"/>
              </w:rPr>
            </w:pPr>
            <w:r>
              <w:rPr>
                <w:color w:val="000000"/>
                <w:sz w:val="22"/>
                <w:szCs w:val="22"/>
              </w:rPr>
              <w:t>471</w:t>
            </w:r>
          </w:p>
        </w:tc>
        <w:tc>
          <w:tcPr>
            <w:tcW w:w="2126" w:type="dxa"/>
            <w:tcBorders>
              <w:top w:val="nil"/>
              <w:left w:val="nil"/>
              <w:bottom w:val="single" w:sz="4" w:space="0" w:color="A6A6A6"/>
              <w:right w:val="single" w:sz="4" w:space="0" w:color="A6A6A6"/>
            </w:tcBorders>
            <w:shd w:val="clear" w:color="000000" w:fill="FFFFFF"/>
            <w:vAlign w:val="center"/>
          </w:tcPr>
          <w:p w14:paraId="4135243F" w14:textId="0BF02154" w:rsidR="00BD6723" w:rsidRPr="000A132C" w:rsidRDefault="003E6632" w:rsidP="00BD6723">
            <w:pPr>
              <w:spacing w:line="240" w:lineRule="auto"/>
              <w:jc w:val="center"/>
              <w:rPr>
                <w:rFonts w:eastAsia="Times New Roman"/>
                <w:color w:val="000000"/>
                <w:lang w:eastAsia="hr-HR"/>
              </w:rPr>
            </w:pPr>
            <w:r>
              <w:rPr>
                <w:color w:val="000000"/>
                <w:sz w:val="22"/>
                <w:szCs w:val="22"/>
              </w:rPr>
              <w:t>0</w:t>
            </w:r>
          </w:p>
        </w:tc>
        <w:tc>
          <w:tcPr>
            <w:tcW w:w="2126" w:type="dxa"/>
            <w:tcBorders>
              <w:top w:val="nil"/>
              <w:left w:val="nil"/>
              <w:bottom w:val="single" w:sz="4" w:space="0" w:color="A6A6A6"/>
              <w:right w:val="single" w:sz="4" w:space="0" w:color="A6A6A6"/>
            </w:tcBorders>
            <w:shd w:val="clear" w:color="000000" w:fill="FFFFFF"/>
            <w:vAlign w:val="center"/>
          </w:tcPr>
          <w:p w14:paraId="2EBC59B5" w14:textId="163B536F" w:rsidR="00BD6723" w:rsidRPr="000A132C" w:rsidRDefault="003E6632" w:rsidP="00BD6723">
            <w:pPr>
              <w:spacing w:line="240" w:lineRule="auto"/>
              <w:jc w:val="center"/>
              <w:rPr>
                <w:rFonts w:eastAsia="Times New Roman"/>
                <w:color w:val="000000"/>
                <w:lang w:eastAsia="hr-HR"/>
              </w:rPr>
            </w:pPr>
            <w:r>
              <w:rPr>
                <w:color w:val="000000"/>
                <w:sz w:val="22"/>
                <w:szCs w:val="22"/>
              </w:rPr>
              <w:t>471</w:t>
            </w:r>
          </w:p>
        </w:tc>
      </w:tr>
      <w:tr w:rsidR="00BD6723" w:rsidRPr="00302C72" w14:paraId="01631E24" w14:textId="77777777" w:rsidTr="000A132C">
        <w:trPr>
          <w:trHeight w:val="340"/>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0C02883E" w14:textId="77777777" w:rsidR="00BD6723" w:rsidRPr="000A132C" w:rsidRDefault="00BD6723" w:rsidP="00BD6723">
            <w:pPr>
              <w:spacing w:line="240" w:lineRule="auto"/>
              <w:ind w:firstLineChars="100" w:firstLine="240"/>
              <w:jc w:val="left"/>
              <w:rPr>
                <w:rFonts w:eastAsia="Times New Roman"/>
                <w:color w:val="000000"/>
                <w:lang w:eastAsia="hr-HR"/>
              </w:rPr>
            </w:pPr>
            <w:r w:rsidRPr="000A132C">
              <w:rPr>
                <w:rFonts w:eastAsia="Times New Roman"/>
                <w:color w:val="000000"/>
                <w:lang w:eastAsia="hr-HR"/>
              </w:rPr>
              <w:t>Državni inspektorat</w:t>
            </w:r>
          </w:p>
        </w:tc>
        <w:tc>
          <w:tcPr>
            <w:tcW w:w="2126" w:type="dxa"/>
            <w:tcBorders>
              <w:top w:val="nil"/>
              <w:left w:val="nil"/>
              <w:bottom w:val="single" w:sz="4" w:space="0" w:color="A6A6A6"/>
              <w:right w:val="single" w:sz="4" w:space="0" w:color="A6A6A6"/>
            </w:tcBorders>
            <w:shd w:val="clear" w:color="000000" w:fill="FFFFFF"/>
            <w:vAlign w:val="center"/>
            <w:hideMark/>
          </w:tcPr>
          <w:p w14:paraId="583167A5" w14:textId="7CF37A26" w:rsidR="00BD6723" w:rsidRPr="000A132C" w:rsidRDefault="00BD6723" w:rsidP="00BD6723">
            <w:pPr>
              <w:spacing w:line="240" w:lineRule="auto"/>
              <w:jc w:val="center"/>
              <w:rPr>
                <w:rFonts w:eastAsia="Times New Roman"/>
                <w:color w:val="000000"/>
                <w:lang w:eastAsia="hr-HR"/>
              </w:rPr>
            </w:pPr>
            <w:r>
              <w:rPr>
                <w:color w:val="000000"/>
                <w:sz w:val="22"/>
                <w:szCs w:val="22"/>
              </w:rPr>
              <w:t>338</w:t>
            </w:r>
          </w:p>
        </w:tc>
        <w:tc>
          <w:tcPr>
            <w:tcW w:w="2126" w:type="dxa"/>
            <w:tcBorders>
              <w:top w:val="nil"/>
              <w:left w:val="nil"/>
              <w:bottom w:val="single" w:sz="4" w:space="0" w:color="A6A6A6"/>
              <w:right w:val="single" w:sz="4" w:space="0" w:color="A6A6A6"/>
            </w:tcBorders>
            <w:shd w:val="clear" w:color="000000" w:fill="FFFFFF"/>
            <w:vAlign w:val="center"/>
          </w:tcPr>
          <w:p w14:paraId="7A621CD3" w14:textId="23A2104C" w:rsidR="00BD6723" w:rsidRPr="000A132C" w:rsidRDefault="003E6632" w:rsidP="00BD6723">
            <w:pPr>
              <w:spacing w:line="240" w:lineRule="auto"/>
              <w:jc w:val="center"/>
              <w:rPr>
                <w:rFonts w:eastAsia="Times New Roman"/>
                <w:color w:val="000000"/>
                <w:lang w:eastAsia="hr-HR"/>
              </w:rPr>
            </w:pPr>
            <w:r>
              <w:rPr>
                <w:color w:val="000000"/>
                <w:sz w:val="22"/>
                <w:szCs w:val="22"/>
              </w:rPr>
              <w:t>209</w:t>
            </w:r>
          </w:p>
        </w:tc>
        <w:tc>
          <w:tcPr>
            <w:tcW w:w="2126" w:type="dxa"/>
            <w:tcBorders>
              <w:top w:val="nil"/>
              <w:left w:val="nil"/>
              <w:bottom w:val="single" w:sz="4" w:space="0" w:color="A6A6A6"/>
              <w:right w:val="single" w:sz="4" w:space="0" w:color="A6A6A6"/>
            </w:tcBorders>
            <w:shd w:val="clear" w:color="000000" w:fill="FFFFFF"/>
            <w:vAlign w:val="center"/>
          </w:tcPr>
          <w:p w14:paraId="20F8BC78" w14:textId="1B57FD44" w:rsidR="00BD6723" w:rsidRPr="000A132C" w:rsidRDefault="003E6632" w:rsidP="00BD6723">
            <w:pPr>
              <w:spacing w:line="240" w:lineRule="auto"/>
              <w:jc w:val="center"/>
              <w:rPr>
                <w:rFonts w:eastAsia="Times New Roman"/>
                <w:color w:val="000000"/>
                <w:lang w:eastAsia="hr-HR"/>
              </w:rPr>
            </w:pPr>
            <w:r>
              <w:rPr>
                <w:color w:val="000000"/>
                <w:sz w:val="22"/>
                <w:szCs w:val="22"/>
              </w:rPr>
              <w:t>547</w:t>
            </w:r>
          </w:p>
        </w:tc>
      </w:tr>
      <w:tr w:rsidR="00BD6723" w:rsidRPr="00302C72" w14:paraId="51A33628" w14:textId="77777777" w:rsidTr="000A132C">
        <w:trPr>
          <w:trHeight w:val="340"/>
        </w:trPr>
        <w:tc>
          <w:tcPr>
            <w:tcW w:w="2689" w:type="dxa"/>
            <w:tcBorders>
              <w:top w:val="nil"/>
              <w:left w:val="single" w:sz="4" w:space="0" w:color="A6A6A6"/>
              <w:bottom w:val="single" w:sz="4" w:space="0" w:color="A6A6A6"/>
              <w:right w:val="single" w:sz="4" w:space="0" w:color="A6A6A6"/>
            </w:tcBorders>
            <w:shd w:val="clear" w:color="000000" w:fill="002060"/>
            <w:noWrap/>
            <w:vAlign w:val="center"/>
            <w:hideMark/>
          </w:tcPr>
          <w:p w14:paraId="5287F6B0" w14:textId="77777777" w:rsidR="00BD6723" w:rsidRPr="000A132C" w:rsidRDefault="00BD6723" w:rsidP="00BD6723">
            <w:pPr>
              <w:spacing w:line="240" w:lineRule="auto"/>
              <w:jc w:val="left"/>
              <w:rPr>
                <w:rFonts w:eastAsia="Times New Roman"/>
                <w:color w:val="FFFFFF"/>
                <w:lang w:eastAsia="hr-HR"/>
              </w:rPr>
            </w:pPr>
            <w:r w:rsidRPr="000A132C">
              <w:rPr>
                <w:rFonts w:eastAsia="Times New Roman"/>
                <w:color w:val="FFFFFF"/>
                <w:lang w:eastAsia="hr-HR"/>
              </w:rPr>
              <w:t>UKUPNO</w:t>
            </w:r>
          </w:p>
        </w:tc>
        <w:tc>
          <w:tcPr>
            <w:tcW w:w="2126" w:type="dxa"/>
            <w:tcBorders>
              <w:top w:val="nil"/>
              <w:left w:val="nil"/>
              <w:bottom w:val="single" w:sz="4" w:space="0" w:color="A6A6A6"/>
              <w:right w:val="single" w:sz="4" w:space="0" w:color="A6A6A6"/>
            </w:tcBorders>
            <w:shd w:val="clear" w:color="000000" w:fill="002060"/>
            <w:vAlign w:val="center"/>
            <w:hideMark/>
          </w:tcPr>
          <w:p w14:paraId="450F8CD7" w14:textId="0C48AAC9" w:rsidR="00BD6723" w:rsidRPr="000A132C" w:rsidRDefault="00BD6723" w:rsidP="00BD6723">
            <w:pPr>
              <w:spacing w:line="240" w:lineRule="auto"/>
              <w:jc w:val="center"/>
              <w:rPr>
                <w:rFonts w:eastAsia="Times New Roman"/>
                <w:color w:val="FFFFFF"/>
                <w:lang w:eastAsia="hr-HR"/>
              </w:rPr>
            </w:pPr>
            <w:r>
              <w:rPr>
                <w:color w:val="FFFFFF"/>
                <w:sz w:val="22"/>
                <w:szCs w:val="22"/>
              </w:rPr>
              <w:t>957</w:t>
            </w:r>
          </w:p>
        </w:tc>
        <w:tc>
          <w:tcPr>
            <w:tcW w:w="2126" w:type="dxa"/>
            <w:tcBorders>
              <w:top w:val="nil"/>
              <w:left w:val="nil"/>
              <w:bottom w:val="single" w:sz="4" w:space="0" w:color="A6A6A6"/>
              <w:right w:val="single" w:sz="4" w:space="0" w:color="A6A6A6"/>
            </w:tcBorders>
            <w:shd w:val="clear" w:color="000000" w:fill="002060"/>
            <w:vAlign w:val="center"/>
          </w:tcPr>
          <w:p w14:paraId="009ADD51" w14:textId="5ACCAB0C" w:rsidR="00BD6723" w:rsidRPr="000A132C" w:rsidRDefault="003E6632" w:rsidP="00BD6723">
            <w:pPr>
              <w:spacing w:line="240" w:lineRule="auto"/>
              <w:jc w:val="center"/>
              <w:rPr>
                <w:rFonts w:eastAsia="Times New Roman"/>
                <w:color w:val="FFFFFF"/>
                <w:lang w:eastAsia="hr-HR"/>
              </w:rPr>
            </w:pPr>
            <w:r>
              <w:rPr>
                <w:color w:val="FFFFFF"/>
                <w:sz w:val="22"/>
                <w:szCs w:val="22"/>
              </w:rPr>
              <w:t>410</w:t>
            </w:r>
          </w:p>
        </w:tc>
        <w:tc>
          <w:tcPr>
            <w:tcW w:w="2126" w:type="dxa"/>
            <w:tcBorders>
              <w:top w:val="nil"/>
              <w:left w:val="nil"/>
              <w:bottom w:val="single" w:sz="4" w:space="0" w:color="A6A6A6"/>
              <w:right w:val="single" w:sz="4" w:space="0" w:color="A6A6A6"/>
            </w:tcBorders>
            <w:shd w:val="clear" w:color="000000" w:fill="002060"/>
            <w:vAlign w:val="center"/>
          </w:tcPr>
          <w:p w14:paraId="50290B4C" w14:textId="78CAD6E1" w:rsidR="00BD6723" w:rsidRPr="000A132C" w:rsidRDefault="003E6632" w:rsidP="00BD6723">
            <w:pPr>
              <w:spacing w:line="240" w:lineRule="auto"/>
              <w:jc w:val="center"/>
              <w:rPr>
                <w:rFonts w:eastAsia="Times New Roman"/>
                <w:color w:val="FFFFFF"/>
                <w:lang w:eastAsia="hr-HR"/>
              </w:rPr>
            </w:pPr>
            <w:r>
              <w:rPr>
                <w:color w:val="FFFFFF"/>
                <w:sz w:val="22"/>
                <w:szCs w:val="22"/>
              </w:rPr>
              <w:t>1.367</w:t>
            </w:r>
          </w:p>
        </w:tc>
      </w:tr>
    </w:tbl>
    <w:p w14:paraId="37EA7629" w14:textId="3BA78357" w:rsidR="00455B7E" w:rsidRDefault="00921E49" w:rsidP="00923D93">
      <w:pPr>
        <w:spacing w:before="60" w:after="60"/>
        <w:rPr>
          <w:bCs/>
        </w:rPr>
      </w:pPr>
      <w:r w:rsidRPr="00921E49">
        <w:rPr>
          <w:bCs/>
        </w:rPr>
        <w:lastRenderedPageBreak/>
        <w:t>Pravo na izgradnju zamjenske obiteljske kuće ostvaruje se za obiteljske kuće koje</w:t>
      </w:r>
      <w:r>
        <w:rPr>
          <w:bCs/>
        </w:rPr>
        <w:t xml:space="preserve"> </w:t>
      </w:r>
      <w:r w:rsidRPr="00921E49">
        <w:rPr>
          <w:bCs/>
        </w:rPr>
        <w:t>s</w:t>
      </w:r>
      <w:r w:rsidR="001C2D9D">
        <w:rPr>
          <w:bCs/>
        </w:rPr>
        <w:t xml:space="preserve">e uklanjaju </w:t>
      </w:r>
      <w:r w:rsidRPr="00921E49">
        <w:rPr>
          <w:bCs/>
        </w:rPr>
        <w:t xml:space="preserve">na temelju Zakona o obnovi, </w:t>
      </w:r>
      <w:r w:rsidR="0039611E">
        <w:rPr>
          <w:bCs/>
        </w:rPr>
        <w:t>od</w:t>
      </w:r>
      <w:r w:rsidRPr="00921E49">
        <w:rPr>
          <w:bCs/>
        </w:rPr>
        <w:t>nosno odlukom Stožera civilne zaštite i rješenjem</w:t>
      </w:r>
      <w:r>
        <w:rPr>
          <w:bCs/>
        </w:rPr>
        <w:t xml:space="preserve"> </w:t>
      </w:r>
      <w:r w:rsidRPr="00921E49">
        <w:rPr>
          <w:bCs/>
        </w:rPr>
        <w:t>D</w:t>
      </w:r>
      <w:r>
        <w:rPr>
          <w:bCs/>
        </w:rPr>
        <w:t>IRH-a</w:t>
      </w:r>
      <w:r w:rsidRPr="00921E49">
        <w:rPr>
          <w:bCs/>
        </w:rPr>
        <w:t>. Rješenje o pravu gradnje donosi Ministarstvo do kvadrature</w:t>
      </w:r>
      <w:r>
        <w:rPr>
          <w:bCs/>
        </w:rPr>
        <w:t xml:space="preserve"> </w:t>
      </w:r>
      <w:r w:rsidRPr="00921E49">
        <w:rPr>
          <w:bCs/>
        </w:rPr>
        <w:t>propisane zakonom (55 m</w:t>
      </w:r>
      <w:r w:rsidRPr="000F0D39">
        <w:rPr>
          <w:bCs/>
          <w:vertAlign w:val="superscript"/>
        </w:rPr>
        <w:t>2</w:t>
      </w:r>
      <w:r w:rsidRPr="00921E49">
        <w:rPr>
          <w:bCs/>
        </w:rPr>
        <w:t>, 70 m</w:t>
      </w:r>
      <w:r w:rsidRPr="000F0D39">
        <w:rPr>
          <w:bCs/>
          <w:vertAlign w:val="superscript"/>
        </w:rPr>
        <w:t>2</w:t>
      </w:r>
      <w:r w:rsidRPr="00921E49">
        <w:rPr>
          <w:bCs/>
        </w:rPr>
        <w:t xml:space="preserve"> ili 85 m</w:t>
      </w:r>
      <w:r w:rsidRPr="000F0D39">
        <w:rPr>
          <w:bCs/>
          <w:vertAlign w:val="superscript"/>
        </w:rPr>
        <w:t>2</w:t>
      </w:r>
      <w:r w:rsidRPr="00921E49">
        <w:rPr>
          <w:bCs/>
        </w:rPr>
        <w:t>), ovisno o broju osoba koje su stanovale</w:t>
      </w:r>
      <w:r>
        <w:rPr>
          <w:bCs/>
        </w:rPr>
        <w:t xml:space="preserve"> </w:t>
      </w:r>
      <w:r w:rsidRPr="00921E49">
        <w:rPr>
          <w:bCs/>
        </w:rPr>
        <w:t xml:space="preserve">u uklonjenoj kući, uključujući i djecu rođenu i posvojenu nakon potresa. </w:t>
      </w:r>
    </w:p>
    <w:p w14:paraId="407A66D2" w14:textId="77777777" w:rsidR="00923D93" w:rsidRDefault="00923D93" w:rsidP="00923D93">
      <w:pPr>
        <w:spacing w:before="60" w:after="60"/>
        <w:rPr>
          <w:bCs/>
        </w:rPr>
      </w:pPr>
    </w:p>
    <w:p w14:paraId="4B909A22" w14:textId="33EC2341" w:rsidR="00455B7E" w:rsidRDefault="00455B7E" w:rsidP="00921E49">
      <w:pPr>
        <w:spacing w:after="120"/>
        <w:rPr>
          <w:bCs/>
        </w:rPr>
      </w:pPr>
      <w:r>
        <w:rPr>
          <w:bCs/>
        </w:rPr>
        <w:t xml:space="preserve">Zamjenska obiteljska kuća gradi se </w:t>
      </w:r>
      <w:r w:rsidR="00A10EDD">
        <w:rPr>
          <w:bCs/>
        </w:rPr>
        <w:t xml:space="preserve">na mjestu uklonjene </w:t>
      </w:r>
      <w:r w:rsidR="0063052E">
        <w:rPr>
          <w:bCs/>
        </w:rPr>
        <w:t>kuće, osim u slučaju klizišta i drugih geolo</w:t>
      </w:r>
      <w:r w:rsidR="006961C0">
        <w:rPr>
          <w:bCs/>
        </w:rPr>
        <w:t xml:space="preserve">ških promjena koje su prouzročile promjenu temeljnih </w:t>
      </w:r>
      <w:r w:rsidR="00463074">
        <w:rPr>
          <w:bCs/>
        </w:rPr>
        <w:t>karakteristika tla.</w:t>
      </w:r>
    </w:p>
    <w:p w14:paraId="2594859A" w14:textId="77777777" w:rsidR="00923D93" w:rsidRDefault="00923D93" w:rsidP="00921E49">
      <w:pPr>
        <w:spacing w:after="120"/>
        <w:rPr>
          <w:bCs/>
        </w:rPr>
      </w:pPr>
    </w:p>
    <w:p w14:paraId="2CC3914A" w14:textId="38C3D35E" w:rsidR="00921E49" w:rsidRDefault="00921E49" w:rsidP="00921E49">
      <w:pPr>
        <w:spacing w:after="120"/>
        <w:rPr>
          <w:bCs/>
        </w:rPr>
      </w:pPr>
      <w:r w:rsidRPr="00921E49">
        <w:rPr>
          <w:bCs/>
        </w:rPr>
        <w:t>Vlasnici/suvlasnici koji ostvaruju pravo na gradnju zamjenske kuće ostvaruju i pravo na</w:t>
      </w:r>
      <w:r>
        <w:rPr>
          <w:bCs/>
        </w:rPr>
        <w:t xml:space="preserve"> </w:t>
      </w:r>
      <w:r w:rsidRPr="00921E49">
        <w:rPr>
          <w:bCs/>
        </w:rPr>
        <w:t xml:space="preserve">novčanu pomoć za opremanje u iznosu od 6.901,59 </w:t>
      </w:r>
      <w:r>
        <w:rPr>
          <w:bCs/>
        </w:rPr>
        <w:t xml:space="preserve">eura </w:t>
      </w:r>
      <w:r w:rsidRPr="00921E49">
        <w:rPr>
          <w:bCs/>
        </w:rPr>
        <w:t xml:space="preserve">do 9.423,32 </w:t>
      </w:r>
      <w:r>
        <w:rPr>
          <w:bCs/>
        </w:rPr>
        <w:t>eura</w:t>
      </w:r>
      <w:r w:rsidRPr="00921E49">
        <w:rPr>
          <w:bCs/>
        </w:rPr>
        <w:t>.</w:t>
      </w:r>
      <w:r>
        <w:rPr>
          <w:bCs/>
        </w:rPr>
        <w:t xml:space="preserve"> </w:t>
      </w:r>
      <w:r w:rsidR="00343FF8" w:rsidRPr="00343FF8">
        <w:rPr>
          <w:bCs/>
        </w:rPr>
        <w:t>Pomoć se može utrošiti na opremanje najnužnijim namještajem, kućanskim aparatima i opremom.</w:t>
      </w:r>
    </w:p>
    <w:p w14:paraId="0C25588D" w14:textId="1E92310C" w:rsidR="009725F7" w:rsidRDefault="002030FB" w:rsidP="00921E49">
      <w:pPr>
        <w:spacing w:after="120"/>
        <w:rPr>
          <w:bCs/>
        </w:rPr>
      </w:pPr>
      <w:r>
        <w:rPr>
          <w:bCs/>
        </w:rPr>
        <w:t xml:space="preserve">Novčana pomoć za gradnju obiteljske kuće može se dobiti: </w:t>
      </w:r>
      <w:r w:rsidRPr="002030FB">
        <w:rPr>
          <w:bCs/>
        </w:rPr>
        <w:t>prije početka gradnje obiteljske kuće na posebno otvoren namjenski račun korisnika</w:t>
      </w:r>
      <w:r>
        <w:rPr>
          <w:bCs/>
        </w:rPr>
        <w:t xml:space="preserve">, </w:t>
      </w:r>
      <w:r w:rsidRPr="002030FB">
        <w:rPr>
          <w:bCs/>
        </w:rPr>
        <w:t>tijekom gradnje (isplaćuje se temeljem računa ispostavljenih po pojedinačno okončanim radovima, odnosno ovjerenim privremenim i okončanim situacijama</w:t>
      </w:r>
      <w:r w:rsidR="009725F7">
        <w:rPr>
          <w:bCs/>
        </w:rPr>
        <w:t xml:space="preserve">) te </w:t>
      </w:r>
      <w:r w:rsidRPr="002030FB">
        <w:rPr>
          <w:bCs/>
        </w:rPr>
        <w:t>nakon završene gradnje (isplaćuje se nakon završetka svih radova)</w:t>
      </w:r>
      <w:r w:rsidR="009725F7">
        <w:rPr>
          <w:bCs/>
        </w:rPr>
        <w:t xml:space="preserve">. </w:t>
      </w:r>
    </w:p>
    <w:p w14:paraId="3B0A7797" w14:textId="6F88C769" w:rsidR="003030D7" w:rsidRDefault="008F2FD7" w:rsidP="00921E49">
      <w:pPr>
        <w:spacing w:after="120"/>
        <w:rPr>
          <w:bCs/>
        </w:rPr>
      </w:pPr>
      <w:r>
        <w:rPr>
          <w:bCs/>
        </w:rPr>
        <w:t xml:space="preserve">U slučaju modela novčane pomoći vlasnik ostvaruje pravo na </w:t>
      </w:r>
      <w:r w:rsidRPr="008F2FD7">
        <w:rPr>
          <w:bCs/>
        </w:rPr>
        <w:t xml:space="preserve">naknadu troška koordinacije samoobnove u iznosu od 3.318,07 </w:t>
      </w:r>
      <w:r>
        <w:rPr>
          <w:bCs/>
        </w:rPr>
        <w:t xml:space="preserve">eura. </w:t>
      </w:r>
    </w:p>
    <w:p w14:paraId="71F1401B" w14:textId="77777777" w:rsidR="004922D5" w:rsidRDefault="004922D5" w:rsidP="0003730A">
      <w:pPr>
        <w:spacing w:before="60" w:after="60"/>
        <w:rPr>
          <w:b/>
          <w:bCs/>
        </w:rPr>
      </w:pPr>
    </w:p>
    <w:p w14:paraId="0C313892" w14:textId="02E6F929" w:rsidR="00311996" w:rsidRPr="0003730A" w:rsidRDefault="00311996" w:rsidP="0003730A">
      <w:pPr>
        <w:spacing w:before="60" w:after="60"/>
        <w:rPr>
          <w:b/>
          <w:bCs/>
        </w:rPr>
      </w:pPr>
      <w:r w:rsidRPr="0003730A">
        <w:rPr>
          <w:b/>
          <w:bCs/>
        </w:rPr>
        <w:t xml:space="preserve">Završeni radovi </w:t>
      </w:r>
      <w:r w:rsidR="00656BF7" w:rsidRPr="0003730A">
        <w:rPr>
          <w:b/>
          <w:bCs/>
        </w:rPr>
        <w:t xml:space="preserve">gradnje obiteljskih kuća </w:t>
      </w:r>
    </w:p>
    <w:p w14:paraId="1F558563" w14:textId="77777777" w:rsidR="003030D7" w:rsidRDefault="003030D7" w:rsidP="00477F44"/>
    <w:p w14:paraId="4C35D6E9" w14:textId="23892626" w:rsidR="002536E7" w:rsidRPr="00C9549D" w:rsidRDefault="005B6F6A" w:rsidP="00477F44">
      <w:r w:rsidRPr="00C9549D">
        <w:t>Na</w:t>
      </w:r>
      <w:r w:rsidR="00C44080">
        <w:t xml:space="preserve"> dan</w:t>
      </w:r>
      <w:r w:rsidRPr="00C9549D">
        <w:t xml:space="preserve"> </w:t>
      </w:r>
      <w:r w:rsidR="008B7703">
        <w:t>31. prosinca 2022.</w:t>
      </w:r>
      <w:r w:rsidRPr="00C9549D">
        <w:t xml:space="preserve"> nije bilo </w:t>
      </w:r>
      <w:r w:rsidR="00A92058" w:rsidRPr="00C9549D">
        <w:t>završenih gradnji zamjenskih obiteljskih kuća, a u izvještajnom razdoblju završeno je</w:t>
      </w:r>
      <w:r w:rsidR="00F32B56" w:rsidRPr="00C9549D">
        <w:t xml:space="preserve"> </w:t>
      </w:r>
      <w:r w:rsidR="007F191D">
        <w:t>207</w:t>
      </w:r>
      <w:r w:rsidR="00E072CA" w:rsidRPr="00C9549D">
        <w:t xml:space="preserve"> gradnji obiteljskih kuća</w:t>
      </w:r>
      <w:r w:rsidR="00A93B18" w:rsidRPr="008D2288">
        <w:t>.</w:t>
      </w:r>
    </w:p>
    <w:p w14:paraId="3B47F4F9" w14:textId="77777777" w:rsidR="00BC2A18" w:rsidRPr="00C9549D" w:rsidRDefault="00BC2A18" w:rsidP="00477F44"/>
    <w:p w14:paraId="71AAB3CC" w14:textId="2C1770AD" w:rsidR="004D272B" w:rsidRPr="00C9549D" w:rsidRDefault="00A81161" w:rsidP="002B0278">
      <w:pPr>
        <w:spacing w:before="60" w:after="60"/>
        <w:rPr>
          <w:i/>
          <w:iCs/>
        </w:rPr>
      </w:pPr>
      <w:r w:rsidRPr="00CA6330">
        <w:rPr>
          <w:i/>
          <w:iCs/>
        </w:rPr>
        <w:t xml:space="preserve">Pregled završenih radova </w:t>
      </w:r>
      <w:r w:rsidR="00F64C1B" w:rsidRPr="00CA6330">
        <w:rPr>
          <w:i/>
          <w:iCs/>
        </w:rPr>
        <w:t xml:space="preserve">- </w:t>
      </w:r>
      <w:r w:rsidRPr="00CA6330">
        <w:rPr>
          <w:i/>
          <w:iCs/>
        </w:rPr>
        <w:t xml:space="preserve">gradnje zamjenskih obiteljskih kuća po </w:t>
      </w:r>
      <w:r w:rsidR="00BC2A18" w:rsidRPr="00CA6330">
        <w:rPr>
          <w:i/>
          <w:iCs/>
        </w:rPr>
        <w:t>lokaciji i vrsti obnove</w:t>
      </w:r>
    </w:p>
    <w:tbl>
      <w:tblPr>
        <w:tblW w:w="8931" w:type="dxa"/>
        <w:tblInd w:w="-5" w:type="dxa"/>
        <w:tblLayout w:type="fixed"/>
        <w:tblLook w:val="04A0" w:firstRow="1" w:lastRow="0" w:firstColumn="1" w:lastColumn="0" w:noHBand="0" w:noVBand="1"/>
      </w:tblPr>
      <w:tblGrid>
        <w:gridCol w:w="6804"/>
        <w:gridCol w:w="2127"/>
      </w:tblGrid>
      <w:tr w:rsidR="008E3F65" w:rsidRPr="00C9549D" w14:paraId="22A97E00" w14:textId="77777777" w:rsidTr="008E3F65">
        <w:trPr>
          <w:trHeight w:val="874"/>
        </w:trPr>
        <w:tc>
          <w:tcPr>
            <w:tcW w:w="6804"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43B7FFC9" w14:textId="77777777" w:rsidR="008E3F65" w:rsidRPr="00C9549D" w:rsidRDefault="008E3F65" w:rsidP="002536E7">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2127" w:type="dxa"/>
            <w:tcBorders>
              <w:top w:val="single" w:sz="4" w:space="0" w:color="A6A6A6"/>
              <w:left w:val="nil"/>
              <w:bottom w:val="single" w:sz="4" w:space="0" w:color="A6A6A6"/>
              <w:right w:val="single" w:sz="4" w:space="0" w:color="A6A6A6"/>
            </w:tcBorders>
            <w:shd w:val="clear" w:color="000000" w:fill="002060"/>
            <w:vAlign w:val="center"/>
            <w:hideMark/>
          </w:tcPr>
          <w:p w14:paraId="282A73EE" w14:textId="77777777" w:rsidR="008E3F65" w:rsidRDefault="008E3F65" w:rsidP="002536E7">
            <w:pPr>
              <w:spacing w:line="240" w:lineRule="auto"/>
              <w:jc w:val="center"/>
              <w:rPr>
                <w:color w:val="FFFFFF"/>
                <w:sz w:val="22"/>
                <w:szCs w:val="22"/>
              </w:rPr>
            </w:pPr>
            <w:r>
              <w:rPr>
                <w:color w:val="FFFFFF"/>
                <w:sz w:val="22"/>
                <w:szCs w:val="22"/>
              </w:rPr>
              <w:t xml:space="preserve"> Stanje na </w:t>
            </w:r>
          </w:p>
          <w:p w14:paraId="31C661FA" w14:textId="3B4324AB" w:rsidR="008E3F65" w:rsidRPr="00C9549D" w:rsidRDefault="008E3F65" w:rsidP="002536E7">
            <w:pPr>
              <w:spacing w:line="240" w:lineRule="auto"/>
              <w:jc w:val="center"/>
              <w:rPr>
                <w:rFonts w:eastAsia="Times New Roman"/>
                <w:color w:val="FFFFFF"/>
                <w:sz w:val="20"/>
                <w:szCs w:val="20"/>
                <w:lang w:eastAsia="hr-HR"/>
              </w:rPr>
            </w:pPr>
            <w:r w:rsidRPr="00C9549D">
              <w:rPr>
                <w:rFonts w:eastAsia="Times New Roman"/>
                <w:color w:val="FFFFFF"/>
                <w:sz w:val="22"/>
                <w:szCs w:val="22"/>
                <w:lang w:eastAsia="hr-HR"/>
              </w:rPr>
              <w:t>31.</w:t>
            </w:r>
            <w:r>
              <w:rPr>
                <w:rFonts w:eastAsia="Times New Roman"/>
                <w:color w:val="FFFFFF"/>
                <w:sz w:val="22"/>
                <w:szCs w:val="22"/>
                <w:lang w:eastAsia="hr-HR"/>
              </w:rPr>
              <w:t xml:space="preserve"> prosinca </w:t>
            </w:r>
            <w:r>
              <w:rPr>
                <w:color w:val="FFFFFF"/>
                <w:sz w:val="22"/>
                <w:szCs w:val="22"/>
              </w:rPr>
              <w:t xml:space="preserve">2023. </w:t>
            </w:r>
          </w:p>
        </w:tc>
      </w:tr>
      <w:tr w:rsidR="008E3F65" w:rsidRPr="00C9549D" w14:paraId="1A5D0D36"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D9E1F2"/>
            <w:noWrap/>
            <w:vAlign w:val="center"/>
            <w:hideMark/>
          </w:tcPr>
          <w:p w14:paraId="5B539918" w14:textId="77777777" w:rsidR="008E3F65" w:rsidRPr="00C9549D" w:rsidRDefault="008E3F65" w:rsidP="007F191D">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Organizirana gradnja</w:t>
            </w:r>
          </w:p>
        </w:tc>
        <w:tc>
          <w:tcPr>
            <w:tcW w:w="2127" w:type="dxa"/>
            <w:tcBorders>
              <w:top w:val="nil"/>
              <w:left w:val="nil"/>
              <w:bottom w:val="single" w:sz="4" w:space="0" w:color="A6A6A6"/>
              <w:right w:val="single" w:sz="4" w:space="0" w:color="A6A6A6"/>
            </w:tcBorders>
            <w:shd w:val="clear" w:color="000000" w:fill="D9E1F2"/>
            <w:noWrap/>
            <w:vAlign w:val="center"/>
            <w:hideMark/>
          </w:tcPr>
          <w:p w14:paraId="0EBD972B" w14:textId="208FE905" w:rsidR="008E3F65" w:rsidRPr="00C9549D" w:rsidRDefault="008E3F65" w:rsidP="007F191D">
            <w:pPr>
              <w:spacing w:line="240" w:lineRule="auto"/>
              <w:jc w:val="center"/>
              <w:rPr>
                <w:rFonts w:eastAsia="Times New Roman"/>
                <w:color w:val="000000"/>
                <w:sz w:val="22"/>
                <w:szCs w:val="22"/>
                <w:lang w:eastAsia="hr-HR"/>
              </w:rPr>
            </w:pPr>
            <w:r>
              <w:rPr>
                <w:color w:val="000000"/>
                <w:sz w:val="22"/>
                <w:szCs w:val="22"/>
              </w:rPr>
              <w:t>71</w:t>
            </w:r>
          </w:p>
        </w:tc>
      </w:tr>
      <w:tr w:rsidR="008E3F65" w:rsidRPr="00C9549D" w14:paraId="6B28B5B7"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FFFFFF"/>
            <w:noWrap/>
            <w:vAlign w:val="center"/>
            <w:hideMark/>
          </w:tcPr>
          <w:p w14:paraId="7ED09A1E" w14:textId="77777777" w:rsidR="008E3F65" w:rsidRPr="00C9549D" w:rsidRDefault="008E3F65" w:rsidP="007F191D">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Petrinjski potres</w:t>
            </w:r>
          </w:p>
        </w:tc>
        <w:tc>
          <w:tcPr>
            <w:tcW w:w="2127" w:type="dxa"/>
            <w:tcBorders>
              <w:top w:val="nil"/>
              <w:left w:val="nil"/>
              <w:bottom w:val="single" w:sz="4" w:space="0" w:color="A6A6A6"/>
              <w:right w:val="single" w:sz="4" w:space="0" w:color="A6A6A6"/>
            </w:tcBorders>
            <w:shd w:val="clear" w:color="000000" w:fill="FFFFFF"/>
            <w:noWrap/>
            <w:vAlign w:val="center"/>
            <w:hideMark/>
          </w:tcPr>
          <w:p w14:paraId="796D24C6" w14:textId="17404DB4" w:rsidR="008E3F65" w:rsidRPr="00C9549D" w:rsidRDefault="008E3F65" w:rsidP="007F191D">
            <w:pPr>
              <w:spacing w:line="240" w:lineRule="auto"/>
              <w:jc w:val="center"/>
              <w:rPr>
                <w:rFonts w:eastAsia="Times New Roman"/>
                <w:color w:val="000000"/>
                <w:sz w:val="22"/>
                <w:szCs w:val="22"/>
                <w:lang w:eastAsia="hr-HR"/>
              </w:rPr>
            </w:pPr>
            <w:r>
              <w:rPr>
                <w:color w:val="000000"/>
                <w:sz w:val="22"/>
                <w:szCs w:val="22"/>
              </w:rPr>
              <w:t>71</w:t>
            </w:r>
          </w:p>
        </w:tc>
      </w:tr>
      <w:tr w:rsidR="008E3F65" w:rsidRPr="00C9549D" w14:paraId="68742D0E"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FFFFFF"/>
            <w:noWrap/>
            <w:vAlign w:val="center"/>
            <w:hideMark/>
          </w:tcPr>
          <w:p w14:paraId="13D0278B" w14:textId="77777777" w:rsidR="008E3F65" w:rsidRPr="00C9549D" w:rsidRDefault="008E3F65" w:rsidP="007F191D">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Zagrebački potres</w:t>
            </w:r>
          </w:p>
        </w:tc>
        <w:tc>
          <w:tcPr>
            <w:tcW w:w="2127" w:type="dxa"/>
            <w:tcBorders>
              <w:top w:val="nil"/>
              <w:left w:val="nil"/>
              <w:bottom w:val="single" w:sz="4" w:space="0" w:color="A6A6A6"/>
              <w:right w:val="single" w:sz="4" w:space="0" w:color="A6A6A6"/>
            </w:tcBorders>
            <w:shd w:val="clear" w:color="000000" w:fill="FFFFFF"/>
            <w:noWrap/>
            <w:vAlign w:val="center"/>
            <w:hideMark/>
          </w:tcPr>
          <w:p w14:paraId="68D25783" w14:textId="09B1649C" w:rsidR="008E3F65" w:rsidRPr="00C9549D" w:rsidRDefault="008E3F65" w:rsidP="007F191D">
            <w:pPr>
              <w:spacing w:line="240" w:lineRule="auto"/>
              <w:jc w:val="center"/>
              <w:rPr>
                <w:rFonts w:eastAsia="Times New Roman"/>
                <w:color w:val="000000"/>
                <w:sz w:val="22"/>
                <w:szCs w:val="22"/>
                <w:lang w:eastAsia="hr-HR"/>
              </w:rPr>
            </w:pPr>
            <w:r>
              <w:rPr>
                <w:color w:val="000000"/>
                <w:sz w:val="22"/>
                <w:szCs w:val="22"/>
              </w:rPr>
              <w:t>0</w:t>
            </w:r>
          </w:p>
        </w:tc>
      </w:tr>
      <w:tr w:rsidR="008E3F65" w:rsidRPr="00C9549D" w14:paraId="330347A3"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D9E1F2"/>
            <w:noWrap/>
            <w:vAlign w:val="center"/>
            <w:hideMark/>
          </w:tcPr>
          <w:p w14:paraId="4BF16493" w14:textId="77777777" w:rsidR="008E3F65" w:rsidRPr="00C9549D" w:rsidRDefault="008E3F65" w:rsidP="007F191D">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Novčana pomoć umjesto gradnje</w:t>
            </w:r>
          </w:p>
        </w:tc>
        <w:tc>
          <w:tcPr>
            <w:tcW w:w="2127" w:type="dxa"/>
            <w:tcBorders>
              <w:top w:val="nil"/>
              <w:left w:val="nil"/>
              <w:bottom w:val="single" w:sz="4" w:space="0" w:color="A6A6A6"/>
              <w:right w:val="single" w:sz="4" w:space="0" w:color="A6A6A6"/>
            </w:tcBorders>
            <w:shd w:val="clear" w:color="000000" w:fill="D9E1F2"/>
            <w:noWrap/>
            <w:vAlign w:val="center"/>
            <w:hideMark/>
          </w:tcPr>
          <w:p w14:paraId="66B46E95" w14:textId="7FB77D31" w:rsidR="008E3F65" w:rsidRPr="00C9549D" w:rsidRDefault="008E3F65" w:rsidP="007F191D">
            <w:pPr>
              <w:spacing w:line="240" w:lineRule="auto"/>
              <w:jc w:val="center"/>
              <w:rPr>
                <w:rFonts w:eastAsia="Times New Roman"/>
                <w:color w:val="000000"/>
                <w:sz w:val="22"/>
                <w:szCs w:val="22"/>
                <w:lang w:eastAsia="hr-HR"/>
              </w:rPr>
            </w:pPr>
            <w:r>
              <w:rPr>
                <w:color w:val="000000"/>
                <w:sz w:val="22"/>
                <w:szCs w:val="22"/>
              </w:rPr>
              <w:t>5</w:t>
            </w:r>
          </w:p>
        </w:tc>
      </w:tr>
      <w:tr w:rsidR="008E3F65" w:rsidRPr="00C9549D" w14:paraId="5EC854FC"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FFFFFF"/>
            <w:noWrap/>
            <w:vAlign w:val="center"/>
            <w:hideMark/>
          </w:tcPr>
          <w:p w14:paraId="1FDFF535" w14:textId="77777777" w:rsidR="008E3F65" w:rsidRPr="00C9549D" w:rsidRDefault="008E3F65" w:rsidP="007F191D">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Petrinjski potres</w:t>
            </w:r>
          </w:p>
        </w:tc>
        <w:tc>
          <w:tcPr>
            <w:tcW w:w="2127" w:type="dxa"/>
            <w:tcBorders>
              <w:top w:val="nil"/>
              <w:left w:val="nil"/>
              <w:bottom w:val="single" w:sz="4" w:space="0" w:color="A6A6A6"/>
              <w:right w:val="single" w:sz="4" w:space="0" w:color="A6A6A6"/>
            </w:tcBorders>
            <w:shd w:val="clear" w:color="000000" w:fill="FFFFFF"/>
            <w:noWrap/>
            <w:vAlign w:val="center"/>
            <w:hideMark/>
          </w:tcPr>
          <w:p w14:paraId="6E62C910" w14:textId="762BE882" w:rsidR="008E3F65" w:rsidRPr="00C9549D" w:rsidRDefault="008E3F65" w:rsidP="007F191D">
            <w:pPr>
              <w:spacing w:line="240" w:lineRule="auto"/>
              <w:jc w:val="center"/>
              <w:rPr>
                <w:rFonts w:eastAsia="Times New Roman"/>
                <w:color w:val="000000"/>
                <w:sz w:val="22"/>
                <w:szCs w:val="22"/>
                <w:lang w:eastAsia="hr-HR"/>
              </w:rPr>
            </w:pPr>
            <w:r>
              <w:rPr>
                <w:color w:val="000000"/>
                <w:sz w:val="22"/>
                <w:szCs w:val="22"/>
              </w:rPr>
              <w:t>4</w:t>
            </w:r>
          </w:p>
        </w:tc>
      </w:tr>
      <w:tr w:rsidR="008E3F65" w:rsidRPr="00C9549D" w14:paraId="6A44BB05"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FFFFFF"/>
            <w:noWrap/>
            <w:vAlign w:val="center"/>
            <w:hideMark/>
          </w:tcPr>
          <w:p w14:paraId="46713039" w14:textId="77777777" w:rsidR="008E3F65" w:rsidRPr="00C9549D" w:rsidRDefault="008E3F65" w:rsidP="007F191D">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Zagrebački potres</w:t>
            </w:r>
          </w:p>
        </w:tc>
        <w:tc>
          <w:tcPr>
            <w:tcW w:w="2127" w:type="dxa"/>
            <w:tcBorders>
              <w:top w:val="nil"/>
              <w:left w:val="nil"/>
              <w:bottom w:val="single" w:sz="4" w:space="0" w:color="A6A6A6"/>
              <w:right w:val="single" w:sz="4" w:space="0" w:color="A6A6A6"/>
            </w:tcBorders>
            <w:shd w:val="clear" w:color="000000" w:fill="FFFFFF"/>
            <w:noWrap/>
            <w:vAlign w:val="center"/>
            <w:hideMark/>
          </w:tcPr>
          <w:p w14:paraId="6D68D874" w14:textId="0ECE3419" w:rsidR="008E3F65" w:rsidRPr="00C9549D" w:rsidRDefault="008E3F65" w:rsidP="007F191D">
            <w:pPr>
              <w:spacing w:line="240" w:lineRule="auto"/>
              <w:jc w:val="center"/>
              <w:rPr>
                <w:rFonts w:eastAsia="Times New Roman"/>
                <w:color w:val="000000"/>
                <w:sz w:val="22"/>
                <w:szCs w:val="22"/>
                <w:lang w:eastAsia="hr-HR"/>
              </w:rPr>
            </w:pPr>
            <w:r>
              <w:rPr>
                <w:color w:val="000000"/>
                <w:sz w:val="22"/>
                <w:szCs w:val="22"/>
              </w:rPr>
              <w:t>1</w:t>
            </w:r>
          </w:p>
        </w:tc>
      </w:tr>
      <w:tr w:rsidR="008E3F65" w:rsidRPr="00C9549D" w14:paraId="34E0BCBC"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auto" w:fill="BDD6EE" w:themeFill="accent1" w:themeFillTint="66"/>
            <w:noWrap/>
            <w:vAlign w:val="center"/>
          </w:tcPr>
          <w:p w14:paraId="03483DA7" w14:textId="79B81EB0" w:rsidR="008E3F65" w:rsidRPr="00C9549D" w:rsidRDefault="00C524F6" w:rsidP="000A132C">
            <w:pPr>
              <w:spacing w:line="240" w:lineRule="auto"/>
              <w:jc w:val="left"/>
              <w:rPr>
                <w:rFonts w:eastAsia="Times New Roman"/>
                <w:i/>
                <w:iCs/>
                <w:color w:val="000000"/>
                <w:sz w:val="22"/>
                <w:szCs w:val="22"/>
                <w:lang w:eastAsia="hr-HR"/>
              </w:rPr>
            </w:pPr>
            <w:r>
              <w:rPr>
                <w:rFonts w:eastAsia="Times New Roman"/>
                <w:color w:val="000000"/>
                <w:sz w:val="22"/>
                <w:szCs w:val="22"/>
                <w:lang w:eastAsia="hr-HR"/>
              </w:rPr>
              <w:t>Drvene</w:t>
            </w:r>
            <w:r w:rsidR="008E3F65">
              <w:rPr>
                <w:rFonts w:eastAsia="Times New Roman"/>
                <w:color w:val="000000"/>
                <w:sz w:val="22"/>
                <w:szCs w:val="22"/>
                <w:lang w:eastAsia="hr-HR"/>
              </w:rPr>
              <w:t xml:space="preserve"> kuće</w:t>
            </w:r>
          </w:p>
        </w:tc>
        <w:tc>
          <w:tcPr>
            <w:tcW w:w="2127" w:type="dxa"/>
            <w:tcBorders>
              <w:top w:val="nil"/>
              <w:left w:val="nil"/>
              <w:bottom w:val="single" w:sz="4" w:space="0" w:color="A6A6A6"/>
              <w:right w:val="single" w:sz="4" w:space="0" w:color="A6A6A6"/>
            </w:tcBorders>
            <w:shd w:val="clear" w:color="auto" w:fill="BDD6EE" w:themeFill="accent1" w:themeFillTint="66"/>
            <w:noWrap/>
            <w:vAlign w:val="center"/>
          </w:tcPr>
          <w:p w14:paraId="7427C5EB" w14:textId="0BC16C16" w:rsidR="008E3F65" w:rsidRPr="00C9549D" w:rsidRDefault="008E3F65" w:rsidP="007F191D">
            <w:pPr>
              <w:spacing w:line="240" w:lineRule="auto"/>
              <w:jc w:val="center"/>
              <w:rPr>
                <w:color w:val="000000"/>
                <w:sz w:val="22"/>
                <w:szCs w:val="22"/>
              </w:rPr>
            </w:pPr>
            <w:r>
              <w:rPr>
                <w:color w:val="000000"/>
                <w:sz w:val="22"/>
                <w:szCs w:val="22"/>
              </w:rPr>
              <w:t>131</w:t>
            </w:r>
          </w:p>
        </w:tc>
      </w:tr>
      <w:tr w:rsidR="008E3F65" w:rsidRPr="00C9549D" w14:paraId="5E305D42" w14:textId="77777777" w:rsidTr="008E3F65">
        <w:trPr>
          <w:trHeight w:val="397"/>
        </w:trPr>
        <w:tc>
          <w:tcPr>
            <w:tcW w:w="6804" w:type="dxa"/>
            <w:tcBorders>
              <w:top w:val="nil"/>
              <w:left w:val="single" w:sz="4" w:space="0" w:color="A6A6A6"/>
              <w:bottom w:val="single" w:sz="4" w:space="0" w:color="A6A6A6"/>
              <w:right w:val="single" w:sz="4" w:space="0" w:color="A6A6A6"/>
            </w:tcBorders>
            <w:shd w:val="clear" w:color="000000" w:fill="002060"/>
            <w:vAlign w:val="center"/>
            <w:hideMark/>
          </w:tcPr>
          <w:p w14:paraId="69C7A9C6" w14:textId="77777777" w:rsidR="008E3F65" w:rsidRPr="00C9549D" w:rsidRDefault="008E3F65" w:rsidP="007F191D">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2127" w:type="dxa"/>
            <w:tcBorders>
              <w:top w:val="nil"/>
              <w:left w:val="nil"/>
              <w:bottom w:val="single" w:sz="4" w:space="0" w:color="A6A6A6"/>
              <w:right w:val="single" w:sz="4" w:space="0" w:color="A6A6A6"/>
            </w:tcBorders>
            <w:shd w:val="clear" w:color="000000" w:fill="002060"/>
            <w:vAlign w:val="center"/>
            <w:hideMark/>
          </w:tcPr>
          <w:p w14:paraId="5EEA50F3" w14:textId="0BB10256" w:rsidR="008E3F65" w:rsidRPr="00C9549D" w:rsidRDefault="008E3F65" w:rsidP="007F191D">
            <w:pPr>
              <w:spacing w:line="240" w:lineRule="auto"/>
              <w:jc w:val="center"/>
              <w:rPr>
                <w:rFonts w:eastAsia="Times New Roman"/>
                <w:color w:val="FFFFFF"/>
                <w:sz w:val="22"/>
                <w:szCs w:val="22"/>
                <w:lang w:eastAsia="hr-HR"/>
              </w:rPr>
            </w:pPr>
            <w:r>
              <w:rPr>
                <w:color w:val="FFFFFF"/>
                <w:sz w:val="22"/>
                <w:szCs w:val="22"/>
              </w:rPr>
              <w:t>207</w:t>
            </w:r>
          </w:p>
        </w:tc>
      </w:tr>
    </w:tbl>
    <w:p w14:paraId="41C7666E" w14:textId="2D21A74B" w:rsidR="009B50D4" w:rsidRDefault="00BC2A18" w:rsidP="00E01007">
      <w:pPr>
        <w:spacing w:after="120"/>
        <w:rPr>
          <w:noProof/>
        </w:rPr>
      </w:pPr>
      <w:r w:rsidRPr="00C9549D">
        <w:rPr>
          <w:noProof/>
        </w:rPr>
        <w:t xml:space="preserve"> </w:t>
      </w:r>
    </w:p>
    <w:p w14:paraId="18A973D9" w14:textId="77777777" w:rsidR="009E3617" w:rsidRDefault="009E3617" w:rsidP="00E01007">
      <w:pPr>
        <w:spacing w:after="120"/>
        <w:rPr>
          <w:noProof/>
        </w:rPr>
      </w:pPr>
    </w:p>
    <w:p w14:paraId="7D2E5B2D" w14:textId="59C9FA29" w:rsidR="009D54DD" w:rsidRDefault="009D54DD" w:rsidP="009D54DD">
      <w:pPr>
        <w:spacing w:before="60" w:after="60"/>
        <w:rPr>
          <w:b/>
          <w:bCs/>
        </w:rPr>
      </w:pPr>
      <w:r w:rsidRPr="009D54DD">
        <w:rPr>
          <w:b/>
          <w:bCs/>
        </w:rPr>
        <w:lastRenderedPageBreak/>
        <w:t>Novčana pomoć umjesto gradnje obiteljske kuće</w:t>
      </w:r>
    </w:p>
    <w:p w14:paraId="766CCFF2" w14:textId="3E46DA76" w:rsidR="009D54DD" w:rsidRDefault="004F1145" w:rsidP="009D54DD">
      <w:pPr>
        <w:spacing w:before="120"/>
      </w:pPr>
      <w:r>
        <w:t>U</w:t>
      </w:r>
      <w:r w:rsidR="0093495A">
        <w:t xml:space="preserve"> razdoblju od </w:t>
      </w:r>
      <w:r w:rsidRPr="004F1145">
        <w:t xml:space="preserve">1. siječnja do </w:t>
      </w:r>
      <w:r w:rsidR="008B7703">
        <w:t>3</w:t>
      </w:r>
      <w:r w:rsidR="00B86FB1">
        <w:t>1</w:t>
      </w:r>
      <w:r w:rsidR="008B7703">
        <w:t xml:space="preserve">. </w:t>
      </w:r>
      <w:r w:rsidR="003545A3">
        <w:t xml:space="preserve">prosinca </w:t>
      </w:r>
      <w:r w:rsidR="008B7703">
        <w:t>2023.</w:t>
      </w:r>
      <w:r w:rsidRPr="004F1145">
        <w:t xml:space="preserve"> </w:t>
      </w:r>
      <w:r w:rsidR="00B86FB1">
        <w:t xml:space="preserve">isplaćeno je ukupno 7,5 milijuna eura novčanih pomoći za </w:t>
      </w:r>
      <w:r w:rsidR="005E1B14">
        <w:t xml:space="preserve">tri modela samoobnove umjesto </w:t>
      </w:r>
      <w:r w:rsidR="00765809">
        <w:t xml:space="preserve">organizirane </w:t>
      </w:r>
      <w:r w:rsidR="009D54DD" w:rsidRPr="009D54DD">
        <w:t>gradnj</w:t>
      </w:r>
      <w:r w:rsidR="005E1B14">
        <w:t>e</w:t>
      </w:r>
      <w:r w:rsidR="009D54DD" w:rsidRPr="009D54DD">
        <w:t xml:space="preserve"> zamjenskih obiteljskih kuća. Ukupno je isplaćeno </w:t>
      </w:r>
      <w:r w:rsidR="00B6635B">
        <w:t>3,2 milijuna eura</w:t>
      </w:r>
      <w:r w:rsidR="009D54DD" w:rsidRPr="009D54DD">
        <w:t xml:space="preserve"> za </w:t>
      </w:r>
      <w:r w:rsidR="00B6635B">
        <w:t>n</w:t>
      </w:r>
      <w:r w:rsidR="00B6635B" w:rsidRPr="00B6635B">
        <w:t>ovčan</w:t>
      </w:r>
      <w:r w:rsidR="00B6635B">
        <w:t>e</w:t>
      </w:r>
      <w:r w:rsidR="00B6635B" w:rsidRPr="00B6635B">
        <w:t xml:space="preserve"> pomoć</w:t>
      </w:r>
      <w:r w:rsidR="00B6635B">
        <w:t>i</w:t>
      </w:r>
      <w:r w:rsidR="00B6635B" w:rsidRPr="00B6635B">
        <w:t xml:space="preserve"> umjesto gradnje obiteljske kuće</w:t>
      </w:r>
      <w:r w:rsidR="00B6635B">
        <w:t>, 3,1 milijun eura</w:t>
      </w:r>
      <w:r w:rsidR="00B6635B" w:rsidRPr="009D54DD">
        <w:t xml:space="preserve"> za </w:t>
      </w:r>
      <w:r w:rsidR="00B6635B">
        <w:t>n</w:t>
      </w:r>
      <w:r w:rsidR="00B6635B" w:rsidRPr="00B6635B">
        <w:t>ovčan</w:t>
      </w:r>
      <w:r w:rsidR="00B6635B">
        <w:t>e</w:t>
      </w:r>
      <w:r w:rsidR="00B6635B" w:rsidRPr="00B6635B">
        <w:t xml:space="preserve"> pomoć</w:t>
      </w:r>
      <w:r w:rsidR="00B6635B">
        <w:t>i</w:t>
      </w:r>
      <w:r w:rsidR="00B6635B" w:rsidRPr="00B6635B">
        <w:t xml:space="preserve"> za kupnju obiteljske kuće ili stana</w:t>
      </w:r>
      <w:r w:rsidR="00AC1152">
        <w:t>, 517 tisuća eura za n</w:t>
      </w:r>
      <w:r w:rsidR="00AC1152" w:rsidRPr="00AC1152">
        <w:t>ovčan</w:t>
      </w:r>
      <w:r w:rsidR="00AC1152">
        <w:t>e</w:t>
      </w:r>
      <w:r w:rsidR="00AC1152" w:rsidRPr="00AC1152">
        <w:t xml:space="preserve"> pomoć</w:t>
      </w:r>
      <w:r w:rsidR="004A0FD1">
        <w:t>i</w:t>
      </w:r>
      <w:r w:rsidR="00AC1152" w:rsidRPr="00AC1152">
        <w:t xml:space="preserve"> za uklanjanje i gradnju</w:t>
      </w:r>
      <w:r w:rsidR="004A0FD1">
        <w:t xml:space="preserve"> i 664 tisuće eura za troškove opremanja obiteljske kuće (uključen je i iznos za organiziranu obnovu)</w:t>
      </w:r>
      <w:r w:rsidR="00B86FB1">
        <w:t>.</w:t>
      </w:r>
    </w:p>
    <w:p w14:paraId="07A41618" w14:textId="77777777" w:rsidR="00F45961" w:rsidRDefault="00F45961" w:rsidP="009D54DD">
      <w:pPr>
        <w:spacing w:before="120"/>
      </w:pPr>
    </w:p>
    <w:p w14:paraId="3F6DDECD" w14:textId="5232C8E6" w:rsidR="00E71BBF" w:rsidRPr="009D54DD" w:rsidRDefault="00E71BBF" w:rsidP="00E71BBF">
      <w:pPr>
        <w:spacing w:before="60" w:after="60"/>
        <w:rPr>
          <w:i/>
          <w:iCs/>
        </w:rPr>
      </w:pPr>
      <w:r w:rsidRPr="009D54DD">
        <w:rPr>
          <w:i/>
          <w:iCs/>
        </w:rPr>
        <w:t xml:space="preserve">Pregled isplata novčanih </w:t>
      </w:r>
      <w:r>
        <w:rPr>
          <w:i/>
          <w:iCs/>
        </w:rPr>
        <w:t>pomoći</w:t>
      </w:r>
      <w:r w:rsidRPr="009D54DD">
        <w:rPr>
          <w:i/>
          <w:iCs/>
        </w:rPr>
        <w:t xml:space="preserve"> umjesto gradnje </w:t>
      </w:r>
      <w:r>
        <w:rPr>
          <w:i/>
          <w:iCs/>
        </w:rPr>
        <w:t xml:space="preserve">i </w:t>
      </w:r>
      <w:r w:rsidR="00370B8B">
        <w:rPr>
          <w:i/>
          <w:iCs/>
        </w:rPr>
        <w:t>pomoći za opremanje obiteljske kuće</w:t>
      </w:r>
    </w:p>
    <w:tbl>
      <w:tblPr>
        <w:tblW w:w="9067" w:type="dxa"/>
        <w:tblLayout w:type="fixed"/>
        <w:tblLook w:val="04A0" w:firstRow="1" w:lastRow="0" w:firstColumn="1" w:lastColumn="0" w:noHBand="0" w:noVBand="1"/>
      </w:tblPr>
      <w:tblGrid>
        <w:gridCol w:w="3964"/>
        <w:gridCol w:w="1701"/>
        <w:gridCol w:w="1701"/>
        <w:gridCol w:w="1701"/>
      </w:tblGrid>
      <w:tr w:rsidR="00370B8B" w:rsidRPr="00E71BBF" w14:paraId="2FB8FCA7" w14:textId="77777777" w:rsidTr="007D6D2A">
        <w:trPr>
          <w:trHeight w:val="680"/>
        </w:trPr>
        <w:tc>
          <w:tcPr>
            <w:tcW w:w="3964"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4E9384A9" w14:textId="77777777" w:rsidR="00E71BBF" w:rsidRPr="00E71BBF" w:rsidRDefault="00E71BBF" w:rsidP="00E71BBF">
            <w:pPr>
              <w:spacing w:line="240" w:lineRule="auto"/>
              <w:jc w:val="center"/>
              <w:rPr>
                <w:rFonts w:eastAsia="Times New Roman"/>
                <w:color w:val="FFFFFF"/>
                <w:sz w:val="22"/>
                <w:szCs w:val="22"/>
                <w:lang w:eastAsia="hr-HR"/>
              </w:rPr>
            </w:pPr>
            <w:r w:rsidRPr="00E71BBF">
              <w:rPr>
                <w:rFonts w:eastAsia="Times New Roman"/>
                <w:color w:val="FFFFFF"/>
                <w:sz w:val="22"/>
                <w:szCs w:val="22"/>
                <w:lang w:eastAsia="hr-HR"/>
              </w:rPr>
              <w:t>ISPLATE</w:t>
            </w:r>
          </w:p>
        </w:tc>
        <w:tc>
          <w:tcPr>
            <w:tcW w:w="1701" w:type="dxa"/>
            <w:tcBorders>
              <w:top w:val="single" w:sz="4" w:space="0" w:color="A6A6A6"/>
              <w:left w:val="nil"/>
              <w:bottom w:val="single" w:sz="4" w:space="0" w:color="A6A6A6"/>
              <w:right w:val="single" w:sz="4" w:space="0" w:color="A6A6A6"/>
            </w:tcBorders>
            <w:shd w:val="clear" w:color="000000" w:fill="002060"/>
            <w:vAlign w:val="center"/>
            <w:hideMark/>
          </w:tcPr>
          <w:p w14:paraId="0C5524AF" w14:textId="77777777" w:rsidR="00E71BBF" w:rsidRPr="00E71BBF" w:rsidRDefault="00E71BBF" w:rsidP="00E71BBF">
            <w:pPr>
              <w:spacing w:line="240" w:lineRule="auto"/>
              <w:jc w:val="center"/>
              <w:rPr>
                <w:rFonts w:eastAsia="Times New Roman"/>
                <w:color w:val="FFFFFF"/>
                <w:sz w:val="22"/>
                <w:szCs w:val="22"/>
                <w:lang w:eastAsia="hr-HR"/>
              </w:rPr>
            </w:pPr>
            <w:r w:rsidRPr="00E71BBF">
              <w:rPr>
                <w:rFonts w:eastAsia="Times New Roman"/>
                <w:color w:val="FFFFFF"/>
                <w:sz w:val="22"/>
                <w:szCs w:val="22"/>
                <w:lang w:eastAsia="hr-HR"/>
              </w:rPr>
              <w:t>Broj isplata</w:t>
            </w:r>
          </w:p>
        </w:tc>
        <w:tc>
          <w:tcPr>
            <w:tcW w:w="1701" w:type="dxa"/>
            <w:tcBorders>
              <w:top w:val="single" w:sz="4" w:space="0" w:color="A6A6A6"/>
              <w:left w:val="nil"/>
              <w:bottom w:val="single" w:sz="4" w:space="0" w:color="A6A6A6"/>
              <w:right w:val="single" w:sz="4" w:space="0" w:color="A6A6A6"/>
            </w:tcBorders>
            <w:shd w:val="clear" w:color="000000" w:fill="002060"/>
            <w:vAlign w:val="center"/>
            <w:hideMark/>
          </w:tcPr>
          <w:p w14:paraId="396D0685" w14:textId="77777777" w:rsidR="00E71BBF" w:rsidRPr="00E71BBF" w:rsidRDefault="00E71BBF" w:rsidP="00E71BBF">
            <w:pPr>
              <w:spacing w:line="240" w:lineRule="auto"/>
              <w:jc w:val="center"/>
              <w:rPr>
                <w:rFonts w:eastAsia="Times New Roman"/>
                <w:color w:val="FFFFFF"/>
                <w:sz w:val="22"/>
                <w:szCs w:val="22"/>
                <w:lang w:eastAsia="hr-HR"/>
              </w:rPr>
            </w:pPr>
            <w:r w:rsidRPr="00E71BBF">
              <w:rPr>
                <w:rFonts w:eastAsia="Times New Roman"/>
                <w:color w:val="FFFFFF"/>
                <w:sz w:val="22"/>
                <w:szCs w:val="22"/>
                <w:lang w:eastAsia="hr-HR"/>
              </w:rPr>
              <w:t>Broj lokacija</w:t>
            </w:r>
          </w:p>
        </w:tc>
        <w:tc>
          <w:tcPr>
            <w:tcW w:w="1701" w:type="dxa"/>
            <w:tcBorders>
              <w:top w:val="single" w:sz="4" w:space="0" w:color="A6A6A6"/>
              <w:left w:val="nil"/>
              <w:bottom w:val="single" w:sz="4" w:space="0" w:color="A6A6A6"/>
              <w:right w:val="single" w:sz="4" w:space="0" w:color="A6A6A6"/>
            </w:tcBorders>
            <w:shd w:val="clear" w:color="000000" w:fill="002060"/>
            <w:vAlign w:val="center"/>
            <w:hideMark/>
          </w:tcPr>
          <w:p w14:paraId="269FF7F5" w14:textId="77777777" w:rsidR="00E71BBF" w:rsidRPr="00E71BBF" w:rsidRDefault="00E71BBF" w:rsidP="00E71BBF">
            <w:pPr>
              <w:spacing w:line="240" w:lineRule="auto"/>
              <w:jc w:val="center"/>
              <w:rPr>
                <w:rFonts w:eastAsia="Times New Roman"/>
                <w:color w:val="FFFFFF"/>
                <w:sz w:val="22"/>
                <w:szCs w:val="22"/>
                <w:lang w:eastAsia="hr-HR"/>
              </w:rPr>
            </w:pPr>
            <w:r w:rsidRPr="00E71BBF">
              <w:rPr>
                <w:rFonts w:eastAsia="Times New Roman"/>
                <w:color w:val="FFFFFF"/>
                <w:sz w:val="22"/>
                <w:szCs w:val="22"/>
                <w:lang w:eastAsia="hr-HR"/>
              </w:rPr>
              <w:t>Ukupno isplaćeno</w:t>
            </w:r>
          </w:p>
        </w:tc>
      </w:tr>
      <w:tr w:rsidR="00370B8B" w:rsidRPr="00E71BBF" w14:paraId="7A362406" w14:textId="77777777" w:rsidTr="007D6D2A">
        <w:trPr>
          <w:trHeight w:val="567"/>
        </w:trPr>
        <w:tc>
          <w:tcPr>
            <w:tcW w:w="3964" w:type="dxa"/>
            <w:tcBorders>
              <w:top w:val="nil"/>
              <w:left w:val="single" w:sz="4" w:space="0" w:color="A6A6A6"/>
              <w:bottom w:val="single" w:sz="4" w:space="0" w:color="A6A6A6"/>
              <w:right w:val="single" w:sz="4" w:space="0" w:color="A6A6A6"/>
            </w:tcBorders>
            <w:shd w:val="clear" w:color="000000" w:fill="FFFFFF"/>
            <w:noWrap/>
            <w:vAlign w:val="center"/>
            <w:hideMark/>
          </w:tcPr>
          <w:p w14:paraId="089A47A9" w14:textId="77777777" w:rsidR="00E71BBF" w:rsidRPr="00E71BBF" w:rsidRDefault="00E71BBF" w:rsidP="00E71BBF">
            <w:pPr>
              <w:spacing w:line="240" w:lineRule="auto"/>
              <w:jc w:val="left"/>
              <w:rPr>
                <w:rFonts w:eastAsia="Times New Roman"/>
                <w:color w:val="000000"/>
                <w:sz w:val="22"/>
                <w:szCs w:val="22"/>
                <w:lang w:eastAsia="hr-HR"/>
              </w:rPr>
            </w:pPr>
            <w:r w:rsidRPr="00E71BBF">
              <w:rPr>
                <w:rFonts w:eastAsia="Times New Roman"/>
                <w:color w:val="000000"/>
                <w:sz w:val="22"/>
                <w:szCs w:val="22"/>
                <w:lang w:eastAsia="hr-HR"/>
              </w:rPr>
              <w:t>Novčana pomoć umjesto gradnje obiteljske kuće</w:t>
            </w:r>
          </w:p>
        </w:tc>
        <w:tc>
          <w:tcPr>
            <w:tcW w:w="1701" w:type="dxa"/>
            <w:tcBorders>
              <w:top w:val="nil"/>
              <w:left w:val="nil"/>
              <w:bottom w:val="single" w:sz="4" w:space="0" w:color="A6A6A6"/>
              <w:right w:val="single" w:sz="4" w:space="0" w:color="A6A6A6"/>
            </w:tcBorders>
            <w:shd w:val="clear" w:color="000000" w:fill="FFFFFF"/>
            <w:noWrap/>
            <w:vAlign w:val="center"/>
            <w:hideMark/>
          </w:tcPr>
          <w:p w14:paraId="21BBCF40"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38</w:t>
            </w:r>
          </w:p>
        </w:tc>
        <w:tc>
          <w:tcPr>
            <w:tcW w:w="1701" w:type="dxa"/>
            <w:tcBorders>
              <w:top w:val="nil"/>
              <w:left w:val="nil"/>
              <w:bottom w:val="single" w:sz="4" w:space="0" w:color="A6A6A6"/>
              <w:right w:val="single" w:sz="4" w:space="0" w:color="A6A6A6"/>
            </w:tcBorders>
            <w:shd w:val="clear" w:color="000000" w:fill="FFFFFF"/>
            <w:noWrap/>
            <w:vAlign w:val="center"/>
            <w:hideMark/>
          </w:tcPr>
          <w:p w14:paraId="3D0A8E36"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28</w:t>
            </w:r>
          </w:p>
        </w:tc>
        <w:tc>
          <w:tcPr>
            <w:tcW w:w="1701" w:type="dxa"/>
            <w:tcBorders>
              <w:top w:val="nil"/>
              <w:left w:val="nil"/>
              <w:bottom w:val="single" w:sz="4" w:space="0" w:color="A6A6A6"/>
              <w:right w:val="single" w:sz="4" w:space="0" w:color="A6A6A6"/>
            </w:tcBorders>
            <w:shd w:val="clear" w:color="000000" w:fill="FFFFFF"/>
            <w:noWrap/>
            <w:vAlign w:val="center"/>
            <w:hideMark/>
          </w:tcPr>
          <w:p w14:paraId="58FE7DCA" w14:textId="4ADB5129" w:rsidR="00E71BBF" w:rsidRPr="00E71BBF" w:rsidRDefault="00E71BBF" w:rsidP="000A132C">
            <w:pPr>
              <w:spacing w:line="240" w:lineRule="auto"/>
              <w:jc w:val="right"/>
              <w:rPr>
                <w:rFonts w:eastAsia="Times New Roman"/>
                <w:color w:val="000000"/>
                <w:sz w:val="22"/>
                <w:szCs w:val="22"/>
                <w:lang w:eastAsia="hr-HR"/>
              </w:rPr>
            </w:pPr>
            <w:r w:rsidRPr="00E71BBF">
              <w:rPr>
                <w:rFonts w:eastAsia="Times New Roman"/>
                <w:color w:val="000000"/>
                <w:sz w:val="22"/>
                <w:szCs w:val="22"/>
                <w:lang w:eastAsia="hr-HR"/>
              </w:rPr>
              <w:t xml:space="preserve">3.249.439,17 € </w:t>
            </w:r>
          </w:p>
        </w:tc>
      </w:tr>
      <w:tr w:rsidR="00370B8B" w:rsidRPr="00E71BBF" w14:paraId="7FCD1903" w14:textId="77777777" w:rsidTr="007D6D2A">
        <w:trPr>
          <w:trHeight w:val="567"/>
        </w:trPr>
        <w:tc>
          <w:tcPr>
            <w:tcW w:w="3964" w:type="dxa"/>
            <w:tcBorders>
              <w:top w:val="nil"/>
              <w:left w:val="single" w:sz="4" w:space="0" w:color="A6A6A6"/>
              <w:bottom w:val="single" w:sz="4" w:space="0" w:color="A6A6A6"/>
              <w:right w:val="single" w:sz="4" w:space="0" w:color="A6A6A6"/>
            </w:tcBorders>
            <w:shd w:val="clear" w:color="000000" w:fill="FFFFFF"/>
            <w:noWrap/>
            <w:vAlign w:val="center"/>
            <w:hideMark/>
          </w:tcPr>
          <w:p w14:paraId="677DECD7" w14:textId="77777777" w:rsidR="00E71BBF" w:rsidRPr="00E71BBF" w:rsidRDefault="00E71BBF" w:rsidP="00E71BBF">
            <w:pPr>
              <w:spacing w:line="240" w:lineRule="auto"/>
              <w:jc w:val="left"/>
              <w:rPr>
                <w:rFonts w:eastAsia="Times New Roman"/>
                <w:color w:val="000000"/>
                <w:sz w:val="22"/>
                <w:szCs w:val="22"/>
                <w:lang w:eastAsia="hr-HR"/>
              </w:rPr>
            </w:pPr>
            <w:r w:rsidRPr="00E71BBF">
              <w:rPr>
                <w:rFonts w:eastAsia="Times New Roman"/>
                <w:color w:val="000000"/>
                <w:sz w:val="22"/>
                <w:szCs w:val="22"/>
                <w:lang w:eastAsia="hr-HR"/>
              </w:rPr>
              <w:t>Novčana pomoć za kupnju obiteljske kuće ili stana</w:t>
            </w:r>
          </w:p>
        </w:tc>
        <w:tc>
          <w:tcPr>
            <w:tcW w:w="1701" w:type="dxa"/>
            <w:tcBorders>
              <w:top w:val="nil"/>
              <w:left w:val="nil"/>
              <w:bottom w:val="single" w:sz="4" w:space="0" w:color="A6A6A6"/>
              <w:right w:val="single" w:sz="4" w:space="0" w:color="A6A6A6"/>
            </w:tcBorders>
            <w:shd w:val="clear" w:color="000000" w:fill="FFFFFF"/>
            <w:noWrap/>
            <w:vAlign w:val="center"/>
            <w:hideMark/>
          </w:tcPr>
          <w:p w14:paraId="64F3DEBA"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29</w:t>
            </w:r>
          </w:p>
        </w:tc>
        <w:tc>
          <w:tcPr>
            <w:tcW w:w="1701" w:type="dxa"/>
            <w:tcBorders>
              <w:top w:val="nil"/>
              <w:left w:val="nil"/>
              <w:bottom w:val="single" w:sz="4" w:space="0" w:color="A6A6A6"/>
              <w:right w:val="single" w:sz="4" w:space="0" w:color="A6A6A6"/>
            </w:tcBorders>
            <w:shd w:val="clear" w:color="000000" w:fill="FFFFFF"/>
            <w:noWrap/>
            <w:vAlign w:val="center"/>
            <w:hideMark/>
          </w:tcPr>
          <w:p w14:paraId="7AB4719D"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29</w:t>
            </w:r>
          </w:p>
        </w:tc>
        <w:tc>
          <w:tcPr>
            <w:tcW w:w="1701" w:type="dxa"/>
            <w:tcBorders>
              <w:top w:val="nil"/>
              <w:left w:val="nil"/>
              <w:bottom w:val="single" w:sz="4" w:space="0" w:color="A6A6A6"/>
              <w:right w:val="single" w:sz="4" w:space="0" w:color="A6A6A6"/>
            </w:tcBorders>
            <w:shd w:val="clear" w:color="000000" w:fill="FFFFFF"/>
            <w:noWrap/>
            <w:vAlign w:val="center"/>
            <w:hideMark/>
          </w:tcPr>
          <w:p w14:paraId="77779163" w14:textId="3E36F95B" w:rsidR="00E71BBF" w:rsidRPr="00E71BBF" w:rsidRDefault="00E71BBF" w:rsidP="000A132C">
            <w:pPr>
              <w:spacing w:line="240" w:lineRule="auto"/>
              <w:jc w:val="right"/>
              <w:rPr>
                <w:rFonts w:eastAsia="Times New Roman"/>
                <w:color w:val="000000"/>
                <w:sz w:val="22"/>
                <w:szCs w:val="22"/>
                <w:lang w:eastAsia="hr-HR"/>
              </w:rPr>
            </w:pPr>
            <w:r w:rsidRPr="00E71BBF">
              <w:rPr>
                <w:rFonts w:eastAsia="Times New Roman"/>
                <w:color w:val="000000"/>
                <w:sz w:val="22"/>
                <w:szCs w:val="22"/>
                <w:lang w:eastAsia="hr-HR"/>
              </w:rPr>
              <w:t xml:space="preserve">3.106.491,86 € </w:t>
            </w:r>
          </w:p>
        </w:tc>
      </w:tr>
      <w:tr w:rsidR="00370B8B" w:rsidRPr="00E71BBF" w14:paraId="2ACD23BA" w14:textId="77777777" w:rsidTr="007D6D2A">
        <w:trPr>
          <w:trHeight w:val="567"/>
        </w:trPr>
        <w:tc>
          <w:tcPr>
            <w:tcW w:w="3964" w:type="dxa"/>
            <w:tcBorders>
              <w:top w:val="nil"/>
              <w:left w:val="single" w:sz="4" w:space="0" w:color="A6A6A6"/>
              <w:bottom w:val="single" w:sz="4" w:space="0" w:color="A6A6A6"/>
              <w:right w:val="single" w:sz="4" w:space="0" w:color="A6A6A6"/>
            </w:tcBorders>
            <w:shd w:val="clear" w:color="000000" w:fill="FFFFFF"/>
            <w:noWrap/>
            <w:vAlign w:val="center"/>
            <w:hideMark/>
          </w:tcPr>
          <w:p w14:paraId="573B21DE" w14:textId="77777777" w:rsidR="00E71BBF" w:rsidRPr="00E71BBF" w:rsidRDefault="00E71BBF" w:rsidP="00E71BBF">
            <w:pPr>
              <w:spacing w:line="240" w:lineRule="auto"/>
              <w:jc w:val="left"/>
              <w:rPr>
                <w:rFonts w:eastAsia="Times New Roman"/>
                <w:color w:val="000000"/>
                <w:sz w:val="22"/>
                <w:szCs w:val="22"/>
                <w:lang w:eastAsia="hr-HR"/>
              </w:rPr>
            </w:pPr>
            <w:r w:rsidRPr="00E71BBF">
              <w:rPr>
                <w:rFonts w:eastAsia="Times New Roman"/>
                <w:color w:val="000000"/>
                <w:sz w:val="22"/>
                <w:szCs w:val="22"/>
                <w:lang w:eastAsia="hr-HR"/>
              </w:rPr>
              <w:t>Novčana pomoć za uklanjanje i gradnju</w:t>
            </w:r>
          </w:p>
        </w:tc>
        <w:tc>
          <w:tcPr>
            <w:tcW w:w="1701" w:type="dxa"/>
            <w:tcBorders>
              <w:top w:val="nil"/>
              <w:left w:val="nil"/>
              <w:bottom w:val="single" w:sz="4" w:space="0" w:color="A6A6A6"/>
              <w:right w:val="single" w:sz="4" w:space="0" w:color="A6A6A6"/>
            </w:tcBorders>
            <w:shd w:val="clear" w:color="000000" w:fill="FFFFFF"/>
            <w:noWrap/>
            <w:vAlign w:val="center"/>
            <w:hideMark/>
          </w:tcPr>
          <w:p w14:paraId="128F2ADA"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6</w:t>
            </w:r>
          </w:p>
        </w:tc>
        <w:tc>
          <w:tcPr>
            <w:tcW w:w="1701" w:type="dxa"/>
            <w:tcBorders>
              <w:top w:val="nil"/>
              <w:left w:val="nil"/>
              <w:bottom w:val="single" w:sz="4" w:space="0" w:color="A6A6A6"/>
              <w:right w:val="single" w:sz="4" w:space="0" w:color="A6A6A6"/>
            </w:tcBorders>
            <w:shd w:val="clear" w:color="000000" w:fill="FFFFFF"/>
            <w:noWrap/>
            <w:vAlign w:val="center"/>
            <w:hideMark/>
          </w:tcPr>
          <w:p w14:paraId="196BA193"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6</w:t>
            </w:r>
          </w:p>
        </w:tc>
        <w:tc>
          <w:tcPr>
            <w:tcW w:w="1701" w:type="dxa"/>
            <w:tcBorders>
              <w:top w:val="nil"/>
              <w:left w:val="nil"/>
              <w:bottom w:val="single" w:sz="4" w:space="0" w:color="A6A6A6"/>
              <w:right w:val="single" w:sz="4" w:space="0" w:color="A6A6A6"/>
            </w:tcBorders>
            <w:shd w:val="clear" w:color="000000" w:fill="FFFFFF"/>
            <w:noWrap/>
            <w:vAlign w:val="center"/>
            <w:hideMark/>
          </w:tcPr>
          <w:p w14:paraId="5122369B" w14:textId="3674A141" w:rsidR="00E71BBF" w:rsidRPr="00E71BBF" w:rsidRDefault="00E71BBF" w:rsidP="000A132C">
            <w:pPr>
              <w:spacing w:line="240" w:lineRule="auto"/>
              <w:jc w:val="right"/>
              <w:rPr>
                <w:rFonts w:eastAsia="Times New Roman"/>
                <w:color w:val="000000"/>
                <w:sz w:val="22"/>
                <w:szCs w:val="22"/>
                <w:lang w:eastAsia="hr-HR"/>
              </w:rPr>
            </w:pPr>
            <w:r w:rsidRPr="00E71BBF">
              <w:rPr>
                <w:rFonts w:eastAsia="Times New Roman"/>
                <w:color w:val="000000"/>
                <w:sz w:val="22"/>
                <w:szCs w:val="22"/>
                <w:lang w:eastAsia="hr-HR"/>
              </w:rPr>
              <w:t xml:space="preserve">516.967,26 € </w:t>
            </w:r>
          </w:p>
        </w:tc>
      </w:tr>
      <w:tr w:rsidR="00370B8B" w:rsidRPr="00E71BBF" w14:paraId="59A2F8F2" w14:textId="77777777" w:rsidTr="007D6D2A">
        <w:trPr>
          <w:trHeight w:val="567"/>
        </w:trPr>
        <w:tc>
          <w:tcPr>
            <w:tcW w:w="3964" w:type="dxa"/>
            <w:tcBorders>
              <w:top w:val="nil"/>
              <w:left w:val="single" w:sz="4" w:space="0" w:color="A6A6A6"/>
              <w:bottom w:val="single" w:sz="4" w:space="0" w:color="A6A6A6"/>
              <w:right w:val="single" w:sz="4" w:space="0" w:color="A6A6A6"/>
            </w:tcBorders>
            <w:shd w:val="clear" w:color="000000" w:fill="FFFFFF"/>
            <w:noWrap/>
            <w:vAlign w:val="center"/>
            <w:hideMark/>
          </w:tcPr>
          <w:p w14:paraId="10258165" w14:textId="77777777" w:rsidR="00E71BBF" w:rsidRPr="00E71BBF" w:rsidRDefault="00E71BBF" w:rsidP="00E71BBF">
            <w:pPr>
              <w:spacing w:line="240" w:lineRule="auto"/>
              <w:jc w:val="left"/>
              <w:rPr>
                <w:rFonts w:eastAsia="Times New Roman"/>
                <w:color w:val="000000"/>
                <w:sz w:val="22"/>
                <w:szCs w:val="22"/>
                <w:lang w:eastAsia="hr-HR"/>
              </w:rPr>
            </w:pPr>
            <w:r w:rsidRPr="00E71BBF">
              <w:rPr>
                <w:rFonts w:eastAsia="Times New Roman"/>
                <w:color w:val="000000"/>
                <w:sz w:val="22"/>
                <w:szCs w:val="22"/>
                <w:lang w:eastAsia="hr-HR"/>
              </w:rPr>
              <w:t>Trošak opremanja obiteljske kuće</w:t>
            </w:r>
          </w:p>
        </w:tc>
        <w:tc>
          <w:tcPr>
            <w:tcW w:w="1701" w:type="dxa"/>
            <w:tcBorders>
              <w:top w:val="nil"/>
              <w:left w:val="nil"/>
              <w:bottom w:val="single" w:sz="4" w:space="0" w:color="A6A6A6"/>
              <w:right w:val="single" w:sz="4" w:space="0" w:color="A6A6A6"/>
            </w:tcBorders>
            <w:shd w:val="clear" w:color="000000" w:fill="FFFFFF"/>
            <w:noWrap/>
            <w:vAlign w:val="center"/>
            <w:hideMark/>
          </w:tcPr>
          <w:p w14:paraId="09E1C78D"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86</w:t>
            </w:r>
          </w:p>
        </w:tc>
        <w:tc>
          <w:tcPr>
            <w:tcW w:w="1701" w:type="dxa"/>
            <w:tcBorders>
              <w:top w:val="nil"/>
              <w:left w:val="nil"/>
              <w:bottom w:val="single" w:sz="4" w:space="0" w:color="A6A6A6"/>
              <w:right w:val="single" w:sz="4" w:space="0" w:color="A6A6A6"/>
            </w:tcBorders>
            <w:shd w:val="clear" w:color="000000" w:fill="FFFFFF"/>
            <w:noWrap/>
            <w:vAlign w:val="center"/>
            <w:hideMark/>
          </w:tcPr>
          <w:p w14:paraId="35B1271E" w14:textId="77777777" w:rsidR="00E71BBF" w:rsidRPr="00E71BBF" w:rsidRDefault="00E71BBF" w:rsidP="00E71BBF">
            <w:pPr>
              <w:spacing w:line="240" w:lineRule="auto"/>
              <w:jc w:val="center"/>
              <w:rPr>
                <w:rFonts w:eastAsia="Times New Roman"/>
                <w:color w:val="000000"/>
                <w:sz w:val="22"/>
                <w:szCs w:val="22"/>
                <w:lang w:eastAsia="hr-HR"/>
              </w:rPr>
            </w:pPr>
            <w:r w:rsidRPr="00E71BBF">
              <w:rPr>
                <w:rFonts w:eastAsia="Times New Roman"/>
                <w:color w:val="000000"/>
                <w:sz w:val="22"/>
                <w:szCs w:val="22"/>
                <w:lang w:eastAsia="hr-HR"/>
              </w:rPr>
              <w:t>86</w:t>
            </w:r>
          </w:p>
        </w:tc>
        <w:tc>
          <w:tcPr>
            <w:tcW w:w="1701" w:type="dxa"/>
            <w:tcBorders>
              <w:top w:val="nil"/>
              <w:left w:val="nil"/>
              <w:bottom w:val="single" w:sz="4" w:space="0" w:color="A6A6A6"/>
              <w:right w:val="single" w:sz="4" w:space="0" w:color="A6A6A6"/>
            </w:tcBorders>
            <w:shd w:val="clear" w:color="000000" w:fill="FFFFFF"/>
            <w:noWrap/>
            <w:vAlign w:val="center"/>
            <w:hideMark/>
          </w:tcPr>
          <w:p w14:paraId="68367AE5" w14:textId="2E3D49F2" w:rsidR="00E71BBF" w:rsidRPr="00E71BBF" w:rsidRDefault="00E71BBF" w:rsidP="000A132C">
            <w:pPr>
              <w:spacing w:line="240" w:lineRule="auto"/>
              <w:jc w:val="right"/>
              <w:rPr>
                <w:rFonts w:eastAsia="Times New Roman"/>
                <w:color w:val="000000"/>
                <w:sz w:val="22"/>
                <w:szCs w:val="22"/>
                <w:lang w:eastAsia="hr-HR"/>
              </w:rPr>
            </w:pPr>
            <w:r w:rsidRPr="00E71BBF">
              <w:rPr>
                <w:rFonts w:eastAsia="Times New Roman"/>
                <w:color w:val="000000"/>
                <w:sz w:val="22"/>
                <w:szCs w:val="22"/>
                <w:lang w:eastAsia="hr-HR"/>
              </w:rPr>
              <w:t xml:space="preserve">663.879,68 € </w:t>
            </w:r>
          </w:p>
        </w:tc>
      </w:tr>
      <w:tr w:rsidR="00370B8B" w:rsidRPr="00E71BBF" w14:paraId="0F9A0037" w14:textId="77777777" w:rsidTr="007D6D2A">
        <w:trPr>
          <w:trHeight w:val="567"/>
        </w:trPr>
        <w:tc>
          <w:tcPr>
            <w:tcW w:w="3964" w:type="dxa"/>
            <w:tcBorders>
              <w:top w:val="nil"/>
              <w:left w:val="single" w:sz="4" w:space="0" w:color="A6A6A6"/>
              <w:bottom w:val="single" w:sz="4" w:space="0" w:color="A6A6A6"/>
              <w:right w:val="single" w:sz="4" w:space="0" w:color="A6A6A6"/>
            </w:tcBorders>
            <w:shd w:val="clear" w:color="000000" w:fill="002060"/>
            <w:noWrap/>
            <w:vAlign w:val="center"/>
            <w:hideMark/>
          </w:tcPr>
          <w:p w14:paraId="0E72B62C" w14:textId="77777777" w:rsidR="00E71BBF" w:rsidRPr="00E71BBF" w:rsidRDefault="00E71BBF" w:rsidP="00E71BBF">
            <w:pPr>
              <w:spacing w:line="240" w:lineRule="auto"/>
              <w:jc w:val="left"/>
              <w:rPr>
                <w:rFonts w:eastAsia="Times New Roman"/>
                <w:color w:val="FFFFFF"/>
                <w:sz w:val="22"/>
                <w:szCs w:val="22"/>
                <w:lang w:eastAsia="hr-HR"/>
              </w:rPr>
            </w:pPr>
            <w:r w:rsidRPr="00E71BBF">
              <w:rPr>
                <w:rFonts w:eastAsia="Times New Roman"/>
                <w:color w:val="FFFFFF"/>
                <w:sz w:val="22"/>
                <w:szCs w:val="22"/>
                <w:lang w:eastAsia="hr-HR"/>
              </w:rPr>
              <w:t>UKUPNO</w:t>
            </w:r>
          </w:p>
        </w:tc>
        <w:tc>
          <w:tcPr>
            <w:tcW w:w="1701" w:type="dxa"/>
            <w:tcBorders>
              <w:top w:val="nil"/>
              <w:left w:val="nil"/>
              <w:bottom w:val="single" w:sz="4" w:space="0" w:color="A6A6A6"/>
              <w:right w:val="single" w:sz="4" w:space="0" w:color="A6A6A6"/>
            </w:tcBorders>
            <w:shd w:val="clear" w:color="000000" w:fill="002060"/>
            <w:noWrap/>
            <w:vAlign w:val="center"/>
            <w:hideMark/>
          </w:tcPr>
          <w:p w14:paraId="61C37E5D" w14:textId="77777777" w:rsidR="00E71BBF" w:rsidRPr="00E71BBF" w:rsidRDefault="00E71BBF" w:rsidP="00E71BBF">
            <w:pPr>
              <w:spacing w:line="240" w:lineRule="auto"/>
              <w:jc w:val="center"/>
              <w:rPr>
                <w:rFonts w:eastAsia="Times New Roman"/>
                <w:color w:val="FFFFFF"/>
                <w:sz w:val="22"/>
                <w:szCs w:val="22"/>
                <w:lang w:eastAsia="hr-HR"/>
              </w:rPr>
            </w:pPr>
            <w:r w:rsidRPr="00E71BBF">
              <w:rPr>
                <w:rFonts w:eastAsia="Times New Roman"/>
                <w:color w:val="FFFFFF"/>
                <w:sz w:val="22"/>
                <w:szCs w:val="22"/>
                <w:lang w:eastAsia="hr-HR"/>
              </w:rPr>
              <w:t>159</w:t>
            </w:r>
          </w:p>
        </w:tc>
        <w:tc>
          <w:tcPr>
            <w:tcW w:w="1701" w:type="dxa"/>
            <w:tcBorders>
              <w:top w:val="nil"/>
              <w:left w:val="nil"/>
              <w:bottom w:val="single" w:sz="4" w:space="0" w:color="A6A6A6"/>
              <w:right w:val="single" w:sz="4" w:space="0" w:color="A6A6A6"/>
            </w:tcBorders>
            <w:shd w:val="clear" w:color="000000" w:fill="002060"/>
            <w:noWrap/>
            <w:vAlign w:val="center"/>
            <w:hideMark/>
          </w:tcPr>
          <w:p w14:paraId="23D3A176" w14:textId="77777777" w:rsidR="00E71BBF" w:rsidRPr="00E71BBF" w:rsidRDefault="00E71BBF" w:rsidP="00E71BBF">
            <w:pPr>
              <w:spacing w:line="240" w:lineRule="auto"/>
              <w:jc w:val="center"/>
              <w:rPr>
                <w:rFonts w:eastAsia="Times New Roman"/>
                <w:color w:val="FFFFFF"/>
                <w:sz w:val="22"/>
                <w:szCs w:val="22"/>
                <w:lang w:eastAsia="hr-HR"/>
              </w:rPr>
            </w:pPr>
            <w:r w:rsidRPr="00E71BBF">
              <w:rPr>
                <w:rFonts w:eastAsia="Times New Roman"/>
                <w:color w:val="FFFFFF"/>
                <w:sz w:val="22"/>
                <w:szCs w:val="22"/>
                <w:lang w:eastAsia="hr-HR"/>
              </w:rPr>
              <w:t>149</w:t>
            </w:r>
          </w:p>
        </w:tc>
        <w:tc>
          <w:tcPr>
            <w:tcW w:w="1701" w:type="dxa"/>
            <w:tcBorders>
              <w:top w:val="nil"/>
              <w:left w:val="nil"/>
              <w:bottom w:val="single" w:sz="4" w:space="0" w:color="A6A6A6"/>
              <w:right w:val="single" w:sz="4" w:space="0" w:color="A6A6A6"/>
            </w:tcBorders>
            <w:shd w:val="clear" w:color="000000" w:fill="002060"/>
            <w:noWrap/>
            <w:vAlign w:val="center"/>
            <w:hideMark/>
          </w:tcPr>
          <w:p w14:paraId="08E5E005" w14:textId="3E29EFC6" w:rsidR="00E71BBF" w:rsidRPr="00E71BBF" w:rsidRDefault="00E71BBF" w:rsidP="000A132C">
            <w:pPr>
              <w:spacing w:line="240" w:lineRule="auto"/>
              <w:jc w:val="right"/>
              <w:rPr>
                <w:rFonts w:eastAsia="Times New Roman"/>
                <w:color w:val="FFFFFF"/>
                <w:sz w:val="22"/>
                <w:szCs w:val="22"/>
                <w:lang w:eastAsia="hr-HR"/>
              </w:rPr>
            </w:pPr>
            <w:r w:rsidRPr="00E71BBF">
              <w:rPr>
                <w:rFonts w:eastAsia="Times New Roman"/>
                <w:color w:val="FFFFFF"/>
                <w:sz w:val="22"/>
                <w:szCs w:val="22"/>
                <w:lang w:eastAsia="hr-HR"/>
              </w:rPr>
              <w:t xml:space="preserve">7.536.777,97 € </w:t>
            </w:r>
          </w:p>
        </w:tc>
      </w:tr>
    </w:tbl>
    <w:p w14:paraId="1E2E5D1A" w14:textId="77777777" w:rsidR="00370B8B" w:rsidRDefault="00370B8B" w:rsidP="00D76734">
      <w:pPr>
        <w:spacing w:before="60" w:after="60"/>
      </w:pPr>
    </w:p>
    <w:p w14:paraId="28B2CE4C" w14:textId="0DD4A25D" w:rsidR="007A394E" w:rsidRPr="000A132C" w:rsidRDefault="007A394E" w:rsidP="00D76734">
      <w:pPr>
        <w:spacing w:before="60" w:after="60"/>
        <w:rPr>
          <w:i/>
          <w:iCs/>
        </w:rPr>
      </w:pPr>
      <w:r w:rsidRPr="000A132C">
        <w:rPr>
          <w:i/>
          <w:iCs/>
        </w:rPr>
        <w:t>Pregled isplata novčanih pomoći umjesto gradnje na posebne račune</w:t>
      </w:r>
    </w:p>
    <w:tbl>
      <w:tblPr>
        <w:tblW w:w="9067" w:type="dxa"/>
        <w:tblLayout w:type="fixed"/>
        <w:tblLook w:val="04A0" w:firstRow="1" w:lastRow="0" w:firstColumn="1" w:lastColumn="0" w:noHBand="0" w:noVBand="1"/>
      </w:tblPr>
      <w:tblGrid>
        <w:gridCol w:w="5098"/>
        <w:gridCol w:w="1984"/>
        <w:gridCol w:w="1985"/>
      </w:tblGrid>
      <w:tr w:rsidR="00160BB3" w:rsidRPr="00160BB3" w14:paraId="3B38F79B" w14:textId="77777777" w:rsidTr="001E0D3F">
        <w:trPr>
          <w:trHeight w:val="454"/>
        </w:trPr>
        <w:tc>
          <w:tcPr>
            <w:tcW w:w="5098"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16AFB01D" w14:textId="77777777" w:rsidR="00160BB3" w:rsidRPr="00160BB3" w:rsidRDefault="00160BB3" w:rsidP="00160BB3">
            <w:pPr>
              <w:spacing w:line="240" w:lineRule="auto"/>
              <w:jc w:val="center"/>
              <w:rPr>
                <w:rFonts w:eastAsia="Times New Roman"/>
                <w:color w:val="FFFFFF"/>
                <w:sz w:val="22"/>
                <w:szCs w:val="22"/>
                <w:lang w:eastAsia="hr-HR"/>
              </w:rPr>
            </w:pPr>
            <w:r w:rsidRPr="00160BB3">
              <w:rPr>
                <w:rFonts w:eastAsia="Times New Roman"/>
                <w:color w:val="FFFFFF"/>
                <w:sz w:val="22"/>
                <w:szCs w:val="22"/>
                <w:lang w:eastAsia="hr-HR"/>
              </w:rPr>
              <w:t>BANKA</w:t>
            </w:r>
          </w:p>
        </w:tc>
        <w:tc>
          <w:tcPr>
            <w:tcW w:w="1984" w:type="dxa"/>
            <w:tcBorders>
              <w:top w:val="single" w:sz="4" w:space="0" w:color="A6A6A6"/>
              <w:left w:val="nil"/>
              <w:bottom w:val="single" w:sz="4" w:space="0" w:color="A6A6A6"/>
              <w:right w:val="single" w:sz="4" w:space="0" w:color="A6A6A6"/>
            </w:tcBorders>
            <w:shd w:val="clear" w:color="000000" w:fill="002060"/>
            <w:vAlign w:val="center"/>
            <w:hideMark/>
          </w:tcPr>
          <w:p w14:paraId="6D041975" w14:textId="77777777" w:rsidR="00160BB3" w:rsidRPr="00160BB3" w:rsidRDefault="00160BB3" w:rsidP="00160BB3">
            <w:pPr>
              <w:spacing w:line="240" w:lineRule="auto"/>
              <w:jc w:val="center"/>
              <w:rPr>
                <w:rFonts w:eastAsia="Times New Roman"/>
                <w:color w:val="FFFFFF"/>
                <w:sz w:val="22"/>
                <w:szCs w:val="22"/>
                <w:lang w:eastAsia="hr-HR"/>
              </w:rPr>
            </w:pPr>
            <w:r w:rsidRPr="00160BB3">
              <w:rPr>
                <w:rFonts w:eastAsia="Times New Roman"/>
                <w:color w:val="FFFFFF"/>
                <w:sz w:val="22"/>
                <w:szCs w:val="22"/>
                <w:lang w:eastAsia="hr-HR"/>
              </w:rPr>
              <w:t>Broj isplata</w:t>
            </w:r>
          </w:p>
        </w:tc>
        <w:tc>
          <w:tcPr>
            <w:tcW w:w="1985" w:type="dxa"/>
            <w:tcBorders>
              <w:top w:val="single" w:sz="4" w:space="0" w:color="A6A6A6"/>
              <w:left w:val="nil"/>
              <w:bottom w:val="single" w:sz="4" w:space="0" w:color="A6A6A6"/>
              <w:right w:val="single" w:sz="4" w:space="0" w:color="A6A6A6"/>
            </w:tcBorders>
            <w:shd w:val="clear" w:color="000000" w:fill="002060"/>
            <w:vAlign w:val="center"/>
            <w:hideMark/>
          </w:tcPr>
          <w:p w14:paraId="51517DF0" w14:textId="77777777" w:rsidR="00160BB3" w:rsidRPr="00160BB3" w:rsidRDefault="00160BB3" w:rsidP="00160BB3">
            <w:pPr>
              <w:spacing w:line="240" w:lineRule="auto"/>
              <w:jc w:val="center"/>
              <w:rPr>
                <w:rFonts w:eastAsia="Times New Roman"/>
                <w:color w:val="FFFFFF"/>
                <w:sz w:val="22"/>
                <w:szCs w:val="22"/>
                <w:lang w:eastAsia="hr-HR"/>
              </w:rPr>
            </w:pPr>
            <w:r w:rsidRPr="00160BB3">
              <w:rPr>
                <w:rFonts w:eastAsia="Times New Roman"/>
                <w:color w:val="FFFFFF"/>
                <w:sz w:val="22"/>
                <w:szCs w:val="22"/>
                <w:lang w:eastAsia="hr-HR"/>
              </w:rPr>
              <w:t>Ukupno isplaćeno</w:t>
            </w:r>
          </w:p>
        </w:tc>
      </w:tr>
      <w:tr w:rsidR="00160BB3" w:rsidRPr="00160BB3" w14:paraId="5906C87B" w14:textId="77777777" w:rsidTr="001E0D3F">
        <w:trPr>
          <w:trHeight w:val="454"/>
        </w:trPr>
        <w:tc>
          <w:tcPr>
            <w:tcW w:w="5098" w:type="dxa"/>
            <w:tcBorders>
              <w:top w:val="nil"/>
              <w:left w:val="single" w:sz="4" w:space="0" w:color="A6A6A6"/>
              <w:bottom w:val="single" w:sz="4" w:space="0" w:color="A6A6A6"/>
              <w:right w:val="single" w:sz="4" w:space="0" w:color="A6A6A6"/>
            </w:tcBorders>
            <w:shd w:val="clear" w:color="000000" w:fill="FFFFFF"/>
            <w:noWrap/>
            <w:vAlign w:val="center"/>
            <w:hideMark/>
          </w:tcPr>
          <w:p w14:paraId="7EC67F37" w14:textId="77777777" w:rsidR="00160BB3" w:rsidRPr="00160BB3" w:rsidRDefault="00160BB3" w:rsidP="00160BB3">
            <w:pPr>
              <w:spacing w:line="240" w:lineRule="auto"/>
              <w:jc w:val="left"/>
              <w:rPr>
                <w:rFonts w:eastAsia="Times New Roman"/>
                <w:color w:val="000000"/>
                <w:sz w:val="22"/>
                <w:szCs w:val="22"/>
                <w:lang w:eastAsia="hr-HR"/>
              </w:rPr>
            </w:pPr>
            <w:r w:rsidRPr="00160BB3">
              <w:rPr>
                <w:rFonts w:eastAsia="Times New Roman"/>
                <w:color w:val="000000"/>
                <w:sz w:val="22"/>
                <w:szCs w:val="22"/>
                <w:lang w:eastAsia="hr-HR"/>
              </w:rPr>
              <w:t>ERSTE &amp;STEIERMÄRKISCHE BANK d.d. Rijeka</w:t>
            </w:r>
          </w:p>
        </w:tc>
        <w:tc>
          <w:tcPr>
            <w:tcW w:w="1984" w:type="dxa"/>
            <w:tcBorders>
              <w:top w:val="nil"/>
              <w:left w:val="nil"/>
              <w:bottom w:val="single" w:sz="4" w:space="0" w:color="A6A6A6"/>
              <w:right w:val="single" w:sz="4" w:space="0" w:color="A6A6A6"/>
            </w:tcBorders>
            <w:shd w:val="clear" w:color="000000" w:fill="FFFFFF"/>
            <w:noWrap/>
            <w:vAlign w:val="center"/>
            <w:hideMark/>
          </w:tcPr>
          <w:p w14:paraId="200B4C0E" w14:textId="77777777" w:rsidR="00160BB3" w:rsidRPr="00160BB3" w:rsidRDefault="00160BB3" w:rsidP="00160BB3">
            <w:pPr>
              <w:spacing w:line="240" w:lineRule="auto"/>
              <w:jc w:val="center"/>
              <w:rPr>
                <w:rFonts w:eastAsia="Times New Roman"/>
                <w:color w:val="000000"/>
                <w:sz w:val="22"/>
                <w:szCs w:val="22"/>
                <w:lang w:eastAsia="hr-HR"/>
              </w:rPr>
            </w:pPr>
            <w:r w:rsidRPr="00160BB3">
              <w:rPr>
                <w:rFonts w:eastAsia="Times New Roman"/>
                <w:color w:val="000000"/>
                <w:sz w:val="22"/>
                <w:szCs w:val="22"/>
                <w:lang w:eastAsia="hr-HR"/>
              </w:rPr>
              <w:t>29</w:t>
            </w:r>
          </w:p>
        </w:tc>
        <w:tc>
          <w:tcPr>
            <w:tcW w:w="1985" w:type="dxa"/>
            <w:tcBorders>
              <w:top w:val="nil"/>
              <w:left w:val="nil"/>
              <w:bottom w:val="single" w:sz="4" w:space="0" w:color="A6A6A6"/>
              <w:right w:val="single" w:sz="4" w:space="0" w:color="A6A6A6"/>
            </w:tcBorders>
            <w:shd w:val="clear" w:color="000000" w:fill="FFFFFF"/>
            <w:noWrap/>
            <w:vAlign w:val="center"/>
            <w:hideMark/>
          </w:tcPr>
          <w:p w14:paraId="6C717E4A" w14:textId="64C60EAC" w:rsidR="00160BB3" w:rsidRPr="00160BB3" w:rsidRDefault="00160BB3" w:rsidP="000A132C">
            <w:pPr>
              <w:spacing w:line="240" w:lineRule="auto"/>
              <w:jc w:val="right"/>
              <w:rPr>
                <w:rFonts w:eastAsia="Times New Roman"/>
                <w:color w:val="000000"/>
                <w:sz w:val="22"/>
                <w:szCs w:val="22"/>
                <w:lang w:eastAsia="hr-HR"/>
              </w:rPr>
            </w:pPr>
            <w:r w:rsidRPr="00160BB3">
              <w:rPr>
                <w:rFonts w:eastAsia="Times New Roman"/>
                <w:color w:val="000000"/>
                <w:sz w:val="22"/>
                <w:szCs w:val="22"/>
                <w:lang w:eastAsia="hr-HR"/>
              </w:rPr>
              <w:t xml:space="preserve">3.843.432,53 € </w:t>
            </w:r>
          </w:p>
        </w:tc>
      </w:tr>
      <w:tr w:rsidR="00160BB3" w:rsidRPr="00160BB3" w14:paraId="30E10CED" w14:textId="77777777" w:rsidTr="001E0D3F">
        <w:trPr>
          <w:trHeight w:val="454"/>
        </w:trPr>
        <w:tc>
          <w:tcPr>
            <w:tcW w:w="5098" w:type="dxa"/>
            <w:tcBorders>
              <w:top w:val="nil"/>
              <w:left w:val="single" w:sz="4" w:space="0" w:color="A6A6A6"/>
              <w:bottom w:val="single" w:sz="4" w:space="0" w:color="A6A6A6"/>
              <w:right w:val="single" w:sz="4" w:space="0" w:color="A6A6A6"/>
            </w:tcBorders>
            <w:shd w:val="clear" w:color="000000" w:fill="FFFFFF"/>
            <w:noWrap/>
            <w:vAlign w:val="center"/>
            <w:hideMark/>
          </w:tcPr>
          <w:p w14:paraId="7445EA3A" w14:textId="77777777" w:rsidR="00160BB3" w:rsidRPr="00160BB3" w:rsidRDefault="00160BB3" w:rsidP="00160BB3">
            <w:pPr>
              <w:spacing w:line="240" w:lineRule="auto"/>
              <w:jc w:val="left"/>
              <w:rPr>
                <w:rFonts w:eastAsia="Times New Roman"/>
                <w:color w:val="000000"/>
                <w:sz w:val="22"/>
                <w:szCs w:val="22"/>
                <w:lang w:eastAsia="hr-HR"/>
              </w:rPr>
            </w:pPr>
            <w:r w:rsidRPr="00160BB3">
              <w:rPr>
                <w:rFonts w:eastAsia="Times New Roman"/>
                <w:color w:val="000000"/>
                <w:sz w:val="22"/>
                <w:szCs w:val="22"/>
                <w:lang w:eastAsia="hr-HR"/>
              </w:rPr>
              <w:t>HRVATSKA POŠTANSKA BANKA d.d. Zagreb</w:t>
            </w:r>
          </w:p>
        </w:tc>
        <w:tc>
          <w:tcPr>
            <w:tcW w:w="1984" w:type="dxa"/>
            <w:tcBorders>
              <w:top w:val="nil"/>
              <w:left w:val="nil"/>
              <w:bottom w:val="single" w:sz="4" w:space="0" w:color="A6A6A6"/>
              <w:right w:val="single" w:sz="4" w:space="0" w:color="A6A6A6"/>
            </w:tcBorders>
            <w:shd w:val="clear" w:color="000000" w:fill="FFFFFF"/>
            <w:noWrap/>
            <w:vAlign w:val="center"/>
            <w:hideMark/>
          </w:tcPr>
          <w:p w14:paraId="3937A137" w14:textId="77777777" w:rsidR="00160BB3" w:rsidRPr="00160BB3" w:rsidRDefault="00160BB3" w:rsidP="00160BB3">
            <w:pPr>
              <w:spacing w:line="240" w:lineRule="auto"/>
              <w:jc w:val="center"/>
              <w:rPr>
                <w:rFonts w:eastAsia="Times New Roman"/>
                <w:color w:val="000000"/>
                <w:sz w:val="22"/>
                <w:szCs w:val="22"/>
                <w:lang w:eastAsia="hr-HR"/>
              </w:rPr>
            </w:pPr>
            <w:r w:rsidRPr="00160BB3">
              <w:rPr>
                <w:rFonts w:eastAsia="Times New Roman"/>
                <w:color w:val="000000"/>
                <w:sz w:val="22"/>
                <w:szCs w:val="22"/>
                <w:lang w:eastAsia="hr-HR"/>
              </w:rPr>
              <w:t>4</w:t>
            </w:r>
          </w:p>
        </w:tc>
        <w:tc>
          <w:tcPr>
            <w:tcW w:w="1985" w:type="dxa"/>
            <w:tcBorders>
              <w:top w:val="nil"/>
              <w:left w:val="nil"/>
              <w:bottom w:val="single" w:sz="4" w:space="0" w:color="A6A6A6"/>
              <w:right w:val="single" w:sz="4" w:space="0" w:color="A6A6A6"/>
            </w:tcBorders>
            <w:shd w:val="clear" w:color="000000" w:fill="FFFFFF"/>
            <w:noWrap/>
            <w:vAlign w:val="center"/>
            <w:hideMark/>
          </w:tcPr>
          <w:p w14:paraId="2630956C" w14:textId="0F9D79E7" w:rsidR="00160BB3" w:rsidRPr="00160BB3" w:rsidRDefault="00160BB3" w:rsidP="000A132C">
            <w:pPr>
              <w:spacing w:line="240" w:lineRule="auto"/>
              <w:jc w:val="right"/>
              <w:rPr>
                <w:rFonts w:eastAsia="Times New Roman"/>
                <w:color w:val="000000"/>
                <w:sz w:val="22"/>
                <w:szCs w:val="22"/>
                <w:lang w:eastAsia="hr-HR"/>
              </w:rPr>
            </w:pPr>
            <w:r w:rsidRPr="00160BB3">
              <w:rPr>
                <w:rFonts w:eastAsia="Times New Roman"/>
                <w:color w:val="000000"/>
                <w:sz w:val="22"/>
                <w:szCs w:val="22"/>
                <w:lang w:eastAsia="hr-HR"/>
              </w:rPr>
              <w:t xml:space="preserve">472.346,09 € </w:t>
            </w:r>
          </w:p>
        </w:tc>
      </w:tr>
      <w:tr w:rsidR="00160BB3" w:rsidRPr="00160BB3" w14:paraId="218E0AAC" w14:textId="77777777" w:rsidTr="001E0D3F">
        <w:trPr>
          <w:trHeight w:val="454"/>
        </w:trPr>
        <w:tc>
          <w:tcPr>
            <w:tcW w:w="5098" w:type="dxa"/>
            <w:tcBorders>
              <w:top w:val="nil"/>
              <w:left w:val="single" w:sz="4" w:space="0" w:color="A6A6A6"/>
              <w:bottom w:val="single" w:sz="4" w:space="0" w:color="A6A6A6"/>
              <w:right w:val="single" w:sz="4" w:space="0" w:color="A6A6A6"/>
            </w:tcBorders>
            <w:shd w:val="clear" w:color="000000" w:fill="FFFFFF"/>
            <w:noWrap/>
            <w:vAlign w:val="center"/>
            <w:hideMark/>
          </w:tcPr>
          <w:p w14:paraId="44B9BEE2" w14:textId="77777777" w:rsidR="00160BB3" w:rsidRPr="00160BB3" w:rsidRDefault="00160BB3" w:rsidP="00160BB3">
            <w:pPr>
              <w:spacing w:line="240" w:lineRule="auto"/>
              <w:jc w:val="left"/>
              <w:rPr>
                <w:rFonts w:eastAsia="Times New Roman"/>
                <w:color w:val="000000"/>
                <w:sz w:val="22"/>
                <w:szCs w:val="22"/>
                <w:lang w:eastAsia="hr-HR"/>
              </w:rPr>
            </w:pPr>
            <w:r w:rsidRPr="00160BB3">
              <w:rPr>
                <w:rFonts w:eastAsia="Times New Roman"/>
                <w:color w:val="000000"/>
                <w:sz w:val="22"/>
                <w:szCs w:val="22"/>
                <w:lang w:eastAsia="hr-HR"/>
              </w:rPr>
              <w:t>OTP BANKA d.d. Split</w:t>
            </w:r>
          </w:p>
        </w:tc>
        <w:tc>
          <w:tcPr>
            <w:tcW w:w="1984" w:type="dxa"/>
            <w:tcBorders>
              <w:top w:val="nil"/>
              <w:left w:val="nil"/>
              <w:bottom w:val="single" w:sz="4" w:space="0" w:color="A6A6A6"/>
              <w:right w:val="single" w:sz="4" w:space="0" w:color="A6A6A6"/>
            </w:tcBorders>
            <w:shd w:val="clear" w:color="000000" w:fill="FFFFFF"/>
            <w:noWrap/>
            <w:vAlign w:val="center"/>
            <w:hideMark/>
          </w:tcPr>
          <w:p w14:paraId="24DCB553" w14:textId="77777777" w:rsidR="00160BB3" w:rsidRPr="00160BB3" w:rsidRDefault="00160BB3" w:rsidP="00160BB3">
            <w:pPr>
              <w:spacing w:line="240" w:lineRule="auto"/>
              <w:jc w:val="center"/>
              <w:rPr>
                <w:rFonts w:eastAsia="Times New Roman"/>
                <w:color w:val="000000"/>
                <w:sz w:val="22"/>
                <w:szCs w:val="22"/>
                <w:lang w:eastAsia="hr-HR"/>
              </w:rPr>
            </w:pPr>
            <w:r w:rsidRPr="00160BB3">
              <w:rPr>
                <w:rFonts w:eastAsia="Times New Roman"/>
                <w:color w:val="000000"/>
                <w:sz w:val="22"/>
                <w:szCs w:val="22"/>
                <w:lang w:eastAsia="hr-HR"/>
              </w:rPr>
              <w:t>3</w:t>
            </w:r>
          </w:p>
        </w:tc>
        <w:tc>
          <w:tcPr>
            <w:tcW w:w="1985" w:type="dxa"/>
            <w:tcBorders>
              <w:top w:val="nil"/>
              <w:left w:val="nil"/>
              <w:bottom w:val="single" w:sz="4" w:space="0" w:color="A6A6A6"/>
              <w:right w:val="single" w:sz="4" w:space="0" w:color="A6A6A6"/>
            </w:tcBorders>
            <w:shd w:val="clear" w:color="000000" w:fill="FFFFFF"/>
            <w:noWrap/>
            <w:vAlign w:val="center"/>
            <w:hideMark/>
          </w:tcPr>
          <w:p w14:paraId="42250718" w14:textId="7E1D4608" w:rsidR="00160BB3" w:rsidRPr="00160BB3" w:rsidRDefault="00160BB3" w:rsidP="000A132C">
            <w:pPr>
              <w:spacing w:line="240" w:lineRule="auto"/>
              <w:jc w:val="right"/>
              <w:rPr>
                <w:rFonts w:eastAsia="Times New Roman"/>
                <w:color w:val="000000"/>
                <w:sz w:val="22"/>
                <w:szCs w:val="22"/>
                <w:lang w:eastAsia="hr-HR"/>
              </w:rPr>
            </w:pPr>
            <w:r w:rsidRPr="00160BB3">
              <w:rPr>
                <w:rFonts w:eastAsia="Times New Roman"/>
                <w:color w:val="000000"/>
                <w:sz w:val="22"/>
                <w:szCs w:val="22"/>
                <w:lang w:eastAsia="hr-HR"/>
              </w:rPr>
              <w:t xml:space="preserve">356.967,28 € </w:t>
            </w:r>
          </w:p>
        </w:tc>
      </w:tr>
      <w:tr w:rsidR="00160BB3" w:rsidRPr="00160BB3" w14:paraId="0F981305" w14:textId="77777777" w:rsidTr="001E0D3F">
        <w:trPr>
          <w:trHeight w:val="454"/>
        </w:trPr>
        <w:tc>
          <w:tcPr>
            <w:tcW w:w="5098" w:type="dxa"/>
            <w:tcBorders>
              <w:top w:val="nil"/>
              <w:left w:val="single" w:sz="4" w:space="0" w:color="A6A6A6"/>
              <w:bottom w:val="single" w:sz="4" w:space="0" w:color="A6A6A6"/>
              <w:right w:val="single" w:sz="4" w:space="0" w:color="A6A6A6"/>
            </w:tcBorders>
            <w:shd w:val="clear" w:color="000000" w:fill="FFFFFF"/>
            <w:noWrap/>
            <w:vAlign w:val="center"/>
            <w:hideMark/>
          </w:tcPr>
          <w:p w14:paraId="613C31FD" w14:textId="77777777" w:rsidR="00160BB3" w:rsidRPr="00160BB3" w:rsidRDefault="00160BB3" w:rsidP="00160BB3">
            <w:pPr>
              <w:spacing w:line="240" w:lineRule="auto"/>
              <w:jc w:val="left"/>
              <w:rPr>
                <w:rFonts w:eastAsia="Times New Roman"/>
                <w:color w:val="000000"/>
                <w:sz w:val="22"/>
                <w:szCs w:val="22"/>
                <w:lang w:eastAsia="hr-HR"/>
              </w:rPr>
            </w:pPr>
            <w:r w:rsidRPr="00160BB3">
              <w:rPr>
                <w:rFonts w:eastAsia="Times New Roman"/>
                <w:color w:val="000000"/>
                <w:sz w:val="22"/>
                <w:szCs w:val="22"/>
                <w:lang w:eastAsia="hr-HR"/>
              </w:rPr>
              <w:t>PRIVREDNA BANKA ZAGREB d.d. Zagreb</w:t>
            </w:r>
          </w:p>
        </w:tc>
        <w:tc>
          <w:tcPr>
            <w:tcW w:w="1984" w:type="dxa"/>
            <w:tcBorders>
              <w:top w:val="nil"/>
              <w:left w:val="nil"/>
              <w:bottom w:val="single" w:sz="4" w:space="0" w:color="A6A6A6"/>
              <w:right w:val="single" w:sz="4" w:space="0" w:color="A6A6A6"/>
            </w:tcBorders>
            <w:shd w:val="clear" w:color="000000" w:fill="FFFFFF"/>
            <w:noWrap/>
            <w:vAlign w:val="center"/>
            <w:hideMark/>
          </w:tcPr>
          <w:p w14:paraId="5D569804" w14:textId="77777777" w:rsidR="00160BB3" w:rsidRPr="00160BB3" w:rsidRDefault="00160BB3" w:rsidP="00160BB3">
            <w:pPr>
              <w:spacing w:line="240" w:lineRule="auto"/>
              <w:jc w:val="center"/>
              <w:rPr>
                <w:rFonts w:eastAsia="Times New Roman"/>
                <w:color w:val="000000"/>
                <w:sz w:val="22"/>
                <w:szCs w:val="22"/>
                <w:lang w:eastAsia="hr-HR"/>
              </w:rPr>
            </w:pPr>
            <w:r w:rsidRPr="00160BB3">
              <w:rPr>
                <w:rFonts w:eastAsia="Times New Roman"/>
                <w:color w:val="000000"/>
                <w:sz w:val="22"/>
                <w:szCs w:val="22"/>
                <w:lang w:eastAsia="hr-HR"/>
              </w:rPr>
              <w:t>5</w:t>
            </w:r>
          </w:p>
        </w:tc>
        <w:tc>
          <w:tcPr>
            <w:tcW w:w="1985" w:type="dxa"/>
            <w:tcBorders>
              <w:top w:val="nil"/>
              <w:left w:val="nil"/>
              <w:bottom w:val="single" w:sz="4" w:space="0" w:color="A6A6A6"/>
              <w:right w:val="single" w:sz="4" w:space="0" w:color="A6A6A6"/>
            </w:tcBorders>
            <w:shd w:val="clear" w:color="000000" w:fill="FFFFFF"/>
            <w:noWrap/>
            <w:vAlign w:val="center"/>
            <w:hideMark/>
          </w:tcPr>
          <w:p w14:paraId="5E12BAE0" w14:textId="10E44267" w:rsidR="00160BB3" w:rsidRPr="00160BB3" w:rsidRDefault="00160BB3" w:rsidP="000A132C">
            <w:pPr>
              <w:spacing w:line="240" w:lineRule="auto"/>
              <w:jc w:val="right"/>
              <w:rPr>
                <w:rFonts w:eastAsia="Times New Roman"/>
                <w:color w:val="000000"/>
                <w:sz w:val="22"/>
                <w:szCs w:val="22"/>
                <w:lang w:eastAsia="hr-HR"/>
              </w:rPr>
            </w:pPr>
            <w:r w:rsidRPr="00160BB3">
              <w:rPr>
                <w:rFonts w:eastAsia="Times New Roman"/>
                <w:color w:val="000000"/>
                <w:sz w:val="22"/>
                <w:szCs w:val="22"/>
                <w:lang w:eastAsia="hr-HR"/>
              </w:rPr>
              <w:t xml:space="preserve">529.329,71 € </w:t>
            </w:r>
          </w:p>
        </w:tc>
      </w:tr>
      <w:tr w:rsidR="00160BB3" w:rsidRPr="00160BB3" w14:paraId="757FF9FA" w14:textId="77777777" w:rsidTr="001E0D3F">
        <w:trPr>
          <w:trHeight w:val="454"/>
        </w:trPr>
        <w:tc>
          <w:tcPr>
            <w:tcW w:w="5098" w:type="dxa"/>
            <w:tcBorders>
              <w:top w:val="nil"/>
              <w:left w:val="single" w:sz="4" w:space="0" w:color="A6A6A6"/>
              <w:bottom w:val="single" w:sz="4" w:space="0" w:color="A6A6A6"/>
              <w:right w:val="single" w:sz="4" w:space="0" w:color="A6A6A6"/>
            </w:tcBorders>
            <w:shd w:val="clear" w:color="000000" w:fill="FFFFFF"/>
            <w:noWrap/>
            <w:vAlign w:val="center"/>
            <w:hideMark/>
          </w:tcPr>
          <w:p w14:paraId="581E7304" w14:textId="77777777" w:rsidR="00160BB3" w:rsidRPr="00160BB3" w:rsidRDefault="00160BB3" w:rsidP="00160BB3">
            <w:pPr>
              <w:spacing w:line="240" w:lineRule="auto"/>
              <w:jc w:val="left"/>
              <w:rPr>
                <w:rFonts w:eastAsia="Times New Roman"/>
                <w:color w:val="000000"/>
                <w:sz w:val="22"/>
                <w:szCs w:val="22"/>
                <w:lang w:eastAsia="hr-HR"/>
              </w:rPr>
            </w:pPr>
            <w:r w:rsidRPr="00160BB3">
              <w:rPr>
                <w:rFonts w:eastAsia="Times New Roman"/>
                <w:color w:val="000000"/>
                <w:sz w:val="22"/>
                <w:szCs w:val="22"/>
                <w:lang w:eastAsia="hr-HR"/>
              </w:rPr>
              <w:t>ZAGREBAČKA BANKA d.d. Zagreb</w:t>
            </w:r>
          </w:p>
        </w:tc>
        <w:tc>
          <w:tcPr>
            <w:tcW w:w="1984" w:type="dxa"/>
            <w:tcBorders>
              <w:top w:val="nil"/>
              <w:left w:val="nil"/>
              <w:bottom w:val="single" w:sz="4" w:space="0" w:color="A6A6A6"/>
              <w:right w:val="single" w:sz="4" w:space="0" w:color="A6A6A6"/>
            </w:tcBorders>
            <w:shd w:val="clear" w:color="000000" w:fill="FFFFFF"/>
            <w:noWrap/>
            <w:vAlign w:val="center"/>
            <w:hideMark/>
          </w:tcPr>
          <w:p w14:paraId="232F563E" w14:textId="77777777" w:rsidR="00160BB3" w:rsidRPr="00160BB3" w:rsidRDefault="00160BB3" w:rsidP="00160BB3">
            <w:pPr>
              <w:spacing w:line="240" w:lineRule="auto"/>
              <w:jc w:val="center"/>
              <w:rPr>
                <w:rFonts w:eastAsia="Times New Roman"/>
                <w:color w:val="000000"/>
                <w:sz w:val="22"/>
                <w:szCs w:val="22"/>
                <w:lang w:eastAsia="hr-HR"/>
              </w:rPr>
            </w:pPr>
            <w:r w:rsidRPr="00160BB3">
              <w:rPr>
                <w:rFonts w:eastAsia="Times New Roman"/>
                <w:color w:val="000000"/>
                <w:sz w:val="22"/>
                <w:szCs w:val="22"/>
                <w:lang w:eastAsia="hr-HR"/>
              </w:rPr>
              <w:t>11</w:t>
            </w:r>
          </w:p>
        </w:tc>
        <w:tc>
          <w:tcPr>
            <w:tcW w:w="1985" w:type="dxa"/>
            <w:tcBorders>
              <w:top w:val="nil"/>
              <w:left w:val="nil"/>
              <w:bottom w:val="single" w:sz="4" w:space="0" w:color="A6A6A6"/>
              <w:right w:val="single" w:sz="4" w:space="0" w:color="A6A6A6"/>
            </w:tcBorders>
            <w:shd w:val="clear" w:color="000000" w:fill="FFFFFF"/>
            <w:noWrap/>
            <w:vAlign w:val="center"/>
            <w:hideMark/>
          </w:tcPr>
          <w:p w14:paraId="6A0C50AD" w14:textId="011955DB" w:rsidR="00160BB3" w:rsidRPr="00160BB3" w:rsidRDefault="00160BB3" w:rsidP="000A132C">
            <w:pPr>
              <w:spacing w:line="240" w:lineRule="auto"/>
              <w:jc w:val="right"/>
              <w:rPr>
                <w:rFonts w:eastAsia="Times New Roman"/>
                <w:color w:val="000000"/>
                <w:sz w:val="22"/>
                <w:szCs w:val="22"/>
                <w:lang w:eastAsia="hr-HR"/>
              </w:rPr>
            </w:pPr>
            <w:r w:rsidRPr="00160BB3">
              <w:rPr>
                <w:rFonts w:eastAsia="Times New Roman"/>
                <w:color w:val="000000"/>
                <w:sz w:val="22"/>
                <w:szCs w:val="22"/>
                <w:lang w:eastAsia="hr-HR"/>
              </w:rPr>
              <w:t xml:space="preserve">1.326.078,42 € </w:t>
            </w:r>
          </w:p>
        </w:tc>
      </w:tr>
      <w:tr w:rsidR="00160BB3" w:rsidRPr="00160BB3" w14:paraId="4B460D13" w14:textId="77777777" w:rsidTr="001E0D3F">
        <w:trPr>
          <w:trHeight w:val="454"/>
        </w:trPr>
        <w:tc>
          <w:tcPr>
            <w:tcW w:w="5098" w:type="dxa"/>
            <w:tcBorders>
              <w:top w:val="nil"/>
              <w:left w:val="single" w:sz="4" w:space="0" w:color="A6A6A6"/>
              <w:bottom w:val="single" w:sz="4" w:space="0" w:color="A6A6A6"/>
              <w:right w:val="single" w:sz="4" w:space="0" w:color="A6A6A6"/>
            </w:tcBorders>
            <w:shd w:val="clear" w:color="000000" w:fill="002060"/>
            <w:noWrap/>
            <w:vAlign w:val="center"/>
            <w:hideMark/>
          </w:tcPr>
          <w:p w14:paraId="49A5D2B2" w14:textId="77777777" w:rsidR="00160BB3" w:rsidRPr="00160BB3" w:rsidRDefault="00160BB3" w:rsidP="00160BB3">
            <w:pPr>
              <w:spacing w:line="240" w:lineRule="auto"/>
              <w:jc w:val="left"/>
              <w:rPr>
                <w:rFonts w:eastAsia="Times New Roman"/>
                <w:color w:val="FFFFFF"/>
                <w:sz w:val="22"/>
                <w:szCs w:val="22"/>
                <w:lang w:eastAsia="hr-HR"/>
              </w:rPr>
            </w:pPr>
            <w:r w:rsidRPr="00160BB3">
              <w:rPr>
                <w:rFonts w:eastAsia="Times New Roman"/>
                <w:color w:val="FFFFFF"/>
                <w:sz w:val="22"/>
                <w:szCs w:val="22"/>
                <w:lang w:eastAsia="hr-HR"/>
              </w:rPr>
              <w:t>UKUPNO</w:t>
            </w:r>
          </w:p>
        </w:tc>
        <w:tc>
          <w:tcPr>
            <w:tcW w:w="1984" w:type="dxa"/>
            <w:tcBorders>
              <w:top w:val="nil"/>
              <w:left w:val="nil"/>
              <w:bottom w:val="single" w:sz="4" w:space="0" w:color="A6A6A6"/>
              <w:right w:val="single" w:sz="4" w:space="0" w:color="A6A6A6"/>
            </w:tcBorders>
            <w:shd w:val="clear" w:color="000000" w:fill="002060"/>
            <w:noWrap/>
            <w:vAlign w:val="center"/>
            <w:hideMark/>
          </w:tcPr>
          <w:p w14:paraId="7990DFA3" w14:textId="77777777" w:rsidR="00160BB3" w:rsidRPr="00160BB3" w:rsidRDefault="00160BB3" w:rsidP="00160BB3">
            <w:pPr>
              <w:spacing w:line="240" w:lineRule="auto"/>
              <w:jc w:val="center"/>
              <w:rPr>
                <w:rFonts w:eastAsia="Times New Roman"/>
                <w:color w:val="FFFFFF"/>
                <w:sz w:val="22"/>
                <w:szCs w:val="22"/>
                <w:lang w:eastAsia="hr-HR"/>
              </w:rPr>
            </w:pPr>
            <w:r w:rsidRPr="00160BB3">
              <w:rPr>
                <w:rFonts w:eastAsia="Times New Roman"/>
                <w:color w:val="FFFFFF"/>
                <w:sz w:val="22"/>
                <w:szCs w:val="22"/>
                <w:lang w:eastAsia="hr-HR"/>
              </w:rPr>
              <w:t>52</w:t>
            </w:r>
          </w:p>
        </w:tc>
        <w:tc>
          <w:tcPr>
            <w:tcW w:w="1985" w:type="dxa"/>
            <w:tcBorders>
              <w:top w:val="nil"/>
              <w:left w:val="nil"/>
              <w:bottom w:val="single" w:sz="4" w:space="0" w:color="A6A6A6"/>
              <w:right w:val="single" w:sz="4" w:space="0" w:color="A6A6A6"/>
            </w:tcBorders>
            <w:shd w:val="clear" w:color="000000" w:fill="002060"/>
            <w:noWrap/>
            <w:vAlign w:val="center"/>
            <w:hideMark/>
          </w:tcPr>
          <w:p w14:paraId="45E05C69" w14:textId="5B84672F" w:rsidR="00160BB3" w:rsidRPr="00160BB3" w:rsidRDefault="00160BB3" w:rsidP="000A132C">
            <w:pPr>
              <w:spacing w:line="240" w:lineRule="auto"/>
              <w:jc w:val="right"/>
              <w:rPr>
                <w:rFonts w:eastAsia="Times New Roman"/>
                <w:color w:val="FFFFFF"/>
                <w:sz w:val="22"/>
                <w:szCs w:val="22"/>
                <w:lang w:eastAsia="hr-HR"/>
              </w:rPr>
            </w:pPr>
            <w:r w:rsidRPr="00160BB3">
              <w:rPr>
                <w:rFonts w:eastAsia="Times New Roman"/>
                <w:color w:val="FFFFFF"/>
                <w:sz w:val="22"/>
                <w:szCs w:val="22"/>
                <w:lang w:eastAsia="hr-HR"/>
              </w:rPr>
              <w:t xml:space="preserve">6.528.154,03 € </w:t>
            </w:r>
          </w:p>
        </w:tc>
      </w:tr>
    </w:tbl>
    <w:p w14:paraId="6F7C3A64" w14:textId="77777777" w:rsidR="007A394E" w:rsidRDefault="007A394E" w:rsidP="00D76734">
      <w:pPr>
        <w:spacing w:before="60" w:after="60"/>
      </w:pPr>
    </w:p>
    <w:p w14:paraId="2FEDC684" w14:textId="3A96A711" w:rsidR="007D6D2A" w:rsidRPr="00B36863" w:rsidRDefault="007D6D2A" w:rsidP="007D6D2A">
      <w:pPr>
        <w:spacing w:before="60" w:after="60"/>
        <w:rPr>
          <w:b/>
        </w:rPr>
      </w:pPr>
      <w:r w:rsidRPr="00B36863">
        <w:rPr>
          <w:b/>
        </w:rPr>
        <w:t>Novčan</w:t>
      </w:r>
      <w:r w:rsidR="002816C1" w:rsidRPr="00B36863">
        <w:rPr>
          <w:b/>
        </w:rPr>
        <w:t xml:space="preserve">a pomoć </w:t>
      </w:r>
      <w:r w:rsidRPr="00B36863">
        <w:rPr>
          <w:b/>
        </w:rPr>
        <w:t>umjesto gradnje za kupnju obiteljske kuće ili stana</w:t>
      </w:r>
    </w:p>
    <w:p w14:paraId="4020C22E" w14:textId="494DD54B" w:rsidR="007D6D2A" w:rsidRDefault="00FA05E7" w:rsidP="00D76734">
      <w:pPr>
        <w:spacing w:before="60" w:after="60"/>
      </w:pPr>
      <w:r w:rsidRPr="00B36863">
        <w:t xml:space="preserve">Tijekom izvještajnog razdoblja </w:t>
      </w:r>
      <w:r w:rsidR="00D07E57">
        <w:t xml:space="preserve">na </w:t>
      </w:r>
      <w:r w:rsidR="008F1DE8">
        <w:t xml:space="preserve">39 </w:t>
      </w:r>
      <w:r w:rsidR="00D07E57">
        <w:t>posebn</w:t>
      </w:r>
      <w:r w:rsidR="008F1DE8">
        <w:t>ih</w:t>
      </w:r>
      <w:r w:rsidR="00D07E57">
        <w:t xml:space="preserve"> račun</w:t>
      </w:r>
      <w:r w:rsidR="008F1DE8">
        <w:t>a</w:t>
      </w:r>
      <w:r w:rsidR="00D07E57">
        <w:t xml:space="preserve"> građana isplaćena je novčana pomoć za kupnju kuće ili stana umjesto gradnje</w:t>
      </w:r>
      <w:r w:rsidR="008F1DE8">
        <w:t xml:space="preserve"> od čega je </w:t>
      </w:r>
      <w:r w:rsidRPr="00B36863">
        <w:t>realizirano 8 kupnji</w:t>
      </w:r>
      <w:r w:rsidR="008F1DE8">
        <w:t xml:space="preserve">. </w:t>
      </w:r>
    </w:p>
    <w:p w14:paraId="5EA66140" w14:textId="77777777" w:rsidR="007D6D2A" w:rsidRDefault="007D6D2A" w:rsidP="00D76734">
      <w:pPr>
        <w:spacing w:before="60" w:after="60"/>
      </w:pPr>
    </w:p>
    <w:p w14:paraId="6A97639C" w14:textId="77777777" w:rsidR="00F45961" w:rsidRDefault="00F45961" w:rsidP="00E01007">
      <w:pPr>
        <w:spacing w:after="120"/>
        <w:rPr>
          <w:b/>
          <w:bCs/>
        </w:rPr>
      </w:pPr>
    </w:p>
    <w:p w14:paraId="2AD634E2" w14:textId="77777777" w:rsidR="00F45961" w:rsidRDefault="00F45961" w:rsidP="00E01007">
      <w:pPr>
        <w:spacing w:after="120"/>
        <w:rPr>
          <w:b/>
          <w:bCs/>
        </w:rPr>
      </w:pPr>
    </w:p>
    <w:p w14:paraId="7A3A1D00" w14:textId="77777777" w:rsidR="00F45961" w:rsidRDefault="00F45961" w:rsidP="00E01007">
      <w:pPr>
        <w:spacing w:after="120"/>
        <w:rPr>
          <w:b/>
          <w:bCs/>
        </w:rPr>
      </w:pPr>
    </w:p>
    <w:p w14:paraId="6CF2BC16" w14:textId="76B78A1B" w:rsidR="00311996" w:rsidRDefault="00311996" w:rsidP="00E01007">
      <w:pPr>
        <w:spacing w:after="120"/>
        <w:rPr>
          <w:b/>
          <w:bCs/>
        </w:rPr>
      </w:pPr>
      <w:r w:rsidRPr="00E01007">
        <w:rPr>
          <w:b/>
          <w:bCs/>
        </w:rPr>
        <w:lastRenderedPageBreak/>
        <w:t xml:space="preserve">Radovi u tijeku </w:t>
      </w:r>
    </w:p>
    <w:p w14:paraId="1ED9D427" w14:textId="77777777" w:rsidR="005F4BF2" w:rsidRDefault="005F4BF2" w:rsidP="00477F44">
      <w:pPr>
        <w:rPr>
          <w:noProof/>
        </w:rPr>
      </w:pPr>
    </w:p>
    <w:p w14:paraId="4BA449F8" w14:textId="2B62FABA" w:rsidR="00F64C1B" w:rsidRPr="00C9549D" w:rsidRDefault="00AE7EC0" w:rsidP="00477F44">
      <w:pPr>
        <w:rPr>
          <w:noProof/>
        </w:rPr>
      </w:pPr>
      <w:r w:rsidRPr="00C9549D">
        <w:rPr>
          <w:noProof/>
        </w:rPr>
        <w:t>Na</w:t>
      </w:r>
      <w:r w:rsidR="00D147B1">
        <w:rPr>
          <w:noProof/>
        </w:rPr>
        <w:t xml:space="preserve"> dan </w:t>
      </w:r>
      <w:r w:rsidR="008B7703">
        <w:rPr>
          <w:noProof/>
        </w:rPr>
        <w:t>31. prosinca 2022.</w:t>
      </w:r>
      <w:r w:rsidR="00D147B1">
        <w:rPr>
          <w:noProof/>
        </w:rPr>
        <w:t xml:space="preserve"> </w:t>
      </w:r>
      <w:r w:rsidRPr="00C9549D">
        <w:rPr>
          <w:noProof/>
        </w:rPr>
        <w:t xml:space="preserve">bilo je </w:t>
      </w:r>
      <w:r w:rsidR="00D147B1">
        <w:rPr>
          <w:noProof/>
        </w:rPr>
        <w:t xml:space="preserve">aktivno </w:t>
      </w:r>
      <w:r w:rsidRPr="00C9549D">
        <w:rPr>
          <w:noProof/>
        </w:rPr>
        <w:t xml:space="preserve">107 gradilišta zamjenskih obiteljskih kuća, a </w:t>
      </w:r>
      <w:r w:rsidR="00AB5B61">
        <w:rPr>
          <w:noProof/>
        </w:rPr>
        <w:t>na</w:t>
      </w:r>
      <w:r w:rsidR="0093495A">
        <w:rPr>
          <w:noProof/>
        </w:rPr>
        <w:t xml:space="preserve"> </w:t>
      </w:r>
      <w:r w:rsidR="00AB5B61">
        <w:rPr>
          <w:noProof/>
        </w:rPr>
        <w:t>3</w:t>
      </w:r>
      <w:r w:rsidR="002F54C3" w:rsidRPr="002F54C3">
        <w:rPr>
          <w:noProof/>
        </w:rPr>
        <w:t xml:space="preserve">1. </w:t>
      </w:r>
      <w:r w:rsidR="00AB5B61">
        <w:rPr>
          <w:noProof/>
        </w:rPr>
        <w:t>prosinca</w:t>
      </w:r>
      <w:r w:rsidR="008B7703">
        <w:rPr>
          <w:noProof/>
        </w:rPr>
        <w:t xml:space="preserve"> 2023.</w:t>
      </w:r>
      <w:r w:rsidR="002F54C3" w:rsidRPr="002F54C3">
        <w:rPr>
          <w:noProof/>
        </w:rPr>
        <w:t xml:space="preserve"> </w:t>
      </w:r>
      <w:r w:rsidRPr="00C9549D">
        <w:rPr>
          <w:noProof/>
        </w:rPr>
        <w:t>u</w:t>
      </w:r>
      <w:r w:rsidR="00AB5B61">
        <w:rPr>
          <w:noProof/>
        </w:rPr>
        <w:t xml:space="preserve"> tijeku su bili radovi na 2</w:t>
      </w:r>
      <w:r w:rsidR="001C0B26">
        <w:rPr>
          <w:noProof/>
        </w:rPr>
        <w:t>2</w:t>
      </w:r>
      <w:r w:rsidR="00AB5B61">
        <w:rPr>
          <w:noProof/>
        </w:rPr>
        <w:t>9</w:t>
      </w:r>
      <w:r w:rsidR="00F95D4F">
        <w:rPr>
          <w:noProof/>
        </w:rPr>
        <w:t xml:space="preserve"> lokacija, od čega se </w:t>
      </w:r>
      <w:r w:rsidR="00D62AA9">
        <w:rPr>
          <w:noProof/>
        </w:rPr>
        <w:t>1</w:t>
      </w:r>
      <w:r w:rsidR="007D6D2A">
        <w:rPr>
          <w:noProof/>
        </w:rPr>
        <w:t>7</w:t>
      </w:r>
      <w:r w:rsidR="00D62AA9">
        <w:rPr>
          <w:noProof/>
        </w:rPr>
        <w:t>2</w:t>
      </w:r>
      <w:r w:rsidR="00E717A2" w:rsidRPr="00C9549D">
        <w:rPr>
          <w:noProof/>
        </w:rPr>
        <w:t xml:space="preserve"> lokacij</w:t>
      </w:r>
      <w:r w:rsidR="004C7C95">
        <w:rPr>
          <w:noProof/>
        </w:rPr>
        <w:t>e</w:t>
      </w:r>
      <w:r w:rsidR="00E717A2" w:rsidRPr="00C9549D">
        <w:rPr>
          <w:noProof/>
        </w:rPr>
        <w:t xml:space="preserve"> </w:t>
      </w:r>
      <w:r w:rsidR="00311996" w:rsidRPr="00C9549D">
        <w:rPr>
          <w:noProof/>
        </w:rPr>
        <w:t>odnos</w:t>
      </w:r>
      <w:r w:rsidR="00D62AA9">
        <w:rPr>
          <w:noProof/>
        </w:rPr>
        <w:t>e</w:t>
      </w:r>
      <w:r w:rsidR="00311996" w:rsidRPr="00C9549D">
        <w:rPr>
          <w:noProof/>
        </w:rPr>
        <w:t xml:space="preserve"> na organiziranu </w:t>
      </w:r>
      <w:r w:rsidR="008529CB">
        <w:rPr>
          <w:noProof/>
        </w:rPr>
        <w:t>gradnju kuća</w:t>
      </w:r>
      <w:r w:rsidR="00311996" w:rsidRPr="00C9549D">
        <w:rPr>
          <w:noProof/>
        </w:rPr>
        <w:t xml:space="preserve">, a </w:t>
      </w:r>
      <w:r w:rsidR="00D62AA9">
        <w:rPr>
          <w:noProof/>
        </w:rPr>
        <w:t>57</w:t>
      </w:r>
      <w:r w:rsidR="00311996" w:rsidRPr="00C9549D">
        <w:rPr>
          <w:noProof/>
        </w:rPr>
        <w:t xml:space="preserve"> na samoobnovu.</w:t>
      </w:r>
      <w:r w:rsidR="00311996" w:rsidRPr="00C9549D">
        <w:t xml:space="preserve"> </w:t>
      </w:r>
    </w:p>
    <w:p w14:paraId="594C30A7" w14:textId="77777777" w:rsidR="00311996" w:rsidRPr="00C9549D" w:rsidRDefault="00311996" w:rsidP="00477F44">
      <w:pPr>
        <w:rPr>
          <w:noProof/>
        </w:rPr>
      </w:pPr>
    </w:p>
    <w:p w14:paraId="405ED072" w14:textId="0BAE4BA6" w:rsidR="003E3D0B" w:rsidRPr="00C9549D" w:rsidRDefault="003E3D0B" w:rsidP="002B0278">
      <w:pPr>
        <w:spacing w:before="60" w:after="60"/>
        <w:rPr>
          <w:i/>
          <w:iCs/>
        </w:rPr>
      </w:pPr>
      <w:r w:rsidRPr="001168ED">
        <w:rPr>
          <w:i/>
          <w:iCs/>
        </w:rPr>
        <w:t>Pregled radova u tijeku</w:t>
      </w:r>
      <w:r w:rsidR="00F64C1B" w:rsidRPr="001168ED">
        <w:rPr>
          <w:i/>
          <w:iCs/>
        </w:rPr>
        <w:t xml:space="preserve"> - </w:t>
      </w:r>
      <w:r w:rsidRPr="001168ED">
        <w:rPr>
          <w:i/>
          <w:iCs/>
        </w:rPr>
        <w:t>gradn</w:t>
      </w:r>
      <w:r w:rsidR="00F64C1B" w:rsidRPr="001168ED">
        <w:rPr>
          <w:i/>
          <w:iCs/>
        </w:rPr>
        <w:t>ja</w:t>
      </w:r>
      <w:r w:rsidRPr="001168ED">
        <w:rPr>
          <w:i/>
          <w:iCs/>
        </w:rPr>
        <w:t xml:space="preserve"> zamjenskih obiteljskih kuća po lokaciji i vrsti obnove</w:t>
      </w:r>
    </w:p>
    <w:tbl>
      <w:tblPr>
        <w:tblW w:w="9214" w:type="dxa"/>
        <w:tblInd w:w="-5" w:type="dxa"/>
        <w:tblLayout w:type="fixed"/>
        <w:tblLook w:val="04A0" w:firstRow="1" w:lastRow="0" w:firstColumn="1" w:lastColumn="0" w:noHBand="0" w:noVBand="1"/>
      </w:tblPr>
      <w:tblGrid>
        <w:gridCol w:w="5103"/>
        <w:gridCol w:w="2055"/>
        <w:gridCol w:w="2056"/>
      </w:tblGrid>
      <w:tr w:rsidR="00A17929" w:rsidRPr="00C9549D" w14:paraId="09C9F5F4" w14:textId="77777777" w:rsidTr="00B4466E">
        <w:trPr>
          <w:trHeight w:val="784"/>
        </w:trPr>
        <w:tc>
          <w:tcPr>
            <w:tcW w:w="5103"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2574451F" w14:textId="77777777" w:rsidR="00A17929" w:rsidRPr="00C9549D" w:rsidRDefault="00A1792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2055" w:type="dxa"/>
            <w:tcBorders>
              <w:top w:val="single" w:sz="4" w:space="0" w:color="A6A6A6"/>
              <w:left w:val="nil"/>
              <w:bottom w:val="single" w:sz="4" w:space="0" w:color="A6A6A6"/>
              <w:right w:val="single" w:sz="4" w:space="0" w:color="A6A6A6"/>
            </w:tcBorders>
            <w:shd w:val="clear" w:color="000000" w:fill="002060"/>
            <w:vAlign w:val="center"/>
            <w:hideMark/>
          </w:tcPr>
          <w:p w14:paraId="788C762C" w14:textId="35470230" w:rsidR="00A17929" w:rsidRPr="00C9549D" w:rsidRDefault="00A1792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Stanje na</w:t>
            </w:r>
            <w:r w:rsidRPr="00C9549D">
              <w:rPr>
                <w:rFonts w:eastAsia="Times New Roman"/>
                <w:color w:val="FFFFFF"/>
                <w:sz w:val="22"/>
                <w:szCs w:val="22"/>
                <w:lang w:eastAsia="hr-HR"/>
              </w:rPr>
              <w:br/>
              <w:t>31.</w:t>
            </w:r>
            <w:r>
              <w:rPr>
                <w:rFonts w:eastAsia="Times New Roman"/>
                <w:color w:val="FFFFFF"/>
                <w:sz w:val="22"/>
                <w:szCs w:val="22"/>
                <w:lang w:eastAsia="hr-HR"/>
              </w:rPr>
              <w:t xml:space="preserve">prosinca </w:t>
            </w:r>
            <w:r w:rsidRPr="00C9549D">
              <w:rPr>
                <w:rFonts w:eastAsia="Times New Roman"/>
                <w:color w:val="FFFFFF"/>
                <w:sz w:val="22"/>
                <w:szCs w:val="22"/>
                <w:lang w:eastAsia="hr-HR"/>
              </w:rPr>
              <w:t>2022.</w:t>
            </w:r>
          </w:p>
        </w:tc>
        <w:tc>
          <w:tcPr>
            <w:tcW w:w="2056" w:type="dxa"/>
            <w:tcBorders>
              <w:top w:val="single" w:sz="4" w:space="0" w:color="A6A6A6"/>
              <w:left w:val="nil"/>
              <w:bottom w:val="single" w:sz="4" w:space="0" w:color="A6A6A6"/>
              <w:right w:val="single" w:sz="4" w:space="0" w:color="A6A6A6"/>
            </w:tcBorders>
            <w:shd w:val="clear" w:color="000000" w:fill="002060"/>
            <w:vAlign w:val="center"/>
            <w:hideMark/>
          </w:tcPr>
          <w:p w14:paraId="1123EABE" w14:textId="77777777" w:rsidR="00A17929" w:rsidRPr="00736214" w:rsidRDefault="00A17929" w:rsidP="00874D91">
            <w:pPr>
              <w:spacing w:line="240" w:lineRule="auto"/>
              <w:jc w:val="center"/>
              <w:rPr>
                <w:color w:val="FFFFFF"/>
              </w:rPr>
            </w:pPr>
            <w:r w:rsidRPr="00736214">
              <w:rPr>
                <w:color w:val="FFFFFF"/>
              </w:rPr>
              <w:t xml:space="preserve">Stanje na </w:t>
            </w:r>
          </w:p>
          <w:p w14:paraId="3CCFC51E" w14:textId="62FD75EF" w:rsidR="00A17929" w:rsidRPr="00736214" w:rsidRDefault="00A17929" w:rsidP="00861662">
            <w:pPr>
              <w:spacing w:line="240" w:lineRule="auto"/>
              <w:jc w:val="center"/>
              <w:rPr>
                <w:rFonts w:eastAsia="Times New Roman"/>
                <w:color w:val="FFFFFF"/>
                <w:lang w:eastAsia="hr-HR"/>
              </w:rPr>
            </w:pPr>
            <w:r w:rsidRPr="00736214">
              <w:rPr>
                <w:rFonts w:eastAsia="Times New Roman"/>
                <w:color w:val="FFFFFF"/>
                <w:lang w:eastAsia="hr-HR"/>
              </w:rPr>
              <w:t xml:space="preserve">31. prosinca </w:t>
            </w:r>
            <w:r w:rsidRPr="00736214">
              <w:rPr>
                <w:color w:val="FFFFFF"/>
              </w:rPr>
              <w:t>2023.</w:t>
            </w:r>
          </w:p>
        </w:tc>
      </w:tr>
      <w:tr w:rsidR="00A17929" w:rsidRPr="00C9549D" w14:paraId="2982BEBB"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D9E1F2"/>
            <w:noWrap/>
            <w:vAlign w:val="center"/>
            <w:hideMark/>
          </w:tcPr>
          <w:p w14:paraId="23ED5441" w14:textId="77777777" w:rsidR="00A17929" w:rsidRPr="00C9549D" w:rsidRDefault="00A17929" w:rsidP="002E1075">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Organizirana gradnja</w:t>
            </w:r>
          </w:p>
        </w:tc>
        <w:tc>
          <w:tcPr>
            <w:tcW w:w="2055" w:type="dxa"/>
            <w:tcBorders>
              <w:top w:val="nil"/>
              <w:left w:val="nil"/>
              <w:bottom w:val="single" w:sz="4" w:space="0" w:color="A6A6A6"/>
              <w:right w:val="single" w:sz="4" w:space="0" w:color="A6A6A6"/>
            </w:tcBorders>
            <w:shd w:val="clear" w:color="000000" w:fill="D9E1F2"/>
            <w:noWrap/>
            <w:vAlign w:val="center"/>
            <w:hideMark/>
          </w:tcPr>
          <w:p w14:paraId="62C60772" w14:textId="30A243DE" w:rsidR="00A17929" w:rsidRPr="000A132C" w:rsidRDefault="00A17929" w:rsidP="002E1075">
            <w:pPr>
              <w:spacing w:line="240" w:lineRule="auto"/>
              <w:jc w:val="center"/>
            </w:pPr>
            <w:r w:rsidRPr="000A132C">
              <w:t>107</w:t>
            </w:r>
          </w:p>
        </w:tc>
        <w:tc>
          <w:tcPr>
            <w:tcW w:w="2056" w:type="dxa"/>
            <w:tcBorders>
              <w:top w:val="nil"/>
              <w:left w:val="nil"/>
              <w:bottom w:val="single" w:sz="4" w:space="0" w:color="A6A6A6"/>
              <w:right w:val="single" w:sz="4" w:space="0" w:color="A6A6A6"/>
            </w:tcBorders>
            <w:shd w:val="clear" w:color="000000" w:fill="D9E1F2"/>
            <w:noWrap/>
            <w:vAlign w:val="center"/>
            <w:hideMark/>
          </w:tcPr>
          <w:p w14:paraId="61C04E25" w14:textId="4812F209" w:rsidR="00A17929" w:rsidRPr="000A132C" w:rsidRDefault="00A17929" w:rsidP="002E1075">
            <w:pPr>
              <w:spacing w:line="240" w:lineRule="auto"/>
              <w:jc w:val="center"/>
            </w:pPr>
            <w:r w:rsidRPr="00736214">
              <w:rPr>
                <w:color w:val="000000"/>
              </w:rPr>
              <w:t>120</w:t>
            </w:r>
          </w:p>
        </w:tc>
      </w:tr>
      <w:tr w:rsidR="00A17929" w:rsidRPr="00C9549D" w14:paraId="623C3C5B"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FFFFFF"/>
            <w:noWrap/>
            <w:vAlign w:val="center"/>
            <w:hideMark/>
          </w:tcPr>
          <w:p w14:paraId="17DBC4E2" w14:textId="77777777" w:rsidR="00A17929" w:rsidRPr="00C9549D" w:rsidRDefault="00A17929" w:rsidP="002E1075">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Petrinjski potres</w:t>
            </w:r>
          </w:p>
        </w:tc>
        <w:tc>
          <w:tcPr>
            <w:tcW w:w="2055" w:type="dxa"/>
            <w:tcBorders>
              <w:top w:val="nil"/>
              <w:left w:val="nil"/>
              <w:bottom w:val="single" w:sz="4" w:space="0" w:color="A6A6A6"/>
              <w:right w:val="single" w:sz="4" w:space="0" w:color="A6A6A6"/>
            </w:tcBorders>
            <w:shd w:val="clear" w:color="000000" w:fill="FFFFFF"/>
            <w:noWrap/>
            <w:vAlign w:val="center"/>
            <w:hideMark/>
          </w:tcPr>
          <w:p w14:paraId="651CC760" w14:textId="19DC176B" w:rsidR="00A17929" w:rsidRPr="000A132C" w:rsidRDefault="00A17929" w:rsidP="002E1075">
            <w:pPr>
              <w:spacing w:line="240" w:lineRule="auto"/>
              <w:jc w:val="center"/>
            </w:pPr>
            <w:r w:rsidRPr="000A132C">
              <w:t>107</w:t>
            </w:r>
          </w:p>
        </w:tc>
        <w:tc>
          <w:tcPr>
            <w:tcW w:w="2056" w:type="dxa"/>
            <w:tcBorders>
              <w:top w:val="nil"/>
              <w:left w:val="nil"/>
              <w:bottom w:val="single" w:sz="4" w:space="0" w:color="A6A6A6"/>
              <w:right w:val="single" w:sz="4" w:space="0" w:color="A6A6A6"/>
            </w:tcBorders>
            <w:shd w:val="clear" w:color="000000" w:fill="FFFFFF"/>
            <w:noWrap/>
            <w:vAlign w:val="center"/>
            <w:hideMark/>
          </w:tcPr>
          <w:p w14:paraId="1B4FDF75" w14:textId="2C21A42B" w:rsidR="00A17929" w:rsidRPr="000A132C" w:rsidRDefault="00A17929" w:rsidP="002E1075">
            <w:pPr>
              <w:spacing w:line="240" w:lineRule="auto"/>
              <w:jc w:val="center"/>
            </w:pPr>
            <w:r w:rsidRPr="00736214">
              <w:rPr>
                <w:color w:val="000000"/>
              </w:rPr>
              <w:t>86</w:t>
            </w:r>
          </w:p>
        </w:tc>
      </w:tr>
      <w:tr w:rsidR="00A17929" w:rsidRPr="00C9549D" w14:paraId="310171A7"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FFFFFF"/>
            <w:noWrap/>
            <w:vAlign w:val="center"/>
            <w:hideMark/>
          </w:tcPr>
          <w:p w14:paraId="3BE45962" w14:textId="77777777" w:rsidR="00A17929" w:rsidRPr="00C9549D" w:rsidRDefault="00A17929" w:rsidP="002E1075">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Zagrebački potres</w:t>
            </w:r>
          </w:p>
        </w:tc>
        <w:tc>
          <w:tcPr>
            <w:tcW w:w="2055" w:type="dxa"/>
            <w:tcBorders>
              <w:top w:val="nil"/>
              <w:left w:val="nil"/>
              <w:bottom w:val="single" w:sz="4" w:space="0" w:color="A6A6A6"/>
              <w:right w:val="single" w:sz="4" w:space="0" w:color="A6A6A6"/>
            </w:tcBorders>
            <w:shd w:val="clear" w:color="000000" w:fill="FFFFFF"/>
            <w:noWrap/>
            <w:vAlign w:val="center"/>
            <w:hideMark/>
          </w:tcPr>
          <w:p w14:paraId="4245D4C6" w14:textId="21A3DDBD" w:rsidR="00A17929" w:rsidRPr="000A132C" w:rsidRDefault="00A17929" w:rsidP="002E1075">
            <w:pPr>
              <w:spacing w:line="240" w:lineRule="auto"/>
              <w:jc w:val="center"/>
            </w:pPr>
            <w:r w:rsidRPr="000A132C">
              <w:t>0</w:t>
            </w:r>
          </w:p>
        </w:tc>
        <w:tc>
          <w:tcPr>
            <w:tcW w:w="2056" w:type="dxa"/>
            <w:tcBorders>
              <w:top w:val="nil"/>
              <w:left w:val="nil"/>
              <w:bottom w:val="single" w:sz="4" w:space="0" w:color="A6A6A6"/>
              <w:right w:val="single" w:sz="4" w:space="0" w:color="A6A6A6"/>
            </w:tcBorders>
            <w:shd w:val="clear" w:color="000000" w:fill="FFFFFF"/>
            <w:noWrap/>
            <w:vAlign w:val="center"/>
            <w:hideMark/>
          </w:tcPr>
          <w:p w14:paraId="0DBD44B4" w14:textId="5A2F9B09" w:rsidR="00A17929" w:rsidRPr="000A132C" w:rsidRDefault="00A17929" w:rsidP="002E1075">
            <w:pPr>
              <w:spacing w:line="240" w:lineRule="auto"/>
              <w:jc w:val="center"/>
            </w:pPr>
            <w:r w:rsidRPr="00736214">
              <w:rPr>
                <w:color w:val="000000"/>
              </w:rPr>
              <w:t>34</w:t>
            </w:r>
          </w:p>
        </w:tc>
      </w:tr>
      <w:tr w:rsidR="00A17929" w:rsidRPr="00C9549D" w14:paraId="4D243592"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D9E1F2"/>
            <w:noWrap/>
            <w:vAlign w:val="center"/>
            <w:hideMark/>
          </w:tcPr>
          <w:p w14:paraId="1F71D95B" w14:textId="77777777" w:rsidR="00A17929" w:rsidRPr="00C9549D" w:rsidRDefault="00A17929" w:rsidP="002E1075">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Novčana pomoć umjesto gradnje</w:t>
            </w:r>
          </w:p>
        </w:tc>
        <w:tc>
          <w:tcPr>
            <w:tcW w:w="2055" w:type="dxa"/>
            <w:tcBorders>
              <w:top w:val="nil"/>
              <w:left w:val="nil"/>
              <w:bottom w:val="single" w:sz="4" w:space="0" w:color="A6A6A6"/>
              <w:right w:val="single" w:sz="4" w:space="0" w:color="A6A6A6"/>
            </w:tcBorders>
            <w:shd w:val="clear" w:color="000000" w:fill="D9E1F2"/>
            <w:noWrap/>
            <w:vAlign w:val="center"/>
            <w:hideMark/>
          </w:tcPr>
          <w:p w14:paraId="6DAC28AF" w14:textId="6F5B943D" w:rsidR="00A17929" w:rsidRPr="000A132C" w:rsidRDefault="00A17929" w:rsidP="002E1075">
            <w:pPr>
              <w:spacing w:line="240" w:lineRule="auto"/>
              <w:jc w:val="center"/>
            </w:pPr>
            <w:r w:rsidRPr="000A132C">
              <w:t>0</w:t>
            </w:r>
          </w:p>
        </w:tc>
        <w:tc>
          <w:tcPr>
            <w:tcW w:w="2056" w:type="dxa"/>
            <w:tcBorders>
              <w:top w:val="nil"/>
              <w:left w:val="nil"/>
              <w:bottom w:val="single" w:sz="4" w:space="0" w:color="A6A6A6"/>
              <w:right w:val="single" w:sz="4" w:space="0" w:color="A6A6A6"/>
            </w:tcBorders>
            <w:shd w:val="clear" w:color="000000" w:fill="D9E1F2"/>
            <w:noWrap/>
            <w:vAlign w:val="center"/>
            <w:hideMark/>
          </w:tcPr>
          <w:p w14:paraId="57EA2898" w14:textId="31307A66" w:rsidR="00A17929" w:rsidRPr="000A132C" w:rsidRDefault="00A17929" w:rsidP="002E1075">
            <w:pPr>
              <w:spacing w:line="240" w:lineRule="auto"/>
              <w:jc w:val="center"/>
            </w:pPr>
            <w:r w:rsidRPr="00736214">
              <w:rPr>
                <w:color w:val="000000"/>
              </w:rPr>
              <w:t>57</w:t>
            </w:r>
          </w:p>
        </w:tc>
      </w:tr>
      <w:tr w:rsidR="00A17929" w:rsidRPr="00C9549D" w14:paraId="3FC004CF"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FFFFFF"/>
            <w:noWrap/>
            <w:vAlign w:val="center"/>
            <w:hideMark/>
          </w:tcPr>
          <w:p w14:paraId="01280BFE" w14:textId="77777777" w:rsidR="00A17929" w:rsidRPr="00C9549D" w:rsidRDefault="00A17929" w:rsidP="002E1075">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Petrinjski potres</w:t>
            </w:r>
          </w:p>
        </w:tc>
        <w:tc>
          <w:tcPr>
            <w:tcW w:w="2055" w:type="dxa"/>
            <w:tcBorders>
              <w:top w:val="nil"/>
              <w:left w:val="nil"/>
              <w:bottom w:val="single" w:sz="4" w:space="0" w:color="A6A6A6"/>
              <w:right w:val="single" w:sz="4" w:space="0" w:color="A6A6A6"/>
            </w:tcBorders>
            <w:shd w:val="clear" w:color="000000" w:fill="FFFFFF"/>
            <w:noWrap/>
            <w:vAlign w:val="center"/>
            <w:hideMark/>
          </w:tcPr>
          <w:p w14:paraId="7860BC9A" w14:textId="2BD47738" w:rsidR="00A17929" w:rsidRPr="000A132C" w:rsidRDefault="00A17929" w:rsidP="002E1075">
            <w:pPr>
              <w:spacing w:line="240" w:lineRule="auto"/>
              <w:jc w:val="center"/>
            </w:pPr>
            <w:r w:rsidRPr="000A132C">
              <w:t>0</w:t>
            </w:r>
          </w:p>
        </w:tc>
        <w:tc>
          <w:tcPr>
            <w:tcW w:w="2056" w:type="dxa"/>
            <w:tcBorders>
              <w:top w:val="nil"/>
              <w:left w:val="nil"/>
              <w:bottom w:val="single" w:sz="4" w:space="0" w:color="A6A6A6"/>
              <w:right w:val="single" w:sz="4" w:space="0" w:color="A6A6A6"/>
            </w:tcBorders>
            <w:shd w:val="clear" w:color="000000" w:fill="FFFFFF"/>
            <w:noWrap/>
            <w:vAlign w:val="center"/>
            <w:hideMark/>
          </w:tcPr>
          <w:p w14:paraId="04475622" w14:textId="2453384A" w:rsidR="00A17929" w:rsidRPr="000A132C" w:rsidRDefault="00A17929" w:rsidP="002E1075">
            <w:pPr>
              <w:spacing w:line="240" w:lineRule="auto"/>
              <w:jc w:val="center"/>
            </w:pPr>
            <w:r w:rsidRPr="00736214">
              <w:rPr>
                <w:color w:val="000000"/>
              </w:rPr>
              <w:t>43</w:t>
            </w:r>
          </w:p>
        </w:tc>
      </w:tr>
      <w:tr w:rsidR="00A17929" w:rsidRPr="00C9549D" w14:paraId="78B13B89"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FFFFFF"/>
            <w:noWrap/>
            <w:vAlign w:val="center"/>
            <w:hideMark/>
          </w:tcPr>
          <w:p w14:paraId="4485445A" w14:textId="77777777" w:rsidR="00A17929" w:rsidRPr="00C9549D" w:rsidRDefault="00A17929" w:rsidP="002E1075">
            <w:pPr>
              <w:spacing w:line="240" w:lineRule="auto"/>
              <w:ind w:firstLineChars="200" w:firstLine="440"/>
              <w:jc w:val="left"/>
              <w:rPr>
                <w:rFonts w:eastAsia="Times New Roman"/>
                <w:i/>
                <w:iCs/>
                <w:color w:val="000000"/>
                <w:sz w:val="22"/>
                <w:szCs w:val="22"/>
                <w:lang w:eastAsia="hr-HR"/>
              </w:rPr>
            </w:pPr>
            <w:r w:rsidRPr="00C9549D">
              <w:rPr>
                <w:rFonts w:eastAsia="Times New Roman"/>
                <w:i/>
                <w:iCs/>
                <w:color w:val="000000"/>
                <w:sz w:val="22"/>
                <w:szCs w:val="22"/>
                <w:lang w:eastAsia="hr-HR"/>
              </w:rPr>
              <w:t>Zagrebački potres</w:t>
            </w:r>
          </w:p>
        </w:tc>
        <w:tc>
          <w:tcPr>
            <w:tcW w:w="2055" w:type="dxa"/>
            <w:tcBorders>
              <w:top w:val="nil"/>
              <w:left w:val="nil"/>
              <w:bottom w:val="single" w:sz="4" w:space="0" w:color="A6A6A6"/>
              <w:right w:val="single" w:sz="4" w:space="0" w:color="A6A6A6"/>
            </w:tcBorders>
            <w:shd w:val="clear" w:color="000000" w:fill="FFFFFF"/>
            <w:noWrap/>
            <w:vAlign w:val="center"/>
            <w:hideMark/>
          </w:tcPr>
          <w:p w14:paraId="479C11A7" w14:textId="27A3225C" w:rsidR="00A17929" w:rsidRPr="000A132C" w:rsidRDefault="00A17929" w:rsidP="002E1075">
            <w:pPr>
              <w:spacing w:line="240" w:lineRule="auto"/>
              <w:jc w:val="center"/>
            </w:pPr>
            <w:r w:rsidRPr="000A132C">
              <w:t>0</w:t>
            </w:r>
          </w:p>
        </w:tc>
        <w:tc>
          <w:tcPr>
            <w:tcW w:w="2056" w:type="dxa"/>
            <w:tcBorders>
              <w:top w:val="nil"/>
              <w:left w:val="nil"/>
              <w:bottom w:val="single" w:sz="4" w:space="0" w:color="A6A6A6"/>
              <w:right w:val="single" w:sz="4" w:space="0" w:color="A6A6A6"/>
            </w:tcBorders>
            <w:shd w:val="clear" w:color="000000" w:fill="FFFFFF"/>
            <w:noWrap/>
            <w:vAlign w:val="center"/>
            <w:hideMark/>
          </w:tcPr>
          <w:p w14:paraId="3878430E" w14:textId="53EC731B" w:rsidR="00A17929" w:rsidRPr="000A132C" w:rsidRDefault="00A17929" w:rsidP="002E1075">
            <w:pPr>
              <w:spacing w:line="240" w:lineRule="auto"/>
              <w:jc w:val="center"/>
            </w:pPr>
            <w:r w:rsidRPr="00736214">
              <w:rPr>
                <w:color w:val="000000"/>
              </w:rPr>
              <w:t>14</w:t>
            </w:r>
          </w:p>
        </w:tc>
      </w:tr>
      <w:tr w:rsidR="00A17929" w:rsidRPr="00532FD7" w14:paraId="0BD141F8"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auto" w:fill="BDD6EE" w:themeFill="accent1" w:themeFillTint="66"/>
            <w:noWrap/>
            <w:vAlign w:val="center"/>
          </w:tcPr>
          <w:p w14:paraId="301707E2" w14:textId="0257ECD3" w:rsidR="00A17929" w:rsidRPr="000A132C" w:rsidRDefault="00C524F6" w:rsidP="000A132C">
            <w:pPr>
              <w:spacing w:line="240" w:lineRule="auto"/>
              <w:jc w:val="left"/>
              <w:rPr>
                <w:rFonts w:eastAsia="Times New Roman"/>
                <w:color w:val="000000"/>
                <w:sz w:val="22"/>
                <w:szCs w:val="22"/>
                <w:lang w:eastAsia="hr-HR"/>
              </w:rPr>
            </w:pPr>
            <w:r>
              <w:rPr>
                <w:rFonts w:eastAsia="Times New Roman"/>
                <w:color w:val="000000"/>
                <w:sz w:val="22"/>
                <w:szCs w:val="22"/>
                <w:lang w:eastAsia="hr-HR"/>
              </w:rPr>
              <w:t>Drvene</w:t>
            </w:r>
            <w:r w:rsidR="00A17929">
              <w:rPr>
                <w:rFonts w:eastAsia="Times New Roman"/>
                <w:color w:val="000000"/>
                <w:sz w:val="22"/>
                <w:szCs w:val="22"/>
                <w:lang w:eastAsia="hr-HR"/>
              </w:rPr>
              <w:t xml:space="preserve"> kuće</w:t>
            </w:r>
          </w:p>
        </w:tc>
        <w:tc>
          <w:tcPr>
            <w:tcW w:w="2055" w:type="dxa"/>
            <w:tcBorders>
              <w:top w:val="nil"/>
              <w:left w:val="nil"/>
              <w:bottom w:val="single" w:sz="4" w:space="0" w:color="A6A6A6"/>
              <w:right w:val="single" w:sz="4" w:space="0" w:color="A6A6A6"/>
            </w:tcBorders>
            <w:shd w:val="clear" w:color="auto" w:fill="BDD6EE" w:themeFill="accent1" w:themeFillTint="66"/>
            <w:noWrap/>
            <w:vAlign w:val="center"/>
          </w:tcPr>
          <w:p w14:paraId="7E96269E" w14:textId="58BCF5CB" w:rsidR="00A17929" w:rsidRPr="000A132C" w:rsidRDefault="00A17929" w:rsidP="002E1075">
            <w:pPr>
              <w:spacing w:line="240" w:lineRule="auto"/>
              <w:jc w:val="center"/>
            </w:pPr>
            <w:r w:rsidRPr="000A132C">
              <w:t>0</w:t>
            </w:r>
          </w:p>
        </w:tc>
        <w:tc>
          <w:tcPr>
            <w:tcW w:w="2056" w:type="dxa"/>
            <w:tcBorders>
              <w:top w:val="nil"/>
              <w:left w:val="nil"/>
              <w:bottom w:val="single" w:sz="4" w:space="0" w:color="A6A6A6"/>
              <w:right w:val="single" w:sz="4" w:space="0" w:color="A6A6A6"/>
            </w:tcBorders>
            <w:shd w:val="clear" w:color="auto" w:fill="BDD6EE" w:themeFill="accent1" w:themeFillTint="66"/>
            <w:noWrap/>
            <w:vAlign w:val="center"/>
          </w:tcPr>
          <w:p w14:paraId="7F8426CB" w14:textId="5EE673B2" w:rsidR="00A17929" w:rsidRPr="000A132C" w:rsidRDefault="00A17929" w:rsidP="002E1075">
            <w:pPr>
              <w:spacing w:line="240" w:lineRule="auto"/>
              <w:jc w:val="center"/>
            </w:pPr>
            <w:r w:rsidRPr="00736214">
              <w:rPr>
                <w:color w:val="000000"/>
              </w:rPr>
              <w:t>35</w:t>
            </w:r>
          </w:p>
        </w:tc>
      </w:tr>
      <w:tr w:rsidR="00A17929" w:rsidRPr="00532FD7" w14:paraId="533843F0"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auto" w:fill="BDD6EE" w:themeFill="accent1" w:themeFillTint="66"/>
            <w:noWrap/>
            <w:vAlign w:val="center"/>
          </w:tcPr>
          <w:p w14:paraId="3E06CA93" w14:textId="6810A417" w:rsidR="00A17929" w:rsidRPr="000A132C" w:rsidRDefault="00A17929" w:rsidP="000A132C">
            <w:pPr>
              <w:spacing w:line="240" w:lineRule="auto"/>
              <w:jc w:val="left"/>
              <w:rPr>
                <w:rFonts w:eastAsia="Times New Roman"/>
                <w:color w:val="000000"/>
                <w:sz w:val="22"/>
                <w:szCs w:val="22"/>
                <w:lang w:eastAsia="hr-HR"/>
              </w:rPr>
            </w:pPr>
            <w:r>
              <w:rPr>
                <w:rFonts w:eastAsia="Times New Roman"/>
                <w:color w:val="000000"/>
                <w:sz w:val="22"/>
                <w:szCs w:val="22"/>
                <w:lang w:eastAsia="hr-HR"/>
              </w:rPr>
              <w:t>Izgradnja kuća OPKK</w:t>
            </w:r>
          </w:p>
        </w:tc>
        <w:tc>
          <w:tcPr>
            <w:tcW w:w="2055" w:type="dxa"/>
            <w:tcBorders>
              <w:top w:val="nil"/>
              <w:left w:val="nil"/>
              <w:bottom w:val="single" w:sz="4" w:space="0" w:color="A6A6A6"/>
              <w:right w:val="single" w:sz="4" w:space="0" w:color="A6A6A6"/>
            </w:tcBorders>
            <w:shd w:val="clear" w:color="auto" w:fill="BDD6EE" w:themeFill="accent1" w:themeFillTint="66"/>
            <w:noWrap/>
            <w:vAlign w:val="center"/>
          </w:tcPr>
          <w:p w14:paraId="25964C29" w14:textId="49F1652E" w:rsidR="00A17929" w:rsidRPr="000A132C" w:rsidRDefault="00A17929" w:rsidP="002E1075">
            <w:pPr>
              <w:spacing w:line="240" w:lineRule="auto"/>
              <w:jc w:val="center"/>
            </w:pPr>
            <w:r w:rsidRPr="000A132C">
              <w:t>0</w:t>
            </w:r>
          </w:p>
        </w:tc>
        <w:tc>
          <w:tcPr>
            <w:tcW w:w="2056" w:type="dxa"/>
            <w:tcBorders>
              <w:top w:val="nil"/>
              <w:left w:val="nil"/>
              <w:bottom w:val="single" w:sz="4" w:space="0" w:color="A6A6A6"/>
              <w:right w:val="single" w:sz="4" w:space="0" w:color="A6A6A6"/>
            </w:tcBorders>
            <w:shd w:val="clear" w:color="auto" w:fill="BDD6EE" w:themeFill="accent1" w:themeFillTint="66"/>
            <w:noWrap/>
            <w:vAlign w:val="center"/>
          </w:tcPr>
          <w:p w14:paraId="6C71578A" w14:textId="0D8CBE86" w:rsidR="00A17929" w:rsidRPr="000A132C" w:rsidRDefault="00736214" w:rsidP="002E1075">
            <w:pPr>
              <w:spacing w:line="240" w:lineRule="auto"/>
              <w:jc w:val="center"/>
            </w:pPr>
            <w:r w:rsidRPr="00736214">
              <w:rPr>
                <w:color w:val="000000"/>
              </w:rPr>
              <w:t>17</w:t>
            </w:r>
          </w:p>
        </w:tc>
      </w:tr>
      <w:tr w:rsidR="00A17929" w:rsidRPr="00C9549D" w14:paraId="71C3E3C8" w14:textId="77777777" w:rsidTr="00B4466E">
        <w:trPr>
          <w:trHeight w:val="567"/>
        </w:trPr>
        <w:tc>
          <w:tcPr>
            <w:tcW w:w="5103" w:type="dxa"/>
            <w:tcBorders>
              <w:top w:val="nil"/>
              <w:left w:val="single" w:sz="4" w:space="0" w:color="A6A6A6"/>
              <w:bottom w:val="single" w:sz="4" w:space="0" w:color="A6A6A6"/>
              <w:right w:val="single" w:sz="4" w:space="0" w:color="A6A6A6"/>
            </w:tcBorders>
            <w:shd w:val="clear" w:color="000000" w:fill="002060"/>
            <w:vAlign w:val="center"/>
            <w:hideMark/>
          </w:tcPr>
          <w:p w14:paraId="4245F39A" w14:textId="77777777" w:rsidR="00A17929" w:rsidRPr="00C9549D" w:rsidRDefault="00A17929" w:rsidP="002E1075">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2055" w:type="dxa"/>
            <w:tcBorders>
              <w:top w:val="nil"/>
              <w:left w:val="nil"/>
              <w:bottom w:val="single" w:sz="4" w:space="0" w:color="A6A6A6"/>
              <w:right w:val="single" w:sz="4" w:space="0" w:color="A6A6A6"/>
            </w:tcBorders>
            <w:shd w:val="clear" w:color="000000" w:fill="002060"/>
            <w:vAlign w:val="center"/>
            <w:hideMark/>
          </w:tcPr>
          <w:p w14:paraId="109F261A" w14:textId="3108C766" w:rsidR="00A17929" w:rsidRPr="000A132C" w:rsidRDefault="00A17929" w:rsidP="002E1075">
            <w:pPr>
              <w:spacing w:line="240" w:lineRule="auto"/>
              <w:jc w:val="center"/>
            </w:pPr>
            <w:r w:rsidRPr="000A132C">
              <w:t>107</w:t>
            </w:r>
          </w:p>
        </w:tc>
        <w:tc>
          <w:tcPr>
            <w:tcW w:w="2056" w:type="dxa"/>
            <w:tcBorders>
              <w:top w:val="nil"/>
              <w:left w:val="nil"/>
              <w:bottom w:val="single" w:sz="4" w:space="0" w:color="A6A6A6"/>
              <w:right w:val="single" w:sz="4" w:space="0" w:color="A6A6A6"/>
            </w:tcBorders>
            <w:shd w:val="clear" w:color="000000" w:fill="002060"/>
            <w:vAlign w:val="center"/>
            <w:hideMark/>
          </w:tcPr>
          <w:p w14:paraId="4DDB511F" w14:textId="2460E473" w:rsidR="00A17929" w:rsidRPr="000A132C" w:rsidRDefault="00736214" w:rsidP="002E1075">
            <w:pPr>
              <w:spacing w:line="240" w:lineRule="auto"/>
              <w:jc w:val="center"/>
            </w:pPr>
            <w:r w:rsidRPr="00736214">
              <w:rPr>
                <w:color w:val="FFFFFF"/>
              </w:rPr>
              <w:t>229</w:t>
            </w:r>
          </w:p>
        </w:tc>
      </w:tr>
    </w:tbl>
    <w:p w14:paraId="0FAD6AD9" w14:textId="77777777" w:rsidR="00F45961" w:rsidRDefault="00F45961" w:rsidP="00F45961">
      <w:bookmarkStart w:id="13" w:name="_Toc157547908"/>
      <w:bookmarkStart w:id="14" w:name="_Toc157547909"/>
      <w:bookmarkEnd w:id="13"/>
      <w:bookmarkEnd w:id="14"/>
    </w:p>
    <w:p w14:paraId="01920458" w14:textId="77777777" w:rsidR="00F45961" w:rsidRDefault="00F45961" w:rsidP="00F45961"/>
    <w:p w14:paraId="6D4F67FB" w14:textId="18ABBE3A" w:rsidR="001F542B" w:rsidRDefault="002E0470" w:rsidP="00F4045F">
      <w:pPr>
        <w:pStyle w:val="Heading3"/>
        <w:numPr>
          <w:ilvl w:val="2"/>
          <w:numId w:val="11"/>
        </w:numPr>
        <w:rPr>
          <w:b/>
          <w:bCs w:val="0"/>
          <w:i w:val="0"/>
          <w:iCs w:val="0"/>
        </w:rPr>
      </w:pPr>
      <w:bookmarkStart w:id="15" w:name="_Toc161040567"/>
      <w:r w:rsidRPr="007F2F3A">
        <w:rPr>
          <w:b/>
          <w:bCs w:val="0"/>
          <w:i w:val="0"/>
          <w:iCs w:val="0"/>
        </w:rPr>
        <w:t>Zbirni pregled n</w:t>
      </w:r>
      <w:r w:rsidR="00D617D5" w:rsidRPr="007F2F3A">
        <w:rPr>
          <w:b/>
          <w:bCs w:val="0"/>
          <w:i w:val="0"/>
          <w:iCs w:val="0"/>
        </w:rPr>
        <w:t>ovčan</w:t>
      </w:r>
      <w:r w:rsidRPr="007F2F3A">
        <w:rPr>
          <w:b/>
          <w:bCs w:val="0"/>
          <w:i w:val="0"/>
          <w:iCs w:val="0"/>
        </w:rPr>
        <w:t>ih</w:t>
      </w:r>
      <w:r w:rsidR="00D617D5" w:rsidRPr="007F2F3A">
        <w:rPr>
          <w:b/>
          <w:bCs w:val="0"/>
          <w:i w:val="0"/>
          <w:iCs w:val="0"/>
        </w:rPr>
        <w:t xml:space="preserve"> pomoći</w:t>
      </w:r>
      <w:r w:rsidRPr="007F2F3A">
        <w:rPr>
          <w:b/>
          <w:bCs w:val="0"/>
          <w:i w:val="0"/>
          <w:iCs w:val="0"/>
        </w:rPr>
        <w:t xml:space="preserve"> za obnovu</w:t>
      </w:r>
      <w:bookmarkEnd w:id="15"/>
    </w:p>
    <w:p w14:paraId="34102B23" w14:textId="77777777" w:rsidR="007910FD" w:rsidRPr="007910FD" w:rsidRDefault="007910FD" w:rsidP="007910FD"/>
    <w:p w14:paraId="5C806FB5" w14:textId="0FFA2C80" w:rsidR="003700BF" w:rsidRDefault="003700BF" w:rsidP="003700BF">
      <w:r>
        <w:t xml:space="preserve">Novim Zakonom o obnovi model </w:t>
      </w:r>
      <w:r w:rsidR="007B4D92">
        <w:t xml:space="preserve">novčane pomoći tzv. samoobnova </w:t>
      </w:r>
      <w:r>
        <w:t xml:space="preserve">dodatno je unaprijeđen te su njime omogućene pogodnosti za vlasnike nekretnina oštećenih u potresu koji se odluče za obnovu po </w:t>
      </w:r>
      <w:r w:rsidR="00113F6F">
        <w:t>ovome modelu</w:t>
      </w:r>
      <w:r>
        <w:t>.</w:t>
      </w:r>
      <w:r w:rsidR="00AC223F">
        <w:t xml:space="preserve"> </w:t>
      </w:r>
      <w:r>
        <w:t xml:space="preserve">Ministarstvo </w:t>
      </w:r>
      <w:r w:rsidR="005F5FEC">
        <w:t xml:space="preserve">je </w:t>
      </w:r>
      <w:r>
        <w:t xml:space="preserve">nadležno za obradu zahtjeva za obnovu i donošenje rješenja te isplaćuje novčani iznos sukladno razini i stupnju oštećenja zgrade. </w:t>
      </w:r>
    </w:p>
    <w:p w14:paraId="2ED02DB5" w14:textId="77777777" w:rsidR="003700BF" w:rsidRDefault="003700BF" w:rsidP="003700BF"/>
    <w:p w14:paraId="525887E7" w14:textId="4B0CF332" w:rsidR="006927C1" w:rsidRPr="00B972BF" w:rsidRDefault="00BC02D1" w:rsidP="003700BF">
      <w:r w:rsidRPr="00B972BF">
        <w:t xml:space="preserve">Do </w:t>
      </w:r>
      <w:r w:rsidR="008B7703">
        <w:t>31. prosinca 2022.</w:t>
      </w:r>
      <w:r w:rsidR="006F40E5" w:rsidRPr="00B972BF">
        <w:t xml:space="preserve"> isplaćeno je ukupno 2</w:t>
      </w:r>
      <w:r w:rsidR="00513EF8">
        <w:t>4</w:t>
      </w:r>
      <w:r w:rsidR="006F40E5" w:rsidRPr="00B972BF">
        <w:t>,</w:t>
      </w:r>
      <w:r w:rsidR="00513EF8">
        <w:t>7</w:t>
      </w:r>
      <w:r w:rsidR="006F40E5" w:rsidRPr="00B972BF">
        <w:t xml:space="preserve"> milijuna eura novčanih pomoći</w:t>
      </w:r>
      <w:r w:rsidR="00641C3E">
        <w:t>, a promjen</w:t>
      </w:r>
      <w:r w:rsidR="00C2393B">
        <w:t>a</w:t>
      </w:r>
      <w:r w:rsidR="00641C3E">
        <w:t xml:space="preserve"> Z</w:t>
      </w:r>
      <w:r w:rsidR="00EC3F10" w:rsidRPr="00B972BF">
        <w:t>akona</w:t>
      </w:r>
      <w:r w:rsidR="00641C3E">
        <w:t xml:space="preserve"> o obnovi</w:t>
      </w:r>
      <w:r w:rsidR="00614338" w:rsidRPr="00B972BF">
        <w:t>,</w:t>
      </w:r>
      <w:r w:rsidR="00EC3F10" w:rsidRPr="00B972BF">
        <w:t xml:space="preserve"> objedinjavanje tijela </w:t>
      </w:r>
      <w:r w:rsidR="00614338" w:rsidRPr="00B972BF">
        <w:t xml:space="preserve">i </w:t>
      </w:r>
      <w:r w:rsidR="00C2393B">
        <w:t>aktivno poticanje samoobnove</w:t>
      </w:r>
      <w:r w:rsidR="00614338" w:rsidRPr="00B972BF">
        <w:t xml:space="preserve"> rezultira</w:t>
      </w:r>
      <w:r w:rsidR="00C2393B">
        <w:t>o je</w:t>
      </w:r>
      <w:r w:rsidR="00614338" w:rsidRPr="00B972BF">
        <w:t xml:space="preserve"> </w:t>
      </w:r>
      <w:r w:rsidR="00F278D9" w:rsidRPr="00B972BF">
        <w:t>ubrzanjem donošenja akata i isplat</w:t>
      </w:r>
      <w:r w:rsidR="00AD06B5">
        <w:t>a</w:t>
      </w:r>
      <w:r w:rsidR="00F278D9" w:rsidRPr="00B972BF">
        <w:t xml:space="preserve"> novčanih naknada za samoobnovu</w:t>
      </w:r>
      <w:r w:rsidR="00DB66BF" w:rsidRPr="00B972BF">
        <w:t xml:space="preserve"> te</w:t>
      </w:r>
      <w:r w:rsidR="00AD06B5">
        <w:t xml:space="preserve"> je </w:t>
      </w:r>
      <w:r w:rsidR="003831CA">
        <w:t>tijekom</w:t>
      </w:r>
      <w:r w:rsidR="00324362" w:rsidRPr="00B972BF">
        <w:t xml:space="preserve"> 2023. godine</w:t>
      </w:r>
      <w:r w:rsidR="00DB66BF" w:rsidRPr="00B972BF">
        <w:t xml:space="preserve"> </w:t>
      </w:r>
      <w:r w:rsidR="00DB66BF" w:rsidRPr="009E4B54">
        <w:t>isp</w:t>
      </w:r>
      <w:r w:rsidR="008D7522" w:rsidRPr="009E4B54">
        <w:t>la</w:t>
      </w:r>
      <w:r w:rsidR="00DB66BF" w:rsidRPr="009E4B54">
        <w:t xml:space="preserve">ćeno </w:t>
      </w:r>
      <w:r w:rsidR="003831CA">
        <w:t>125,7</w:t>
      </w:r>
      <w:r w:rsidR="008D7522" w:rsidRPr="009E4B54">
        <w:t xml:space="preserve"> milijuna eura novčanih pomoći što je </w:t>
      </w:r>
      <w:r w:rsidR="00985FC0">
        <w:t>pet puta</w:t>
      </w:r>
      <w:r w:rsidR="003816F1">
        <w:t xml:space="preserve"> veći</w:t>
      </w:r>
      <w:r w:rsidR="00A1623B" w:rsidRPr="009E4B54">
        <w:t xml:space="preserve"> iznos </w:t>
      </w:r>
      <w:r w:rsidR="003816F1">
        <w:t xml:space="preserve">u odnosu na </w:t>
      </w:r>
      <w:r w:rsidR="003816F1" w:rsidRPr="009E4B54">
        <w:t xml:space="preserve"> </w:t>
      </w:r>
      <w:r w:rsidR="00A1623B" w:rsidRPr="009E4B54">
        <w:t>ukupno ostvarenj</w:t>
      </w:r>
      <w:r w:rsidR="006927C1">
        <w:t>e</w:t>
      </w:r>
      <w:r w:rsidR="00A1623B" w:rsidRPr="009E4B54">
        <w:t xml:space="preserve"> od početka obnove do </w:t>
      </w:r>
      <w:r w:rsidR="008B7703">
        <w:t>31. prosinca 2022.</w:t>
      </w:r>
    </w:p>
    <w:p w14:paraId="4FEA93DD" w14:textId="77777777" w:rsidR="005F4BF2" w:rsidRDefault="005F4BF2" w:rsidP="002B0278">
      <w:pPr>
        <w:spacing w:before="60" w:after="60"/>
        <w:rPr>
          <w:i/>
          <w:iCs/>
        </w:rPr>
      </w:pPr>
    </w:p>
    <w:p w14:paraId="0BEBD7B8" w14:textId="77777777" w:rsidR="00CA734A" w:rsidRDefault="00CA734A" w:rsidP="002B0278">
      <w:pPr>
        <w:spacing w:before="60" w:after="60"/>
        <w:rPr>
          <w:i/>
          <w:iCs/>
        </w:rPr>
      </w:pPr>
    </w:p>
    <w:p w14:paraId="24A7BE9B" w14:textId="77777777" w:rsidR="00F45961" w:rsidRDefault="00F45961" w:rsidP="002B0278">
      <w:pPr>
        <w:spacing w:before="60" w:after="60"/>
        <w:rPr>
          <w:i/>
          <w:iCs/>
        </w:rPr>
      </w:pPr>
    </w:p>
    <w:p w14:paraId="3E580798" w14:textId="4A0E60E3" w:rsidR="00D17709" w:rsidRPr="00B972BF" w:rsidRDefault="00D17709" w:rsidP="002B0278">
      <w:pPr>
        <w:spacing w:before="60" w:after="60"/>
        <w:rPr>
          <w:i/>
          <w:iCs/>
        </w:rPr>
      </w:pPr>
      <w:r w:rsidRPr="00B972BF">
        <w:rPr>
          <w:i/>
          <w:iCs/>
        </w:rPr>
        <w:t>Pregled isplaćenih novčanih naknada</w:t>
      </w:r>
    </w:p>
    <w:tbl>
      <w:tblPr>
        <w:tblW w:w="9067" w:type="dxa"/>
        <w:tblLook w:val="04A0" w:firstRow="1" w:lastRow="0" w:firstColumn="1" w:lastColumn="0" w:noHBand="0" w:noVBand="1"/>
      </w:tblPr>
      <w:tblGrid>
        <w:gridCol w:w="2689"/>
        <w:gridCol w:w="2126"/>
        <w:gridCol w:w="2126"/>
        <w:gridCol w:w="2126"/>
      </w:tblGrid>
      <w:tr w:rsidR="00A77AFF" w:rsidRPr="003C76F6" w14:paraId="10C53D11" w14:textId="77777777" w:rsidTr="007910FD">
        <w:trPr>
          <w:trHeight w:val="794"/>
        </w:trPr>
        <w:tc>
          <w:tcPr>
            <w:tcW w:w="2689"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7487909B" w14:textId="77777777" w:rsidR="00A77AFF" w:rsidRPr="003C76F6" w:rsidRDefault="00A77AFF" w:rsidP="00A77AFF">
            <w:pPr>
              <w:spacing w:line="240" w:lineRule="auto"/>
              <w:jc w:val="center"/>
              <w:rPr>
                <w:rFonts w:eastAsia="Times New Roman"/>
                <w:color w:val="FFFFFF"/>
                <w:sz w:val="22"/>
                <w:szCs w:val="22"/>
                <w:lang w:eastAsia="hr-HR"/>
              </w:rPr>
            </w:pPr>
            <w:r w:rsidRPr="003C76F6">
              <w:rPr>
                <w:rFonts w:eastAsia="Times New Roman"/>
                <w:color w:val="FFFFFF"/>
                <w:sz w:val="22"/>
                <w:szCs w:val="22"/>
                <w:lang w:eastAsia="hr-HR"/>
              </w:rPr>
              <w:t>VRSTA NOVČANE POMOĆI</w:t>
            </w:r>
          </w:p>
        </w:tc>
        <w:tc>
          <w:tcPr>
            <w:tcW w:w="2126" w:type="dxa"/>
            <w:tcBorders>
              <w:top w:val="single" w:sz="4" w:space="0" w:color="A6A6A6"/>
              <w:left w:val="nil"/>
              <w:bottom w:val="single" w:sz="4" w:space="0" w:color="A6A6A6"/>
              <w:right w:val="single" w:sz="4" w:space="0" w:color="A6A6A6"/>
            </w:tcBorders>
            <w:shd w:val="clear" w:color="000000" w:fill="002060"/>
            <w:vAlign w:val="center"/>
            <w:hideMark/>
          </w:tcPr>
          <w:p w14:paraId="0FC36D5E" w14:textId="4874D983" w:rsidR="00A77AFF" w:rsidRPr="003C76F6" w:rsidRDefault="00A77AFF" w:rsidP="00A77AFF">
            <w:pPr>
              <w:spacing w:line="240" w:lineRule="auto"/>
              <w:jc w:val="center"/>
              <w:rPr>
                <w:rFonts w:eastAsia="Times New Roman"/>
                <w:color w:val="FFFFFF"/>
                <w:sz w:val="22"/>
                <w:szCs w:val="22"/>
                <w:lang w:eastAsia="hr-HR"/>
              </w:rPr>
            </w:pPr>
            <w:r w:rsidRPr="003C76F6">
              <w:rPr>
                <w:color w:val="FFFFFF"/>
                <w:sz w:val="22"/>
                <w:szCs w:val="22"/>
              </w:rPr>
              <w:t xml:space="preserve"> Stanje na</w:t>
            </w:r>
            <w:r w:rsidR="000C3E51" w:rsidRPr="003C76F6">
              <w:rPr>
                <w:color w:val="FFFFFF"/>
                <w:sz w:val="22"/>
                <w:szCs w:val="22"/>
              </w:rPr>
              <w:t xml:space="preserve"> </w:t>
            </w:r>
            <w:r w:rsidRPr="003C76F6">
              <w:rPr>
                <w:color w:val="FFFFFF"/>
                <w:sz w:val="22"/>
                <w:szCs w:val="22"/>
              </w:rPr>
              <w:t>31.</w:t>
            </w:r>
            <w:r w:rsidR="00615F3B" w:rsidRPr="003C76F6">
              <w:rPr>
                <w:color w:val="FFFFFF"/>
                <w:sz w:val="22"/>
                <w:szCs w:val="22"/>
              </w:rPr>
              <w:t xml:space="preserve">prosinca </w:t>
            </w:r>
            <w:r w:rsidRPr="003C76F6">
              <w:rPr>
                <w:color w:val="FFFFFF"/>
                <w:sz w:val="22"/>
                <w:szCs w:val="22"/>
              </w:rPr>
              <w:t xml:space="preserve">2022. </w:t>
            </w:r>
          </w:p>
        </w:tc>
        <w:tc>
          <w:tcPr>
            <w:tcW w:w="2126" w:type="dxa"/>
            <w:tcBorders>
              <w:top w:val="single" w:sz="4" w:space="0" w:color="A6A6A6"/>
              <w:left w:val="nil"/>
              <w:bottom w:val="single" w:sz="4" w:space="0" w:color="A6A6A6"/>
              <w:right w:val="single" w:sz="4" w:space="0" w:color="A6A6A6"/>
            </w:tcBorders>
            <w:shd w:val="clear" w:color="000000" w:fill="002060"/>
            <w:vAlign w:val="center"/>
            <w:hideMark/>
          </w:tcPr>
          <w:p w14:paraId="574767B8" w14:textId="48E1CC7B" w:rsidR="00A77AFF" w:rsidRPr="003C76F6" w:rsidRDefault="000C3E51" w:rsidP="00A77AFF">
            <w:pPr>
              <w:spacing w:line="240" w:lineRule="auto"/>
              <w:jc w:val="center"/>
              <w:rPr>
                <w:rFonts w:eastAsia="Times New Roman"/>
                <w:color w:val="FFFFFF"/>
                <w:sz w:val="22"/>
                <w:szCs w:val="22"/>
                <w:lang w:eastAsia="hr-HR"/>
              </w:rPr>
            </w:pPr>
            <w:r w:rsidRPr="003C76F6">
              <w:rPr>
                <w:color w:val="FFFFFF"/>
                <w:sz w:val="22"/>
                <w:szCs w:val="22"/>
              </w:rPr>
              <w:t xml:space="preserve"> Realizacija tijekom 2023. godine </w:t>
            </w:r>
          </w:p>
        </w:tc>
        <w:tc>
          <w:tcPr>
            <w:tcW w:w="2126" w:type="dxa"/>
            <w:tcBorders>
              <w:top w:val="single" w:sz="4" w:space="0" w:color="A6A6A6"/>
              <w:left w:val="nil"/>
              <w:bottom w:val="single" w:sz="4" w:space="0" w:color="A6A6A6"/>
              <w:right w:val="single" w:sz="4" w:space="0" w:color="A6A6A6"/>
            </w:tcBorders>
            <w:shd w:val="clear" w:color="000000" w:fill="002060"/>
            <w:vAlign w:val="center"/>
            <w:hideMark/>
          </w:tcPr>
          <w:p w14:paraId="31090DFC" w14:textId="77777777" w:rsidR="00874D91" w:rsidRDefault="000C3E51" w:rsidP="00874D91">
            <w:pPr>
              <w:spacing w:line="240" w:lineRule="auto"/>
              <w:jc w:val="center"/>
              <w:rPr>
                <w:color w:val="FFFFFF"/>
                <w:sz w:val="22"/>
                <w:szCs w:val="22"/>
              </w:rPr>
            </w:pPr>
            <w:r w:rsidRPr="003C76F6">
              <w:rPr>
                <w:color w:val="FFFFFF"/>
                <w:sz w:val="22"/>
                <w:szCs w:val="22"/>
              </w:rPr>
              <w:t xml:space="preserve"> </w:t>
            </w:r>
            <w:r w:rsidR="00874D91">
              <w:rPr>
                <w:color w:val="FFFFFF"/>
                <w:sz w:val="22"/>
                <w:szCs w:val="22"/>
              </w:rPr>
              <w:t xml:space="preserve">Stanje na </w:t>
            </w:r>
          </w:p>
          <w:p w14:paraId="6962DD00" w14:textId="3AC00CD8" w:rsidR="00874D91" w:rsidRPr="000A132C" w:rsidRDefault="00874D91" w:rsidP="00874D91">
            <w:pPr>
              <w:spacing w:line="240" w:lineRule="auto"/>
              <w:jc w:val="center"/>
              <w:rPr>
                <w:color w:val="FFFFFF"/>
                <w:sz w:val="22"/>
                <w:szCs w:val="22"/>
              </w:rPr>
            </w:pPr>
            <w:r w:rsidRPr="00C9549D">
              <w:rPr>
                <w:rFonts w:eastAsia="Times New Roman"/>
                <w:color w:val="FFFFFF"/>
                <w:sz w:val="22"/>
                <w:szCs w:val="22"/>
                <w:lang w:eastAsia="hr-HR"/>
              </w:rPr>
              <w:t>31.</w:t>
            </w:r>
            <w:r>
              <w:rPr>
                <w:rFonts w:eastAsia="Times New Roman"/>
                <w:color w:val="FFFFFF"/>
                <w:sz w:val="22"/>
                <w:szCs w:val="22"/>
                <w:lang w:eastAsia="hr-HR"/>
              </w:rPr>
              <w:t xml:space="preserve"> prosinca </w:t>
            </w:r>
            <w:r>
              <w:rPr>
                <w:color w:val="FFFFFF"/>
                <w:sz w:val="22"/>
                <w:szCs w:val="22"/>
              </w:rPr>
              <w:t>2023.</w:t>
            </w:r>
          </w:p>
        </w:tc>
      </w:tr>
      <w:tr w:rsidR="00CF436B" w:rsidRPr="003C76F6" w14:paraId="58AB08BB"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79C47683" w14:textId="74B99488" w:rsidR="00CF436B" w:rsidRPr="003C76F6" w:rsidRDefault="00CF436B" w:rsidP="00CF436B">
            <w:pPr>
              <w:spacing w:line="240" w:lineRule="auto"/>
              <w:jc w:val="left"/>
              <w:rPr>
                <w:rFonts w:eastAsia="Times New Roman"/>
                <w:color w:val="000000"/>
                <w:sz w:val="22"/>
                <w:szCs w:val="22"/>
                <w:lang w:eastAsia="hr-HR"/>
              </w:rPr>
            </w:pPr>
            <w:r w:rsidRPr="003C76F6">
              <w:rPr>
                <w:color w:val="000000"/>
                <w:sz w:val="22"/>
                <w:szCs w:val="22"/>
              </w:rPr>
              <w:t xml:space="preserve">Novčana pomoć za </w:t>
            </w:r>
            <w:proofErr w:type="spellStart"/>
            <w:r w:rsidRPr="003C76F6">
              <w:rPr>
                <w:color w:val="000000"/>
                <w:sz w:val="22"/>
                <w:szCs w:val="22"/>
              </w:rPr>
              <w:t>nekonstrukcijsku</w:t>
            </w:r>
            <w:proofErr w:type="spellEnd"/>
            <w:r w:rsidRPr="003C76F6">
              <w:rPr>
                <w:color w:val="000000"/>
                <w:sz w:val="22"/>
                <w:szCs w:val="22"/>
              </w:rPr>
              <w:t xml:space="preserve"> obnovu</w:t>
            </w:r>
          </w:p>
        </w:tc>
        <w:tc>
          <w:tcPr>
            <w:tcW w:w="2126" w:type="dxa"/>
            <w:tcBorders>
              <w:top w:val="nil"/>
              <w:left w:val="nil"/>
              <w:bottom w:val="single" w:sz="4" w:space="0" w:color="A6A6A6"/>
              <w:right w:val="single" w:sz="4" w:space="0" w:color="A6A6A6"/>
            </w:tcBorders>
            <w:shd w:val="clear" w:color="auto" w:fill="auto"/>
            <w:noWrap/>
            <w:vAlign w:val="center"/>
            <w:hideMark/>
          </w:tcPr>
          <w:p w14:paraId="0103686B" w14:textId="0E840BFD"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19.980.012,30 € </w:t>
            </w:r>
          </w:p>
        </w:tc>
        <w:tc>
          <w:tcPr>
            <w:tcW w:w="2126" w:type="dxa"/>
            <w:tcBorders>
              <w:top w:val="nil"/>
              <w:left w:val="nil"/>
              <w:bottom w:val="single" w:sz="4" w:space="0" w:color="A6A6A6"/>
              <w:right w:val="single" w:sz="4" w:space="0" w:color="A6A6A6"/>
            </w:tcBorders>
            <w:shd w:val="clear" w:color="auto" w:fill="auto"/>
            <w:noWrap/>
            <w:vAlign w:val="center"/>
            <w:hideMark/>
          </w:tcPr>
          <w:p w14:paraId="7AC988D7" w14:textId="7ACC8FA5"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16.449.115,39 € </w:t>
            </w:r>
          </w:p>
        </w:tc>
        <w:tc>
          <w:tcPr>
            <w:tcW w:w="2126" w:type="dxa"/>
            <w:tcBorders>
              <w:top w:val="nil"/>
              <w:left w:val="nil"/>
              <w:bottom w:val="single" w:sz="4" w:space="0" w:color="A6A6A6"/>
              <w:right w:val="single" w:sz="4" w:space="0" w:color="A6A6A6"/>
            </w:tcBorders>
            <w:shd w:val="clear" w:color="auto" w:fill="auto"/>
            <w:noWrap/>
            <w:vAlign w:val="center"/>
            <w:hideMark/>
          </w:tcPr>
          <w:p w14:paraId="2093943F" w14:textId="14AFA9A0"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36.429.127,69 € </w:t>
            </w:r>
          </w:p>
        </w:tc>
      </w:tr>
      <w:tr w:rsidR="00CF436B" w:rsidRPr="003C76F6" w14:paraId="2F0046B0"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347AD197" w14:textId="320B1C31" w:rsidR="00CF436B" w:rsidRPr="003C76F6" w:rsidRDefault="00CF436B" w:rsidP="00CF436B">
            <w:pPr>
              <w:spacing w:line="240" w:lineRule="auto"/>
              <w:jc w:val="left"/>
              <w:rPr>
                <w:rFonts w:eastAsia="Times New Roman"/>
                <w:color w:val="000000"/>
                <w:sz w:val="22"/>
                <w:szCs w:val="22"/>
                <w:lang w:eastAsia="hr-HR"/>
              </w:rPr>
            </w:pPr>
            <w:r w:rsidRPr="003C76F6">
              <w:rPr>
                <w:color w:val="000000"/>
                <w:sz w:val="22"/>
                <w:szCs w:val="22"/>
              </w:rPr>
              <w:t>Novčana pomoć za konstrukcijsku obnovu</w:t>
            </w:r>
          </w:p>
        </w:tc>
        <w:tc>
          <w:tcPr>
            <w:tcW w:w="2126" w:type="dxa"/>
            <w:tcBorders>
              <w:top w:val="nil"/>
              <w:left w:val="nil"/>
              <w:bottom w:val="single" w:sz="4" w:space="0" w:color="A6A6A6"/>
              <w:right w:val="single" w:sz="4" w:space="0" w:color="A6A6A6"/>
            </w:tcBorders>
            <w:shd w:val="clear" w:color="auto" w:fill="auto"/>
            <w:noWrap/>
            <w:vAlign w:val="center"/>
            <w:hideMark/>
          </w:tcPr>
          <w:p w14:paraId="66C757A8" w14:textId="6F455F10"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4.662.980,36 € </w:t>
            </w:r>
          </w:p>
        </w:tc>
        <w:tc>
          <w:tcPr>
            <w:tcW w:w="2126" w:type="dxa"/>
            <w:tcBorders>
              <w:top w:val="nil"/>
              <w:left w:val="nil"/>
              <w:bottom w:val="single" w:sz="4" w:space="0" w:color="A6A6A6"/>
              <w:right w:val="single" w:sz="4" w:space="0" w:color="A6A6A6"/>
            </w:tcBorders>
            <w:shd w:val="clear" w:color="auto" w:fill="auto"/>
            <w:noWrap/>
            <w:vAlign w:val="center"/>
            <w:hideMark/>
          </w:tcPr>
          <w:p w14:paraId="087AC504" w14:textId="535CCBCB"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99.247.031,78 € </w:t>
            </w:r>
          </w:p>
        </w:tc>
        <w:tc>
          <w:tcPr>
            <w:tcW w:w="2126" w:type="dxa"/>
            <w:tcBorders>
              <w:top w:val="nil"/>
              <w:left w:val="nil"/>
              <w:bottom w:val="single" w:sz="4" w:space="0" w:color="A6A6A6"/>
              <w:right w:val="single" w:sz="4" w:space="0" w:color="A6A6A6"/>
            </w:tcBorders>
            <w:shd w:val="clear" w:color="auto" w:fill="auto"/>
            <w:noWrap/>
            <w:vAlign w:val="center"/>
            <w:hideMark/>
          </w:tcPr>
          <w:p w14:paraId="68E4DD07" w14:textId="2A0302A3"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103.910.012,14 € </w:t>
            </w:r>
          </w:p>
        </w:tc>
      </w:tr>
      <w:tr w:rsidR="00CF436B" w:rsidRPr="003C76F6" w14:paraId="0E2B12A3"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38A48C0E" w14:textId="50890387" w:rsidR="00CF436B" w:rsidRPr="003C76F6" w:rsidRDefault="00CF436B" w:rsidP="00CF436B">
            <w:pPr>
              <w:spacing w:line="240" w:lineRule="auto"/>
              <w:jc w:val="left"/>
              <w:rPr>
                <w:rFonts w:eastAsia="Times New Roman"/>
                <w:color w:val="000000"/>
                <w:sz w:val="22"/>
                <w:szCs w:val="22"/>
                <w:lang w:eastAsia="hr-HR"/>
              </w:rPr>
            </w:pPr>
            <w:r w:rsidRPr="003C76F6">
              <w:rPr>
                <w:color w:val="000000"/>
                <w:sz w:val="22"/>
                <w:szCs w:val="22"/>
              </w:rPr>
              <w:t>Novčana pomoć umjesto gradnje obiteljske kuće</w:t>
            </w:r>
          </w:p>
        </w:tc>
        <w:tc>
          <w:tcPr>
            <w:tcW w:w="2126" w:type="dxa"/>
            <w:tcBorders>
              <w:top w:val="nil"/>
              <w:left w:val="nil"/>
              <w:bottom w:val="single" w:sz="4" w:space="0" w:color="A6A6A6"/>
              <w:right w:val="single" w:sz="4" w:space="0" w:color="A6A6A6"/>
            </w:tcBorders>
            <w:shd w:val="clear" w:color="auto" w:fill="auto"/>
            <w:noWrap/>
            <w:vAlign w:val="center"/>
          </w:tcPr>
          <w:p w14:paraId="1B9DBED1" w14:textId="3359237E" w:rsidR="00CF436B" w:rsidRPr="003C76F6" w:rsidRDefault="00CF436B" w:rsidP="003831CA">
            <w:pPr>
              <w:spacing w:line="240" w:lineRule="auto"/>
              <w:jc w:val="right"/>
              <w:rPr>
                <w:rFonts w:eastAsia="Times New Roman"/>
                <w:color w:val="000000"/>
                <w:sz w:val="22"/>
                <w:szCs w:val="22"/>
                <w:lang w:eastAsia="hr-HR"/>
              </w:rPr>
            </w:pPr>
          </w:p>
        </w:tc>
        <w:tc>
          <w:tcPr>
            <w:tcW w:w="2126" w:type="dxa"/>
            <w:tcBorders>
              <w:top w:val="nil"/>
              <w:left w:val="nil"/>
              <w:bottom w:val="single" w:sz="4" w:space="0" w:color="A6A6A6"/>
              <w:right w:val="single" w:sz="4" w:space="0" w:color="A6A6A6"/>
            </w:tcBorders>
            <w:shd w:val="clear" w:color="auto" w:fill="auto"/>
            <w:noWrap/>
            <w:vAlign w:val="center"/>
            <w:hideMark/>
          </w:tcPr>
          <w:p w14:paraId="0DAE2794" w14:textId="7DB35D41"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3.249.439,17 € </w:t>
            </w:r>
          </w:p>
        </w:tc>
        <w:tc>
          <w:tcPr>
            <w:tcW w:w="2126" w:type="dxa"/>
            <w:tcBorders>
              <w:top w:val="nil"/>
              <w:left w:val="nil"/>
              <w:bottom w:val="single" w:sz="4" w:space="0" w:color="A6A6A6"/>
              <w:right w:val="single" w:sz="4" w:space="0" w:color="A6A6A6"/>
            </w:tcBorders>
            <w:shd w:val="clear" w:color="auto" w:fill="auto"/>
            <w:noWrap/>
            <w:vAlign w:val="center"/>
            <w:hideMark/>
          </w:tcPr>
          <w:p w14:paraId="6D310F76" w14:textId="650D8790" w:rsidR="00CF436B" w:rsidRPr="003C76F6" w:rsidRDefault="00CF436B" w:rsidP="003831CA">
            <w:pPr>
              <w:spacing w:line="240" w:lineRule="auto"/>
              <w:jc w:val="right"/>
              <w:rPr>
                <w:rFonts w:eastAsia="Times New Roman"/>
                <w:color w:val="000000"/>
                <w:sz w:val="22"/>
                <w:szCs w:val="22"/>
                <w:lang w:eastAsia="hr-HR"/>
              </w:rPr>
            </w:pPr>
            <w:r w:rsidRPr="003C76F6">
              <w:rPr>
                <w:color w:val="000000"/>
                <w:sz w:val="22"/>
                <w:szCs w:val="22"/>
              </w:rPr>
              <w:t xml:space="preserve">3.249.439,17 € </w:t>
            </w:r>
          </w:p>
        </w:tc>
      </w:tr>
      <w:tr w:rsidR="00CF436B" w:rsidRPr="003C76F6" w14:paraId="431991E4"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tcPr>
          <w:p w14:paraId="49C75EAA" w14:textId="4A58DEA7" w:rsidR="00CF436B" w:rsidRPr="003C76F6" w:rsidRDefault="00CF436B" w:rsidP="00CF436B">
            <w:pPr>
              <w:spacing w:line="240" w:lineRule="auto"/>
              <w:jc w:val="left"/>
              <w:rPr>
                <w:color w:val="000000"/>
                <w:sz w:val="22"/>
                <w:szCs w:val="22"/>
              </w:rPr>
            </w:pPr>
            <w:r w:rsidRPr="003C76F6">
              <w:rPr>
                <w:color w:val="000000"/>
                <w:sz w:val="22"/>
                <w:szCs w:val="22"/>
              </w:rPr>
              <w:t>Novčana pomoć za uklanjanje i gradnju</w:t>
            </w:r>
          </w:p>
        </w:tc>
        <w:tc>
          <w:tcPr>
            <w:tcW w:w="2126" w:type="dxa"/>
            <w:tcBorders>
              <w:top w:val="nil"/>
              <w:left w:val="nil"/>
              <w:bottom w:val="single" w:sz="4" w:space="0" w:color="A6A6A6"/>
              <w:right w:val="single" w:sz="4" w:space="0" w:color="A6A6A6"/>
            </w:tcBorders>
            <w:shd w:val="clear" w:color="auto" w:fill="auto"/>
            <w:noWrap/>
            <w:vAlign w:val="center"/>
          </w:tcPr>
          <w:p w14:paraId="00877AA6" w14:textId="3F4F54DA" w:rsidR="00CF436B" w:rsidRPr="003C76F6" w:rsidRDefault="00CF436B" w:rsidP="003831CA">
            <w:pPr>
              <w:spacing w:line="240" w:lineRule="auto"/>
              <w:jc w:val="right"/>
              <w:rPr>
                <w:color w:val="000000"/>
                <w:sz w:val="22"/>
                <w:szCs w:val="22"/>
              </w:rPr>
            </w:pPr>
          </w:p>
        </w:tc>
        <w:tc>
          <w:tcPr>
            <w:tcW w:w="2126" w:type="dxa"/>
            <w:tcBorders>
              <w:top w:val="nil"/>
              <w:left w:val="nil"/>
              <w:bottom w:val="single" w:sz="4" w:space="0" w:color="A6A6A6"/>
              <w:right w:val="single" w:sz="4" w:space="0" w:color="A6A6A6"/>
            </w:tcBorders>
            <w:shd w:val="clear" w:color="auto" w:fill="auto"/>
            <w:noWrap/>
            <w:vAlign w:val="center"/>
          </w:tcPr>
          <w:p w14:paraId="6878F271" w14:textId="78291061" w:rsidR="00CF436B" w:rsidRPr="003C76F6" w:rsidRDefault="00CF436B" w:rsidP="003831CA">
            <w:pPr>
              <w:spacing w:line="240" w:lineRule="auto"/>
              <w:jc w:val="right"/>
              <w:rPr>
                <w:color w:val="000000"/>
                <w:sz w:val="22"/>
                <w:szCs w:val="22"/>
              </w:rPr>
            </w:pPr>
            <w:r w:rsidRPr="003C76F6">
              <w:rPr>
                <w:color w:val="000000"/>
                <w:sz w:val="22"/>
                <w:szCs w:val="22"/>
              </w:rPr>
              <w:t xml:space="preserve">516.967,26 € </w:t>
            </w:r>
          </w:p>
        </w:tc>
        <w:tc>
          <w:tcPr>
            <w:tcW w:w="2126" w:type="dxa"/>
            <w:tcBorders>
              <w:top w:val="nil"/>
              <w:left w:val="nil"/>
              <w:bottom w:val="single" w:sz="4" w:space="0" w:color="A6A6A6"/>
              <w:right w:val="single" w:sz="4" w:space="0" w:color="A6A6A6"/>
            </w:tcBorders>
            <w:shd w:val="clear" w:color="auto" w:fill="auto"/>
            <w:noWrap/>
            <w:vAlign w:val="center"/>
          </w:tcPr>
          <w:p w14:paraId="02F9C57A" w14:textId="23FE204B" w:rsidR="00CF436B" w:rsidRPr="003C76F6" w:rsidRDefault="00CF436B" w:rsidP="003831CA">
            <w:pPr>
              <w:spacing w:line="240" w:lineRule="auto"/>
              <w:jc w:val="right"/>
              <w:rPr>
                <w:color w:val="000000"/>
                <w:sz w:val="22"/>
                <w:szCs w:val="22"/>
              </w:rPr>
            </w:pPr>
            <w:r w:rsidRPr="003C76F6">
              <w:rPr>
                <w:color w:val="000000"/>
                <w:sz w:val="22"/>
                <w:szCs w:val="22"/>
              </w:rPr>
              <w:t xml:space="preserve">516.967,26 € </w:t>
            </w:r>
          </w:p>
        </w:tc>
      </w:tr>
      <w:tr w:rsidR="00E331AF" w:rsidRPr="003C76F6" w14:paraId="0BF21D8C"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tcPr>
          <w:p w14:paraId="30737451" w14:textId="379F3618" w:rsidR="00E331AF" w:rsidRPr="003C76F6" w:rsidRDefault="00E331AF" w:rsidP="00E331AF">
            <w:pPr>
              <w:spacing w:line="240" w:lineRule="auto"/>
              <w:jc w:val="left"/>
              <w:rPr>
                <w:color w:val="000000"/>
                <w:sz w:val="22"/>
                <w:szCs w:val="22"/>
              </w:rPr>
            </w:pPr>
            <w:r w:rsidRPr="003C76F6">
              <w:rPr>
                <w:color w:val="000000"/>
                <w:sz w:val="22"/>
                <w:szCs w:val="22"/>
              </w:rPr>
              <w:t>Novčana pomoć za kupnju obiteljske kuće ili stana</w:t>
            </w:r>
          </w:p>
        </w:tc>
        <w:tc>
          <w:tcPr>
            <w:tcW w:w="2126" w:type="dxa"/>
            <w:tcBorders>
              <w:top w:val="nil"/>
              <w:left w:val="nil"/>
              <w:bottom w:val="single" w:sz="4" w:space="0" w:color="A6A6A6"/>
              <w:right w:val="single" w:sz="4" w:space="0" w:color="A6A6A6"/>
            </w:tcBorders>
            <w:shd w:val="clear" w:color="auto" w:fill="auto"/>
            <w:noWrap/>
            <w:vAlign w:val="center"/>
          </w:tcPr>
          <w:p w14:paraId="58421F9D" w14:textId="456065EB" w:rsidR="00E331AF" w:rsidRPr="003C76F6" w:rsidRDefault="00E331AF" w:rsidP="003831CA">
            <w:pPr>
              <w:spacing w:line="240" w:lineRule="auto"/>
              <w:jc w:val="right"/>
              <w:rPr>
                <w:color w:val="000000"/>
                <w:sz w:val="22"/>
                <w:szCs w:val="22"/>
              </w:rPr>
            </w:pPr>
            <w:r w:rsidRPr="000A132C">
              <w:rPr>
                <w:color w:val="000000"/>
                <w:sz w:val="22"/>
                <w:szCs w:val="22"/>
              </w:rPr>
              <w:t xml:space="preserve">                     </w:t>
            </w:r>
          </w:p>
        </w:tc>
        <w:tc>
          <w:tcPr>
            <w:tcW w:w="2126" w:type="dxa"/>
            <w:tcBorders>
              <w:top w:val="nil"/>
              <w:left w:val="nil"/>
              <w:bottom w:val="single" w:sz="4" w:space="0" w:color="A6A6A6"/>
              <w:right w:val="single" w:sz="4" w:space="0" w:color="A6A6A6"/>
            </w:tcBorders>
            <w:shd w:val="clear" w:color="auto" w:fill="auto"/>
            <w:noWrap/>
            <w:vAlign w:val="center"/>
          </w:tcPr>
          <w:p w14:paraId="7BC3C238" w14:textId="284AA660" w:rsidR="00E331AF" w:rsidRPr="003C76F6" w:rsidRDefault="00E331AF" w:rsidP="003831CA">
            <w:pPr>
              <w:spacing w:line="240" w:lineRule="auto"/>
              <w:jc w:val="right"/>
              <w:rPr>
                <w:color w:val="000000"/>
                <w:sz w:val="22"/>
                <w:szCs w:val="22"/>
              </w:rPr>
            </w:pPr>
            <w:r w:rsidRPr="000A132C">
              <w:rPr>
                <w:color w:val="000000"/>
                <w:sz w:val="22"/>
                <w:szCs w:val="22"/>
              </w:rPr>
              <w:t xml:space="preserve">3.106.491,86 € </w:t>
            </w:r>
          </w:p>
        </w:tc>
        <w:tc>
          <w:tcPr>
            <w:tcW w:w="2126" w:type="dxa"/>
            <w:tcBorders>
              <w:top w:val="nil"/>
              <w:left w:val="nil"/>
              <w:bottom w:val="single" w:sz="4" w:space="0" w:color="A6A6A6"/>
              <w:right w:val="single" w:sz="4" w:space="0" w:color="A6A6A6"/>
            </w:tcBorders>
            <w:shd w:val="clear" w:color="auto" w:fill="auto"/>
            <w:noWrap/>
            <w:vAlign w:val="center"/>
          </w:tcPr>
          <w:p w14:paraId="1FFEC5AC" w14:textId="6B8A2901" w:rsidR="00E331AF" w:rsidRPr="003C76F6" w:rsidRDefault="00E331AF" w:rsidP="003831CA">
            <w:pPr>
              <w:spacing w:line="240" w:lineRule="auto"/>
              <w:jc w:val="right"/>
              <w:rPr>
                <w:color w:val="000000"/>
                <w:sz w:val="22"/>
                <w:szCs w:val="22"/>
              </w:rPr>
            </w:pPr>
            <w:r w:rsidRPr="000A132C">
              <w:rPr>
                <w:color w:val="000000"/>
                <w:sz w:val="22"/>
                <w:szCs w:val="22"/>
              </w:rPr>
              <w:t xml:space="preserve">3.106.491,86 € </w:t>
            </w:r>
          </w:p>
        </w:tc>
      </w:tr>
      <w:tr w:rsidR="00E331AF" w:rsidRPr="003C76F6" w14:paraId="2A7CA5AD"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tcPr>
          <w:p w14:paraId="4181D9CF" w14:textId="7BCA54DC" w:rsidR="00E331AF" w:rsidRPr="003C76F6" w:rsidRDefault="00E331AF" w:rsidP="00E331AF">
            <w:pPr>
              <w:spacing w:line="240" w:lineRule="auto"/>
              <w:jc w:val="left"/>
              <w:rPr>
                <w:color w:val="000000"/>
                <w:sz w:val="22"/>
                <w:szCs w:val="22"/>
              </w:rPr>
            </w:pPr>
            <w:r w:rsidRPr="003C76F6">
              <w:rPr>
                <w:color w:val="000000"/>
                <w:sz w:val="22"/>
                <w:szCs w:val="22"/>
              </w:rPr>
              <w:t>Trošak koordinacije samoobnove</w:t>
            </w:r>
          </w:p>
        </w:tc>
        <w:tc>
          <w:tcPr>
            <w:tcW w:w="2126" w:type="dxa"/>
            <w:tcBorders>
              <w:top w:val="nil"/>
              <w:left w:val="nil"/>
              <w:bottom w:val="single" w:sz="4" w:space="0" w:color="A6A6A6"/>
              <w:right w:val="single" w:sz="4" w:space="0" w:color="A6A6A6"/>
            </w:tcBorders>
            <w:shd w:val="clear" w:color="auto" w:fill="auto"/>
            <w:noWrap/>
            <w:vAlign w:val="center"/>
          </w:tcPr>
          <w:p w14:paraId="2D8DB636" w14:textId="3B66F48D" w:rsidR="00E331AF" w:rsidRPr="003C76F6" w:rsidRDefault="00E331AF" w:rsidP="003831CA">
            <w:pPr>
              <w:spacing w:line="240" w:lineRule="auto"/>
              <w:jc w:val="right"/>
              <w:rPr>
                <w:color w:val="000000"/>
                <w:sz w:val="22"/>
                <w:szCs w:val="22"/>
              </w:rPr>
            </w:pPr>
            <w:r w:rsidRPr="000A132C">
              <w:rPr>
                <w:color w:val="000000"/>
                <w:sz w:val="22"/>
                <w:szCs w:val="22"/>
              </w:rPr>
              <w:t xml:space="preserve">66.361,44 € </w:t>
            </w:r>
          </w:p>
        </w:tc>
        <w:tc>
          <w:tcPr>
            <w:tcW w:w="2126" w:type="dxa"/>
            <w:tcBorders>
              <w:top w:val="nil"/>
              <w:left w:val="nil"/>
              <w:bottom w:val="single" w:sz="4" w:space="0" w:color="A6A6A6"/>
              <w:right w:val="single" w:sz="4" w:space="0" w:color="A6A6A6"/>
            </w:tcBorders>
            <w:shd w:val="clear" w:color="auto" w:fill="auto"/>
            <w:noWrap/>
            <w:vAlign w:val="center"/>
          </w:tcPr>
          <w:p w14:paraId="3094118E" w14:textId="573A51A7" w:rsidR="00E331AF" w:rsidRPr="003C76F6" w:rsidRDefault="00E331AF" w:rsidP="003831CA">
            <w:pPr>
              <w:spacing w:line="240" w:lineRule="auto"/>
              <w:jc w:val="right"/>
              <w:rPr>
                <w:color w:val="000000"/>
                <w:sz w:val="22"/>
                <w:szCs w:val="22"/>
              </w:rPr>
            </w:pPr>
            <w:r w:rsidRPr="000A132C">
              <w:rPr>
                <w:color w:val="000000"/>
                <w:sz w:val="22"/>
                <w:szCs w:val="22"/>
              </w:rPr>
              <w:t xml:space="preserve">2.258.970,68 € </w:t>
            </w:r>
          </w:p>
        </w:tc>
        <w:tc>
          <w:tcPr>
            <w:tcW w:w="2126" w:type="dxa"/>
            <w:tcBorders>
              <w:top w:val="nil"/>
              <w:left w:val="nil"/>
              <w:bottom w:val="single" w:sz="4" w:space="0" w:color="A6A6A6"/>
              <w:right w:val="single" w:sz="4" w:space="0" w:color="A6A6A6"/>
            </w:tcBorders>
            <w:shd w:val="clear" w:color="auto" w:fill="auto"/>
            <w:noWrap/>
            <w:vAlign w:val="center"/>
          </w:tcPr>
          <w:p w14:paraId="3B72498E" w14:textId="03A0088C" w:rsidR="00E331AF" w:rsidRPr="003C76F6" w:rsidRDefault="00E331AF" w:rsidP="003831CA">
            <w:pPr>
              <w:spacing w:line="240" w:lineRule="auto"/>
              <w:jc w:val="right"/>
              <w:rPr>
                <w:color w:val="000000"/>
                <w:sz w:val="22"/>
                <w:szCs w:val="22"/>
              </w:rPr>
            </w:pPr>
            <w:r w:rsidRPr="000A132C">
              <w:rPr>
                <w:color w:val="000000"/>
                <w:sz w:val="22"/>
                <w:szCs w:val="22"/>
              </w:rPr>
              <w:t xml:space="preserve">2.325.332,12 € </w:t>
            </w:r>
          </w:p>
        </w:tc>
      </w:tr>
      <w:tr w:rsidR="00E331AF" w:rsidRPr="003C76F6" w14:paraId="048036AC"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tcPr>
          <w:p w14:paraId="74537E54" w14:textId="09C97609" w:rsidR="00E331AF" w:rsidRPr="003C76F6" w:rsidRDefault="00E331AF" w:rsidP="00E331AF">
            <w:pPr>
              <w:spacing w:line="240" w:lineRule="auto"/>
              <w:jc w:val="left"/>
              <w:rPr>
                <w:color w:val="000000"/>
                <w:sz w:val="22"/>
                <w:szCs w:val="22"/>
              </w:rPr>
            </w:pPr>
            <w:r w:rsidRPr="003C76F6">
              <w:rPr>
                <w:color w:val="000000"/>
                <w:sz w:val="22"/>
                <w:szCs w:val="22"/>
              </w:rPr>
              <w:t>Trošak opremanja obiteljske kuće</w:t>
            </w:r>
          </w:p>
        </w:tc>
        <w:tc>
          <w:tcPr>
            <w:tcW w:w="2126" w:type="dxa"/>
            <w:tcBorders>
              <w:top w:val="nil"/>
              <w:left w:val="nil"/>
              <w:bottom w:val="single" w:sz="4" w:space="0" w:color="A6A6A6"/>
              <w:right w:val="single" w:sz="4" w:space="0" w:color="A6A6A6"/>
            </w:tcBorders>
            <w:shd w:val="clear" w:color="auto" w:fill="auto"/>
            <w:noWrap/>
            <w:vAlign w:val="center"/>
          </w:tcPr>
          <w:p w14:paraId="4222517B" w14:textId="2C7C40C4" w:rsidR="00E331AF" w:rsidRPr="003C76F6" w:rsidRDefault="00E331AF" w:rsidP="003831CA">
            <w:pPr>
              <w:spacing w:line="240" w:lineRule="auto"/>
              <w:jc w:val="right"/>
              <w:rPr>
                <w:color w:val="000000"/>
                <w:sz w:val="22"/>
                <w:szCs w:val="22"/>
              </w:rPr>
            </w:pPr>
          </w:p>
        </w:tc>
        <w:tc>
          <w:tcPr>
            <w:tcW w:w="2126" w:type="dxa"/>
            <w:tcBorders>
              <w:top w:val="nil"/>
              <w:left w:val="nil"/>
              <w:bottom w:val="single" w:sz="4" w:space="0" w:color="A6A6A6"/>
              <w:right w:val="single" w:sz="4" w:space="0" w:color="A6A6A6"/>
            </w:tcBorders>
            <w:shd w:val="clear" w:color="auto" w:fill="auto"/>
            <w:noWrap/>
            <w:vAlign w:val="center"/>
          </w:tcPr>
          <w:p w14:paraId="399CA3FD" w14:textId="39C5516B" w:rsidR="00E331AF" w:rsidRPr="003C76F6" w:rsidRDefault="00E331AF" w:rsidP="003831CA">
            <w:pPr>
              <w:spacing w:line="240" w:lineRule="auto"/>
              <w:jc w:val="right"/>
              <w:rPr>
                <w:color w:val="000000"/>
                <w:sz w:val="22"/>
                <w:szCs w:val="22"/>
              </w:rPr>
            </w:pPr>
            <w:r w:rsidRPr="000A132C">
              <w:rPr>
                <w:color w:val="000000"/>
                <w:sz w:val="22"/>
                <w:szCs w:val="22"/>
              </w:rPr>
              <w:t xml:space="preserve">663.879,68 € </w:t>
            </w:r>
          </w:p>
        </w:tc>
        <w:tc>
          <w:tcPr>
            <w:tcW w:w="2126" w:type="dxa"/>
            <w:tcBorders>
              <w:top w:val="nil"/>
              <w:left w:val="nil"/>
              <w:bottom w:val="single" w:sz="4" w:space="0" w:color="A6A6A6"/>
              <w:right w:val="single" w:sz="4" w:space="0" w:color="A6A6A6"/>
            </w:tcBorders>
            <w:shd w:val="clear" w:color="auto" w:fill="auto"/>
            <w:noWrap/>
            <w:vAlign w:val="center"/>
          </w:tcPr>
          <w:p w14:paraId="494C059D" w14:textId="35B21BCE" w:rsidR="00E331AF" w:rsidRPr="003C76F6" w:rsidRDefault="00E331AF" w:rsidP="003831CA">
            <w:pPr>
              <w:spacing w:line="240" w:lineRule="auto"/>
              <w:jc w:val="right"/>
              <w:rPr>
                <w:color w:val="000000"/>
                <w:sz w:val="22"/>
                <w:szCs w:val="22"/>
              </w:rPr>
            </w:pPr>
            <w:r w:rsidRPr="000A132C">
              <w:rPr>
                <w:color w:val="000000"/>
                <w:sz w:val="22"/>
                <w:szCs w:val="22"/>
              </w:rPr>
              <w:t xml:space="preserve">663.879,68 € </w:t>
            </w:r>
          </w:p>
        </w:tc>
      </w:tr>
      <w:tr w:rsidR="00E331AF" w:rsidRPr="003C76F6" w14:paraId="26E2B850"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hideMark/>
          </w:tcPr>
          <w:p w14:paraId="2576B8EE" w14:textId="53169061" w:rsidR="00E331AF" w:rsidRPr="003C76F6" w:rsidRDefault="00E331AF" w:rsidP="00E331AF">
            <w:pPr>
              <w:spacing w:line="240" w:lineRule="auto"/>
              <w:jc w:val="left"/>
              <w:rPr>
                <w:rFonts w:eastAsia="Times New Roman"/>
                <w:color w:val="000000"/>
                <w:sz w:val="22"/>
                <w:szCs w:val="22"/>
                <w:lang w:eastAsia="hr-HR"/>
              </w:rPr>
            </w:pPr>
            <w:r w:rsidRPr="003C76F6">
              <w:rPr>
                <w:color w:val="000000"/>
                <w:sz w:val="22"/>
                <w:szCs w:val="22"/>
              </w:rPr>
              <w:t>Trošak izrade projekta</w:t>
            </w:r>
          </w:p>
        </w:tc>
        <w:tc>
          <w:tcPr>
            <w:tcW w:w="2126" w:type="dxa"/>
            <w:tcBorders>
              <w:top w:val="nil"/>
              <w:left w:val="nil"/>
              <w:bottom w:val="single" w:sz="4" w:space="0" w:color="A6A6A6"/>
              <w:right w:val="single" w:sz="4" w:space="0" w:color="A6A6A6"/>
            </w:tcBorders>
            <w:shd w:val="clear" w:color="auto" w:fill="auto"/>
            <w:noWrap/>
            <w:vAlign w:val="center"/>
          </w:tcPr>
          <w:p w14:paraId="56A14166" w14:textId="23ADB6C0" w:rsidR="00E331AF" w:rsidRPr="003C76F6" w:rsidRDefault="00E331AF" w:rsidP="003831CA">
            <w:pPr>
              <w:spacing w:line="240" w:lineRule="auto"/>
              <w:jc w:val="right"/>
              <w:rPr>
                <w:rFonts w:eastAsia="Times New Roman"/>
                <w:color w:val="000000"/>
                <w:sz w:val="22"/>
                <w:szCs w:val="22"/>
                <w:lang w:eastAsia="hr-HR"/>
              </w:rPr>
            </w:pPr>
          </w:p>
        </w:tc>
        <w:tc>
          <w:tcPr>
            <w:tcW w:w="2126" w:type="dxa"/>
            <w:tcBorders>
              <w:top w:val="nil"/>
              <w:left w:val="nil"/>
              <w:bottom w:val="single" w:sz="4" w:space="0" w:color="A6A6A6"/>
              <w:right w:val="single" w:sz="4" w:space="0" w:color="A6A6A6"/>
            </w:tcBorders>
            <w:shd w:val="clear" w:color="auto" w:fill="auto"/>
            <w:noWrap/>
            <w:vAlign w:val="center"/>
            <w:hideMark/>
          </w:tcPr>
          <w:p w14:paraId="0356D614" w14:textId="5A48B199" w:rsidR="00E331AF" w:rsidRPr="003C76F6" w:rsidRDefault="00E331AF" w:rsidP="003831CA">
            <w:pPr>
              <w:spacing w:line="240" w:lineRule="auto"/>
              <w:jc w:val="right"/>
              <w:rPr>
                <w:rFonts w:eastAsia="Times New Roman"/>
                <w:color w:val="000000"/>
                <w:sz w:val="22"/>
                <w:szCs w:val="22"/>
                <w:lang w:eastAsia="hr-HR"/>
              </w:rPr>
            </w:pPr>
            <w:r w:rsidRPr="000A132C">
              <w:rPr>
                <w:color w:val="000000"/>
                <w:sz w:val="22"/>
                <w:szCs w:val="22"/>
              </w:rPr>
              <w:t xml:space="preserve">159.823,88 € </w:t>
            </w:r>
          </w:p>
        </w:tc>
        <w:tc>
          <w:tcPr>
            <w:tcW w:w="2126" w:type="dxa"/>
            <w:tcBorders>
              <w:top w:val="nil"/>
              <w:left w:val="nil"/>
              <w:bottom w:val="single" w:sz="4" w:space="0" w:color="A6A6A6"/>
              <w:right w:val="single" w:sz="4" w:space="0" w:color="A6A6A6"/>
            </w:tcBorders>
            <w:shd w:val="clear" w:color="auto" w:fill="auto"/>
            <w:noWrap/>
            <w:vAlign w:val="center"/>
            <w:hideMark/>
          </w:tcPr>
          <w:p w14:paraId="355F5F95" w14:textId="31D23038" w:rsidR="00E331AF" w:rsidRPr="003C76F6" w:rsidRDefault="00E331AF" w:rsidP="003831CA">
            <w:pPr>
              <w:spacing w:line="240" w:lineRule="auto"/>
              <w:jc w:val="right"/>
              <w:rPr>
                <w:rFonts w:eastAsia="Times New Roman"/>
                <w:color w:val="000000"/>
                <w:sz w:val="22"/>
                <w:szCs w:val="22"/>
                <w:lang w:eastAsia="hr-HR"/>
              </w:rPr>
            </w:pPr>
            <w:r w:rsidRPr="000A132C">
              <w:rPr>
                <w:color w:val="000000"/>
                <w:sz w:val="22"/>
                <w:szCs w:val="22"/>
              </w:rPr>
              <w:t xml:space="preserve">159.823,88 € </w:t>
            </w:r>
          </w:p>
        </w:tc>
      </w:tr>
      <w:tr w:rsidR="00E331AF" w:rsidRPr="003C76F6" w14:paraId="7685FEAB"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auto" w:fill="auto"/>
            <w:noWrap/>
            <w:vAlign w:val="center"/>
          </w:tcPr>
          <w:p w14:paraId="09A53ACC" w14:textId="6790B4ED" w:rsidR="00E331AF" w:rsidRPr="003C76F6" w:rsidRDefault="00E331AF" w:rsidP="00E331AF">
            <w:pPr>
              <w:spacing w:line="240" w:lineRule="auto"/>
              <w:jc w:val="left"/>
              <w:rPr>
                <w:rFonts w:eastAsia="Times New Roman"/>
                <w:color w:val="000000"/>
                <w:sz w:val="22"/>
                <w:szCs w:val="22"/>
                <w:lang w:eastAsia="hr-HR"/>
              </w:rPr>
            </w:pPr>
            <w:r w:rsidRPr="003C76F6">
              <w:rPr>
                <w:color w:val="000000"/>
                <w:sz w:val="22"/>
                <w:szCs w:val="22"/>
              </w:rPr>
              <w:t>Novčana pomoć za uklanjanje</w:t>
            </w:r>
          </w:p>
        </w:tc>
        <w:tc>
          <w:tcPr>
            <w:tcW w:w="2126" w:type="dxa"/>
            <w:tcBorders>
              <w:top w:val="nil"/>
              <w:left w:val="nil"/>
              <w:bottom w:val="single" w:sz="4" w:space="0" w:color="A6A6A6"/>
              <w:right w:val="single" w:sz="4" w:space="0" w:color="A6A6A6"/>
            </w:tcBorders>
            <w:shd w:val="clear" w:color="auto" w:fill="auto"/>
            <w:noWrap/>
            <w:vAlign w:val="center"/>
          </w:tcPr>
          <w:p w14:paraId="22CD509E" w14:textId="3579C71C" w:rsidR="00E331AF" w:rsidRPr="003C76F6" w:rsidRDefault="00E331AF" w:rsidP="003831CA">
            <w:pPr>
              <w:spacing w:line="240" w:lineRule="auto"/>
              <w:jc w:val="right"/>
              <w:rPr>
                <w:color w:val="000000"/>
                <w:sz w:val="22"/>
                <w:szCs w:val="22"/>
              </w:rPr>
            </w:pPr>
          </w:p>
        </w:tc>
        <w:tc>
          <w:tcPr>
            <w:tcW w:w="2126" w:type="dxa"/>
            <w:tcBorders>
              <w:top w:val="nil"/>
              <w:left w:val="nil"/>
              <w:bottom w:val="single" w:sz="4" w:space="0" w:color="A6A6A6"/>
              <w:right w:val="single" w:sz="4" w:space="0" w:color="A6A6A6"/>
            </w:tcBorders>
            <w:shd w:val="clear" w:color="auto" w:fill="auto"/>
            <w:noWrap/>
            <w:vAlign w:val="center"/>
          </w:tcPr>
          <w:p w14:paraId="399A9331" w14:textId="1BD83CF0" w:rsidR="00E331AF" w:rsidRPr="003C76F6" w:rsidRDefault="00E331AF" w:rsidP="003831CA">
            <w:pPr>
              <w:spacing w:line="240" w:lineRule="auto"/>
              <w:jc w:val="right"/>
              <w:rPr>
                <w:color w:val="000000"/>
                <w:sz w:val="22"/>
                <w:szCs w:val="22"/>
              </w:rPr>
            </w:pPr>
            <w:r w:rsidRPr="000A132C">
              <w:rPr>
                <w:color w:val="000000"/>
                <w:sz w:val="22"/>
                <w:szCs w:val="22"/>
              </w:rPr>
              <w:t xml:space="preserve">41.823,04 € </w:t>
            </w:r>
          </w:p>
        </w:tc>
        <w:tc>
          <w:tcPr>
            <w:tcW w:w="2126" w:type="dxa"/>
            <w:tcBorders>
              <w:top w:val="nil"/>
              <w:left w:val="nil"/>
              <w:bottom w:val="single" w:sz="4" w:space="0" w:color="A6A6A6"/>
              <w:right w:val="single" w:sz="4" w:space="0" w:color="A6A6A6"/>
            </w:tcBorders>
            <w:shd w:val="clear" w:color="auto" w:fill="auto"/>
            <w:noWrap/>
            <w:vAlign w:val="center"/>
          </w:tcPr>
          <w:p w14:paraId="7A0D97D0" w14:textId="51A68CC4" w:rsidR="00E331AF" w:rsidRPr="003C76F6" w:rsidRDefault="00E331AF" w:rsidP="003831CA">
            <w:pPr>
              <w:spacing w:line="240" w:lineRule="auto"/>
              <w:jc w:val="right"/>
              <w:rPr>
                <w:color w:val="000000"/>
                <w:sz w:val="22"/>
                <w:szCs w:val="22"/>
              </w:rPr>
            </w:pPr>
            <w:r w:rsidRPr="000A132C">
              <w:rPr>
                <w:color w:val="000000"/>
                <w:sz w:val="22"/>
                <w:szCs w:val="22"/>
              </w:rPr>
              <w:t xml:space="preserve">41.823,04 € </w:t>
            </w:r>
          </w:p>
        </w:tc>
      </w:tr>
      <w:tr w:rsidR="003831CA" w:rsidRPr="003C76F6" w14:paraId="29887596" w14:textId="77777777" w:rsidTr="000A132C">
        <w:trPr>
          <w:trHeight w:val="624"/>
        </w:trPr>
        <w:tc>
          <w:tcPr>
            <w:tcW w:w="2689" w:type="dxa"/>
            <w:tcBorders>
              <w:top w:val="nil"/>
              <w:left w:val="single" w:sz="4" w:space="0" w:color="A6A6A6"/>
              <w:bottom w:val="single" w:sz="4" w:space="0" w:color="A6A6A6"/>
              <w:right w:val="single" w:sz="4" w:space="0" w:color="A6A6A6"/>
            </w:tcBorders>
            <w:shd w:val="clear" w:color="000000" w:fill="002060"/>
            <w:vAlign w:val="center"/>
          </w:tcPr>
          <w:p w14:paraId="568C3F8C" w14:textId="7E35FB7D" w:rsidR="003831CA" w:rsidRPr="000A132C" w:rsidRDefault="003831CA" w:rsidP="003831CA">
            <w:pPr>
              <w:spacing w:line="240" w:lineRule="auto"/>
              <w:jc w:val="left"/>
              <w:rPr>
                <w:rFonts w:eastAsia="Times New Roman"/>
                <w:color w:val="FFFFFF" w:themeColor="background1"/>
                <w:sz w:val="22"/>
                <w:szCs w:val="22"/>
                <w:lang w:eastAsia="hr-HR"/>
              </w:rPr>
            </w:pPr>
            <w:r w:rsidRPr="000A132C">
              <w:rPr>
                <w:color w:val="FFFFFF" w:themeColor="background1"/>
                <w:sz w:val="22"/>
                <w:szCs w:val="22"/>
              </w:rPr>
              <w:t>UKUPNO</w:t>
            </w:r>
          </w:p>
        </w:tc>
        <w:tc>
          <w:tcPr>
            <w:tcW w:w="2126" w:type="dxa"/>
            <w:tcBorders>
              <w:top w:val="nil"/>
              <w:left w:val="nil"/>
              <w:bottom w:val="single" w:sz="4" w:space="0" w:color="A6A6A6"/>
              <w:right w:val="single" w:sz="4" w:space="0" w:color="A6A6A6"/>
            </w:tcBorders>
            <w:shd w:val="clear" w:color="000000" w:fill="002060"/>
            <w:vAlign w:val="center"/>
          </w:tcPr>
          <w:p w14:paraId="5D6EB5F9" w14:textId="77FDD8A0" w:rsidR="003831CA" w:rsidRPr="000A132C" w:rsidRDefault="003831CA" w:rsidP="003831CA">
            <w:pPr>
              <w:spacing w:line="240" w:lineRule="auto"/>
              <w:jc w:val="right"/>
              <w:rPr>
                <w:rFonts w:eastAsia="Times New Roman"/>
                <w:color w:val="FFFFFF" w:themeColor="background1"/>
                <w:sz w:val="22"/>
                <w:szCs w:val="22"/>
                <w:lang w:eastAsia="hr-HR"/>
              </w:rPr>
            </w:pPr>
            <w:r w:rsidRPr="000A132C">
              <w:rPr>
                <w:color w:val="FFFFFF"/>
                <w:sz w:val="22"/>
                <w:szCs w:val="22"/>
              </w:rPr>
              <w:t xml:space="preserve">24.709.354,10 € </w:t>
            </w:r>
          </w:p>
        </w:tc>
        <w:tc>
          <w:tcPr>
            <w:tcW w:w="2126" w:type="dxa"/>
            <w:tcBorders>
              <w:top w:val="nil"/>
              <w:left w:val="nil"/>
              <w:bottom w:val="single" w:sz="4" w:space="0" w:color="A6A6A6"/>
              <w:right w:val="single" w:sz="4" w:space="0" w:color="A6A6A6"/>
            </w:tcBorders>
            <w:shd w:val="clear" w:color="000000" w:fill="002060"/>
            <w:vAlign w:val="center"/>
          </w:tcPr>
          <w:p w14:paraId="7B4802AC" w14:textId="606C79D2" w:rsidR="003831CA" w:rsidRPr="000A132C" w:rsidRDefault="003831CA" w:rsidP="003831CA">
            <w:pPr>
              <w:spacing w:line="240" w:lineRule="auto"/>
              <w:jc w:val="right"/>
              <w:rPr>
                <w:rFonts w:eastAsia="Times New Roman"/>
                <w:color w:val="FFFFFF" w:themeColor="background1"/>
                <w:sz w:val="22"/>
                <w:szCs w:val="22"/>
                <w:lang w:eastAsia="hr-HR"/>
              </w:rPr>
            </w:pPr>
            <w:r w:rsidRPr="000A132C">
              <w:rPr>
                <w:color w:val="FFFFFF"/>
                <w:sz w:val="22"/>
                <w:szCs w:val="22"/>
              </w:rPr>
              <w:t xml:space="preserve">125.651.719,70 € </w:t>
            </w:r>
          </w:p>
        </w:tc>
        <w:tc>
          <w:tcPr>
            <w:tcW w:w="2126" w:type="dxa"/>
            <w:tcBorders>
              <w:top w:val="nil"/>
              <w:left w:val="nil"/>
              <w:bottom w:val="single" w:sz="4" w:space="0" w:color="A6A6A6"/>
              <w:right w:val="single" w:sz="4" w:space="0" w:color="A6A6A6"/>
            </w:tcBorders>
            <w:shd w:val="clear" w:color="000000" w:fill="002060"/>
            <w:vAlign w:val="center"/>
          </w:tcPr>
          <w:p w14:paraId="149B6BEF" w14:textId="3C8A4555" w:rsidR="003831CA" w:rsidRPr="000A132C" w:rsidRDefault="003831CA" w:rsidP="003831CA">
            <w:pPr>
              <w:spacing w:line="240" w:lineRule="auto"/>
              <w:jc w:val="right"/>
              <w:rPr>
                <w:rFonts w:eastAsia="Times New Roman"/>
                <w:color w:val="FFFFFF" w:themeColor="background1"/>
                <w:sz w:val="22"/>
                <w:szCs w:val="22"/>
                <w:lang w:eastAsia="hr-HR"/>
              </w:rPr>
            </w:pPr>
            <w:r w:rsidRPr="000A132C">
              <w:rPr>
                <w:color w:val="FFFFFF"/>
                <w:sz w:val="22"/>
                <w:szCs w:val="22"/>
              </w:rPr>
              <w:t xml:space="preserve">150.361.073,80 € </w:t>
            </w:r>
          </w:p>
        </w:tc>
      </w:tr>
    </w:tbl>
    <w:p w14:paraId="78B6219C" w14:textId="1F9291C4" w:rsidR="00C5235A" w:rsidRDefault="00C5235A" w:rsidP="001F0C67">
      <w:pPr>
        <w:spacing w:before="60" w:after="60"/>
        <w:rPr>
          <w:highlight w:val="yellow"/>
        </w:rPr>
      </w:pPr>
    </w:p>
    <w:p w14:paraId="29D2667D" w14:textId="77777777" w:rsidR="006B6C3C" w:rsidRDefault="006B6C3C" w:rsidP="001F0C67">
      <w:pPr>
        <w:spacing w:before="60" w:after="60"/>
        <w:rPr>
          <w:highlight w:val="yellow"/>
        </w:rPr>
      </w:pPr>
    </w:p>
    <w:p w14:paraId="1CCC6DCF" w14:textId="10D08030" w:rsidR="00B92587" w:rsidRPr="000A132C" w:rsidRDefault="00B92587" w:rsidP="001F0C67">
      <w:pPr>
        <w:spacing w:before="60" w:after="60"/>
        <w:rPr>
          <w:i/>
          <w:iCs/>
        </w:rPr>
      </w:pPr>
      <w:r w:rsidRPr="000A132C">
        <w:rPr>
          <w:i/>
          <w:iCs/>
        </w:rPr>
        <w:t>Pregled ukupno isplaćenih novčanih naknada po godinama</w:t>
      </w:r>
    </w:p>
    <w:tbl>
      <w:tblPr>
        <w:tblW w:w="9209" w:type="dxa"/>
        <w:tblLayout w:type="fixed"/>
        <w:tblLook w:val="04A0" w:firstRow="1" w:lastRow="0" w:firstColumn="1" w:lastColumn="0" w:noHBand="0" w:noVBand="1"/>
      </w:tblPr>
      <w:tblGrid>
        <w:gridCol w:w="6516"/>
        <w:gridCol w:w="2693"/>
      </w:tblGrid>
      <w:tr w:rsidR="005337A2" w:rsidRPr="006B6C3C" w14:paraId="4DD97815" w14:textId="77777777" w:rsidTr="00CA734A">
        <w:trPr>
          <w:trHeight w:val="576"/>
        </w:trPr>
        <w:tc>
          <w:tcPr>
            <w:tcW w:w="6516"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2DDFA80D" w14:textId="7EFF3492" w:rsidR="005337A2" w:rsidRPr="000A132C" w:rsidRDefault="005337A2" w:rsidP="00F25511">
            <w:pPr>
              <w:spacing w:line="240" w:lineRule="auto"/>
              <w:jc w:val="center"/>
              <w:rPr>
                <w:rFonts w:eastAsia="Times New Roman"/>
                <w:color w:val="FFFFFF"/>
                <w:sz w:val="22"/>
                <w:szCs w:val="22"/>
                <w:lang w:eastAsia="hr-HR"/>
              </w:rPr>
            </w:pPr>
            <w:r>
              <w:rPr>
                <w:rFonts w:eastAsia="Times New Roman"/>
                <w:color w:val="FFFFFF"/>
                <w:sz w:val="22"/>
                <w:szCs w:val="22"/>
                <w:lang w:eastAsia="hr-HR"/>
              </w:rPr>
              <w:t>Razdoblje</w:t>
            </w:r>
          </w:p>
        </w:tc>
        <w:tc>
          <w:tcPr>
            <w:tcW w:w="2693" w:type="dxa"/>
            <w:tcBorders>
              <w:top w:val="single" w:sz="4" w:space="0" w:color="A6A6A6"/>
              <w:left w:val="nil"/>
              <w:bottom w:val="single" w:sz="4" w:space="0" w:color="A6A6A6"/>
              <w:right w:val="single" w:sz="4" w:space="0" w:color="A6A6A6"/>
            </w:tcBorders>
            <w:shd w:val="clear" w:color="000000" w:fill="002060"/>
            <w:vAlign w:val="center"/>
            <w:hideMark/>
          </w:tcPr>
          <w:p w14:paraId="783EBAEF" w14:textId="4BF2E7EB" w:rsidR="005337A2" w:rsidRPr="000A132C" w:rsidRDefault="005337A2" w:rsidP="00F25511">
            <w:pPr>
              <w:spacing w:line="240" w:lineRule="auto"/>
              <w:jc w:val="center"/>
              <w:rPr>
                <w:rFonts w:eastAsia="Times New Roman"/>
                <w:color w:val="FFFFFF"/>
                <w:sz w:val="22"/>
                <w:szCs w:val="22"/>
                <w:lang w:eastAsia="hr-HR"/>
              </w:rPr>
            </w:pPr>
            <w:r>
              <w:rPr>
                <w:rFonts w:eastAsia="Times New Roman"/>
                <w:color w:val="FFFFFF"/>
                <w:sz w:val="22"/>
                <w:szCs w:val="22"/>
                <w:lang w:eastAsia="hr-HR"/>
              </w:rPr>
              <w:t>Iznos</w:t>
            </w:r>
          </w:p>
        </w:tc>
      </w:tr>
      <w:tr w:rsidR="005337A2" w:rsidRPr="006B6C3C" w14:paraId="37C2157C" w14:textId="77777777" w:rsidTr="00CA734A">
        <w:trPr>
          <w:trHeight w:val="510"/>
        </w:trPr>
        <w:tc>
          <w:tcPr>
            <w:tcW w:w="6516" w:type="dxa"/>
            <w:tcBorders>
              <w:top w:val="nil"/>
              <w:left w:val="single" w:sz="4" w:space="0" w:color="A6A6A6"/>
              <w:bottom w:val="single" w:sz="4" w:space="0" w:color="A6A6A6"/>
              <w:right w:val="single" w:sz="4" w:space="0" w:color="A6A6A6"/>
            </w:tcBorders>
            <w:shd w:val="clear" w:color="000000" w:fill="FFFFFF"/>
            <w:noWrap/>
            <w:vAlign w:val="center"/>
            <w:hideMark/>
          </w:tcPr>
          <w:p w14:paraId="5034BD11" w14:textId="77777777" w:rsidR="005337A2" w:rsidRPr="000A132C" w:rsidRDefault="005337A2" w:rsidP="006B6C3C">
            <w:pPr>
              <w:spacing w:line="240" w:lineRule="auto"/>
              <w:jc w:val="left"/>
              <w:rPr>
                <w:rFonts w:eastAsia="Times New Roman"/>
                <w:color w:val="000000"/>
                <w:sz w:val="22"/>
                <w:szCs w:val="22"/>
                <w:lang w:eastAsia="hr-HR"/>
              </w:rPr>
            </w:pPr>
            <w:r w:rsidRPr="000A132C">
              <w:rPr>
                <w:rFonts w:eastAsia="Times New Roman"/>
                <w:color w:val="000000"/>
                <w:sz w:val="22"/>
                <w:szCs w:val="22"/>
                <w:lang w:eastAsia="hr-HR"/>
              </w:rPr>
              <w:t>2020. godina</w:t>
            </w:r>
          </w:p>
        </w:tc>
        <w:tc>
          <w:tcPr>
            <w:tcW w:w="2693" w:type="dxa"/>
            <w:tcBorders>
              <w:top w:val="nil"/>
              <w:left w:val="nil"/>
              <w:bottom w:val="single" w:sz="4" w:space="0" w:color="A6A6A6"/>
              <w:right w:val="single" w:sz="4" w:space="0" w:color="A6A6A6"/>
            </w:tcBorders>
            <w:shd w:val="clear" w:color="000000" w:fill="FFFFFF"/>
            <w:noWrap/>
            <w:vAlign w:val="center"/>
            <w:hideMark/>
          </w:tcPr>
          <w:p w14:paraId="12461011" w14:textId="77777777" w:rsidR="005337A2" w:rsidRPr="000A132C" w:rsidRDefault="005337A2" w:rsidP="000A132C">
            <w:pPr>
              <w:spacing w:line="240" w:lineRule="auto"/>
              <w:jc w:val="right"/>
              <w:rPr>
                <w:rFonts w:eastAsia="Times New Roman"/>
                <w:color w:val="000000"/>
                <w:sz w:val="22"/>
                <w:szCs w:val="22"/>
                <w:lang w:eastAsia="hr-HR"/>
              </w:rPr>
            </w:pPr>
            <w:r w:rsidRPr="000A132C">
              <w:rPr>
                <w:rFonts w:eastAsia="Times New Roman"/>
                <w:color w:val="000000"/>
                <w:sz w:val="22"/>
                <w:szCs w:val="22"/>
                <w:lang w:eastAsia="hr-HR"/>
              </w:rPr>
              <w:t xml:space="preserve">                 3.438.811,73 € </w:t>
            </w:r>
          </w:p>
        </w:tc>
      </w:tr>
      <w:tr w:rsidR="005337A2" w:rsidRPr="006B6C3C" w14:paraId="191441CD" w14:textId="77777777" w:rsidTr="00CA734A">
        <w:trPr>
          <w:trHeight w:val="510"/>
        </w:trPr>
        <w:tc>
          <w:tcPr>
            <w:tcW w:w="6516" w:type="dxa"/>
            <w:tcBorders>
              <w:top w:val="nil"/>
              <w:left w:val="single" w:sz="4" w:space="0" w:color="A6A6A6"/>
              <w:bottom w:val="single" w:sz="4" w:space="0" w:color="A6A6A6"/>
              <w:right w:val="single" w:sz="4" w:space="0" w:color="A6A6A6"/>
            </w:tcBorders>
            <w:shd w:val="clear" w:color="000000" w:fill="FFFFFF"/>
            <w:noWrap/>
            <w:vAlign w:val="center"/>
            <w:hideMark/>
          </w:tcPr>
          <w:p w14:paraId="2BBF0985" w14:textId="77777777" w:rsidR="005337A2" w:rsidRPr="000A132C" w:rsidRDefault="005337A2" w:rsidP="006B6C3C">
            <w:pPr>
              <w:spacing w:line="240" w:lineRule="auto"/>
              <w:jc w:val="left"/>
              <w:rPr>
                <w:rFonts w:eastAsia="Times New Roman"/>
                <w:color w:val="000000"/>
                <w:sz w:val="22"/>
                <w:szCs w:val="22"/>
                <w:lang w:eastAsia="hr-HR"/>
              </w:rPr>
            </w:pPr>
            <w:r w:rsidRPr="000A132C">
              <w:rPr>
                <w:rFonts w:eastAsia="Times New Roman"/>
                <w:color w:val="000000"/>
                <w:sz w:val="22"/>
                <w:szCs w:val="22"/>
                <w:lang w:eastAsia="hr-HR"/>
              </w:rPr>
              <w:t>2021. godina</w:t>
            </w:r>
          </w:p>
        </w:tc>
        <w:tc>
          <w:tcPr>
            <w:tcW w:w="2693" w:type="dxa"/>
            <w:tcBorders>
              <w:top w:val="nil"/>
              <w:left w:val="nil"/>
              <w:bottom w:val="single" w:sz="4" w:space="0" w:color="A6A6A6"/>
              <w:right w:val="single" w:sz="4" w:space="0" w:color="A6A6A6"/>
            </w:tcBorders>
            <w:shd w:val="clear" w:color="000000" w:fill="FFFFFF"/>
            <w:noWrap/>
            <w:vAlign w:val="center"/>
            <w:hideMark/>
          </w:tcPr>
          <w:p w14:paraId="5ADCF421" w14:textId="77777777" w:rsidR="005337A2" w:rsidRPr="000A132C" w:rsidRDefault="005337A2" w:rsidP="000A132C">
            <w:pPr>
              <w:spacing w:line="240" w:lineRule="auto"/>
              <w:jc w:val="right"/>
              <w:rPr>
                <w:rFonts w:eastAsia="Times New Roman"/>
                <w:color w:val="000000"/>
                <w:sz w:val="22"/>
                <w:szCs w:val="22"/>
                <w:lang w:eastAsia="hr-HR"/>
              </w:rPr>
            </w:pPr>
            <w:r w:rsidRPr="000A132C">
              <w:rPr>
                <w:rFonts w:eastAsia="Times New Roman"/>
                <w:color w:val="000000"/>
                <w:sz w:val="22"/>
                <w:szCs w:val="22"/>
                <w:lang w:eastAsia="hr-HR"/>
              </w:rPr>
              <w:t xml:space="preserve">                 6.265.975,05 € </w:t>
            </w:r>
          </w:p>
        </w:tc>
      </w:tr>
      <w:tr w:rsidR="005337A2" w:rsidRPr="006B6C3C" w14:paraId="46CF1D90" w14:textId="77777777" w:rsidTr="00CA734A">
        <w:trPr>
          <w:trHeight w:val="510"/>
        </w:trPr>
        <w:tc>
          <w:tcPr>
            <w:tcW w:w="6516" w:type="dxa"/>
            <w:tcBorders>
              <w:top w:val="nil"/>
              <w:left w:val="single" w:sz="4" w:space="0" w:color="A6A6A6"/>
              <w:bottom w:val="single" w:sz="4" w:space="0" w:color="A6A6A6"/>
              <w:right w:val="single" w:sz="4" w:space="0" w:color="A6A6A6"/>
            </w:tcBorders>
            <w:shd w:val="clear" w:color="000000" w:fill="FFFFFF"/>
            <w:noWrap/>
            <w:vAlign w:val="center"/>
            <w:hideMark/>
          </w:tcPr>
          <w:p w14:paraId="392D19A8" w14:textId="77777777" w:rsidR="005337A2" w:rsidRPr="000A132C" w:rsidRDefault="005337A2" w:rsidP="006B6C3C">
            <w:pPr>
              <w:spacing w:line="240" w:lineRule="auto"/>
              <w:jc w:val="left"/>
              <w:rPr>
                <w:rFonts w:eastAsia="Times New Roman"/>
                <w:color w:val="000000"/>
                <w:sz w:val="22"/>
                <w:szCs w:val="22"/>
                <w:lang w:eastAsia="hr-HR"/>
              </w:rPr>
            </w:pPr>
            <w:r w:rsidRPr="000A132C">
              <w:rPr>
                <w:rFonts w:eastAsia="Times New Roman"/>
                <w:color w:val="000000"/>
                <w:sz w:val="22"/>
                <w:szCs w:val="22"/>
                <w:lang w:eastAsia="hr-HR"/>
              </w:rPr>
              <w:t>2022. godina</w:t>
            </w:r>
          </w:p>
        </w:tc>
        <w:tc>
          <w:tcPr>
            <w:tcW w:w="2693" w:type="dxa"/>
            <w:tcBorders>
              <w:top w:val="nil"/>
              <w:left w:val="nil"/>
              <w:bottom w:val="single" w:sz="4" w:space="0" w:color="A6A6A6"/>
              <w:right w:val="single" w:sz="4" w:space="0" w:color="A6A6A6"/>
            </w:tcBorders>
            <w:shd w:val="clear" w:color="000000" w:fill="FFFFFF"/>
            <w:noWrap/>
            <w:vAlign w:val="center"/>
            <w:hideMark/>
          </w:tcPr>
          <w:p w14:paraId="123E271D" w14:textId="77777777" w:rsidR="005337A2" w:rsidRPr="000A132C" w:rsidRDefault="005337A2" w:rsidP="000A132C">
            <w:pPr>
              <w:spacing w:line="240" w:lineRule="auto"/>
              <w:jc w:val="right"/>
              <w:rPr>
                <w:rFonts w:eastAsia="Times New Roman"/>
                <w:color w:val="000000"/>
                <w:sz w:val="22"/>
                <w:szCs w:val="22"/>
                <w:lang w:eastAsia="hr-HR"/>
              </w:rPr>
            </w:pPr>
            <w:r w:rsidRPr="000A132C">
              <w:rPr>
                <w:rFonts w:eastAsia="Times New Roman"/>
                <w:color w:val="000000"/>
                <w:sz w:val="22"/>
                <w:szCs w:val="22"/>
                <w:lang w:eastAsia="hr-HR"/>
              </w:rPr>
              <w:t xml:space="preserve">               15.004.567,32 € </w:t>
            </w:r>
          </w:p>
        </w:tc>
      </w:tr>
      <w:tr w:rsidR="005337A2" w:rsidRPr="006B6C3C" w14:paraId="3AD8D865" w14:textId="77777777" w:rsidTr="00CA734A">
        <w:trPr>
          <w:trHeight w:val="510"/>
        </w:trPr>
        <w:tc>
          <w:tcPr>
            <w:tcW w:w="6516" w:type="dxa"/>
            <w:tcBorders>
              <w:top w:val="nil"/>
              <w:left w:val="single" w:sz="4" w:space="0" w:color="A6A6A6"/>
              <w:bottom w:val="single" w:sz="4" w:space="0" w:color="A6A6A6"/>
              <w:right w:val="single" w:sz="4" w:space="0" w:color="A6A6A6"/>
            </w:tcBorders>
            <w:shd w:val="clear" w:color="000000" w:fill="FFFFFF"/>
            <w:noWrap/>
            <w:vAlign w:val="center"/>
            <w:hideMark/>
          </w:tcPr>
          <w:p w14:paraId="12ADFD73" w14:textId="77777777" w:rsidR="005337A2" w:rsidRPr="000A132C" w:rsidRDefault="005337A2" w:rsidP="006B6C3C">
            <w:pPr>
              <w:spacing w:line="240" w:lineRule="auto"/>
              <w:jc w:val="left"/>
              <w:rPr>
                <w:rFonts w:eastAsia="Times New Roman"/>
                <w:color w:val="000000"/>
                <w:sz w:val="22"/>
                <w:szCs w:val="22"/>
                <w:lang w:eastAsia="hr-HR"/>
              </w:rPr>
            </w:pPr>
            <w:r w:rsidRPr="000A132C">
              <w:rPr>
                <w:rFonts w:eastAsia="Times New Roman"/>
                <w:color w:val="000000"/>
                <w:sz w:val="22"/>
                <w:szCs w:val="22"/>
                <w:lang w:eastAsia="hr-HR"/>
              </w:rPr>
              <w:t>2023. godina</w:t>
            </w:r>
          </w:p>
        </w:tc>
        <w:tc>
          <w:tcPr>
            <w:tcW w:w="2693" w:type="dxa"/>
            <w:tcBorders>
              <w:top w:val="nil"/>
              <w:left w:val="nil"/>
              <w:bottom w:val="single" w:sz="4" w:space="0" w:color="A6A6A6"/>
              <w:right w:val="single" w:sz="4" w:space="0" w:color="A6A6A6"/>
            </w:tcBorders>
            <w:shd w:val="clear" w:color="000000" w:fill="FFFFFF"/>
            <w:noWrap/>
            <w:vAlign w:val="center"/>
            <w:hideMark/>
          </w:tcPr>
          <w:p w14:paraId="37E0D9FA" w14:textId="77777777" w:rsidR="005337A2" w:rsidRPr="000A132C" w:rsidRDefault="005337A2" w:rsidP="000A132C">
            <w:pPr>
              <w:spacing w:line="240" w:lineRule="auto"/>
              <w:jc w:val="right"/>
              <w:rPr>
                <w:rFonts w:eastAsia="Times New Roman"/>
                <w:color w:val="000000"/>
                <w:sz w:val="22"/>
                <w:szCs w:val="22"/>
                <w:lang w:eastAsia="hr-HR"/>
              </w:rPr>
            </w:pPr>
            <w:r w:rsidRPr="000A132C">
              <w:rPr>
                <w:rFonts w:eastAsia="Times New Roman"/>
                <w:color w:val="000000"/>
                <w:sz w:val="22"/>
                <w:szCs w:val="22"/>
                <w:lang w:eastAsia="hr-HR"/>
              </w:rPr>
              <w:t xml:space="preserve">             125.651.719,70 € </w:t>
            </w:r>
          </w:p>
        </w:tc>
      </w:tr>
      <w:tr w:rsidR="005337A2" w:rsidRPr="006B6C3C" w14:paraId="615B5BE7" w14:textId="77777777" w:rsidTr="00CA734A">
        <w:trPr>
          <w:trHeight w:val="510"/>
        </w:trPr>
        <w:tc>
          <w:tcPr>
            <w:tcW w:w="6516" w:type="dxa"/>
            <w:tcBorders>
              <w:top w:val="nil"/>
              <w:left w:val="single" w:sz="4" w:space="0" w:color="A6A6A6"/>
              <w:bottom w:val="single" w:sz="4" w:space="0" w:color="A6A6A6"/>
              <w:right w:val="single" w:sz="4" w:space="0" w:color="A6A6A6"/>
            </w:tcBorders>
            <w:shd w:val="clear" w:color="000000" w:fill="002060"/>
            <w:vAlign w:val="center"/>
            <w:hideMark/>
          </w:tcPr>
          <w:p w14:paraId="2BF27189" w14:textId="77777777" w:rsidR="005337A2" w:rsidRPr="000A132C" w:rsidRDefault="005337A2" w:rsidP="000A132C">
            <w:pPr>
              <w:spacing w:line="240" w:lineRule="auto"/>
              <w:jc w:val="left"/>
              <w:rPr>
                <w:rFonts w:eastAsia="Times New Roman"/>
                <w:color w:val="FFFFFF"/>
                <w:sz w:val="22"/>
                <w:szCs w:val="22"/>
                <w:lang w:eastAsia="hr-HR"/>
              </w:rPr>
            </w:pPr>
            <w:r w:rsidRPr="000A132C">
              <w:rPr>
                <w:rFonts w:eastAsia="Times New Roman"/>
                <w:color w:val="FFFFFF"/>
                <w:sz w:val="22"/>
                <w:szCs w:val="22"/>
                <w:lang w:eastAsia="hr-HR"/>
              </w:rPr>
              <w:t>Ukupno</w:t>
            </w:r>
          </w:p>
        </w:tc>
        <w:tc>
          <w:tcPr>
            <w:tcW w:w="2693" w:type="dxa"/>
            <w:tcBorders>
              <w:top w:val="nil"/>
              <w:left w:val="nil"/>
              <w:bottom w:val="single" w:sz="4" w:space="0" w:color="A6A6A6"/>
              <w:right w:val="single" w:sz="4" w:space="0" w:color="A6A6A6"/>
            </w:tcBorders>
            <w:shd w:val="clear" w:color="000000" w:fill="002060"/>
            <w:vAlign w:val="center"/>
            <w:hideMark/>
          </w:tcPr>
          <w:p w14:paraId="0EFA5C41" w14:textId="77777777" w:rsidR="005337A2" w:rsidRPr="000A132C" w:rsidRDefault="005337A2" w:rsidP="000A132C">
            <w:pPr>
              <w:spacing w:line="240" w:lineRule="auto"/>
              <w:jc w:val="right"/>
              <w:rPr>
                <w:rFonts w:eastAsia="Times New Roman"/>
                <w:color w:val="FFFFFF"/>
                <w:sz w:val="22"/>
                <w:szCs w:val="22"/>
                <w:lang w:eastAsia="hr-HR"/>
              </w:rPr>
            </w:pPr>
            <w:r w:rsidRPr="000A132C">
              <w:rPr>
                <w:rFonts w:eastAsia="Times New Roman"/>
                <w:color w:val="FFFFFF"/>
                <w:sz w:val="22"/>
                <w:szCs w:val="22"/>
                <w:lang w:eastAsia="hr-HR"/>
              </w:rPr>
              <w:t xml:space="preserve">             150.361.073,80 € </w:t>
            </w:r>
          </w:p>
        </w:tc>
      </w:tr>
    </w:tbl>
    <w:p w14:paraId="21C6B8D6" w14:textId="77777777" w:rsidR="00B92587" w:rsidRDefault="00B92587" w:rsidP="001F0C67">
      <w:pPr>
        <w:spacing w:before="60" w:after="60"/>
        <w:rPr>
          <w:highlight w:val="yellow"/>
        </w:rPr>
      </w:pPr>
    </w:p>
    <w:p w14:paraId="5CEE27D8" w14:textId="77777777" w:rsidR="00CA734A" w:rsidRDefault="00CA734A" w:rsidP="001F0C67">
      <w:pPr>
        <w:spacing w:before="60" w:after="60"/>
        <w:rPr>
          <w:i/>
          <w:iCs/>
        </w:rPr>
      </w:pPr>
    </w:p>
    <w:p w14:paraId="16DF39DF" w14:textId="77777777" w:rsidR="00CA734A" w:rsidRDefault="00CA734A" w:rsidP="001F0C67">
      <w:pPr>
        <w:spacing w:before="60" w:after="60"/>
        <w:rPr>
          <w:i/>
          <w:iCs/>
        </w:rPr>
      </w:pPr>
    </w:p>
    <w:p w14:paraId="1BBBBEF3" w14:textId="77777777" w:rsidR="00CA734A" w:rsidRDefault="00CA734A" w:rsidP="001F0C67">
      <w:pPr>
        <w:spacing w:before="60" w:after="60"/>
        <w:rPr>
          <w:i/>
          <w:iCs/>
        </w:rPr>
      </w:pPr>
    </w:p>
    <w:p w14:paraId="6A7D50E3" w14:textId="25E235ED" w:rsidR="00B92587" w:rsidRPr="000A132C" w:rsidRDefault="006B6C3C" w:rsidP="001F0C67">
      <w:pPr>
        <w:spacing w:before="60" w:after="60"/>
        <w:rPr>
          <w:i/>
          <w:iCs/>
        </w:rPr>
      </w:pPr>
      <w:r w:rsidRPr="000A132C">
        <w:rPr>
          <w:i/>
          <w:iCs/>
        </w:rPr>
        <w:lastRenderedPageBreak/>
        <w:t>Prikaz isplaćenih novčanih pomoći po godinama</w:t>
      </w:r>
    </w:p>
    <w:p w14:paraId="0CDE1DD0" w14:textId="39460FB2" w:rsidR="006B6C3C" w:rsidRDefault="006B6C3C" w:rsidP="001F0C67">
      <w:pPr>
        <w:spacing w:before="60" w:after="60"/>
        <w:rPr>
          <w:highlight w:val="yellow"/>
        </w:rPr>
      </w:pPr>
      <w:r>
        <w:rPr>
          <w:noProof/>
          <w:lang w:eastAsia="hr-HR"/>
        </w:rPr>
        <w:drawing>
          <wp:inline distT="0" distB="0" distL="0" distR="0" wp14:anchorId="4FD4EB57" wp14:editId="25156439">
            <wp:extent cx="5816600" cy="4165600"/>
            <wp:effectExtent l="0" t="0" r="12700" b="6350"/>
            <wp:docPr id="1860356739" name="Grafikon 1">
              <a:extLst xmlns:a="http://schemas.openxmlformats.org/drawingml/2006/main">
                <a:ext uri="{FF2B5EF4-FFF2-40B4-BE49-F238E27FC236}">
                  <a16:creationId xmlns:a16="http://schemas.microsoft.com/office/drawing/2014/main" id="{F123CC96-36AD-839A-A4DE-BE36D1E79C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E08B58" w14:textId="77777777" w:rsidR="00B92587" w:rsidRDefault="00B92587" w:rsidP="001F0C67">
      <w:pPr>
        <w:spacing w:before="60" w:after="60"/>
        <w:rPr>
          <w:highlight w:val="yellow"/>
        </w:rPr>
      </w:pPr>
    </w:p>
    <w:p w14:paraId="131228E4" w14:textId="5B47D1CF" w:rsidR="00A756A8" w:rsidRPr="00E01007" w:rsidRDefault="007D5010" w:rsidP="003A18D7">
      <w:pPr>
        <w:spacing w:before="60" w:after="60"/>
        <w:rPr>
          <w:b/>
          <w:bCs/>
        </w:rPr>
      </w:pPr>
      <w:r w:rsidRPr="00E01007">
        <w:rPr>
          <w:b/>
          <w:bCs/>
        </w:rPr>
        <w:t>Novčane naknade za trošak koordinacije samoobnove</w:t>
      </w:r>
    </w:p>
    <w:p w14:paraId="1892CB18" w14:textId="4B45A0EF" w:rsidR="00870D33" w:rsidRDefault="002F54C3" w:rsidP="00870D33">
      <w:pPr>
        <w:spacing w:before="60" w:after="60"/>
        <w:rPr>
          <w:bCs/>
        </w:rPr>
      </w:pPr>
      <w:r>
        <w:rPr>
          <w:bCs/>
        </w:rPr>
        <w:t>U</w:t>
      </w:r>
      <w:r w:rsidRPr="002F54C3">
        <w:rPr>
          <w:bCs/>
        </w:rPr>
        <w:t xml:space="preserve"> razdoblju od 1. siječnja do </w:t>
      </w:r>
      <w:r w:rsidR="008B7703">
        <w:rPr>
          <w:bCs/>
        </w:rPr>
        <w:t>3</w:t>
      </w:r>
      <w:r w:rsidR="00097EA7">
        <w:rPr>
          <w:bCs/>
        </w:rPr>
        <w:t>1</w:t>
      </w:r>
      <w:r w:rsidR="008B7703">
        <w:rPr>
          <w:bCs/>
        </w:rPr>
        <w:t xml:space="preserve">. </w:t>
      </w:r>
      <w:r w:rsidR="00097EA7">
        <w:rPr>
          <w:bCs/>
        </w:rPr>
        <w:t xml:space="preserve">prosinca </w:t>
      </w:r>
      <w:r w:rsidR="008B7703">
        <w:rPr>
          <w:bCs/>
        </w:rPr>
        <w:t>2023.</w:t>
      </w:r>
      <w:r w:rsidRPr="002F54C3">
        <w:rPr>
          <w:bCs/>
        </w:rPr>
        <w:t xml:space="preserve"> </w:t>
      </w:r>
      <w:r w:rsidR="00097EA7">
        <w:rPr>
          <w:bCs/>
        </w:rPr>
        <w:t xml:space="preserve">jasno je vidljiv </w:t>
      </w:r>
      <w:r w:rsidR="000327A6">
        <w:rPr>
          <w:bCs/>
        </w:rPr>
        <w:t xml:space="preserve">učinak </w:t>
      </w:r>
      <w:r w:rsidR="00097EA7">
        <w:rPr>
          <w:bCs/>
        </w:rPr>
        <w:t xml:space="preserve">uvođenja </w:t>
      </w:r>
      <w:r w:rsidR="00C217D4">
        <w:rPr>
          <w:bCs/>
        </w:rPr>
        <w:t>poboljšanog</w:t>
      </w:r>
      <w:r w:rsidR="000327A6">
        <w:rPr>
          <w:bCs/>
        </w:rPr>
        <w:t xml:space="preserve"> </w:t>
      </w:r>
      <w:r w:rsidR="001519F4">
        <w:rPr>
          <w:bCs/>
        </w:rPr>
        <w:t>model</w:t>
      </w:r>
      <w:r w:rsidR="000327A6">
        <w:rPr>
          <w:bCs/>
        </w:rPr>
        <w:t>a</w:t>
      </w:r>
      <w:r w:rsidR="001519F4">
        <w:rPr>
          <w:bCs/>
        </w:rPr>
        <w:t xml:space="preserve"> </w:t>
      </w:r>
      <w:r w:rsidR="00097EA7">
        <w:rPr>
          <w:bCs/>
        </w:rPr>
        <w:t xml:space="preserve">isplata </w:t>
      </w:r>
      <w:r w:rsidR="001519F4">
        <w:rPr>
          <w:bCs/>
        </w:rPr>
        <w:t>novčan</w:t>
      </w:r>
      <w:r w:rsidR="00097EA7">
        <w:rPr>
          <w:bCs/>
        </w:rPr>
        <w:t>ih</w:t>
      </w:r>
      <w:r w:rsidR="001519F4">
        <w:rPr>
          <w:bCs/>
        </w:rPr>
        <w:t xml:space="preserve"> pomoći </w:t>
      </w:r>
      <w:r w:rsidR="000327A6">
        <w:rPr>
          <w:bCs/>
        </w:rPr>
        <w:t xml:space="preserve">uvedenog novim Zakonom o obnovi </w:t>
      </w:r>
      <w:r w:rsidR="004870AA">
        <w:rPr>
          <w:bCs/>
        </w:rPr>
        <w:t xml:space="preserve">te je znatno povećan </w:t>
      </w:r>
      <w:r w:rsidR="00483AFA" w:rsidRPr="00C9549D">
        <w:rPr>
          <w:bCs/>
        </w:rPr>
        <w:t xml:space="preserve">broj isplaćenih novčanih naknada za trošak koordinacije samoobnove. </w:t>
      </w:r>
      <w:r w:rsidR="00E4062E" w:rsidRPr="00C9549D">
        <w:rPr>
          <w:bCs/>
        </w:rPr>
        <w:t>Ministarstvo je</w:t>
      </w:r>
      <w:r w:rsidR="00483AFA" w:rsidRPr="00C9549D">
        <w:rPr>
          <w:bCs/>
        </w:rPr>
        <w:t xml:space="preserve"> do </w:t>
      </w:r>
      <w:r w:rsidR="008B7703">
        <w:rPr>
          <w:bCs/>
        </w:rPr>
        <w:t>3</w:t>
      </w:r>
      <w:r w:rsidR="00097EA7">
        <w:rPr>
          <w:bCs/>
        </w:rPr>
        <w:t>1</w:t>
      </w:r>
      <w:r w:rsidR="008B7703">
        <w:rPr>
          <w:bCs/>
        </w:rPr>
        <w:t xml:space="preserve">. </w:t>
      </w:r>
      <w:r w:rsidR="00097EA7">
        <w:rPr>
          <w:bCs/>
        </w:rPr>
        <w:t xml:space="preserve">prosinca </w:t>
      </w:r>
      <w:r w:rsidR="008B7703">
        <w:rPr>
          <w:bCs/>
        </w:rPr>
        <w:t>2023.</w:t>
      </w:r>
      <w:r w:rsidR="00483AFA" w:rsidRPr="00C9549D">
        <w:rPr>
          <w:bCs/>
        </w:rPr>
        <w:t xml:space="preserve"> </w:t>
      </w:r>
      <w:r w:rsidR="00E4062E" w:rsidRPr="00C9549D">
        <w:rPr>
          <w:bCs/>
        </w:rPr>
        <w:t xml:space="preserve">isplatilo ukupno </w:t>
      </w:r>
      <w:r w:rsidR="00097EA7">
        <w:rPr>
          <w:bCs/>
        </w:rPr>
        <w:t>2,3</w:t>
      </w:r>
      <w:r w:rsidR="00EE6395">
        <w:rPr>
          <w:bCs/>
        </w:rPr>
        <w:t>2</w:t>
      </w:r>
      <w:r w:rsidR="00097EA7">
        <w:rPr>
          <w:bCs/>
        </w:rPr>
        <w:t xml:space="preserve"> milijuna</w:t>
      </w:r>
      <w:r w:rsidR="00A70D88" w:rsidRPr="00C9549D">
        <w:rPr>
          <w:bCs/>
        </w:rPr>
        <w:t xml:space="preserve"> eura</w:t>
      </w:r>
      <w:r w:rsidR="00E4062E" w:rsidRPr="00C9549D">
        <w:rPr>
          <w:bCs/>
        </w:rPr>
        <w:t xml:space="preserve"> novčanih pomoći za </w:t>
      </w:r>
      <w:r w:rsidR="00F461CE" w:rsidRPr="00C9549D">
        <w:rPr>
          <w:bCs/>
        </w:rPr>
        <w:t>trošak koordinacije samoobnove</w:t>
      </w:r>
      <w:r w:rsidR="00DF3610">
        <w:rPr>
          <w:bCs/>
        </w:rPr>
        <w:t>,</w:t>
      </w:r>
      <w:r w:rsidR="00483AFA" w:rsidRPr="00C9549D">
        <w:rPr>
          <w:bCs/>
        </w:rPr>
        <w:t xml:space="preserve"> od čega </w:t>
      </w:r>
      <w:r w:rsidR="004E7054">
        <w:rPr>
          <w:bCs/>
        </w:rPr>
        <w:t>je</w:t>
      </w:r>
      <w:r w:rsidR="00A70D88" w:rsidRPr="00C9549D">
        <w:rPr>
          <w:bCs/>
        </w:rPr>
        <w:t xml:space="preserve"> </w:t>
      </w:r>
      <w:r w:rsidR="00EE6395">
        <w:rPr>
          <w:bCs/>
        </w:rPr>
        <w:t>2,25 milijuna</w:t>
      </w:r>
      <w:r w:rsidR="00A70D88" w:rsidRPr="00C9549D">
        <w:rPr>
          <w:bCs/>
        </w:rPr>
        <w:t xml:space="preserve"> eura</w:t>
      </w:r>
      <w:r w:rsidR="006867F7">
        <w:rPr>
          <w:bCs/>
        </w:rPr>
        <w:t xml:space="preserve"> (97 %)</w:t>
      </w:r>
      <w:r w:rsidR="00A70D88" w:rsidRPr="00C9549D">
        <w:rPr>
          <w:bCs/>
        </w:rPr>
        <w:t xml:space="preserve"> isplaćen</w:t>
      </w:r>
      <w:r w:rsidR="00EE6395">
        <w:rPr>
          <w:bCs/>
        </w:rPr>
        <w:t>o</w:t>
      </w:r>
      <w:r w:rsidR="00A70D88" w:rsidRPr="00C9549D">
        <w:rPr>
          <w:bCs/>
        </w:rPr>
        <w:t xml:space="preserve"> u izvještajnom razdoblju.</w:t>
      </w:r>
    </w:p>
    <w:p w14:paraId="1A1DF63C" w14:textId="77777777" w:rsidR="00CA734A" w:rsidRDefault="00CA734A" w:rsidP="00870D33">
      <w:pPr>
        <w:spacing w:before="60" w:after="60"/>
        <w:rPr>
          <w:bCs/>
        </w:rPr>
      </w:pPr>
    </w:p>
    <w:p w14:paraId="2EF0390C" w14:textId="43F4DEF4" w:rsidR="00FD6911" w:rsidRPr="00C9549D" w:rsidRDefault="00FD6911" w:rsidP="00870D33">
      <w:pPr>
        <w:spacing w:before="60" w:after="60"/>
        <w:rPr>
          <w:bCs/>
          <w:i/>
          <w:iCs/>
        </w:rPr>
      </w:pPr>
      <w:r w:rsidRPr="00C9549D">
        <w:rPr>
          <w:bCs/>
          <w:i/>
          <w:iCs/>
        </w:rPr>
        <w:t>Pregled isplata novčanih naknada za trošak koordinacije samoobnove</w:t>
      </w:r>
    </w:p>
    <w:tbl>
      <w:tblPr>
        <w:tblW w:w="9067" w:type="dxa"/>
        <w:tblLayout w:type="fixed"/>
        <w:tblLook w:val="04A0" w:firstRow="1" w:lastRow="0" w:firstColumn="1" w:lastColumn="0" w:noHBand="0" w:noVBand="1"/>
      </w:tblPr>
      <w:tblGrid>
        <w:gridCol w:w="1640"/>
        <w:gridCol w:w="2475"/>
        <w:gridCol w:w="2476"/>
        <w:gridCol w:w="2476"/>
      </w:tblGrid>
      <w:tr w:rsidR="00F46559" w:rsidRPr="00C9549D" w14:paraId="07E1D99C" w14:textId="77777777" w:rsidTr="007D4ED8">
        <w:trPr>
          <w:trHeight w:val="555"/>
        </w:trPr>
        <w:tc>
          <w:tcPr>
            <w:tcW w:w="1640"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66BDEDD1" w14:textId="7142874E" w:rsidR="00F46559" w:rsidRPr="00C9549D" w:rsidRDefault="00F46559" w:rsidP="00F46559">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2475" w:type="dxa"/>
            <w:tcBorders>
              <w:top w:val="single" w:sz="4" w:space="0" w:color="A6A6A6"/>
              <w:left w:val="nil"/>
              <w:bottom w:val="single" w:sz="4" w:space="0" w:color="A6A6A6"/>
              <w:right w:val="single" w:sz="4" w:space="0" w:color="A6A6A6"/>
            </w:tcBorders>
            <w:shd w:val="clear" w:color="000000" w:fill="002060"/>
            <w:vAlign w:val="center"/>
            <w:hideMark/>
          </w:tcPr>
          <w:p w14:paraId="1F59649D" w14:textId="16FA2080" w:rsidR="00F46559" w:rsidRPr="00C9549D" w:rsidRDefault="00F46559" w:rsidP="00F46559">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 xml:space="preserve"> Stanje na</w:t>
            </w:r>
            <w:r w:rsidRPr="00C9549D">
              <w:rPr>
                <w:rFonts w:eastAsia="Times New Roman"/>
                <w:color w:val="FFFFFF"/>
                <w:sz w:val="22"/>
                <w:szCs w:val="22"/>
                <w:lang w:eastAsia="hr-HR"/>
              </w:rPr>
              <w:br/>
              <w:t>31.</w:t>
            </w:r>
            <w:r>
              <w:rPr>
                <w:rFonts w:eastAsia="Times New Roman"/>
                <w:color w:val="FFFFFF"/>
                <w:sz w:val="22"/>
                <w:szCs w:val="22"/>
                <w:lang w:eastAsia="hr-HR"/>
              </w:rPr>
              <w:t xml:space="preserve"> </w:t>
            </w:r>
            <w:r w:rsidR="003C76F6">
              <w:rPr>
                <w:rFonts w:eastAsia="Times New Roman"/>
                <w:color w:val="FFFFFF"/>
                <w:sz w:val="22"/>
                <w:szCs w:val="22"/>
                <w:lang w:eastAsia="hr-HR"/>
              </w:rPr>
              <w:t xml:space="preserve">prosinca </w:t>
            </w:r>
            <w:r w:rsidRPr="00C9549D">
              <w:rPr>
                <w:rFonts w:eastAsia="Times New Roman"/>
                <w:color w:val="FFFFFF"/>
                <w:sz w:val="22"/>
                <w:szCs w:val="22"/>
                <w:lang w:eastAsia="hr-HR"/>
              </w:rPr>
              <w:t xml:space="preserve">2022. </w:t>
            </w:r>
          </w:p>
        </w:tc>
        <w:tc>
          <w:tcPr>
            <w:tcW w:w="2476" w:type="dxa"/>
            <w:tcBorders>
              <w:top w:val="single" w:sz="4" w:space="0" w:color="A6A6A6"/>
              <w:left w:val="nil"/>
              <w:bottom w:val="single" w:sz="4" w:space="0" w:color="A6A6A6"/>
              <w:right w:val="single" w:sz="4" w:space="0" w:color="A6A6A6"/>
            </w:tcBorders>
            <w:shd w:val="clear" w:color="000000" w:fill="002060"/>
            <w:vAlign w:val="center"/>
            <w:hideMark/>
          </w:tcPr>
          <w:p w14:paraId="43758DE9" w14:textId="29C34A63" w:rsidR="00F46559" w:rsidRPr="00C9549D" w:rsidRDefault="00F46559" w:rsidP="00F46559">
            <w:pPr>
              <w:spacing w:line="240" w:lineRule="auto"/>
              <w:jc w:val="center"/>
              <w:rPr>
                <w:rFonts w:eastAsia="Times New Roman"/>
                <w:color w:val="FFFFFF"/>
                <w:sz w:val="22"/>
                <w:szCs w:val="22"/>
                <w:lang w:eastAsia="hr-HR"/>
              </w:rPr>
            </w:pPr>
            <w:r>
              <w:rPr>
                <w:color w:val="FFFFFF"/>
                <w:sz w:val="22"/>
                <w:szCs w:val="22"/>
              </w:rPr>
              <w:t xml:space="preserve"> Realizacija tijekom 2023. godine </w:t>
            </w:r>
          </w:p>
        </w:tc>
        <w:tc>
          <w:tcPr>
            <w:tcW w:w="2476" w:type="dxa"/>
            <w:tcBorders>
              <w:top w:val="single" w:sz="4" w:space="0" w:color="A6A6A6"/>
              <w:left w:val="nil"/>
              <w:bottom w:val="single" w:sz="4" w:space="0" w:color="A6A6A6"/>
              <w:right w:val="single" w:sz="4" w:space="0" w:color="A6A6A6"/>
            </w:tcBorders>
            <w:shd w:val="clear" w:color="000000" w:fill="002060"/>
            <w:vAlign w:val="center"/>
            <w:hideMark/>
          </w:tcPr>
          <w:p w14:paraId="1B260E29" w14:textId="77777777" w:rsidR="00874D91" w:rsidRDefault="00874D91" w:rsidP="00874D91">
            <w:pPr>
              <w:spacing w:line="240" w:lineRule="auto"/>
              <w:jc w:val="center"/>
              <w:rPr>
                <w:color w:val="FFFFFF"/>
                <w:sz w:val="22"/>
                <w:szCs w:val="22"/>
              </w:rPr>
            </w:pPr>
            <w:r>
              <w:rPr>
                <w:color w:val="FFFFFF"/>
                <w:sz w:val="22"/>
                <w:szCs w:val="22"/>
              </w:rPr>
              <w:t xml:space="preserve">Stanje na </w:t>
            </w:r>
          </w:p>
          <w:p w14:paraId="0FD20A4D" w14:textId="014F193B" w:rsidR="00F46559" w:rsidRPr="00C9549D" w:rsidRDefault="00874D91" w:rsidP="00F46559">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31.</w:t>
            </w:r>
            <w:r>
              <w:rPr>
                <w:rFonts w:eastAsia="Times New Roman"/>
                <w:color w:val="FFFFFF"/>
                <w:sz w:val="22"/>
                <w:szCs w:val="22"/>
                <w:lang w:eastAsia="hr-HR"/>
              </w:rPr>
              <w:t xml:space="preserve"> prosinca </w:t>
            </w:r>
            <w:r>
              <w:rPr>
                <w:color w:val="FFFFFF"/>
                <w:sz w:val="22"/>
                <w:szCs w:val="22"/>
              </w:rPr>
              <w:t xml:space="preserve">2023. </w:t>
            </w:r>
          </w:p>
        </w:tc>
      </w:tr>
      <w:tr w:rsidR="007D4ED8" w:rsidRPr="00C9549D" w14:paraId="7BD84DA8" w14:textId="77777777" w:rsidTr="007D4ED8">
        <w:trPr>
          <w:trHeight w:val="454"/>
        </w:trPr>
        <w:tc>
          <w:tcPr>
            <w:tcW w:w="1640" w:type="dxa"/>
            <w:tcBorders>
              <w:top w:val="nil"/>
              <w:left w:val="single" w:sz="4" w:space="0" w:color="A6A6A6"/>
              <w:bottom w:val="single" w:sz="4" w:space="0" w:color="A6A6A6"/>
              <w:right w:val="single" w:sz="4" w:space="0" w:color="A6A6A6"/>
            </w:tcBorders>
            <w:shd w:val="clear" w:color="auto" w:fill="auto"/>
            <w:vAlign w:val="center"/>
            <w:hideMark/>
          </w:tcPr>
          <w:p w14:paraId="7E65DA88" w14:textId="77777777" w:rsidR="007D4ED8" w:rsidRPr="00FB12EC" w:rsidRDefault="007D4ED8" w:rsidP="007D4ED8">
            <w:pPr>
              <w:spacing w:line="240" w:lineRule="auto"/>
              <w:jc w:val="left"/>
              <w:rPr>
                <w:rFonts w:eastAsia="Times New Roman"/>
                <w:color w:val="000000"/>
                <w:sz w:val="22"/>
                <w:szCs w:val="22"/>
                <w:lang w:eastAsia="hr-HR"/>
              </w:rPr>
            </w:pPr>
            <w:r w:rsidRPr="00FB12EC">
              <w:rPr>
                <w:rFonts w:eastAsia="Times New Roman"/>
                <w:color w:val="000000"/>
                <w:sz w:val="22"/>
                <w:szCs w:val="22"/>
                <w:lang w:eastAsia="hr-HR"/>
              </w:rPr>
              <w:t>Broj isplata</w:t>
            </w:r>
          </w:p>
        </w:tc>
        <w:tc>
          <w:tcPr>
            <w:tcW w:w="2475" w:type="dxa"/>
            <w:tcBorders>
              <w:top w:val="nil"/>
              <w:left w:val="nil"/>
              <w:bottom w:val="single" w:sz="4" w:space="0" w:color="A6A6A6"/>
              <w:right w:val="single" w:sz="4" w:space="0" w:color="A6A6A6"/>
            </w:tcBorders>
            <w:shd w:val="clear" w:color="auto" w:fill="auto"/>
            <w:noWrap/>
            <w:vAlign w:val="center"/>
            <w:hideMark/>
          </w:tcPr>
          <w:p w14:paraId="247DA1B2" w14:textId="77777777" w:rsidR="007D4ED8" w:rsidRPr="00FB12EC" w:rsidRDefault="007D4ED8" w:rsidP="007D4ED8">
            <w:pPr>
              <w:spacing w:line="240" w:lineRule="auto"/>
              <w:jc w:val="center"/>
              <w:rPr>
                <w:rFonts w:eastAsia="Times New Roman"/>
                <w:color w:val="000000"/>
                <w:sz w:val="22"/>
                <w:szCs w:val="22"/>
                <w:lang w:eastAsia="hr-HR"/>
              </w:rPr>
            </w:pPr>
            <w:r w:rsidRPr="00FB12EC">
              <w:rPr>
                <w:rFonts w:eastAsia="Times New Roman"/>
                <w:color w:val="000000"/>
                <w:sz w:val="22"/>
                <w:szCs w:val="22"/>
                <w:lang w:eastAsia="hr-HR"/>
              </w:rPr>
              <w:t>15</w:t>
            </w:r>
          </w:p>
        </w:tc>
        <w:tc>
          <w:tcPr>
            <w:tcW w:w="2476" w:type="dxa"/>
            <w:tcBorders>
              <w:top w:val="nil"/>
              <w:left w:val="nil"/>
              <w:bottom w:val="single" w:sz="4" w:space="0" w:color="A6A6A6"/>
              <w:right w:val="single" w:sz="4" w:space="0" w:color="A6A6A6"/>
            </w:tcBorders>
            <w:shd w:val="clear" w:color="auto" w:fill="auto"/>
            <w:noWrap/>
            <w:vAlign w:val="center"/>
            <w:hideMark/>
          </w:tcPr>
          <w:p w14:paraId="02B1011C" w14:textId="35459F64" w:rsidR="007D4ED8" w:rsidRPr="00FB12EC" w:rsidRDefault="00FB12EC" w:rsidP="007D4ED8">
            <w:pPr>
              <w:spacing w:line="240" w:lineRule="auto"/>
              <w:jc w:val="center"/>
              <w:rPr>
                <w:rFonts w:eastAsia="Times New Roman"/>
                <w:color w:val="000000"/>
                <w:sz w:val="22"/>
                <w:szCs w:val="22"/>
                <w:lang w:eastAsia="hr-HR"/>
              </w:rPr>
            </w:pPr>
            <w:r w:rsidRPr="000A132C">
              <w:rPr>
                <w:color w:val="000000"/>
                <w:sz w:val="22"/>
                <w:szCs w:val="22"/>
              </w:rPr>
              <w:t>630</w:t>
            </w:r>
          </w:p>
        </w:tc>
        <w:tc>
          <w:tcPr>
            <w:tcW w:w="2476" w:type="dxa"/>
            <w:tcBorders>
              <w:top w:val="nil"/>
              <w:left w:val="nil"/>
              <w:bottom w:val="single" w:sz="4" w:space="0" w:color="A6A6A6"/>
              <w:right w:val="single" w:sz="4" w:space="0" w:color="A6A6A6"/>
            </w:tcBorders>
            <w:shd w:val="clear" w:color="auto" w:fill="auto"/>
            <w:noWrap/>
            <w:vAlign w:val="center"/>
            <w:hideMark/>
          </w:tcPr>
          <w:p w14:paraId="5B8441AC" w14:textId="70967D13" w:rsidR="007D4ED8" w:rsidRPr="00FB12EC" w:rsidRDefault="00FB12EC" w:rsidP="007D4ED8">
            <w:pPr>
              <w:spacing w:line="240" w:lineRule="auto"/>
              <w:jc w:val="center"/>
              <w:rPr>
                <w:rFonts w:eastAsia="Times New Roman"/>
                <w:color w:val="000000"/>
                <w:sz w:val="22"/>
                <w:szCs w:val="22"/>
                <w:lang w:eastAsia="hr-HR"/>
              </w:rPr>
            </w:pPr>
            <w:r w:rsidRPr="000A132C">
              <w:rPr>
                <w:color w:val="000000"/>
                <w:sz w:val="22"/>
                <w:szCs w:val="22"/>
              </w:rPr>
              <w:t>645</w:t>
            </w:r>
          </w:p>
        </w:tc>
      </w:tr>
      <w:tr w:rsidR="007D4ED8" w:rsidRPr="00C9549D" w14:paraId="304355F0" w14:textId="77777777" w:rsidTr="007D4ED8">
        <w:trPr>
          <w:trHeight w:val="454"/>
        </w:trPr>
        <w:tc>
          <w:tcPr>
            <w:tcW w:w="1640" w:type="dxa"/>
            <w:tcBorders>
              <w:top w:val="nil"/>
              <w:left w:val="single" w:sz="4" w:space="0" w:color="A6A6A6"/>
              <w:bottom w:val="single" w:sz="4" w:space="0" w:color="A6A6A6"/>
              <w:right w:val="single" w:sz="4" w:space="0" w:color="A6A6A6"/>
            </w:tcBorders>
            <w:shd w:val="clear" w:color="auto" w:fill="auto"/>
            <w:vAlign w:val="center"/>
            <w:hideMark/>
          </w:tcPr>
          <w:p w14:paraId="342825A3" w14:textId="77777777" w:rsidR="007D4ED8" w:rsidRPr="00FB12EC" w:rsidRDefault="007D4ED8" w:rsidP="007D4ED8">
            <w:pPr>
              <w:spacing w:line="240" w:lineRule="auto"/>
              <w:jc w:val="left"/>
              <w:rPr>
                <w:rFonts w:eastAsia="Times New Roman"/>
                <w:color w:val="000000"/>
                <w:sz w:val="22"/>
                <w:szCs w:val="22"/>
                <w:lang w:eastAsia="hr-HR"/>
              </w:rPr>
            </w:pPr>
            <w:r w:rsidRPr="00FB12EC">
              <w:rPr>
                <w:rFonts w:eastAsia="Times New Roman"/>
                <w:color w:val="000000"/>
                <w:sz w:val="22"/>
                <w:szCs w:val="22"/>
                <w:lang w:eastAsia="hr-HR"/>
              </w:rPr>
              <w:t>Isplaćeni iznos</w:t>
            </w:r>
          </w:p>
        </w:tc>
        <w:tc>
          <w:tcPr>
            <w:tcW w:w="2475" w:type="dxa"/>
            <w:tcBorders>
              <w:top w:val="nil"/>
              <w:left w:val="nil"/>
              <w:bottom w:val="single" w:sz="4" w:space="0" w:color="A6A6A6"/>
              <w:right w:val="single" w:sz="4" w:space="0" w:color="A6A6A6"/>
            </w:tcBorders>
            <w:shd w:val="clear" w:color="auto" w:fill="auto"/>
            <w:noWrap/>
            <w:vAlign w:val="center"/>
            <w:hideMark/>
          </w:tcPr>
          <w:p w14:paraId="03389E95" w14:textId="7ABFA36F" w:rsidR="007D4ED8" w:rsidRPr="00FB12EC" w:rsidRDefault="007D4ED8" w:rsidP="0026357E">
            <w:pPr>
              <w:spacing w:line="240" w:lineRule="auto"/>
              <w:jc w:val="center"/>
              <w:rPr>
                <w:rFonts w:eastAsia="Times New Roman"/>
                <w:color w:val="000000"/>
                <w:sz w:val="22"/>
                <w:szCs w:val="22"/>
                <w:lang w:eastAsia="hr-HR"/>
              </w:rPr>
            </w:pPr>
            <w:r w:rsidRPr="00FB12EC">
              <w:rPr>
                <w:rFonts w:eastAsia="Times New Roman"/>
                <w:color w:val="000000"/>
                <w:sz w:val="22"/>
                <w:szCs w:val="22"/>
                <w:lang w:eastAsia="hr-HR"/>
              </w:rPr>
              <w:t>66.361,44 €</w:t>
            </w:r>
          </w:p>
        </w:tc>
        <w:tc>
          <w:tcPr>
            <w:tcW w:w="2476" w:type="dxa"/>
            <w:tcBorders>
              <w:top w:val="nil"/>
              <w:left w:val="nil"/>
              <w:bottom w:val="single" w:sz="4" w:space="0" w:color="A6A6A6"/>
              <w:right w:val="single" w:sz="4" w:space="0" w:color="A6A6A6"/>
            </w:tcBorders>
            <w:shd w:val="clear" w:color="auto" w:fill="auto"/>
            <w:noWrap/>
            <w:vAlign w:val="center"/>
            <w:hideMark/>
          </w:tcPr>
          <w:p w14:paraId="2E286EBB" w14:textId="584940AE" w:rsidR="007D4ED8" w:rsidRPr="00FB12EC" w:rsidRDefault="003C76F6" w:rsidP="002579B8">
            <w:pPr>
              <w:spacing w:line="240" w:lineRule="auto"/>
              <w:jc w:val="center"/>
              <w:rPr>
                <w:rFonts w:eastAsia="Times New Roman"/>
                <w:color w:val="000000"/>
                <w:sz w:val="22"/>
                <w:szCs w:val="22"/>
                <w:lang w:eastAsia="hr-HR"/>
              </w:rPr>
            </w:pPr>
            <w:r w:rsidRPr="00FB12EC">
              <w:rPr>
                <w:color w:val="000000"/>
                <w:sz w:val="22"/>
                <w:szCs w:val="22"/>
              </w:rPr>
              <w:t>2.258.970,68 €</w:t>
            </w:r>
          </w:p>
        </w:tc>
        <w:tc>
          <w:tcPr>
            <w:tcW w:w="2476" w:type="dxa"/>
            <w:tcBorders>
              <w:top w:val="nil"/>
              <w:left w:val="nil"/>
              <w:bottom w:val="single" w:sz="4" w:space="0" w:color="A6A6A6"/>
              <w:right w:val="single" w:sz="4" w:space="0" w:color="A6A6A6"/>
            </w:tcBorders>
            <w:shd w:val="clear" w:color="auto" w:fill="auto"/>
            <w:noWrap/>
            <w:vAlign w:val="center"/>
            <w:hideMark/>
          </w:tcPr>
          <w:p w14:paraId="602CC30B" w14:textId="0D4339F1" w:rsidR="007D4ED8" w:rsidRPr="00FB12EC" w:rsidRDefault="003C76F6" w:rsidP="002579B8">
            <w:pPr>
              <w:spacing w:line="240" w:lineRule="auto"/>
              <w:jc w:val="center"/>
              <w:rPr>
                <w:rFonts w:eastAsia="Times New Roman"/>
                <w:color w:val="000000"/>
                <w:sz w:val="22"/>
                <w:szCs w:val="22"/>
                <w:lang w:eastAsia="hr-HR"/>
              </w:rPr>
            </w:pPr>
            <w:r w:rsidRPr="00FB12EC">
              <w:rPr>
                <w:color w:val="000000"/>
                <w:sz w:val="22"/>
                <w:szCs w:val="22"/>
              </w:rPr>
              <w:t xml:space="preserve">2.325.332,12 € </w:t>
            </w:r>
          </w:p>
        </w:tc>
      </w:tr>
    </w:tbl>
    <w:p w14:paraId="59C39577" w14:textId="558FBA78" w:rsidR="003A18D7" w:rsidRDefault="004668E6" w:rsidP="00E012E4">
      <w:pPr>
        <w:spacing w:before="60" w:after="60"/>
        <w:rPr>
          <w:b/>
        </w:rPr>
      </w:pPr>
      <w:r w:rsidRPr="00C9549D">
        <w:rPr>
          <w:b/>
        </w:rPr>
        <w:t xml:space="preserve"> </w:t>
      </w:r>
    </w:p>
    <w:p w14:paraId="71EB71EB" w14:textId="2705A2D9" w:rsidR="00FB12EC" w:rsidRDefault="00580797" w:rsidP="00E012E4">
      <w:pPr>
        <w:spacing w:before="60" w:after="60"/>
        <w:rPr>
          <w:b/>
        </w:rPr>
      </w:pPr>
      <w:r>
        <w:rPr>
          <w:noProof/>
          <w:lang w:eastAsia="hr-HR"/>
        </w:rPr>
        <w:lastRenderedPageBreak/>
        <w:drawing>
          <wp:inline distT="0" distB="0" distL="0" distR="0" wp14:anchorId="1E452531" wp14:editId="1E9DF97E">
            <wp:extent cx="2844000" cy="3780000"/>
            <wp:effectExtent l="0" t="0" r="13970" b="11430"/>
            <wp:docPr id="1080739276" name="Chart 1">
              <a:extLst xmlns:a="http://schemas.openxmlformats.org/drawingml/2006/main">
                <a:ext uri="{FF2B5EF4-FFF2-40B4-BE49-F238E27FC236}">
                  <a16:creationId xmlns:a16="http://schemas.microsoft.com/office/drawing/2014/main" id="{5D5D7093-59D5-F7D1-42A3-22FE1784A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noProof/>
          <w:lang w:eastAsia="hr-HR"/>
        </w:rPr>
        <w:drawing>
          <wp:inline distT="0" distB="0" distL="0" distR="0" wp14:anchorId="59D57C59" wp14:editId="402C2457">
            <wp:extent cx="2844000" cy="3780000"/>
            <wp:effectExtent l="0" t="0" r="13970" b="11430"/>
            <wp:docPr id="219843398" name="Chart 2">
              <a:extLst xmlns:a="http://schemas.openxmlformats.org/drawingml/2006/main">
                <a:ext uri="{FF2B5EF4-FFF2-40B4-BE49-F238E27FC236}">
                  <a16:creationId xmlns:a16="http://schemas.microsoft.com/office/drawing/2014/main" id="{0BA33DF4-59A8-4413-B662-26391A729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D80C86" w14:textId="77777777" w:rsidR="00FB12EC" w:rsidRDefault="00FB12EC" w:rsidP="00E012E4">
      <w:pPr>
        <w:spacing w:before="60" w:after="60"/>
        <w:rPr>
          <w:b/>
        </w:rPr>
      </w:pPr>
    </w:p>
    <w:p w14:paraId="2700F7A6" w14:textId="38631E48" w:rsidR="00D94578" w:rsidRPr="003A18D7" w:rsidRDefault="00D94578" w:rsidP="00F4045F">
      <w:pPr>
        <w:pStyle w:val="Heading3"/>
        <w:numPr>
          <w:ilvl w:val="2"/>
          <w:numId w:val="11"/>
        </w:numPr>
        <w:rPr>
          <w:b/>
          <w:bCs w:val="0"/>
          <w:i w:val="0"/>
          <w:iCs w:val="0"/>
        </w:rPr>
      </w:pPr>
      <w:bookmarkStart w:id="16" w:name="_Toc161040568"/>
      <w:r w:rsidRPr="003A18D7">
        <w:rPr>
          <w:b/>
          <w:bCs w:val="0"/>
          <w:i w:val="0"/>
          <w:iCs w:val="0"/>
        </w:rPr>
        <w:t>P</w:t>
      </w:r>
      <w:r w:rsidR="00A75177" w:rsidRPr="003A18D7">
        <w:rPr>
          <w:b/>
          <w:bCs w:val="0"/>
          <w:i w:val="0"/>
          <w:iCs w:val="0"/>
        </w:rPr>
        <w:t>ostupci nabave</w:t>
      </w:r>
      <w:bookmarkEnd w:id="16"/>
    </w:p>
    <w:p w14:paraId="57B2BBF3" w14:textId="77777777" w:rsidR="00CA734A" w:rsidRDefault="00CA734A" w:rsidP="00C1568A">
      <w:pPr>
        <w:rPr>
          <w:bCs/>
        </w:rPr>
      </w:pPr>
    </w:p>
    <w:p w14:paraId="63939504" w14:textId="3CF2C6D1" w:rsidR="00C1568A" w:rsidRPr="00FB74DC" w:rsidRDefault="00DF482B" w:rsidP="00C1568A">
      <w:pPr>
        <w:rPr>
          <w:bCs/>
        </w:rPr>
      </w:pPr>
      <w:r>
        <w:rPr>
          <w:bCs/>
        </w:rPr>
        <w:t xml:space="preserve">Odabir sudionika u obnovi se, </w:t>
      </w:r>
      <w:r w:rsidR="00C1568A" w:rsidRPr="00FB74DC">
        <w:rPr>
          <w:bCs/>
        </w:rPr>
        <w:t xml:space="preserve">prema Zakonu o obnovi, provodi putem javne nabave pri čemu je novelom Zakona o obnovi radi ubrzavanja tih procesa uređena provedba nabave temeljem donesenog Pravilnika o provedbi postupaka nabave roba, usluga i </w:t>
      </w:r>
      <w:r w:rsidR="00CC64D6">
        <w:rPr>
          <w:bCs/>
        </w:rPr>
        <w:t xml:space="preserve">radova za postupke obnove </w:t>
      </w:r>
      <w:r w:rsidR="00C1568A" w:rsidRPr="00FB74DC">
        <w:rPr>
          <w:bCs/>
        </w:rPr>
        <w:t>za</w:t>
      </w:r>
      <w:r w:rsidR="00C1568A" w:rsidRPr="00FB74DC">
        <w:t xml:space="preserve"> </w:t>
      </w:r>
      <w:r w:rsidR="00C1568A" w:rsidRPr="00FB74DC">
        <w:rPr>
          <w:bCs/>
        </w:rPr>
        <w:t>nabavu robe, usluga i radova čija je procijenjena vrijednost manja od vrijednosti europskih pragova.</w:t>
      </w:r>
    </w:p>
    <w:p w14:paraId="2FC8A7B3" w14:textId="77777777" w:rsidR="00C1568A" w:rsidRPr="00FB74DC" w:rsidRDefault="00C1568A" w:rsidP="00C1568A">
      <w:pPr>
        <w:ind w:left="360" w:firstLine="348"/>
        <w:rPr>
          <w:bCs/>
        </w:rPr>
      </w:pPr>
    </w:p>
    <w:p w14:paraId="3FD6516C" w14:textId="77777777" w:rsidR="00C1568A" w:rsidRPr="00FB74DC" w:rsidRDefault="00C1568A" w:rsidP="00C1568A">
      <w:pPr>
        <w:rPr>
          <w:bCs/>
        </w:rPr>
      </w:pPr>
      <w:r w:rsidRPr="00FB74DC">
        <w:rPr>
          <w:bCs/>
        </w:rPr>
        <w:t>Podacima  o postupcima nabave moguće je u svakom trenutku pristupiti putem Elektroničkog oglasnika javne nabave Republike Hrvatske (</w:t>
      </w:r>
      <w:hyperlink r:id="rId27" w:history="1">
        <w:r w:rsidRPr="00FB74DC">
          <w:rPr>
            <w:rStyle w:val="Hyperlink"/>
            <w:bCs/>
          </w:rPr>
          <w:t>https://eojn.nn.hr/Oglasnik/</w:t>
        </w:r>
      </w:hyperlink>
      <w:r w:rsidRPr="00FB74DC">
        <w:rPr>
          <w:bCs/>
        </w:rPr>
        <w:t>).</w:t>
      </w:r>
    </w:p>
    <w:p w14:paraId="040589CB" w14:textId="77777777" w:rsidR="00C1568A" w:rsidRDefault="00C1568A" w:rsidP="00B9245E"/>
    <w:p w14:paraId="71BBF2FC" w14:textId="42FA32A0" w:rsidR="001F4240" w:rsidRDefault="00AC3B64" w:rsidP="00B9245E">
      <w:r>
        <w:t>N</w:t>
      </w:r>
      <w:r w:rsidRPr="00AC3B64">
        <w:t xml:space="preserve">abave za obnovu i gradnju privatnih zgrada i kuća se kontinuirano </w:t>
      </w:r>
      <w:r w:rsidR="001F4240">
        <w:t xml:space="preserve">pripremaju, </w:t>
      </w:r>
      <w:r w:rsidRPr="00AC3B64">
        <w:t>objavljuju</w:t>
      </w:r>
      <w:r w:rsidR="001F4240">
        <w:t xml:space="preserve"> i provode. Većina </w:t>
      </w:r>
      <w:r w:rsidRPr="00AC3B64">
        <w:t>postup</w:t>
      </w:r>
      <w:r w:rsidR="001F4240">
        <w:t xml:space="preserve">aka nabave </w:t>
      </w:r>
      <w:r w:rsidRPr="00AC3B64">
        <w:t>se</w:t>
      </w:r>
      <w:r w:rsidR="001F4240">
        <w:t xml:space="preserve"> uspješno okončava</w:t>
      </w:r>
      <w:r w:rsidRPr="00AC3B64">
        <w:t xml:space="preserve">, </w:t>
      </w:r>
      <w:r w:rsidR="001F4240">
        <w:t xml:space="preserve">no </w:t>
      </w:r>
      <w:r w:rsidRPr="00AC3B64">
        <w:t>neke</w:t>
      </w:r>
      <w:r w:rsidR="001F4240">
        <w:t xml:space="preserve"> se </w:t>
      </w:r>
      <w:r w:rsidRPr="00AC3B64">
        <w:t xml:space="preserve">nabave </w:t>
      </w:r>
      <w:r>
        <w:t xml:space="preserve">zbog </w:t>
      </w:r>
      <w:r w:rsidR="00D3046B">
        <w:t>neopravdano visokih</w:t>
      </w:r>
      <w:r>
        <w:t xml:space="preserve"> ponuda u odnosu na procijenjenu vrijednos</w:t>
      </w:r>
      <w:r w:rsidR="00562932">
        <w:t>t</w:t>
      </w:r>
      <w:r w:rsidR="001F4240">
        <w:t xml:space="preserve"> poništavaju</w:t>
      </w:r>
      <w:r w:rsidR="00562932">
        <w:t>,</w:t>
      </w:r>
      <w:r w:rsidR="007E7503">
        <w:t xml:space="preserve"> dok za neke postupke nabave nisu ni zaprimljene ponude</w:t>
      </w:r>
      <w:r w:rsidRPr="00AC3B64">
        <w:t>.</w:t>
      </w:r>
    </w:p>
    <w:p w14:paraId="22C4651E" w14:textId="77777777" w:rsidR="001F4240" w:rsidRDefault="001F4240" w:rsidP="00B9245E"/>
    <w:p w14:paraId="51787A84" w14:textId="6B1CDADB" w:rsidR="00A3220E" w:rsidRPr="00C9549D" w:rsidRDefault="00EF1A39" w:rsidP="00B9245E">
      <w:r w:rsidRPr="00EF1A39">
        <w:t xml:space="preserve">U izvještajnom razdoblju je u pripremi dokumentacije, te u nabavama koje su završene ili su u tijeku, bilo ukupno 313 postupaka za 11.711 različitih radova i usluga ukupne procijenjene vrijednosti 225,2 milijuna eura. </w:t>
      </w:r>
    </w:p>
    <w:p w14:paraId="222AA3C9" w14:textId="77777777" w:rsidR="00CA734A" w:rsidRDefault="00CA734A" w:rsidP="0050714E">
      <w:pPr>
        <w:spacing w:before="120"/>
        <w:rPr>
          <w:i/>
          <w:iCs/>
        </w:rPr>
      </w:pPr>
    </w:p>
    <w:p w14:paraId="42DB7A15" w14:textId="77777777" w:rsidR="00CA734A" w:rsidRDefault="00CA734A" w:rsidP="0050714E">
      <w:pPr>
        <w:spacing w:before="120"/>
        <w:rPr>
          <w:i/>
          <w:iCs/>
        </w:rPr>
      </w:pPr>
    </w:p>
    <w:p w14:paraId="1BD4AA33" w14:textId="6F1FCCD5" w:rsidR="003D6FA3" w:rsidRPr="00C9549D" w:rsidRDefault="00E920B8" w:rsidP="0050714E">
      <w:pPr>
        <w:spacing w:before="120"/>
        <w:rPr>
          <w:i/>
          <w:iCs/>
        </w:rPr>
      </w:pPr>
      <w:r w:rsidRPr="00E920B8">
        <w:rPr>
          <w:i/>
          <w:iCs/>
        </w:rPr>
        <w:lastRenderedPageBreak/>
        <w:t xml:space="preserve">Pregled svih postupaka na dan 31. prosinca 2023. za referentno razdoblje od 1. siječnja do 31. prosinca 2023. po statusu </w:t>
      </w:r>
    </w:p>
    <w:tbl>
      <w:tblPr>
        <w:tblW w:w="9067" w:type="dxa"/>
        <w:tblLook w:val="04A0" w:firstRow="1" w:lastRow="0" w:firstColumn="1" w:lastColumn="0" w:noHBand="0" w:noVBand="1"/>
      </w:tblPr>
      <w:tblGrid>
        <w:gridCol w:w="2972"/>
        <w:gridCol w:w="1435"/>
        <w:gridCol w:w="1400"/>
        <w:gridCol w:w="3260"/>
      </w:tblGrid>
      <w:tr w:rsidR="003D6FA3" w:rsidRPr="00C9549D" w14:paraId="1258E93D" w14:textId="77777777" w:rsidTr="00216BB2">
        <w:trPr>
          <w:trHeight w:val="600"/>
        </w:trPr>
        <w:tc>
          <w:tcPr>
            <w:tcW w:w="2972"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57BF4205" w14:textId="77777777" w:rsidR="003D6FA3" w:rsidRPr="00C9549D" w:rsidRDefault="003D6FA3" w:rsidP="003D6FA3">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Opis</w:t>
            </w:r>
          </w:p>
        </w:tc>
        <w:tc>
          <w:tcPr>
            <w:tcW w:w="1435" w:type="dxa"/>
            <w:tcBorders>
              <w:top w:val="single" w:sz="4" w:space="0" w:color="A6A6A6"/>
              <w:left w:val="nil"/>
              <w:bottom w:val="single" w:sz="4" w:space="0" w:color="A6A6A6"/>
              <w:right w:val="single" w:sz="4" w:space="0" w:color="A6A6A6"/>
            </w:tcBorders>
            <w:shd w:val="clear" w:color="000000" w:fill="002060"/>
            <w:vAlign w:val="center"/>
            <w:hideMark/>
          </w:tcPr>
          <w:p w14:paraId="5F5497DA" w14:textId="77777777" w:rsidR="003D6FA3" w:rsidRPr="00C9549D" w:rsidRDefault="003D6FA3" w:rsidP="003D6FA3">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nabava</w:t>
            </w:r>
          </w:p>
        </w:tc>
        <w:tc>
          <w:tcPr>
            <w:tcW w:w="1400" w:type="dxa"/>
            <w:tcBorders>
              <w:top w:val="single" w:sz="4" w:space="0" w:color="A6A6A6"/>
              <w:left w:val="nil"/>
              <w:bottom w:val="single" w:sz="4" w:space="0" w:color="A6A6A6"/>
              <w:right w:val="single" w:sz="4" w:space="0" w:color="A6A6A6"/>
            </w:tcBorders>
            <w:shd w:val="clear" w:color="000000" w:fill="002060"/>
            <w:vAlign w:val="center"/>
            <w:hideMark/>
          </w:tcPr>
          <w:p w14:paraId="4B525E76" w14:textId="77777777" w:rsidR="003D6FA3" w:rsidRPr="00C9549D" w:rsidRDefault="003D6FA3" w:rsidP="003D6FA3">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radova / usluga</w:t>
            </w:r>
          </w:p>
        </w:tc>
        <w:tc>
          <w:tcPr>
            <w:tcW w:w="3260" w:type="dxa"/>
            <w:tcBorders>
              <w:top w:val="single" w:sz="4" w:space="0" w:color="A6A6A6"/>
              <w:left w:val="nil"/>
              <w:bottom w:val="single" w:sz="4" w:space="0" w:color="A6A6A6"/>
              <w:right w:val="single" w:sz="4" w:space="0" w:color="A6A6A6"/>
            </w:tcBorders>
            <w:shd w:val="clear" w:color="000000" w:fill="002060"/>
            <w:vAlign w:val="center"/>
            <w:hideMark/>
          </w:tcPr>
          <w:p w14:paraId="1D49C201" w14:textId="18900161" w:rsidR="00216BB2" w:rsidRDefault="003D6FA3" w:rsidP="003D6FA3">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Procijenjena vrijednost</w:t>
            </w:r>
            <w:r w:rsidR="00216BB2">
              <w:rPr>
                <w:rFonts w:eastAsia="Times New Roman"/>
                <w:color w:val="FFFFFF"/>
                <w:sz w:val="22"/>
                <w:szCs w:val="22"/>
                <w:lang w:eastAsia="hr-HR"/>
              </w:rPr>
              <w:t xml:space="preserve"> n</w:t>
            </w:r>
            <w:r w:rsidRPr="00C9549D">
              <w:rPr>
                <w:rFonts w:eastAsia="Times New Roman"/>
                <w:color w:val="FFFFFF"/>
                <w:sz w:val="22"/>
                <w:szCs w:val="22"/>
                <w:lang w:eastAsia="hr-HR"/>
              </w:rPr>
              <w:t>abave</w:t>
            </w:r>
          </w:p>
          <w:p w14:paraId="31FEADA9" w14:textId="3DA926FE" w:rsidR="003D6FA3" w:rsidRPr="00C9549D" w:rsidRDefault="003D6FA3" w:rsidP="003D6FA3">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(bez PDV-a)</w:t>
            </w:r>
          </w:p>
        </w:tc>
      </w:tr>
      <w:tr w:rsidR="00811CDC" w:rsidRPr="00C9549D" w14:paraId="1D18798B"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77F88F84" w14:textId="77777777" w:rsidR="00811CDC" w:rsidRPr="00C9549D" w:rsidRDefault="00811CDC" w:rsidP="00811CDC">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OBJAVLJENO</w:t>
            </w:r>
          </w:p>
        </w:tc>
        <w:tc>
          <w:tcPr>
            <w:tcW w:w="1435" w:type="dxa"/>
            <w:tcBorders>
              <w:top w:val="nil"/>
              <w:left w:val="nil"/>
              <w:bottom w:val="single" w:sz="4" w:space="0" w:color="A6A6A6"/>
              <w:right w:val="single" w:sz="4" w:space="0" w:color="A6A6A6"/>
            </w:tcBorders>
            <w:shd w:val="clear" w:color="auto" w:fill="auto"/>
            <w:noWrap/>
            <w:vAlign w:val="center"/>
            <w:hideMark/>
          </w:tcPr>
          <w:p w14:paraId="15A6AA4D" w14:textId="5B133AA7"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40</w:t>
            </w:r>
          </w:p>
        </w:tc>
        <w:tc>
          <w:tcPr>
            <w:tcW w:w="1400" w:type="dxa"/>
            <w:tcBorders>
              <w:top w:val="nil"/>
              <w:left w:val="nil"/>
              <w:bottom w:val="single" w:sz="4" w:space="0" w:color="A6A6A6"/>
              <w:right w:val="single" w:sz="4" w:space="0" w:color="A6A6A6"/>
            </w:tcBorders>
            <w:shd w:val="clear" w:color="auto" w:fill="auto"/>
            <w:noWrap/>
            <w:vAlign w:val="center"/>
            <w:hideMark/>
          </w:tcPr>
          <w:p w14:paraId="35DFFC74" w14:textId="0BBE1115"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1.579</w:t>
            </w:r>
          </w:p>
        </w:tc>
        <w:tc>
          <w:tcPr>
            <w:tcW w:w="3260" w:type="dxa"/>
            <w:tcBorders>
              <w:top w:val="nil"/>
              <w:left w:val="nil"/>
              <w:bottom w:val="single" w:sz="4" w:space="0" w:color="A6A6A6"/>
              <w:right w:val="single" w:sz="4" w:space="0" w:color="A6A6A6"/>
            </w:tcBorders>
            <w:shd w:val="clear" w:color="auto" w:fill="auto"/>
            <w:noWrap/>
            <w:vAlign w:val="center"/>
            <w:hideMark/>
          </w:tcPr>
          <w:p w14:paraId="6CE4B59F" w14:textId="15A20223" w:rsidR="00811CDC" w:rsidRPr="00C9549D" w:rsidRDefault="00811CDC" w:rsidP="00811CDC">
            <w:pPr>
              <w:spacing w:line="240" w:lineRule="auto"/>
              <w:jc w:val="right"/>
              <w:rPr>
                <w:rFonts w:eastAsia="Times New Roman"/>
                <w:color w:val="000000"/>
                <w:sz w:val="22"/>
                <w:szCs w:val="22"/>
                <w:lang w:eastAsia="hr-HR"/>
              </w:rPr>
            </w:pPr>
            <w:r w:rsidRPr="00544FED">
              <w:rPr>
                <w:color w:val="000000" w:themeColor="text1"/>
                <w:sz w:val="22"/>
                <w:szCs w:val="22"/>
              </w:rPr>
              <w:t xml:space="preserve">            18.313.508,47 € </w:t>
            </w:r>
          </w:p>
        </w:tc>
      </w:tr>
      <w:tr w:rsidR="00811CDC" w:rsidRPr="00C9549D" w14:paraId="55D27149"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4EFB88CF" w14:textId="77777777" w:rsidR="00811CDC" w:rsidRPr="00C9549D" w:rsidRDefault="00811CDC" w:rsidP="00811CDC">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OTVORENO</w:t>
            </w:r>
          </w:p>
        </w:tc>
        <w:tc>
          <w:tcPr>
            <w:tcW w:w="1435" w:type="dxa"/>
            <w:tcBorders>
              <w:top w:val="nil"/>
              <w:left w:val="nil"/>
              <w:bottom w:val="single" w:sz="4" w:space="0" w:color="A6A6A6"/>
              <w:right w:val="single" w:sz="4" w:space="0" w:color="A6A6A6"/>
            </w:tcBorders>
            <w:shd w:val="clear" w:color="auto" w:fill="auto"/>
            <w:noWrap/>
            <w:vAlign w:val="center"/>
            <w:hideMark/>
          </w:tcPr>
          <w:p w14:paraId="22BC59B3" w14:textId="0338B257"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53</w:t>
            </w:r>
          </w:p>
        </w:tc>
        <w:tc>
          <w:tcPr>
            <w:tcW w:w="1400" w:type="dxa"/>
            <w:tcBorders>
              <w:top w:val="nil"/>
              <w:left w:val="nil"/>
              <w:bottom w:val="single" w:sz="4" w:space="0" w:color="A6A6A6"/>
              <w:right w:val="single" w:sz="4" w:space="0" w:color="A6A6A6"/>
            </w:tcBorders>
            <w:shd w:val="clear" w:color="auto" w:fill="auto"/>
            <w:noWrap/>
            <w:vAlign w:val="center"/>
            <w:hideMark/>
          </w:tcPr>
          <w:p w14:paraId="2EC9DC1B" w14:textId="311E5ADE"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1.369</w:t>
            </w:r>
          </w:p>
        </w:tc>
        <w:tc>
          <w:tcPr>
            <w:tcW w:w="3260" w:type="dxa"/>
            <w:tcBorders>
              <w:top w:val="nil"/>
              <w:left w:val="nil"/>
              <w:bottom w:val="single" w:sz="4" w:space="0" w:color="A6A6A6"/>
              <w:right w:val="single" w:sz="4" w:space="0" w:color="A6A6A6"/>
            </w:tcBorders>
            <w:shd w:val="clear" w:color="auto" w:fill="auto"/>
            <w:noWrap/>
            <w:vAlign w:val="center"/>
            <w:hideMark/>
          </w:tcPr>
          <w:p w14:paraId="110DB481" w14:textId="7490D761" w:rsidR="00811CDC" w:rsidRPr="00C9549D" w:rsidRDefault="00811CDC" w:rsidP="00811CDC">
            <w:pPr>
              <w:spacing w:line="240" w:lineRule="auto"/>
              <w:jc w:val="right"/>
              <w:rPr>
                <w:rFonts w:eastAsia="Times New Roman"/>
                <w:color w:val="000000"/>
                <w:sz w:val="22"/>
                <w:szCs w:val="22"/>
                <w:lang w:eastAsia="hr-HR"/>
              </w:rPr>
            </w:pPr>
            <w:r w:rsidRPr="00544FED">
              <w:rPr>
                <w:color w:val="000000" w:themeColor="text1"/>
                <w:sz w:val="22"/>
                <w:szCs w:val="22"/>
              </w:rPr>
              <w:t xml:space="preserve">           41.173.804,28 € </w:t>
            </w:r>
          </w:p>
        </w:tc>
      </w:tr>
      <w:tr w:rsidR="00811CDC" w:rsidRPr="00C9549D" w14:paraId="3D396560"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0550CEBF" w14:textId="77777777" w:rsidR="00811CDC" w:rsidRPr="00C9549D" w:rsidRDefault="00811CDC" w:rsidP="00811CDC">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ODLUKA O ODABIRU</w:t>
            </w:r>
          </w:p>
        </w:tc>
        <w:tc>
          <w:tcPr>
            <w:tcW w:w="1435" w:type="dxa"/>
            <w:tcBorders>
              <w:top w:val="nil"/>
              <w:left w:val="nil"/>
              <w:bottom w:val="single" w:sz="4" w:space="0" w:color="A6A6A6"/>
              <w:right w:val="single" w:sz="4" w:space="0" w:color="A6A6A6"/>
            </w:tcBorders>
            <w:shd w:val="clear" w:color="auto" w:fill="auto"/>
            <w:noWrap/>
            <w:vAlign w:val="center"/>
            <w:hideMark/>
          </w:tcPr>
          <w:p w14:paraId="081824F8" w14:textId="73A3A82F"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22</w:t>
            </w:r>
          </w:p>
        </w:tc>
        <w:tc>
          <w:tcPr>
            <w:tcW w:w="1400" w:type="dxa"/>
            <w:tcBorders>
              <w:top w:val="nil"/>
              <w:left w:val="nil"/>
              <w:bottom w:val="single" w:sz="4" w:space="0" w:color="A6A6A6"/>
              <w:right w:val="single" w:sz="4" w:space="0" w:color="A6A6A6"/>
            </w:tcBorders>
            <w:shd w:val="clear" w:color="auto" w:fill="auto"/>
            <w:noWrap/>
            <w:vAlign w:val="center"/>
            <w:hideMark/>
          </w:tcPr>
          <w:p w14:paraId="214EFEAF" w14:textId="68780E54"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681</w:t>
            </w:r>
          </w:p>
        </w:tc>
        <w:tc>
          <w:tcPr>
            <w:tcW w:w="3260" w:type="dxa"/>
            <w:tcBorders>
              <w:top w:val="nil"/>
              <w:left w:val="nil"/>
              <w:bottom w:val="single" w:sz="4" w:space="0" w:color="A6A6A6"/>
              <w:right w:val="single" w:sz="4" w:space="0" w:color="A6A6A6"/>
            </w:tcBorders>
            <w:shd w:val="clear" w:color="auto" w:fill="auto"/>
            <w:noWrap/>
            <w:vAlign w:val="center"/>
            <w:hideMark/>
          </w:tcPr>
          <w:p w14:paraId="6E8D4914" w14:textId="60CAA513" w:rsidR="00811CDC" w:rsidRPr="00C9549D" w:rsidRDefault="00811CDC" w:rsidP="00811CDC">
            <w:pPr>
              <w:spacing w:line="240" w:lineRule="auto"/>
              <w:jc w:val="right"/>
              <w:rPr>
                <w:rFonts w:eastAsia="Times New Roman"/>
                <w:color w:val="000000"/>
                <w:sz w:val="22"/>
                <w:szCs w:val="22"/>
                <w:lang w:eastAsia="hr-HR"/>
              </w:rPr>
            </w:pPr>
            <w:r w:rsidRPr="00544FED">
              <w:rPr>
                <w:color w:val="000000" w:themeColor="text1"/>
                <w:sz w:val="22"/>
                <w:szCs w:val="22"/>
              </w:rPr>
              <w:t xml:space="preserve">24.762.540,17 € </w:t>
            </w:r>
          </w:p>
        </w:tc>
      </w:tr>
      <w:tr w:rsidR="00811CDC" w:rsidRPr="00C9549D" w14:paraId="6CAD41EC"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5DF2D6EF" w14:textId="77777777" w:rsidR="00811CDC" w:rsidRPr="00C9549D" w:rsidRDefault="00811CDC" w:rsidP="00811CDC">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ODLUKA O PONIŠTENJU</w:t>
            </w:r>
          </w:p>
        </w:tc>
        <w:tc>
          <w:tcPr>
            <w:tcW w:w="1435" w:type="dxa"/>
            <w:tcBorders>
              <w:top w:val="nil"/>
              <w:left w:val="nil"/>
              <w:bottom w:val="single" w:sz="4" w:space="0" w:color="A6A6A6"/>
              <w:right w:val="single" w:sz="4" w:space="0" w:color="A6A6A6"/>
            </w:tcBorders>
            <w:shd w:val="clear" w:color="auto" w:fill="auto"/>
            <w:noWrap/>
            <w:vAlign w:val="center"/>
            <w:hideMark/>
          </w:tcPr>
          <w:p w14:paraId="482C7E78" w14:textId="592BADB5"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57</w:t>
            </w:r>
          </w:p>
        </w:tc>
        <w:tc>
          <w:tcPr>
            <w:tcW w:w="1400" w:type="dxa"/>
            <w:tcBorders>
              <w:top w:val="nil"/>
              <w:left w:val="nil"/>
              <w:bottom w:val="single" w:sz="4" w:space="0" w:color="A6A6A6"/>
              <w:right w:val="single" w:sz="4" w:space="0" w:color="A6A6A6"/>
            </w:tcBorders>
            <w:shd w:val="clear" w:color="auto" w:fill="auto"/>
            <w:noWrap/>
            <w:vAlign w:val="center"/>
            <w:hideMark/>
          </w:tcPr>
          <w:p w14:paraId="6DFC8DCB" w14:textId="7BB3D07E"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1.675</w:t>
            </w:r>
          </w:p>
        </w:tc>
        <w:tc>
          <w:tcPr>
            <w:tcW w:w="3260" w:type="dxa"/>
            <w:tcBorders>
              <w:top w:val="nil"/>
              <w:left w:val="nil"/>
              <w:bottom w:val="single" w:sz="4" w:space="0" w:color="A6A6A6"/>
              <w:right w:val="single" w:sz="4" w:space="0" w:color="A6A6A6"/>
            </w:tcBorders>
            <w:shd w:val="clear" w:color="auto" w:fill="auto"/>
            <w:noWrap/>
            <w:vAlign w:val="center"/>
            <w:hideMark/>
          </w:tcPr>
          <w:p w14:paraId="0CD89A89" w14:textId="3C526683" w:rsidR="00811CDC" w:rsidRPr="00C9549D" w:rsidRDefault="00811CDC" w:rsidP="00811CDC">
            <w:pPr>
              <w:spacing w:line="240" w:lineRule="auto"/>
              <w:jc w:val="right"/>
              <w:rPr>
                <w:rFonts w:eastAsia="Times New Roman"/>
                <w:color w:val="000000"/>
                <w:sz w:val="22"/>
                <w:szCs w:val="22"/>
                <w:lang w:eastAsia="hr-HR"/>
              </w:rPr>
            </w:pPr>
            <w:r w:rsidRPr="00544FED">
              <w:rPr>
                <w:color w:val="000000" w:themeColor="text1"/>
                <w:sz w:val="22"/>
                <w:szCs w:val="22"/>
              </w:rPr>
              <w:t xml:space="preserve">           29.490.442,99 € </w:t>
            </w:r>
          </w:p>
        </w:tc>
      </w:tr>
      <w:tr w:rsidR="00811CDC" w:rsidRPr="00C9549D" w14:paraId="7B93DEE9"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4DC6F7DD" w14:textId="77777777" w:rsidR="00811CDC" w:rsidRPr="00C9549D" w:rsidRDefault="00811CDC" w:rsidP="00811CDC">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UGOVORENO</w:t>
            </w:r>
          </w:p>
        </w:tc>
        <w:tc>
          <w:tcPr>
            <w:tcW w:w="1435" w:type="dxa"/>
            <w:tcBorders>
              <w:top w:val="nil"/>
              <w:left w:val="nil"/>
              <w:bottom w:val="single" w:sz="4" w:space="0" w:color="A6A6A6"/>
              <w:right w:val="single" w:sz="4" w:space="0" w:color="A6A6A6"/>
            </w:tcBorders>
            <w:shd w:val="clear" w:color="auto" w:fill="auto"/>
            <w:noWrap/>
            <w:vAlign w:val="center"/>
            <w:hideMark/>
          </w:tcPr>
          <w:p w14:paraId="651FC04F" w14:textId="4033896E"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139</w:t>
            </w:r>
          </w:p>
        </w:tc>
        <w:tc>
          <w:tcPr>
            <w:tcW w:w="1400" w:type="dxa"/>
            <w:tcBorders>
              <w:top w:val="nil"/>
              <w:left w:val="nil"/>
              <w:bottom w:val="single" w:sz="4" w:space="0" w:color="A6A6A6"/>
              <w:right w:val="single" w:sz="4" w:space="0" w:color="A6A6A6"/>
            </w:tcBorders>
            <w:shd w:val="clear" w:color="auto" w:fill="auto"/>
            <w:noWrap/>
            <w:vAlign w:val="center"/>
            <w:hideMark/>
          </w:tcPr>
          <w:p w14:paraId="0E218D8A" w14:textId="142C12A3" w:rsidR="00811CDC" w:rsidRPr="00C9549D" w:rsidRDefault="00811CDC" w:rsidP="00811CD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6.347</w:t>
            </w:r>
          </w:p>
        </w:tc>
        <w:tc>
          <w:tcPr>
            <w:tcW w:w="3260" w:type="dxa"/>
            <w:tcBorders>
              <w:top w:val="nil"/>
              <w:left w:val="nil"/>
              <w:bottom w:val="single" w:sz="4" w:space="0" w:color="A6A6A6"/>
              <w:right w:val="single" w:sz="4" w:space="0" w:color="A6A6A6"/>
            </w:tcBorders>
            <w:shd w:val="clear" w:color="auto" w:fill="auto"/>
            <w:noWrap/>
            <w:vAlign w:val="center"/>
            <w:hideMark/>
          </w:tcPr>
          <w:p w14:paraId="383F9DC2" w14:textId="79D3AA3D" w:rsidR="00811CDC" w:rsidRPr="00C9549D" w:rsidRDefault="00811CDC" w:rsidP="00811CDC">
            <w:pPr>
              <w:spacing w:line="240" w:lineRule="auto"/>
              <w:jc w:val="right"/>
              <w:rPr>
                <w:rFonts w:eastAsia="Times New Roman"/>
                <w:color w:val="000000"/>
                <w:sz w:val="22"/>
                <w:szCs w:val="22"/>
                <w:lang w:eastAsia="hr-HR"/>
              </w:rPr>
            </w:pPr>
            <w:r w:rsidRPr="00544FED">
              <w:rPr>
                <w:color w:val="000000" w:themeColor="text1"/>
                <w:sz w:val="22"/>
                <w:szCs w:val="22"/>
              </w:rPr>
              <w:t xml:space="preserve">           111.388.145,61 € </w:t>
            </w:r>
          </w:p>
        </w:tc>
      </w:tr>
      <w:tr w:rsidR="00F241D4" w:rsidRPr="00C9549D" w14:paraId="1DAE2236"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000000" w:fill="002060"/>
            <w:vAlign w:val="center"/>
            <w:hideMark/>
          </w:tcPr>
          <w:p w14:paraId="72DB7CC3" w14:textId="77777777" w:rsidR="00F241D4" w:rsidRPr="00C9549D" w:rsidRDefault="00F241D4" w:rsidP="00F241D4">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1435" w:type="dxa"/>
            <w:tcBorders>
              <w:top w:val="nil"/>
              <w:left w:val="nil"/>
              <w:bottom w:val="single" w:sz="4" w:space="0" w:color="A6A6A6"/>
              <w:right w:val="single" w:sz="4" w:space="0" w:color="A6A6A6"/>
            </w:tcBorders>
            <w:shd w:val="clear" w:color="000000" w:fill="002060"/>
            <w:vAlign w:val="center"/>
            <w:hideMark/>
          </w:tcPr>
          <w:p w14:paraId="694E493C" w14:textId="4836DAC0" w:rsidR="00F241D4" w:rsidRPr="00C9549D" w:rsidRDefault="00F241D4" w:rsidP="00F241D4">
            <w:pPr>
              <w:spacing w:line="240" w:lineRule="auto"/>
              <w:jc w:val="center"/>
              <w:rPr>
                <w:rFonts w:eastAsia="Times New Roman"/>
                <w:color w:val="FFFFFF"/>
                <w:sz w:val="22"/>
                <w:szCs w:val="22"/>
                <w:lang w:eastAsia="hr-HR"/>
              </w:rPr>
            </w:pPr>
            <w:r w:rsidRPr="00544FED">
              <w:rPr>
                <w:rFonts w:eastAsia="Times New Roman"/>
                <w:color w:val="FFFFFF" w:themeColor="background1"/>
                <w:sz w:val="22"/>
                <w:szCs w:val="22"/>
              </w:rPr>
              <w:t>311</w:t>
            </w:r>
          </w:p>
        </w:tc>
        <w:tc>
          <w:tcPr>
            <w:tcW w:w="1400" w:type="dxa"/>
            <w:tcBorders>
              <w:top w:val="nil"/>
              <w:left w:val="nil"/>
              <w:bottom w:val="single" w:sz="4" w:space="0" w:color="A6A6A6"/>
              <w:right w:val="single" w:sz="4" w:space="0" w:color="A6A6A6"/>
            </w:tcBorders>
            <w:shd w:val="clear" w:color="000000" w:fill="002060"/>
            <w:vAlign w:val="center"/>
            <w:hideMark/>
          </w:tcPr>
          <w:p w14:paraId="7B5C817F" w14:textId="7B72C380" w:rsidR="00F241D4" w:rsidRPr="00C9549D" w:rsidRDefault="00F241D4" w:rsidP="00F241D4">
            <w:pPr>
              <w:spacing w:line="240" w:lineRule="auto"/>
              <w:jc w:val="center"/>
              <w:rPr>
                <w:rFonts w:eastAsia="Times New Roman"/>
                <w:color w:val="FFFFFF"/>
                <w:sz w:val="22"/>
                <w:szCs w:val="22"/>
                <w:lang w:eastAsia="hr-HR"/>
              </w:rPr>
            </w:pPr>
            <w:r w:rsidRPr="00544FED">
              <w:rPr>
                <w:color w:val="FFFFFF" w:themeColor="background1"/>
                <w:sz w:val="22"/>
                <w:szCs w:val="22"/>
              </w:rPr>
              <w:t>11.651</w:t>
            </w:r>
          </w:p>
        </w:tc>
        <w:tc>
          <w:tcPr>
            <w:tcW w:w="3260" w:type="dxa"/>
            <w:tcBorders>
              <w:top w:val="nil"/>
              <w:left w:val="nil"/>
              <w:bottom w:val="single" w:sz="4" w:space="0" w:color="A6A6A6"/>
              <w:right w:val="single" w:sz="4" w:space="0" w:color="A6A6A6"/>
            </w:tcBorders>
            <w:shd w:val="clear" w:color="000000" w:fill="002060"/>
            <w:vAlign w:val="center"/>
            <w:hideMark/>
          </w:tcPr>
          <w:p w14:paraId="26E0EB43" w14:textId="7CC2F7D6" w:rsidR="00F241D4" w:rsidRPr="00C9549D" w:rsidRDefault="00F241D4" w:rsidP="00F241D4">
            <w:pPr>
              <w:spacing w:line="240" w:lineRule="auto"/>
              <w:jc w:val="right"/>
              <w:rPr>
                <w:rFonts w:eastAsia="Times New Roman"/>
                <w:color w:val="FFFFFF"/>
                <w:sz w:val="22"/>
                <w:szCs w:val="22"/>
                <w:lang w:eastAsia="hr-HR"/>
              </w:rPr>
            </w:pPr>
            <w:r w:rsidRPr="00544FED">
              <w:rPr>
                <w:color w:val="FFFFFF" w:themeColor="background1"/>
                <w:sz w:val="22"/>
                <w:szCs w:val="22"/>
              </w:rPr>
              <w:t xml:space="preserve">         225.128.441,51 € </w:t>
            </w:r>
          </w:p>
        </w:tc>
      </w:tr>
      <w:tr w:rsidR="009178AC" w:rsidRPr="00C9549D" w14:paraId="3886EFD5"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auto" w:fill="auto"/>
            <w:noWrap/>
            <w:vAlign w:val="center"/>
            <w:hideMark/>
          </w:tcPr>
          <w:p w14:paraId="3C634649" w14:textId="77777777" w:rsidR="009178AC" w:rsidRPr="00C9549D" w:rsidRDefault="009178AC" w:rsidP="009178AC">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PRIPREMA DON</w:t>
            </w:r>
          </w:p>
        </w:tc>
        <w:tc>
          <w:tcPr>
            <w:tcW w:w="1435" w:type="dxa"/>
            <w:tcBorders>
              <w:top w:val="nil"/>
              <w:left w:val="nil"/>
              <w:bottom w:val="single" w:sz="4" w:space="0" w:color="A6A6A6"/>
              <w:right w:val="single" w:sz="4" w:space="0" w:color="A6A6A6"/>
            </w:tcBorders>
            <w:shd w:val="clear" w:color="auto" w:fill="auto"/>
            <w:noWrap/>
            <w:vAlign w:val="center"/>
            <w:hideMark/>
          </w:tcPr>
          <w:p w14:paraId="478C4219" w14:textId="5EAAD423" w:rsidR="009178AC" w:rsidRPr="00C9549D" w:rsidRDefault="009178AC" w:rsidP="009178A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lang w:eastAsia="hr-HR"/>
              </w:rPr>
              <w:t>2</w:t>
            </w:r>
          </w:p>
        </w:tc>
        <w:tc>
          <w:tcPr>
            <w:tcW w:w="1400" w:type="dxa"/>
            <w:tcBorders>
              <w:top w:val="nil"/>
              <w:left w:val="nil"/>
              <w:bottom w:val="single" w:sz="4" w:space="0" w:color="A6A6A6"/>
              <w:right w:val="single" w:sz="4" w:space="0" w:color="A6A6A6"/>
            </w:tcBorders>
            <w:shd w:val="clear" w:color="auto" w:fill="auto"/>
            <w:noWrap/>
            <w:vAlign w:val="center"/>
            <w:hideMark/>
          </w:tcPr>
          <w:p w14:paraId="6AD0A247" w14:textId="5A99253F" w:rsidR="009178AC" w:rsidRPr="00C9549D" w:rsidRDefault="009178AC" w:rsidP="009178AC">
            <w:pPr>
              <w:spacing w:line="240" w:lineRule="auto"/>
              <w:jc w:val="center"/>
              <w:rPr>
                <w:rFonts w:eastAsia="Times New Roman"/>
                <w:color w:val="000000"/>
                <w:sz w:val="22"/>
                <w:szCs w:val="22"/>
                <w:lang w:eastAsia="hr-HR"/>
              </w:rPr>
            </w:pPr>
            <w:r w:rsidRPr="00544FED">
              <w:rPr>
                <w:rFonts w:eastAsia="Times New Roman"/>
                <w:color w:val="000000" w:themeColor="text1"/>
                <w:sz w:val="22"/>
                <w:szCs w:val="22"/>
              </w:rPr>
              <w:t>60</w:t>
            </w:r>
          </w:p>
        </w:tc>
        <w:tc>
          <w:tcPr>
            <w:tcW w:w="3260" w:type="dxa"/>
            <w:tcBorders>
              <w:top w:val="nil"/>
              <w:left w:val="nil"/>
              <w:bottom w:val="single" w:sz="4" w:space="0" w:color="A6A6A6"/>
              <w:right w:val="single" w:sz="4" w:space="0" w:color="A6A6A6"/>
            </w:tcBorders>
            <w:shd w:val="clear" w:color="auto" w:fill="auto"/>
            <w:noWrap/>
            <w:vAlign w:val="center"/>
            <w:hideMark/>
          </w:tcPr>
          <w:p w14:paraId="60EE7EE5" w14:textId="4036B642" w:rsidR="009178AC" w:rsidRPr="00C9549D" w:rsidRDefault="009178AC" w:rsidP="009178AC">
            <w:pPr>
              <w:spacing w:line="240" w:lineRule="auto"/>
              <w:jc w:val="right"/>
              <w:rPr>
                <w:rFonts w:eastAsia="Times New Roman"/>
                <w:color w:val="000000"/>
                <w:sz w:val="22"/>
                <w:szCs w:val="22"/>
                <w:lang w:eastAsia="hr-HR"/>
              </w:rPr>
            </w:pPr>
            <w:r w:rsidRPr="00544FED">
              <w:rPr>
                <w:color w:val="000000" w:themeColor="text1"/>
                <w:sz w:val="22"/>
                <w:szCs w:val="22"/>
              </w:rPr>
              <w:t xml:space="preserve">           130.000,00 € </w:t>
            </w:r>
          </w:p>
        </w:tc>
      </w:tr>
      <w:tr w:rsidR="00BC25B7" w:rsidRPr="00C9549D" w14:paraId="2056CAE9" w14:textId="77777777" w:rsidTr="0039566A">
        <w:trPr>
          <w:trHeight w:val="454"/>
        </w:trPr>
        <w:tc>
          <w:tcPr>
            <w:tcW w:w="2972" w:type="dxa"/>
            <w:tcBorders>
              <w:top w:val="nil"/>
              <w:left w:val="single" w:sz="4" w:space="0" w:color="A6A6A6"/>
              <w:bottom w:val="single" w:sz="4" w:space="0" w:color="A6A6A6"/>
              <w:right w:val="single" w:sz="4" w:space="0" w:color="A6A6A6"/>
            </w:tcBorders>
            <w:shd w:val="clear" w:color="000000" w:fill="002060"/>
            <w:vAlign w:val="center"/>
            <w:hideMark/>
          </w:tcPr>
          <w:p w14:paraId="2BAB93A6" w14:textId="77777777" w:rsidR="00BC25B7" w:rsidRPr="00C9549D" w:rsidRDefault="00BC25B7" w:rsidP="00BC25B7">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Sveukupno</w:t>
            </w:r>
          </w:p>
        </w:tc>
        <w:tc>
          <w:tcPr>
            <w:tcW w:w="1435" w:type="dxa"/>
            <w:tcBorders>
              <w:top w:val="nil"/>
              <w:left w:val="nil"/>
              <w:bottom w:val="single" w:sz="4" w:space="0" w:color="A6A6A6"/>
              <w:right w:val="single" w:sz="4" w:space="0" w:color="A6A6A6"/>
            </w:tcBorders>
            <w:shd w:val="clear" w:color="000000" w:fill="002060"/>
            <w:vAlign w:val="center"/>
            <w:hideMark/>
          </w:tcPr>
          <w:p w14:paraId="704C15E7" w14:textId="0DFAC9B0" w:rsidR="00BC25B7" w:rsidRPr="00C9549D" w:rsidRDefault="00BC25B7" w:rsidP="00BC25B7">
            <w:pPr>
              <w:spacing w:line="240" w:lineRule="auto"/>
              <w:jc w:val="center"/>
              <w:rPr>
                <w:rFonts w:eastAsia="Times New Roman"/>
                <w:color w:val="FFFFFF"/>
                <w:sz w:val="22"/>
                <w:szCs w:val="22"/>
                <w:lang w:eastAsia="hr-HR"/>
              </w:rPr>
            </w:pPr>
            <w:r w:rsidRPr="00544FED">
              <w:rPr>
                <w:rFonts w:eastAsia="Times New Roman"/>
                <w:color w:val="FFFFFF" w:themeColor="background1"/>
                <w:sz w:val="22"/>
                <w:szCs w:val="22"/>
              </w:rPr>
              <w:t>313</w:t>
            </w:r>
          </w:p>
        </w:tc>
        <w:tc>
          <w:tcPr>
            <w:tcW w:w="1400" w:type="dxa"/>
            <w:tcBorders>
              <w:top w:val="nil"/>
              <w:left w:val="nil"/>
              <w:bottom w:val="single" w:sz="4" w:space="0" w:color="A6A6A6"/>
              <w:right w:val="single" w:sz="4" w:space="0" w:color="A6A6A6"/>
            </w:tcBorders>
            <w:shd w:val="clear" w:color="000000" w:fill="002060"/>
            <w:vAlign w:val="center"/>
            <w:hideMark/>
          </w:tcPr>
          <w:p w14:paraId="31F12D83" w14:textId="691811E4" w:rsidR="00BC25B7" w:rsidRPr="00C9549D" w:rsidRDefault="00BC25B7" w:rsidP="00BC25B7">
            <w:pPr>
              <w:spacing w:line="240" w:lineRule="auto"/>
              <w:jc w:val="center"/>
              <w:rPr>
                <w:rFonts w:eastAsia="Times New Roman"/>
                <w:color w:val="FFFFFF"/>
                <w:sz w:val="22"/>
                <w:szCs w:val="22"/>
                <w:lang w:eastAsia="hr-HR"/>
              </w:rPr>
            </w:pPr>
            <w:r w:rsidRPr="00544FED">
              <w:rPr>
                <w:color w:val="FFFFFF" w:themeColor="background1"/>
                <w:sz w:val="22"/>
                <w:szCs w:val="22"/>
              </w:rPr>
              <w:t>11.711</w:t>
            </w:r>
          </w:p>
        </w:tc>
        <w:tc>
          <w:tcPr>
            <w:tcW w:w="3260" w:type="dxa"/>
            <w:tcBorders>
              <w:top w:val="nil"/>
              <w:left w:val="nil"/>
              <w:bottom w:val="single" w:sz="4" w:space="0" w:color="A6A6A6"/>
              <w:right w:val="single" w:sz="4" w:space="0" w:color="A6A6A6"/>
            </w:tcBorders>
            <w:shd w:val="clear" w:color="000000" w:fill="002060"/>
            <w:vAlign w:val="center"/>
            <w:hideMark/>
          </w:tcPr>
          <w:p w14:paraId="0C6BD854" w14:textId="5B73576E" w:rsidR="00BC25B7" w:rsidRPr="00C9549D" w:rsidRDefault="00BC25B7" w:rsidP="00BC25B7">
            <w:pPr>
              <w:spacing w:line="240" w:lineRule="auto"/>
              <w:jc w:val="right"/>
              <w:rPr>
                <w:rFonts w:eastAsia="Times New Roman"/>
                <w:color w:val="FFFFFF"/>
                <w:sz w:val="22"/>
                <w:szCs w:val="22"/>
                <w:lang w:eastAsia="hr-HR"/>
              </w:rPr>
            </w:pPr>
            <w:r w:rsidRPr="00544FED">
              <w:rPr>
                <w:color w:val="FFFFFF" w:themeColor="background1"/>
                <w:sz w:val="22"/>
                <w:szCs w:val="22"/>
              </w:rPr>
              <w:t xml:space="preserve">225.258.441,51 € </w:t>
            </w:r>
          </w:p>
        </w:tc>
      </w:tr>
    </w:tbl>
    <w:p w14:paraId="0AFC5730" w14:textId="77777777" w:rsidR="00961F2F" w:rsidRDefault="00961F2F" w:rsidP="005F2D2D">
      <w:pPr>
        <w:spacing w:before="120"/>
      </w:pPr>
    </w:p>
    <w:p w14:paraId="4CD43F56" w14:textId="19873FDA" w:rsidR="002E06B5" w:rsidRDefault="002E06B5" w:rsidP="005F2D2D">
      <w:pPr>
        <w:spacing w:before="120"/>
      </w:pPr>
      <w:r w:rsidRPr="002E06B5">
        <w:t>Realizirano je 139 ugovora vrijednosti 106,9 milijuna eura, od čega se 31 ugovor vrijednosti 89,9 milijuna eura (84 %) odnose na izvođenje radova, 104 ugovora vrijednosti 7 milijuna eura (7 %) se odnosi na ugovorene usluge, a 4 ugovora vrijednosti 9,9 milijuna eura (9 %) na ugovorenu robu.</w:t>
      </w:r>
    </w:p>
    <w:p w14:paraId="3F7FF8FE" w14:textId="77777777" w:rsidR="00220A3E" w:rsidRDefault="00220A3E" w:rsidP="005F2D2D">
      <w:pPr>
        <w:spacing w:before="120"/>
      </w:pPr>
    </w:p>
    <w:p w14:paraId="0A1410AA" w14:textId="4D178F95" w:rsidR="00367783" w:rsidRPr="00C9549D" w:rsidRDefault="00367783" w:rsidP="0050714E">
      <w:pPr>
        <w:spacing w:before="120"/>
        <w:rPr>
          <w:i/>
          <w:iCs/>
        </w:rPr>
      </w:pPr>
      <w:r w:rsidRPr="00C9549D">
        <w:rPr>
          <w:i/>
          <w:iCs/>
        </w:rPr>
        <w:t xml:space="preserve">Pregled </w:t>
      </w:r>
      <w:r w:rsidR="0050714E" w:rsidRPr="00C9549D">
        <w:rPr>
          <w:i/>
          <w:iCs/>
        </w:rPr>
        <w:t xml:space="preserve">potpisanih ugovora </w:t>
      </w:r>
      <w:r w:rsidR="00602167" w:rsidRPr="00602167">
        <w:rPr>
          <w:i/>
          <w:iCs/>
        </w:rPr>
        <w:t xml:space="preserve">od 1. siječnja do </w:t>
      </w:r>
      <w:r w:rsidR="008B7703">
        <w:rPr>
          <w:i/>
          <w:iCs/>
        </w:rPr>
        <w:t>3</w:t>
      </w:r>
      <w:r w:rsidR="00D85E2F">
        <w:rPr>
          <w:i/>
          <w:iCs/>
        </w:rPr>
        <w:t>1</w:t>
      </w:r>
      <w:r w:rsidR="008B7703">
        <w:rPr>
          <w:i/>
          <w:iCs/>
        </w:rPr>
        <w:t xml:space="preserve">. </w:t>
      </w:r>
      <w:r w:rsidR="00D85E2F">
        <w:rPr>
          <w:i/>
          <w:iCs/>
        </w:rPr>
        <w:t xml:space="preserve">prosinca </w:t>
      </w:r>
      <w:r w:rsidR="008B7703">
        <w:rPr>
          <w:i/>
          <w:iCs/>
        </w:rPr>
        <w:t>2023.</w:t>
      </w:r>
    </w:p>
    <w:tbl>
      <w:tblPr>
        <w:tblW w:w="9067" w:type="dxa"/>
        <w:tblLook w:val="04A0" w:firstRow="1" w:lastRow="0" w:firstColumn="1" w:lastColumn="0" w:noHBand="0" w:noVBand="1"/>
      </w:tblPr>
      <w:tblGrid>
        <w:gridCol w:w="2972"/>
        <w:gridCol w:w="1418"/>
        <w:gridCol w:w="1842"/>
        <w:gridCol w:w="2835"/>
      </w:tblGrid>
      <w:tr w:rsidR="00B0552B" w:rsidRPr="00C9549D" w14:paraId="625E496E" w14:textId="77777777" w:rsidTr="000A132C">
        <w:trPr>
          <w:trHeight w:val="567"/>
        </w:trPr>
        <w:tc>
          <w:tcPr>
            <w:tcW w:w="2972"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32F0F502" w14:textId="3D51C317" w:rsidR="00B0552B" w:rsidRPr="00C9549D" w:rsidRDefault="003C47F9" w:rsidP="00B0552B">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Vrsta ugovora</w:t>
            </w:r>
          </w:p>
        </w:tc>
        <w:tc>
          <w:tcPr>
            <w:tcW w:w="1418" w:type="dxa"/>
            <w:tcBorders>
              <w:top w:val="single" w:sz="4" w:space="0" w:color="A6A6A6"/>
              <w:left w:val="nil"/>
              <w:bottom w:val="single" w:sz="4" w:space="0" w:color="A6A6A6"/>
              <w:right w:val="single" w:sz="4" w:space="0" w:color="A6A6A6"/>
            </w:tcBorders>
            <w:shd w:val="clear" w:color="000000" w:fill="002060"/>
            <w:vAlign w:val="center"/>
            <w:hideMark/>
          </w:tcPr>
          <w:p w14:paraId="60F42790" w14:textId="77777777" w:rsidR="00B0552B" w:rsidRPr="00C9549D" w:rsidRDefault="00B0552B" w:rsidP="00B0552B">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ugovora</w:t>
            </w:r>
          </w:p>
        </w:tc>
        <w:tc>
          <w:tcPr>
            <w:tcW w:w="1842" w:type="dxa"/>
            <w:tcBorders>
              <w:top w:val="single" w:sz="4" w:space="0" w:color="A6A6A6"/>
              <w:left w:val="nil"/>
              <w:bottom w:val="single" w:sz="4" w:space="0" w:color="A6A6A6"/>
              <w:right w:val="single" w:sz="4" w:space="0" w:color="A6A6A6"/>
            </w:tcBorders>
            <w:shd w:val="clear" w:color="000000" w:fill="002060"/>
            <w:vAlign w:val="center"/>
            <w:hideMark/>
          </w:tcPr>
          <w:p w14:paraId="119EB75A" w14:textId="77777777" w:rsidR="00B0552B" w:rsidRPr="00C9549D" w:rsidRDefault="00B0552B" w:rsidP="00B0552B">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radova / usluga</w:t>
            </w:r>
          </w:p>
        </w:tc>
        <w:tc>
          <w:tcPr>
            <w:tcW w:w="2835" w:type="dxa"/>
            <w:tcBorders>
              <w:top w:val="single" w:sz="4" w:space="0" w:color="A6A6A6"/>
              <w:left w:val="nil"/>
              <w:bottom w:val="single" w:sz="4" w:space="0" w:color="A6A6A6"/>
              <w:right w:val="single" w:sz="4" w:space="0" w:color="A6A6A6"/>
            </w:tcBorders>
            <w:shd w:val="clear" w:color="000000" w:fill="002060"/>
            <w:vAlign w:val="center"/>
            <w:hideMark/>
          </w:tcPr>
          <w:p w14:paraId="10ECAABA" w14:textId="1BEC1CB3" w:rsidR="00B0552B" w:rsidRPr="00C9549D" w:rsidRDefault="00961F2F" w:rsidP="00B0552B">
            <w:pPr>
              <w:spacing w:line="240" w:lineRule="auto"/>
              <w:jc w:val="center"/>
              <w:rPr>
                <w:rFonts w:eastAsia="Times New Roman"/>
                <w:color w:val="FFFFFF"/>
                <w:sz w:val="22"/>
                <w:szCs w:val="22"/>
                <w:lang w:eastAsia="hr-HR"/>
              </w:rPr>
            </w:pPr>
            <w:r>
              <w:rPr>
                <w:rFonts w:eastAsia="Times New Roman"/>
                <w:color w:val="FFFFFF"/>
                <w:sz w:val="22"/>
                <w:szCs w:val="22"/>
                <w:lang w:eastAsia="hr-HR"/>
              </w:rPr>
              <w:t>Ugovoreni iznos</w:t>
            </w:r>
            <w:r w:rsidR="00B0552B" w:rsidRPr="00C9549D">
              <w:rPr>
                <w:rFonts w:eastAsia="Times New Roman"/>
                <w:color w:val="FFFFFF"/>
                <w:sz w:val="22"/>
                <w:szCs w:val="22"/>
                <w:lang w:eastAsia="hr-HR"/>
              </w:rPr>
              <w:br/>
              <w:t>(bez PDV-a)</w:t>
            </w:r>
          </w:p>
        </w:tc>
      </w:tr>
      <w:tr w:rsidR="0060262E" w:rsidRPr="00C9549D" w14:paraId="3962FE9E" w14:textId="77777777" w:rsidTr="000A132C">
        <w:trPr>
          <w:trHeight w:val="567"/>
        </w:trPr>
        <w:tc>
          <w:tcPr>
            <w:tcW w:w="2972" w:type="dxa"/>
            <w:tcBorders>
              <w:top w:val="nil"/>
              <w:left w:val="single" w:sz="4" w:space="0" w:color="A6A6A6"/>
              <w:bottom w:val="single" w:sz="4" w:space="0" w:color="A6A6A6"/>
              <w:right w:val="single" w:sz="4" w:space="0" w:color="A6A6A6"/>
            </w:tcBorders>
            <w:shd w:val="clear" w:color="auto" w:fill="auto"/>
            <w:vAlign w:val="center"/>
            <w:hideMark/>
          </w:tcPr>
          <w:p w14:paraId="5633F313" w14:textId="4C15C323" w:rsidR="0060262E" w:rsidRPr="00C9549D" w:rsidRDefault="0060262E" w:rsidP="0060262E">
            <w:pPr>
              <w:spacing w:line="240" w:lineRule="auto"/>
              <w:jc w:val="left"/>
              <w:rPr>
                <w:rFonts w:eastAsia="Times New Roman"/>
                <w:color w:val="000000"/>
                <w:sz w:val="22"/>
                <w:szCs w:val="22"/>
                <w:lang w:eastAsia="hr-HR"/>
              </w:rPr>
            </w:pPr>
            <w:r w:rsidRPr="00687A3E">
              <w:rPr>
                <w:rFonts w:eastAsia="Times New Roman"/>
                <w:color w:val="000000" w:themeColor="text1"/>
                <w:sz w:val="22"/>
                <w:szCs w:val="22"/>
                <w:lang w:eastAsia="hr-HR"/>
              </w:rPr>
              <w:t>Radovi</w:t>
            </w:r>
          </w:p>
        </w:tc>
        <w:tc>
          <w:tcPr>
            <w:tcW w:w="1418" w:type="dxa"/>
            <w:tcBorders>
              <w:top w:val="nil"/>
              <w:left w:val="nil"/>
              <w:bottom w:val="single" w:sz="4" w:space="0" w:color="A6A6A6"/>
              <w:right w:val="single" w:sz="4" w:space="0" w:color="A6A6A6"/>
            </w:tcBorders>
            <w:shd w:val="clear" w:color="auto" w:fill="auto"/>
            <w:vAlign w:val="center"/>
            <w:hideMark/>
          </w:tcPr>
          <w:p w14:paraId="2201123F" w14:textId="79EBF3D2" w:rsidR="0060262E" w:rsidRPr="00C9549D" w:rsidRDefault="0060262E" w:rsidP="0060262E">
            <w:pPr>
              <w:spacing w:line="240" w:lineRule="auto"/>
              <w:jc w:val="center"/>
              <w:rPr>
                <w:rFonts w:eastAsia="Times New Roman"/>
                <w:color w:val="000000"/>
                <w:sz w:val="22"/>
                <w:szCs w:val="22"/>
                <w:lang w:eastAsia="hr-HR"/>
              </w:rPr>
            </w:pPr>
            <w:r w:rsidRPr="00687A3E">
              <w:rPr>
                <w:rFonts w:eastAsia="Times New Roman"/>
                <w:color w:val="000000" w:themeColor="text1"/>
                <w:sz w:val="22"/>
                <w:szCs w:val="22"/>
                <w:lang w:eastAsia="hr-HR"/>
              </w:rPr>
              <w:t>31</w:t>
            </w:r>
          </w:p>
        </w:tc>
        <w:tc>
          <w:tcPr>
            <w:tcW w:w="1842" w:type="dxa"/>
            <w:tcBorders>
              <w:top w:val="nil"/>
              <w:left w:val="nil"/>
              <w:bottom w:val="single" w:sz="4" w:space="0" w:color="A6A6A6"/>
              <w:right w:val="single" w:sz="4" w:space="0" w:color="A6A6A6"/>
            </w:tcBorders>
            <w:shd w:val="clear" w:color="auto" w:fill="auto"/>
            <w:vAlign w:val="center"/>
            <w:hideMark/>
          </w:tcPr>
          <w:p w14:paraId="1E25B568" w14:textId="6BF5C4E2" w:rsidR="0060262E" w:rsidRPr="00C9549D" w:rsidRDefault="0060262E" w:rsidP="0060262E">
            <w:pPr>
              <w:spacing w:line="240" w:lineRule="auto"/>
              <w:jc w:val="center"/>
              <w:rPr>
                <w:rFonts w:eastAsia="Times New Roman"/>
                <w:color w:val="000000"/>
                <w:sz w:val="22"/>
                <w:szCs w:val="22"/>
                <w:lang w:eastAsia="hr-HR"/>
              </w:rPr>
            </w:pPr>
            <w:r w:rsidRPr="00687A3E">
              <w:rPr>
                <w:rFonts w:eastAsia="Times New Roman"/>
                <w:color w:val="000000" w:themeColor="text1"/>
                <w:sz w:val="22"/>
                <w:szCs w:val="22"/>
                <w:lang w:eastAsia="hr-HR"/>
              </w:rPr>
              <w:t>1.128</w:t>
            </w:r>
          </w:p>
        </w:tc>
        <w:tc>
          <w:tcPr>
            <w:tcW w:w="2835" w:type="dxa"/>
            <w:tcBorders>
              <w:top w:val="nil"/>
              <w:left w:val="nil"/>
              <w:bottom w:val="single" w:sz="4" w:space="0" w:color="A6A6A6"/>
              <w:right w:val="single" w:sz="4" w:space="0" w:color="A6A6A6"/>
            </w:tcBorders>
            <w:shd w:val="clear" w:color="auto" w:fill="auto"/>
            <w:vAlign w:val="center"/>
            <w:hideMark/>
          </w:tcPr>
          <w:p w14:paraId="27AD2B4D" w14:textId="4E8F0D35" w:rsidR="0060262E" w:rsidRPr="00C9549D" w:rsidRDefault="0060262E" w:rsidP="000A132C">
            <w:pPr>
              <w:spacing w:line="240" w:lineRule="auto"/>
              <w:jc w:val="right"/>
              <w:rPr>
                <w:rFonts w:eastAsia="Times New Roman"/>
                <w:color w:val="000000"/>
                <w:sz w:val="22"/>
                <w:szCs w:val="22"/>
                <w:lang w:eastAsia="hr-HR"/>
              </w:rPr>
            </w:pPr>
            <w:r w:rsidRPr="00687A3E">
              <w:rPr>
                <w:rFonts w:eastAsia="Times New Roman"/>
                <w:color w:val="000000" w:themeColor="text1"/>
                <w:sz w:val="22"/>
                <w:szCs w:val="22"/>
                <w:lang w:eastAsia="hr-HR"/>
              </w:rPr>
              <w:t xml:space="preserve">89.923.105,59 </w:t>
            </w:r>
            <w:r w:rsidRPr="00687A3E">
              <w:rPr>
                <w:color w:val="000000" w:themeColor="text1"/>
                <w:sz w:val="22"/>
                <w:szCs w:val="22"/>
              </w:rPr>
              <w:t>€</w:t>
            </w:r>
          </w:p>
        </w:tc>
      </w:tr>
      <w:tr w:rsidR="0060262E" w:rsidRPr="00C9549D" w14:paraId="1717ACCF" w14:textId="77777777" w:rsidTr="000A132C">
        <w:trPr>
          <w:trHeight w:val="567"/>
        </w:trPr>
        <w:tc>
          <w:tcPr>
            <w:tcW w:w="2972" w:type="dxa"/>
            <w:tcBorders>
              <w:top w:val="nil"/>
              <w:left w:val="single" w:sz="4" w:space="0" w:color="A6A6A6"/>
              <w:bottom w:val="single" w:sz="4" w:space="0" w:color="A6A6A6"/>
              <w:right w:val="single" w:sz="4" w:space="0" w:color="A6A6A6"/>
            </w:tcBorders>
            <w:shd w:val="clear" w:color="auto" w:fill="auto"/>
            <w:vAlign w:val="center"/>
            <w:hideMark/>
          </w:tcPr>
          <w:p w14:paraId="25CEBE7A" w14:textId="60FA94E0" w:rsidR="0060262E" w:rsidRPr="00C9549D" w:rsidRDefault="0060262E" w:rsidP="0060262E">
            <w:pPr>
              <w:spacing w:line="240" w:lineRule="auto"/>
              <w:jc w:val="left"/>
              <w:rPr>
                <w:rFonts w:eastAsia="Times New Roman"/>
                <w:color w:val="000000"/>
                <w:sz w:val="22"/>
                <w:szCs w:val="22"/>
                <w:lang w:eastAsia="hr-HR"/>
              </w:rPr>
            </w:pPr>
            <w:r w:rsidRPr="00687A3E">
              <w:rPr>
                <w:rFonts w:eastAsia="Times New Roman"/>
                <w:color w:val="000000" w:themeColor="text1"/>
                <w:sz w:val="22"/>
                <w:szCs w:val="22"/>
                <w:lang w:eastAsia="hr-HR"/>
              </w:rPr>
              <w:t>Usluge</w:t>
            </w:r>
          </w:p>
        </w:tc>
        <w:tc>
          <w:tcPr>
            <w:tcW w:w="1418" w:type="dxa"/>
            <w:tcBorders>
              <w:top w:val="nil"/>
              <w:left w:val="nil"/>
              <w:bottom w:val="single" w:sz="4" w:space="0" w:color="A6A6A6"/>
              <w:right w:val="single" w:sz="4" w:space="0" w:color="A6A6A6"/>
            </w:tcBorders>
            <w:shd w:val="clear" w:color="auto" w:fill="auto"/>
            <w:vAlign w:val="center"/>
            <w:hideMark/>
          </w:tcPr>
          <w:p w14:paraId="076E2850" w14:textId="082E416D" w:rsidR="0060262E" w:rsidRPr="00C9549D" w:rsidRDefault="0060262E" w:rsidP="0060262E">
            <w:pPr>
              <w:spacing w:line="240" w:lineRule="auto"/>
              <w:jc w:val="center"/>
              <w:rPr>
                <w:rFonts w:eastAsia="Times New Roman"/>
                <w:color w:val="000000"/>
                <w:sz w:val="22"/>
                <w:szCs w:val="22"/>
                <w:lang w:eastAsia="hr-HR"/>
              </w:rPr>
            </w:pPr>
            <w:r w:rsidRPr="00687A3E">
              <w:rPr>
                <w:rFonts w:eastAsia="Times New Roman"/>
                <w:color w:val="000000" w:themeColor="text1"/>
                <w:sz w:val="22"/>
                <w:szCs w:val="22"/>
                <w:lang w:eastAsia="hr-HR"/>
              </w:rPr>
              <w:t>104</w:t>
            </w:r>
          </w:p>
        </w:tc>
        <w:tc>
          <w:tcPr>
            <w:tcW w:w="1842" w:type="dxa"/>
            <w:tcBorders>
              <w:top w:val="nil"/>
              <w:left w:val="nil"/>
              <w:bottom w:val="single" w:sz="4" w:space="0" w:color="A6A6A6"/>
              <w:right w:val="single" w:sz="4" w:space="0" w:color="A6A6A6"/>
            </w:tcBorders>
            <w:shd w:val="clear" w:color="auto" w:fill="auto"/>
            <w:vAlign w:val="center"/>
            <w:hideMark/>
          </w:tcPr>
          <w:p w14:paraId="280D3E4F" w14:textId="7190A339" w:rsidR="0060262E" w:rsidRPr="00C9549D" w:rsidRDefault="0060262E" w:rsidP="0060262E">
            <w:pPr>
              <w:spacing w:line="240" w:lineRule="auto"/>
              <w:jc w:val="center"/>
              <w:rPr>
                <w:rFonts w:eastAsia="Times New Roman"/>
                <w:color w:val="000000"/>
                <w:sz w:val="22"/>
                <w:szCs w:val="22"/>
                <w:lang w:eastAsia="hr-HR"/>
              </w:rPr>
            </w:pPr>
            <w:r w:rsidRPr="00687A3E">
              <w:rPr>
                <w:rFonts w:eastAsia="Times New Roman"/>
                <w:color w:val="000000" w:themeColor="text1"/>
                <w:sz w:val="22"/>
                <w:szCs w:val="22"/>
                <w:lang w:eastAsia="hr-HR"/>
              </w:rPr>
              <w:t>4.687</w:t>
            </w:r>
          </w:p>
        </w:tc>
        <w:tc>
          <w:tcPr>
            <w:tcW w:w="2835" w:type="dxa"/>
            <w:tcBorders>
              <w:top w:val="nil"/>
              <w:left w:val="nil"/>
              <w:bottom w:val="single" w:sz="4" w:space="0" w:color="A6A6A6"/>
              <w:right w:val="single" w:sz="4" w:space="0" w:color="A6A6A6"/>
            </w:tcBorders>
            <w:shd w:val="clear" w:color="auto" w:fill="auto"/>
            <w:vAlign w:val="center"/>
            <w:hideMark/>
          </w:tcPr>
          <w:p w14:paraId="1F1C2DD9" w14:textId="54D2BD7D" w:rsidR="0060262E" w:rsidRPr="00C9549D" w:rsidRDefault="0060262E" w:rsidP="000A132C">
            <w:pPr>
              <w:spacing w:line="240" w:lineRule="auto"/>
              <w:jc w:val="right"/>
              <w:rPr>
                <w:rFonts w:eastAsia="Times New Roman"/>
                <w:color w:val="000000"/>
                <w:sz w:val="22"/>
                <w:szCs w:val="22"/>
                <w:lang w:eastAsia="hr-HR"/>
              </w:rPr>
            </w:pPr>
            <w:r w:rsidRPr="00687A3E">
              <w:rPr>
                <w:rFonts w:eastAsia="Times New Roman"/>
                <w:color w:val="000000" w:themeColor="text1"/>
                <w:sz w:val="22"/>
                <w:szCs w:val="22"/>
                <w:lang w:eastAsia="hr-HR"/>
              </w:rPr>
              <w:t xml:space="preserve">7.012.242,95 </w:t>
            </w:r>
            <w:r w:rsidRPr="00687A3E">
              <w:rPr>
                <w:color w:val="000000" w:themeColor="text1"/>
                <w:sz w:val="22"/>
                <w:szCs w:val="22"/>
              </w:rPr>
              <w:t>€</w:t>
            </w:r>
          </w:p>
        </w:tc>
      </w:tr>
      <w:tr w:rsidR="0060262E" w:rsidRPr="00C9549D" w14:paraId="09B77455" w14:textId="77777777" w:rsidTr="00A3220E">
        <w:trPr>
          <w:trHeight w:val="567"/>
        </w:trPr>
        <w:tc>
          <w:tcPr>
            <w:tcW w:w="2972" w:type="dxa"/>
            <w:tcBorders>
              <w:top w:val="nil"/>
              <w:left w:val="single" w:sz="4" w:space="0" w:color="A6A6A6"/>
              <w:bottom w:val="single" w:sz="4" w:space="0" w:color="A6A6A6"/>
              <w:right w:val="single" w:sz="4" w:space="0" w:color="A6A6A6"/>
            </w:tcBorders>
            <w:shd w:val="clear" w:color="auto" w:fill="auto"/>
            <w:vAlign w:val="center"/>
          </w:tcPr>
          <w:p w14:paraId="6B8EA325" w14:textId="41F241D0" w:rsidR="0060262E" w:rsidRPr="00C9549D" w:rsidRDefault="0060262E" w:rsidP="0060262E">
            <w:pPr>
              <w:spacing w:line="240" w:lineRule="auto"/>
              <w:jc w:val="left"/>
              <w:rPr>
                <w:rFonts w:eastAsia="Times New Roman"/>
                <w:color w:val="000000"/>
                <w:sz w:val="22"/>
                <w:szCs w:val="22"/>
                <w:lang w:eastAsia="hr-HR"/>
              </w:rPr>
            </w:pPr>
            <w:r w:rsidRPr="00687A3E">
              <w:rPr>
                <w:rFonts w:eastAsia="Times New Roman"/>
                <w:color w:val="000000" w:themeColor="text1"/>
                <w:sz w:val="22"/>
                <w:szCs w:val="22"/>
                <w:lang w:eastAsia="hr-HR"/>
              </w:rPr>
              <w:t>Roba</w:t>
            </w:r>
          </w:p>
        </w:tc>
        <w:tc>
          <w:tcPr>
            <w:tcW w:w="1418" w:type="dxa"/>
            <w:tcBorders>
              <w:top w:val="nil"/>
              <w:left w:val="nil"/>
              <w:bottom w:val="single" w:sz="4" w:space="0" w:color="A6A6A6"/>
              <w:right w:val="single" w:sz="4" w:space="0" w:color="A6A6A6"/>
            </w:tcBorders>
            <w:shd w:val="clear" w:color="auto" w:fill="auto"/>
            <w:vAlign w:val="center"/>
          </w:tcPr>
          <w:p w14:paraId="5A15AAE4" w14:textId="05D3924C" w:rsidR="0060262E" w:rsidRDefault="0060262E" w:rsidP="0060262E">
            <w:pPr>
              <w:spacing w:line="240" w:lineRule="auto"/>
              <w:jc w:val="center"/>
              <w:rPr>
                <w:color w:val="000000"/>
                <w:sz w:val="22"/>
                <w:szCs w:val="22"/>
              </w:rPr>
            </w:pPr>
            <w:r w:rsidRPr="00687A3E">
              <w:rPr>
                <w:rFonts w:eastAsia="Times New Roman"/>
                <w:color w:val="000000" w:themeColor="text1"/>
                <w:sz w:val="22"/>
                <w:szCs w:val="22"/>
                <w:lang w:eastAsia="hr-HR"/>
              </w:rPr>
              <w:t>4</w:t>
            </w:r>
          </w:p>
        </w:tc>
        <w:tc>
          <w:tcPr>
            <w:tcW w:w="1842" w:type="dxa"/>
            <w:tcBorders>
              <w:top w:val="nil"/>
              <w:left w:val="nil"/>
              <w:bottom w:val="single" w:sz="4" w:space="0" w:color="A6A6A6"/>
              <w:right w:val="single" w:sz="4" w:space="0" w:color="A6A6A6"/>
            </w:tcBorders>
            <w:shd w:val="clear" w:color="auto" w:fill="auto"/>
            <w:vAlign w:val="center"/>
          </w:tcPr>
          <w:p w14:paraId="0C49CEC3" w14:textId="20A016E6" w:rsidR="0060262E" w:rsidRDefault="0060262E" w:rsidP="0060262E">
            <w:pPr>
              <w:spacing w:line="240" w:lineRule="auto"/>
              <w:jc w:val="center"/>
              <w:rPr>
                <w:color w:val="000000"/>
                <w:sz w:val="22"/>
                <w:szCs w:val="22"/>
              </w:rPr>
            </w:pPr>
            <w:r w:rsidRPr="00687A3E">
              <w:rPr>
                <w:rFonts w:eastAsia="Times New Roman"/>
                <w:color w:val="000000" w:themeColor="text1"/>
                <w:sz w:val="22"/>
                <w:szCs w:val="22"/>
                <w:lang w:eastAsia="hr-HR"/>
              </w:rPr>
              <w:t>532</w:t>
            </w:r>
          </w:p>
        </w:tc>
        <w:tc>
          <w:tcPr>
            <w:tcW w:w="2835" w:type="dxa"/>
            <w:tcBorders>
              <w:top w:val="nil"/>
              <w:left w:val="nil"/>
              <w:bottom w:val="single" w:sz="4" w:space="0" w:color="A6A6A6"/>
              <w:right w:val="single" w:sz="4" w:space="0" w:color="A6A6A6"/>
            </w:tcBorders>
            <w:shd w:val="clear" w:color="auto" w:fill="auto"/>
            <w:vAlign w:val="center"/>
          </w:tcPr>
          <w:p w14:paraId="068DD1D4" w14:textId="389B2C41" w:rsidR="0060262E" w:rsidRDefault="0060262E" w:rsidP="000A132C">
            <w:pPr>
              <w:spacing w:line="240" w:lineRule="auto"/>
              <w:jc w:val="right"/>
              <w:rPr>
                <w:color w:val="000000"/>
                <w:sz w:val="22"/>
                <w:szCs w:val="22"/>
              </w:rPr>
            </w:pPr>
            <w:r w:rsidRPr="00687A3E">
              <w:rPr>
                <w:rFonts w:eastAsia="Times New Roman"/>
                <w:color w:val="000000" w:themeColor="text1"/>
                <w:sz w:val="22"/>
                <w:szCs w:val="22"/>
                <w:lang w:eastAsia="hr-HR"/>
              </w:rPr>
              <w:t xml:space="preserve">9.975.804,00 </w:t>
            </w:r>
            <w:r w:rsidRPr="00687A3E">
              <w:rPr>
                <w:color w:val="000000" w:themeColor="text1"/>
                <w:sz w:val="22"/>
                <w:szCs w:val="22"/>
              </w:rPr>
              <w:t>€</w:t>
            </w:r>
          </w:p>
        </w:tc>
      </w:tr>
      <w:tr w:rsidR="00961F2F" w:rsidRPr="00C9549D" w14:paraId="2DA1E21A" w14:textId="77777777" w:rsidTr="000A132C">
        <w:trPr>
          <w:trHeight w:val="567"/>
        </w:trPr>
        <w:tc>
          <w:tcPr>
            <w:tcW w:w="2972" w:type="dxa"/>
            <w:tcBorders>
              <w:top w:val="nil"/>
              <w:left w:val="single" w:sz="4" w:space="0" w:color="A6A6A6"/>
              <w:bottom w:val="single" w:sz="4" w:space="0" w:color="A6A6A6"/>
              <w:right w:val="single" w:sz="4" w:space="0" w:color="A6A6A6"/>
            </w:tcBorders>
            <w:shd w:val="clear" w:color="000000" w:fill="002060"/>
            <w:vAlign w:val="center"/>
            <w:hideMark/>
          </w:tcPr>
          <w:p w14:paraId="024D45EA" w14:textId="33BC40F3" w:rsidR="00961F2F" w:rsidRPr="00C9549D" w:rsidRDefault="00961F2F" w:rsidP="00961F2F">
            <w:pPr>
              <w:spacing w:line="240" w:lineRule="auto"/>
              <w:jc w:val="left"/>
              <w:rPr>
                <w:rFonts w:eastAsia="Times New Roman"/>
                <w:color w:val="FFFFFF"/>
                <w:sz w:val="22"/>
                <w:szCs w:val="22"/>
                <w:lang w:eastAsia="hr-HR"/>
              </w:rPr>
            </w:pPr>
            <w:r w:rsidRPr="00B958EA">
              <w:rPr>
                <w:rFonts w:eastAsia="Times New Roman"/>
                <w:color w:val="FFFFFF" w:themeColor="background1"/>
                <w:sz w:val="22"/>
                <w:szCs w:val="22"/>
                <w:lang w:eastAsia="hr-HR"/>
              </w:rPr>
              <w:t>Ukupno</w:t>
            </w:r>
          </w:p>
        </w:tc>
        <w:tc>
          <w:tcPr>
            <w:tcW w:w="1418" w:type="dxa"/>
            <w:tcBorders>
              <w:top w:val="nil"/>
              <w:left w:val="nil"/>
              <w:bottom w:val="single" w:sz="4" w:space="0" w:color="A6A6A6"/>
              <w:right w:val="single" w:sz="4" w:space="0" w:color="A6A6A6"/>
            </w:tcBorders>
            <w:shd w:val="clear" w:color="000000" w:fill="002060"/>
            <w:vAlign w:val="center"/>
            <w:hideMark/>
          </w:tcPr>
          <w:p w14:paraId="697FC4C6" w14:textId="58146A44" w:rsidR="00961F2F" w:rsidRPr="00C9549D" w:rsidRDefault="00961F2F" w:rsidP="00961F2F">
            <w:pPr>
              <w:spacing w:line="240" w:lineRule="auto"/>
              <w:jc w:val="center"/>
              <w:rPr>
                <w:rFonts w:eastAsia="Times New Roman"/>
                <w:color w:val="FFFFFF"/>
                <w:sz w:val="22"/>
                <w:szCs w:val="22"/>
                <w:lang w:eastAsia="hr-HR"/>
              </w:rPr>
            </w:pPr>
            <w:r w:rsidRPr="00B958EA">
              <w:rPr>
                <w:rFonts w:eastAsia="Times New Roman"/>
                <w:color w:val="FFFFFF" w:themeColor="background1"/>
                <w:sz w:val="22"/>
                <w:szCs w:val="22"/>
                <w:lang w:eastAsia="hr-HR"/>
              </w:rPr>
              <w:t>139</w:t>
            </w:r>
          </w:p>
        </w:tc>
        <w:tc>
          <w:tcPr>
            <w:tcW w:w="1842" w:type="dxa"/>
            <w:tcBorders>
              <w:top w:val="nil"/>
              <w:left w:val="nil"/>
              <w:bottom w:val="single" w:sz="4" w:space="0" w:color="A6A6A6"/>
              <w:right w:val="single" w:sz="4" w:space="0" w:color="A6A6A6"/>
            </w:tcBorders>
            <w:shd w:val="clear" w:color="000000" w:fill="002060"/>
            <w:vAlign w:val="center"/>
            <w:hideMark/>
          </w:tcPr>
          <w:p w14:paraId="65ACC48F" w14:textId="223D9131" w:rsidR="00961F2F" w:rsidRPr="00C9549D" w:rsidRDefault="00961F2F" w:rsidP="00961F2F">
            <w:pPr>
              <w:spacing w:line="240" w:lineRule="auto"/>
              <w:jc w:val="center"/>
              <w:rPr>
                <w:rFonts w:eastAsia="Times New Roman"/>
                <w:color w:val="FFFFFF"/>
                <w:sz w:val="22"/>
                <w:szCs w:val="22"/>
                <w:lang w:eastAsia="hr-HR"/>
              </w:rPr>
            </w:pPr>
            <w:r w:rsidRPr="00B958EA">
              <w:rPr>
                <w:rFonts w:eastAsia="Times New Roman"/>
                <w:color w:val="FFFFFF" w:themeColor="background1"/>
                <w:sz w:val="22"/>
                <w:szCs w:val="22"/>
                <w:lang w:eastAsia="hr-HR"/>
              </w:rPr>
              <w:t>6.347</w:t>
            </w:r>
          </w:p>
        </w:tc>
        <w:tc>
          <w:tcPr>
            <w:tcW w:w="2835" w:type="dxa"/>
            <w:tcBorders>
              <w:top w:val="nil"/>
              <w:left w:val="nil"/>
              <w:bottom w:val="single" w:sz="4" w:space="0" w:color="A6A6A6"/>
              <w:right w:val="single" w:sz="4" w:space="0" w:color="A6A6A6"/>
            </w:tcBorders>
            <w:shd w:val="clear" w:color="000000" w:fill="002060"/>
            <w:vAlign w:val="center"/>
            <w:hideMark/>
          </w:tcPr>
          <w:p w14:paraId="2FFD909F" w14:textId="2EF7BA27" w:rsidR="00961F2F" w:rsidRPr="00C9549D" w:rsidRDefault="00961F2F" w:rsidP="000A132C">
            <w:pPr>
              <w:spacing w:line="240" w:lineRule="auto"/>
              <w:jc w:val="right"/>
              <w:rPr>
                <w:rFonts w:eastAsia="Times New Roman"/>
                <w:color w:val="FFFFFF"/>
                <w:sz w:val="22"/>
                <w:szCs w:val="22"/>
                <w:lang w:eastAsia="hr-HR"/>
              </w:rPr>
            </w:pPr>
            <w:r w:rsidRPr="00B958EA">
              <w:rPr>
                <w:rFonts w:eastAsia="Times New Roman"/>
                <w:color w:val="FFFFFF" w:themeColor="background1"/>
                <w:sz w:val="22"/>
                <w:szCs w:val="22"/>
                <w:lang w:eastAsia="hr-HR"/>
              </w:rPr>
              <w:t xml:space="preserve">106.911.152,54 </w:t>
            </w:r>
            <w:r w:rsidRPr="00B958EA">
              <w:rPr>
                <w:color w:val="FFFFFF" w:themeColor="background1"/>
                <w:sz w:val="22"/>
                <w:szCs w:val="22"/>
              </w:rPr>
              <w:t>€</w:t>
            </w:r>
          </w:p>
        </w:tc>
      </w:tr>
    </w:tbl>
    <w:p w14:paraId="64DA56EE" w14:textId="77777777" w:rsidR="00220A3E" w:rsidRDefault="00220A3E" w:rsidP="00694DE3">
      <w:pPr>
        <w:spacing w:before="120"/>
      </w:pPr>
    </w:p>
    <w:p w14:paraId="0D4F51B4" w14:textId="518E8D94" w:rsidR="00740B97" w:rsidRDefault="00A61E06" w:rsidP="00694DE3">
      <w:pPr>
        <w:spacing w:before="120"/>
      </w:pPr>
      <w:r w:rsidRPr="00A61E06">
        <w:t>Na dan 31. prosinca 2023. je u pripremi za ugovaranje odnosno u fazi donesene odluke o odabiru bila su 22 postupka procijenjene vrijednosti 24,7 milijuna eura, od čega se 12 postupka procijenjene vrijednosti 19,5 milijuna eura (79 %) odnosi na izvođenje radova, 9 postupaka vrijednosti 3,6 milijuna eura (15 %) na usluge, te 1 postupak procijenjene vrijednosti od 1,5 milijuna eura (6 %) na robu</w:t>
      </w:r>
      <w:r w:rsidR="00FB03B9">
        <w:t>.</w:t>
      </w:r>
    </w:p>
    <w:p w14:paraId="5A309CAA" w14:textId="77777777" w:rsidR="00CA734A" w:rsidRDefault="00CA734A" w:rsidP="00694DE3">
      <w:pPr>
        <w:spacing w:before="120"/>
      </w:pPr>
    </w:p>
    <w:p w14:paraId="42F43D02" w14:textId="77777777" w:rsidR="00CA734A" w:rsidRDefault="00CA734A" w:rsidP="00694DE3">
      <w:pPr>
        <w:spacing w:before="120"/>
      </w:pPr>
    </w:p>
    <w:p w14:paraId="48A4FBFC" w14:textId="77777777" w:rsidR="00CA734A" w:rsidRDefault="00CA734A" w:rsidP="00694DE3">
      <w:pPr>
        <w:spacing w:before="120"/>
      </w:pPr>
    </w:p>
    <w:p w14:paraId="661D62A2" w14:textId="769903A3" w:rsidR="00694DE3" w:rsidRPr="00C9549D" w:rsidRDefault="00740B97" w:rsidP="00694DE3">
      <w:pPr>
        <w:spacing w:before="120"/>
        <w:rPr>
          <w:i/>
          <w:iCs/>
        </w:rPr>
      </w:pPr>
      <w:r w:rsidRPr="00740B97">
        <w:rPr>
          <w:i/>
          <w:iCs/>
        </w:rPr>
        <w:lastRenderedPageBreak/>
        <w:t xml:space="preserve">Pregled donesenih Odluka o odabiru </w:t>
      </w:r>
    </w:p>
    <w:tbl>
      <w:tblPr>
        <w:tblW w:w="9067" w:type="dxa"/>
        <w:tblLook w:val="04A0" w:firstRow="1" w:lastRow="0" w:firstColumn="1" w:lastColumn="0" w:noHBand="0" w:noVBand="1"/>
      </w:tblPr>
      <w:tblGrid>
        <w:gridCol w:w="2972"/>
        <w:gridCol w:w="1418"/>
        <w:gridCol w:w="1701"/>
        <w:gridCol w:w="2976"/>
      </w:tblGrid>
      <w:tr w:rsidR="00694DE3" w:rsidRPr="00C9549D" w14:paraId="39F62ACB" w14:textId="77777777" w:rsidTr="00E914FC">
        <w:trPr>
          <w:trHeight w:val="624"/>
        </w:trPr>
        <w:tc>
          <w:tcPr>
            <w:tcW w:w="2972"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105DD405" w14:textId="77777777" w:rsidR="00694DE3" w:rsidRPr="00C9549D" w:rsidRDefault="00694DE3"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Vrsta ugovora</w:t>
            </w:r>
          </w:p>
        </w:tc>
        <w:tc>
          <w:tcPr>
            <w:tcW w:w="1418" w:type="dxa"/>
            <w:tcBorders>
              <w:top w:val="single" w:sz="4" w:space="0" w:color="A6A6A6"/>
              <w:left w:val="nil"/>
              <w:bottom w:val="single" w:sz="4" w:space="0" w:color="A6A6A6"/>
              <w:right w:val="single" w:sz="4" w:space="0" w:color="A6A6A6"/>
            </w:tcBorders>
            <w:shd w:val="clear" w:color="000000" w:fill="002060"/>
            <w:vAlign w:val="center"/>
            <w:hideMark/>
          </w:tcPr>
          <w:p w14:paraId="7A9B7E42" w14:textId="77777777" w:rsidR="00694DE3" w:rsidRPr="00C9549D" w:rsidRDefault="00694DE3"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ugovora</w:t>
            </w:r>
          </w:p>
        </w:tc>
        <w:tc>
          <w:tcPr>
            <w:tcW w:w="1701" w:type="dxa"/>
            <w:tcBorders>
              <w:top w:val="single" w:sz="4" w:space="0" w:color="A6A6A6"/>
              <w:left w:val="nil"/>
              <w:bottom w:val="single" w:sz="4" w:space="0" w:color="A6A6A6"/>
              <w:right w:val="single" w:sz="4" w:space="0" w:color="A6A6A6"/>
            </w:tcBorders>
            <w:shd w:val="clear" w:color="000000" w:fill="002060"/>
            <w:vAlign w:val="center"/>
            <w:hideMark/>
          </w:tcPr>
          <w:p w14:paraId="3A479DE4" w14:textId="672D7894" w:rsidR="00694DE3" w:rsidRPr="00C9549D" w:rsidRDefault="004C0ACA"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radova / usluga</w:t>
            </w:r>
            <w:r>
              <w:rPr>
                <w:rFonts w:eastAsia="Times New Roman"/>
                <w:color w:val="FFFFFF"/>
                <w:sz w:val="22"/>
                <w:szCs w:val="22"/>
                <w:lang w:eastAsia="hr-HR"/>
              </w:rPr>
              <w:t>/ robe</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68810DAA" w14:textId="3177231C" w:rsidR="00694DE3" w:rsidRPr="00C9549D" w:rsidRDefault="002C2EFD" w:rsidP="00861662">
            <w:pPr>
              <w:spacing w:line="240" w:lineRule="auto"/>
              <w:jc w:val="center"/>
              <w:rPr>
                <w:rFonts w:eastAsia="Times New Roman"/>
                <w:color w:val="FFFFFF"/>
                <w:sz w:val="22"/>
                <w:szCs w:val="22"/>
                <w:lang w:eastAsia="hr-HR"/>
              </w:rPr>
            </w:pPr>
            <w:r>
              <w:rPr>
                <w:rFonts w:eastAsia="Times New Roman"/>
                <w:color w:val="FFFFFF"/>
                <w:sz w:val="22"/>
                <w:szCs w:val="22"/>
                <w:lang w:eastAsia="hr-HR"/>
              </w:rPr>
              <w:t>Procijenjena vrijednost nabave</w:t>
            </w:r>
            <w:r w:rsidRPr="00C9549D">
              <w:rPr>
                <w:rFonts w:eastAsia="Times New Roman"/>
                <w:color w:val="FFFFFF"/>
                <w:sz w:val="22"/>
                <w:szCs w:val="22"/>
                <w:lang w:eastAsia="hr-HR"/>
              </w:rPr>
              <w:br/>
              <w:t>(bez PDV-a)</w:t>
            </w:r>
          </w:p>
        </w:tc>
      </w:tr>
      <w:tr w:rsidR="00FB21E0" w:rsidRPr="00C9549D" w14:paraId="19622DE5"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auto" w:fill="auto"/>
            <w:vAlign w:val="center"/>
            <w:hideMark/>
          </w:tcPr>
          <w:p w14:paraId="33D48723" w14:textId="5677A30D" w:rsidR="00FB21E0" w:rsidRPr="000A132C" w:rsidRDefault="00FB21E0" w:rsidP="00FB21E0">
            <w:pPr>
              <w:spacing w:line="240" w:lineRule="auto"/>
              <w:jc w:val="left"/>
              <w:rPr>
                <w:rFonts w:eastAsia="Times New Roman"/>
                <w:color w:val="000000" w:themeColor="text1"/>
                <w:sz w:val="22"/>
                <w:szCs w:val="22"/>
                <w:lang w:eastAsia="hr-HR"/>
              </w:rPr>
            </w:pPr>
            <w:r w:rsidRPr="000A132C">
              <w:rPr>
                <w:rFonts w:eastAsia="Times New Roman"/>
                <w:color w:val="000000" w:themeColor="text1"/>
                <w:sz w:val="22"/>
                <w:szCs w:val="22"/>
                <w:lang w:eastAsia="hr-HR"/>
              </w:rPr>
              <w:t>Radovi</w:t>
            </w:r>
          </w:p>
        </w:tc>
        <w:tc>
          <w:tcPr>
            <w:tcW w:w="1418" w:type="dxa"/>
            <w:tcBorders>
              <w:top w:val="nil"/>
              <w:left w:val="nil"/>
              <w:bottom w:val="single" w:sz="4" w:space="0" w:color="A6A6A6"/>
              <w:right w:val="single" w:sz="4" w:space="0" w:color="A6A6A6"/>
            </w:tcBorders>
            <w:shd w:val="clear" w:color="auto" w:fill="auto"/>
            <w:vAlign w:val="center"/>
            <w:hideMark/>
          </w:tcPr>
          <w:p w14:paraId="7B5117F0" w14:textId="46B70908" w:rsidR="00FB21E0" w:rsidRPr="000A132C" w:rsidRDefault="00FB21E0" w:rsidP="00FB21E0">
            <w:pPr>
              <w:spacing w:line="240" w:lineRule="auto"/>
              <w:jc w:val="center"/>
              <w:rPr>
                <w:rFonts w:eastAsia="Times New Roman"/>
                <w:color w:val="000000" w:themeColor="text1"/>
                <w:sz w:val="22"/>
                <w:szCs w:val="22"/>
                <w:lang w:eastAsia="hr-HR"/>
              </w:rPr>
            </w:pPr>
            <w:r w:rsidRPr="000A132C">
              <w:rPr>
                <w:rFonts w:eastAsia="Times New Roman"/>
                <w:color w:val="000000" w:themeColor="text1"/>
                <w:sz w:val="22"/>
                <w:szCs w:val="22"/>
              </w:rPr>
              <w:t>12</w:t>
            </w:r>
          </w:p>
        </w:tc>
        <w:tc>
          <w:tcPr>
            <w:tcW w:w="1701" w:type="dxa"/>
            <w:tcBorders>
              <w:top w:val="nil"/>
              <w:left w:val="nil"/>
              <w:bottom w:val="single" w:sz="4" w:space="0" w:color="A6A6A6"/>
              <w:right w:val="single" w:sz="4" w:space="0" w:color="A6A6A6"/>
            </w:tcBorders>
            <w:shd w:val="clear" w:color="auto" w:fill="auto"/>
            <w:vAlign w:val="center"/>
            <w:hideMark/>
          </w:tcPr>
          <w:p w14:paraId="7110444D" w14:textId="76E2538A" w:rsidR="00FB21E0" w:rsidRPr="000A132C" w:rsidRDefault="00FB21E0" w:rsidP="00FB21E0">
            <w:pPr>
              <w:spacing w:line="240" w:lineRule="auto"/>
              <w:jc w:val="center"/>
              <w:rPr>
                <w:rFonts w:eastAsia="Times New Roman"/>
                <w:color w:val="000000" w:themeColor="text1"/>
                <w:sz w:val="22"/>
                <w:szCs w:val="22"/>
                <w:lang w:eastAsia="hr-HR"/>
              </w:rPr>
            </w:pPr>
            <w:r w:rsidRPr="000A132C">
              <w:rPr>
                <w:rFonts w:eastAsia="Times New Roman"/>
                <w:color w:val="000000" w:themeColor="text1"/>
                <w:sz w:val="22"/>
                <w:szCs w:val="22"/>
              </w:rPr>
              <w:t>209</w:t>
            </w:r>
          </w:p>
        </w:tc>
        <w:tc>
          <w:tcPr>
            <w:tcW w:w="2976" w:type="dxa"/>
            <w:tcBorders>
              <w:top w:val="nil"/>
              <w:left w:val="nil"/>
              <w:bottom w:val="single" w:sz="4" w:space="0" w:color="A6A6A6"/>
              <w:right w:val="single" w:sz="4" w:space="0" w:color="A6A6A6"/>
            </w:tcBorders>
            <w:shd w:val="clear" w:color="auto" w:fill="auto"/>
            <w:vAlign w:val="center"/>
            <w:hideMark/>
          </w:tcPr>
          <w:p w14:paraId="18193064" w14:textId="63ABDAF4" w:rsidR="00FB21E0" w:rsidRPr="000A132C" w:rsidRDefault="00FB21E0" w:rsidP="000A132C">
            <w:pPr>
              <w:spacing w:line="240" w:lineRule="auto"/>
              <w:jc w:val="right"/>
              <w:rPr>
                <w:rFonts w:eastAsia="Times New Roman"/>
                <w:color w:val="000000" w:themeColor="text1"/>
                <w:sz w:val="22"/>
                <w:szCs w:val="22"/>
                <w:lang w:eastAsia="hr-HR"/>
              </w:rPr>
            </w:pPr>
            <w:r w:rsidRPr="000A132C">
              <w:rPr>
                <w:color w:val="000000" w:themeColor="text1"/>
                <w:sz w:val="22"/>
                <w:szCs w:val="22"/>
              </w:rPr>
              <w:t>19.513.299,43 €</w:t>
            </w:r>
          </w:p>
        </w:tc>
      </w:tr>
      <w:tr w:rsidR="00FB21E0" w:rsidRPr="00C9549D" w14:paraId="03ABD121"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auto" w:fill="auto"/>
            <w:vAlign w:val="center"/>
            <w:hideMark/>
          </w:tcPr>
          <w:p w14:paraId="66875B31" w14:textId="52FBAC5D" w:rsidR="00FB21E0" w:rsidRPr="000A132C" w:rsidRDefault="00FB21E0" w:rsidP="00FB21E0">
            <w:pPr>
              <w:spacing w:line="240" w:lineRule="auto"/>
              <w:jc w:val="left"/>
              <w:rPr>
                <w:rFonts w:eastAsia="Times New Roman"/>
                <w:color w:val="000000" w:themeColor="text1"/>
                <w:sz w:val="22"/>
                <w:szCs w:val="22"/>
                <w:lang w:eastAsia="hr-HR"/>
              </w:rPr>
            </w:pPr>
            <w:r w:rsidRPr="000A132C">
              <w:rPr>
                <w:rFonts w:eastAsia="Times New Roman"/>
                <w:color w:val="000000" w:themeColor="text1"/>
                <w:sz w:val="22"/>
                <w:szCs w:val="22"/>
                <w:lang w:eastAsia="hr-HR"/>
              </w:rPr>
              <w:t>Usluge</w:t>
            </w:r>
          </w:p>
        </w:tc>
        <w:tc>
          <w:tcPr>
            <w:tcW w:w="1418" w:type="dxa"/>
            <w:tcBorders>
              <w:top w:val="nil"/>
              <w:left w:val="nil"/>
              <w:bottom w:val="single" w:sz="4" w:space="0" w:color="A6A6A6"/>
              <w:right w:val="single" w:sz="4" w:space="0" w:color="A6A6A6"/>
            </w:tcBorders>
            <w:shd w:val="clear" w:color="auto" w:fill="auto"/>
            <w:vAlign w:val="center"/>
            <w:hideMark/>
          </w:tcPr>
          <w:p w14:paraId="71C25F0F" w14:textId="1C1050F1" w:rsidR="00FB21E0" w:rsidRPr="000A132C" w:rsidRDefault="00FB21E0" w:rsidP="00FB21E0">
            <w:pPr>
              <w:spacing w:line="240" w:lineRule="auto"/>
              <w:jc w:val="center"/>
              <w:rPr>
                <w:rFonts w:eastAsia="Times New Roman"/>
                <w:color w:val="000000" w:themeColor="text1"/>
                <w:sz w:val="22"/>
                <w:szCs w:val="22"/>
                <w:lang w:eastAsia="hr-HR"/>
              </w:rPr>
            </w:pPr>
            <w:r w:rsidRPr="000A132C">
              <w:rPr>
                <w:rFonts w:eastAsia="Times New Roman"/>
                <w:color w:val="000000" w:themeColor="text1"/>
                <w:sz w:val="22"/>
                <w:szCs w:val="22"/>
              </w:rPr>
              <w:t>9</w:t>
            </w:r>
          </w:p>
        </w:tc>
        <w:tc>
          <w:tcPr>
            <w:tcW w:w="1701" w:type="dxa"/>
            <w:tcBorders>
              <w:top w:val="nil"/>
              <w:left w:val="nil"/>
              <w:bottom w:val="single" w:sz="4" w:space="0" w:color="A6A6A6"/>
              <w:right w:val="single" w:sz="4" w:space="0" w:color="A6A6A6"/>
            </w:tcBorders>
            <w:shd w:val="clear" w:color="auto" w:fill="auto"/>
            <w:vAlign w:val="center"/>
            <w:hideMark/>
          </w:tcPr>
          <w:p w14:paraId="48C5B0BE" w14:textId="38FDE945" w:rsidR="00FB21E0" w:rsidRPr="000A132C" w:rsidRDefault="00FB21E0" w:rsidP="00FB21E0">
            <w:pPr>
              <w:spacing w:line="240" w:lineRule="auto"/>
              <w:jc w:val="center"/>
              <w:rPr>
                <w:rFonts w:eastAsia="Times New Roman"/>
                <w:color w:val="000000" w:themeColor="text1"/>
                <w:sz w:val="22"/>
                <w:szCs w:val="22"/>
                <w:lang w:eastAsia="hr-HR"/>
              </w:rPr>
            </w:pPr>
            <w:r w:rsidRPr="000A132C">
              <w:rPr>
                <w:rFonts w:eastAsia="Times New Roman"/>
                <w:color w:val="000000" w:themeColor="text1"/>
                <w:sz w:val="22"/>
                <w:szCs w:val="22"/>
              </w:rPr>
              <w:t>137</w:t>
            </w:r>
          </w:p>
        </w:tc>
        <w:tc>
          <w:tcPr>
            <w:tcW w:w="2976" w:type="dxa"/>
            <w:tcBorders>
              <w:top w:val="nil"/>
              <w:left w:val="nil"/>
              <w:bottom w:val="single" w:sz="4" w:space="0" w:color="A6A6A6"/>
              <w:right w:val="single" w:sz="4" w:space="0" w:color="A6A6A6"/>
            </w:tcBorders>
            <w:shd w:val="clear" w:color="auto" w:fill="auto"/>
            <w:vAlign w:val="center"/>
            <w:hideMark/>
          </w:tcPr>
          <w:p w14:paraId="631A513F" w14:textId="7FEACCFC" w:rsidR="00FB21E0" w:rsidRPr="000A132C" w:rsidRDefault="00FB03B9" w:rsidP="000A132C">
            <w:pPr>
              <w:spacing w:line="240" w:lineRule="auto"/>
              <w:jc w:val="right"/>
              <w:rPr>
                <w:rFonts w:eastAsia="Times New Roman"/>
                <w:color w:val="000000" w:themeColor="text1"/>
                <w:sz w:val="22"/>
                <w:szCs w:val="22"/>
                <w:lang w:eastAsia="hr-HR"/>
              </w:rPr>
            </w:pPr>
            <w:r>
              <w:rPr>
                <w:color w:val="000000" w:themeColor="text1"/>
                <w:sz w:val="22"/>
                <w:szCs w:val="22"/>
              </w:rPr>
              <w:t xml:space="preserve">  </w:t>
            </w:r>
            <w:r w:rsidR="00FB21E0" w:rsidRPr="000A132C">
              <w:rPr>
                <w:color w:val="000000" w:themeColor="text1"/>
                <w:sz w:val="22"/>
                <w:szCs w:val="22"/>
              </w:rPr>
              <w:t>3.680.963,24 €</w:t>
            </w:r>
          </w:p>
        </w:tc>
      </w:tr>
      <w:tr w:rsidR="00FB21E0" w:rsidRPr="00C9549D" w14:paraId="28895F01"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auto" w:fill="auto"/>
            <w:vAlign w:val="center"/>
          </w:tcPr>
          <w:p w14:paraId="2BBF5BDC" w14:textId="67683998" w:rsidR="00FB21E0" w:rsidRPr="000A132C" w:rsidRDefault="00FB21E0" w:rsidP="00FB21E0">
            <w:pPr>
              <w:spacing w:line="240" w:lineRule="auto"/>
              <w:jc w:val="left"/>
              <w:rPr>
                <w:rFonts w:eastAsia="Times New Roman"/>
                <w:color w:val="000000" w:themeColor="text1"/>
                <w:sz w:val="22"/>
                <w:szCs w:val="22"/>
                <w:lang w:eastAsia="hr-HR"/>
              </w:rPr>
            </w:pPr>
            <w:r w:rsidRPr="000A132C">
              <w:rPr>
                <w:rFonts w:eastAsia="Times New Roman"/>
                <w:color w:val="000000" w:themeColor="text1"/>
                <w:sz w:val="22"/>
                <w:szCs w:val="22"/>
                <w:lang w:eastAsia="hr-HR"/>
              </w:rPr>
              <w:t>Roba</w:t>
            </w:r>
          </w:p>
        </w:tc>
        <w:tc>
          <w:tcPr>
            <w:tcW w:w="1418" w:type="dxa"/>
            <w:tcBorders>
              <w:top w:val="nil"/>
              <w:left w:val="nil"/>
              <w:bottom w:val="single" w:sz="4" w:space="0" w:color="A6A6A6"/>
              <w:right w:val="single" w:sz="4" w:space="0" w:color="A6A6A6"/>
            </w:tcBorders>
            <w:shd w:val="clear" w:color="auto" w:fill="auto"/>
            <w:vAlign w:val="center"/>
          </w:tcPr>
          <w:p w14:paraId="6733C017" w14:textId="24767707" w:rsidR="00FB21E0" w:rsidRPr="000A132C" w:rsidRDefault="00FB21E0" w:rsidP="00FB21E0">
            <w:pPr>
              <w:spacing w:line="240" w:lineRule="auto"/>
              <w:jc w:val="center"/>
              <w:rPr>
                <w:color w:val="000000" w:themeColor="text1"/>
                <w:sz w:val="22"/>
                <w:szCs w:val="22"/>
              </w:rPr>
            </w:pPr>
            <w:r w:rsidRPr="000A132C">
              <w:rPr>
                <w:color w:val="000000" w:themeColor="text1"/>
                <w:sz w:val="22"/>
                <w:szCs w:val="22"/>
              </w:rPr>
              <w:t>1</w:t>
            </w:r>
          </w:p>
        </w:tc>
        <w:tc>
          <w:tcPr>
            <w:tcW w:w="1701" w:type="dxa"/>
            <w:tcBorders>
              <w:top w:val="nil"/>
              <w:left w:val="nil"/>
              <w:bottom w:val="single" w:sz="4" w:space="0" w:color="A6A6A6"/>
              <w:right w:val="single" w:sz="4" w:space="0" w:color="A6A6A6"/>
            </w:tcBorders>
            <w:shd w:val="clear" w:color="auto" w:fill="auto"/>
            <w:vAlign w:val="center"/>
          </w:tcPr>
          <w:p w14:paraId="475D22E6" w14:textId="6FC11637" w:rsidR="00FB21E0" w:rsidRPr="000A132C" w:rsidRDefault="00FB21E0" w:rsidP="00FB21E0">
            <w:pPr>
              <w:spacing w:line="240" w:lineRule="auto"/>
              <w:jc w:val="center"/>
              <w:rPr>
                <w:color w:val="000000" w:themeColor="text1"/>
                <w:sz w:val="22"/>
                <w:szCs w:val="22"/>
              </w:rPr>
            </w:pPr>
            <w:r w:rsidRPr="000A132C">
              <w:rPr>
                <w:color w:val="000000" w:themeColor="text1"/>
                <w:sz w:val="22"/>
                <w:szCs w:val="22"/>
              </w:rPr>
              <w:t>335</w:t>
            </w:r>
          </w:p>
        </w:tc>
        <w:tc>
          <w:tcPr>
            <w:tcW w:w="2976" w:type="dxa"/>
            <w:tcBorders>
              <w:top w:val="nil"/>
              <w:left w:val="nil"/>
              <w:bottom w:val="single" w:sz="4" w:space="0" w:color="A6A6A6"/>
              <w:right w:val="single" w:sz="4" w:space="0" w:color="A6A6A6"/>
            </w:tcBorders>
            <w:shd w:val="clear" w:color="auto" w:fill="auto"/>
            <w:vAlign w:val="center"/>
          </w:tcPr>
          <w:p w14:paraId="5B10A4A6" w14:textId="680EB073" w:rsidR="00FB21E0" w:rsidRPr="000A132C" w:rsidRDefault="00FB21E0" w:rsidP="000A132C">
            <w:pPr>
              <w:spacing w:line="240" w:lineRule="auto"/>
              <w:jc w:val="right"/>
              <w:rPr>
                <w:color w:val="000000" w:themeColor="text1"/>
                <w:sz w:val="22"/>
                <w:szCs w:val="22"/>
              </w:rPr>
            </w:pPr>
            <w:r w:rsidRPr="000A132C">
              <w:rPr>
                <w:color w:val="000000" w:themeColor="text1"/>
                <w:sz w:val="22"/>
                <w:szCs w:val="22"/>
              </w:rPr>
              <w:t xml:space="preserve"> </w:t>
            </w:r>
            <w:r w:rsidR="00FB03B9">
              <w:rPr>
                <w:color w:val="000000" w:themeColor="text1"/>
                <w:sz w:val="22"/>
                <w:szCs w:val="22"/>
              </w:rPr>
              <w:t xml:space="preserve"> </w:t>
            </w:r>
            <w:r w:rsidRPr="000A132C">
              <w:rPr>
                <w:color w:val="000000" w:themeColor="text1"/>
                <w:sz w:val="22"/>
                <w:szCs w:val="22"/>
              </w:rPr>
              <w:t>1.568.277,50 €</w:t>
            </w:r>
          </w:p>
        </w:tc>
      </w:tr>
      <w:tr w:rsidR="00FB21E0" w:rsidRPr="00C9549D" w14:paraId="58183D7B"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000000" w:fill="002060"/>
            <w:vAlign w:val="center"/>
            <w:hideMark/>
          </w:tcPr>
          <w:p w14:paraId="7182A066" w14:textId="6DC6E657" w:rsidR="00FB21E0" w:rsidRPr="00C9549D" w:rsidRDefault="00FB21E0" w:rsidP="00FB21E0">
            <w:pPr>
              <w:spacing w:line="240" w:lineRule="auto"/>
              <w:jc w:val="left"/>
              <w:rPr>
                <w:rFonts w:eastAsia="Times New Roman"/>
                <w:color w:val="FFFFFF"/>
                <w:sz w:val="22"/>
                <w:szCs w:val="22"/>
                <w:lang w:eastAsia="hr-HR"/>
              </w:rPr>
            </w:pPr>
            <w:r w:rsidRPr="005F28A5">
              <w:rPr>
                <w:rFonts w:eastAsia="Times New Roman"/>
                <w:color w:val="FFFFFF" w:themeColor="background1"/>
                <w:sz w:val="22"/>
                <w:szCs w:val="22"/>
                <w:lang w:eastAsia="hr-HR"/>
              </w:rPr>
              <w:t>Ukupno</w:t>
            </w:r>
          </w:p>
        </w:tc>
        <w:tc>
          <w:tcPr>
            <w:tcW w:w="1418" w:type="dxa"/>
            <w:tcBorders>
              <w:top w:val="nil"/>
              <w:left w:val="nil"/>
              <w:bottom w:val="single" w:sz="4" w:space="0" w:color="A6A6A6"/>
              <w:right w:val="single" w:sz="4" w:space="0" w:color="A6A6A6"/>
            </w:tcBorders>
            <w:shd w:val="clear" w:color="000000" w:fill="002060"/>
            <w:vAlign w:val="center"/>
            <w:hideMark/>
          </w:tcPr>
          <w:p w14:paraId="3B5058D9" w14:textId="027F8F1F" w:rsidR="00FB21E0" w:rsidRPr="00C9549D" w:rsidRDefault="00FB21E0" w:rsidP="00FB21E0">
            <w:pPr>
              <w:spacing w:line="240" w:lineRule="auto"/>
              <w:jc w:val="center"/>
              <w:rPr>
                <w:rFonts w:eastAsia="Times New Roman"/>
                <w:color w:val="FFFFFF"/>
                <w:sz w:val="22"/>
                <w:szCs w:val="22"/>
                <w:lang w:eastAsia="hr-HR"/>
              </w:rPr>
            </w:pPr>
            <w:r w:rsidRPr="005F28A5">
              <w:rPr>
                <w:color w:val="FFFFFF" w:themeColor="background1"/>
                <w:sz w:val="22"/>
                <w:szCs w:val="22"/>
              </w:rPr>
              <w:t>22</w:t>
            </w:r>
          </w:p>
        </w:tc>
        <w:tc>
          <w:tcPr>
            <w:tcW w:w="1701" w:type="dxa"/>
            <w:tcBorders>
              <w:top w:val="nil"/>
              <w:left w:val="nil"/>
              <w:bottom w:val="single" w:sz="4" w:space="0" w:color="A6A6A6"/>
              <w:right w:val="single" w:sz="4" w:space="0" w:color="A6A6A6"/>
            </w:tcBorders>
            <w:shd w:val="clear" w:color="000000" w:fill="002060"/>
            <w:vAlign w:val="center"/>
            <w:hideMark/>
          </w:tcPr>
          <w:p w14:paraId="146D56F9" w14:textId="72A240F2" w:rsidR="00FB21E0" w:rsidRPr="00C9549D" w:rsidRDefault="00FB21E0" w:rsidP="00FB21E0">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rPr>
              <w:t>681</w:t>
            </w:r>
          </w:p>
        </w:tc>
        <w:tc>
          <w:tcPr>
            <w:tcW w:w="2976" w:type="dxa"/>
            <w:tcBorders>
              <w:top w:val="nil"/>
              <w:left w:val="nil"/>
              <w:bottom w:val="single" w:sz="4" w:space="0" w:color="A6A6A6"/>
              <w:right w:val="single" w:sz="4" w:space="0" w:color="A6A6A6"/>
            </w:tcBorders>
            <w:shd w:val="clear" w:color="000000" w:fill="002060"/>
            <w:vAlign w:val="center"/>
            <w:hideMark/>
          </w:tcPr>
          <w:p w14:paraId="41AE55A4" w14:textId="55A275F5" w:rsidR="00FB21E0" w:rsidRPr="00C9549D" w:rsidRDefault="00FB21E0" w:rsidP="000A132C">
            <w:pPr>
              <w:spacing w:line="240" w:lineRule="auto"/>
              <w:jc w:val="right"/>
              <w:rPr>
                <w:rFonts w:eastAsia="Times New Roman"/>
                <w:color w:val="FFFFFF"/>
                <w:sz w:val="22"/>
                <w:szCs w:val="22"/>
                <w:lang w:eastAsia="hr-HR"/>
              </w:rPr>
            </w:pPr>
            <w:r w:rsidRPr="005F28A5">
              <w:rPr>
                <w:color w:val="FFFFFF" w:themeColor="background1"/>
                <w:sz w:val="22"/>
                <w:szCs w:val="22"/>
              </w:rPr>
              <w:t xml:space="preserve">24.762.540,17 € </w:t>
            </w:r>
          </w:p>
        </w:tc>
      </w:tr>
    </w:tbl>
    <w:p w14:paraId="694755D0" w14:textId="77777777" w:rsidR="00291D86" w:rsidRDefault="00291D86" w:rsidP="007D2024">
      <w:pPr>
        <w:spacing w:before="120"/>
      </w:pPr>
    </w:p>
    <w:p w14:paraId="52663FED" w14:textId="48F38496" w:rsidR="00291D86" w:rsidRDefault="00291D86" w:rsidP="007D2024">
      <w:pPr>
        <w:spacing w:before="120"/>
      </w:pPr>
      <w:r w:rsidRPr="00291D86">
        <w:t xml:space="preserve">Poništeno je 57 postupaka nabave procijenjene vrijednosti 29 milijuna eura, od kojih se 43 postupka procijenjene vrijednost 28,1 milijuna eura (95 %) odnosilo na nabavu radova, a 14 postupaka procijenjene vrijednost 1,3 milijuna eura (5 %) na nabavu usluga. </w:t>
      </w:r>
    </w:p>
    <w:p w14:paraId="1CC436B5" w14:textId="77777777" w:rsidR="00CA734A" w:rsidRDefault="00CA734A" w:rsidP="007D2024">
      <w:pPr>
        <w:spacing w:before="120"/>
      </w:pPr>
    </w:p>
    <w:p w14:paraId="49A1EBDE" w14:textId="6CEE1C6C" w:rsidR="004F0BD9" w:rsidRPr="00C9549D" w:rsidRDefault="004F0BD9" w:rsidP="004F0BD9">
      <w:pPr>
        <w:spacing w:before="120"/>
        <w:rPr>
          <w:i/>
          <w:iCs/>
        </w:rPr>
      </w:pPr>
      <w:r w:rsidRPr="00C9549D">
        <w:rPr>
          <w:i/>
          <w:iCs/>
        </w:rPr>
        <w:t>Pregled poništenih postupaka nabave</w:t>
      </w:r>
    </w:p>
    <w:tbl>
      <w:tblPr>
        <w:tblW w:w="9067" w:type="dxa"/>
        <w:tblLayout w:type="fixed"/>
        <w:tblLook w:val="04A0" w:firstRow="1" w:lastRow="0" w:firstColumn="1" w:lastColumn="0" w:noHBand="0" w:noVBand="1"/>
      </w:tblPr>
      <w:tblGrid>
        <w:gridCol w:w="2824"/>
        <w:gridCol w:w="1566"/>
        <w:gridCol w:w="1701"/>
        <w:gridCol w:w="2976"/>
      </w:tblGrid>
      <w:tr w:rsidR="004F0BD9" w:rsidRPr="00C9549D" w14:paraId="2C71B216" w14:textId="77777777" w:rsidTr="000A132C">
        <w:trPr>
          <w:trHeight w:val="624"/>
        </w:trPr>
        <w:tc>
          <w:tcPr>
            <w:tcW w:w="2824"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63E27F95" w14:textId="41323F6A" w:rsidR="004F0BD9" w:rsidRPr="00C9549D" w:rsidRDefault="004F0BD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 xml:space="preserve">Vrsta </w:t>
            </w:r>
            <w:r w:rsidR="00E26A10" w:rsidRPr="005F28A5">
              <w:rPr>
                <w:rFonts w:eastAsia="Times New Roman"/>
                <w:color w:val="FFFFFF" w:themeColor="background1"/>
                <w:sz w:val="22"/>
                <w:szCs w:val="22"/>
                <w:lang w:eastAsia="hr-HR"/>
              </w:rPr>
              <w:t>postupka</w:t>
            </w:r>
          </w:p>
        </w:tc>
        <w:tc>
          <w:tcPr>
            <w:tcW w:w="1566" w:type="dxa"/>
            <w:tcBorders>
              <w:top w:val="single" w:sz="4" w:space="0" w:color="A6A6A6"/>
              <w:left w:val="nil"/>
              <w:bottom w:val="single" w:sz="4" w:space="0" w:color="A6A6A6"/>
              <w:right w:val="single" w:sz="4" w:space="0" w:color="A6A6A6"/>
            </w:tcBorders>
            <w:shd w:val="clear" w:color="000000" w:fill="002060"/>
            <w:vAlign w:val="center"/>
            <w:hideMark/>
          </w:tcPr>
          <w:p w14:paraId="10E82695" w14:textId="3FB7A5F1" w:rsidR="004C0ACA" w:rsidRDefault="004F0BD9" w:rsidP="00E26A10">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w:t>
            </w:r>
          </w:p>
          <w:p w14:paraId="03457277" w14:textId="0365DFA1" w:rsidR="004F0BD9" w:rsidRPr="00C9549D" w:rsidRDefault="00E26A10" w:rsidP="00E26A10">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lang w:eastAsia="hr-HR"/>
              </w:rPr>
              <w:t>postup</w:t>
            </w:r>
            <w:r>
              <w:rPr>
                <w:rFonts w:eastAsia="Times New Roman"/>
                <w:color w:val="FFFFFF" w:themeColor="background1"/>
                <w:sz w:val="22"/>
                <w:szCs w:val="22"/>
                <w:lang w:eastAsia="hr-HR"/>
              </w:rPr>
              <w:t>a</w:t>
            </w:r>
            <w:r w:rsidRPr="005F28A5">
              <w:rPr>
                <w:rFonts w:eastAsia="Times New Roman"/>
                <w:color w:val="FFFFFF" w:themeColor="background1"/>
                <w:sz w:val="22"/>
                <w:szCs w:val="22"/>
                <w:lang w:eastAsia="hr-HR"/>
              </w:rPr>
              <w:t>ka</w:t>
            </w:r>
          </w:p>
        </w:tc>
        <w:tc>
          <w:tcPr>
            <w:tcW w:w="1701" w:type="dxa"/>
            <w:tcBorders>
              <w:top w:val="single" w:sz="4" w:space="0" w:color="A6A6A6"/>
              <w:left w:val="nil"/>
              <w:bottom w:val="single" w:sz="4" w:space="0" w:color="A6A6A6"/>
              <w:right w:val="single" w:sz="4" w:space="0" w:color="A6A6A6"/>
            </w:tcBorders>
            <w:shd w:val="clear" w:color="000000" w:fill="002060"/>
            <w:vAlign w:val="center"/>
            <w:hideMark/>
          </w:tcPr>
          <w:p w14:paraId="1A44F1F6" w14:textId="77777777" w:rsidR="004F0BD9" w:rsidRPr="00C9549D" w:rsidRDefault="004F0BD9"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radova / usluga</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62031CB8" w14:textId="65A272DD" w:rsidR="004F0BD9" w:rsidRPr="00C9549D" w:rsidRDefault="00204E65" w:rsidP="00861662">
            <w:pPr>
              <w:spacing w:line="240" w:lineRule="auto"/>
              <w:jc w:val="center"/>
              <w:rPr>
                <w:rFonts w:eastAsia="Times New Roman"/>
                <w:color w:val="FFFFFF"/>
                <w:sz w:val="22"/>
                <w:szCs w:val="22"/>
                <w:lang w:eastAsia="hr-HR"/>
              </w:rPr>
            </w:pPr>
            <w:r>
              <w:rPr>
                <w:rFonts w:eastAsia="Times New Roman"/>
                <w:color w:val="FFFFFF"/>
                <w:sz w:val="22"/>
                <w:szCs w:val="22"/>
                <w:lang w:eastAsia="hr-HR"/>
              </w:rPr>
              <w:t>P</w:t>
            </w:r>
            <w:r w:rsidR="002C2EFD">
              <w:rPr>
                <w:rFonts w:eastAsia="Times New Roman"/>
                <w:color w:val="FFFFFF"/>
                <w:sz w:val="22"/>
                <w:szCs w:val="22"/>
                <w:lang w:eastAsia="hr-HR"/>
              </w:rPr>
              <w:t>rocijenjena vrijednost nabave</w:t>
            </w:r>
            <w:r w:rsidR="004F0BD9" w:rsidRPr="00C9549D">
              <w:rPr>
                <w:rFonts w:eastAsia="Times New Roman"/>
                <w:color w:val="FFFFFF"/>
                <w:sz w:val="22"/>
                <w:szCs w:val="22"/>
                <w:lang w:eastAsia="hr-HR"/>
              </w:rPr>
              <w:br/>
              <w:t>(bez PDV-a)</w:t>
            </w:r>
          </w:p>
        </w:tc>
      </w:tr>
      <w:tr w:rsidR="00A54C52" w:rsidRPr="00C9549D" w14:paraId="04064C2D" w14:textId="77777777" w:rsidTr="000A132C">
        <w:trPr>
          <w:trHeight w:val="397"/>
        </w:trPr>
        <w:tc>
          <w:tcPr>
            <w:tcW w:w="2824" w:type="dxa"/>
            <w:tcBorders>
              <w:top w:val="nil"/>
              <w:left w:val="single" w:sz="4" w:space="0" w:color="A6A6A6"/>
              <w:bottom w:val="single" w:sz="4" w:space="0" w:color="A6A6A6"/>
              <w:right w:val="single" w:sz="4" w:space="0" w:color="A6A6A6"/>
            </w:tcBorders>
            <w:shd w:val="clear" w:color="auto" w:fill="auto"/>
            <w:vAlign w:val="center"/>
            <w:hideMark/>
          </w:tcPr>
          <w:p w14:paraId="20C9B768" w14:textId="7640C521" w:rsidR="00A54C52" w:rsidRPr="00C9549D" w:rsidRDefault="00A54C52" w:rsidP="00A54C52">
            <w:pPr>
              <w:spacing w:line="240" w:lineRule="auto"/>
              <w:jc w:val="left"/>
              <w:rPr>
                <w:rFonts w:eastAsia="Times New Roman"/>
                <w:color w:val="000000"/>
                <w:sz w:val="22"/>
                <w:szCs w:val="22"/>
                <w:lang w:eastAsia="hr-HR"/>
              </w:rPr>
            </w:pPr>
            <w:r w:rsidRPr="005E1767">
              <w:rPr>
                <w:rFonts w:eastAsia="Times New Roman"/>
                <w:color w:val="000000" w:themeColor="text1"/>
                <w:sz w:val="22"/>
                <w:szCs w:val="22"/>
                <w:lang w:eastAsia="hr-HR"/>
              </w:rPr>
              <w:t>Radovi</w:t>
            </w:r>
          </w:p>
        </w:tc>
        <w:tc>
          <w:tcPr>
            <w:tcW w:w="1566" w:type="dxa"/>
            <w:tcBorders>
              <w:top w:val="nil"/>
              <w:left w:val="nil"/>
              <w:bottom w:val="single" w:sz="4" w:space="0" w:color="A6A6A6"/>
              <w:right w:val="single" w:sz="4" w:space="0" w:color="A6A6A6"/>
            </w:tcBorders>
            <w:shd w:val="clear" w:color="auto" w:fill="auto"/>
            <w:vAlign w:val="center"/>
            <w:hideMark/>
          </w:tcPr>
          <w:p w14:paraId="758DDA35" w14:textId="2DD7722F" w:rsidR="00A54C52" w:rsidRPr="00C9549D" w:rsidRDefault="00A54C52" w:rsidP="00A54C52">
            <w:pPr>
              <w:spacing w:line="240" w:lineRule="auto"/>
              <w:jc w:val="center"/>
              <w:rPr>
                <w:rFonts w:eastAsia="Times New Roman"/>
                <w:color w:val="000000"/>
                <w:sz w:val="22"/>
                <w:szCs w:val="22"/>
                <w:lang w:eastAsia="hr-HR"/>
              </w:rPr>
            </w:pPr>
            <w:r w:rsidRPr="005E1767">
              <w:rPr>
                <w:rFonts w:eastAsia="Times New Roman"/>
                <w:color w:val="000000" w:themeColor="text1"/>
                <w:sz w:val="22"/>
                <w:szCs w:val="22"/>
              </w:rPr>
              <w:t>43</w:t>
            </w:r>
          </w:p>
        </w:tc>
        <w:tc>
          <w:tcPr>
            <w:tcW w:w="1701" w:type="dxa"/>
            <w:tcBorders>
              <w:top w:val="nil"/>
              <w:left w:val="nil"/>
              <w:bottom w:val="single" w:sz="4" w:space="0" w:color="A6A6A6"/>
              <w:right w:val="single" w:sz="4" w:space="0" w:color="A6A6A6"/>
            </w:tcBorders>
            <w:shd w:val="clear" w:color="auto" w:fill="auto"/>
            <w:vAlign w:val="center"/>
            <w:hideMark/>
          </w:tcPr>
          <w:p w14:paraId="5DF923C1" w14:textId="3D443DD5" w:rsidR="00A54C52" w:rsidRPr="00C9549D" w:rsidRDefault="00A54C52" w:rsidP="00A54C52">
            <w:pPr>
              <w:spacing w:line="240" w:lineRule="auto"/>
              <w:jc w:val="center"/>
              <w:rPr>
                <w:rFonts w:eastAsia="Times New Roman"/>
                <w:color w:val="000000"/>
                <w:sz w:val="22"/>
                <w:szCs w:val="22"/>
                <w:lang w:eastAsia="hr-HR"/>
              </w:rPr>
            </w:pPr>
            <w:r w:rsidRPr="005E1767">
              <w:rPr>
                <w:rFonts w:eastAsia="Times New Roman"/>
                <w:color w:val="000000" w:themeColor="text1"/>
                <w:sz w:val="22"/>
                <w:szCs w:val="22"/>
              </w:rPr>
              <w:t>414</w:t>
            </w:r>
          </w:p>
        </w:tc>
        <w:tc>
          <w:tcPr>
            <w:tcW w:w="2976" w:type="dxa"/>
            <w:tcBorders>
              <w:top w:val="nil"/>
              <w:left w:val="nil"/>
              <w:bottom w:val="single" w:sz="4" w:space="0" w:color="A6A6A6"/>
              <w:right w:val="single" w:sz="4" w:space="0" w:color="A6A6A6"/>
            </w:tcBorders>
            <w:shd w:val="clear" w:color="auto" w:fill="auto"/>
            <w:vAlign w:val="center"/>
            <w:hideMark/>
          </w:tcPr>
          <w:p w14:paraId="39DD90BC" w14:textId="79102803" w:rsidR="00A54C52" w:rsidRPr="00C9549D" w:rsidRDefault="00A54C52" w:rsidP="000A132C">
            <w:pPr>
              <w:spacing w:line="240" w:lineRule="auto"/>
              <w:jc w:val="right"/>
              <w:rPr>
                <w:rFonts w:eastAsia="Times New Roman"/>
                <w:color w:val="000000"/>
                <w:sz w:val="22"/>
                <w:szCs w:val="22"/>
                <w:lang w:eastAsia="hr-HR"/>
              </w:rPr>
            </w:pPr>
            <w:r w:rsidRPr="005E1767">
              <w:rPr>
                <w:color w:val="000000" w:themeColor="text1"/>
                <w:sz w:val="22"/>
                <w:szCs w:val="22"/>
              </w:rPr>
              <w:t xml:space="preserve">          </w:t>
            </w:r>
            <w:r>
              <w:rPr>
                <w:color w:val="000000" w:themeColor="text1"/>
                <w:sz w:val="22"/>
                <w:szCs w:val="22"/>
              </w:rPr>
              <w:t xml:space="preserve">  </w:t>
            </w:r>
            <w:r w:rsidRPr="005E1767">
              <w:rPr>
                <w:color w:val="000000" w:themeColor="text1"/>
                <w:sz w:val="22"/>
                <w:szCs w:val="22"/>
              </w:rPr>
              <w:t xml:space="preserve"> 28.125.490,59 €</w:t>
            </w:r>
          </w:p>
        </w:tc>
      </w:tr>
      <w:tr w:rsidR="00A54C52" w:rsidRPr="00C9549D" w14:paraId="11DC7111" w14:textId="77777777" w:rsidTr="000A132C">
        <w:trPr>
          <w:trHeight w:val="397"/>
        </w:trPr>
        <w:tc>
          <w:tcPr>
            <w:tcW w:w="2824" w:type="dxa"/>
            <w:tcBorders>
              <w:top w:val="nil"/>
              <w:left w:val="single" w:sz="4" w:space="0" w:color="A6A6A6"/>
              <w:bottom w:val="single" w:sz="4" w:space="0" w:color="A6A6A6"/>
              <w:right w:val="single" w:sz="4" w:space="0" w:color="A6A6A6"/>
            </w:tcBorders>
            <w:shd w:val="clear" w:color="auto" w:fill="auto"/>
            <w:vAlign w:val="center"/>
            <w:hideMark/>
          </w:tcPr>
          <w:p w14:paraId="00A4FF97" w14:textId="7BDBF179" w:rsidR="00A54C52" w:rsidRPr="00C9549D" w:rsidRDefault="00A54C52" w:rsidP="00A54C52">
            <w:pPr>
              <w:spacing w:line="240" w:lineRule="auto"/>
              <w:jc w:val="left"/>
              <w:rPr>
                <w:rFonts w:eastAsia="Times New Roman"/>
                <w:color w:val="000000"/>
                <w:sz w:val="22"/>
                <w:szCs w:val="22"/>
                <w:lang w:eastAsia="hr-HR"/>
              </w:rPr>
            </w:pPr>
            <w:r w:rsidRPr="005E1767">
              <w:rPr>
                <w:rFonts w:eastAsia="Times New Roman"/>
                <w:color w:val="000000" w:themeColor="text1"/>
                <w:sz w:val="22"/>
                <w:szCs w:val="22"/>
                <w:lang w:eastAsia="hr-HR"/>
              </w:rPr>
              <w:t>Usluge</w:t>
            </w:r>
          </w:p>
        </w:tc>
        <w:tc>
          <w:tcPr>
            <w:tcW w:w="1566" w:type="dxa"/>
            <w:tcBorders>
              <w:top w:val="nil"/>
              <w:left w:val="nil"/>
              <w:bottom w:val="single" w:sz="4" w:space="0" w:color="A6A6A6"/>
              <w:right w:val="single" w:sz="4" w:space="0" w:color="A6A6A6"/>
            </w:tcBorders>
            <w:shd w:val="clear" w:color="auto" w:fill="auto"/>
            <w:vAlign w:val="center"/>
            <w:hideMark/>
          </w:tcPr>
          <w:p w14:paraId="54EE01E5" w14:textId="3FCBAEDC" w:rsidR="00A54C52" w:rsidRPr="00C9549D" w:rsidRDefault="00A54C52" w:rsidP="00A54C52">
            <w:pPr>
              <w:spacing w:line="240" w:lineRule="auto"/>
              <w:jc w:val="center"/>
              <w:rPr>
                <w:rFonts w:eastAsia="Times New Roman"/>
                <w:color w:val="000000"/>
                <w:sz w:val="22"/>
                <w:szCs w:val="22"/>
                <w:lang w:eastAsia="hr-HR"/>
              </w:rPr>
            </w:pPr>
            <w:r w:rsidRPr="005E1767">
              <w:rPr>
                <w:rFonts w:eastAsia="Times New Roman"/>
                <w:color w:val="000000" w:themeColor="text1"/>
                <w:sz w:val="22"/>
                <w:szCs w:val="22"/>
              </w:rPr>
              <w:t>14</w:t>
            </w:r>
          </w:p>
        </w:tc>
        <w:tc>
          <w:tcPr>
            <w:tcW w:w="1701" w:type="dxa"/>
            <w:tcBorders>
              <w:top w:val="nil"/>
              <w:left w:val="nil"/>
              <w:bottom w:val="single" w:sz="4" w:space="0" w:color="A6A6A6"/>
              <w:right w:val="single" w:sz="4" w:space="0" w:color="A6A6A6"/>
            </w:tcBorders>
            <w:shd w:val="clear" w:color="auto" w:fill="auto"/>
            <w:vAlign w:val="center"/>
            <w:hideMark/>
          </w:tcPr>
          <w:p w14:paraId="49CB9751" w14:textId="04000A2A" w:rsidR="00A54C52" w:rsidRPr="00C9549D" w:rsidRDefault="00A54C52" w:rsidP="00A54C52">
            <w:pPr>
              <w:spacing w:line="240" w:lineRule="auto"/>
              <w:jc w:val="center"/>
              <w:rPr>
                <w:rFonts w:eastAsia="Times New Roman"/>
                <w:color w:val="000000"/>
                <w:sz w:val="22"/>
                <w:szCs w:val="22"/>
                <w:lang w:eastAsia="hr-HR"/>
              </w:rPr>
            </w:pPr>
            <w:r w:rsidRPr="005E1767">
              <w:rPr>
                <w:rFonts w:eastAsia="Times New Roman"/>
                <w:color w:val="000000" w:themeColor="text1"/>
                <w:sz w:val="22"/>
                <w:szCs w:val="22"/>
              </w:rPr>
              <w:t>1261</w:t>
            </w:r>
          </w:p>
        </w:tc>
        <w:tc>
          <w:tcPr>
            <w:tcW w:w="2976" w:type="dxa"/>
            <w:tcBorders>
              <w:top w:val="nil"/>
              <w:left w:val="nil"/>
              <w:bottom w:val="single" w:sz="4" w:space="0" w:color="A6A6A6"/>
              <w:right w:val="single" w:sz="4" w:space="0" w:color="A6A6A6"/>
            </w:tcBorders>
            <w:shd w:val="clear" w:color="auto" w:fill="auto"/>
            <w:vAlign w:val="center"/>
            <w:hideMark/>
          </w:tcPr>
          <w:p w14:paraId="2278DDA9" w14:textId="6380C0E5" w:rsidR="00A54C52" w:rsidRPr="00C9549D" w:rsidRDefault="00A54C52" w:rsidP="000A132C">
            <w:pPr>
              <w:spacing w:line="240" w:lineRule="auto"/>
              <w:jc w:val="right"/>
              <w:rPr>
                <w:rFonts w:eastAsia="Times New Roman"/>
                <w:color w:val="000000"/>
                <w:sz w:val="22"/>
                <w:szCs w:val="22"/>
                <w:lang w:eastAsia="hr-HR"/>
              </w:rPr>
            </w:pPr>
            <w:r w:rsidRPr="005E1767">
              <w:rPr>
                <w:color w:val="000000" w:themeColor="text1"/>
                <w:sz w:val="22"/>
                <w:szCs w:val="22"/>
              </w:rPr>
              <w:t xml:space="preserve">               1.364.952,40 € </w:t>
            </w:r>
          </w:p>
        </w:tc>
      </w:tr>
      <w:tr w:rsidR="00A54C52" w:rsidRPr="00C9549D" w14:paraId="62817201" w14:textId="77777777" w:rsidTr="000A132C">
        <w:trPr>
          <w:trHeight w:val="397"/>
        </w:trPr>
        <w:tc>
          <w:tcPr>
            <w:tcW w:w="2824" w:type="dxa"/>
            <w:tcBorders>
              <w:top w:val="nil"/>
              <w:left w:val="single" w:sz="4" w:space="0" w:color="A6A6A6"/>
              <w:bottom w:val="single" w:sz="4" w:space="0" w:color="A6A6A6"/>
              <w:right w:val="single" w:sz="4" w:space="0" w:color="A6A6A6"/>
            </w:tcBorders>
            <w:shd w:val="clear" w:color="000000" w:fill="002060"/>
            <w:vAlign w:val="center"/>
            <w:hideMark/>
          </w:tcPr>
          <w:p w14:paraId="50EA5664" w14:textId="5D7505B4" w:rsidR="00A54C52" w:rsidRPr="00C9549D" w:rsidRDefault="00A54C52" w:rsidP="00A54C52">
            <w:pPr>
              <w:spacing w:line="240" w:lineRule="auto"/>
              <w:jc w:val="left"/>
              <w:rPr>
                <w:rFonts w:eastAsia="Times New Roman"/>
                <w:color w:val="FFFFFF"/>
                <w:sz w:val="22"/>
                <w:szCs w:val="22"/>
                <w:lang w:eastAsia="hr-HR"/>
              </w:rPr>
            </w:pPr>
            <w:r w:rsidRPr="005F28A5">
              <w:rPr>
                <w:rFonts w:eastAsia="Times New Roman"/>
                <w:color w:val="FFFFFF" w:themeColor="background1"/>
                <w:sz w:val="22"/>
                <w:szCs w:val="22"/>
                <w:lang w:eastAsia="hr-HR"/>
              </w:rPr>
              <w:t>Ukupno</w:t>
            </w:r>
          </w:p>
        </w:tc>
        <w:tc>
          <w:tcPr>
            <w:tcW w:w="1566" w:type="dxa"/>
            <w:tcBorders>
              <w:top w:val="nil"/>
              <w:left w:val="nil"/>
              <w:bottom w:val="single" w:sz="4" w:space="0" w:color="A6A6A6"/>
              <w:right w:val="single" w:sz="4" w:space="0" w:color="A6A6A6"/>
            </w:tcBorders>
            <w:shd w:val="clear" w:color="000000" w:fill="002060"/>
            <w:vAlign w:val="center"/>
            <w:hideMark/>
          </w:tcPr>
          <w:p w14:paraId="49012387" w14:textId="6D68B589" w:rsidR="00A54C52" w:rsidRPr="00C9549D" w:rsidRDefault="00A54C52" w:rsidP="00A54C52">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rPr>
              <w:t>57</w:t>
            </w:r>
          </w:p>
        </w:tc>
        <w:tc>
          <w:tcPr>
            <w:tcW w:w="1701" w:type="dxa"/>
            <w:tcBorders>
              <w:top w:val="nil"/>
              <w:left w:val="nil"/>
              <w:bottom w:val="single" w:sz="4" w:space="0" w:color="A6A6A6"/>
              <w:right w:val="single" w:sz="4" w:space="0" w:color="A6A6A6"/>
            </w:tcBorders>
            <w:shd w:val="clear" w:color="000000" w:fill="002060"/>
            <w:vAlign w:val="center"/>
            <w:hideMark/>
          </w:tcPr>
          <w:p w14:paraId="4BBCCCC8" w14:textId="65093F3B" w:rsidR="00A54C52" w:rsidRPr="00C9549D" w:rsidRDefault="00A54C52" w:rsidP="00A54C52">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rPr>
              <w:t>1675</w:t>
            </w:r>
          </w:p>
        </w:tc>
        <w:tc>
          <w:tcPr>
            <w:tcW w:w="2976" w:type="dxa"/>
            <w:tcBorders>
              <w:top w:val="nil"/>
              <w:left w:val="nil"/>
              <w:bottom w:val="single" w:sz="4" w:space="0" w:color="A6A6A6"/>
              <w:right w:val="single" w:sz="4" w:space="0" w:color="A6A6A6"/>
            </w:tcBorders>
            <w:shd w:val="clear" w:color="000000" w:fill="002060"/>
            <w:vAlign w:val="center"/>
            <w:hideMark/>
          </w:tcPr>
          <w:p w14:paraId="2508ED39" w14:textId="231EDFFF" w:rsidR="00A54C52" w:rsidRPr="00C9549D" w:rsidRDefault="00A54C52" w:rsidP="000A132C">
            <w:pPr>
              <w:spacing w:line="240" w:lineRule="auto"/>
              <w:jc w:val="right"/>
              <w:rPr>
                <w:rFonts w:eastAsia="Times New Roman"/>
                <w:color w:val="FFFFFF"/>
                <w:sz w:val="22"/>
                <w:szCs w:val="22"/>
                <w:lang w:eastAsia="hr-HR"/>
              </w:rPr>
            </w:pPr>
            <w:r w:rsidRPr="005F28A5">
              <w:rPr>
                <w:color w:val="FFFFFF" w:themeColor="background1"/>
                <w:sz w:val="22"/>
                <w:szCs w:val="22"/>
              </w:rPr>
              <w:t xml:space="preserve">           29.490.442,99 € </w:t>
            </w:r>
          </w:p>
        </w:tc>
      </w:tr>
    </w:tbl>
    <w:p w14:paraId="21ECF818" w14:textId="77777777" w:rsidR="004D322D" w:rsidRDefault="004D322D" w:rsidP="007D2024">
      <w:pPr>
        <w:spacing w:before="120"/>
      </w:pPr>
    </w:p>
    <w:p w14:paraId="0604A380" w14:textId="1CF9E49E" w:rsidR="003556E4" w:rsidRDefault="003556E4" w:rsidP="007D2024">
      <w:pPr>
        <w:spacing w:before="120"/>
      </w:pPr>
      <w:r w:rsidRPr="003556E4">
        <w:t>Na dan 31. prosinca 2023. u fazi pripreme, objave te pregleda i procjene ponuda, bilo je 95 postupaka procijenjene vrijednosti 59,6 milijuna eura, od kojih se 37 postupka procijenjene vrijednost 54 milijuna eura (91 %) odnosilo na nabavu radova, a 58 postupka procijenjene vrijednosti 5,5 milijuna eura (9 %) na nabavu usluga.</w:t>
      </w:r>
    </w:p>
    <w:p w14:paraId="1F3BA58E" w14:textId="77777777" w:rsidR="00CA734A" w:rsidRDefault="00CA734A" w:rsidP="007D2024">
      <w:pPr>
        <w:spacing w:before="120"/>
      </w:pPr>
    </w:p>
    <w:p w14:paraId="53067A34" w14:textId="2D18D8DB" w:rsidR="008E37AC" w:rsidRPr="00C9549D" w:rsidRDefault="008E37AC" w:rsidP="008E37AC">
      <w:pPr>
        <w:spacing w:before="120"/>
        <w:rPr>
          <w:i/>
          <w:iCs/>
        </w:rPr>
      </w:pPr>
      <w:r w:rsidRPr="00C9549D">
        <w:rPr>
          <w:i/>
          <w:iCs/>
        </w:rPr>
        <w:t>Pregled postupaka nabave</w:t>
      </w:r>
      <w:r>
        <w:rPr>
          <w:i/>
          <w:iCs/>
        </w:rPr>
        <w:t xml:space="preserve"> u pripremi i tijeku</w:t>
      </w:r>
    </w:p>
    <w:tbl>
      <w:tblPr>
        <w:tblW w:w="9067" w:type="dxa"/>
        <w:tblLook w:val="04A0" w:firstRow="1" w:lastRow="0" w:firstColumn="1" w:lastColumn="0" w:noHBand="0" w:noVBand="1"/>
      </w:tblPr>
      <w:tblGrid>
        <w:gridCol w:w="2972"/>
        <w:gridCol w:w="1418"/>
        <w:gridCol w:w="1701"/>
        <w:gridCol w:w="2976"/>
      </w:tblGrid>
      <w:tr w:rsidR="008E37AC" w:rsidRPr="008E37AC" w14:paraId="4C6B4E03" w14:textId="77777777" w:rsidTr="00B7789D">
        <w:trPr>
          <w:trHeight w:val="567"/>
        </w:trPr>
        <w:tc>
          <w:tcPr>
            <w:tcW w:w="2972"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62D758C1" w14:textId="77777777" w:rsidR="008E37AC" w:rsidRPr="008E37AC" w:rsidRDefault="008E37AC" w:rsidP="008E37AC">
            <w:pPr>
              <w:spacing w:line="240" w:lineRule="auto"/>
              <w:jc w:val="center"/>
              <w:rPr>
                <w:rFonts w:eastAsia="Times New Roman"/>
                <w:color w:val="FFFFFF"/>
                <w:sz w:val="22"/>
                <w:szCs w:val="22"/>
                <w:lang w:eastAsia="hr-HR"/>
              </w:rPr>
            </w:pPr>
            <w:r w:rsidRPr="008E37AC">
              <w:rPr>
                <w:rFonts w:eastAsia="Times New Roman"/>
                <w:color w:val="FFFFFF"/>
                <w:sz w:val="22"/>
                <w:szCs w:val="22"/>
                <w:lang w:eastAsia="hr-HR"/>
              </w:rPr>
              <w:t>Opis</w:t>
            </w:r>
          </w:p>
        </w:tc>
        <w:tc>
          <w:tcPr>
            <w:tcW w:w="1418" w:type="dxa"/>
            <w:tcBorders>
              <w:top w:val="single" w:sz="4" w:space="0" w:color="A6A6A6"/>
              <w:left w:val="nil"/>
              <w:bottom w:val="single" w:sz="4" w:space="0" w:color="A6A6A6"/>
              <w:right w:val="single" w:sz="4" w:space="0" w:color="A6A6A6"/>
            </w:tcBorders>
            <w:shd w:val="clear" w:color="000000" w:fill="002060"/>
            <w:vAlign w:val="center"/>
            <w:hideMark/>
          </w:tcPr>
          <w:p w14:paraId="7A735F62" w14:textId="77777777" w:rsidR="004C0ACA" w:rsidRDefault="004C0ACA" w:rsidP="004C0ACA">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w:t>
            </w:r>
          </w:p>
          <w:p w14:paraId="7A74D46D" w14:textId="39C447AF" w:rsidR="008E37AC" w:rsidRPr="008E37AC" w:rsidRDefault="004C0ACA" w:rsidP="004C0ACA">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lang w:eastAsia="hr-HR"/>
              </w:rPr>
              <w:t>postup</w:t>
            </w:r>
            <w:r>
              <w:rPr>
                <w:rFonts w:eastAsia="Times New Roman"/>
                <w:color w:val="FFFFFF" w:themeColor="background1"/>
                <w:sz w:val="22"/>
                <w:szCs w:val="22"/>
                <w:lang w:eastAsia="hr-HR"/>
              </w:rPr>
              <w:t>a</w:t>
            </w:r>
            <w:r w:rsidRPr="005F28A5">
              <w:rPr>
                <w:rFonts w:eastAsia="Times New Roman"/>
                <w:color w:val="FFFFFF" w:themeColor="background1"/>
                <w:sz w:val="22"/>
                <w:szCs w:val="22"/>
                <w:lang w:eastAsia="hr-HR"/>
              </w:rPr>
              <w:t>ka</w:t>
            </w:r>
          </w:p>
        </w:tc>
        <w:tc>
          <w:tcPr>
            <w:tcW w:w="1701" w:type="dxa"/>
            <w:tcBorders>
              <w:top w:val="single" w:sz="4" w:space="0" w:color="A6A6A6"/>
              <w:left w:val="nil"/>
              <w:bottom w:val="single" w:sz="4" w:space="0" w:color="A6A6A6"/>
              <w:right w:val="single" w:sz="4" w:space="0" w:color="A6A6A6"/>
            </w:tcBorders>
            <w:shd w:val="clear" w:color="000000" w:fill="002060"/>
            <w:vAlign w:val="center"/>
            <w:hideMark/>
          </w:tcPr>
          <w:p w14:paraId="6F066483" w14:textId="77777777" w:rsidR="008E37AC" w:rsidRPr="008E37AC" w:rsidRDefault="008E37AC" w:rsidP="008E37AC">
            <w:pPr>
              <w:spacing w:line="240" w:lineRule="auto"/>
              <w:jc w:val="center"/>
              <w:rPr>
                <w:rFonts w:eastAsia="Times New Roman"/>
                <w:color w:val="FFFFFF"/>
                <w:sz w:val="22"/>
                <w:szCs w:val="22"/>
                <w:lang w:eastAsia="hr-HR"/>
              </w:rPr>
            </w:pPr>
            <w:r w:rsidRPr="008E37AC">
              <w:rPr>
                <w:rFonts w:eastAsia="Times New Roman"/>
                <w:color w:val="FFFFFF"/>
                <w:sz w:val="22"/>
                <w:szCs w:val="22"/>
                <w:lang w:eastAsia="hr-HR"/>
              </w:rPr>
              <w:t>Broj  radova / usluga</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634AECCD" w14:textId="77777777" w:rsidR="008E37AC" w:rsidRPr="008E37AC" w:rsidRDefault="008E37AC" w:rsidP="008E37AC">
            <w:pPr>
              <w:spacing w:line="240" w:lineRule="auto"/>
              <w:jc w:val="center"/>
              <w:rPr>
                <w:rFonts w:eastAsia="Times New Roman"/>
                <w:color w:val="FFFFFF"/>
                <w:sz w:val="22"/>
                <w:szCs w:val="22"/>
                <w:lang w:eastAsia="hr-HR"/>
              </w:rPr>
            </w:pPr>
            <w:r w:rsidRPr="008E37AC">
              <w:rPr>
                <w:rFonts w:eastAsia="Times New Roman"/>
                <w:color w:val="FFFFFF"/>
                <w:sz w:val="22"/>
                <w:szCs w:val="22"/>
                <w:lang w:eastAsia="hr-HR"/>
              </w:rPr>
              <w:t>Procijenjena vrijednost nabave</w:t>
            </w:r>
            <w:r w:rsidRPr="008E37AC">
              <w:rPr>
                <w:rFonts w:eastAsia="Times New Roman"/>
                <w:color w:val="FFFFFF"/>
                <w:sz w:val="22"/>
                <w:szCs w:val="22"/>
                <w:lang w:eastAsia="hr-HR"/>
              </w:rPr>
              <w:br/>
              <w:t>(bez PDV-a)</w:t>
            </w:r>
          </w:p>
        </w:tc>
      </w:tr>
      <w:tr w:rsidR="004870A7" w:rsidRPr="008E37AC" w14:paraId="52FD2971"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auto" w:fill="auto"/>
            <w:vAlign w:val="center"/>
            <w:hideMark/>
          </w:tcPr>
          <w:p w14:paraId="4B9CA540" w14:textId="39FEC696" w:rsidR="004870A7" w:rsidRPr="008E37AC" w:rsidRDefault="004870A7" w:rsidP="004870A7">
            <w:pPr>
              <w:spacing w:line="240" w:lineRule="auto"/>
              <w:jc w:val="left"/>
              <w:rPr>
                <w:rFonts w:eastAsia="Times New Roman"/>
                <w:color w:val="000000"/>
                <w:sz w:val="22"/>
                <w:szCs w:val="22"/>
                <w:lang w:eastAsia="hr-HR"/>
              </w:rPr>
            </w:pPr>
            <w:r w:rsidRPr="00F674BA">
              <w:rPr>
                <w:rFonts w:eastAsia="Times New Roman"/>
                <w:color w:val="000000" w:themeColor="text1"/>
                <w:sz w:val="22"/>
                <w:szCs w:val="22"/>
                <w:lang w:eastAsia="hr-HR"/>
              </w:rPr>
              <w:t>Radovi</w:t>
            </w:r>
          </w:p>
        </w:tc>
        <w:tc>
          <w:tcPr>
            <w:tcW w:w="1418" w:type="dxa"/>
            <w:tcBorders>
              <w:top w:val="nil"/>
              <w:left w:val="nil"/>
              <w:bottom w:val="single" w:sz="4" w:space="0" w:color="A6A6A6"/>
              <w:right w:val="single" w:sz="4" w:space="0" w:color="A6A6A6"/>
            </w:tcBorders>
            <w:shd w:val="clear" w:color="auto" w:fill="auto"/>
            <w:vAlign w:val="center"/>
            <w:hideMark/>
          </w:tcPr>
          <w:p w14:paraId="537C721F" w14:textId="7E15434D" w:rsidR="004870A7" w:rsidRPr="008E37AC" w:rsidRDefault="004870A7" w:rsidP="004870A7">
            <w:pPr>
              <w:spacing w:line="240" w:lineRule="auto"/>
              <w:jc w:val="center"/>
              <w:rPr>
                <w:rFonts w:eastAsia="Times New Roman"/>
                <w:color w:val="000000"/>
                <w:sz w:val="22"/>
                <w:szCs w:val="22"/>
                <w:lang w:eastAsia="hr-HR"/>
              </w:rPr>
            </w:pPr>
            <w:r w:rsidRPr="00F674BA">
              <w:rPr>
                <w:rFonts w:eastAsia="Times New Roman"/>
                <w:color w:val="000000" w:themeColor="text1"/>
                <w:sz w:val="22"/>
                <w:szCs w:val="22"/>
                <w:lang w:eastAsia="hr-HR"/>
              </w:rPr>
              <w:t>37</w:t>
            </w:r>
          </w:p>
        </w:tc>
        <w:tc>
          <w:tcPr>
            <w:tcW w:w="1701" w:type="dxa"/>
            <w:tcBorders>
              <w:top w:val="nil"/>
              <w:left w:val="nil"/>
              <w:bottom w:val="single" w:sz="4" w:space="0" w:color="A6A6A6"/>
              <w:right w:val="single" w:sz="4" w:space="0" w:color="A6A6A6"/>
            </w:tcBorders>
            <w:shd w:val="clear" w:color="auto" w:fill="auto"/>
            <w:vAlign w:val="center"/>
            <w:hideMark/>
          </w:tcPr>
          <w:p w14:paraId="68330259" w14:textId="10C3E6DF" w:rsidR="004870A7" w:rsidRPr="008E37AC" w:rsidRDefault="004870A7" w:rsidP="004870A7">
            <w:pPr>
              <w:spacing w:line="240" w:lineRule="auto"/>
              <w:jc w:val="center"/>
              <w:rPr>
                <w:rFonts w:eastAsia="Times New Roman"/>
                <w:color w:val="000000"/>
                <w:sz w:val="22"/>
                <w:szCs w:val="22"/>
                <w:lang w:eastAsia="hr-HR"/>
              </w:rPr>
            </w:pPr>
            <w:r w:rsidRPr="00F674BA">
              <w:rPr>
                <w:rFonts w:eastAsia="Times New Roman"/>
                <w:color w:val="000000" w:themeColor="text1"/>
                <w:sz w:val="22"/>
                <w:szCs w:val="22"/>
                <w:lang w:eastAsia="hr-HR"/>
              </w:rPr>
              <w:t>1.381</w:t>
            </w:r>
          </w:p>
        </w:tc>
        <w:tc>
          <w:tcPr>
            <w:tcW w:w="2976" w:type="dxa"/>
            <w:tcBorders>
              <w:top w:val="nil"/>
              <w:left w:val="nil"/>
              <w:bottom w:val="single" w:sz="4" w:space="0" w:color="A6A6A6"/>
              <w:right w:val="single" w:sz="4" w:space="0" w:color="A6A6A6"/>
            </w:tcBorders>
            <w:shd w:val="clear" w:color="auto" w:fill="auto"/>
            <w:vAlign w:val="center"/>
            <w:hideMark/>
          </w:tcPr>
          <w:p w14:paraId="07EE108A" w14:textId="467CC344" w:rsidR="004870A7" w:rsidRPr="008E37AC" w:rsidRDefault="004870A7" w:rsidP="000A132C">
            <w:pPr>
              <w:spacing w:line="240" w:lineRule="auto"/>
              <w:jc w:val="right"/>
              <w:rPr>
                <w:rFonts w:eastAsia="Times New Roman"/>
                <w:color w:val="000000"/>
                <w:sz w:val="22"/>
                <w:szCs w:val="22"/>
                <w:lang w:eastAsia="hr-HR"/>
              </w:rPr>
            </w:pPr>
            <w:r w:rsidRPr="00F674BA">
              <w:rPr>
                <w:rFonts w:eastAsia="Times New Roman"/>
                <w:color w:val="000000" w:themeColor="text1"/>
                <w:sz w:val="22"/>
                <w:szCs w:val="22"/>
                <w:lang w:eastAsia="hr-HR"/>
              </w:rPr>
              <w:t xml:space="preserve">54.072.032,69 € </w:t>
            </w:r>
          </w:p>
        </w:tc>
      </w:tr>
      <w:tr w:rsidR="00097BE3" w:rsidRPr="008E37AC" w14:paraId="0456D228"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auto" w:fill="auto"/>
            <w:vAlign w:val="center"/>
            <w:hideMark/>
          </w:tcPr>
          <w:p w14:paraId="2D11CFA5" w14:textId="2B4674F4" w:rsidR="00097BE3" w:rsidRPr="008E37AC" w:rsidRDefault="00097BE3" w:rsidP="004C0ACA">
            <w:pPr>
              <w:spacing w:line="240" w:lineRule="auto"/>
              <w:jc w:val="left"/>
              <w:rPr>
                <w:rFonts w:eastAsia="Times New Roman"/>
                <w:color w:val="000000"/>
                <w:sz w:val="22"/>
                <w:szCs w:val="22"/>
                <w:lang w:eastAsia="hr-HR"/>
              </w:rPr>
            </w:pPr>
            <w:r w:rsidRPr="00F674BA">
              <w:rPr>
                <w:rFonts w:eastAsia="Times New Roman"/>
                <w:color w:val="000000" w:themeColor="text1"/>
                <w:sz w:val="22"/>
                <w:szCs w:val="22"/>
                <w:lang w:eastAsia="hr-HR"/>
              </w:rPr>
              <w:t>Usluge</w:t>
            </w:r>
          </w:p>
        </w:tc>
        <w:tc>
          <w:tcPr>
            <w:tcW w:w="1418" w:type="dxa"/>
            <w:tcBorders>
              <w:top w:val="nil"/>
              <w:left w:val="nil"/>
              <w:bottom w:val="single" w:sz="4" w:space="0" w:color="A6A6A6"/>
              <w:right w:val="single" w:sz="4" w:space="0" w:color="A6A6A6"/>
            </w:tcBorders>
            <w:shd w:val="clear" w:color="auto" w:fill="auto"/>
            <w:vAlign w:val="center"/>
            <w:hideMark/>
          </w:tcPr>
          <w:p w14:paraId="1F57C296" w14:textId="490174B4" w:rsidR="00097BE3" w:rsidRPr="008E37AC" w:rsidRDefault="00097BE3" w:rsidP="00097BE3">
            <w:pPr>
              <w:spacing w:line="240" w:lineRule="auto"/>
              <w:jc w:val="center"/>
              <w:rPr>
                <w:rFonts w:eastAsia="Times New Roman"/>
                <w:color w:val="000000"/>
                <w:sz w:val="22"/>
                <w:szCs w:val="22"/>
                <w:lang w:eastAsia="hr-HR"/>
              </w:rPr>
            </w:pPr>
            <w:r w:rsidRPr="00F674BA">
              <w:rPr>
                <w:rFonts w:eastAsia="Times New Roman"/>
                <w:color w:val="000000" w:themeColor="text1"/>
                <w:sz w:val="22"/>
                <w:szCs w:val="22"/>
                <w:lang w:eastAsia="hr-HR"/>
              </w:rPr>
              <w:t>58</w:t>
            </w:r>
          </w:p>
        </w:tc>
        <w:tc>
          <w:tcPr>
            <w:tcW w:w="1701" w:type="dxa"/>
            <w:tcBorders>
              <w:top w:val="nil"/>
              <w:left w:val="nil"/>
              <w:bottom w:val="single" w:sz="4" w:space="0" w:color="A6A6A6"/>
              <w:right w:val="single" w:sz="4" w:space="0" w:color="A6A6A6"/>
            </w:tcBorders>
            <w:shd w:val="clear" w:color="auto" w:fill="auto"/>
            <w:vAlign w:val="center"/>
            <w:hideMark/>
          </w:tcPr>
          <w:p w14:paraId="04D0BF93" w14:textId="57E702D8" w:rsidR="00097BE3" w:rsidRPr="008E37AC" w:rsidRDefault="00097BE3" w:rsidP="00097BE3">
            <w:pPr>
              <w:spacing w:line="240" w:lineRule="auto"/>
              <w:jc w:val="center"/>
              <w:rPr>
                <w:rFonts w:eastAsia="Times New Roman"/>
                <w:color w:val="000000"/>
                <w:sz w:val="22"/>
                <w:szCs w:val="22"/>
                <w:lang w:eastAsia="hr-HR"/>
              </w:rPr>
            </w:pPr>
            <w:r w:rsidRPr="00F674BA">
              <w:rPr>
                <w:rFonts w:eastAsia="Times New Roman"/>
                <w:color w:val="000000" w:themeColor="text1"/>
                <w:sz w:val="22"/>
                <w:szCs w:val="22"/>
                <w:lang w:eastAsia="hr-HR"/>
              </w:rPr>
              <w:t>1.627</w:t>
            </w:r>
          </w:p>
        </w:tc>
        <w:tc>
          <w:tcPr>
            <w:tcW w:w="2976" w:type="dxa"/>
            <w:tcBorders>
              <w:top w:val="nil"/>
              <w:left w:val="nil"/>
              <w:bottom w:val="single" w:sz="4" w:space="0" w:color="A6A6A6"/>
              <w:right w:val="single" w:sz="4" w:space="0" w:color="A6A6A6"/>
            </w:tcBorders>
            <w:shd w:val="clear" w:color="auto" w:fill="auto"/>
            <w:vAlign w:val="center"/>
            <w:hideMark/>
          </w:tcPr>
          <w:p w14:paraId="57521E07" w14:textId="5464F00F" w:rsidR="00097BE3" w:rsidRPr="008E37AC" w:rsidRDefault="00097BE3" w:rsidP="000A132C">
            <w:pPr>
              <w:spacing w:line="240" w:lineRule="auto"/>
              <w:jc w:val="right"/>
              <w:rPr>
                <w:rFonts w:eastAsia="Times New Roman"/>
                <w:color w:val="000000"/>
                <w:sz w:val="22"/>
                <w:szCs w:val="22"/>
                <w:lang w:eastAsia="hr-HR"/>
              </w:rPr>
            </w:pPr>
            <w:r w:rsidRPr="00F674BA">
              <w:rPr>
                <w:rFonts w:eastAsia="Times New Roman"/>
                <w:color w:val="000000" w:themeColor="text1"/>
                <w:sz w:val="22"/>
                <w:szCs w:val="22"/>
                <w:lang w:eastAsia="hr-HR"/>
              </w:rPr>
              <w:t xml:space="preserve">  5.545.280,06 € </w:t>
            </w:r>
          </w:p>
        </w:tc>
      </w:tr>
      <w:tr w:rsidR="00C54F63" w:rsidRPr="008E37AC" w14:paraId="332D4387" w14:textId="77777777" w:rsidTr="000A132C">
        <w:trPr>
          <w:trHeight w:val="397"/>
        </w:trPr>
        <w:tc>
          <w:tcPr>
            <w:tcW w:w="2972" w:type="dxa"/>
            <w:tcBorders>
              <w:top w:val="nil"/>
              <w:left w:val="single" w:sz="4" w:space="0" w:color="A6A6A6"/>
              <w:bottom w:val="single" w:sz="4" w:space="0" w:color="A6A6A6"/>
              <w:right w:val="single" w:sz="4" w:space="0" w:color="A6A6A6"/>
            </w:tcBorders>
            <w:shd w:val="clear" w:color="000000" w:fill="002060"/>
            <w:vAlign w:val="center"/>
            <w:hideMark/>
          </w:tcPr>
          <w:p w14:paraId="11C8F352" w14:textId="3F5A5640" w:rsidR="00C54F63" w:rsidRPr="008E37AC" w:rsidRDefault="00C54F63" w:rsidP="00C54F63">
            <w:pPr>
              <w:spacing w:line="240" w:lineRule="auto"/>
              <w:jc w:val="left"/>
              <w:rPr>
                <w:rFonts w:eastAsia="Times New Roman"/>
                <w:color w:val="FFFFFF"/>
                <w:sz w:val="22"/>
                <w:szCs w:val="22"/>
                <w:lang w:eastAsia="hr-HR"/>
              </w:rPr>
            </w:pPr>
            <w:r w:rsidRPr="005F28A5">
              <w:rPr>
                <w:rFonts w:eastAsia="Times New Roman"/>
                <w:color w:val="FFFFFF" w:themeColor="background1"/>
                <w:sz w:val="22"/>
                <w:szCs w:val="22"/>
                <w:lang w:eastAsia="hr-HR"/>
              </w:rPr>
              <w:t>Ukupno</w:t>
            </w:r>
          </w:p>
        </w:tc>
        <w:tc>
          <w:tcPr>
            <w:tcW w:w="1418" w:type="dxa"/>
            <w:tcBorders>
              <w:top w:val="nil"/>
              <w:left w:val="nil"/>
              <w:bottom w:val="single" w:sz="4" w:space="0" w:color="A6A6A6"/>
              <w:right w:val="single" w:sz="4" w:space="0" w:color="A6A6A6"/>
            </w:tcBorders>
            <w:shd w:val="clear" w:color="000000" w:fill="002060"/>
            <w:vAlign w:val="center"/>
            <w:hideMark/>
          </w:tcPr>
          <w:p w14:paraId="652B3966" w14:textId="07ABB72F" w:rsidR="00C54F63" w:rsidRPr="008E37AC" w:rsidRDefault="00C54F63" w:rsidP="00C54F63">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lang w:eastAsia="hr-HR"/>
              </w:rPr>
              <w:t>95</w:t>
            </w:r>
          </w:p>
        </w:tc>
        <w:tc>
          <w:tcPr>
            <w:tcW w:w="1701" w:type="dxa"/>
            <w:tcBorders>
              <w:top w:val="nil"/>
              <w:left w:val="nil"/>
              <w:bottom w:val="single" w:sz="4" w:space="0" w:color="A6A6A6"/>
              <w:right w:val="single" w:sz="4" w:space="0" w:color="A6A6A6"/>
            </w:tcBorders>
            <w:shd w:val="clear" w:color="000000" w:fill="002060"/>
            <w:vAlign w:val="center"/>
            <w:hideMark/>
          </w:tcPr>
          <w:p w14:paraId="4645E921" w14:textId="619F490F" w:rsidR="00C54F63" w:rsidRPr="008E37AC" w:rsidRDefault="00C54F63" w:rsidP="00C54F63">
            <w:pPr>
              <w:spacing w:line="240" w:lineRule="auto"/>
              <w:jc w:val="center"/>
              <w:rPr>
                <w:rFonts w:eastAsia="Times New Roman"/>
                <w:color w:val="FFFFFF"/>
                <w:sz w:val="22"/>
                <w:szCs w:val="22"/>
                <w:lang w:eastAsia="hr-HR"/>
              </w:rPr>
            </w:pPr>
            <w:r w:rsidRPr="005F28A5">
              <w:rPr>
                <w:rFonts w:eastAsia="Times New Roman"/>
                <w:color w:val="FFFFFF" w:themeColor="background1"/>
                <w:sz w:val="22"/>
                <w:szCs w:val="22"/>
                <w:lang w:eastAsia="hr-HR"/>
              </w:rPr>
              <w:t>3.008</w:t>
            </w:r>
          </w:p>
        </w:tc>
        <w:tc>
          <w:tcPr>
            <w:tcW w:w="2976" w:type="dxa"/>
            <w:tcBorders>
              <w:top w:val="nil"/>
              <w:left w:val="nil"/>
              <w:bottom w:val="single" w:sz="4" w:space="0" w:color="A6A6A6"/>
              <w:right w:val="single" w:sz="4" w:space="0" w:color="A6A6A6"/>
            </w:tcBorders>
            <w:shd w:val="clear" w:color="000000" w:fill="002060"/>
            <w:vAlign w:val="center"/>
            <w:hideMark/>
          </w:tcPr>
          <w:p w14:paraId="030D601F" w14:textId="36C2AD20" w:rsidR="00C54F63" w:rsidRPr="008E37AC" w:rsidRDefault="00C54F63" w:rsidP="000A132C">
            <w:pPr>
              <w:spacing w:line="240" w:lineRule="auto"/>
              <w:jc w:val="right"/>
              <w:rPr>
                <w:rFonts w:eastAsia="Times New Roman"/>
                <w:color w:val="FFFFFF"/>
                <w:sz w:val="22"/>
                <w:szCs w:val="22"/>
                <w:lang w:eastAsia="hr-HR"/>
              </w:rPr>
            </w:pPr>
            <w:r w:rsidRPr="005F28A5">
              <w:rPr>
                <w:rFonts w:eastAsia="Times New Roman"/>
                <w:color w:val="FFFFFF" w:themeColor="background1"/>
                <w:sz w:val="22"/>
                <w:szCs w:val="22"/>
                <w:lang w:eastAsia="hr-HR"/>
              </w:rPr>
              <w:t xml:space="preserve">            59.617.312,75 € </w:t>
            </w:r>
          </w:p>
        </w:tc>
      </w:tr>
    </w:tbl>
    <w:p w14:paraId="02864565" w14:textId="77777777" w:rsidR="00486E88" w:rsidRDefault="00486E88">
      <w:pPr>
        <w:spacing w:after="160" w:line="259" w:lineRule="auto"/>
        <w:jc w:val="left"/>
        <w:rPr>
          <w:b/>
        </w:rPr>
      </w:pPr>
      <w:r>
        <w:br w:type="page"/>
      </w:r>
    </w:p>
    <w:p w14:paraId="58B1F296" w14:textId="01D2795B" w:rsidR="00481BC5" w:rsidRDefault="00C24117" w:rsidP="00AB0077">
      <w:pPr>
        <w:pStyle w:val="Heading1"/>
      </w:pPr>
      <w:bookmarkStart w:id="17" w:name="_Toc161040569"/>
      <w:r>
        <w:lastRenderedPageBreak/>
        <w:t>STAMBENO ZBRINJAVANJE</w:t>
      </w:r>
      <w:bookmarkEnd w:id="17"/>
    </w:p>
    <w:p w14:paraId="72E6B333" w14:textId="77777777" w:rsidR="00CC7A2A" w:rsidRDefault="00CC7A2A" w:rsidP="00CC7A2A"/>
    <w:p w14:paraId="45F4D551" w14:textId="742E2A44" w:rsidR="001C19B6" w:rsidRDefault="007F3FF6" w:rsidP="001C19B6">
      <w:pPr>
        <w:rPr>
          <w:bCs/>
        </w:rPr>
      </w:pPr>
      <w:r w:rsidRPr="007F3FF6">
        <w:t xml:space="preserve">Vlada Republike Hrvatske </w:t>
      </w:r>
      <w:r>
        <w:t>je 8. veljače 2023. usvojila P</w:t>
      </w:r>
      <w:r w:rsidR="001C19B6" w:rsidRPr="001C19B6">
        <w:t>rogram zbrinjavanja korisnika mobilnih stambenih jedinica na području Grada Zagreba, Krapinsko-zagorske županije, Zagrebačke županije, Sisačko-moslavačke županije i Karlovačke županije</w:t>
      </w:r>
      <w:r w:rsidR="00C17B16">
        <w:t xml:space="preserve"> (dalje: Program zbrinjavanja) </w:t>
      </w:r>
      <w:r w:rsidR="001C19B6" w:rsidRPr="001C19B6">
        <w:t xml:space="preserve"> </w:t>
      </w:r>
      <w:r>
        <w:t>čiji je primarni cilj bio</w:t>
      </w:r>
      <w:r w:rsidR="001C19B6" w:rsidRPr="001C19B6">
        <w:t xml:space="preserve"> stanovnicima potresom pogođenog područja koji su smješteni u </w:t>
      </w:r>
      <w:r w:rsidR="00760ADE">
        <w:t>mobilnim stambenim jedinicama (</w:t>
      </w:r>
      <w:r w:rsidR="001C19B6" w:rsidRPr="001C19B6">
        <w:t>kontejnerima</w:t>
      </w:r>
      <w:r w:rsidR="00760ADE">
        <w:t xml:space="preserve">) </w:t>
      </w:r>
      <w:r w:rsidR="001C19B6" w:rsidRPr="001C19B6">
        <w:rPr>
          <w:bCs/>
        </w:rPr>
        <w:t xml:space="preserve">osigurati </w:t>
      </w:r>
      <w:r w:rsidR="00760ADE">
        <w:rPr>
          <w:bCs/>
        </w:rPr>
        <w:t>primjereniji</w:t>
      </w:r>
      <w:r w:rsidR="001C19B6" w:rsidRPr="001C19B6">
        <w:rPr>
          <w:bCs/>
        </w:rPr>
        <w:t xml:space="preserve"> zamjenski smještaj, uz istodobnu obnovu njihovih domova. </w:t>
      </w:r>
    </w:p>
    <w:p w14:paraId="63D6752E" w14:textId="77777777" w:rsidR="007D5BFE" w:rsidRDefault="007D5BFE" w:rsidP="001C19B6">
      <w:pPr>
        <w:rPr>
          <w:bCs/>
        </w:rPr>
      </w:pPr>
    </w:p>
    <w:p w14:paraId="0F50FFE7" w14:textId="77777777" w:rsidR="007D5BFE" w:rsidRDefault="007D5BFE" w:rsidP="007D5BFE">
      <w:r>
        <w:t>Na području zagrebačkog i petrinjskog potresa ukupno se nalazilo 2.419 mobilnih stambenih jedinica u kojima je smješteno 6.258 korisnika odnosno 2.400 obitelji.</w:t>
      </w:r>
    </w:p>
    <w:p w14:paraId="317605DA" w14:textId="77777777" w:rsidR="007D5BFE" w:rsidRDefault="007D5BFE" w:rsidP="007D5BFE"/>
    <w:p w14:paraId="17CB5A3C" w14:textId="77777777" w:rsidR="007D5BFE" w:rsidRDefault="007D5BFE" w:rsidP="007D5BFE">
      <w:r>
        <w:t xml:space="preserve">Korisnici stambenog zbrinjavanja iz Programa smješteni su u 11 kontejnerskih naselja od čega je na području Grada Siska formirano sedam kontejnerskih naselja, na području Grada Petrinje tri kontejnerska naselja te na području Grada Gline jedno kontejnersko naselje. </w:t>
      </w:r>
    </w:p>
    <w:p w14:paraId="6F5161B2" w14:textId="77777777" w:rsidR="007D5BFE" w:rsidRDefault="007D5BFE" w:rsidP="007D5BFE"/>
    <w:p w14:paraId="201DE8D2" w14:textId="77777777" w:rsidR="007D5BFE" w:rsidRDefault="007D5BFE" w:rsidP="007D5BFE">
      <w:r>
        <w:t>Na području zagrebačkog potresa, u trenutku donošenja Programa, nalazilo se 68 mobilnih stambenih jedinica uz oštećenu zgradu u kojima je smješteno 67 obitelji. Na području petrinjskog potresa u kontejnerskim naseljima nalazilo se 297 mobilnih stambenih jedinica u kojima je smješteno 438 korisnika odnosno 287 obitelji, dok se na parcelama uz oštećenu zgradu nalazilo 2.054 mobilnih stambenih jedinica u kojima je bilo  smješteno 5.753 korisnika odnosno 2.046 obitelji.</w:t>
      </w:r>
    </w:p>
    <w:p w14:paraId="36797D35" w14:textId="77777777" w:rsidR="007D5BFE" w:rsidRDefault="007D5BFE" w:rsidP="007D5BFE"/>
    <w:p w14:paraId="6DC52794" w14:textId="437C8B6D" w:rsidR="007D5BFE" w:rsidRDefault="007D5BFE" w:rsidP="007D5BFE">
      <w:r>
        <w:t xml:space="preserve">Program se provodi kroz </w:t>
      </w:r>
      <w:r w:rsidR="00985BD8">
        <w:t>jedanaest</w:t>
      </w:r>
      <w:r>
        <w:t xml:space="preserve"> različitih modela zbrinjavanja korisnika mobilnih stambenih jedinica:</w:t>
      </w:r>
    </w:p>
    <w:p w14:paraId="3F8C43FD" w14:textId="77777777" w:rsidR="007D5BFE" w:rsidRDefault="007D5BFE" w:rsidP="007D5BFE">
      <w:r>
        <w:t xml:space="preserve"> </w:t>
      </w:r>
    </w:p>
    <w:p w14:paraId="0319180E" w14:textId="77777777" w:rsidR="007D5BFE" w:rsidRDefault="007D5BFE" w:rsidP="007D5BFE">
      <w:pPr>
        <w:pStyle w:val="ListParagraph"/>
        <w:numPr>
          <w:ilvl w:val="0"/>
          <w:numId w:val="4"/>
        </w:numPr>
      </w:pPr>
      <w:proofErr w:type="spellStart"/>
      <w:r>
        <w:t>nekonstrukcijska</w:t>
      </w:r>
      <w:proofErr w:type="spellEnd"/>
      <w:r>
        <w:t xml:space="preserve"> obnova zgrada</w:t>
      </w:r>
    </w:p>
    <w:p w14:paraId="74BC8E13" w14:textId="77777777" w:rsidR="007D5BFE" w:rsidRDefault="007D5BFE" w:rsidP="007D5BFE">
      <w:pPr>
        <w:pStyle w:val="ListParagraph"/>
        <w:numPr>
          <w:ilvl w:val="0"/>
          <w:numId w:val="4"/>
        </w:numPr>
      </w:pPr>
      <w:r>
        <w:t>gradnja zamjenskih obiteljskih kuća</w:t>
      </w:r>
    </w:p>
    <w:p w14:paraId="00A36991" w14:textId="77777777" w:rsidR="007D5BFE" w:rsidRDefault="007D5BFE" w:rsidP="007D5BFE">
      <w:pPr>
        <w:pStyle w:val="ListParagraph"/>
        <w:numPr>
          <w:ilvl w:val="0"/>
          <w:numId w:val="4"/>
        </w:numPr>
      </w:pPr>
      <w:r>
        <w:t>konstrukcijska obnova zgrada</w:t>
      </w:r>
    </w:p>
    <w:p w14:paraId="1815910E" w14:textId="77777777" w:rsidR="007D5BFE" w:rsidRDefault="007D5BFE" w:rsidP="007D5BFE">
      <w:pPr>
        <w:pStyle w:val="ListParagraph"/>
        <w:numPr>
          <w:ilvl w:val="0"/>
          <w:numId w:val="4"/>
        </w:numPr>
      </w:pPr>
      <w:r>
        <w:t>samoobnova</w:t>
      </w:r>
    </w:p>
    <w:p w14:paraId="0E6A9477" w14:textId="77777777" w:rsidR="007D5BFE" w:rsidRDefault="007D5BFE" w:rsidP="007D5BFE">
      <w:pPr>
        <w:pStyle w:val="ListParagraph"/>
        <w:numPr>
          <w:ilvl w:val="0"/>
          <w:numId w:val="4"/>
        </w:numPr>
      </w:pPr>
      <w:r>
        <w:t xml:space="preserve">gradnja </w:t>
      </w:r>
      <w:proofErr w:type="spellStart"/>
      <w:r>
        <w:t>višestambenih</w:t>
      </w:r>
      <w:proofErr w:type="spellEnd"/>
      <w:r>
        <w:t xml:space="preserve"> zgrada na području Sisačko-moslavačke županije financirane iz Operativnog programa konkurentnosti i kohezija</w:t>
      </w:r>
    </w:p>
    <w:p w14:paraId="29CE580F" w14:textId="77777777" w:rsidR="007D5BFE" w:rsidRDefault="007D5BFE" w:rsidP="007D5BFE">
      <w:pPr>
        <w:pStyle w:val="ListParagraph"/>
        <w:numPr>
          <w:ilvl w:val="0"/>
          <w:numId w:val="4"/>
        </w:numPr>
      </w:pPr>
      <w:r>
        <w:t>stambeno zbrinjavanje putem Agencije za promet i posredovanje nekretninama,</w:t>
      </w:r>
    </w:p>
    <w:p w14:paraId="6C1509D5" w14:textId="77777777" w:rsidR="007D5BFE" w:rsidRDefault="007D5BFE" w:rsidP="007D5BFE">
      <w:pPr>
        <w:pStyle w:val="ListParagraph"/>
        <w:numPr>
          <w:ilvl w:val="0"/>
          <w:numId w:val="4"/>
        </w:numPr>
      </w:pPr>
      <w:r>
        <w:t>stambeno zbrinjavanje u nekretninama u vlasništvu RH</w:t>
      </w:r>
    </w:p>
    <w:p w14:paraId="7E27126B" w14:textId="77777777" w:rsidR="007D5BFE" w:rsidRDefault="007D5BFE" w:rsidP="007D5BFE">
      <w:pPr>
        <w:pStyle w:val="ListParagraph"/>
        <w:numPr>
          <w:ilvl w:val="0"/>
          <w:numId w:val="4"/>
        </w:numPr>
      </w:pPr>
      <w:r>
        <w:t>javni Poziv za financiranje najamnina</w:t>
      </w:r>
    </w:p>
    <w:p w14:paraId="3BFA99F8" w14:textId="3F99CC85" w:rsidR="007D5BFE" w:rsidRDefault="007D5BFE" w:rsidP="007D5BFE">
      <w:pPr>
        <w:pStyle w:val="ListParagraph"/>
        <w:numPr>
          <w:ilvl w:val="0"/>
          <w:numId w:val="4"/>
        </w:numPr>
      </w:pPr>
      <w:r>
        <w:t xml:space="preserve">nabava privremenih </w:t>
      </w:r>
      <w:r w:rsidR="00C524F6">
        <w:t>montažnih</w:t>
      </w:r>
      <w:r>
        <w:t xml:space="preserve"> kuća visokoenergetske učinkovitosti</w:t>
      </w:r>
    </w:p>
    <w:p w14:paraId="17F185C1" w14:textId="4D604BD1" w:rsidR="007D5BFE" w:rsidRDefault="007D5BFE" w:rsidP="007D5BFE">
      <w:pPr>
        <w:pStyle w:val="ListParagraph"/>
        <w:numPr>
          <w:ilvl w:val="0"/>
          <w:numId w:val="4"/>
        </w:numPr>
      </w:pPr>
      <w:r>
        <w:t xml:space="preserve">gradnja </w:t>
      </w:r>
      <w:r w:rsidR="00C524F6">
        <w:t xml:space="preserve">drvenih </w:t>
      </w:r>
      <w:r>
        <w:t>kuća u svrhu proširenja kapaciteta domova za starije i nemoćne</w:t>
      </w:r>
    </w:p>
    <w:p w14:paraId="27A4FB9B" w14:textId="77777777" w:rsidR="007D5BFE" w:rsidRDefault="007D5BFE" w:rsidP="007D5BFE">
      <w:pPr>
        <w:pStyle w:val="ListParagraph"/>
        <w:numPr>
          <w:ilvl w:val="0"/>
          <w:numId w:val="4"/>
        </w:numPr>
      </w:pPr>
      <w:r>
        <w:t>modeli stambenog zbrinjavanja prema drugim propisima.</w:t>
      </w:r>
    </w:p>
    <w:p w14:paraId="7F552F83" w14:textId="77777777" w:rsidR="007D5BFE" w:rsidRDefault="007D5BFE" w:rsidP="007D5BFE"/>
    <w:p w14:paraId="020CBC5D" w14:textId="77777777" w:rsidR="007D5BFE" w:rsidRDefault="007D5BFE" w:rsidP="007D5BFE">
      <w:r>
        <w:t xml:space="preserve">Program propisuje prioritetnu obnovu oštećenih zgrada i obiteljskih kuća za korisnike mobilnih stambenih jedinica, no do dovršetka iste korisnici se privremeno zbrinjavaju u jedan od preostalih sedam modela stambenog zbrinjavanja. </w:t>
      </w:r>
    </w:p>
    <w:p w14:paraId="644A3E9D" w14:textId="77777777" w:rsidR="007D5BFE" w:rsidRDefault="007D5BFE" w:rsidP="001C19B6">
      <w:pPr>
        <w:rPr>
          <w:bCs/>
        </w:rPr>
      </w:pPr>
    </w:p>
    <w:p w14:paraId="0F4FCD4D" w14:textId="4B60228E" w:rsidR="000852F5" w:rsidRDefault="0050396A" w:rsidP="00F4045F">
      <w:pPr>
        <w:pStyle w:val="Heading2"/>
      </w:pPr>
      <w:bookmarkStart w:id="18" w:name="_Toc161040570"/>
      <w:r>
        <w:lastRenderedPageBreak/>
        <w:t xml:space="preserve">Stambeno zbrinjavanje </w:t>
      </w:r>
      <w:r w:rsidR="0086692D">
        <w:t xml:space="preserve">sredstvima </w:t>
      </w:r>
      <w:r w:rsidR="005C3305">
        <w:t>O</w:t>
      </w:r>
      <w:r w:rsidR="004B7607">
        <w:t>PKK</w:t>
      </w:r>
      <w:r w:rsidR="005C3305">
        <w:t xml:space="preserve"> 2014. – 2020.</w:t>
      </w:r>
      <w:bookmarkEnd w:id="18"/>
    </w:p>
    <w:p w14:paraId="261BF1CA" w14:textId="77777777" w:rsidR="00E914FC" w:rsidRDefault="00E914FC" w:rsidP="000852F5"/>
    <w:p w14:paraId="6D18412C" w14:textId="4CFBDF9A" w:rsidR="000852F5" w:rsidRDefault="008919D4" w:rsidP="000852F5">
      <w:r w:rsidRPr="008919D4">
        <w:t xml:space="preserve">S ciljem zbrinjavanja stanovništva </w:t>
      </w:r>
      <w:r>
        <w:t>na području Sisačko-moslavačke županije</w:t>
      </w:r>
      <w:r w:rsidR="006426F3">
        <w:t xml:space="preserve"> </w:t>
      </w:r>
      <w:r w:rsidR="006426F3" w:rsidRPr="008919D4">
        <w:t xml:space="preserve">sredstvima </w:t>
      </w:r>
      <w:r w:rsidR="006426F3" w:rsidRPr="002951F9">
        <w:t>Operativn</w:t>
      </w:r>
      <w:r w:rsidR="006426F3">
        <w:t>og</w:t>
      </w:r>
      <w:r w:rsidR="006426F3" w:rsidRPr="002951F9">
        <w:t xml:space="preserve"> program</w:t>
      </w:r>
      <w:r w:rsidR="006426F3">
        <w:t>a</w:t>
      </w:r>
      <w:r w:rsidR="006426F3" w:rsidRPr="002951F9">
        <w:t xml:space="preserve"> Konkurentnost i kohezija 2014. – 2020.</w:t>
      </w:r>
      <w:r w:rsidR="00E82E01">
        <w:t xml:space="preserve"> </w:t>
      </w:r>
      <w:r w:rsidR="009D3212">
        <w:t xml:space="preserve">izgraditi će se </w:t>
      </w:r>
      <w:r w:rsidR="006426F3">
        <w:t xml:space="preserve">ukupno </w:t>
      </w:r>
      <w:r w:rsidRPr="008919D4">
        <w:t xml:space="preserve">20 </w:t>
      </w:r>
      <w:proofErr w:type="spellStart"/>
      <w:r w:rsidRPr="008919D4">
        <w:t>višestambenih</w:t>
      </w:r>
      <w:proofErr w:type="spellEnd"/>
      <w:r w:rsidRPr="008919D4">
        <w:t xml:space="preserve"> zgrada s</w:t>
      </w:r>
      <w:r w:rsidR="00AE343D">
        <w:t>a</w:t>
      </w:r>
      <w:r w:rsidRPr="008919D4">
        <w:t xml:space="preserve"> 30</w:t>
      </w:r>
      <w:r>
        <w:t>8</w:t>
      </w:r>
      <w:r w:rsidRPr="008919D4">
        <w:t xml:space="preserve"> stanova</w:t>
      </w:r>
      <w:r w:rsidR="006426F3">
        <w:t>.</w:t>
      </w:r>
    </w:p>
    <w:p w14:paraId="64A83668" w14:textId="77777777" w:rsidR="00E82E01" w:rsidRDefault="00E82E01" w:rsidP="000852F5"/>
    <w:p w14:paraId="5F063047" w14:textId="2373AC45" w:rsidR="00E82E01" w:rsidRDefault="00E82E01" w:rsidP="000852F5">
      <w:r w:rsidRPr="00E82E01">
        <w:t>Zamjenski stanovi grade</w:t>
      </w:r>
      <w:r w:rsidR="00587E90">
        <w:t xml:space="preserve"> se</w:t>
      </w:r>
      <w:r w:rsidRPr="00E82E01">
        <w:t xml:space="preserve"> prvenstveno za postojeće korisnike programa stambenog zbrinjavanja koji imaju utvrđeno pravo na stambeno zbrinjavanje davanjem u najam kuća i stanova u vlasništvu R</w:t>
      </w:r>
      <w:r>
        <w:t>epublike Hrvatske</w:t>
      </w:r>
      <w:r w:rsidRPr="00E82E01">
        <w:t xml:space="preserve">, a  koji su sada, zbog oštećenja od potresa privremeno ili trajno neuporabljivi. Dio stanova </w:t>
      </w:r>
      <w:r w:rsidR="00B45E9E">
        <w:t xml:space="preserve">namijenjen je </w:t>
      </w:r>
      <w:r w:rsidRPr="00E82E01">
        <w:t>korisnicima koji čekaju obnovu svoje potresom oštećene imovine sukladno Zakonu o stambenom zbrinjavanju na potpomognutim područjima i Program</w:t>
      </w:r>
      <w:r w:rsidR="00587E90">
        <w:t>u</w:t>
      </w:r>
      <w:r w:rsidRPr="00E82E01">
        <w:t xml:space="preserve"> stambenog zbrinjavanja korisnika mobilnih stambenih jedinica, dok se njihovi domovi ne obnove ili </w:t>
      </w:r>
      <w:r w:rsidR="00587E90">
        <w:t xml:space="preserve">novi ne </w:t>
      </w:r>
      <w:r w:rsidRPr="00E82E01">
        <w:t xml:space="preserve">izgrade. Izgrađeni zamjenski stanovi </w:t>
      </w:r>
      <w:r w:rsidR="00B45E9E">
        <w:t xml:space="preserve">postaju </w:t>
      </w:r>
      <w:r w:rsidRPr="00E82E01">
        <w:t>vlasništvo R</w:t>
      </w:r>
      <w:r>
        <w:t>epublike Hrvatsk</w:t>
      </w:r>
      <w:r w:rsidR="00587E90">
        <w:t>e</w:t>
      </w:r>
      <w:r w:rsidRPr="00E82E01">
        <w:t xml:space="preserve">. </w:t>
      </w:r>
    </w:p>
    <w:p w14:paraId="147E368C" w14:textId="77777777" w:rsidR="00D94AC8" w:rsidRDefault="00D94AC8" w:rsidP="000852F5"/>
    <w:p w14:paraId="7F74634F" w14:textId="7CE6AB55" w:rsidR="00D94AC8" w:rsidRDefault="00D94AC8" w:rsidP="00587E90">
      <w:pPr>
        <w:rPr>
          <w:bCs/>
        </w:rPr>
      </w:pPr>
      <w:r w:rsidRPr="00D94AC8">
        <w:t>Do 31. prosinca 2023. z</w:t>
      </w:r>
      <w:r w:rsidRPr="00B74F79">
        <w:t>avršen</w:t>
      </w:r>
      <w:r w:rsidRPr="00D94AC8">
        <w:t xml:space="preserve">o je i useljeno 8 </w:t>
      </w:r>
      <w:proofErr w:type="spellStart"/>
      <w:r w:rsidRPr="00D94AC8">
        <w:t>višestambenih</w:t>
      </w:r>
      <w:proofErr w:type="spellEnd"/>
      <w:r w:rsidRPr="00D94AC8">
        <w:t xml:space="preserve"> zgrada </w:t>
      </w:r>
      <w:r w:rsidRPr="00B74F79">
        <w:t>u Petrinji</w:t>
      </w:r>
      <w:r w:rsidRPr="00B74F79">
        <w:rPr>
          <w:b/>
          <w:bCs/>
        </w:rPr>
        <w:t xml:space="preserve"> </w:t>
      </w:r>
      <w:r w:rsidRPr="00D94AC8">
        <w:t xml:space="preserve">s </w:t>
      </w:r>
      <w:r w:rsidRPr="00B74F79">
        <w:t>128 stanova i</w:t>
      </w:r>
      <w:r w:rsidRPr="00B74F79">
        <w:rPr>
          <w:b/>
          <w:bCs/>
        </w:rPr>
        <w:t xml:space="preserve"> </w:t>
      </w:r>
      <w:r w:rsidRPr="00D94AC8">
        <w:t>4</w:t>
      </w:r>
      <w:r w:rsidR="00587E90">
        <w:t xml:space="preserve"> </w:t>
      </w:r>
      <w:proofErr w:type="spellStart"/>
      <w:r w:rsidR="00587E90">
        <w:t>višestambene</w:t>
      </w:r>
      <w:proofErr w:type="spellEnd"/>
      <w:r w:rsidRPr="00D94AC8">
        <w:t xml:space="preserve"> zgrade </w:t>
      </w:r>
      <w:r w:rsidRPr="00B74F79">
        <w:t xml:space="preserve">u Glini </w:t>
      </w:r>
      <w:r w:rsidRPr="00D94AC8">
        <w:t xml:space="preserve">s </w:t>
      </w:r>
      <w:r w:rsidRPr="00B74F79">
        <w:t>52 stana</w:t>
      </w:r>
      <w:r>
        <w:t xml:space="preserve">, </w:t>
      </w:r>
      <w:r w:rsidRPr="00B74F79">
        <w:rPr>
          <w:bCs/>
        </w:rPr>
        <w:t xml:space="preserve">a preostale </w:t>
      </w:r>
      <w:r w:rsidR="00FA076B">
        <w:rPr>
          <w:bCs/>
        </w:rPr>
        <w:t xml:space="preserve">dvije </w:t>
      </w:r>
      <w:r w:rsidRPr="00B74F79">
        <w:rPr>
          <w:bCs/>
        </w:rPr>
        <w:t xml:space="preserve">zgrade u Gvozdu, </w:t>
      </w:r>
      <w:r w:rsidR="00FA076B">
        <w:rPr>
          <w:bCs/>
        </w:rPr>
        <w:t xml:space="preserve">dvije u </w:t>
      </w:r>
      <w:proofErr w:type="spellStart"/>
      <w:r w:rsidRPr="00B74F79">
        <w:rPr>
          <w:bCs/>
        </w:rPr>
        <w:t>Topuskom</w:t>
      </w:r>
      <w:proofErr w:type="spellEnd"/>
      <w:r w:rsidRPr="00B74F79">
        <w:rPr>
          <w:bCs/>
        </w:rPr>
        <w:t xml:space="preserve">, </w:t>
      </w:r>
      <w:r w:rsidR="00FA076B">
        <w:rPr>
          <w:bCs/>
        </w:rPr>
        <w:t xml:space="preserve">tri u </w:t>
      </w:r>
      <w:r w:rsidRPr="00B74F79">
        <w:rPr>
          <w:bCs/>
        </w:rPr>
        <w:t xml:space="preserve">Glini i </w:t>
      </w:r>
      <w:r w:rsidR="00FA076B">
        <w:rPr>
          <w:bCs/>
        </w:rPr>
        <w:t>jedn</w:t>
      </w:r>
      <w:r w:rsidR="00587E90">
        <w:rPr>
          <w:bCs/>
        </w:rPr>
        <w:t>a</w:t>
      </w:r>
      <w:r w:rsidR="00FA076B">
        <w:rPr>
          <w:bCs/>
        </w:rPr>
        <w:t xml:space="preserve"> u </w:t>
      </w:r>
      <w:r w:rsidRPr="00B74F79">
        <w:rPr>
          <w:bCs/>
        </w:rPr>
        <w:t xml:space="preserve">Dvoru biti će završene tijekom 2024. godine.  </w:t>
      </w:r>
    </w:p>
    <w:p w14:paraId="0608B9FD" w14:textId="77777777" w:rsidR="00587E90" w:rsidRDefault="00587E90" w:rsidP="00587E90"/>
    <w:p w14:paraId="57BB54DA" w14:textId="77777777" w:rsidR="003712DF" w:rsidRDefault="00587E90" w:rsidP="000852F5">
      <w:r>
        <w:t>U nastavku dajemo informacije o ugovorenim projektima</w:t>
      </w:r>
      <w:r w:rsidR="003712DF">
        <w:t xml:space="preserve">: </w:t>
      </w:r>
    </w:p>
    <w:p w14:paraId="15C0B07F" w14:textId="79A20589" w:rsidR="00E835F2" w:rsidRDefault="00587E90" w:rsidP="000852F5">
      <w:r>
        <w:t xml:space="preserve"> </w:t>
      </w:r>
    </w:p>
    <w:p w14:paraId="798F0649" w14:textId="03BB28E9" w:rsidR="009C63C6" w:rsidRPr="00C9549D" w:rsidRDefault="009C63C6" w:rsidP="008C0958">
      <w:pPr>
        <w:spacing w:line="259" w:lineRule="auto"/>
        <w:rPr>
          <w:rFonts w:eastAsia="BatangChe"/>
          <w:bCs/>
          <w:color w:val="000000" w:themeColor="text1"/>
        </w:rPr>
      </w:pPr>
      <w:r w:rsidRPr="009C63C6">
        <w:rPr>
          <w:rFonts w:eastAsiaTheme="minorHAnsi"/>
          <w:color w:val="000000" w:themeColor="text1"/>
        </w:rPr>
        <w:t>Projektom „Uklanjanje i izgradnja zamjenskih stambenih jedinica u vlasništvu RH na potresom pogođenim područjima – I“, ukupne vrijednosti 46,2 milijuna eura, obuhvaćeno je</w:t>
      </w:r>
      <w:r w:rsidR="001800D8">
        <w:rPr>
          <w:rFonts w:eastAsiaTheme="minorHAnsi"/>
          <w:color w:val="000000" w:themeColor="text1"/>
        </w:rPr>
        <w:t xml:space="preserve"> </w:t>
      </w:r>
      <w:r w:rsidRPr="009C63C6">
        <w:rPr>
          <w:rFonts w:eastAsiaTheme="minorHAnsi"/>
          <w:color w:val="000000" w:themeColor="text1"/>
        </w:rPr>
        <w:t xml:space="preserve">16 </w:t>
      </w:r>
      <w:proofErr w:type="spellStart"/>
      <w:r w:rsidRPr="009C63C6">
        <w:rPr>
          <w:rFonts w:eastAsiaTheme="minorHAnsi"/>
          <w:color w:val="000000" w:themeColor="text1"/>
        </w:rPr>
        <w:t>višestambenih</w:t>
      </w:r>
      <w:proofErr w:type="spellEnd"/>
      <w:r w:rsidRPr="009C63C6">
        <w:rPr>
          <w:rFonts w:eastAsiaTheme="minorHAnsi"/>
          <w:color w:val="000000" w:themeColor="text1"/>
        </w:rPr>
        <w:t xml:space="preserve"> zgrada sa ukupno 232 stambenih jedinica. Ukupna vrijednost ugovorenih sredstava 31. prosinca 2023. je 37,5 milijuna eura s PDV-om, te je realizirano 23,7 milijuna eura.</w:t>
      </w:r>
      <w:r w:rsidR="00965C60">
        <w:rPr>
          <w:rFonts w:eastAsiaTheme="minorHAnsi"/>
          <w:color w:val="000000" w:themeColor="text1"/>
        </w:rPr>
        <w:t xml:space="preserve"> </w:t>
      </w:r>
      <w:r w:rsidR="005A6B14" w:rsidRPr="005A6B14">
        <w:rPr>
          <w:rFonts w:eastAsiaTheme="minorHAnsi"/>
          <w:color w:val="000000" w:themeColor="text1"/>
        </w:rPr>
        <w:t xml:space="preserve">Završena je izgradnja 12 zgrada sa 180 stambenih jedinica </w:t>
      </w:r>
      <w:r w:rsidR="005A6B14">
        <w:rPr>
          <w:rFonts w:eastAsiaTheme="minorHAnsi"/>
          <w:color w:val="000000" w:themeColor="text1"/>
        </w:rPr>
        <w:t>u Petrinji i Glini, a četiri zgrade</w:t>
      </w:r>
      <w:r w:rsidR="001D5C55">
        <w:rPr>
          <w:rFonts w:eastAsiaTheme="minorHAnsi"/>
          <w:color w:val="000000" w:themeColor="text1"/>
        </w:rPr>
        <w:t xml:space="preserve"> sa 52 stambene jedinice</w:t>
      </w:r>
      <w:r w:rsidR="005A6B14">
        <w:rPr>
          <w:rFonts w:eastAsiaTheme="minorHAnsi"/>
          <w:color w:val="000000" w:themeColor="text1"/>
        </w:rPr>
        <w:t xml:space="preserve"> u </w:t>
      </w:r>
      <w:proofErr w:type="spellStart"/>
      <w:r w:rsidR="005A6B14">
        <w:rPr>
          <w:rFonts w:eastAsiaTheme="minorHAnsi"/>
          <w:color w:val="000000" w:themeColor="text1"/>
        </w:rPr>
        <w:t>Topuskom</w:t>
      </w:r>
      <w:proofErr w:type="spellEnd"/>
      <w:r w:rsidR="005A6B14">
        <w:rPr>
          <w:rFonts w:eastAsiaTheme="minorHAnsi"/>
          <w:color w:val="000000" w:themeColor="text1"/>
        </w:rPr>
        <w:t xml:space="preserve"> i Gvoz</w:t>
      </w:r>
      <w:r w:rsidR="008C6017">
        <w:rPr>
          <w:rFonts w:eastAsiaTheme="minorHAnsi"/>
          <w:color w:val="000000" w:themeColor="text1"/>
        </w:rPr>
        <w:t>d</w:t>
      </w:r>
      <w:r w:rsidR="005A6B14">
        <w:rPr>
          <w:rFonts w:eastAsiaTheme="minorHAnsi"/>
          <w:color w:val="000000" w:themeColor="text1"/>
        </w:rPr>
        <w:t>u s</w:t>
      </w:r>
      <w:r w:rsidR="008C6017">
        <w:rPr>
          <w:rFonts w:eastAsiaTheme="minorHAnsi"/>
          <w:color w:val="000000" w:themeColor="text1"/>
        </w:rPr>
        <w:t>u u fazi izgradnje.</w:t>
      </w:r>
    </w:p>
    <w:p w14:paraId="219995EC" w14:textId="77777777" w:rsidR="006C35A0" w:rsidRPr="00C9549D" w:rsidRDefault="006C35A0" w:rsidP="008C0958">
      <w:pPr>
        <w:spacing w:line="259" w:lineRule="auto"/>
        <w:rPr>
          <w:rFonts w:eastAsiaTheme="minorHAnsi"/>
          <w:b/>
          <w:color w:val="000000" w:themeColor="text1"/>
        </w:rPr>
      </w:pPr>
    </w:p>
    <w:p w14:paraId="1089621F" w14:textId="2FF8EA02" w:rsidR="006C35A0" w:rsidRPr="00C9549D" w:rsidRDefault="006C35A0" w:rsidP="00AA7FC7">
      <w:pPr>
        <w:spacing w:after="120" w:line="259" w:lineRule="auto"/>
        <w:rPr>
          <w:rFonts w:eastAsiaTheme="minorHAnsi"/>
          <w:bCs/>
          <w:i/>
          <w:iCs/>
          <w:color w:val="000000" w:themeColor="text1"/>
        </w:rPr>
      </w:pPr>
      <w:r w:rsidRPr="00C9549D">
        <w:rPr>
          <w:rFonts w:eastAsiaTheme="minorHAnsi"/>
          <w:bCs/>
          <w:i/>
          <w:iCs/>
          <w:color w:val="000000" w:themeColor="text1"/>
        </w:rPr>
        <w:t xml:space="preserve">Pregled </w:t>
      </w:r>
      <w:r w:rsidR="006343DD" w:rsidRPr="00C9549D">
        <w:rPr>
          <w:rFonts w:eastAsiaTheme="minorHAnsi"/>
          <w:bCs/>
          <w:i/>
          <w:iCs/>
          <w:color w:val="000000" w:themeColor="text1"/>
        </w:rPr>
        <w:t>uklanjanja i izgradnje zamjenskih stambenih jedinca u vlasništvu RH</w:t>
      </w:r>
    </w:p>
    <w:tbl>
      <w:tblPr>
        <w:tblW w:w="9067" w:type="dxa"/>
        <w:tblLayout w:type="fixed"/>
        <w:tblLook w:val="04A0" w:firstRow="1" w:lastRow="0" w:firstColumn="1" w:lastColumn="0" w:noHBand="0" w:noVBand="1"/>
      </w:tblPr>
      <w:tblGrid>
        <w:gridCol w:w="2266"/>
        <w:gridCol w:w="1912"/>
        <w:gridCol w:w="1913"/>
        <w:gridCol w:w="2976"/>
      </w:tblGrid>
      <w:tr w:rsidR="006C35A0" w:rsidRPr="00C9549D" w14:paraId="6978FAF3" w14:textId="77777777" w:rsidTr="00691986">
        <w:trPr>
          <w:trHeight w:val="718"/>
        </w:trPr>
        <w:tc>
          <w:tcPr>
            <w:tcW w:w="2266"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279B75D4" w14:textId="77777777" w:rsidR="006C35A0" w:rsidRPr="00C9549D" w:rsidRDefault="006C35A0" w:rsidP="006C35A0">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Lokacija zgrada</w:t>
            </w:r>
          </w:p>
        </w:tc>
        <w:tc>
          <w:tcPr>
            <w:tcW w:w="1912" w:type="dxa"/>
            <w:tcBorders>
              <w:top w:val="single" w:sz="4" w:space="0" w:color="A6A6A6"/>
              <w:left w:val="nil"/>
              <w:bottom w:val="single" w:sz="4" w:space="0" w:color="A6A6A6"/>
              <w:right w:val="single" w:sz="4" w:space="0" w:color="A6A6A6"/>
            </w:tcBorders>
            <w:shd w:val="clear" w:color="000000" w:fill="002060"/>
            <w:vAlign w:val="center"/>
            <w:hideMark/>
          </w:tcPr>
          <w:p w14:paraId="12041704" w14:textId="77777777" w:rsidR="006C35A0" w:rsidRPr="00C9549D" w:rsidRDefault="006C35A0" w:rsidP="006C35A0">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zgrada</w:t>
            </w:r>
          </w:p>
        </w:tc>
        <w:tc>
          <w:tcPr>
            <w:tcW w:w="1913" w:type="dxa"/>
            <w:tcBorders>
              <w:top w:val="single" w:sz="4" w:space="0" w:color="A6A6A6"/>
              <w:left w:val="nil"/>
              <w:bottom w:val="single" w:sz="4" w:space="0" w:color="A6A6A6"/>
              <w:right w:val="single" w:sz="4" w:space="0" w:color="A6A6A6"/>
            </w:tcBorders>
            <w:shd w:val="clear" w:color="000000" w:fill="002060"/>
            <w:vAlign w:val="center"/>
            <w:hideMark/>
          </w:tcPr>
          <w:p w14:paraId="41F3B57E" w14:textId="77777777" w:rsidR="006C35A0" w:rsidRPr="00C9549D" w:rsidRDefault="006C35A0" w:rsidP="006C35A0">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stambenih jedinica</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79DFD91D" w14:textId="77777777" w:rsidR="0035242A" w:rsidRDefault="006C35A0" w:rsidP="006C35A0">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Vrijednost ugovor</w:t>
            </w:r>
            <w:r w:rsidR="007E7D04">
              <w:rPr>
                <w:rFonts w:eastAsia="Times New Roman"/>
                <w:color w:val="FFFFFF"/>
                <w:sz w:val="22"/>
                <w:szCs w:val="22"/>
                <w:lang w:eastAsia="hr-HR"/>
              </w:rPr>
              <w:t>enih radova</w:t>
            </w:r>
          </w:p>
          <w:p w14:paraId="3D866FBA" w14:textId="2401F34F" w:rsidR="006C35A0" w:rsidRPr="00C9549D" w:rsidRDefault="006C35A0" w:rsidP="006C35A0">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(bez PDV-a)</w:t>
            </w:r>
          </w:p>
        </w:tc>
      </w:tr>
      <w:tr w:rsidR="006213B7" w:rsidRPr="00C9549D" w14:paraId="1AD788E2"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auto" w:fill="auto"/>
            <w:noWrap/>
            <w:vAlign w:val="center"/>
            <w:hideMark/>
          </w:tcPr>
          <w:p w14:paraId="614027F3" w14:textId="3E1D2320" w:rsidR="006213B7" w:rsidRPr="00C9549D" w:rsidRDefault="006213B7" w:rsidP="006213B7">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Petrinja</w:t>
            </w:r>
          </w:p>
        </w:tc>
        <w:tc>
          <w:tcPr>
            <w:tcW w:w="1912" w:type="dxa"/>
            <w:tcBorders>
              <w:top w:val="nil"/>
              <w:left w:val="nil"/>
              <w:bottom w:val="single" w:sz="4" w:space="0" w:color="A6A6A6"/>
              <w:right w:val="single" w:sz="4" w:space="0" w:color="A6A6A6"/>
            </w:tcBorders>
            <w:shd w:val="clear" w:color="auto" w:fill="auto"/>
            <w:noWrap/>
            <w:vAlign w:val="center"/>
            <w:hideMark/>
          </w:tcPr>
          <w:p w14:paraId="75496FCA" w14:textId="7ED94A1A"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8</w:t>
            </w:r>
          </w:p>
        </w:tc>
        <w:tc>
          <w:tcPr>
            <w:tcW w:w="1913" w:type="dxa"/>
            <w:tcBorders>
              <w:top w:val="nil"/>
              <w:left w:val="nil"/>
              <w:bottom w:val="single" w:sz="4" w:space="0" w:color="A6A6A6"/>
              <w:right w:val="single" w:sz="4" w:space="0" w:color="A6A6A6"/>
            </w:tcBorders>
            <w:shd w:val="clear" w:color="auto" w:fill="auto"/>
            <w:noWrap/>
            <w:vAlign w:val="center"/>
            <w:hideMark/>
          </w:tcPr>
          <w:p w14:paraId="1D528269" w14:textId="70FCD296"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128</w:t>
            </w:r>
          </w:p>
        </w:tc>
        <w:tc>
          <w:tcPr>
            <w:tcW w:w="2976" w:type="dxa"/>
            <w:tcBorders>
              <w:top w:val="nil"/>
              <w:left w:val="nil"/>
              <w:bottom w:val="single" w:sz="4" w:space="0" w:color="A6A6A6"/>
              <w:right w:val="single" w:sz="4" w:space="0" w:color="A6A6A6"/>
            </w:tcBorders>
            <w:shd w:val="clear" w:color="auto" w:fill="auto"/>
            <w:noWrap/>
            <w:vAlign w:val="center"/>
            <w:hideMark/>
          </w:tcPr>
          <w:p w14:paraId="0161AA86" w14:textId="2E27AA2C" w:rsidR="006213B7" w:rsidRPr="00C9549D" w:rsidRDefault="006213B7" w:rsidP="006213B7">
            <w:pPr>
              <w:spacing w:line="240" w:lineRule="auto"/>
              <w:jc w:val="right"/>
              <w:rPr>
                <w:rFonts w:eastAsia="Times New Roman"/>
                <w:color w:val="000000"/>
                <w:sz w:val="22"/>
                <w:szCs w:val="22"/>
                <w:lang w:eastAsia="hr-HR"/>
              </w:rPr>
            </w:pPr>
            <w:r>
              <w:rPr>
                <w:rFonts w:eastAsia="Times New Roman"/>
                <w:color w:val="000000"/>
                <w:sz w:val="22"/>
                <w:szCs w:val="22"/>
                <w:lang w:eastAsia="hr-HR"/>
              </w:rPr>
              <w:t>13.479.965,28</w:t>
            </w:r>
            <w:r w:rsidRPr="00C9549D">
              <w:rPr>
                <w:rFonts w:eastAsia="Times New Roman"/>
                <w:color w:val="000000"/>
                <w:sz w:val="22"/>
                <w:szCs w:val="22"/>
                <w:lang w:eastAsia="hr-HR"/>
              </w:rPr>
              <w:t xml:space="preserve"> € </w:t>
            </w:r>
          </w:p>
        </w:tc>
      </w:tr>
      <w:tr w:rsidR="006213B7" w:rsidRPr="00C9549D" w14:paraId="43E0ACCE"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auto" w:fill="auto"/>
            <w:noWrap/>
            <w:vAlign w:val="center"/>
            <w:hideMark/>
          </w:tcPr>
          <w:p w14:paraId="59AB1467" w14:textId="42B82031" w:rsidR="006213B7" w:rsidRPr="00C9549D" w:rsidRDefault="006213B7" w:rsidP="006213B7">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Glina</w:t>
            </w:r>
          </w:p>
        </w:tc>
        <w:tc>
          <w:tcPr>
            <w:tcW w:w="1912" w:type="dxa"/>
            <w:tcBorders>
              <w:top w:val="nil"/>
              <w:left w:val="nil"/>
              <w:bottom w:val="single" w:sz="4" w:space="0" w:color="A6A6A6"/>
              <w:right w:val="single" w:sz="4" w:space="0" w:color="A6A6A6"/>
            </w:tcBorders>
            <w:shd w:val="clear" w:color="auto" w:fill="auto"/>
            <w:noWrap/>
            <w:vAlign w:val="center"/>
            <w:hideMark/>
          </w:tcPr>
          <w:p w14:paraId="133A91A5" w14:textId="2CB7D936"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4</w:t>
            </w:r>
          </w:p>
        </w:tc>
        <w:tc>
          <w:tcPr>
            <w:tcW w:w="1913" w:type="dxa"/>
            <w:tcBorders>
              <w:top w:val="nil"/>
              <w:left w:val="nil"/>
              <w:bottom w:val="single" w:sz="4" w:space="0" w:color="A6A6A6"/>
              <w:right w:val="single" w:sz="4" w:space="0" w:color="A6A6A6"/>
            </w:tcBorders>
            <w:shd w:val="clear" w:color="auto" w:fill="auto"/>
            <w:noWrap/>
            <w:vAlign w:val="center"/>
            <w:hideMark/>
          </w:tcPr>
          <w:p w14:paraId="48F2170C" w14:textId="2414A531"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52</w:t>
            </w:r>
          </w:p>
        </w:tc>
        <w:tc>
          <w:tcPr>
            <w:tcW w:w="2976" w:type="dxa"/>
            <w:tcBorders>
              <w:top w:val="nil"/>
              <w:left w:val="nil"/>
              <w:bottom w:val="single" w:sz="4" w:space="0" w:color="A6A6A6"/>
              <w:right w:val="single" w:sz="4" w:space="0" w:color="A6A6A6"/>
            </w:tcBorders>
            <w:shd w:val="clear" w:color="auto" w:fill="auto"/>
            <w:noWrap/>
            <w:vAlign w:val="center"/>
            <w:hideMark/>
          </w:tcPr>
          <w:p w14:paraId="0A6AF25E" w14:textId="47120199" w:rsidR="006213B7" w:rsidRPr="00C9549D" w:rsidRDefault="006213B7" w:rsidP="006213B7">
            <w:pPr>
              <w:spacing w:line="240" w:lineRule="auto"/>
              <w:jc w:val="right"/>
              <w:rPr>
                <w:rFonts w:eastAsia="Times New Roman"/>
                <w:color w:val="000000"/>
                <w:sz w:val="22"/>
                <w:szCs w:val="22"/>
                <w:lang w:eastAsia="hr-HR"/>
              </w:rPr>
            </w:pPr>
            <w:r w:rsidRPr="00C9549D">
              <w:rPr>
                <w:rFonts w:eastAsia="Times New Roman"/>
                <w:color w:val="000000"/>
                <w:sz w:val="22"/>
                <w:szCs w:val="22"/>
                <w:lang w:eastAsia="hr-HR"/>
              </w:rPr>
              <w:t xml:space="preserve">       </w:t>
            </w:r>
            <w:r>
              <w:rPr>
                <w:rFonts w:eastAsia="Times New Roman"/>
                <w:color w:val="000000"/>
                <w:sz w:val="22"/>
                <w:szCs w:val="22"/>
                <w:lang w:eastAsia="hr-HR"/>
              </w:rPr>
              <w:t>6.360.348,19</w:t>
            </w:r>
            <w:r w:rsidRPr="00C9549D">
              <w:rPr>
                <w:rFonts w:eastAsia="Times New Roman"/>
                <w:color w:val="000000"/>
                <w:sz w:val="22"/>
                <w:szCs w:val="22"/>
                <w:lang w:eastAsia="hr-HR"/>
              </w:rPr>
              <w:t xml:space="preserve"> € </w:t>
            </w:r>
          </w:p>
        </w:tc>
      </w:tr>
      <w:tr w:rsidR="006213B7" w:rsidRPr="00C9549D" w14:paraId="32B4D784"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auto" w:fill="auto"/>
            <w:noWrap/>
            <w:vAlign w:val="center"/>
            <w:hideMark/>
          </w:tcPr>
          <w:p w14:paraId="1D523E91" w14:textId="18D41849" w:rsidR="006213B7" w:rsidRPr="00C9549D" w:rsidRDefault="006213B7" w:rsidP="006213B7">
            <w:pPr>
              <w:spacing w:line="240" w:lineRule="auto"/>
              <w:jc w:val="left"/>
              <w:rPr>
                <w:rFonts w:eastAsia="Times New Roman"/>
                <w:color w:val="000000"/>
                <w:sz w:val="22"/>
                <w:szCs w:val="22"/>
                <w:lang w:eastAsia="hr-HR"/>
              </w:rPr>
            </w:pPr>
            <w:proofErr w:type="spellStart"/>
            <w:r w:rsidRPr="00C9549D">
              <w:rPr>
                <w:rFonts w:eastAsia="Times New Roman"/>
                <w:color w:val="000000"/>
                <w:sz w:val="22"/>
                <w:szCs w:val="22"/>
                <w:lang w:eastAsia="hr-HR"/>
              </w:rPr>
              <w:t>Topusko</w:t>
            </w:r>
            <w:proofErr w:type="spellEnd"/>
          </w:p>
        </w:tc>
        <w:tc>
          <w:tcPr>
            <w:tcW w:w="1912" w:type="dxa"/>
            <w:tcBorders>
              <w:top w:val="nil"/>
              <w:left w:val="nil"/>
              <w:bottom w:val="single" w:sz="4" w:space="0" w:color="A6A6A6"/>
              <w:right w:val="single" w:sz="4" w:space="0" w:color="A6A6A6"/>
            </w:tcBorders>
            <w:shd w:val="clear" w:color="auto" w:fill="auto"/>
            <w:noWrap/>
            <w:vAlign w:val="center"/>
            <w:hideMark/>
          </w:tcPr>
          <w:p w14:paraId="77371172" w14:textId="1BB469DC" w:rsidR="006213B7" w:rsidRPr="00C9549D" w:rsidRDefault="006213B7" w:rsidP="006213B7">
            <w:pPr>
              <w:spacing w:line="240" w:lineRule="auto"/>
              <w:jc w:val="center"/>
              <w:rPr>
                <w:rFonts w:eastAsia="Times New Roman"/>
                <w:color w:val="000000"/>
                <w:sz w:val="22"/>
                <w:szCs w:val="22"/>
                <w:lang w:eastAsia="hr-HR"/>
              </w:rPr>
            </w:pPr>
            <w:r>
              <w:rPr>
                <w:rFonts w:eastAsia="Times New Roman"/>
                <w:color w:val="000000"/>
                <w:sz w:val="22"/>
                <w:szCs w:val="22"/>
                <w:lang w:eastAsia="hr-HR"/>
              </w:rPr>
              <w:t>2</w:t>
            </w:r>
          </w:p>
        </w:tc>
        <w:tc>
          <w:tcPr>
            <w:tcW w:w="1913" w:type="dxa"/>
            <w:tcBorders>
              <w:top w:val="nil"/>
              <w:left w:val="nil"/>
              <w:bottom w:val="single" w:sz="4" w:space="0" w:color="A6A6A6"/>
              <w:right w:val="single" w:sz="4" w:space="0" w:color="A6A6A6"/>
            </w:tcBorders>
            <w:shd w:val="clear" w:color="auto" w:fill="auto"/>
            <w:noWrap/>
            <w:vAlign w:val="center"/>
            <w:hideMark/>
          </w:tcPr>
          <w:p w14:paraId="16A53B47" w14:textId="734DDF61"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26</w:t>
            </w:r>
          </w:p>
        </w:tc>
        <w:tc>
          <w:tcPr>
            <w:tcW w:w="2976" w:type="dxa"/>
            <w:tcBorders>
              <w:top w:val="nil"/>
              <w:left w:val="nil"/>
              <w:bottom w:val="single" w:sz="4" w:space="0" w:color="A6A6A6"/>
              <w:right w:val="single" w:sz="4" w:space="0" w:color="A6A6A6"/>
            </w:tcBorders>
            <w:shd w:val="clear" w:color="auto" w:fill="auto"/>
            <w:noWrap/>
            <w:vAlign w:val="center"/>
            <w:hideMark/>
          </w:tcPr>
          <w:p w14:paraId="5BDFC5D1" w14:textId="0D7F90DD" w:rsidR="006213B7" w:rsidRPr="00C9549D" w:rsidRDefault="006213B7" w:rsidP="006213B7">
            <w:pPr>
              <w:spacing w:line="240" w:lineRule="auto"/>
              <w:jc w:val="right"/>
              <w:rPr>
                <w:rFonts w:eastAsia="Times New Roman"/>
                <w:color w:val="000000"/>
                <w:sz w:val="22"/>
                <w:szCs w:val="22"/>
                <w:lang w:eastAsia="hr-HR"/>
              </w:rPr>
            </w:pPr>
            <w:r w:rsidRPr="00C9549D">
              <w:rPr>
                <w:rFonts w:eastAsia="Times New Roman"/>
                <w:color w:val="000000"/>
                <w:sz w:val="22"/>
                <w:szCs w:val="22"/>
                <w:lang w:eastAsia="hr-HR"/>
              </w:rPr>
              <w:t xml:space="preserve">       3.392.207,61 € </w:t>
            </w:r>
          </w:p>
        </w:tc>
      </w:tr>
      <w:tr w:rsidR="006213B7" w:rsidRPr="00C9549D" w14:paraId="1121F40F"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auto" w:fill="auto"/>
            <w:noWrap/>
            <w:vAlign w:val="center"/>
            <w:hideMark/>
          </w:tcPr>
          <w:p w14:paraId="5EBCAEB4" w14:textId="71E5353D" w:rsidR="006213B7" w:rsidRPr="00C9549D" w:rsidRDefault="006213B7" w:rsidP="006213B7">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Gvozd</w:t>
            </w:r>
          </w:p>
        </w:tc>
        <w:tc>
          <w:tcPr>
            <w:tcW w:w="1912" w:type="dxa"/>
            <w:tcBorders>
              <w:top w:val="nil"/>
              <w:left w:val="nil"/>
              <w:bottom w:val="single" w:sz="4" w:space="0" w:color="A6A6A6"/>
              <w:right w:val="single" w:sz="4" w:space="0" w:color="A6A6A6"/>
            </w:tcBorders>
            <w:shd w:val="clear" w:color="auto" w:fill="auto"/>
            <w:noWrap/>
            <w:vAlign w:val="center"/>
            <w:hideMark/>
          </w:tcPr>
          <w:p w14:paraId="078721BC" w14:textId="013865E4"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2</w:t>
            </w:r>
          </w:p>
        </w:tc>
        <w:tc>
          <w:tcPr>
            <w:tcW w:w="1913" w:type="dxa"/>
            <w:tcBorders>
              <w:top w:val="nil"/>
              <w:left w:val="nil"/>
              <w:bottom w:val="single" w:sz="4" w:space="0" w:color="A6A6A6"/>
              <w:right w:val="single" w:sz="4" w:space="0" w:color="A6A6A6"/>
            </w:tcBorders>
            <w:shd w:val="clear" w:color="auto" w:fill="auto"/>
            <w:noWrap/>
            <w:vAlign w:val="center"/>
            <w:hideMark/>
          </w:tcPr>
          <w:p w14:paraId="6625E3D0" w14:textId="6BA991B3" w:rsidR="006213B7" w:rsidRPr="00C9549D" w:rsidRDefault="006213B7" w:rsidP="006213B7">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26</w:t>
            </w:r>
          </w:p>
        </w:tc>
        <w:tc>
          <w:tcPr>
            <w:tcW w:w="2976" w:type="dxa"/>
            <w:tcBorders>
              <w:top w:val="nil"/>
              <w:left w:val="nil"/>
              <w:bottom w:val="single" w:sz="4" w:space="0" w:color="A6A6A6"/>
              <w:right w:val="single" w:sz="4" w:space="0" w:color="A6A6A6"/>
            </w:tcBorders>
            <w:shd w:val="clear" w:color="auto" w:fill="auto"/>
            <w:noWrap/>
            <w:vAlign w:val="center"/>
            <w:hideMark/>
          </w:tcPr>
          <w:p w14:paraId="56A19D72" w14:textId="634770DE" w:rsidR="006213B7" w:rsidRPr="00C9549D" w:rsidRDefault="006213B7" w:rsidP="006213B7">
            <w:pPr>
              <w:spacing w:line="240" w:lineRule="auto"/>
              <w:jc w:val="right"/>
              <w:rPr>
                <w:rFonts w:eastAsia="Times New Roman"/>
                <w:color w:val="000000"/>
                <w:sz w:val="22"/>
                <w:szCs w:val="22"/>
                <w:lang w:eastAsia="hr-HR"/>
              </w:rPr>
            </w:pPr>
            <w:r w:rsidRPr="00C9549D">
              <w:rPr>
                <w:rFonts w:eastAsia="Times New Roman"/>
                <w:color w:val="000000"/>
                <w:sz w:val="22"/>
                <w:szCs w:val="22"/>
                <w:lang w:eastAsia="hr-HR"/>
              </w:rPr>
              <w:t xml:space="preserve">       3.181.195,21 € </w:t>
            </w:r>
          </w:p>
        </w:tc>
      </w:tr>
      <w:tr w:rsidR="006213B7" w:rsidRPr="00C9549D" w14:paraId="12EDE26C"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000000" w:fill="002060"/>
            <w:vAlign w:val="center"/>
            <w:hideMark/>
          </w:tcPr>
          <w:p w14:paraId="5E9CAE87" w14:textId="46C1EF28" w:rsidR="006213B7" w:rsidRPr="00C9549D" w:rsidRDefault="006213B7" w:rsidP="006213B7">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1912" w:type="dxa"/>
            <w:tcBorders>
              <w:top w:val="nil"/>
              <w:left w:val="nil"/>
              <w:bottom w:val="single" w:sz="4" w:space="0" w:color="A6A6A6"/>
              <w:right w:val="single" w:sz="4" w:space="0" w:color="A6A6A6"/>
            </w:tcBorders>
            <w:shd w:val="clear" w:color="000000" w:fill="002060"/>
            <w:vAlign w:val="center"/>
            <w:hideMark/>
          </w:tcPr>
          <w:p w14:paraId="3BE04B08" w14:textId="1900AAB3" w:rsidR="006213B7" w:rsidRPr="00C9549D" w:rsidRDefault="006213B7" w:rsidP="006213B7">
            <w:pPr>
              <w:spacing w:line="240" w:lineRule="auto"/>
              <w:jc w:val="center"/>
              <w:rPr>
                <w:rFonts w:eastAsia="Times New Roman"/>
                <w:color w:val="FFFFFF"/>
                <w:sz w:val="22"/>
                <w:szCs w:val="22"/>
                <w:lang w:eastAsia="hr-HR"/>
              </w:rPr>
            </w:pPr>
            <w:r>
              <w:rPr>
                <w:rFonts w:eastAsia="Times New Roman"/>
                <w:color w:val="FFFFFF"/>
                <w:sz w:val="22"/>
                <w:szCs w:val="22"/>
                <w:lang w:eastAsia="hr-HR"/>
              </w:rPr>
              <w:t>16</w:t>
            </w:r>
          </w:p>
        </w:tc>
        <w:tc>
          <w:tcPr>
            <w:tcW w:w="1913" w:type="dxa"/>
            <w:tcBorders>
              <w:top w:val="nil"/>
              <w:left w:val="nil"/>
              <w:bottom w:val="single" w:sz="4" w:space="0" w:color="A6A6A6"/>
              <w:right w:val="single" w:sz="4" w:space="0" w:color="A6A6A6"/>
            </w:tcBorders>
            <w:shd w:val="clear" w:color="000000" w:fill="002060"/>
            <w:vAlign w:val="center"/>
            <w:hideMark/>
          </w:tcPr>
          <w:p w14:paraId="26AB5184" w14:textId="49A14E59" w:rsidR="006213B7" w:rsidRPr="00C9549D" w:rsidRDefault="006213B7" w:rsidP="006213B7">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232</w:t>
            </w:r>
          </w:p>
        </w:tc>
        <w:tc>
          <w:tcPr>
            <w:tcW w:w="2976" w:type="dxa"/>
            <w:tcBorders>
              <w:top w:val="nil"/>
              <w:left w:val="nil"/>
              <w:bottom w:val="single" w:sz="4" w:space="0" w:color="A6A6A6"/>
              <w:right w:val="single" w:sz="4" w:space="0" w:color="A6A6A6"/>
            </w:tcBorders>
            <w:shd w:val="clear" w:color="000000" w:fill="002060"/>
            <w:vAlign w:val="center"/>
            <w:hideMark/>
          </w:tcPr>
          <w:p w14:paraId="1563061A" w14:textId="4C478473" w:rsidR="006213B7" w:rsidRPr="00C9549D" w:rsidRDefault="006213B7" w:rsidP="006213B7">
            <w:pPr>
              <w:spacing w:line="240" w:lineRule="auto"/>
              <w:jc w:val="right"/>
              <w:rPr>
                <w:rFonts w:eastAsia="Times New Roman"/>
                <w:color w:val="FFFFFF"/>
                <w:sz w:val="22"/>
                <w:szCs w:val="22"/>
                <w:lang w:eastAsia="hr-HR"/>
              </w:rPr>
            </w:pPr>
            <w:r>
              <w:rPr>
                <w:rFonts w:eastAsia="Times New Roman"/>
                <w:color w:val="FFFFFF"/>
                <w:sz w:val="22"/>
                <w:szCs w:val="22"/>
                <w:lang w:eastAsia="hr-HR"/>
              </w:rPr>
              <w:t>26.413.716,29</w:t>
            </w:r>
            <w:r w:rsidRPr="00C9549D">
              <w:rPr>
                <w:rFonts w:eastAsia="Times New Roman"/>
                <w:color w:val="FFFFFF"/>
                <w:sz w:val="22"/>
                <w:szCs w:val="22"/>
                <w:lang w:eastAsia="hr-HR"/>
              </w:rPr>
              <w:t xml:space="preserve"> € </w:t>
            </w:r>
          </w:p>
        </w:tc>
      </w:tr>
    </w:tbl>
    <w:p w14:paraId="6B134F87" w14:textId="0A6A5343" w:rsidR="00575BE1" w:rsidRDefault="00575BE1" w:rsidP="00C266FB">
      <w:pPr>
        <w:spacing w:before="60" w:after="60"/>
      </w:pPr>
    </w:p>
    <w:p w14:paraId="7BECE60A" w14:textId="71B163E5" w:rsidR="00BE0CDF" w:rsidRPr="00C9549D" w:rsidRDefault="00BE0CDF" w:rsidP="00E3650E">
      <w:pPr>
        <w:spacing w:line="259" w:lineRule="auto"/>
        <w:rPr>
          <w:rFonts w:eastAsia="BatangChe"/>
          <w:bCs/>
          <w:color w:val="000000" w:themeColor="text1"/>
        </w:rPr>
      </w:pPr>
      <w:r w:rsidRPr="003C16FF">
        <w:rPr>
          <w:rFonts w:eastAsiaTheme="minorHAnsi"/>
          <w:color w:val="000000" w:themeColor="text1"/>
        </w:rPr>
        <w:t xml:space="preserve">Projektom „Uklanjanje i izgradnja zamjenskih stambenih jedinca u vlasništvu RH na potresom pogođenim područjima – II“, ukupne vrijednosti 18,3 milijuna eura, obuhvaćene su četiri </w:t>
      </w:r>
      <w:proofErr w:type="spellStart"/>
      <w:r w:rsidRPr="003C16FF">
        <w:rPr>
          <w:rFonts w:eastAsiaTheme="minorHAnsi"/>
          <w:color w:val="000000" w:themeColor="text1"/>
        </w:rPr>
        <w:t>višestambene</w:t>
      </w:r>
      <w:proofErr w:type="spellEnd"/>
      <w:r w:rsidRPr="003C16FF">
        <w:rPr>
          <w:rFonts w:eastAsiaTheme="minorHAnsi"/>
          <w:color w:val="000000" w:themeColor="text1"/>
        </w:rPr>
        <w:t xml:space="preserve"> zgrade sa ukupno 76 stambenih jedinica. Uz </w:t>
      </w:r>
      <w:proofErr w:type="spellStart"/>
      <w:r w:rsidRPr="003C16FF">
        <w:rPr>
          <w:rFonts w:eastAsiaTheme="minorHAnsi"/>
          <w:color w:val="000000" w:themeColor="text1"/>
        </w:rPr>
        <w:t>višestambene</w:t>
      </w:r>
      <w:proofErr w:type="spellEnd"/>
      <w:r w:rsidRPr="003C16FF">
        <w:rPr>
          <w:rFonts w:eastAsiaTheme="minorHAnsi"/>
          <w:color w:val="000000" w:themeColor="text1"/>
        </w:rPr>
        <w:t xml:space="preserve"> zgrade ugovorena je izgradnja 27 obiteljskih kuća, a na dan 31. prosinca 2023. u fazi izgradnje bilo je 1</w:t>
      </w:r>
      <w:r w:rsidR="00B061D2" w:rsidRPr="003C16FF">
        <w:rPr>
          <w:rFonts w:eastAsiaTheme="minorHAnsi"/>
          <w:color w:val="000000" w:themeColor="text1"/>
        </w:rPr>
        <w:t>6</w:t>
      </w:r>
      <w:r w:rsidRPr="003C16FF">
        <w:rPr>
          <w:rFonts w:eastAsiaTheme="minorHAnsi"/>
          <w:color w:val="000000" w:themeColor="text1"/>
        </w:rPr>
        <w:t xml:space="preserve"> kuća. Ukupna vrijednost ugovorenih sredstava 31. prosinca 2023. je 15,3 milijuna eura s PDV-om, a realizirano je 2,2 milijuna eura.</w:t>
      </w:r>
    </w:p>
    <w:p w14:paraId="1E7463C2" w14:textId="7B3622A5" w:rsidR="003F62F1" w:rsidRPr="00C9549D" w:rsidRDefault="003F62F1" w:rsidP="00AA7FC7">
      <w:pPr>
        <w:spacing w:after="120" w:line="259" w:lineRule="auto"/>
        <w:rPr>
          <w:rFonts w:eastAsiaTheme="minorHAnsi"/>
          <w:bCs/>
          <w:i/>
          <w:iCs/>
          <w:color w:val="000000" w:themeColor="text1"/>
        </w:rPr>
      </w:pPr>
      <w:r w:rsidRPr="00C9549D">
        <w:rPr>
          <w:rFonts w:eastAsiaTheme="minorHAnsi"/>
          <w:bCs/>
          <w:i/>
          <w:iCs/>
          <w:color w:val="000000" w:themeColor="text1"/>
        </w:rPr>
        <w:lastRenderedPageBreak/>
        <w:t xml:space="preserve">Pregled uklanjanja i izgradnje zamjenskih stambenih </w:t>
      </w:r>
      <w:r w:rsidR="00DF1775" w:rsidRPr="00C9549D">
        <w:rPr>
          <w:rFonts w:eastAsiaTheme="minorHAnsi"/>
          <w:bCs/>
          <w:i/>
          <w:iCs/>
          <w:color w:val="000000" w:themeColor="text1"/>
        </w:rPr>
        <w:t>zgrada</w:t>
      </w:r>
      <w:r w:rsidRPr="00C9549D">
        <w:rPr>
          <w:rFonts w:eastAsiaTheme="minorHAnsi"/>
          <w:bCs/>
          <w:i/>
          <w:iCs/>
          <w:color w:val="000000" w:themeColor="text1"/>
        </w:rPr>
        <w:t xml:space="preserve"> u vlasništvu RH</w:t>
      </w:r>
    </w:p>
    <w:tbl>
      <w:tblPr>
        <w:tblW w:w="9067" w:type="dxa"/>
        <w:tblLayout w:type="fixed"/>
        <w:tblLook w:val="04A0" w:firstRow="1" w:lastRow="0" w:firstColumn="1" w:lastColumn="0" w:noHBand="0" w:noVBand="1"/>
      </w:tblPr>
      <w:tblGrid>
        <w:gridCol w:w="2266"/>
        <w:gridCol w:w="1840"/>
        <w:gridCol w:w="1985"/>
        <w:gridCol w:w="2976"/>
      </w:tblGrid>
      <w:tr w:rsidR="003F62F1" w:rsidRPr="00C9549D" w14:paraId="1C68B296" w14:textId="77777777" w:rsidTr="007D2024">
        <w:trPr>
          <w:trHeight w:val="556"/>
        </w:trPr>
        <w:tc>
          <w:tcPr>
            <w:tcW w:w="2266"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7223C471" w14:textId="77777777" w:rsidR="003F62F1" w:rsidRPr="00C9549D" w:rsidRDefault="003F62F1"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Lokacija zgrada</w:t>
            </w:r>
          </w:p>
        </w:tc>
        <w:tc>
          <w:tcPr>
            <w:tcW w:w="1840" w:type="dxa"/>
            <w:tcBorders>
              <w:top w:val="single" w:sz="4" w:space="0" w:color="A6A6A6"/>
              <w:left w:val="nil"/>
              <w:bottom w:val="single" w:sz="4" w:space="0" w:color="A6A6A6"/>
              <w:right w:val="single" w:sz="4" w:space="0" w:color="A6A6A6"/>
            </w:tcBorders>
            <w:shd w:val="clear" w:color="000000" w:fill="002060"/>
            <w:vAlign w:val="center"/>
            <w:hideMark/>
          </w:tcPr>
          <w:p w14:paraId="61342161" w14:textId="77777777" w:rsidR="003F62F1" w:rsidRPr="00C9549D" w:rsidRDefault="003F62F1"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zgrada</w:t>
            </w:r>
          </w:p>
        </w:tc>
        <w:tc>
          <w:tcPr>
            <w:tcW w:w="1985" w:type="dxa"/>
            <w:tcBorders>
              <w:top w:val="single" w:sz="4" w:space="0" w:color="A6A6A6"/>
              <w:left w:val="nil"/>
              <w:bottom w:val="single" w:sz="4" w:space="0" w:color="A6A6A6"/>
              <w:right w:val="single" w:sz="4" w:space="0" w:color="A6A6A6"/>
            </w:tcBorders>
            <w:shd w:val="clear" w:color="000000" w:fill="002060"/>
            <w:vAlign w:val="center"/>
            <w:hideMark/>
          </w:tcPr>
          <w:p w14:paraId="27F169AB" w14:textId="77777777" w:rsidR="003F62F1" w:rsidRPr="00C9549D" w:rsidRDefault="003F62F1"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stambenih jedinica</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6D125BBF" w14:textId="77777777" w:rsidR="0035242A" w:rsidRDefault="003F62F1" w:rsidP="0035242A">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 xml:space="preserve">Vrijednost </w:t>
            </w:r>
            <w:r w:rsidR="0035242A" w:rsidRPr="00C9549D">
              <w:rPr>
                <w:rFonts w:eastAsia="Times New Roman"/>
                <w:color w:val="FFFFFF"/>
                <w:sz w:val="22"/>
                <w:szCs w:val="22"/>
                <w:lang w:eastAsia="hr-HR"/>
              </w:rPr>
              <w:t>ugovor</w:t>
            </w:r>
            <w:r w:rsidR="0035242A">
              <w:rPr>
                <w:rFonts w:eastAsia="Times New Roman"/>
                <w:color w:val="FFFFFF"/>
                <w:sz w:val="22"/>
                <w:szCs w:val="22"/>
                <w:lang w:eastAsia="hr-HR"/>
              </w:rPr>
              <w:t>enih radova</w:t>
            </w:r>
          </w:p>
          <w:p w14:paraId="736FA062" w14:textId="7456A49F" w:rsidR="003F62F1" w:rsidRPr="00C9549D" w:rsidRDefault="003F62F1" w:rsidP="00861662">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(bez PDV-a)</w:t>
            </w:r>
          </w:p>
        </w:tc>
      </w:tr>
      <w:tr w:rsidR="008D50CD" w:rsidRPr="00C9549D" w14:paraId="7F19AE4C"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auto" w:fill="auto"/>
            <w:noWrap/>
            <w:vAlign w:val="center"/>
            <w:hideMark/>
          </w:tcPr>
          <w:p w14:paraId="7FB63A07" w14:textId="52141B04" w:rsidR="008D50CD" w:rsidRPr="00C9549D" w:rsidRDefault="008D50CD" w:rsidP="008D50CD">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Glina</w:t>
            </w:r>
          </w:p>
        </w:tc>
        <w:tc>
          <w:tcPr>
            <w:tcW w:w="1840" w:type="dxa"/>
            <w:tcBorders>
              <w:top w:val="nil"/>
              <w:left w:val="nil"/>
              <w:bottom w:val="single" w:sz="4" w:space="0" w:color="A6A6A6"/>
              <w:right w:val="single" w:sz="4" w:space="0" w:color="A6A6A6"/>
            </w:tcBorders>
            <w:shd w:val="clear" w:color="auto" w:fill="auto"/>
            <w:noWrap/>
            <w:vAlign w:val="center"/>
            <w:hideMark/>
          </w:tcPr>
          <w:p w14:paraId="0CDD1B74" w14:textId="685D45D0" w:rsidR="008D50CD" w:rsidRPr="00C9549D" w:rsidRDefault="008D50CD" w:rsidP="008D50CD">
            <w:pPr>
              <w:spacing w:line="240" w:lineRule="auto"/>
              <w:jc w:val="center"/>
              <w:rPr>
                <w:rFonts w:eastAsia="Times New Roman"/>
                <w:color w:val="000000"/>
                <w:sz w:val="22"/>
                <w:szCs w:val="22"/>
                <w:lang w:eastAsia="hr-HR"/>
              </w:rPr>
            </w:pPr>
            <w:r>
              <w:rPr>
                <w:color w:val="000000"/>
                <w:sz w:val="22"/>
                <w:szCs w:val="22"/>
              </w:rPr>
              <w:t>3</w:t>
            </w:r>
          </w:p>
        </w:tc>
        <w:tc>
          <w:tcPr>
            <w:tcW w:w="1985" w:type="dxa"/>
            <w:tcBorders>
              <w:top w:val="nil"/>
              <w:left w:val="nil"/>
              <w:bottom w:val="single" w:sz="4" w:space="0" w:color="A6A6A6"/>
              <w:right w:val="single" w:sz="4" w:space="0" w:color="A6A6A6"/>
            </w:tcBorders>
            <w:shd w:val="clear" w:color="auto" w:fill="auto"/>
            <w:noWrap/>
            <w:vAlign w:val="center"/>
            <w:hideMark/>
          </w:tcPr>
          <w:p w14:paraId="1972DCD4" w14:textId="5D4C22D7" w:rsidR="008D50CD" w:rsidRPr="00C9549D" w:rsidRDefault="008D50CD" w:rsidP="008D50CD">
            <w:pPr>
              <w:spacing w:line="240" w:lineRule="auto"/>
              <w:jc w:val="center"/>
              <w:rPr>
                <w:rFonts w:eastAsia="Times New Roman"/>
                <w:color w:val="000000"/>
                <w:sz w:val="22"/>
                <w:szCs w:val="22"/>
                <w:lang w:eastAsia="hr-HR"/>
              </w:rPr>
            </w:pPr>
            <w:r>
              <w:rPr>
                <w:color w:val="000000"/>
                <w:sz w:val="22"/>
                <w:szCs w:val="22"/>
              </w:rPr>
              <w:t>57</w:t>
            </w:r>
          </w:p>
        </w:tc>
        <w:tc>
          <w:tcPr>
            <w:tcW w:w="2976" w:type="dxa"/>
            <w:tcBorders>
              <w:top w:val="nil"/>
              <w:left w:val="nil"/>
              <w:bottom w:val="single" w:sz="4" w:space="0" w:color="A6A6A6"/>
              <w:right w:val="single" w:sz="4" w:space="0" w:color="A6A6A6"/>
            </w:tcBorders>
            <w:shd w:val="clear" w:color="auto" w:fill="auto"/>
            <w:noWrap/>
            <w:vAlign w:val="center"/>
            <w:hideMark/>
          </w:tcPr>
          <w:p w14:paraId="668E6085" w14:textId="4CE1699F" w:rsidR="008D50CD" w:rsidRPr="00C9549D" w:rsidRDefault="008D50CD" w:rsidP="008D50CD">
            <w:pPr>
              <w:spacing w:line="240" w:lineRule="auto"/>
              <w:jc w:val="right"/>
              <w:rPr>
                <w:rFonts w:eastAsia="Times New Roman"/>
                <w:color w:val="000000"/>
                <w:sz w:val="22"/>
                <w:szCs w:val="22"/>
                <w:lang w:eastAsia="hr-HR"/>
              </w:rPr>
            </w:pPr>
            <w:r>
              <w:rPr>
                <w:color w:val="000000"/>
                <w:sz w:val="22"/>
                <w:szCs w:val="22"/>
              </w:rPr>
              <w:t xml:space="preserve">       6.066.454,29 € </w:t>
            </w:r>
          </w:p>
        </w:tc>
      </w:tr>
      <w:tr w:rsidR="008D50CD" w:rsidRPr="00C9549D" w14:paraId="56F9BDBF"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auto" w:fill="auto"/>
            <w:noWrap/>
            <w:vAlign w:val="center"/>
            <w:hideMark/>
          </w:tcPr>
          <w:p w14:paraId="176280D2" w14:textId="7E9DD897" w:rsidR="008D50CD" w:rsidRPr="00C9549D" w:rsidRDefault="008D50CD" w:rsidP="008D50CD">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Gvozd</w:t>
            </w:r>
          </w:p>
        </w:tc>
        <w:tc>
          <w:tcPr>
            <w:tcW w:w="1840" w:type="dxa"/>
            <w:tcBorders>
              <w:top w:val="nil"/>
              <w:left w:val="nil"/>
              <w:bottom w:val="single" w:sz="4" w:space="0" w:color="A6A6A6"/>
              <w:right w:val="single" w:sz="4" w:space="0" w:color="A6A6A6"/>
            </w:tcBorders>
            <w:shd w:val="clear" w:color="auto" w:fill="auto"/>
            <w:noWrap/>
            <w:vAlign w:val="center"/>
            <w:hideMark/>
          </w:tcPr>
          <w:p w14:paraId="38F4B462" w14:textId="088B2546" w:rsidR="008D50CD" w:rsidRPr="00C9549D" w:rsidRDefault="008D50CD" w:rsidP="008D50CD">
            <w:pPr>
              <w:spacing w:line="240" w:lineRule="auto"/>
              <w:jc w:val="center"/>
              <w:rPr>
                <w:rFonts w:eastAsia="Times New Roman"/>
                <w:color w:val="000000"/>
                <w:sz w:val="22"/>
                <w:szCs w:val="22"/>
                <w:lang w:eastAsia="hr-HR"/>
              </w:rPr>
            </w:pPr>
            <w:r>
              <w:rPr>
                <w:color w:val="000000"/>
                <w:sz w:val="22"/>
                <w:szCs w:val="22"/>
              </w:rPr>
              <w:t>1</w:t>
            </w:r>
          </w:p>
        </w:tc>
        <w:tc>
          <w:tcPr>
            <w:tcW w:w="1985" w:type="dxa"/>
            <w:tcBorders>
              <w:top w:val="nil"/>
              <w:left w:val="nil"/>
              <w:bottom w:val="single" w:sz="4" w:space="0" w:color="A6A6A6"/>
              <w:right w:val="single" w:sz="4" w:space="0" w:color="A6A6A6"/>
            </w:tcBorders>
            <w:shd w:val="clear" w:color="auto" w:fill="auto"/>
            <w:noWrap/>
            <w:vAlign w:val="center"/>
            <w:hideMark/>
          </w:tcPr>
          <w:p w14:paraId="1EB8E101" w14:textId="5D21B130" w:rsidR="008D50CD" w:rsidRPr="00C9549D" w:rsidRDefault="008D50CD" w:rsidP="008D50CD">
            <w:pPr>
              <w:spacing w:line="240" w:lineRule="auto"/>
              <w:jc w:val="center"/>
              <w:rPr>
                <w:rFonts w:eastAsia="Times New Roman"/>
                <w:color w:val="000000"/>
                <w:sz w:val="22"/>
                <w:szCs w:val="22"/>
                <w:lang w:eastAsia="hr-HR"/>
              </w:rPr>
            </w:pPr>
            <w:r>
              <w:rPr>
                <w:color w:val="000000"/>
                <w:sz w:val="22"/>
                <w:szCs w:val="22"/>
              </w:rPr>
              <w:t>19</w:t>
            </w:r>
          </w:p>
        </w:tc>
        <w:tc>
          <w:tcPr>
            <w:tcW w:w="2976" w:type="dxa"/>
            <w:tcBorders>
              <w:top w:val="nil"/>
              <w:left w:val="nil"/>
              <w:bottom w:val="single" w:sz="4" w:space="0" w:color="A6A6A6"/>
              <w:right w:val="single" w:sz="4" w:space="0" w:color="A6A6A6"/>
            </w:tcBorders>
            <w:shd w:val="clear" w:color="auto" w:fill="auto"/>
            <w:noWrap/>
            <w:vAlign w:val="center"/>
            <w:hideMark/>
          </w:tcPr>
          <w:p w14:paraId="359CAF31" w14:textId="70977891" w:rsidR="008D50CD" w:rsidRPr="00C9549D" w:rsidRDefault="008D50CD" w:rsidP="008D50CD">
            <w:pPr>
              <w:spacing w:line="240" w:lineRule="auto"/>
              <w:jc w:val="right"/>
              <w:rPr>
                <w:rFonts w:eastAsia="Times New Roman"/>
                <w:color w:val="000000"/>
                <w:sz w:val="22"/>
                <w:szCs w:val="22"/>
                <w:lang w:eastAsia="hr-HR"/>
              </w:rPr>
            </w:pPr>
            <w:r>
              <w:rPr>
                <w:color w:val="000000"/>
                <w:sz w:val="22"/>
                <w:szCs w:val="22"/>
              </w:rPr>
              <w:t xml:space="preserve">       1.895.804,77 € </w:t>
            </w:r>
          </w:p>
        </w:tc>
      </w:tr>
      <w:tr w:rsidR="008D50CD" w:rsidRPr="00C9549D" w14:paraId="15B76571" w14:textId="77777777" w:rsidTr="007D2024">
        <w:trPr>
          <w:trHeight w:val="340"/>
        </w:trPr>
        <w:tc>
          <w:tcPr>
            <w:tcW w:w="2266" w:type="dxa"/>
            <w:tcBorders>
              <w:top w:val="nil"/>
              <w:left w:val="single" w:sz="4" w:space="0" w:color="A6A6A6"/>
              <w:bottom w:val="single" w:sz="4" w:space="0" w:color="A6A6A6"/>
              <w:right w:val="single" w:sz="4" w:space="0" w:color="A6A6A6"/>
            </w:tcBorders>
            <w:shd w:val="clear" w:color="000000" w:fill="002060"/>
            <w:vAlign w:val="center"/>
            <w:hideMark/>
          </w:tcPr>
          <w:p w14:paraId="45F12526" w14:textId="7DF955B9" w:rsidR="008D50CD" w:rsidRPr="00C9549D" w:rsidRDefault="008D50CD" w:rsidP="008D50CD">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1840" w:type="dxa"/>
            <w:tcBorders>
              <w:top w:val="nil"/>
              <w:left w:val="nil"/>
              <w:bottom w:val="single" w:sz="4" w:space="0" w:color="A6A6A6"/>
              <w:right w:val="single" w:sz="4" w:space="0" w:color="A6A6A6"/>
            </w:tcBorders>
            <w:shd w:val="clear" w:color="000000" w:fill="002060"/>
            <w:vAlign w:val="center"/>
            <w:hideMark/>
          </w:tcPr>
          <w:p w14:paraId="4F2AF7B3" w14:textId="615A8E92" w:rsidR="008D50CD" w:rsidRPr="00C9549D" w:rsidRDefault="008D50CD" w:rsidP="008D50CD">
            <w:pPr>
              <w:spacing w:line="240" w:lineRule="auto"/>
              <w:jc w:val="center"/>
              <w:rPr>
                <w:rFonts w:eastAsia="Times New Roman"/>
                <w:color w:val="FFFFFF"/>
                <w:sz w:val="22"/>
                <w:szCs w:val="22"/>
                <w:lang w:eastAsia="hr-HR"/>
              </w:rPr>
            </w:pPr>
            <w:r>
              <w:rPr>
                <w:color w:val="FFFFFF"/>
                <w:sz w:val="22"/>
                <w:szCs w:val="22"/>
              </w:rPr>
              <w:t>4</w:t>
            </w:r>
          </w:p>
        </w:tc>
        <w:tc>
          <w:tcPr>
            <w:tcW w:w="1985" w:type="dxa"/>
            <w:tcBorders>
              <w:top w:val="nil"/>
              <w:left w:val="nil"/>
              <w:bottom w:val="single" w:sz="4" w:space="0" w:color="A6A6A6"/>
              <w:right w:val="single" w:sz="4" w:space="0" w:color="A6A6A6"/>
            </w:tcBorders>
            <w:shd w:val="clear" w:color="000000" w:fill="002060"/>
            <w:vAlign w:val="center"/>
            <w:hideMark/>
          </w:tcPr>
          <w:p w14:paraId="3E6D6026" w14:textId="6A1C5453" w:rsidR="008D50CD" w:rsidRPr="00C9549D" w:rsidRDefault="008D50CD" w:rsidP="008D50CD">
            <w:pPr>
              <w:spacing w:line="240" w:lineRule="auto"/>
              <w:jc w:val="center"/>
              <w:rPr>
                <w:rFonts w:eastAsia="Times New Roman"/>
                <w:color w:val="FFFFFF"/>
                <w:sz w:val="22"/>
                <w:szCs w:val="22"/>
                <w:lang w:eastAsia="hr-HR"/>
              </w:rPr>
            </w:pPr>
            <w:r>
              <w:rPr>
                <w:color w:val="FFFFFF"/>
                <w:sz w:val="22"/>
                <w:szCs w:val="22"/>
              </w:rPr>
              <w:t>76</w:t>
            </w:r>
          </w:p>
        </w:tc>
        <w:tc>
          <w:tcPr>
            <w:tcW w:w="2976" w:type="dxa"/>
            <w:tcBorders>
              <w:top w:val="nil"/>
              <w:left w:val="nil"/>
              <w:bottom w:val="single" w:sz="4" w:space="0" w:color="A6A6A6"/>
              <w:right w:val="single" w:sz="4" w:space="0" w:color="A6A6A6"/>
            </w:tcBorders>
            <w:shd w:val="clear" w:color="000000" w:fill="002060"/>
            <w:vAlign w:val="center"/>
            <w:hideMark/>
          </w:tcPr>
          <w:p w14:paraId="050E6EA5" w14:textId="5BDBD376" w:rsidR="008D50CD" w:rsidRPr="00C9549D" w:rsidRDefault="008D50CD" w:rsidP="008D50CD">
            <w:pPr>
              <w:spacing w:line="240" w:lineRule="auto"/>
              <w:jc w:val="right"/>
              <w:rPr>
                <w:rFonts w:eastAsia="Times New Roman"/>
                <w:color w:val="FFFFFF"/>
                <w:sz w:val="22"/>
                <w:szCs w:val="22"/>
                <w:lang w:eastAsia="hr-HR"/>
              </w:rPr>
            </w:pPr>
            <w:r>
              <w:rPr>
                <w:color w:val="FFFFFF"/>
                <w:sz w:val="22"/>
                <w:szCs w:val="22"/>
              </w:rPr>
              <w:t xml:space="preserve">       7.962.259,06 € </w:t>
            </w:r>
          </w:p>
        </w:tc>
      </w:tr>
    </w:tbl>
    <w:p w14:paraId="366E8B2E" w14:textId="77777777" w:rsidR="00CB6BEA" w:rsidRDefault="00CB6BEA" w:rsidP="00AA7FC7">
      <w:pPr>
        <w:spacing w:after="120" w:line="259" w:lineRule="auto"/>
        <w:rPr>
          <w:rFonts w:eastAsiaTheme="minorHAnsi"/>
          <w:bCs/>
          <w:i/>
          <w:iCs/>
          <w:color w:val="000000" w:themeColor="text1"/>
        </w:rPr>
      </w:pPr>
    </w:p>
    <w:p w14:paraId="259826EA" w14:textId="6474A652" w:rsidR="00DF1775" w:rsidRPr="00C9549D" w:rsidRDefault="00DF1775" w:rsidP="00AA7FC7">
      <w:pPr>
        <w:spacing w:after="120" w:line="259" w:lineRule="auto"/>
        <w:rPr>
          <w:rFonts w:eastAsiaTheme="minorHAnsi"/>
          <w:bCs/>
          <w:i/>
          <w:iCs/>
          <w:color w:val="000000" w:themeColor="text1"/>
        </w:rPr>
      </w:pPr>
      <w:r w:rsidRPr="00C9549D">
        <w:rPr>
          <w:rFonts w:eastAsiaTheme="minorHAnsi"/>
          <w:bCs/>
          <w:i/>
          <w:iCs/>
          <w:color w:val="000000" w:themeColor="text1"/>
        </w:rPr>
        <w:t>Pregled uklanjanja i izgradnje zamjenskih kuća u vlasništvu RH</w:t>
      </w:r>
    </w:p>
    <w:tbl>
      <w:tblPr>
        <w:tblW w:w="9067" w:type="dxa"/>
        <w:tblLook w:val="04A0" w:firstRow="1" w:lastRow="0" w:firstColumn="1" w:lastColumn="0" w:noHBand="0" w:noVBand="1"/>
      </w:tblPr>
      <w:tblGrid>
        <w:gridCol w:w="4106"/>
        <w:gridCol w:w="1985"/>
        <w:gridCol w:w="2976"/>
      </w:tblGrid>
      <w:tr w:rsidR="00DF1775" w:rsidRPr="00C9549D" w14:paraId="444481A7" w14:textId="77777777" w:rsidTr="006C35B8">
        <w:trPr>
          <w:trHeight w:val="600"/>
        </w:trPr>
        <w:tc>
          <w:tcPr>
            <w:tcW w:w="4106"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6114F299" w14:textId="77777777" w:rsidR="00DF1775" w:rsidRPr="00C9549D" w:rsidRDefault="00DF1775" w:rsidP="00DF1775">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Lokacija zgrada</w:t>
            </w:r>
          </w:p>
        </w:tc>
        <w:tc>
          <w:tcPr>
            <w:tcW w:w="1985" w:type="dxa"/>
            <w:tcBorders>
              <w:top w:val="single" w:sz="4" w:space="0" w:color="A6A6A6"/>
              <w:left w:val="nil"/>
              <w:bottom w:val="single" w:sz="4" w:space="0" w:color="A6A6A6"/>
              <w:right w:val="single" w:sz="4" w:space="0" w:color="A6A6A6"/>
            </w:tcBorders>
            <w:shd w:val="clear" w:color="000000" w:fill="002060"/>
            <w:vAlign w:val="center"/>
            <w:hideMark/>
          </w:tcPr>
          <w:p w14:paraId="7BABC80C" w14:textId="77777777" w:rsidR="00DF1775" w:rsidRPr="00C9549D" w:rsidRDefault="00DF1775" w:rsidP="00DF1775">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Broj kuća</w:t>
            </w:r>
          </w:p>
        </w:tc>
        <w:tc>
          <w:tcPr>
            <w:tcW w:w="2976" w:type="dxa"/>
            <w:tcBorders>
              <w:top w:val="single" w:sz="4" w:space="0" w:color="A6A6A6"/>
              <w:left w:val="nil"/>
              <w:bottom w:val="single" w:sz="4" w:space="0" w:color="A6A6A6"/>
              <w:right w:val="single" w:sz="4" w:space="0" w:color="A6A6A6"/>
            </w:tcBorders>
            <w:shd w:val="clear" w:color="000000" w:fill="002060"/>
            <w:vAlign w:val="center"/>
            <w:hideMark/>
          </w:tcPr>
          <w:p w14:paraId="43A3BDE0" w14:textId="77777777" w:rsidR="006C35B8" w:rsidRDefault="00DF1775" w:rsidP="00DF1775">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Vrijednost ugovora</w:t>
            </w:r>
          </w:p>
          <w:p w14:paraId="082666DB" w14:textId="315C793C" w:rsidR="00DF1775" w:rsidRPr="00C9549D" w:rsidRDefault="00DF1775" w:rsidP="00DF1775">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(bez PDV-a)</w:t>
            </w:r>
          </w:p>
        </w:tc>
      </w:tr>
      <w:tr w:rsidR="006E1CC5" w:rsidRPr="00C9549D" w14:paraId="2F55CA71" w14:textId="77777777" w:rsidTr="007D2024">
        <w:trPr>
          <w:trHeight w:val="340"/>
        </w:trPr>
        <w:tc>
          <w:tcPr>
            <w:tcW w:w="4106" w:type="dxa"/>
            <w:tcBorders>
              <w:top w:val="nil"/>
              <w:left w:val="single" w:sz="4" w:space="0" w:color="A6A6A6"/>
              <w:bottom w:val="single" w:sz="4" w:space="0" w:color="A6A6A6"/>
              <w:right w:val="single" w:sz="4" w:space="0" w:color="A6A6A6"/>
            </w:tcBorders>
            <w:shd w:val="clear" w:color="auto" w:fill="auto"/>
            <w:noWrap/>
            <w:vAlign w:val="center"/>
            <w:hideMark/>
          </w:tcPr>
          <w:p w14:paraId="132EAFF3" w14:textId="1B4C3182" w:rsidR="006E1CC5" w:rsidRPr="00C9549D" w:rsidRDefault="006E1CC5" w:rsidP="006E1CC5">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Glina</w:t>
            </w:r>
          </w:p>
        </w:tc>
        <w:tc>
          <w:tcPr>
            <w:tcW w:w="1985" w:type="dxa"/>
            <w:tcBorders>
              <w:top w:val="nil"/>
              <w:left w:val="nil"/>
              <w:bottom w:val="single" w:sz="4" w:space="0" w:color="A6A6A6"/>
              <w:right w:val="single" w:sz="4" w:space="0" w:color="A6A6A6"/>
            </w:tcBorders>
            <w:shd w:val="clear" w:color="auto" w:fill="auto"/>
            <w:noWrap/>
            <w:vAlign w:val="center"/>
            <w:hideMark/>
          </w:tcPr>
          <w:p w14:paraId="0120AD4F" w14:textId="55140152" w:rsidR="006E1CC5" w:rsidRPr="00C9549D" w:rsidRDefault="006E1CC5" w:rsidP="006E1CC5">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9</w:t>
            </w:r>
          </w:p>
        </w:tc>
        <w:tc>
          <w:tcPr>
            <w:tcW w:w="2976" w:type="dxa"/>
            <w:tcBorders>
              <w:top w:val="nil"/>
              <w:left w:val="nil"/>
              <w:bottom w:val="single" w:sz="4" w:space="0" w:color="A6A6A6"/>
              <w:right w:val="single" w:sz="4" w:space="0" w:color="A6A6A6"/>
            </w:tcBorders>
            <w:shd w:val="clear" w:color="auto" w:fill="auto"/>
            <w:noWrap/>
            <w:vAlign w:val="center"/>
            <w:hideMark/>
          </w:tcPr>
          <w:p w14:paraId="5DA573BC" w14:textId="7B83905C" w:rsidR="006E1CC5" w:rsidRPr="00C9549D" w:rsidRDefault="006E1CC5" w:rsidP="006E1CC5">
            <w:pPr>
              <w:spacing w:line="240" w:lineRule="auto"/>
              <w:jc w:val="right"/>
              <w:rPr>
                <w:rFonts w:eastAsia="Times New Roman"/>
                <w:color w:val="000000"/>
                <w:sz w:val="22"/>
                <w:szCs w:val="22"/>
                <w:lang w:eastAsia="hr-HR"/>
              </w:rPr>
            </w:pPr>
            <w:r w:rsidRPr="00C9549D">
              <w:rPr>
                <w:rFonts w:eastAsia="Times New Roman"/>
                <w:color w:val="000000"/>
                <w:sz w:val="22"/>
                <w:szCs w:val="22"/>
                <w:lang w:eastAsia="hr-HR"/>
              </w:rPr>
              <w:t xml:space="preserve">          910.347,18 € </w:t>
            </w:r>
          </w:p>
        </w:tc>
      </w:tr>
      <w:tr w:rsidR="006E1CC5" w:rsidRPr="00C9549D" w14:paraId="52C78303" w14:textId="77777777" w:rsidTr="007D2024">
        <w:trPr>
          <w:trHeight w:val="340"/>
        </w:trPr>
        <w:tc>
          <w:tcPr>
            <w:tcW w:w="4106" w:type="dxa"/>
            <w:tcBorders>
              <w:top w:val="nil"/>
              <w:left w:val="single" w:sz="4" w:space="0" w:color="A6A6A6"/>
              <w:bottom w:val="single" w:sz="4" w:space="0" w:color="A6A6A6"/>
              <w:right w:val="single" w:sz="4" w:space="0" w:color="A6A6A6"/>
            </w:tcBorders>
            <w:shd w:val="clear" w:color="auto" w:fill="auto"/>
            <w:noWrap/>
            <w:vAlign w:val="center"/>
            <w:hideMark/>
          </w:tcPr>
          <w:p w14:paraId="09441983" w14:textId="01461701" w:rsidR="006E1CC5" w:rsidRPr="00C9549D" w:rsidRDefault="006E1CC5" w:rsidP="006E1CC5">
            <w:pPr>
              <w:spacing w:line="240" w:lineRule="auto"/>
              <w:jc w:val="left"/>
              <w:rPr>
                <w:rFonts w:eastAsia="Times New Roman"/>
                <w:color w:val="000000"/>
                <w:sz w:val="22"/>
                <w:szCs w:val="22"/>
                <w:lang w:eastAsia="hr-HR"/>
              </w:rPr>
            </w:pPr>
            <w:r w:rsidRPr="00C9549D">
              <w:rPr>
                <w:rFonts w:eastAsia="Times New Roman"/>
                <w:color w:val="000000"/>
                <w:sz w:val="22"/>
                <w:szCs w:val="22"/>
                <w:lang w:eastAsia="hr-HR"/>
              </w:rPr>
              <w:t xml:space="preserve">Donji </w:t>
            </w:r>
            <w:proofErr w:type="spellStart"/>
            <w:r w:rsidRPr="00C9549D">
              <w:rPr>
                <w:rFonts w:eastAsia="Times New Roman"/>
                <w:color w:val="000000"/>
                <w:sz w:val="22"/>
                <w:szCs w:val="22"/>
                <w:lang w:eastAsia="hr-HR"/>
              </w:rPr>
              <w:t>Kukuruzari</w:t>
            </w:r>
            <w:proofErr w:type="spellEnd"/>
            <w:r w:rsidRPr="00C9549D">
              <w:rPr>
                <w:rFonts w:eastAsia="Times New Roman"/>
                <w:color w:val="000000"/>
                <w:sz w:val="22"/>
                <w:szCs w:val="22"/>
                <w:lang w:eastAsia="hr-HR"/>
              </w:rPr>
              <w:t xml:space="preserve"> - Dvor</w:t>
            </w:r>
          </w:p>
        </w:tc>
        <w:tc>
          <w:tcPr>
            <w:tcW w:w="1985" w:type="dxa"/>
            <w:tcBorders>
              <w:top w:val="nil"/>
              <w:left w:val="nil"/>
              <w:bottom w:val="single" w:sz="4" w:space="0" w:color="A6A6A6"/>
              <w:right w:val="single" w:sz="4" w:space="0" w:color="A6A6A6"/>
            </w:tcBorders>
            <w:shd w:val="clear" w:color="auto" w:fill="auto"/>
            <w:noWrap/>
            <w:vAlign w:val="center"/>
            <w:hideMark/>
          </w:tcPr>
          <w:p w14:paraId="14935C82" w14:textId="78ED4552" w:rsidR="006E1CC5" w:rsidRPr="00C9549D" w:rsidRDefault="006E1CC5" w:rsidP="006E1CC5">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9</w:t>
            </w:r>
          </w:p>
        </w:tc>
        <w:tc>
          <w:tcPr>
            <w:tcW w:w="2976" w:type="dxa"/>
            <w:tcBorders>
              <w:top w:val="nil"/>
              <w:left w:val="nil"/>
              <w:bottom w:val="single" w:sz="4" w:space="0" w:color="A6A6A6"/>
              <w:right w:val="single" w:sz="4" w:space="0" w:color="A6A6A6"/>
            </w:tcBorders>
            <w:shd w:val="clear" w:color="auto" w:fill="auto"/>
            <w:noWrap/>
            <w:vAlign w:val="center"/>
            <w:hideMark/>
          </w:tcPr>
          <w:p w14:paraId="74509741" w14:textId="41895154" w:rsidR="006E1CC5" w:rsidRPr="00C9549D" w:rsidRDefault="006E1CC5" w:rsidP="006E1CC5">
            <w:pPr>
              <w:spacing w:line="240" w:lineRule="auto"/>
              <w:jc w:val="right"/>
              <w:rPr>
                <w:rFonts w:eastAsia="Times New Roman"/>
                <w:color w:val="000000"/>
                <w:sz w:val="22"/>
                <w:szCs w:val="22"/>
                <w:lang w:eastAsia="hr-HR"/>
              </w:rPr>
            </w:pPr>
            <w:r w:rsidRPr="00C9549D">
              <w:rPr>
                <w:rFonts w:eastAsia="Times New Roman"/>
                <w:color w:val="000000"/>
                <w:sz w:val="22"/>
                <w:szCs w:val="22"/>
                <w:lang w:eastAsia="hr-HR"/>
              </w:rPr>
              <w:t xml:space="preserve">       1.251.043,20 € </w:t>
            </w:r>
          </w:p>
        </w:tc>
      </w:tr>
      <w:tr w:rsidR="006E1CC5" w:rsidRPr="00C9549D" w14:paraId="158F5807" w14:textId="77777777" w:rsidTr="007D2024">
        <w:trPr>
          <w:trHeight w:val="340"/>
        </w:trPr>
        <w:tc>
          <w:tcPr>
            <w:tcW w:w="4106" w:type="dxa"/>
            <w:tcBorders>
              <w:top w:val="nil"/>
              <w:left w:val="single" w:sz="4" w:space="0" w:color="A6A6A6"/>
              <w:bottom w:val="single" w:sz="4" w:space="0" w:color="A6A6A6"/>
              <w:right w:val="single" w:sz="4" w:space="0" w:color="A6A6A6"/>
            </w:tcBorders>
            <w:shd w:val="clear" w:color="auto" w:fill="auto"/>
            <w:noWrap/>
            <w:vAlign w:val="center"/>
            <w:hideMark/>
          </w:tcPr>
          <w:p w14:paraId="4AF9E13B" w14:textId="4C01D02B" w:rsidR="006E1CC5" w:rsidRPr="00C9549D" w:rsidRDefault="006E1CC5" w:rsidP="006E1CC5">
            <w:pPr>
              <w:spacing w:line="240" w:lineRule="auto"/>
              <w:jc w:val="left"/>
              <w:rPr>
                <w:rFonts w:eastAsia="Times New Roman"/>
                <w:color w:val="000000"/>
                <w:sz w:val="22"/>
                <w:szCs w:val="22"/>
                <w:lang w:eastAsia="hr-HR"/>
              </w:rPr>
            </w:pPr>
            <w:r>
              <w:rPr>
                <w:rFonts w:eastAsia="Times New Roman"/>
                <w:color w:val="000000"/>
                <w:sz w:val="22"/>
                <w:szCs w:val="22"/>
                <w:lang w:eastAsia="hr-HR"/>
              </w:rPr>
              <w:t>Hrvatska Kostajnica - Sunja</w:t>
            </w:r>
          </w:p>
        </w:tc>
        <w:tc>
          <w:tcPr>
            <w:tcW w:w="1985" w:type="dxa"/>
            <w:tcBorders>
              <w:top w:val="nil"/>
              <w:left w:val="nil"/>
              <w:bottom w:val="single" w:sz="4" w:space="0" w:color="A6A6A6"/>
              <w:right w:val="single" w:sz="4" w:space="0" w:color="A6A6A6"/>
            </w:tcBorders>
            <w:shd w:val="clear" w:color="auto" w:fill="auto"/>
            <w:noWrap/>
            <w:vAlign w:val="center"/>
            <w:hideMark/>
          </w:tcPr>
          <w:p w14:paraId="6F4277C9" w14:textId="7C9BD47D" w:rsidR="006E1CC5" w:rsidRPr="00C9549D" w:rsidRDefault="006E1CC5" w:rsidP="006E1CC5">
            <w:pPr>
              <w:spacing w:line="240" w:lineRule="auto"/>
              <w:jc w:val="center"/>
              <w:rPr>
                <w:rFonts w:eastAsia="Times New Roman"/>
                <w:color w:val="000000"/>
                <w:sz w:val="22"/>
                <w:szCs w:val="22"/>
                <w:lang w:eastAsia="hr-HR"/>
              </w:rPr>
            </w:pPr>
            <w:r w:rsidRPr="00C9549D">
              <w:rPr>
                <w:rFonts w:eastAsia="Times New Roman"/>
                <w:color w:val="000000"/>
                <w:sz w:val="22"/>
                <w:szCs w:val="22"/>
                <w:lang w:eastAsia="hr-HR"/>
              </w:rPr>
              <w:t>9</w:t>
            </w:r>
          </w:p>
        </w:tc>
        <w:tc>
          <w:tcPr>
            <w:tcW w:w="2976" w:type="dxa"/>
            <w:tcBorders>
              <w:top w:val="nil"/>
              <w:left w:val="nil"/>
              <w:bottom w:val="single" w:sz="4" w:space="0" w:color="A6A6A6"/>
              <w:right w:val="single" w:sz="4" w:space="0" w:color="A6A6A6"/>
            </w:tcBorders>
            <w:shd w:val="clear" w:color="auto" w:fill="auto"/>
            <w:noWrap/>
            <w:vAlign w:val="center"/>
            <w:hideMark/>
          </w:tcPr>
          <w:p w14:paraId="63FA54AD" w14:textId="0133BB92" w:rsidR="006E1CC5" w:rsidRPr="00C9549D" w:rsidRDefault="006E1CC5" w:rsidP="006E1CC5">
            <w:pPr>
              <w:spacing w:line="240" w:lineRule="auto"/>
              <w:jc w:val="right"/>
              <w:rPr>
                <w:rFonts w:eastAsia="Times New Roman"/>
                <w:color w:val="000000"/>
                <w:sz w:val="22"/>
                <w:szCs w:val="22"/>
                <w:lang w:eastAsia="hr-HR"/>
              </w:rPr>
            </w:pPr>
            <w:r w:rsidRPr="00C9549D">
              <w:rPr>
                <w:rFonts w:eastAsia="Times New Roman"/>
                <w:color w:val="000000"/>
                <w:sz w:val="22"/>
                <w:szCs w:val="22"/>
                <w:lang w:eastAsia="hr-HR"/>
              </w:rPr>
              <w:t xml:space="preserve">       1.223.362,20 € </w:t>
            </w:r>
          </w:p>
        </w:tc>
      </w:tr>
      <w:tr w:rsidR="006E1CC5" w:rsidRPr="00C9549D" w14:paraId="2B32D811" w14:textId="77777777" w:rsidTr="007D2024">
        <w:trPr>
          <w:trHeight w:val="340"/>
        </w:trPr>
        <w:tc>
          <w:tcPr>
            <w:tcW w:w="4106" w:type="dxa"/>
            <w:tcBorders>
              <w:top w:val="nil"/>
              <w:left w:val="single" w:sz="4" w:space="0" w:color="A6A6A6"/>
              <w:bottom w:val="single" w:sz="4" w:space="0" w:color="A6A6A6"/>
              <w:right w:val="single" w:sz="4" w:space="0" w:color="A6A6A6"/>
            </w:tcBorders>
            <w:shd w:val="clear" w:color="000000" w:fill="002060"/>
            <w:vAlign w:val="center"/>
            <w:hideMark/>
          </w:tcPr>
          <w:p w14:paraId="3730BC97" w14:textId="38AF82C4" w:rsidR="006E1CC5" w:rsidRPr="00C9549D" w:rsidRDefault="006E1CC5" w:rsidP="006E1CC5">
            <w:pPr>
              <w:spacing w:line="240" w:lineRule="auto"/>
              <w:jc w:val="left"/>
              <w:rPr>
                <w:rFonts w:eastAsia="Times New Roman"/>
                <w:color w:val="FFFFFF"/>
                <w:sz w:val="22"/>
                <w:szCs w:val="22"/>
                <w:lang w:eastAsia="hr-HR"/>
              </w:rPr>
            </w:pPr>
            <w:r w:rsidRPr="00C9549D">
              <w:rPr>
                <w:rFonts w:eastAsia="Times New Roman"/>
                <w:color w:val="FFFFFF"/>
                <w:sz w:val="22"/>
                <w:szCs w:val="22"/>
                <w:lang w:eastAsia="hr-HR"/>
              </w:rPr>
              <w:t>Ukupno</w:t>
            </w:r>
          </w:p>
        </w:tc>
        <w:tc>
          <w:tcPr>
            <w:tcW w:w="1985" w:type="dxa"/>
            <w:tcBorders>
              <w:top w:val="nil"/>
              <w:left w:val="nil"/>
              <w:bottom w:val="single" w:sz="4" w:space="0" w:color="A6A6A6"/>
              <w:right w:val="single" w:sz="4" w:space="0" w:color="A6A6A6"/>
            </w:tcBorders>
            <w:shd w:val="clear" w:color="000000" w:fill="002060"/>
            <w:vAlign w:val="center"/>
            <w:hideMark/>
          </w:tcPr>
          <w:p w14:paraId="63BFC199" w14:textId="403871EB" w:rsidR="006E1CC5" w:rsidRPr="00C9549D" w:rsidRDefault="006E1CC5" w:rsidP="006E1CC5">
            <w:pPr>
              <w:spacing w:line="240" w:lineRule="auto"/>
              <w:jc w:val="center"/>
              <w:rPr>
                <w:rFonts w:eastAsia="Times New Roman"/>
                <w:color w:val="FFFFFF"/>
                <w:sz w:val="22"/>
                <w:szCs w:val="22"/>
                <w:lang w:eastAsia="hr-HR"/>
              </w:rPr>
            </w:pPr>
            <w:r w:rsidRPr="00C9549D">
              <w:rPr>
                <w:rFonts w:eastAsia="Times New Roman"/>
                <w:color w:val="FFFFFF"/>
                <w:sz w:val="22"/>
                <w:szCs w:val="22"/>
                <w:lang w:eastAsia="hr-HR"/>
              </w:rPr>
              <w:t>27</w:t>
            </w:r>
          </w:p>
        </w:tc>
        <w:tc>
          <w:tcPr>
            <w:tcW w:w="2976" w:type="dxa"/>
            <w:tcBorders>
              <w:top w:val="nil"/>
              <w:left w:val="nil"/>
              <w:bottom w:val="single" w:sz="4" w:space="0" w:color="A6A6A6"/>
              <w:right w:val="single" w:sz="4" w:space="0" w:color="A6A6A6"/>
            </w:tcBorders>
            <w:shd w:val="clear" w:color="000000" w:fill="002060"/>
            <w:vAlign w:val="center"/>
            <w:hideMark/>
          </w:tcPr>
          <w:p w14:paraId="4E72F521" w14:textId="50772C12" w:rsidR="006E1CC5" w:rsidRPr="00C9549D" w:rsidRDefault="006E1CC5" w:rsidP="006E1CC5">
            <w:pPr>
              <w:spacing w:line="240" w:lineRule="auto"/>
              <w:jc w:val="right"/>
              <w:rPr>
                <w:rFonts w:eastAsia="Times New Roman"/>
                <w:color w:val="FFFFFF"/>
                <w:sz w:val="22"/>
                <w:szCs w:val="22"/>
                <w:lang w:eastAsia="hr-HR"/>
              </w:rPr>
            </w:pPr>
            <w:r w:rsidRPr="00C9549D">
              <w:rPr>
                <w:rFonts w:eastAsia="Times New Roman"/>
                <w:color w:val="FFFFFF"/>
                <w:sz w:val="22"/>
                <w:szCs w:val="22"/>
                <w:lang w:eastAsia="hr-HR"/>
              </w:rPr>
              <w:t xml:space="preserve">       3.384.752,58 € </w:t>
            </w:r>
          </w:p>
        </w:tc>
      </w:tr>
    </w:tbl>
    <w:p w14:paraId="075E94A9" w14:textId="77777777" w:rsidR="00B0542A" w:rsidRDefault="00B0542A" w:rsidP="001A69F5">
      <w:pPr>
        <w:spacing w:before="60" w:after="60" w:line="259" w:lineRule="auto"/>
        <w:rPr>
          <w:rFonts w:eastAsiaTheme="minorHAnsi"/>
          <w:color w:val="000000" w:themeColor="text1"/>
        </w:rPr>
      </w:pPr>
    </w:p>
    <w:p w14:paraId="0FD56099" w14:textId="61EB5E5D" w:rsidR="00891A90" w:rsidRDefault="00891A90" w:rsidP="00891A90">
      <w:pPr>
        <w:spacing w:before="60" w:after="60" w:line="259" w:lineRule="auto"/>
        <w:rPr>
          <w:rFonts w:eastAsia="BatangChe"/>
          <w:bCs/>
          <w:color w:val="000000" w:themeColor="text1"/>
        </w:rPr>
      </w:pPr>
      <w:r>
        <w:rPr>
          <w:rFonts w:eastAsiaTheme="minorHAnsi"/>
          <w:color w:val="000000" w:themeColor="text1"/>
        </w:rPr>
        <w:t xml:space="preserve">Istovremeno, projektom </w:t>
      </w:r>
      <w:r w:rsidRPr="00B039FB">
        <w:rPr>
          <w:rFonts w:eastAsiaTheme="minorHAnsi"/>
          <w:color w:val="000000" w:themeColor="text1"/>
        </w:rPr>
        <w:t>„Obnova obiteljskih kuća u vlasništvu RH na potresom pogođenim područjima“</w:t>
      </w:r>
      <w:r w:rsidRPr="000303C9">
        <w:rPr>
          <w:rFonts w:eastAsiaTheme="minorHAnsi"/>
          <w:color w:val="000000" w:themeColor="text1"/>
        </w:rPr>
        <w:t xml:space="preserve"> </w:t>
      </w:r>
      <w:r>
        <w:rPr>
          <w:rFonts w:eastAsiaTheme="minorHAnsi"/>
          <w:color w:val="000000" w:themeColor="text1"/>
        </w:rPr>
        <w:t>ukupne vrijednosti 42,9 milijuna eura,</w:t>
      </w:r>
      <w:r w:rsidRPr="00B039FB">
        <w:rPr>
          <w:rFonts w:eastAsiaTheme="minorHAnsi"/>
          <w:color w:val="000000" w:themeColor="text1"/>
        </w:rPr>
        <w:t xml:space="preserve"> </w:t>
      </w:r>
      <w:r>
        <w:rPr>
          <w:rFonts w:eastAsiaTheme="minorHAnsi"/>
          <w:color w:val="000000" w:themeColor="text1"/>
        </w:rPr>
        <w:t xml:space="preserve">obuhvaćena je obnova oko </w:t>
      </w:r>
      <w:r w:rsidRPr="00C9549D">
        <w:rPr>
          <w:rFonts w:eastAsiaTheme="minorHAnsi"/>
          <w:color w:val="000000" w:themeColor="text1"/>
        </w:rPr>
        <w:t>50</w:t>
      </w:r>
      <w:r>
        <w:rPr>
          <w:rFonts w:eastAsiaTheme="minorHAnsi"/>
          <w:color w:val="000000" w:themeColor="text1"/>
        </w:rPr>
        <w:t>0</w:t>
      </w:r>
      <w:r w:rsidRPr="00C9549D">
        <w:rPr>
          <w:rFonts w:eastAsiaTheme="minorHAnsi"/>
          <w:color w:val="000000" w:themeColor="text1"/>
        </w:rPr>
        <w:t xml:space="preserve"> obiteljskih kuća, </w:t>
      </w:r>
      <w:r w:rsidR="00957B72">
        <w:rPr>
          <w:rFonts w:eastAsiaTheme="minorHAnsi"/>
          <w:color w:val="000000" w:themeColor="text1"/>
        </w:rPr>
        <w:t>od</w:t>
      </w:r>
      <w:r>
        <w:rPr>
          <w:rFonts w:eastAsiaTheme="minorHAnsi"/>
          <w:color w:val="000000" w:themeColor="text1"/>
        </w:rPr>
        <w:t xml:space="preserve"> kojih je do 31. prosinca 2023. njih </w:t>
      </w:r>
      <w:r w:rsidRPr="00C9549D">
        <w:rPr>
          <w:rFonts w:eastAsiaTheme="minorHAnsi"/>
          <w:color w:val="000000" w:themeColor="text1"/>
        </w:rPr>
        <w:t>11</w:t>
      </w:r>
      <w:r>
        <w:rPr>
          <w:rFonts w:eastAsiaTheme="minorHAnsi"/>
          <w:color w:val="000000" w:themeColor="text1"/>
        </w:rPr>
        <w:t>7</w:t>
      </w:r>
      <w:r w:rsidRPr="00C9549D">
        <w:rPr>
          <w:rFonts w:eastAsiaTheme="minorHAnsi"/>
          <w:color w:val="000000" w:themeColor="text1"/>
        </w:rPr>
        <w:t xml:space="preserve"> u projektiranju, </w:t>
      </w:r>
      <w:r>
        <w:rPr>
          <w:rFonts w:eastAsiaTheme="minorHAnsi"/>
          <w:color w:val="000000" w:themeColor="text1"/>
        </w:rPr>
        <w:t>2</w:t>
      </w:r>
      <w:r w:rsidRPr="00C9549D">
        <w:rPr>
          <w:rFonts w:eastAsiaTheme="minorHAnsi"/>
          <w:color w:val="000000" w:themeColor="text1"/>
        </w:rPr>
        <w:t>89 kuća je u fazi nabave izvođenja rad</w:t>
      </w:r>
      <w:r>
        <w:rPr>
          <w:rFonts w:eastAsiaTheme="minorHAnsi"/>
          <w:color w:val="000000" w:themeColor="text1"/>
        </w:rPr>
        <w:t>ova, a ugovoreni su radovi za 103</w:t>
      </w:r>
      <w:r w:rsidRPr="00C9549D">
        <w:rPr>
          <w:rFonts w:eastAsiaTheme="minorHAnsi"/>
          <w:color w:val="000000" w:themeColor="text1"/>
        </w:rPr>
        <w:t xml:space="preserve"> kuć</w:t>
      </w:r>
      <w:r>
        <w:rPr>
          <w:rFonts w:eastAsiaTheme="minorHAnsi"/>
          <w:color w:val="000000" w:themeColor="text1"/>
        </w:rPr>
        <w:t>e</w:t>
      </w:r>
      <w:r w:rsidRPr="00C9549D">
        <w:rPr>
          <w:rFonts w:eastAsiaTheme="minorHAnsi"/>
          <w:color w:val="000000" w:themeColor="text1"/>
        </w:rPr>
        <w:t xml:space="preserve"> te su sve u fazi izvođenja radova. Ukupna vrijednost </w:t>
      </w:r>
      <w:r>
        <w:rPr>
          <w:rFonts w:eastAsiaTheme="minorHAnsi"/>
          <w:color w:val="000000" w:themeColor="text1"/>
        </w:rPr>
        <w:t xml:space="preserve">ugovorenih sredstava </w:t>
      </w:r>
      <w:r>
        <w:rPr>
          <w:rFonts w:eastAsia="BatangChe"/>
          <w:bCs/>
          <w:color w:val="000000" w:themeColor="text1"/>
        </w:rPr>
        <w:t>31. prosinca 2023.</w:t>
      </w:r>
      <w:r w:rsidRPr="00C9549D">
        <w:rPr>
          <w:rFonts w:eastAsia="BatangChe"/>
          <w:bCs/>
          <w:color w:val="000000" w:themeColor="text1"/>
        </w:rPr>
        <w:t xml:space="preserve"> </w:t>
      </w:r>
      <w:r w:rsidRPr="00C9549D">
        <w:rPr>
          <w:rFonts w:eastAsiaTheme="minorHAnsi"/>
          <w:color w:val="000000" w:themeColor="text1"/>
        </w:rPr>
        <w:t>je</w:t>
      </w:r>
      <w:r w:rsidRPr="00C9549D">
        <w:rPr>
          <w:rFonts w:eastAsiaTheme="minorHAnsi"/>
          <w:bCs/>
          <w:color w:val="000000" w:themeColor="text1"/>
        </w:rPr>
        <w:t xml:space="preserve"> </w:t>
      </w:r>
      <w:r>
        <w:rPr>
          <w:rFonts w:eastAsia="BatangChe"/>
          <w:bCs/>
          <w:color w:val="000000" w:themeColor="text1"/>
        </w:rPr>
        <w:t>17,9</w:t>
      </w:r>
      <w:r w:rsidRPr="00C9549D">
        <w:rPr>
          <w:rFonts w:eastAsia="BatangChe"/>
          <w:bCs/>
          <w:color w:val="000000" w:themeColor="text1"/>
        </w:rPr>
        <w:t xml:space="preserve"> milijuna eura</w:t>
      </w:r>
      <w:r>
        <w:rPr>
          <w:rFonts w:eastAsia="BatangChe"/>
          <w:bCs/>
          <w:color w:val="000000" w:themeColor="text1"/>
        </w:rPr>
        <w:t xml:space="preserve"> s PDV-om</w:t>
      </w:r>
      <w:r w:rsidRPr="00C9549D">
        <w:rPr>
          <w:rFonts w:eastAsia="BatangChe"/>
          <w:bCs/>
          <w:color w:val="000000" w:themeColor="text1"/>
        </w:rPr>
        <w:t xml:space="preserve">, a realizirano je </w:t>
      </w:r>
      <w:r>
        <w:rPr>
          <w:rFonts w:eastAsia="BatangChe"/>
          <w:bCs/>
          <w:color w:val="000000" w:themeColor="text1"/>
        </w:rPr>
        <w:t>5 milijuna</w:t>
      </w:r>
      <w:r w:rsidRPr="00C9549D">
        <w:rPr>
          <w:rFonts w:eastAsia="BatangChe"/>
          <w:bCs/>
          <w:color w:val="000000" w:themeColor="text1"/>
        </w:rPr>
        <w:t xml:space="preserve"> eura.</w:t>
      </w:r>
    </w:p>
    <w:p w14:paraId="525E9CE6" w14:textId="77777777" w:rsidR="002C5CF9" w:rsidRDefault="002C5CF9" w:rsidP="007D4357">
      <w:pPr>
        <w:spacing w:after="120" w:line="259" w:lineRule="auto"/>
        <w:rPr>
          <w:rFonts w:eastAsiaTheme="minorHAnsi"/>
          <w:bCs/>
          <w:i/>
          <w:iCs/>
          <w:color w:val="000000" w:themeColor="text1"/>
        </w:rPr>
      </w:pPr>
    </w:p>
    <w:p w14:paraId="035850A0" w14:textId="2C12E4E1" w:rsidR="007D4357" w:rsidRPr="007D4357" w:rsidRDefault="007D4357" w:rsidP="007D4357">
      <w:pPr>
        <w:spacing w:after="120" w:line="259" w:lineRule="auto"/>
        <w:rPr>
          <w:rFonts w:eastAsiaTheme="minorHAnsi"/>
          <w:bCs/>
          <w:i/>
          <w:iCs/>
          <w:color w:val="000000" w:themeColor="text1"/>
        </w:rPr>
      </w:pPr>
      <w:r w:rsidRPr="007D4357">
        <w:rPr>
          <w:rFonts w:eastAsiaTheme="minorHAnsi"/>
          <w:bCs/>
          <w:i/>
          <w:iCs/>
          <w:color w:val="000000" w:themeColor="text1"/>
        </w:rPr>
        <w:t xml:space="preserve">Pregled broja kuća po fazi </w:t>
      </w:r>
      <w:r>
        <w:rPr>
          <w:rFonts w:eastAsiaTheme="minorHAnsi"/>
          <w:bCs/>
          <w:i/>
          <w:iCs/>
          <w:color w:val="000000" w:themeColor="text1"/>
        </w:rPr>
        <w:t>obnove</w:t>
      </w:r>
      <w:r w:rsidRPr="007D4357">
        <w:rPr>
          <w:rFonts w:eastAsiaTheme="minorHAnsi"/>
          <w:bCs/>
          <w:i/>
          <w:iCs/>
          <w:color w:val="000000" w:themeColor="text1"/>
        </w:rPr>
        <w:t xml:space="preserve"> te vrijednost ugovorenih radova</w:t>
      </w:r>
      <w:r>
        <w:rPr>
          <w:rFonts w:eastAsiaTheme="minorHAnsi"/>
          <w:bCs/>
          <w:i/>
          <w:iCs/>
          <w:color w:val="000000" w:themeColor="text1"/>
        </w:rPr>
        <w:t xml:space="preserve"> na </w:t>
      </w:r>
      <w:r w:rsidR="008B7703">
        <w:rPr>
          <w:rFonts w:eastAsiaTheme="minorHAnsi"/>
          <w:bCs/>
          <w:i/>
          <w:iCs/>
          <w:color w:val="000000" w:themeColor="text1"/>
        </w:rPr>
        <w:t>3</w:t>
      </w:r>
      <w:r w:rsidR="004F75D3">
        <w:rPr>
          <w:rFonts w:eastAsiaTheme="minorHAnsi"/>
          <w:bCs/>
          <w:i/>
          <w:iCs/>
          <w:color w:val="000000" w:themeColor="text1"/>
        </w:rPr>
        <w:t>1</w:t>
      </w:r>
      <w:r w:rsidR="008B7703">
        <w:rPr>
          <w:rFonts w:eastAsiaTheme="minorHAnsi"/>
          <w:bCs/>
          <w:i/>
          <w:iCs/>
          <w:color w:val="000000" w:themeColor="text1"/>
        </w:rPr>
        <w:t xml:space="preserve">. </w:t>
      </w:r>
      <w:r w:rsidR="004F75D3">
        <w:rPr>
          <w:rFonts w:eastAsiaTheme="minorHAnsi"/>
          <w:bCs/>
          <w:i/>
          <w:iCs/>
          <w:color w:val="000000" w:themeColor="text1"/>
        </w:rPr>
        <w:t xml:space="preserve">prosinca </w:t>
      </w:r>
      <w:r w:rsidR="008B7703">
        <w:rPr>
          <w:rFonts w:eastAsiaTheme="minorHAnsi"/>
          <w:bCs/>
          <w:i/>
          <w:iCs/>
          <w:color w:val="000000" w:themeColor="text1"/>
        </w:rPr>
        <w:t>2023.</w:t>
      </w:r>
    </w:p>
    <w:tbl>
      <w:tblPr>
        <w:tblW w:w="9067" w:type="dxa"/>
        <w:tblLook w:val="04A0" w:firstRow="1" w:lastRow="0" w:firstColumn="1" w:lastColumn="0" w:noHBand="0" w:noVBand="1"/>
      </w:tblPr>
      <w:tblGrid>
        <w:gridCol w:w="4106"/>
        <w:gridCol w:w="2268"/>
        <w:gridCol w:w="2693"/>
      </w:tblGrid>
      <w:tr w:rsidR="00A46DB4" w:rsidRPr="00C9549D" w14:paraId="02AC0B37" w14:textId="77777777" w:rsidTr="000A132C">
        <w:trPr>
          <w:trHeight w:val="600"/>
        </w:trPr>
        <w:tc>
          <w:tcPr>
            <w:tcW w:w="4106" w:type="dxa"/>
            <w:tcBorders>
              <w:top w:val="single" w:sz="4" w:space="0" w:color="A6A6A6"/>
              <w:left w:val="single" w:sz="4" w:space="0" w:color="A6A6A6"/>
              <w:bottom w:val="single" w:sz="4" w:space="0" w:color="A6A6A6"/>
              <w:right w:val="single" w:sz="4" w:space="0" w:color="A6A6A6"/>
            </w:tcBorders>
            <w:shd w:val="clear" w:color="000000" w:fill="002060"/>
            <w:vAlign w:val="center"/>
            <w:hideMark/>
          </w:tcPr>
          <w:p w14:paraId="3A46842E" w14:textId="77777777" w:rsidR="00A46DB4" w:rsidRPr="00C9549D" w:rsidRDefault="00A46DB4">
            <w:pPr>
              <w:spacing w:line="240" w:lineRule="auto"/>
              <w:jc w:val="center"/>
              <w:rPr>
                <w:rFonts w:eastAsia="Times New Roman"/>
                <w:color w:val="FFFFFF"/>
                <w:sz w:val="22"/>
                <w:szCs w:val="22"/>
                <w:lang w:eastAsia="hr-HR"/>
              </w:rPr>
            </w:pPr>
            <w:r>
              <w:rPr>
                <w:color w:val="FFFFFF"/>
                <w:sz w:val="22"/>
                <w:szCs w:val="22"/>
              </w:rPr>
              <w:t>Faza obnove</w:t>
            </w:r>
          </w:p>
        </w:tc>
        <w:tc>
          <w:tcPr>
            <w:tcW w:w="2268" w:type="dxa"/>
            <w:tcBorders>
              <w:top w:val="single" w:sz="4" w:space="0" w:color="A6A6A6"/>
              <w:left w:val="nil"/>
              <w:bottom w:val="single" w:sz="4" w:space="0" w:color="A6A6A6"/>
              <w:right w:val="single" w:sz="4" w:space="0" w:color="A6A6A6"/>
            </w:tcBorders>
            <w:shd w:val="clear" w:color="000000" w:fill="002060"/>
            <w:vAlign w:val="center"/>
            <w:hideMark/>
          </w:tcPr>
          <w:p w14:paraId="3E499900" w14:textId="77777777" w:rsidR="00A46DB4" w:rsidRPr="00C9549D" w:rsidRDefault="00A46DB4">
            <w:pPr>
              <w:spacing w:line="240" w:lineRule="auto"/>
              <w:jc w:val="center"/>
              <w:rPr>
                <w:rFonts w:eastAsia="Times New Roman"/>
                <w:color w:val="FFFFFF"/>
                <w:sz w:val="22"/>
                <w:szCs w:val="22"/>
                <w:lang w:eastAsia="hr-HR"/>
              </w:rPr>
            </w:pPr>
            <w:r>
              <w:rPr>
                <w:color w:val="FFFFFF"/>
                <w:sz w:val="22"/>
                <w:szCs w:val="22"/>
              </w:rPr>
              <w:t>Broj kuća</w:t>
            </w:r>
          </w:p>
        </w:tc>
        <w:tc>
          <w:tcPr>
            <w:tcW w:w="2693" w:type="dxa"/>
            <w:tcBorders>
              <w:top w:val="single" w:sz="4" w:space="0" w:color="A6A6A6"/>
              <w:left w:val="nil"/>
              <w:bottom w:val="single" w:sz="4" w:space="0" w:color="A6A6A6"/>
              <w:right w:val="single" w:sz="4" w:space="0" w:color="A6A6A6"/>
            </w:tcBorders>
            <w:shd w:val="clear" w:color="000000" w:fill="002060"/>
            <w:vAlign w:val="center"/>
            <w:hideMark/>
          </w:tcPr>
          <w:p w14:paraId="287F68FF" w14:textId="77777777" w:rsidR="00A46DB4" w:rsidRDefault="00A46DB4">
            <w:pPr>
              <w:spacing w:line="240" w:lineRule="auto"/>
              <w:jc w:val="center"/>
              <w:rPr>
                <w:color w:val="FFFFFF"/>
                <w:sz w:val="22"/>
                <w:szCs w:val="22"/>
              </w:rPr>
            </w:pPr>
            <w:r>
              <w:rPr>
                <w:color w:val="FFFFFF"/>
                <w:sz w:val="22"/>
                <w:szCs w:val="22"/>
              </w:rPr>
              <w:t>Vrijednost ugovora</w:t>
            </w:r>
          </w:p>
          <w:p w14:paraId="3AEBC9DE" w14:textId="77777777" w:rsidR="00A46DB4" w:rsidRPr="00C9549D" w:rsidRDefault="00A46DB4">
            <w:pPr>
              <w:spacing w:line="240" w:lineRule="auto"/>
              <w:jc w:val="center"/>
              <w:rPr>
                <w:rFonts w:eastAsia="Times New Roman"/>
                <w:color w:val="FFFFFF"/>
                <w:sz w:val="22"/>
                <w:szCs w:val="22"/>
                <w:lang w:eastAsia="hr-HR"/>
              </w:rPr>
            </w:pPr>
            <w:r>
              <w:rPr>
                <w:color w:val="FFFFFF"/>
                <w:sz w:val="22"/>
                <w:szCs w:val="22"/>
              </w:rPr>
              <w:t>(bez PDV-a)</w:t>
            </w:r>
          </w:p>
        </w:tc>
      </w:tr>
      <w:tr w:rsidR="00A46DB4" w:rsidRPr="00C9549D" w14:paraId="1726777E"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hideMark/>
          </w:tcPr>
          <w:p w14:paraId="1D36EDFC" w14:textId="77777777" w:rsidR="00A46DB4" w:rsidRPr="00C9549D" w:rsidRDefault="00A46DB4">
            <w:pPr>
              <w:spacing w:line="240" w:lineRule="auto"/>
              <w:jc w:val="left"/>
              <w:rPr>
                <w:rFonts w:eastAsia="Times New Roman"/>
                <w:color w:val="000000"/>
                <w:sz w:val="22"/>
                <w:szCs w:val="22"/>
                <w:lang w:eastAsia="hr-HR"/>
              </w:rPr>
            </w:pPr>
            <w:r>
              <w:rPr>
                <w:color w:val="000000"/>
                <w:sz w:val="22"/>
                <w:szCs w:val="22"/>
              </w:rPr>
              <w:t>U radovima - Novska</w:t>
            </w:r>
          </w:p>
        </w:tc>
        <w:tc>
          <w:tcPr>
            <w:tcW w:w="2268" w:type="dxa"/>
            <w:tcBorders>
              <w:top w:val="nil"/>
              <w:left w:val="nil"/>
              <w:bottom w:val="single" w:sz="4" w:space="0" w:color="A6A6A6"/>
              <w:right w:val="single" w:sz="4" w:space="0" w:color="A6A6A6"/>
            </w:tcBorders>
            <w:shd w:val="clear" w:color="auto" w:fill="auto"/>
            <w:noWrap/>
            <w:vAlign w:val="center"/>
            <w:hideMark/>
          </w:tcPr>
          <w:p w14:paraId="5F54AE72" w14:textId="77777777" w:rsidR="00A46DB4" w:rsidRPr="00C9549D" w:rsidRDefault="00A46DB4">
            <w:pPr>
              <w:spacing w:line="240" w:lineRule="auto"/>
              <w:jc w:val="center"/>
              <w:rPr>
                <w:rFonts w:eastAsia="Times New Roman"/>
                <w:color w:val="000000"/>
                <w:sz w:val="22"/>
                <w:szCs w:val="22"/>
                <w:lang w:eastAsia="hr-HR"/>
              </w:rPr>
            </w:pPr>
            <w:r>
              <w:rPr>
                <w:color w:val="000000"/>
                <w:sz w:val="22"/>
                <w:szCs w:val="22"/>
              </w:rPr>
              <w:t>10</w:t>
            </w:r>
          </w:p>
        </w:tc>
        <w:tc>
          <w:tcPr>
            <w:tcW w:w="2693" w:type="dxa"/>
            <w:tcBorders>
              <w:top w:val="nil"/>
              <w:left w:val="nil"/>
              <w:bottom w:val="single" w:sz="4" w:space="0" w:color="A6A6A6"/>
              <w:right w:val="single" w:sz="4" w:space="0" w:color="A6A6A6"/>
            </w:tcBorders>
            <w:shd w:val="clear" w:color="auto" w:fill="auto"/>
            <w:noWrap/>
            <w:vAlign w:val="center"/>
            <w:hideMark/>
          </w:tcPr>
          <w:p w14:paraId="4EB52A59" w14:textId="77777777" w:rsidR="00A46DB4" w:rsidRPr="00C9549D" w:rsidRDefault="00A46DB4">
            <w:pPr>
              <w:spacing w:line="240" w:lineRule="auto"/>
              <w:jc w:val="right"/>
              <w:rPr>
                <w:rFonts w:eastAsia="Times New Roman"/>
                <w:color w:val="000000"/>
                <w:sz w:val="22"/>
                <w:szCs w:val="22"/>
                <w:lang w:eastAsia="hr-HR"/>
              </w:rPr>
            </w:pPr>
            <w:r>
              <w:rPr>
                <w:color w:val="000000"/>
                <w:sz w:val="22"/>
                <w:szCs w:val="22"/>
              </w:rPr>
              <w:t xml:space="preserve">          839.439,30 € </w:t>
            </w:r>
          </w:p>
        </w:tc>
      </w:tr>
      <w:tr w:rsidR="00A46DB4" w:rsidRPr="00C9549D" w14:paraId="50C2F3D1"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tcPr>
          <w:p w14:paraId="39C2EA7A" w14:textId="77777777" w:rsidR="00A46DB4" w:rsidRDefault="00A46DB4">
            <w:pPr>
              <w:spacing w:line="240" w:lineRule="auto"/>
              <w:jc w:val="left"/>
              <w:rPr>
                <w:color w:val="000000"/>
                <w:sz w:val="22"/>
                <w:szCs w:val="22"/>
              </w:rPr>
            </w:pPr>
            <w:r>
              <w:rPr>
                <w:color w:val="000000"/>
                <w:sz w:val="22"/>
                <w:szCs w:val="22"/>
              </w:rPr>
              <w:t>U radovima – Petrinja I</w:t>
            </w:r>
          </w:p>
        </w:tc>
        <w:tc>
          <w:tcPr>
            <w:tcW w:w="2268" w:type="dxa"/>
            <w:tcBorders>
              <w:top w:val="nil"/>
              <w:left w:val="nil"/>
              <w:bottom w:val="single" w:sz="4" w:space="0" w:color="A6A6A6"/>
              <w:right w:val="single" w:sz="4" w:space="0" w:color="A6A6A6"/>
            </w:tcBorders>
            <w:shd w:val="clear" w:color="auto" w:fill="auto"/>
            <w:noWrap/>
            <w:vAlign w:val="center"/>
          </w:tcPr>
          <w:p w14:paraId="05AA0BA9" w14:textId="77777777" w:rsidR="00A46DB4" w:rsidDel="00C40189" w:rsidRDefault="00A46DB4">
            <w:pPr>
              <w:spacing w:line="240" w:lineRule="auto"/>
              <w:jc w:val="center"/>
              <w:rPr>
                <w:color w:val="000000"/>
                <w:sz w:val="22"/>
                <w:szCs w:val="22"/>
              </w:rPr>
            </w:pPr>
            <w:r>
              <w:rPr>
                <w:color w:val="000000"/>
                <w:sz w:val="22"/>
                <w:szCs w:val="22"/>
              </w:rPr>
              <w:t>11</w:t>
            </w:r>
          </w:p>
        </w:tc>
        <w:tc>
          <w:tcPr>
            <w:tcW w:w="2693" w:type="dxa"/>
            <w:tcBorders>
              <w:top w:val="nil"/>
              <w:left w:val="nil"/>
              <w:bottom w:val="single" w:sz="4" w:space="0" w:color="A6A6A6"/>
              <w:right w:val="single" w:sz="4" w:space="0" w:color="A6A6A6"/>
            </w:tcBorders>
            <w:shd w:val="clear" w:color="auto" w:fill="auto"/>
            <w:noWrap/>
            <w:vAlign w:val="center"/>
          </w:tcPr>
          <w:p w14:paraId="678E14DB" w14:textId="77777777" w:rsidR="00A46DB4" w:rsidRDefault="00A46DB4">
            <w:pPr>
              <w:spacing w:line="240" w:lineRule="auto"/>
              <w:jc w:val="right"/>
              <w:rPr>
                <w:color w:val="000000"/>
                <w:sz w:val="22"/>
                <w:szCs w:val="22"/>
              </w:rPr>
            </w:pPr>
            <w:r w:rsidRPr="003D56BE">
              <w:rPr>
                <w:color w:val="000000"/>
                <w:sz w:val="22"/>
                <w:szCs w:val="22"/>
              </w:rPr>
              <w:t>877</w:t>
            </w:r>
            <w:r>
              <w:rPr>
                <w:color w:val="000000"/>
                <w:sz w:val="22"/>
                <w:szCs w:val="22"/>
              </w:rPr>
              <w:t>.</w:t>
            </w:r>
            <w:r w:rsidRPr="003D56BE">
              <w:rPr>
                <w:color w:val="000000"/>
                <w:sz w:val="22"/>
                <w:szCs w:val="22"/>
              </w:rPr>
              <w:t>812,58</w:t>
            </w:r>
            <w:r>
              <w:rPr>
                <w:color w:val="000000"/>
                <w:sz w:val="22"/>
                <w:szCs w:val="22"/>
              </w:rPr>
              <w:t xml:space="preserve"> €</w:t>
            </w:r>
          </w:p>
        </w:tc>
      </w:tr>
      <w:tr w:rsidR="00A46DB4" w:rsidRPr="00C9549D" w14:paraId="349D6DBE"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tcPr>
          <w:p w14:paraId="62108618" w14:textId="77777777" w:rsidR="00A46DB4" w:rsidRDefault="00A46DB4">
            <w:pPr>
              <w:spacing w:line="240" w:lineRule="auto"/>
              <w:jc w:val="left"/>
              <w:rPr>
                <w:color w:val="000000"/>
                <w:sz w:val="22"/>
                <w:szCs w:val="22"/>
              </w:rPr>
            </w:pPr>
            <w:r>
              <w:rPr>
                <w:color w:val="000000"/>
                <w:sz w:val="22"/>
                <w:szCs w:val="22"/>
              </w:rPr>
              <w:t>U radovima – Petrinja II</w:t>
            </w:r>
          </w:p>
        </w:tc>
        <w:tc>
          <w:tcPr>
            <w:tcW w:w="2268" w:type="dxa"/>
            <w:tcBorders>
              <w:top w:val="nil"/>
              <w:left w:val="nil"/>
              <w:bottom w:val="single" w:sz="4" w:space="0" w:color="A6A6A6"/>
              <w:right w:val="single" w:sz="4" w:space="0" w:color="A6A6A6"/>
            </w:tcBorders>
            <w:shd w:val="clear" w:color="auto" w:fill="auto"/>
            <w:noWrap/>
            <w:vAlign w:val="center"/>
          </w:tcPr>
          <w:p w14:paraId="2EF53983" w14:textId="77777777" w:rsidR="00A46DB4" w:rsidDel="00C40189" w:rsidRDefault="00A46DB4">
            <w:pPr>
              <w:spacing w:line="240" w:lineRule="auto"/>
              <w:jc w:val="center"/>
              <w:rPr>
                <w:color w:val="000000"/>
                <w:sz w:val="22"/>
                <w:szCs w:val="22"/>
              </w:rPr>
            </w:pPr>
            <w:r>
              <w:rPr>
                <w:color w:val="000000"/>
                <w:sz w:val="22"/>
                <w:szCs w:val="22"/>
              </w:rPr>
              <w:t>10</w:t>
            </w:r>
          </w:p>
        </w:tc>
        <w:tc>
          <w:tcPr>
            <w:tcW w:w="2693" w:type="dxa"/>
            <w:tcBorders>
              <w:top w:val="nil"/>
              <w:left w:val="nil"/>
              <w:bottom w:val="single" w:sz="4" w:space="0" w:color="A6A6A6"/>
              <w:right w:val="single" w:sz="4" w:space="0" w:color="A6A6A6"/>
            </w:tcBorders>
            <w:shd w:val="clear" w:color="auto" w:fill="auto"/>
            <w:noWrap/>
            <w:vAlign w:val="center"/>
          </w:tcPr>
          <w:p w14:paraId="10AC148F" w14:textId="77777777" w:rsidR="00A46DB4" w:rsidRDefault="00A46DB4">
            <w:pPr>
              <w:spacing w:line="240" w:lineRule="auto"/>
              <w:jc w:val="right"/>
              <w:rPr>
                <w:color w:val="000000"/>
                <w:sz w:val="22"/>
                <w:szCs w:val="22"/>
              </w:rPr>
            </w:pPr>
            <w:r w:rsidRPr="008F7985">
              <w:rPr>
                <w:color w:val="000000"/>
                <w:sz w:val="22"/>
                <w:szCs w:val="22"/>
              </w:rPr>
              <w:t>1</w:t>
            </w:r>
            <w:r>
              <w:rPr>
                <w:color w:val="000000"/>
                <w:sz w:val="22"/>
                <w:szCs w:val="22"/>
              </w:rPr>
              <w:t>.</w:t>
            </w:r>
            <w:r w:rsidRPr="008F7985">
              <w:rPr>
                <w:color w:val="000000"/>
                <w:sz w:val="22"/>
                <w:szCs w:val="22"/>
              </w:rPr>
              <w:t>086</w:t>
            </w:r>
            <w:r>
              <w:rPr>
                <w:color w:val="000000"/>
                <w:sz w:val="22"/>
                <w:szCs w:val="22"/>
              </w:rPr>
              <w:t>.</w:t>
            </w:r>
            <w:r w:rsidRPr="008F7985">
              <w:rPr>
                <w:color w:val="000000"/>
                <w:sz w:val="22"/>
                <w:szCs w:val="22"/>
              </w:rPr>
              <w:t>804,99</w:t>
            </w:r>
            <w:r>
              <w:rPr>
                <w:color w:val="000000"/>
                <w:sz w:val="22"/>
                <w:szCs w:val="22"/>
              </w:rPr>
              <w:t xml:space="preserve"> €</w:t>
            </w:r>
          </w:p>
        </w:tc>
      </w:tr>
      <w:tr w:rsidR="00A46DB4" w:rsidRPr="00C9549D" w14:paraId="648059B8"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tcPr>
          <w:p w14:paraId="1687E9EB" w14:textId="77777777" w:rsidR="00A46DB4" w:rsidRDefault="00A46DB4">
            <w:pPr>
              <w:spacing w:line="240" w:lineRule="auto"/>
              <w:jc w:val="left"/>
              <w:rPr>
                <w:color w:val="000000"/>
                <w:sz w:val="22"/>
                <w:szCs w:val="22"/>
              </w:rPr>
            </w:pPr>
            <w:r>
              <w:rPr>
                <w:color w:val="000000"/>
                <w:sz w:val="22"/>
                <w:szCs w:val="22"/>
              </w:rPr>
              <w:t>U radovima - Sunja</w:t>
            </w:r>
          </w:p>
        </w:tc>
        <w:tc>
          <w:tcPr>
            <w:tcW w:w="2268" w:type="dxa"/>
            <w:tcBorders>
              <w:top w:val="nil"/>
              <w:left w:val="nil"/>
              <w:bottom w:val="single" w:sz="4" w:space="0" w:color="A6A6A6"/>
              <w:right w:val="single" w:sz="4" w:space="0" w:color="A6A6A6"/>
            </w:tcBorders>
            <w:shd w:val="clear" w:color="auto" w:fill="auto"/>
            <w:noWrap/>
            <w:vAlign w:val="center"/>
          </w:tcPr>
          <w:p w14:paraId="77259251" w14:textId="77777777" w:rsidR="00A46DB4" w:rsidDel="00C40189" w:rsidRDefault="00A46DB4">
            <w:pPr>
              <w:spacing w:line="240" w:lineRule="auto"/>
              <w:jc w:val="center"/>
              <w:rPr>
                <w:color w:val="000000"/>
                <w:sz w:val="22"/>
                <w:szCs w:val="22"/>
              </w:rPr>
            </w:pPr>
            <w:r>
              <w:rPr>
                <w:color w:val="000000"/>
                <w:sz w:val="22"/>
                <w:szCs w:val="22"/>
              </w:rPr>
              <w:t>13</w:t>
            </w:r>
          </w:p>
        </w:tc>
        <w:tc>
          <w:tcPr>
            <w:tcW w:w="2693" w:type="dxa"/>
            <w:tcBorders>
              <w:top w:val="nil"/>
              <w:left w:val="nil"/>
              <w:bottom w:val="single" w:sz="4" w:space="0" w:color="A6A6A6"/>
              <w:right w:val="single" w:sz="4" w:space="0" w:color="A6A6A6"/>
            </w:tcBorders>
            <w:shd w:val="clear" w:color="auto" w:fill="auto"/>
            <w:noWrap/>
            <w:vAlign w:val="center"/>
          </w:tcPr>
          <w:p w14:paraId="776B253C" w14:textId="77777777" w:rsidR="00A46DB4" w:rsidRDefault="00A46DB4">
            <w:pPr>
              <w:spacing w:line="240" w:lineRule="auto"/>
              <w:jc w:val="right"/>
              <w:rPr>
                <w:color w:val="000000"/>
                <w:sz w:val="22"/>
                <w:szCs w:val="22"/>
              </w:rPr>
            </w:pPr>
            <w:r w:rsidRPr="008F7985">
              <w:rPr>
                <w:color w:val="000000"/>
                <w:sz w:val="22"/>
                <w:szCs w:val="22"/>
              </w:rPr>
              <w:t>1</w:t>
            </w:r>
            <w:r>
              <w:rPr>
                <w:color w:val="000000"/>
                <w:sz w:val="22"/>
                <w:szCs w:val="22"/>
              </w:rPr>
              <w:t>.</w:t>
            </w:r>
            <w:r w:rsidRPr="008F7985">
              <w:rPr>
                <w:color w:val="000000"/>
                <w:sz w:val="22"/>
                <w:szCs w:val="22"/>
              </w:rPr>
              <w:t>088</w:t>
            </w:r>
            <w:r>
              <w:rPr>
                <w:color w:val="000000"/>
                <w:sz w:val="22"/>
                <w:szCs w:val="22"/>
              </w:rPr>
              <w:t>.</w:t>
            </w:r>
            <w:r w:rsidRPr="008F7985">
              <w:rPr>
                <w:color w:val="000000"/>
                <w:sz w:val="22"/>
                <w:szCs w:val="22"/>
              </w:rPr>
              <w:t>053,75</w:t>
            </w:r>
            <w:r>
              <w:rPr>
                <w:color w:val="000000"/>
                <w:sz w:val="22"/>
                <w:szCs w:val="22"/>
              </w:rPr>
              <w:t xml:space="preserve"> €</w:t>
            </w:r>
          </w:p>
        </w:tc>
      </w:tr>
      <w:tr w:rsidR="00A46DB4" w:rsidRPr="00C9549D" w14:paraId="62B5511B"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tcPr>
          <w:p w14:paraId="2AFEC97A" w14:textId="77777777" w:rsidR="00A46DB4" w:rsidRDefault="00A46DB4">
            <w:pPr>
              <w:spacing w:line="240" w:lineRule="auto"/>
              <w:jc w:val="left"/>
              <w:rPr>
                <w:color w:val="000000"/>
                <w:sz w:val="22"/>
                <w:szCs w:val="22"/>
              </w:rPr>
            </w:pPr>
            <w:r>
              <w:rPr>
                <w:color w:val="000000"/>
                <w:sz w:val="22"/>
                <w:szCs w:val="22"/>
              </w:rPr>
              <w:t>U radovima - Glina</w:t>
            </w:r>
          </w:p>
        </w:tc>
        <w:tc>
          <w:tcPr>
            <w:tcW w:w="2268" w:type="dxa"/>
            <w:tcBorders>
              <w:top w:val="nil"/>
              <w:left w:val="nil"/>
              <w:bottom w:val="single" w:sz="4" w:space="0" w:color="A6A6A6"/>
              <w:right w:val="single" w:sz="4" w:space="0" w:color="A6A6A6"/>
            </w:tcBorders>
            <w:shd w:val="clear" w:color="auto" w:fill="auto"/>
            <w:noWrap/>
            <w:vAlign w:val="center"/>
          </w:tcPr>
          <w:p w14:paraId="0B841ACD" w14:textId="77777777" w:rsidR="00A46DB4" w:rsidDel="00C40189" w:rsidRDefault="00A46DB4">
            <w:pPr>
              <w:spacing w:line="240" w:lineRule="auto"/>
              <w:jc w:val="center"/>
              <w:rPr>
                <w:color w:val="000000"/>
                <w:sz w:val="22"/>
                <w:szCs w:val="22"/>
              </w:rPr>
            </w:pPr>
            <w:r>
              <w:rPr>
                <w:color w:val="000000"/>
                <w:sz w:val="22"/>
                <w:szCs w:val="22"/>
              </w:rPr>
              <w:t>20</w:t>
            </w:r>
          </w:p>
        </w:tc>
        <w:tc>
          <w:tcPr>
            <w:tcW w:w="2693" w:type="dxa"/>
            <w:tcBorders>
              <w:top w:val="nil"/>
              <w:left w:val="nil"/>
              <w:bottom w:val="single" w:sz="4" w:space="0" w:color="A6A6A6"/>
              <w:right w:val="single" w:sz="4" w:space="0" w:color="A6A6A6"/>
            </w:tcBorders>
            <w:shd w:val="clear" w:color="auto" w:fill="auto"/>
            <w:noWrap/>
            <w:vAlign w:val="center"/>
          </w:tcPr>
          <w:p w14:paraId="6604D6E7" w14:textId="77777777" w:rsidR="00A46DB4" w:rsidRDefault="00A46DB4">
            <w:pPr>
              <w:spacing w:line="240" w:lineRule="auto"/>
              <w:jc w:val="right"/>
              <w:rPr>
                <w:color w:val="000000"/>
                <w:sz w:val="22"/>
                <w:szCs w:val="22"/>
              </w:rPr>
            </w:pPr>
            <w:r w:rsidRPr="00370DA2">
              <w:rPr>
                <w:color w:val="000000"/>
                <w:sz w:val="22"/>
                <w:szCs w:val="22"/>
              </w:rPr>
              <w:t>2</w:t>
            </w:r>
            <w:r>
              <w:rPr>
                <w:color w:val="000000"/>
                <w:sz w:val="22"/>
                <w:szCs w:val="22"/>
              </w:rPr>
              <w:t>.</w:t>
            </w:r>
            <w:r w:rsidRPr="00370DA2">
              <w:rPr>
                <w:color w:val="000000"/>
                <w:sz w:val="22"/>
                <w:szCs w:val="22"/>
              </w:rPr>
              <w:t>811</w:t>
            </w:r>
            <w:r>
              <w:rPr>
                <w:color w:val="000000"/>
                <w:sz w:val="22"/>
                <w:szCs w:val="22"/>
              </w:rPr>
              <w:t>.</w:t>
            </w:r>
            <w:r w:rsidRPr="00370DA2">
              <w:rPr>
                <w:color w:val="000000"/>
                <w:sz w:val="22"/>
                <w:szCs w:val="22"/>
              </w:rPr>
              <w:t>009,66</w:t>
            </w:r>
            <w:r>
              <w:rPr>
                <w:color w:val="000000"/>
                <w:sz w:val="22"/>
                <w:szCs w:val="22"/>
              </w:rPr>
              <w:t xml:space="preserve"> €</w:t>
            </w:r>
          </w:p>
        </w:tc>
      </w:tr>
      <w:tr w:rsidR="00A46DB4" w:rsidRPr="00C9549D" w14:paraId="5B7951C3"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tcPr>
          <w:p w14:paraId="60F555F1" w14:textId="77777777" w:rsidR="00A46DB4" w:rsidRDefault="00A46DB4">
            <w:pPr>
              <w:spacing w:line="240" w:lineRule="auto"/>
              <w:jc w:val="left"/>
              <w:rPr>
                <w:color w:val="000000"/>
                <w:sz w:val="22"/>
                <w:szCs w:val="22"/>
              </w:rPr>
            </w:pPr>
            <w:r>
              <w:rPr>
                <w:color w:val="000000"/>
                <w:sz w:val="22"/>
                <w:szCs w:val="22"/>
              </w:rPr>
              <w:t>U radovima – Hrvatska Kostajnica</w:t>
            </w:r>
          </w:p>
        </w:tc>
        <w:tc>
          <w:tcPr>
            <w:tcW w:w="2268" w:type="dxa"/>
            <w:tcBorders>
              <w:top w:val="nil"/>
              <w:left w:val="nil"/>
              <w:bottom w:val="single" w:sz="4" w:space="0" w:color="A6A6A6"/>
              <w:right w:val="single" w:sz="4" w:space="0" w:color="A6A6A6"/>
            </w:tcBorders>
            <w:shd w:val="clear" w:color="auto" w:fill="auto"/>
            <w:noWrap/>
            <w:vAlign w:val="center"/>
          </w:tcPr>
          <w:p w14:paraId="3EEEF649" w14:textId="77777777" w:rsidR="00A46DB4" w:rsidDel="00C40189" w:rsidRDefault="00A46DB4">
            <w:pPr>
              <w:spacing w:line="240" w:lineRule="auto"/>
              <w:jc w:val="center"/>
              <w:rPr>
                <w:color w:val="000000"/>
                <w:sz w:val="22"/>
                <w:szCs w:val="22"/>
              </w:rPr>
            </w:pPr>
            <w:r>
              <w:rPr>
                <w:color w:val="000000"/>
                <w:sz w:val="22"/>
                <w:szCs w:val="22"/>
              </w:rPr>
              <w:t>15</w:t>
            </w:r>
          </w:p>
        </w:tc>
        <w:tc>
          <w:tcPr>
            <w:tcW w:w="2693" w:type="dxa"/>
            <w:tcBorders>
              <w:top w:val="nil"/>
              <w:left w:val="nil"/>
              <w:bottom w:val="single" w:sz="4" w:space="0" w:color="A6A6A6"/>
              <w:right w:val="single" w:sz="4" w:space="0" w:color="A6A6A6"/>
            </w:tcBorders>
            <w:shd w:val="clear" w:color="auto" w:fill="auto"/>
            <w:noWrap/>
            <w:vAlign w:val="center"/>
          </w:tcPr>
          <w:p w14:paraId="706B3265" w14:textId="77777777" w:rsidR="00A46DB4" w:rsidRDefault="00A46DB4">
            <w:pPr>
              <w:spacing w:line="240" w:lineRule="auto"/>
              <w:jc w:val="right"/>
              <w:rPr>
                <w:color w:val="000000"/>
                <w:sz w:val="22"/>
                <w:szCs w:val="22"/>
              </w:rPr>
            </w:pPr>
            <w:r w:rsidRPr="00370DA2">
              <w:rPr>
                <w:color w:val="000000"/>
                <w:sz w:val="22"/>
                <w:szCs w:val="22"/>
              </w:rPr>
              <w:t>1</w:t>
            </w:r>
            <w:r>
              <w:rPr>
                <w:color w:val="000000"/>
                <w:sz w:val="22"/>
                <w:szCs w:val="22"/>
              </w:rPr>
              <w:t>.</w:t>
            </w:r>
            <w:r w:rsidRPr="00370DA2">
              <w:rPr>
                <w:color w:val="000000"/>
                <w:sz w:val="22"/>
                <w:szCs w:val="22"/>
              </w:rPr>
              <w:t>359</w:t>
            </w:r>
            <w:r>
              <w:rPr>
                <w:color w:val="000000"/>
                <w:sz w:val="22"/>
                <w:szCs w:val="22"/>
              </w:rPr>
              <w:t>.</w:t>
            </w:r>
            <w:r w:rsidRPr="00370DA2">
              <w:rPr>
                <w:color w:val="000000"/>
                <w:sz w:val="22"/>
                <w:szCs w:val="22"/>
              </w:rPr>
              <w:t>338,7</w:t>
            </w:r>
            <w:r>
              <w:rPr>
                <w:color w:val="000000"/>
                <w:sz w:val="22"/>
                <w:szCs w:val="22"/>
              </w:rPr>
              <w:t>0 €</w:t>
            </w:r>
          </w:p>
        </w:tc>
      </w:tr>
      <w:tr w:rsidR="00A46DB4" w:rsidRPr="00C9549D" w14:paraId="5242E7A4"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tcPr>
          <w:p w14:paraId="58429675" w14:textId="77777777" w:rsidR="00A46DB4" w:rsidRDefault="00A46DB4">
            <w:pPr>
              <w:spacing w:line="240" w:lineRule="auto"/>
              <w:jc w:val="left"/>
              <w:rPr>
                <w:color w:val="000000"/>
                <w:sz w:val="22"/>
                <w:szCs w:val="22"/>
              </w:rPr>
            </w:pPr>
            <w:r>
              <w:rPr>
                <w:color w:val="000000"/>
                <w:sz w:val="22"/>
                <w:szCs w:val="22"/>
              </w:rPr>
              <w:t>U radovima – Krnjak-Slunj-Vojnić</w:t>
            </w:r>
          </w:p>
        </w:tc>
        <w:tc>
          <w:tcPr>
            <w:tcW w:w="2268" w:type="dxa"/>
            <w:tcBorders>
              <w:top w:val="nil"/>
              <w:left w:val="nil"/>
              <w:bottom w:val="single" w:sz="4" w:space="0" w:color="A6A6A6"/>
              <w:right w:val="single" w:sz="4" w:space="0" w:color="A6A6A6"/>
            </w:tcBorders>
            <w:shd w:val="clear" w:color="auto" w:fill="auto"/>
            <w:noWrap/>
            <w:vAlign w:val="center"/>
          </w:tcPr>
          <w:p w14:paraId="0D92E092" w14:textId="77777777" w:rsidR="00A46DB4" w:rsidDel="00C40189" w:rsidRDefault="00A46DB4">
            <w:pPr>
              <w:spacing w:line="240" w:lineRule="auto"/>
              <w:jc w:val="center"/>
              <w:rPr>
                <w:color w:val="000000"/>
                <w:sz w:val="22"/>
                <w:szCs w:val="22"/>
              </w:rPr>
            </w:pPr>
            <w:r>
              <w:rPr>
                <w:color w:val="000000"/>
                <w:sz w:val="22"/>
                <w:szCs w:val="22"/>
              </w:rPr>
              <w:t>24</w:t>
            </w:r>
          </w:p>
        </w:tc>
        <w:tc>
          <w:tcPr>
            <w:tcW w:w="2693" w:type="dxa"/>
            <w:tcBorders>
              <w:top w:val="nil"/>
              <w:left w:val="nil"/>
              <w:bottom w:val="single" w:sz="4" w:space="0" w:color="A6A6A6"/>
              <w:right w:val="single" w:sz="4" w:space="0" w:color="A6A6A6"/>
            </w:tcBorders>
            <w:shd w:val="clear" w:color="auto" w:fill="auto"/>
            <w:noWrap/>
            <w:vAlign w:val="center"/>
          </w:tcPr>
          <w:p w14:paraId="56BE0140" w14:textId="77777777" w:rsidR="00A46DB4" w:rsidRDefault="00A46DB4">
            <w:pPr>
              <w:spacing w:line="240" w:lineRule="auto"/>
              <w:jc w:val="right"/>
              <w:rPr>
                <w:color w:val="000000"/>
                <w:sz w:val="22"/>
                <w:szCs w:val="22"/>
              </w:rPr>
            </w:pPr>
            <w:r w:rsidRPr="00987AC3">
              <w:rPr>
                <w:color w:val="000000"/>
                <w:sz w:val="22"/>
                <w:szCs w:val="22"/>
              </w:rPr>
              <w:t>4</w:t>
            </w:r>
            <w:r>
              <w:rPr>
                <w:color w:val="000000"/>
                <w:sz w:val="22"/>
                <w:szCs w:val="22"/>
              </w:rPr>
              <w:t>.</w:t>
            </w:r>
            <w:r w:rsidRPr="00987AC3">
              <w:rPr>
                <w:color w:val="000000"/>
                <w:sz w:val="22"/>
                <w:szCs w:val="22"/>
              </w:rPr>
              <w:t>396</w:t>
            </w:r>
            <w:r>
              <w:rPr>
                <w:color w:val="000000"/>
                <w:sz w:val="22"/>
                <w:szCs w:val="22"/>
              </w:rPr>
              <w:t>.</w:t>
            </w:r>
            <w:r w:rsidRPr="00987AC3">
              <w:rPr>
                <w:color w:val="000000"/>
                <w:sz w:val="22"/>
                <w:szCs w:val="22"/>
              </w:rPr>
              <w:t>564,75</w:t>
            </w:r>
            <w:r>
              <w:rPr>
                <w:color w:val="000000"/>
                <w:sz w:val="22"/>
                <w:szCs w:val="22"/>
              </w:rPr>
              <w:t xml:space="preserve"> </w:t>
            </w:r>
            <w:r w:rsidRPr="00987AC3">
              <w:rPr>
                <w:color w:val="000000"/>
                <w:sz w:val="22"/>
                <w:szCs w:val="22"/>
              </w:rPr>
              <w:t>€</w:t>
            </w:r>
          </w:p>
        </w:tc>
      </w:tr>
      <w:tr w:rsidR="00A46DB4" w:rsidRPr="00C9549D" w14:paraId="746E710B"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hideMark/>
          </w:tcPr>
          <w:p w14:paraId="6BBD4DED" w14:textId="77777777" w:rsidR="00A46DB4" w:rsidRPr="00C9549D" w:rsidRDefault="00A46DB4">
            <w:pPr>
              <w:spacing w:line="240" w:lineRule="auto"/>
              <w:jc w:val="left"/>
              <w:rPr>
                <w:rFonts w:eastAsia="Times New Roman"/>
                <w:color w:val="000000"/>
                <w:sz w:val="22"/>
                <w:szCs w:val="22"/>
                <w:lang w:eastAsia="hr-HR"/>
              </w:rPr>
            </w:pPr>
            <w:r>
              <w:rPr>
                <w:color w:val="000000"/>
                <w:sz w:val="22"/>
                <w:szCs w:val="22"/>
              </w:rPr>
              <w:t>U projektiranju</w:t>
            </w:r>
          </w:p>
        </w:tc>
        <w:tc>
          <w:tcPr>
            <w:tcW w:w="2268" w:type="dxa"/>
            <w:tcBorders>
              <w:top w:val="nil"/>
              <w:left w:val="nil"/>
              <w:bottom w:val="single" w:sz="4" w:space="0" w:color="A6A6A6"/>
              <w:right w:val="single" w:sz="4" w:space="0" w:color="A6A6A6"/>
            </w:tcBorders>
            <w:shd w:val="clear" w:color="auto" w:fill="auto"/>
            <w:noWrap/>
            <w:vAlign w:val="center"/>
            <w:hideMark/>
          </w:tcPr>
          <w:p w14:paraId="586364A6" w14:textId="77777777" w:rsidR="00A46DB4" w:rsidRPr="00C9549D" w:rsidRDefault="00A46DB4">
            <w:pPr>
              <w:spacing w:line="240" w:lineRule="auto"/>
              <w:jc w:val="center"/>
              <w:rPr>
                <w:rFonts w:eastAsia="Times New Roman"/>
                <w:color w:val="000000"/>
                <w:sz w:val="22"/>
                <w:szCs w:val="22"/>
                <w:lang w:eastAsia="hr-HR"/>
              </w:rPr>
            </w:pPr>
            <w:r>
              <w:rPr>
                <w:color w:val="000000"/>
                <w:sz w:val="22"/>
                <w:szCs w:val="22"/>
              </w:rPr>
              <w:t>117</w:t>
            </w:r>
          </w:p>
        </w:tc>
        <w:tc>
          <w:tcPr>
            <w:tcW w:w="2693" w:type="dxa"/>
            <w:tcBorders>
              <w:top w:val="nil"/>
              <w:left w:val="nil"/>
              <w:bottom w:val="single" w:sz="4" w:space="0" w:color="A6A6A6"/>
              <w:right w:val="single" w:sz="4" w:space="0" w:color="A6A6A6"/>
            </w:tcBorders>
            <w:shd w:val="clear" w:color="auto" w:fill="auto"/>
            <w:noWrap/>
            <w:vAlign w:val="center"/>
            <w:hideMark/>
          </w:tcPr>
          <w:p w14:paraId="78190F57" w14:textId="77777777" w:rsidR="00A46DB4" w:rsidRPr="00C9549D" w:rsidRDefault="00A46DB4">
            <w:pPr>
              <w:spacing w:line="240" w:lineRule="auto"/>
              <w:jc w:val="right"/>
              <w:rPr>
                <w:rFonts w:eastAsia="Times New Roman"/>
                <w:color w:val="000000"/>
                <w:sz w:val="22"/>
                <w:szCs w:val="22"/>
                <w:lang w:eastAsia="hr-HR"/>
              </w:rPr>
            </w:pPr>
            <w:r>
              <w:rPr>
                <w:color w:val="000000"/>
                <w:sz w:val="22"/>
                <w:szCs w:val="22"/>
              </w:rPr>
              <w:t> </w:t>
            </w:r>
          </w:p>
        </w:tc>
      </w:tr>
      <w:tr w:rsidR="00A46DB4" w:rsidRPr="00C9549D" w14:paraId="705A720E"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auto" w:fill="auto"/>
            <w:noWrap/>
            <w:vAlign w:val="center"/>
            <w:hideMark/>
          </w:tcPr>
          <w:p w14:paraId="4BF39753" w14:textId="77777777" w:rsidR="00A46DB4" w:rsidRPr="00C9549D" w:rsidRDefault="00A46DB4">
            <w:pPr>
              <w:spacing w:line="240" w:lineRule="auto"/>
              <w:jc w:val="left"/>
              <w:rPr>
                <w:rFonts w:eastAsia="Times New Roman"/>
                <w:color w:val="000000"/>
                <w:sz w:val="22"/>
                <w:szCs w:val="22"/>
                <w:lang w:eastAsia="hr-HR"/>
              </w:rPr>
            </w:pPr>
            <w:r>
              <w:rPr>
                <w:color w:val="000000"/>
                <w:sz w:val="22"/>
                <w:szCs w:val="22"/>
              </w:rPr>
              <w:t>Nabava radova</w:t>
            </w:r>
          </w:p>
        </w:tc>
        <w:tc>
          <w:tcPr>
            <w:tcW w:w="2268" w:type="dxa"/>
            <w:tcBorders>
              <w:top w:val="nil"/>
              <w:left w:val="nil"/>
              <w:bottom w:val="single" w:sz="4" w:space="0" w:color="A6A6A6"/>
              <w:right w:val="single" w:sz="4" w:space="0" w:color="A6A6A6"/>
            </w:tcBorders>
            <w:shd w:val="clear" w:color="auto" w:fill="auto"/>
            <w:noWrap/>
            <w:vAlign w:val="center"/>
            <w:hideMark/>
          </w:tcPr>
          <w:p w14:paraId="5B012D62" w14:textId="77777777" w:rsidR="00A46DB4" w:rsidRPr="00C9549D" w:rsidRDefault="00A46DB4">
            <w:pPr>
              <w:spacing w:line="240" w:lineRule="auto"/>
              <w:jc w:val="center"/>
              <w:rPr>
                <w:rFonts w:eastAsia="Times New Roman"/>
                <w:color w:val="000000"/>
                <w:sz w:val="22"/>
                <w:szCs w:val="22"/>
                <w:lang w:eastAsia="hr-HR"/>
              </w:rPr>
            </w:pPr>
            <w:r>
              <w:rPr>
                <w:color w:val="000000"/>
                <w:sz w:val="22"/>
                <w:szCs w:val="22"/>
              </w:rPr>
              <w:t>289</w:t>
            </w:r>
          </w:p>
        </w:tc>
        <w:tc>
          <w:tcPr>
            <w:tcW w:w="2693" w:type="dxa"/>
            <w:tcBorders>
              <w:top w:val="nil"/>
              <w:left w:val="nil"/>
              <w:bottom w:val="single" w:sz="4" w:space="0" w:color="A6A6A6"/>
              <w:right w:val="single" w:sz="4" w:space="0" w:color="A6A6A6"/>
            </w:tcBorders>
            <w:shd w:val="clear" w:color="auto" w:fill="auto"/>
            <w:noWrap/>
            <w:vAlign w:val="center"/>
            <w:hideMark/>
          </w:tcPr>
          <w:p w14:paraId="5736E776" w14:textId="77777777" w:rsidR="00A46DB4" w:rsidRPr="00C9549D" w:rsidRDefault="00A46DB4">
            <w:pPr>
              <w:spacing w:line="240" w:lineRule="auto"/>
              <w:jc w:val="right"/>
              <w:rPr>
                <w:rFonts w:eastAsia="Times New Roman"/>
                <w:color w:val="000000"/>
                <w:sz w:val="22"/>
                <w:szCs w:val="22"/>
                <w:lang w:eastAsia="hr-HR"/>
              </w:rPr>
            </w:pPr>
            <w:r>
              <w:rPr>
                <w:color w:val="000000"/>
                <w:sz w:val="22"/>
                <w:szCs w:val="22"/>
              </w:rPr>
              <w:t> </w:t>
            </w:r>
          </w:p>
        </w:tc>
      </w:tr>
      <w:tr w:rsidR="00A46DB4" w:rsidRPr="00C9549D" w14:paraId="76081659" w14:textId="77777777" w:rsidTr="000A132C">
        <w:trPr>
          <w:trHeight w:val="397"/>
        </w:trPr>
        <w:tc>
          <w:tcPr>
            <w:tcW w:w="4106" w:type="dxa"/>
            <w:tcBorders>
              <w:top w:val="nil"/>
              <w:left w:val="single" w:sz="4" w:space="0" w:color="A6A6A6"/>
              <w:bottom w:val="single" w:sz="4" w:space="0" w:color="A6A6A6"/>
              <w:right w:val="single" w:sz="4" w:space="0" w:color="A6A6A6"/>
            </w:tcBorders>
            <w:shd w:val="clear" w:color="000000" w:fill="002060"/>
            <w:vAlign w:val="center"/>
            <w:hideMark/>
          </w:tcPr>
          <w:p w14:paraId="58D67B45" w14:textId="77777777" w:rsidR="00A46DB4" w:rsidRPr="00C9549D" w:rsidRDefault="00A46DB4">
            <w:pPr>
              <w:spacing w:line="240" w:lineRule="auto"/>
              <w:jc w:val="left"/>
              <w:rPr>
                <w:rFonts w:eastAsia="Times New Roman"/>
                <w:color w:val="FFFFFF"/>
                <w:sz w:val="22"/>
                <w:szCs w:val="22"/>
                <w:lang w:eastAsia="hr-HR"/>
              </w:rPr>
            </w:pPr>
            <w:r>
              <w:rPr>
                <w:color w:val="FFFFFF"/>
                <w:sz w:val="22"/>
                <w:szCs w:val="22"/>
              </w:rPr>
              <w:t>Ukupno</w:t>
            </w:r>
          </w:p>
        </w:tc>
        <w:tc>
          <w:tcPr>
            <w:tcW w:w="2268" w:type="dxa"/>
            <w:tcBorders>
              <w:top w:val="nil"/>
              <w:left w:val="nil"/>
              <w:bottom w:val="single" w:sz="4" w:space="0" w:color="A6A6A6"/>
              <w:right w:val="single" w:sz="4" w:space="0" w:color="A6A6A6"/>
            </w:tcBorders>
            <w:shd w:val="clear" w:color="000000" w:fill="002060"/>
            <w:vAlign w:val="center"/>
            <w:hideMark/>
          </w:tcPr>
          <w:p w14:paraId="3743ED65" w14:textId="77777777" w:rsidR="00A46DB4" w:rsidRPr="00C9549D" w:rsidRDefault="00A46DB4">
            <w:pPr>
              <w:spacing w:line="240" w:lineRule="auto"/>
              <w:jc w:val="center"/>
              <w:rPr>
                <w:rFonts w:eastAsia="Times New Roman"/>
                <w:color w:val="FFFFFF"/>
                <w:sz w:val="22"/>
                <w:szCs w:val="22"/>
                <w:lang w:eastAsia="hr-HR"/>
              </w:rPr>
            </w:pPr>
            <w:r>
              <w:rPr>
                <w:color w:val="FFFFFF"/>
                <w:sz w:val="22"/>
                <w:szCs w:val="22"/>
              </w:rPr>
              <w:t>509</w:t>
            </w:r>
          </w:p>
        </w:tc>
        <w:tc>
          <w:tcPr>
            <w:tcW w:w="2693" w:type="dxa"/>
            <w:tcBorders>
              <w:top w:val="nil"/>
              <w:left w:val="nil"/>
              <w:bottom w:val="single" w:sz="4" w:space="0" w:color="A6A6A6"/>
              <w:right w:val="single" w:sz="4" w:space="0" w:color="A6A6A6"/>
            </w:tcBorders>
            <w:shd w:val="clear" w:color="000000" w:fill="002060"/>
            <w:vAlign w:val="center"/>
            <w:hideMark/>
          </w:tcPr>
          <w:p w14:paraId="43F701AD" w14:textId="41198323" w:rsidR="00A46DB4" w:rsidRPr="000A132C" w:rsidRDefault="00D22DDC" w:rsidP="00D22DDC">
            <w:pPr>
              <w:spacing w:line="240" w:lineRule="auto"/>
              <w:jc w:val="right"/>
              <w:rPr>
                <w:color w:val="FFFFFF"/>
                <w:sz w:val="22"/>
                <w:szCs w:val="22"/>
                <w:lang w:eastAsia="hr-HR"/>
              </w:rPr>
            </w:pPr>
            <w:r>
              <w:rPr>
                <w:color w:val="FFFFFF"/>
                <w:sz w:val="22"/>
                <w:szCs w:val="22"/>
              </w:rPr>
              <w:t>12.459.023,73 €</w:t>
            </w:r>
          </w:p>
        </w:tc>
      </w:tr>
    </w:tbl>
    <w:p w14:paraId="4C813AA6" w14:textId="77777777" w:rsidR="001A69F5" w:rsidRDefault="001A69F5" w:rsidP="001A69F5">
      <w:pPr>
        <w:spacing w:before="60" w:after="60" w:line="259" w:lineRule="auto"/>
        <w:rPr>
          <w:rFonts w:eastAsia="BatangChe"/>
          <w:color w:val="FF0000"/>
        </w:rPr>
      </w:pPr>
    </w:p>
    <w:p w14:paraId="12855D76" w14:textId="77777777" w:rsidR="004F75D3" w:rsidRDefault="004F75D3" w:rsidP="001A69F5">
      <w:pPr>
        <w:spacing w:before="60" w:after="60" w:line="259" w:lineRule="auto"/>
        <w:rPr>
          <w:rFonts w:eastAsia="BatangChe"/>
          <w:color w:val="FF0000"/>
        </w:rPr>
      </w:pPr>
    </w:p>
    <w:p w14:paraId="19A2D544" w14:textId="77777777" w:rsidR="00A245E4" w:rsidRDefault="00A245E4" w:rsidP="001A69F5">
      <w:pPr>
        <w:spacing w:before="60" w:after="60" w:line="259" w:lineRule="auto"/>
        <w:rPr>
          <w:rFonts w:eastAsia="BatangChe"/>
          <w:color w:val="FF0000"/>
        </w:rPr>
      </w:pPr>
    </w:p>
    <w:p w14:paraId="483D4661" w14:textId="74CA00E4" w:rsidR="006A756D" w:rsidRDefault="006A756D" w:rsidP="00F4045F">
      <w:pPr>
        <w:pStyle w:val="Heading2"/>
      </w:pPr>
      <w:bookmarkStart w:id="19" w:name="_Toc161040571"/>
      <w:r>
        <w:lastRenderedPageBreak/>
        <w:t>Stambeno zbrinjavanje putem APN-a</w:t>
      </w:r>
      <w:bookmarkEnd w:id="19"/>
      <w:r>
        <w:t xml:space="preserve"> </w:t>
      </w:r>
    </w:p>
    <w:p w14:paraId="2E822D78" w14:textId="77777777" w:rsidR="006F11F3" w:rsidRDefault="006F11F3" w:rsidP="004B7C94">
      <w:pPr>
        <w:spacing w:line="252" w:lineRule="auto"/>
        <w:contextualSpacing/>
      </w:pPr>
    </w:p>
    <w:p w14:paraId="6FF943A7" w14:textId="29A08487" w:rsidR="00BB4831" w:rsidRDefault="0070186E" w:rsidP="00BB4831">
      <w:pPr>
        <w:rPr>
          <w:rFonts w:eastAsiaTheme="minorHAnsi"/>
          <w:kern w:val="2"/>
          <w14:ligatures w14:val="standardContextual"/>
        </w:rPr>
      </w:pPr>
      <w:r>
        <w:rPr>
          <w:bCs/>
        </w:rPr>
        <w:t>Temeljem Zakona o obnovi</w:t>
      </w:r>
      <w:r w:rsidR="00BE1D47">
        <w:rPr>
          <w:bCs/>
        </w:rPr>
        <w:t>,</w:t>
      </w:r>
      <w:r w:rsidR="000F0DB6">
        <w:rPr>
          <w:bCs/>
        </w:rPr>
        <w:t xml:space="preserve"> uz prethodnu Odluku Vlade Republike Hrvatske,</w:t>
      </w:r>
      <w:r>
        <w:rPr>
          <w:bCs/>
        </w:rPr>
        <w:t xml:space="preserve"> </w:t>
      </w:r>
      <w:r w:rsidRPr="00B145A6">
        <w:t>A</w:t>
      </w:r>
      <w:r w:rsidR="00DC0A15">
        <w:t>genciji za pravni promet i posredovanje nekretninama (A</w:t>
      </w:r>
      <w:r w:rsidRPr="00B145A6">
        <w:t>PN</w:t>
      </w:r>
      <w:r w:rsidR="00DC0A15">
        <w:t xml:space="preserve">) </w:t>
      </w:r>
      <w:r w:rsidR="000F0DB6">
        <w:t>j</w:t>
      </w:r>
      <w:r w:rsidRPr="00B145A6">
        <w:t>e da</w:t>
      </w:r>
      <w:r w:rsidR="000F0DB6">
        <w:t>na</w:t>
      </w:r>
      <w:r w:rsidRPr="00B145A6">
        <w:t xml:space="preserve"> ovlast za gradnju </w:t>
      </w:r>
      <w:proofErr w:type="spellStart"/>
      <w:r w:rsidRPr="00B145A6">
        <w:t>višestambenih</w:t>
      </w:r>
      <w:proofErr w:type="spellEnd"/>
      <w:r w:rsidRPr="00B145A6">
        <w:t xml:space="preserve"> zgrada i stjecanje nekretnina za privremeni smještaj</w:t>
      </w:r>
      <w:r w:rsidR="000F0DB6">
        <w:t xml:space="preserve"> na potresom pogođenom području</w:t>
      </w:r>
      <w:r w:rsidR="00B43C0E">
        <w:t>.</w:t>
      </w:r>
      <w:r w:rsidR="00BB4831" w:rsidRPr="00BB4831">
        <w:rPr>
          <w:rFonts w:eastAsiaTheme="minorHAnsi"/>
          <w:kern w:val="2"/>
          <w14:ligatures w14:val="standardContextual"/>
        </w:rPr>
        <w:t xml:space="preserve"> </w:t>
      </w:r>
    </w:p>
    <w:p w14:paraId="6C1068F4" w14:textId="77777777" w:rsidR="00BE1D47" w:rsidRDefault="00BE1D47" w:rsidP="00BB4831">
      <w:pPr>
        <w:rPr>
          <w:rFonts w:eastAsiaTheme="minorHAnsi"/>
          <w:kern w:val="2"/>
          <w14:ligatures w14:val="standardContextual"/>
        </w:rPr>
      </w:pPr>
    </w:p>
    <w:p w14:paraId="12F98DF1" w14:textId="613344E1" w:rsidR="00BE1D47" w:rsidRDefault="00BE1D47" w:rsidP="00BE1D47">
      <w:r>
        <w:t xml:space="preserve">Stambeni </w:t>
      </w:r>
      <w:r w:rsidRPr="00BB4831">
        <w:t>fond na području Sisačko-moslavačke županije</w:t>
      </w:r>
      <w:r>
        <w:t xml:space="preserve"> je </w:t>
      </w:r>
      <w:r w:rsidR="00020EE5">
        <w:t>značajno devastiran posljedicama petrinjskog potresa</w:t>
      </w:r>
      <w:r w:rsidR="0096549D">
        <w:t xml:space="preserve"> (oštećene su 2.442 stambene jedinice)</w:t>
      </w:r>
      <w:r w:rsidR="00020EE5">
        <w:t xml:space="preserve"> stoga se </w:t>
      </w:r>
      <w:r w:rsidRPr="00BB4831">
        <w:t>s ciljem zaštite života i zdravlja ljudi, zaštite imovine te stvaranj</w:t>
      </w:r>
      <w:r w:rsidR="00020EE5">
        <w:t>a</w:t>
      </w:r>
      <w:r w:rsidRPr="00BB4831">
        <w:t xml:space="preserve"> uvjeta za uspostavu </w:t>
      </w:r>
      <w:r w:rsidR="00C85AC9">
        <w:t xml:space="preserve">boljih uvjeta </w:t>
      </w:r>
      <w:r w:rsidRPr="00BB4831">
        <w:t xml:space="preserve">života </w:t>
      </w:r>
      <w:r w:rsidR="00020EE5">
        <w:t>pristupilo značajnom povećanju stambenog fonda</w:t>
      </w:r>
      <w:r w:rsidR="004302A8">
        <w:t xml:space="preserve">, koji će se </w:t>
      </w:r>
      <w:r w:rsidR="00B45E9E">
        <w:t xml:space="preserve">prvotno </w:t>
      </w:r>
      <w:r w:rsidR="004302A8">
        <w:t xml:space="preserve">koristiti za </w:t>
      </w:r>
      <w:r w:rsidR="004302A8" w:rsidRPr="00BB4831">
        <w:t>privremen</w:t>
      </w:r>
      <w:r w:rsidR="004302A8">
        <w:t>o</w:t>
      </w:r>
      <w:r w:rsidR="004302A8" w:rsidRPr="00BB4831">
        <w:t xml:space="preserve"> </w:t>
      </w:r>
      <w:r w:rsidR="004302A8">
        <w:t xml:space="preserve">stambeno </w:t>
      </w:r>
      <w:r w:rsidR="004302A8" w:rsidRPr="00BB4831">
        <w:t>zbrinjavanj</w:t>
      </w:r>
      <w:r w:rsidR="004302A8">
        <w:t>e</w:t>
      </w:r>
      <w:r w:rsidR="00FD3004">
        <w:t xml:space="preserve"> </w:t>
      </w:r>
      <w:r w:rsidR="004302A8">
        <w:t>potresom pogođenog stanovništva</w:t>
      </w:r>
      <w:r w:rsidR="00EE315D">
        <w:t>,</w:t>
      </w:r>
      <w:r w:rsidR="000A20F9">
        <w:t xml:space="preserve"> a kasnije za značajno povećanje sta</w:t>
      </w:r>
      <w:r w:rsidR="00EE315D">
        <w:t>mbenog fonda</w:t>
      </w:r>
      <w:r w:rsidR="004302A8">
        <w:t xml:space="preserve">. </w:t>
      </w:r>
    </w:p>
    <w:p w14:paraId="6654CBD0" w14:textId="77777777" w:rsidR="008C4D0F" w:rsidRDefault="008C4D0F" w:rsidP="00BE1D47"/>
    <w:p w14:paraId="6C89699C" w14:textId="5A56462D" w:rsidR="008C4D0F" w:rsidRPr="00BB4831" w:rsidRDefault="008C4D0F" w:rsidP="008C4D0F">
      <w:pPr>
        <w:spacing w:line="252" w:lineRule="auto"/>
        <w:contextualSpacing/>
      </w:pPr>
      <w:r w:rsidRPr="00227542">
        <w:t xml:space="preserve">Nakon prestanka potrebe za stambenim zbrinjavanjem na temelju Zakona o obnovi, a imajući u vidu buduću realizaciju velikih investicija i trenutnu migraciju radnog stanovništva zaposlenog na području Sisačko-moslavačke županije, planirana </w:t>
      </w:r>
      <w:r w:rsidR="008C4B8C">
        <w:t>iz</w:t>
      </w:r>
      <w:r w:rsidRPr="00227542">
        <w:t>gradnja</w:t>
      </w:r>
      <w:r w:rsidR="008C4B8C">
        <w:t xml:space="preserve"> značajnog stambenog fonda</w:t>
      </w:r>
      <w:r w:rsidRPr="00227542">
        <w:t xml:space="preserve"> doprinijet</w:t>
      </w:r>
      <w:r w:rsidR="008C4B8C">
        <w:t>i</w:t>
      </w:r>
      <w:r w:rsidRPr="00227542">
        <w:t xml:space="preserve"> će revitalizaciji Sisačko-moslavačke županije kroz rješavanje stambenog pitanja mladih obitelji i deficitarnih kadrova, a posljedično i gospodarskom razvoju, povratku stanovništva</w:t>
      </w:r>
      <w:r w:rsidR="00A6079F">
        <w:t xml:space="preserve"> </w:t>
      </w:r>
      <w:r w:rsidRPr="00227542">
        <w:t>i povećanju kvalitete života.</w:t>
      </w:r>
    </w:p>
    <w:p w14:paraId="06467CDB" w14:textId="77777777" w:rsidR="00BB4831" w:rsidRDefault="00BB4831" w:rsidP="00BB4831">
      <w:pPr>
        <w:rPr>
          <w:rFonts w:eastAsiaTheme="minorHAnsi"/>
          <w:kern w:val="2"/>
          <w14:ligatures w14:val="standardContextual"/>
        </w:rPr>
      </w:pPr>
    </w:p>
    <w:p w14:paraId="26EDB62D" w14:textId="36D82230" w:rsidR="003505DE" w:rsidRDefault="008C4D0F" w:rsidP="00EA1D81">
      <w:pPr>
        <w:rPr>
          <w:bCs/>
        </w:rPr>
      </w:pPr>
      <w:r>
        <w:rPr>
          <w:bCs/>
        </w:rPr>
        <w:t>N</w:t>
      </w:r>
      <w:r w:rsidR="00EA1D81" w:rsidRPr="00B74F79">
        <w:rPr>
          <w:bCs/>
        </w:rPr>
        <w:t xml:space="preserve">a području Sisačko-moslavačke županije </w:t>
      </w:r>
      <w:r w:rsidR="003505DE">
        <w:rPr>
          <w:bCs/>
        </w:rPr>
        <w:t xml:space="preserve">predviđena je gradnja </w:t>
      </w:r>
      <w:r>
        <w:rPr>
          <w:bCs/>
        </w:rPr>
        <w:t>ukupno</w:t>
      </w:r>
      <w:r w:rsidR="003505DE">
        <w:rPr>
          <w:bCs/>
        </w:rPr>
        <w:t xml:space="preserve"> </w:t>
      </w:r>
      <w:r w:rsidR="00EA1D81" w:rsidRPr="00B74F79">
        <w:t xml:space="preserve">36 </w:t>
      </w:r>
      <w:proofErr w:type="spellStart"/>
      <w:r w:rsidR="00EA1D81" w:rsidRPr="00B74F79">
        <w:t>višestambenih</w:t>
      </w:r>
      <w:proofErr w:type="spellEnd"/>
      <w:r w:rsidR="00EA1D81" w:rsidRPr="00B74F79">
        <w:t xml:space="preserve"> zgrada s 666 stanova</w:t>
      </w:r>
      <w:r w:rsidR="00B43C0E">
        <w:t xml:space="preserve"> za čiju su izgradnju osigurana sredstva državnog proračuna u iznosu od</w:t>
      </w:r>
      <w:r w:rsidR="008E5C14">
        <w:t xml:space="preserve"> oko</w:t>
      </w:r>
      <w:r w:rsidR="00B43C0E">
        <w:t xml:space="preserve"> 100 milijuna eura</w:t>
      </w:r>
      <w:r w:rsidR="00EA1D81" w:rsidRPr="00B74F79">
        <w:t>.</w:t>
      </w:r>
      <w:r w:rsidR="00EA1D81" w:rsidRPr="00B74F79">
        <w:rPr>
          <w:bCs/>
        </w:rPr>
        <w:t xml:space="preserve"> </w:t>
      </w:r>
    </w:p>
    <w:p w14:paraId="41D263AB" w14:textId="77777777" w:rsidR="00B43C0E" w:rsidRDefault="00B43C0E" w:rsidP="00EA1D81">
      <w:pPr>
        <w:rPr>
          <w:bCs/>
        </w:rPr>
      </w:pPr>
    </w:p>
    <w:p w14:paraId="4B14B557" w14:textId="7D427DAD" w:rsidR="003302A1" w:rsidRPr="003302A1" w:rsidRDefault="00B43C0E" w:rsidP="003302A1">
      <w:pPr>
        <w:rPr>
          <w:bCs/>
        </w:rPr>
      </w:pPr>
      <w:r>
        <w:t xml:space="preserve">Od ukupno 36 zgrada, </w:t>
      </w:r>
      <w:r w:rsidRPr="00B145A6">
        <w:t>u Sisku će se graditi</w:t>
      </w:r>
      <w:r>
        <w:t xml:space="preserve"> njih</w:t>
      </w:r>
      <w:r w:rsidR="00C50913">
        <w:t xml:space="preserve"> dvadeset</w:t>
      </w:r>
      <w:r w:rsidRPr="00B145A6">
        <w:t>, u Petrinji</w:t>
      </w:r>
      <w:r w:rsidR="00073DEF">
        <w:t xml:space="preserve"> osam</w:t>
      </w:r>
      <w:r w:rsidRPr="00B145A6">
        <w:t xml:space="preserve">, u </w:t>
      </w:r>
      <w:proofErr w:type="spellStart"/>
      <w:r w:rsidRPr="00B145A6">
        <w:t>Topuskom</w:t>
      </w:r>
      <w:proofErr w:type="spellEnd"/>
      <w:r w:rsidRPr="00B145A6">
        <w:t xml:space="preserve"> dvije, a u Kutini, Jasenovcu, Glini, Sunji, Lekeniku i Hrvatskoj Kostajnici po jedna </w:t>
      </w:r>
      <w:proofErr w:type="spellStart"/>
      <w:r w:rsidR="000F0DB6">
        <w:t>višestambena</w:t>
      </w:r>
      <w:proofErr w:type="spellEnd"/>
      <w:r w:rsidR="000F0DB6">
        <w:t xml:space="preserve"> </w:t>
      </w:r>
      <w:r w:rsidRPr="00B145A6">
        <w:t>zgrada</w:t>
      </w:r>
      <w:r>
        <w:t xml:space="preserve">. </w:t>
      </w:r>
      <w:r w:rsidR="00EA1D81" w:rsidRPr="00B74F79">
        <w:rPr>
          <w:bCs/>
        </w:rPr>
        <w:t xml:space="preserve">Izgradnja prvih </w:t>
      </w:r>
      <w:r>
        <w:rPr>
          <w:bCs/>
        </w:rPr>
        <w:t xml:space="preserve">sedam </w:t>
      </w:r>
      <w:r w:rsidR="00EA1D81" w:rsidRPr="00B74F79">
        <w:rPr>
          <w:bCs/>
        </w:rPr>
        <w:t xml:space="preserve">zgrada u Sisku </w:t>
      </w:r>
      <w:r w:rsidR="000F0DB6">
        <w:rPr>
          <w:bCs/>
        </w:rPr>
        <w:t xml:space="preserve">predviđa se </w:t>
      </w:r>
      <w:r w:rsidR="00EA1D81" w:rsidRPr="00B74F79">
        <w:rPr>
          <w:bCs/>
        </w:rPr>
        <w:t>krajem siječnja</w:t>
      </w:r>
      <w:r w:rsidR="00A5468D">
        <w:rPr>
          <w:bCs/>
        </w:rPr>
        <w:t xml:space="preserve"> 2024</w:t>
      </w:r>
      <w:r w:rsidR="00EA1D81" w:rsidRPr="00B74F79">
        <w:rPr>
          <w:bCs/>
        </w:rPr>
        <w:t>.</w:t>
      </w:r>
      <w:r w:rsidR="00A5468D">
        <w:rPr>
          <w:bCs/>
        </w:rPr>
        <w:t xml:space="preserve"> godine.</w:t>
      </w:r>
      <w:r w:rsidR="003302A1" w:rsidRPr="003302A1">
        <w:t xml:space="preserve"> </w:t>
      </w:r>
    </w:p>
    <w:p w14:paraId="19F44FAB" w14:textId="747D9BC0" w:rsidR="00EA1D81" w:rsidRDefault="00EA1D81" w:rsidP="00EA1D81">
      <w:pPr>
        <w:rPr>
          <w:bCs/>
        </w:rPr>
      </w:pPr>
    </w:p>
    <w:p w14:paraId="0176FD74" w14:textId="36AC6E37" w:rsidR="00B145A6" w:rsidRPr="00B145A6" w:rsidRDefault="00B145A6" w:rsidP="00B145A6">
      <w:pPr>
        <w:spacing w:line="252" w:lineRule="auto"/>
        <w:contextualSpacing/>
      </w:pPr>
      <w:r w:rsidRPr="00B145A6">
        <w:t>Do 3</w:t>
      </w:r>
      <w:r w:rsidR="00441B13">
        <w:t xml:space="preserve">1. prosinca </w:t>
      </w:r>
      <w:r w:rsidRPr="00B145A6">
        <w:t xml:space="preserve">2023. APN je u suradnji s Ministarstvom proveo pripremne aktivnosti za osiguranje zemljišta koje su rezultirale </w:t>
      </w:r>
      <w:r w:rsidR="00203BBB">
        <w:t>sljedećim</w:t>
      </w:r>
      <w:r w:rsidRPr="00B145A6">
        <w:t xml:space="preserve"> Odlukama Vlade Republike Hrvatske:</w:t>
      </w:r>
    </w:p>
    <w:p w14:paraId="4CE60D27" w14:textId="77777777" w:rsidR="00B145A6" w:rsidRPr="00B145A6" w:rsidRDefault="00B145A6" w:rsidP="00B145A6">
      <w:pPr>
        <w:spacing w:line="252" w:lineRule="auto"/>
        <w:contextualSpacing/>
      </w:pPr>
    </w:p>
    <w:p w14:paraId="30936BFC" w14:textId="5EF0A99B" w:rsidR="00B145A6" w:rsidRDefault="00B145A6" w:rsidP="00CD7C5B">
      <w:pPr>
        <w:numPr>
          <w:ilvl w:val="0"/>
          <w:numId w:val="6"/>
        </w:numPr>
        <w:spacing w:after="240" w:line="252" w:lineRule="auto"/>
        <w:ind w:left="714" w:hanging="357"/>
        <w:contextualSpacing/>
      </w:pPr>
      <w:r w:rsidRPr="00B145A6">
        <w:t xml:space="preserve">4. svibnja 2023. Vlada Republike Hrvatske donijela je Odluku o određivanju Agencije za pravni promet i posredovanje nekretninama investitorom provedbe izgradnje </w:t>
      </w:r>
      <w:proofErr w:type="spellStart"/>
      <w:r w:rsidRPr="00B145A6">
        <w:t>višestambenih</w:t>
      </w:r>
      <w:proofErr w:type="spellEnd"/>
      <w:r w:rsidRPr="00B145A6">
        <w:t xml:space="preserve"> zgrada za privremeno zbrinjavanje u k.o. Novi Sisak, k.o. Sisak stari, k.o. </w:t>
      </w:r>
      <w:proofErr w:type="spellStart"/>
      <w:r w:rsidRPr="00B145A6">
        <w:t>Topusko</w:t>
      </w:r>
      <w:proofErr w:type="spellEnd"/>
      <w:r w:rsidRPr="00B145A6">
        <w:t>, k.o. Glina, k.o. Jasenovac i k.o. Sunja, odnosno Odluku za izgradnju 11 građevina s ukupno 197 stanova</w:t>
      </w:r>
      <w:r w:rsidR="00CD7C5B">
        <w:t>.</w:t>
      </w:r>
    </w:p>
    <w:p w14:paraId="22A2672F" w14:textId="77777777" w:rsidR="00B145A6" w:rsidRDefault="00B145A6" w:rsidP="00CD7C5B">
      <w:pPr>
        <w:numPr>
          <w:ilvl w:val="0"/>
          <w:numId w:val="6"/>
        </w:numPr>
        <w:spacing w:before="120" w:line="252" w:lineRule="auto"/>
        <w:ind w:left="714" w:hanging="357"/>
        <w:contextualSpacing/>
      </w:pPr>
      <w:r w:rsidRPr="00B145A6">
        <w:t xml:space="preserve">28. lipnja 2023. Vlada Republike Hrvatske donijela je Odluku o određivanju Agencije za pravni promet i posredovanje nekretninama investitorom provedbe izgradnje </w:t>
      </w:r>
      <w:proofErr w:type="spellStart"/>
      <w:r w:rsidRPr="00B145A6">
        <w:t>višestambenih</w:t>
      </w:r>
      <w:proofErr w:type="spellEnd"/>
      <w:r w:rsidRPr="00B145A6">
        <w:t xml:space="preserve"> zgrada za privremeno zbrinjavanje u k.o. Hrvatska Kostajnica, k.o. Kutina, k.o. Novi Sisak i k.o. Sisak Stari, odnosno Odluku za izgradnju devet građevina s ukupno 171 stanom.</w:t>
      </w:r>
    </w:p>
    <w:p w14:paraId="52433E8C" w14:textId="41D711FA" w:rsidR="00B145A6" w:rsidRPr="003422C8" w:rsidRDefault="00B145A6" w:rsidP="003422C8">
      <w:pPr>
        <w:pStyle w:val="ListParagraph"/>
        <w:numPr>
          <w:ilvl w:val="0"/>
          <w:numId w:val="6"/>
        </w:numPr>
      </w:pPr>
      <w:r w:rsidRPr="003422C8">
        <w:rPr>
          <w:bCs/>
        </w:rPr>
        <w:t xml:space="preserve">27. rujna 2023. godine </w:t>
      </w:r>
      <w:r w:rsidR="003422C8" w:rsidRPr="003422C8">
        <w:t xml:space="preserve">Vlada Republike Hrvatske donijela je Odluku o određivanju Agencije za pravni promet i posredovanje nekretninama investitorom provedbe izgradnje </w:t>
      </w:r>
      <w:proofErr w:type="spellStart"/>
      <w:r w:rsidR="003422C8" w:rsidRPr="003422C8">
        <w:t>višestambenih</w:t>
      </w:r>
      <w:proofErr w:type="spellEnd"/>
      <w:r w:rsidR="003422C8" w:rsidRPr="003422C8">
        <w:t xml:space="preserve"> zgrada za privremeno zbrinjavanje u k.o. Sisak Stari,  k.o. Novi Sisak i k.o. Lekenik, odnosno odluku za izgradnju ukupno 8 građevina sa 152 stana</w:t>
      </w:r>
      <w:r w:rsidR="003422C8">
        <w:t>.</w:t>
      </w:r>
    </w:p>
    <w:p w14:paraId="79199B18" w14:textId="4A6E6FFF" w:rsidR="00B145A6" w:rsidRPr="0019259F" w:rsidRDefault="00B145A6" w:rsidP="0019259F">
      <w:pPr>
        <w:pStyle w:val="ListParagraph"/>
        <w:numPr>
          <w:ilvl w:val="0"/>
          <w:numId w:val="6"/>
        </w:numPr>
        <w:rPr>
          <w:bCs/>
        </w:rPr>
      </w:pPr>
      <w:r w:rsidRPr="0019259F">
        <w:rPr>
          <w:bCs/>
        </w:rPr>
        <w:lastRenderedPageBreak/>
        <w:t xml:space="preserve">13. prosinca 2023. godine </w:t>
      </w:r>
      <w:r w:rsidRPr="00B145A6">
        <w:t xml:space="preserve">Vlada Republike Hrvatske donijela je Odluku o određivanju Agencije za pravni promet i posredovanje nekretninama investitorom provedbe izgradnje </w:t>
      </w:r>
      <w:proofErr w:type="spellStart"/>
      <w:r w:rsidRPr="00B145A6">
        <w:t>višestambenih</w:t>
      </w:r>
      <w:proofErr w:type="spellEnd"/>
      <w:r w:rsidRPr="00B145A6">
        <w:t xml:space="preserve"> zgrada za privremeno zbrinjavanje </w:t>
      </w:r>
      <w:r w:rsidRPr="0019259F">
        <w:rPr>
          <w:bCs/>
        </w:rPr>
        <w:t>u k.o. Petrinja</w:t>
      </w:r>
      <w:r w:rsidR="0019259F" w:rsidRPr="0019259F">
        <w:t xml:space="preserve"> </w:t>
      </w:r>
      <w:r w:rsidR="0019259F" w:rsidRPr="0019259F">
        <w:rPr>
          <w:bCs/>
        </w:rPr>
        <w:t xml:space="preserve">odnosno odluku za izgradnju ukupno 8 građevina sa 152 stana. </w:t>
      </w:r>
    </w:p>
    <w:p w14:paraId="35A472D1" w14:textId="77777777" w:rsidR="00227542" w:rsidRPr="00227542" w:rsidRDefault="00227542" w:rsidP="00227542">
      <w:pPr>
        <w:spacing w:line="252" w:lineRule="auto"/>
        <w:contextualSpacing/>
      </w:pPr>
    </w:p>
    <w:p w14:paraId="76097B72" w14:textId="525C945E" w:rsidR="00B145A6" w:rsidRDefault="00B145A6" w:rsidP="00B145A6">
      <w:pPr>
        <w:spacing w:line="252" w:lineRule="auto"/>
        <w:contextualSpacing/>
      </w:pPr>
      <w:r w:rsidRPr="00B145A6">
        <w:t xml:space="preserve">Istovremeno, </w:t>
      </w:r>
      <w:r w:rsidR="007E54E4">
        <w:t xml:space="preserve">kroz mjeru stjecanja nekretnina </w:t>
      </w:r>
      <w:r w:rsidR="007E54E4" w:rsidRPr="00B145A6">
        <w:t xml:space="preserve">za privremeni smještaj </w:t>
      </w:r>
      <w:r w:rsidRPr="00B145A6">
        <w:t>APN je zaključno s 31. prosinca 2023. zaprimio 632 iskaza interesa za prodaju nekretnina odnosno ponuda za prodaju nekretnina na području Sisačko-moslavačke županije.</w:t>
      </w:r>
    </w:p>
    <w:p w14:paraId="70671F04" w14:textId="77777777" w:rsidR="005578F3" w:rsidRPr="00B145A6" w:rsidRDefault="005578F3" w:rsidP="00B145A6">
      <w:pPr>
        <w:spacing w:line="252" w:lineRule="auto"/>
        <w:contextualSpacing/>
      </w:pPr>
    </w:p>
    <w:p w14:paraId="041D05E3" w14:textId="2AEC8D96" w:rsidR="00B145A6" w:rsidRPr="00F52A1B" w:rsidRDefault="00B145A6" w:rsidP="00B145A6">
      <w:pPr>
        <w:spacing w:line="252" w:lineRule="auto"/>
        <w:contextualSpacing/>
      </w:pPr>
      <w:r w:rsidRPr="00B145A6">
        <w:t>Od naveden</w:t>
      </w:r>
      <w:r w:rsidR="00575F80">
        <w:t>e</w:t>
      </w:r>
      <w:r w:rsidRPr="00B145A6">
        <w:t xml:space="preserve"> 632 ponud</w:t>
      </w:r>
      <w:r w:rsidR="00575F80">
        <w:t>e</w:t>
      </w:r>
      <w:r w:rsidRPr="00B145A6">
        <w:t xml:space="preserve"> za prodaju nekretnina na području Sisačko-moslavačke županije</w:t>
      </w:r>
      <w:r w:rsidR="00575F80">
        <w:t>, za njih</w:t>
      </w:r>
      <w:r w:rsidRPr="00B145A6">
        <w:t xml:space="preserve"> 601 </w:t>
      </w:r>
      <w:r w:rsidR="00575F80">
        <w:t xml:space="preserve">utvrđeno je da ne mogu biti </w:t>
      </w:r>
      <w:r w:rsidRPr="00B145A6">
        <w:t>predmet kupoprodaje</w:t>
      </w:r>
      <w:r w:rsidR="00B31175" w:rsidRPr="00F52A1B">
        <w:t>.</w:t>
      </w:r>
      <w:r w:rsidR="00BE72A9" w:rsidRPr="00F52A1B">
        <w:t xml:space="preserve"> </w:t>
      </w:r>
      <w:r w:rsidRPr="00F52A1B">
        <w:t xml:space="preserve">Za daljnje postupanje preostala je 31 ponuđena nekretnina </w:t>
      </w:r>
      <w:r w:rsidR="00F52A1B" w:rsidRPr="00F52A1B">
        <w:t>za koje se provode potrebne radnje</w:t>
      </w:r>
      <w:r w:rsidR="00FE58A4">
        <w:t>,</w:t>
      </w:r>
      <w:r w:rsidR="00F52A1B" w:rsidRPr="00F52A1B">
        <w:t xml:space="preserve"> </w:t>
      </w:r>
      <w:bookmarkStart w:id="20" w:name="_Hlk138669400"/>
      <w:r w:rsidR="0051122F">
        <w:t xml:space="preserve">a </w:t>
      </w:r>
      <w:bookmarkEnd w:id="20"/>
      <w:r w:rsidR="000D7ED4" w:rsidRPr="00F52A1B">
        <w:t>k</w:t>
      </w:r>
      <w:r w:rsidRPr="00F52A1B">
        <w:t>upljen</w:t>
      </w:r>
      <w:r w:rsidR="000D7ED4" w:rsidRPr="00F52A1B">
        <w:t xml:space="preserve">o </w:t>
      </w:r>
      <w:r w:rsidR="0051122F">
        <w:t xml:space="preserve">je </w:t>
      </w:r>
      <w:r w:rsidR="000D7ED4" w:rsidRPr="00F52A1B">
        <w:t>devet</w:t>
      </w:r>
      <w:r w:rsidRPr="00F52A1B">
        <w:t xml:space="preserve"> nekretnin</w:t>
      </w:r>
      <w:r w:rsidR="000D7ED4" w:rsidRPr="00F52A1B">
        <w:t>a</w:t>
      </w:r>
      <w:r w:rsidR="009C4135" w:rsidRPr="00F52A1B">
        <w:t xml:space="preserve">. </w:t>
      </w:r>
    </w:p>
    <w:p w14:paraId="3D08EF64" w14:textId="77777777" w:rsidR="00B145A6" w:rsidRPr="00B145A6" w:rsidRDefault="00B145A6" w:rsidP="00B145A6">
      <w:pPr>
        <w:spacing w:line="252" w:lineRule="auto"/>
        <w:contextualSpacing/>
        <w:rPr>
          <w:b/>
          <w:bCs/>
        </w:rPr>
      </w:pPr>
    </w:p>
    <w:p w14:paraId="4DDC3EB6" w14:textId="10A111CE" w:rsidR="00B145A6" w:rsidRPr="00363257" w:rsidRDefault="009E70B1" w:rsidP="00B145A6">
      <w:pPr>
        <w:spacing w:line="252" w:lineRule="auto"/>
        <w:contextualSpacing/>
      </w:pPr>
      <w:r>
        <w:t xml:space="preserve">Do 31. prosinca 2023. </w:t>
      </w:r>
      <w:r w:rsidR="00B145A6" w:rsidRPr="00363257">
        <w:t xml:space="preserve">APN je </w:t>
      </w:r>
      <w:r>
        <w:t>za pripremne radnje izgrad</w:t>
      </w:r>
      <w:r w:rsidR="0051122F">
        <w:t>nj</w:t>
      </w:r>
      <w:r>
        <w:t xml:space="preserve">e </w:t>
      </w:r>
      <w:proofErr w:type="spellStart"/>
      <w:r>
        <w:t>višestambenih</w:t>
      </w:r>
      <w:proofErr w:type="spellEnd"/>
      <w:r>
        <w:t xml:space="preserve"> zgrada i </w:t>
      </w:r>
      <w:r w:rsidR="00355A0B">
        <w:t xml:space="preserve">kupnju nekretnina utrošio </w:t>
      </w:r>
      <w:r w:rsidR="0051122F">
        <w:t xml:space="preserve">ukupno </w:t>
      </w:r>
      <w:r w:rsidR="00B145A6" w:rsidRPr="00363257">
        <w:t xml:space="preserve">992.483,27 </w:t>
      </w:r>
      <w:r w:rsidR="00363257">
        <w:t>eura</w:t>
      </w:r>
      <w:r w:rsidR="0051122F">
        <w:t xml:space="preserve"> i ta su sredstva u potpunosti isplaćena iz državnog proračuna</w:t>
      </w:r>
      <w:r w:rsidR="00B145A6" w:rsidRPr="00363257">
        <w:t>.</w:t>
      </w:r>
    </w:p>
    <w:p w14:paraId="3CE7EDD9" w14:textId="77777777" w:rsidR="00B145A6" w:rsidRDefault="00B145A6" w:rsidP="004B7C94">
      <w:pPr>
        <w:spacing w:line="252" w:lineRule="auto"/>
        <w:contextualSpacing/>
      </w:pPr>
    </w:p>
    <w:p w14:paraId="472CA200" w14:textId="77777777" w:rsidR="00070E37" w:rsidRDefault="00070E37" w:rsidP="006A756D"/>
    <w:p w14:paraId="2E633309" w14:textId="63405C38" w:rsidR="004909C8" w:rsidRPr="00C9549D" w:rsidRDefault="00AC13BB" w:rsidP="00F4045F">
      <w:pPr>
        <w:pStyle w:val="Heading2"/>
      </w:pPr>
      <w:bookmarkStart w:id="21" w:name="_Toc161040572"/>
      <w:r>
        <w:t>Sta</w:t>
      </w:r>
      <w:r w:rsidRPr="00AC13BB">
        <w:rPr>
          <w:bCs/>
        </w:rPr>
        <w:t>mb</w:t>
      </w:r>
      <w:r w:rsidRPr="00AC13BB">
        <w:t>eno zbrinjavanje u nekretninama u vlasništvu RH</w:t>
      </w:r>
      <w:bookmarkEnd w:id="21"/>
    </w:p>
    <w:p w14:paraId="57ADCE0E" w14:textId="77777777" w:rsidR="00070E37" w:rsidRPr="00070E37" w:rsidRDefault="00070E37" w:rsidP="00070E37"/>
    <w:p w14:paraId="2A246B4B" w14:textId="2E67ED2E" w:rsidR="009524DA" w:rsidRDefault="00B254CE" w:rsidP="0089416D">
      <w:r w:rsidRPr="00885AFC">
        <w:t>Za potrebe privremenog stambenog zbrinjavanja</w:t>
      </w:r>
      <w:r w:rsidR="000B32FF">
        <w:t xml:space="preserve"> tijekom izvještajnog razdoblja </w:t>
      </w:r>
      <w:r w:rsidR="000E6DF8" w:rsidRPr="00885AFC">
        <w:t>uređeno je ukupno 1</w:t>
      </w:r>
      <w:r w:rsidR="00FC4707">
        <w:t>5</w:t>
      </w:r>
      <w:r w:rsidR="000E6DF8" w:rsidRPr="00885AFC">
        <w:t xml:space="preserve">7 državnih stanova. </w:t>
      </w:r>
    </w:p>
    <w:p w14:paraId="5410FB55" w14:textId="77777777" w:rsidR="009524DA" w:rsidRDefault="009524DA" w:rsidP="0089416D"/>
    <w:p w14:paraId="43BCB32E" w14:textId="7E66818E" w:rsidR="0089416D" w:rsidRPr="00885AFC" w:rsidRDefault="000B32FF" w:rsidP="0089416D">
      <w:r>
        <w:t>N</w:t>
      </w:r>
      <w:r w:rsidR="0067544C">
        <w:t xml:space="preserve">jih </w:t>
      </w:r>
      <w:r w:rsidR="00993B95" w:rsidRPr="00885AFC">
        <w:t xml:space="preserve">32 </w:t>
      </w:r>
      <w:r w:rsidR="0067544C">
        <w:t>uređ</w:t>
      </w:r>
      <w:r>
        <w:t xml:space="preserve">ena </w:t>
      </w:r>
      <w:r w:rsidR="0067544C">
        <w:t>su, opremljen</w:t>
      </w:r>
      <w:r>
        <w:t xml:space="preserve">a </w:t>
      </w:r>
      <w:r w:rsidR="0067544C">
        <w:t>i useljen</w:t>
      </w:r>
      <w:r>
        <w:t>a</w:t>
      </w:r>
      <w:r w:rsidR="0067544C">
        <w:t xml:space="preserve"> </w:t>
      </w:r>
      <w:r w:rsidR="000E7AD0" w:rsidRPr="00885AFC">
        <w:t>od strane Sisačko-moslavačke županije</w:t>
      </w:r>
      <w:r w:rsidR="0067544C">
        <w:t xml:space="preserve">. </w:t>
      </w:r>
      <w:r w:rsidR="00133C76">
        <w:t>N</w:t>
      </w:r>
      <w:r w:rsidR="00DB466C">
        <w:t>ajveći broj stanova uredilo i opremilo d</w:t>
      </w:r>
      <w:r w:rsidR="00486590">
        <w:t>ruštvo</w:t>
      </w:r>
      <w:r w:rsidR="00587A24" w:rsidRPr="00885AFC">
        <w:t xml:space="preserve"> </w:t>
      </w:r>
      <w:r w:rsidR="0089416D" w:rsidRPr="00885AFC">
        <w:t>D</w:t>
      </w:r>
      <w:r w:rsidR="00CC64D6" w:rsidRPr="00885AFC">
        <w:t>ržavne nekretnine d.o.o.</w:t>
      </w:r>
      <w:r w:rsidR="00DB466C">
        <w:t xml:space="preserve">, njih </w:t>
      </w:r>
      <w:r w:rsidR="0089416D" w:rsidRPr="00885AFC">
        <w:t>12</w:t>
      </w:r>
      <w:r w:rsidR="00CC64D6" w:rsidRPr="00885AFC">
        <w:t>5 na području G</w:t>
      </w:r>
      <w:r w:rsidR="0089416D" w:rsidRPr="00885AFC">
        <w:t>rada Zagreba, Zagrebačke županije, Karlovačke</w:t>
      </w:r>
      <w:r w:rsidR="00CC64D6" w:rsidRPr="00885AFC">
        <w:t xml:space="preserve"> županije</w:t>
      </w:r>
      <w:r w:rsidR="0089416D" w:rsidRPr="00885AFC">
        <w:t>, Sisačko-moslavačke</w:t>
      </w:r>
      <w:r w:rsidR="00CC64D6" w:rsidRPr="00885AFC">
        <w:t xml:space="preserve"> županije</w:t>
      </w:r>
      <w:r w:rsidR="0089416D" w:rsidRPr="00885AFC">
        <w:t xml:space="preserve"> i Krapinsko-zagorske županije</w:t>
      </w:r>
      <w:r w:rsidR="00FC4463">
        <w:t xml:space="preserve">. </w:t>
      </w:r>
    </w:p>
    <w:p w14:paraId="1AB9959B" w14:textId="77777777" w:rsidR="00F51602" w:rsidRPr="00885AFC" w:rsidRDefault="00F51602" w:rsidP="0089416D"/>
    <w:p w14:paraId="6C71C280" w14:textId="4A9CC547" w:rsidR="00070E37" w:rsidRDefault="00B44CE0" w:rsidP="00F51602">
      <w:r>
        <w:t xml:space="preserve">Društvo </w:t>
      </w:r>
      <w:r w:rsidR="004A6C73" w:rsidRPr="00885AFC">
        <w:t xml:space="preserve">Državne nekretnine </w:t>
      </w:r>
      <w:r w:rsidR="000501B2" w:rsidRPr="00885AFC">
        <w:t>d.o.o.</w:t>
      </w:r>
      <w:r w:rsidR="000D6A95">
        <w:t xml:space="preserve"> </w:t>
      </w:r>
      <w:r w:rsidR="00CC64D6" w:rsidRPr="00885AFC">
        <w:t>započelo</w:t>
      </w:r>
      <w:r w:rsidR="00663F6E">
        <w:t xml:space="preserve"> je</w:t>
      </w:r>
      <w:r w:rsidR="00CC64D6" w:rsidRPr="00885AFC">
        <w:t xml:space="preserve"> </w:t>
      </w:r>
      <w:r w:rsidR="004A6C73" w:rsidRPr="00885AFC">
        <w:t>p</w:t>
      </w:r>
      <w:r w:rsidR="0089416D" w:rsidRPr="00885AFC">
        <w:t>ripremn</w:t>
      </w:r>
      <w:r w:rsidR="004A6C73" w:rsidRPr="00885AFC">
        <w:t>e</w:t>
      </w:r>
      <w:r w:rsidR="0089416D" w:rsidRPr="00885AFC">
        <w:t xml:space="preserve"> radov</w:t>
      </w:r>
      <w:r w:rsidR="004A6C73" w:rsidRPr="00885AFC">
        <w:t>e</w:t>
      </w:r>
      <w:r w:rsidR="0089416D" w:rsidRPr="00885AFC">
        <w:t xml:space="preserve"> krajem siječnja</w:t>
      </w:r>
      <w:r w:rsidR="004A6C73" w:rsidRPr="00885AFC">
        <w:t xml:space="preserve"> 2023. </w:t>
      </w:r>
      <w:r w:rsidR="00AB4616">
        <w:t>godine.</w:t>
      </w:r>
      <w:r w:rsidR="0089416D" w:rsidRPr="00885AFC">
        <w:t xml:space="preserve"> Za sve postupke paralelno su se provodili postupci nabave roba, radova i usluga</w:t>
      </w:r>
      <w:r w:rsidR="00CC64D6" w:rsidRPr="00885AFC">
        <w:t>,</w:t>
      </w:r>
      <w:r w:rsidR="0089416D" w:rsidRPr="00885AFC">
        <w:t xml:space="preserve"> a sve sukladno Pravilniku o provedbi postupaka nabave roba, usluga i radova za postupke obnove. Prvi ugovoreni izvođač građevinsko-obrtničkih radova uveden je u posao 1</w:t>
      </w:r>
      <w:r w:rsidR="00F030A7" w:rsidRPr="00885AFC">
        <w:t>.</w:t>
      </w:r>
      <w:r w:rsidR="00890162" w:rsidRPr="00885AFC">
        <w:t xml:space="preserve"> ožujka </w:t>
      </w:r>
      <w:r w:rsidR="009E699D" w:rsidRPr="00885AFC">
        <w:t>2023</w:t>
      </w:r>
      <w:r w:rsidR="00F51602" w:rsidRPr="00885AFC">
        <w:t xml:space="preserve">. </w:t>
      </w:r>
      <w:r w:rsidR="0089416D" w:rsidRPr="00885AFC">
        <w:t>Građevinsk</w:t>
      </w:r>
      <w:r w:rsidR="009E699D" w:rsidRPr="00885AFC">
        <w:t>o-obrtničke radove izvodilo je sedam</w:t>
      </w:r>
      <w:r w:rsidR="0089416D" w:rsidRPr="00885AFC">
        <w:t xml:space="preserve"> građevinskih tvrtki. Završetak radova bio </w:t>
      </w:r>
      <w:r w:rsidR="00F51602" w:rsidRPr="00885AFC">
        <w:t xml:space="preserve">je </w:t>
      </w:r>
      <w:r w:rsidR="0089416D" w:rsidRPr="00885AFC">
        <w:t>28.</w:t>
      </w:r>
      <w:r w:rsidR="00890162" w:rsidRPr="00885AFC">
        <w:t xml:space="preserve"> lipnja </w:t>
      </w:r>
      <w:r w:rsidR="0089416D" w:rsidRPr="00885AFC">
        <w:t>2023</w:t>
      </w:r>
      <w:r w:rsidR="009E699D" w:rsidRPr="00885AFC">
        <w:t>.</w:t>
      </w:r>
      <w:r w:rsidR="00F51602" w:rsidRPr="00885AFC">
        <w:t>, a u</w:t>
      </w:r>
      <w:r w:rsidR="0089416D" w:rsidRPr="00885AFC">
        <w:t>kupna realizirana vrijednost radova, roba i usluga iznosila je 4</w:t>
      </w:r>
      <w:r w:rsidR="0096601C" w:rsidRPr="00885AFC">
        <w:t>,8 milijuna eura</w:t>
      </w:r>
      <w:r w:rsidR="0089416D" w:rsidRPr="00885AFC">
        <w:t>, od čega</w:t>
      </w:r>
      <w:r w:rsidR="0096601C" w:rsidRPr="00885AFC">
        <w:t xml:space="preserve"> je vrijednost radova</w:t>
      </w:r>
      <w:r w:rsidR="0089416D" w:rsidRPr="00885AFC">
        <w:t xml:space="preserve"> 3</w:t>
      </w:r>
      <w:r w:rsidR="0096601C" w:rsidRPr="00885AFC">
        <w:t xml:space="preserve">,9 milijuna eura, a roba i usluga </w:t>
      </w:r>
      <w:r w:rsidR="00F51602" w:rsidRPr="00885AFC">
        <w:t>874 tisuće eura.</w:t>
      </w:r>
      <w:r w:rsidR="00AB4616">
        <w:t xml:space="preserve"> Stanovi su u potpunosti namješteni i opremljeni. </w:t>
      </w:r>
    </w:p>
    <w:p w14:paraId="095B5C9D" w14:textId="77777777" w:rsidR="003802F3" w:rsidRDefault="003802F3" w:rsidP="00F51602"/>
    <w:p w14:paraId="532A4BD5" w14:textId="318C14CF" w:rsidR="003802F3" w:rsidRDefault="003802F3" w:rsidP="003802F3">
      <w:pPr>
        <w:spacing w:after="160" w:line="259" w:lineRule="auto"/>
      </w:pPr>
      <w:r w:rsidRPr="004F446C">
        <w:t>Do 31. prosinca 2023. sklopljeno je 73 ugovora o najmu stan</w:t>
      </w:r>
      <w:r w:rsidR="00357049">
        <w:t>a</w:t>
      </w:r>
      <w:r w:rsidRPr="004F446C">
        <w:t xml:space="preserve"> za privremeni smještaj stradalnika potresa, od čega je 68 obitelji useljeno u stanove na području Grada Zagreba, jedna obitelj u stan u </w:t>
      </w:r>
      <w:proofErr w:type="spellStart"/>
      <w:r w:rsidRPr="004F446C">
        <w:t>Popovači</w:t>
      </w:r>
      <w:proofErr w:type="spellEnd"/>
      <w:r w:rsidRPr="004F446C">
        <w:t>, dvije obitelji u stanove u Karlovcu, jedna obitelj u stan u Zaprešiću i jedna obitelj u stan Velikoj Gorici</w:t>
      </w:r>
      <w:r>
        <w:t>.</w:t>
      </w:r>
    </w:p>
    <w:p w14:paraId="402D9977" w14:textId="1FF1E76C" w:rsidR="00B81CBB" w:rsidRDefault="00E83136" w:rsidP="00500181">
      <w:pPr>
        <w:spacing w:after="160" w:line="259" w:lineRule="auto"/>
        <w:rPr>
          <w:color w:val="FF0000"/>
        </w:rPr>
      </w:pPr>
      <w:r w:rsidRPr="005843AB">
        <w:t xml:space="preserve">Spomenimo i kako je </w:t>
      </w:r>
      <w:r w:rsidR="00E94231" w:rsidRPr="005843AB">
        <w:t>temeljem Zaključka</w:t>
      </w:r>
      <w:r w:rsidR="004E1025" w:rsidRPr="005843AB">
        <w:t xml:space="preserve">, neposredno nakon petrinjskog potresa, </w:t>
      </w:r>
      <w:r w:rsidR="009A756B">
        <w:t>Vlada Republike Hrvatske</w:t>
      </w:r>
      <w:r w:rsidR="004E1025" w:rsidRPr="005843AB">
        <w:t xml:space="preserve"> na raspolaganje stavila </w:t>
      </w:r>
      <w:r w:rsidR="00500181" w:rsidRPr="005843AB">
        <w:t xml:space="preserve">94 stana od kojih je </w:t>
      </w:r>
      <w:r w:rsidR="00B65689">
        <w:t>do kraja izvještajnog razdoblja</w:t>
      </w:r>
      <w:r w:rsidR="00695250">
        <w:t xml:space="preserve"> </w:t>
      </w:r>
      <w:r w:rsidR="00500181" w:rsidRPr="005843AB">
        <w:t>22</w:t>
      </w:r>
      <w:r w:rsidR="00C747E4" w:rsidRPr="005843AB">
        <w:t xml:space="preserve"> korisnika stana svoj status reguliral</w:t>
      </w:r>
      <w:r w:rsidR="009A756B">
        <w:t>o</w:t>
      </w:r>
      <w:r w:rsidR="00C747E4" w:rsidRPr="005843AB">
        <w:t xml:space="preserve"> putem Zakona o stambenom zbrinjavanju na </w:t>
      </w:r>
      <w:r w:rsidR="00C747E4" w:rsidRPr="005843AB">
        <w:lastRenderedPageBreak/>
        <w:t xml:space="preserve">potpomognutim područjima, odnosno koriste </w:t>
      </w:r>
      <w:r w:rsidR="009A756B">
        <w:t xml:space="preserve">te </w:t>
      </w:r>
      <w:r w:rsidR="00C747E4" w:rsidRPr="005843AB">
        <w:t xml:space="preserve">stanove za trajno </w:t>
      </w:r>
      <w:r w:rsidR="00213903">
        <w:t xml:space="preserve">stambeno </w:t>
      </w:r>
      <w:r w:rsidR="00C747E4" w:rsidRPr="005843AB">
        <w:t>zbrinjavanje</w:t>
      </w:r>
      <w:r w:rsidR="009A756B">
        <w:t xml:space="preserve"> budući su u vrijeme potresa bili korisnici državnih nekretnina. U p</w:t>
      </w:r>
      <w:r w:rsidR="00C747E4" w:rsidRPr="005843AB">
        <w:t>reostala 72 stana</w:t>
      </w:r>
      <w:r w:rsidR="008E1487" w:rsidRPr="005843AB">
        <w:t xml:space="preserve"> </w:t>
      </w:r>
      <w:r w:rsidR="00F707C1">
        <w:t xml:space="preserve">privremeno su </w:t>
      </w:r>
      <w:r w:rsidR="008E1487" w:rsidRPr="005843AB">
        <w:t xml:space="preserve">smješteni </w:t>
      </w:r>
      <w:r w:rsidR="00F707C1">
        <w:t>k</w:t>
      </w:r>
      <w:r w:rsidR="005843AB" w:rsidRPr="005843AB">
        <w:t>orisnici koji su bili vlasnici nekretnina oštećenih u potresu i iste će koristiti do obnove vlastitih nekretnina.</w:t>
      </w:r>
    </w:p>
    <w:p w14:paraId="31D84D56" w14:textId="25FF0DA8" w:rsidR="00B81CBB" w:rsidRPr="004F446C" w:rsidRDefault="00C534D5" w:rsidP="00B81CBB">
      <w:pPr>
        <w:spacing w:after="160" w:line="259" w:lineRule="auto"/>
        <w:rPr>
          <w:i/>
          <w:iCs/>
        </w:rPr>
      </w:pPr>
      <w:r>
        <w:rPr>
          <w:i/>
          <w:iCs/>
        </w:rPr>
        <w:t>D</w:t>
      </w:r>
      <w:r w:rsidR="00601029">
        <w:rPr>
          <w:i/>
          <w:iCs/>
        </w:rPr>
        <w:t xml:space="preserve">ržavni </w:t>
      </w:r>
      <w:r w:rsidR="00B81CBB">
        <w:rPr>
          <w:i/>
          <w:iCs/>
        </w:rPr>
        <w:t>stanov</w:t>
      </w:r>
      <w:r>
        <w:rPr>
          <w:i/>
          <w:iCs/>
        </w:rPr>
        <w:t>i stavljeni na raspolaganje</w:t>
      </w:r>
    </w:p>
    <w:tbl>
      <w:tblPr>
        <w:tblW w:w="9073" w:type="dxa"/>
        <w:jc w:val="center"/>
        <w:tblLook w:val="04A0" w:firstRow="1" w:lastRow="0" w:firstColumn="1" w:lastColumn="0" w:noHBand="0" w:noVBand="1"/>
      </w:tblPr>
      <w:tblGrid>
        <w:gridCol w:w="5676"/>
        <w:gridCol w:w="3397"/>
      </w:tblGrid>
      <w:tr w:rsidR="000066E2" w:rsidRPr="004F446C" w14:paraId="099BF22B" w14:textId="77777777" w:rsidTr="000066E2">
        <w:trPr>
          <w:trHeight w:val="826"/>
          <w:jc w:val="center"/>
        </w:trPr>
        <w:tc>
          <w:tcPr>
            <w:tcW w:w="5676" w:type="dxa"/>
            <w:tcBorders>
              <w:top w:val="single" w:sz="4" w:space="0" w:color="A6A6A6"/>
              <w:left w:val="single" w:sz="4" w:space="0" w:color="A6A6A6"/>
              <w:bottom w:val="single" w:sz="4" w:space="0" w:color="A6A6A6"/>
              <w:right w:val="single" w:sz="4" w:space="0" w:color="A6A6A6"/>
            </w:tcBorders>
            <w:shd w:val="clear" w:color="000000" w:fill="002060"/>
            <w:noWrap/>
            <w:vAlign w:val="center"/>
            <w:hideMark/>
          </w:tcPr>
          <w:p w14:paraId="5A594F86" w14:textId="0260BB7A" w:rsidR="000066E2" w:rsidRPr="004F446C" w:rsidRDefault="000066E2" w:rsidP="000D00D8">
            <w:pPr>
              <w:spacing w:line="240" w:lineRule="auto"/>
              <w:jc w:val="center"/>
            </w:pPr>
            <w:r>
              <w:t>Tijelo</w:t>
            </w:r>
          </w:p>
        </w:tc>
        <w:tc>
          <w:tcPr>
            <w:tcW w:w="3397" w:type="dxa"/>
            <w:tcBorders>
              <w:top w:val="single" w:sz="4" w:space="0" w:color="A6A6A6"/>
              <w:left w:val="nil"/>
              <w:bottom w:val="single" w:sz="4" w:space="0" w:color="A6A6A6"/>
              <w:right w:val="single" w:sz="4" w:space="0" w:color="A6A6A6"/>
            </w:tcBorders>
            <w:shd w:val="clear" w:color="000000" w:fill="002060"/>
            <w:noWrap/>
            <w:vAlign w:val="center"/>
            <w:hideMark/>
          </w:tcPr>
          <w:p w14:paraId="2F4CAEA2" w14:textId="3EADA161" w:rsidR="000066E2" w:rsidRPr="004F446C" w:rsidRDefault="000066E2" w:rsidP="000D00D8">
            <w:pPr>
              <w:spacing w:line="240" w:lineRule="auto"/>
              <w:jc w:val="center"/>
            </w:pPr>
            <w:r w:rsidRPr="004F446C">
              <w:t>Broj stanova</w:t>
            </w:r>
          </w:p>
        </w:tc>
      </w:tr>
      <w:tr w:rsidR="000066E2" w:rsidRPr="004F446C" w14:paraId="16D33944" w14:textId="77777777" w:rsidTr="000066E2">
        <w:trPr>
          <w:trHeight w:val="454"/>
          <w:jc w:val="center"/>
        </w:trPr>
        <w:tc>
          <w:tcPr>
            <w:tcW w:w="5676" w:type="dxa"/>
            <w:tcBorders>
              <w:top w:val="nil"/>
              <w:left w:val="single" w:sz="4" w:space="0" w:color="A6A6A6"/>
              <w:bottom w:val="single" w:sz="4" w:space="0" w:color="A6A6A6"/>
              <w:right w:val="single" w:sz="4" w:space="0" w:color="A6A6A6"/>
            </w:tcBorders>
            <w:shd w:val="clear" w:color="auto" w:fill="auto"/>
            <w:noWrap/>
            <w:vAlign w:val="center"/>
            <w:hideMark/>
          </w:tcPr>
          <w:p w14:paraId="3EA61EAF" w14:textId="0F975433" w:rsidR="000066E2" w:rsidRPr="004F446C" w:rsidRDefault="000066E2" w:rsidP="000D00D8">
            <w:pPr>
              <w:spacing w:line="240" w:lineRule="auto"/>
              <w:jc w:val="left"/>
            </w:pPr>
            <w:r>
              <w:t>Državne nekretnine d.d.</w:t>
            </w:r>
          </w:p>
        </w:tc>
        <w:tc>
          <w:tcPr>
            <w:tcW w:w="3397" w:type="dxa"/>
            <w:tcBorders>
              <w:top w:val="nil"/>
              <w:left w:val="nil"/>
              <w:bottom w:val="single" w:sz="4" w:space="0" w:color="A6A6A6"/>
              <w:right w:val="single" w:sz="4" w:space="0" w:color="A6A6A6"/>
            </w:tcBorders>
            <w:shd w:val="clear" w:color="auto" w:fill="auto"/>
            <w:noWrap/>
            <w:vAlign w:val="center"/>
            <w:hideMark/>
          </w:tcPr>
          <w:p w14:paraId="05F3E8DC" w14:textId="1EA97865" w:rsidR="000066E2" w:rsidRPr="004F446C" w:rsidRDefault="00601029" w:rsidP="000D00D8">
            <w:pPr>
              <w:spacing w:line="240" w:lineRule="auto"/>
              <w:jc w:val="center"/>
            </w:pPr>
            <w:r>
              <w:rPr>
                <w:color w:val="000000"/>
              </w:rPr>
              <w:t>125</w:t>
            </w:r>
          </w:p>
        </w:tc>
      </w:tr>
      <w:tr w:rsidR="000066E2" w:rsidRPr="004F446C" w14:paraId="31A3A42C" w14:textId="77777777" w:rsidTr="000066E2">
        <w:trPr>
          <w:trHeight w:val="454"/>
          <w:jc w:val="center"/>
        </w:trPr>
        <w:tc>
          <w:tcPr>
            <w:tcW w:w="5676" w:type="dxa"/>
            <w:tcBorders>
              <w:top w:val="nil"/>
              <w:left w:val="single" w:sz="4" w:space="0" w:color="A6A6A6"/>
              <w:bottom w:val="single" w:sz="4" w:space="0" w:color="A6A6A6"/>
              <w:right w:val="single" w:sz="4" w:space="0" w:color="A6A6A6"/>
            </w:tcBorders>
            <w:shd w:val="clear" w:color="auto" w:fill="auto"/>
            <w:noWrap/>
            <w:vAlign w:val="center"/>
          </w:tcPr>
          <w:p w14:paraId="00DC02E4" w14:textId="354E1688" w:rsidR="000066E2" w:rsidRDefault="000066E2" w:rsidP="000D00D8">
            <w:pPr>
              <w:spacing w:line="240" w:lineRule="auto"/>
              <w:jc w:val="left"/>
            </w:pPr>
            <w:r>
              <w:t xml:space="preserve">Sisačko-moslavačka županija </w:t>
            </w:r>
          </w:p>
        </w:tc>
        <w:tc>
          <w:tcPr>
            <w:tcW w:w="3397" w:type="dxa"/>
            <w:tcBorders>
              <w:top w:val="nil"/>
              <w:left w:val="nil"/>
              <w:bottom w:val="single" w:sz="4" w:space="0" w:color="A6A6A6"/>
              <w:right w:val="single" w:sz="4" w:space="0" w:color="A6A6A6"/>
            </w:tcBorders>
            <w:shd w:val="clear" w:color="auto" w:fill="auto"/>
            <w:noWrap/>
            <w:vAlign w:val="center"/>
          </w:tcPr>
          <w:p w14:paraId="1367A186" w14:textId="76F75E1A" w:rsidR="000066E2" w:rsidRDefault="000066E2" w:rsidP="000D00D8">
            <w:pPr>
              <w:spacing w:line="240" w:lineRule="auto"/>
              <w:jc w:val="center"/>
            </w:pPr>
            <w:r>
              <w:t>32</w:t>
            </w:r>
          </w:p>
        </w:tc>
      </w:tr>
      <w:tr w:rsidR="000066E2" w:rsidRPr="004F446C" w14:paraId="4674A176" w14:textId="77777777" w:rsidTr="000066E2">
        <w:trPr>
          <w:trHeight w:val="454"/>
          <w:jc w:val="center"/>
        </w:trPr>
        <w:tc>
          <w:tcPr>
            <w:tcW w:w="5676" w:type="dxa"/>
            <w:tcBorders>
              <w:top w:val="nil"/>
              <w:left w:val="single" w:sz="4" w:space="0" w:color="A6A6A6"/>
              <w:bottom w:val="single" w:sz="4" w:space="0" w:color="A6A6A6"/>
              <w:right w:val="single" w:sz="4" w:space="0" w:color="A6A6A6"/>
            </w:tcBorders>
            <w:shd w:val="clear" w:color="auto" w:fill="auto"/>
            <w:noWrap/>
            <w:vAlign w:val="center"/>
            <w:hideMark/>
          </w:tcPr>
          <w:p w14:paraId="4048ADDC" w14:textId="0634BF32" w:rsidR="000066E2" w:rsidRPr="004F446C" w:rsidRDefault="000066E2" w:rsidP="000D00D8">
            <w:pPr>
              <w:spacing w:line="240" w:lineRule="auto"/>
              <w:jc w:val="left"/>
            </w:pPr>
            <w:r>
              <w:t>Ministarstvo (bivši SDU</w:t>
            </w:r>
            <w:r w:rsidR="00782D5C">
              <w:t>O</w:t>
            </w:r>
            <w:r>
              <w:t>S</w:t>
            </w:r>
            <w:r w:rsidR="00782D5C">
              <w:t xml:space="preserve">Z) </w:t>
            </w:r>
          </w:p>
        </w:tc>
        <w:tc>
          <w:tcPr>
            <w:tcW w:w="3397" w:type="dxa"/>
            <w:tcBorders>
              <w:top w:val="nil"/>
              <w:left w:val="nil"/>
              <w:bottom w:val="single" w:sz="4" w:space="0" w:color="A6A6A6"/>
              <w:right w:val="single" w:sz="4" w:space="0" w:color="A6A6A6"/>
            </w:tcBorders>
            <w:shd w:val="clear" w:color="auto" w:fill="auto"/>
            <w:noWrap/>
            <w:vAlign w:val="center"/>
            <w:hideMark/>
          </w:tcPr>
          <w:p w14:paraId="3F42A7B0" w14:textId="119C61E6" w:rsidR="000066E2" w:rsidRPr="004F446C" w:rsidRDefault="00213903" w:rsidP="000D00D8">
            <w:pPr>
              <w:spacing w:line="240" w:lineRule="auto"/>
              <w:jc w:val="center"/>
            </w:pPr>
            <w:r>
              <w:rPr>
                <w:color w:val="000000"/>
              </w:rPr>
              <w:t>9</w:t>
            </w:r>
            <w:r w:rsidR="00EE054E">
              <w:rPr>
                <w:color w:val="000000"/>
              </w:rPr>
              <w:t>4</w:t>
            </w:r>
          </w:p>
        </w:tc>
      </w:tr>
      <w:tr w:rsidR="000066E2" w:rsidRPr="004F446C" w14:paraId="7FFC6C94" w14:textId="77777777" w:rsidTr="000066E2">
        <w:trPr>
          <w:trHeight w:val="454"/>
          <w:jc w:val="center"/>
        </w:trPr>
        <w:tc>
          <w:tcPr>
            <w:tcW w:w="5676" w:type="dxa"/>
            <w:tcBorders>
              <w:top w:val="nil"/>
              <w:left w:val="single" w:sz="4" w:space="0" w:color="A6A6A6"/>
              <w:bottom w:val="single" w:sz="4" w:space="0" w:color="A6A6A6"/>
              <w:right w:val="single" w:sz="4" w:space="0" w:color="A6A6A6"/>
            </w:tcBorders>
            <w:shd w:val="clear" w:color="000000" w:fill="002060"/>
            <w:noWrap/>
            <w:vAlign w:val="center"/>
            <w:hideMark/>
          </w:tcPr>
          <w:p w14:paraId="71F1D7E7" w14:textId="77777777" w:rsidR="000066E2" w:rsidRPr="004F446C" w:rsidRDefault="000066E2" w:rsidP="000D00D8">
            <w:pPr>
              <w:spacing w:line="240" w:lineRule="auto"/>
              <w:jc w:val="left"/>
            </w:pPr>
            <w:r w:rsidRPr="004F446C">
              <w:t>Ukupno</w:t>
            </w:r>
          </w:p>
        </w:tc>
        <w:tc>
          <w:tcPr>
            <w:tcW w:w="3397" w:type="dxa"/>
            <w:tcBorders>
              <w:top w:val="nil"/>
              <w:left w:val="nil"/>
              <w:bottom w:val="single" w:sz="4" w:space="0" w:color="A6A6A6"/>
              <w:right w:val="single" w:sz="4" w:space="0" w:color="A6A6A6"/>
            </w:tcBorders>
            <w:shd w:val="clear" w:color="000000" w:fill="002060"/>
            <w:noWrap/>
            <w:vAlign w:val="center"/>
          </w:tcPr>
          <w:p w14:paraId="65F4B6B8" w14:textId="3CBB074A" w:rsidR="000066E2" w:rsidRPr="004F446C" w:rsidRDefault="00C4258E" w:rsidP="000D00D8">
            <w:pPr>
              <w:spacing w:line="240" w:lineRule="auto"/>
              <w:jc w:val="center"/>
            </w:pPr>
            <w:r>
              <w:rPr>
                <w:color w:val="FFFFFF"/>
              </w:rPr>
              <w:t>2</w:t>
            </w:r>
            <w:r w:rsidR="00910205">
              <w:rPr>
                <w:color w:val="FFFFFF"/>
              </w:rPr>
              <w:t>51</w:t>
            </w:r>
          </w:p>
        </w:tc>
      </w:tr>
    </w:tbl>
    <w:p w14:paraId="45AB268F" w14:textId="77777777" w:rsidR="00B81CBB" w:rsidRDefault="00B81CBB" w:rsidP="00F51602">
      <w:pPr>
        <w:rPr>
          <w:color w:val="FF0000"/>
        </w:rPr>
      </w:pPr>
    </w:p>
    <w:p w14:paraId="059E7AD1" w14:textId="68A1CA27" w:rsidR="00AC13BB" w:rsidRDefault="00AC13BB" w:rsidP="00F4045F">
      <w:pPr>
        <w:pStyle w:val="Heading2"/>
      </w:pPr>
      <w:bookmarkStart w:id="22" w:name="_Toc161040573"/>
      <w:r w:rsidRPr="00F4045F">
        <w:t>Financiranje</w:t>
      </w:r>
      <w:r>
        <w:t xml:space="preserve"> najamnina zamjenskog smještaja i režijskih troškova</w:t>
      </w:r>
      <w:bookmarkEnd w:id="22"/>
    </w:p>
    <w:p w14:paraId="2F7A7F77" w14:textId="77777777" w:rsidR="00B04E49" w:rsidRPr="00B04E49" w:rsidRDefault="00B04E49" w:rsidP="00B04E49">
      <w:pPr>
        <w:rPr>
          <w:bCs/>
        </w:rPr>
      </w:pPr>
      <w:r w:rsidRPr="00B04E49">
        <w:rPr>
          <w:bCs/>
        </w:rPr>
        <w:t>Do 31. prosinca 2023. kroz mjeru financiranja najamnine zbrinuto je 1.968 osoba za što je isplaćeno 13,84 milijuna eura te 711 tisuća eura na ime sufinanciranja režijskih troškova u zamjenskim stanovima. Sufinanciranje najamnine koristi 595 obitelji, od toga na području Sisačko-moslavačke županije 375 kućanstava, a na području Grada Zagreba 220 kućanstava.</w:t>
      </w:r>
    </w:p>
    <w:p w14:paraId="4BE9D19D" w14:textId="77777777" w:rsidR="004115D2" w:rsidRPr="00B74F79" w:rsidRDefault="004115D2" w:rsidP="004115D2">
      <w:pPr>
        <w:rPr>
          <w:bCs/>
        </w:rPr>
      </w:pPr>
    </w:p>
    <w:p w14:paraId="00E563F8" w14:textId="201A57E7" w:rsidR="004115D2" w:rsidRDefault="004115D2" w:rsidP="004115D2">
      <w:pPr>
        <w:rPr>
          <w:bCs/>
        </w:rPr>
      </w:pPr>
      <w:r w:rsidRPr="00B74F79">
        <w:rPr>
          <w:bCs/>
        </w:rPr>
        <w:t>Korisnicima u privremenom smještaju isplaćen</w:t>
      </w:r>
      <w:r w:rsidR="001B3556">
        <w:rPr>
          <w:bCs/>
        </w:rPr>
        <w:t>a</w:t>
      </w:r>
      <w:r w:rsidR="00764B8F">
        <w:rPr>
          <w:bCs/>
        </w:rPr>
        <w:t xml:space="preserve"> je, sveukupno,</w:t>
      </w:r>
      <w:r w:rsidRPr="00B74F79">
        <w:rPr>
          <w:bCs/>
        </w:rPr>
        <w:t xml:space="preserve"> u tri navrata jednokratna novčana pomoć i to </w:t>
      </w:r>
      <w:r w:rsidRPr="00B74F79">
        <w:t>265 eura po osobi,</w:t>
      </w:r>
      <w:r w:rsidRPr="00B74F79">
        <w:rPr>
          <w:bCs/>
        </w:rPr>
        <w:t xml:space="preserve"> a najviše do iznosa </w:t>
      </w:r>
      <w:r w:rsidRPr="00B74F79">
        <w:t>1.327 eura po kućanstvu</w:t>
      </w:r>
      <w:r w:rsidRPr="00B74F79">
        <w:rPr>
          <w:bCs/>
        </w:rPr>
        <w:t>. Pomoć je primilo 8.795 građana za što je</w:t>
      </w:r>
      <w:r w:rsidR="0003146B">
        <w:rPr>
          <w:bCs/>
        </w:rPr>
        <w:t xml:space="preserve"> iz državnog proračuna isplaćeno ukupno </w:t>
      </w:r>
      <w:r w:rsidRPr="00B74F79">
        <w:rPr>
          <w:bCs/>
        </w:rPr>
        <w:t>7,05 milijuna eura</w:t>
      </w:r>
      <w:r w:rsidR="0003146B">
        <w:rPr>
          <w:bCs/>
        </w:rPr>
        <w:t xml:space="preserve">. </w:t>
      </w:r>
      <w:r w:rsidRPr="00B74F79">
        <w:rPr>
          <w:bCs/>
        </w:rPr>
        <w:t xml:space="preserve"> </w:t>
      </w:r>
    </w:p>
    <w:p w14:paraId="24D5D934" w14:textId="77777777" w:rsidR="004115D2" w:rsidRDefault="004115D2" w:rsidP="004115D2">
      <w:pPr>
        <w:rPr>
          <w:color w:val="FF0000"/>
        </w:rPr>
      </w:pPr>
    </w:p>
    <w:p w14:paraId="3D237DA8" w14:textId="5A4B48B6" w:rsidR="00B14488" w:rsidRPr="00B74F79" w:rsidRDefault="007E1D19" w:rsidP="00B14488">
      <w:pPr>
        <w:rPr>
          <w:bCs/>
        </w:rPr>
      </w:pPr>
      <w:r>
        <w:rPr>
          <w:bCs/>
        </w:rPr>
        <w:t>S danom 31</w:t>
      </w:r>
      <w:r w:rsidR="009A6100">
        <w:rPr>
          <w:bCs/>
        </w:rPr>
        <w:t>. prosinca 2023. d</w:t>
      </w:r>
      <w:r w:rsidR="00B14488" w:rsidRPr="00B74F79">
        <w:rPr>
          <w:bCs/>
        </w:rPr>
        <w:t>emobilizirani</w:t>
      </w:r>
      <w:r w:rsidR="00B14488">
        <w:rPr>
          <w:bCs/>
        </w:rPr>
        <w:t xml:space="preserve"> su</w:t>
      </w:r>
      <w:r w:rsidR="00B14488" w:rsidRPr="00B74F79">
        <w:rPr>
          <w:bCs/>
        </w:rPr>
        <w:t xml:space="preserve"> Hostel Arena i Terme </w:t>
      </w:r>
      <w:proofErr w:type="spellStart"/>
      <w:r w:rsidR="00B14488" w:rsidRPr="00B74F79">
        <w:rPr>
          <w:bCs/>
        </w:rPr>
        <w:t>Jezerčica</w:t>
      </w:r>
      <w:proofErr w:type="spellEnd"/>
      <w:r w:rsidR="00B14488" w:rsidRPr="00B74F79">
        <w:rPr>
          <w:bCs/>
        </w:rPr>
        <w:t xml:space="preserve">. U Hostelu Arena tijekom 2023. boravilo je 154 korisnika dok ih je u Termama </w:t>
      </w:r>
      <w:proofErr w:type="spellStart"/>
      <w:r w:rsidR="00B14488" w:rsidRPr="00B74F79">
        <w:rPr>
          <w:bCs/>
        </w:rPr>
        <w:t>Jezerčica</w:t>
      </w:r>
      <w:proofErr w:type="spellEnd"/>
      <w:r w:rsidR="00B14488" w:rsidRPr="00B74F79">
        <w:rPr>
          <w:bCs/>
        </w:rPr>
        <w:t xml:space="preserve"> bilo smješteno </w:t>
      </w:r>
      <w:r w:rsidR="00C304A9">
        <w:rPr>
          <w:bCs/>
        </w:rPr>
        <w:t xml:space="preserve">njih </w:t>
      </w:r>
      <w:r w:rsidR="00B14488" w:rsidRPr="00B74F79">
        <w:rPr>
          <w:bCs/>
        </w:rPr>
        <w:t>48. Svi korisnici koji ostvaruju pravo na obnovu zbrinuti su u drugi primjereniji oblik zamjenskog smještaja i to najčešće smještajem u</w:t>
      </w:r>
      <w:r w:rsidR="00457A9A">
        <w:rPr>
          <w:bCs/>
        </w:rPr>
        <w:t xml:space="preserve"> obnovljene i opremljene</w:t>
      </w:r>
      <w:r w:rsidR="00B14488" w:rsidRPr="00B74F79">
        <w:rPr>
          <w:bCs/>
        </w:rPr>
        <w:t xml:space="preserve"> državne stanove te kroz mjeru financiranja najamnine, a na razdoblje dok se njihovi domovi ne obnove. </w:t>
      </w:r>
    </w:p>
    <w:p w14:paraId="59702D4E" w14:textId="2A20251C" w:rsidR="009B4AD7" w:rsidRDefault="009B4AD7" w:rsidP="00AC13BB"/>
    <w:p w14:paraId="56D00FB6" w14:textId="3AA4C347" w:rsidR="00CF611D" w:rsidRDefault="00582802" w:rsidP="00F4045F">
      <w:pPr>
        <w:pStyle w:val="Heading2"/>
      </w:pPr>
      <w:bookmarkStart w:id="23" w:name="_Toc161040574"/>
      <w:r>
        <w:t xml:space="preserve">Nabava </w:t>
      </w:r>
      <w:r w:rsidR="00CF4D82">
        <w:t>mobilni</w:t>
      </w:r>
      <w:r w:rsidR="003D599F">
        <w:t xml:space="preserve">h </w:t>
      </w:r>
      <w:r w:rsidR="001B7C3E">
        <w:t xml:space="preserve">visoko </w:t>
      </w:r>
      <w:r w:rsidR="00470927">
        <w:t xml:space="preserve">energetski </w:t>
      </w:r>
      <w:r>
        <w:t>učinkoviti</w:t>
      </w:r>
      <w:r w:rsidR="003D599F">
        <w:t>h</w:t>
      </w:r>
      <w:r w:rsidR="00F1373B">
        <w:t xml:space="preserve"> kuć</w:t>
      </w:r>
      <w:r>
        <w:t>a</w:t>
      </w:r>
      <w:bookmarkEnd w:id="23"/>
    </w:p>
    <w:p w14:paraId="59676B6B" w14:textId="4DA1D3A7" w:rsidR="008A367C" w:rsidRPr="00B90916" w:rsidRDefault="008A367C" w:rsidP="008A367C">
      <w:r w:rsidRPr="00B90916">
        <w:t xml:space="preserve">Radi privremenog stambenog zbrinjavanja korisnika mobilnih stambenih jedinica (kontejnera), Ministarstvo je pristupilo nabavi mobilnih </w:t>
      </w:r>
      <w:r w:rsidR="007D2412" w:rsidRPr="00B90916">
        <w:t>energetski visoko učinkovitih kuća</w:t>
      </w:r>
      <w:r w:rsidRPr="00B90916">
        <w:t>. Kuće se proizvode u dva modela</w:t>
      </w:r>
      <w:r w:rsidR="00A800AA">
        <w:t xml:space="preserve">, </w:t>
      </w:r>
      <w:r w:rsidRPr="00B90916">
        <w:t xml:space="preserve">od 25 i 35 četvornih metara te </w:t>
      </w:r>
      <w:r w:rsidR="00A800AA">
        <w:t xml:space="preserve">su u potpunosti </w:t>
      </w:r>
      <w:r w:rsidRPr="00B90916">
        <w:t>opremljene namještajem.</w:t>
      </w:r>
    </w:p>
    <w:p w14:paraId="6F90C8E7" w14:textId="77777777" w:rsidR="008A367C" w:rsidRPr="00B90916" w:rsidRDefault="008A367C" w:rsidP="008A367C"/>
    <w:p w14:paraId="413C0BC2" w14:textId="732CA815" w:rsidR="001B7C3E" w:rsidRDefault="008A367C" w:rsidP="008A367C">
      <w:r w:rsidRPr="00B90916">
        <w:t xml:space="preserve">Pravo na privremeni smještaj u ove kuće </w:t>
      </w:r>
      <w:r w:rsidR="00A800AA">
        <w:t xml:space="preserve">ostvaruju </w:t>
      </w:r>
      <w:r w:rsidRPr="00B90916">
        <w:t xml:space="preserve">korisnici </w:t>
      </w:r>
      <w:r w:rsidR="006470B3">
        <w:t xml:space="preserve">mobilnih stambenih jedinica </w:t>
      </w:r>
      <w:r w:rsidRPr="00B90916">
        <w:t xml:space="preserve">kojima obnova odnosno gradnja </w:t>
      </w:r>
      <w:r w:rsidR="00E754D6">
        <w:t xml:space="preserve">njihove </w:t>
      </w:r>
      <w:r w:rsidRPr="00B90916">
        <w:t>kuće još nije završila</w:t>
      </w:r>
      <w:r w:rsidR="00E37B2B" w:rsidRPr="00B90916">
        <w:t>,</w:t>
      </w:r>
      <w:r w:rsidRPr="00B90916">
        <w:t xml:space="preserve"> a ne žele napustiti svoju nekretninu i okruženje koje im je blisko</w:t>
      </w:r>
      <w:r w:rsidR="00A000BC">
        <w:t xml:space="preserve">. Kuće se koriste </w:t>
      </w:r>
      <w:r w:rsidRPr="00B90916">
        <w:t xml:space="preserve">kao </w:t>
      </w:r>
      <w:r w:rsidR="00A800AA">
        <w:t xml:space="preserve">privremeni </w:t>
      </w:r>
      <w:r w:rsidRPr="00B90916">
        <w:t>smještaj</w:t>
      </w:r>
      <w:r w:rsidR="00A000BC">
        <w:t xml:space="preserve"> i </w:t>
      </w:r>
      <w:r w:rsidRPr="00B90916">
        <w:t>onih korisnika kontejnera koji nemaju pravo na obnovu odnosno u trenutku potresa nisu imali vlastitu nekretninu, a boravili su u kontejnerskim naseljima.</w:t>
      </w:r>
    </w:p>
    <w:p w14:paraId="4C0715B2" w14:textId="77777777" w:rsidR="00E33E34" w:rsidRDefault="00E33E34" w:rsidP="008A367C"/>
    <w:p w14:paraId="07984337" w14:textId="071862D2" w:rsidR="002B34E1" w:rsidRPr="002B34E1" w:rsidRDefault="00A800AA" w:rsidP="00E33E34">
      <w:r w:rsidRPr="002B34E1">
        <w:lastRenderedPageBreak/>
        <w:t>Ministarstvo je za potrebe nabave</w:t>
      </w:r>
      <w:r w:rsidR="00E42C35" w:rsidRPr="002B34E1">
        <w:t xml:space="preserve"> mobilnih energetski visoko učinkovitih kuća </w:t>
      </w:r>
      <w:r w:rsidR="00FD758D" w:rsidRPr="002B34E1">
        <w:t xml:space="preserve">ugovorilo </w:t>
      </w:r>
      <w:r w:rsidR="00AB40AE" w:rsidRPr="002B34E1">
        <w:t xml:space="preserve">izradu s tvrtkama </w:t>
      </w:r>
      <w:proofErr w:type="spellStart"/>
      <w:r w:rsidR="00AB40AE" w:rsidRPr="002B34E1">
        <w:t>A</w:t>
      </w:r>
      <w:r w:rsidR="001B6A9A">
        <w:t>lu</w:t>
      </w:r>
      <w:proofErr w:type="spellEnd"/>
      <w:r w:rsidR="001B6A9A">
        <w:t xml:space="preserve">-forma </w:t>
      </w:r>
      <w:r w:rsidR="00AB40AE" w:rsidRPr="002B34E1">
        <w:t xml:space="preserve">d.o.o. </w:t>
      </w:r>
      <w:r w:rsidR="00C62ACA" w:rsidRPr="002B34E1">
        <w:t xml:space="preserve">i </w:t>
      </w:r>
      <w:r w:rsidRPr="002B34E1">
        <w:t xml:space="preserve"> </w:t>
      </w:r>
      <w:r w:rsidR="00C62ACA" w:rsidRPr="002B34E1">
        <w:t>J</w:t>
      </w:r>
      <w:r w:rsidR="001B6A9A">
        <w:t>edinstvo Krapina</w:t>
      </w:r>
      <w:r w:rsidR="00C62ACA" w:rsidRPr="002B34E1">
        <w:t xml:space="preserve"> d.o.o.</w:t>
      </w:r>
    </w:p>
    <w:p w14:paraId="6D1004D1" w14:textId="77777777" w:rsidR="002B34E1" w:rsidRDefault="002B34E1" w:rsidP="00E33E34">
      <w:pPr>
        <w:rPr>
          <w:highlight w:val="yellow"/>
        </w:rPr>
      </w:pPr>
    </w:p>
    <w:p w14:paraId="6C9B9B1A" w14:textId="67E661BA" w:rsidR="00E33E34" w:rsidRPr="001B7C3E" w:rsidRDefault="002B34E1" w:rsidP="008A367C">
      <w:r w:rsidRPr="00C24702">
        <w:t>Do</w:t>
      </w:r>
      <w:r w:rsidR="00C62ACA" w:rsidRPr="00C24702">
        <w:t xml:space="preserve"> </w:t>
      </w:r>
      <w:r w:rsidRPr="00C24702">
        <w:t xml:space="preserve">31. prosinca 2023. </w:t>
      </w:r>
      <w:r w:rsidR="004B65D4">
        <w:t xml:space="preserve">društvo </w:t>
      </w:r>
      <w:proofErr w:type="spellStart"/>
      <w:r w:rsidR="00E33E34" w:rsidRPr="00723A87">
        <w:t>A</w:t>
      </w:r>
      <w:r w:rsidR="001B6A9A">
        <w:t>lu</w:t>
      </w:r>
      <w:proofErr w:type="spellEnd"/>
      <w:r w:rsidR="001B6A9A">
        <w:t>-forma</w:t>
      </w:r>
      <w:r w:rsidR="00E33E34" w:rsidRPr="00723A87">
        <w:t xml:space="preserve"> d.o.o. </w:t>
      </w:r>
      <w:r w:rsidR="00CF09C4" w:rsidRPr="00723A87">
        <w:t>izradil</w:t>
      </w:r>
      <w:r w:rsidR="00953C07">
        <w:t>a</w:t>
      </w:r>
      <w:r w:rsidR="00CF09C4" w:rsidRPr="00723A87">
        <w:t xml:space="preserve"> je 100 kuća za što je isplaćeno  </w:t>
      </w:r>
      <w:r w:rsidR="00F530EB" w:rsidRPr="00723A87">
        <w:t>3.718.750,00 eura</w:t>
      </w:r>
      <w:r w:rsidR="00723A87" w:rsidRPr="00723A87">
        <w:t xml:space="preserve">, dok je </w:t>
      </w:r>
      <w:r w:rsidR="00E33E34" w:rsidRPr="00723A87">
        <w:t>društvo J</w:t>
      </w:r>
      <w:r w:rsidR="001B6A9A">
        <w:t>edinstvo Krapina</w:t>
      </w:r>
      <w:r w:rsidR="00E33E34" w:rsidRPr="00723A87">
        <w:t xml:space="preserve"> </w:t>
      </w:r>
      <w:r w:rsidR="00723A87" w:rsidRPr="00723A87">
        <w:t xml:space="preserve">d.o.o. izradilo 25 kuća za što je isplaćeno </w:t>
      </w:r>
      <w:r w:rsidR="00E33E34" w:rsidRPr="00723A87">
        <w:t xml:space="preserve">796.875,00 </w:t>
      </w:r>
      <w:r w:rsidR="00723A87" w:rsidRPr="00723A87">
        <w:t>eura.</w:t>
      </w:r>
      <w:r w:rsidR="00723A87">
        <w:t xml:space="preserve"> </w:t>
      </w:r>
    </w:p>
    <w:p w14:paraId="01733D3A" w14:textId="77777777" w:rsidR="00070E37" w:rsidRPr="00F1373B" w:rsidRDefault="00070E37" w:rsidP="00F1373B"/>
    <w:p w14:paraId="35738250" w14:textId="695A66A3" w:rsidR="00F1373B" w:rsidRDefault="007F7558" w:rsidP="00F4045F">
      <w:pPr>
        <w:pStyle w:val="Heading2"/>
      </w:pPr>
      <w:bookmarkStart w:id="24" w:name="_Toc161040575"/>
      <w:r>
        <w:t>G</w:t>
      </w:r>
      <w:r w:rsidRPr="007F7558">
        <w:t xml:space="preserve">radnja </w:t>
      </w:r>
      <w:r w:rsidR="00812557">
        <w:t>drvenih</w:t>
      </w:r>
      <w:r w:rsidRPr="007F7558">
        <w:t xml:space="preserve"> kuća u svrhu proširenja kapaciteta domova za starije</w:t>
      </w:r>
      <w:bookmarkEnd w:id="24"/>
    </w:p>
    <w:p w14:paraId="5A54193F" w14:textId="77777777" w:rsidR="00277EF1" w:rsidRDefault="00277EF1" w:rsidP="00F94C23"/>
    <w:p w14:paraId="1B938013" w14:textId="4DCE482A" w:rsidR="00571E10" w:rsidRPr="007C1E39" w:rsidRDefault="005938B1" w:rsidP="00571E10">
      <w:r w:rsidRPr="007C1E39">
        <w:t xml:space="preserve">Ministarstvo je u suradnji sa Sisačko-moslavačkom županijom pristupilo izgradnji ukupno 166 </w:t>
      </w:r>
      <w:r w:rsidR="00812557">
        <w:t>drvenih</w:t>
      </w:r>
      <w:r w:rsidRPr="007C1E39">
        <w:t xml:space="preserve"> kuća: 57 u Petrinji, 74 u Glini i 35 u Sisku, </w:t>
      </w:r>
      <w:r w:rsidR="00B50A75">
        <w:t xml:space="preserve">koje su  </w:t>
      </w:r>
      <w:r w:rsidRPr="007C1E39">
        <w:t xml:space="preserve">također </w:t>
      </w:r>
      <w:r w:rsidR="00B50A75">
        <w:t xml:space="preserve">namijenjene </w:t>
      </w:r>
      <w:r w:rsidRPr="007C1E39">
        <w:t>privremeno</w:t>
      </w:r>
      <w:r w:rsidR="00B50A75">
        <w:t>m</w:t>
      </w:r>
      <w:r w:rsidRPr="007C1E39">
        <w:t xml:space="preserve"> smješta</w:t>
      </w:r>
      <w:r w:rsidR="00B50A75">
        <w:t>ju</w:t>
      </w:r>
      <w:r w:rsidRPr="007C1E39">
        <w:t xml:space="preserve"> korisni</w:t>
      </w:r>
      <w:r w:rsidR="00B50A75">
        <w:t>ka</w:t>
      </w:r>
      <w:r w:rsidRPr="007C1E39">
        <w:t xml:space="preserve"> koji čekaju obnovu svojih </w:t>
      </w:r>
      <w:r w:rsidR="00B50A75">
        <w:t>vlastitih nekretnina</w:t>
      </w:r>
      <w:r w:rsidRPr="007C1E39">
        <w:t xml:space="preserve">. </w:t>
      </w:r>
      <w:r w:rsidR="00571E10" w:rsidRPr="007C1E39">
        <w:t xml:space="preserve">Kuće će se po okončanju obnove, odnosno po prestanku potrebe smještaja korisnika koji čekaju obnovu, koristiti za proširenje domova za starije i nemoćne. </w:t>
      </w:r>
    </w:p>
    <w:p w14:paraId="0923D3F5" w14:textId="04A511ED" w:rsidR="00B50A75" w:rsidRDefault="00B50A75" w:rsidP="005938B1"/>
    <w:p w14:paraId="479537D1" w14:textId="1C34404D" w:rsidR="005938B1" w:rsidRPr="007C1E39" w:rsidRDefault="005938B1" w:rsidP="005938B1">
      <w:r w:rsidRPr="007C1E39">
        <w:t xml:space="preserve">Radove na izgradnji provodi Sisačko-moslavačka županija, a troškovi izgradnje i opremanja isplaćuju se iz državnog proračuna Republike Hrvatske. </w:t>
      </w:r>
    </w:p>
    <w:p w14:paraId="428B2830" w14:textId="77777777" w:rsidR="005938B1" w:rsidRPr="007C1E39" w:rsidRDefault="005938B1" w:rsidP="005938B1"/>
    <w:p w14:paraId="6F919C6A" w14:textId="788F4510" w:rsidR="005938B1" w:rsidRPr="007C1E39" w:rsidRDefault="005938B1" w:rsidP="005938B1">
      <w:r w:rsidRPr="007C1E39">
        <w:t xml:space="preserve">Do 31. prosinca 2023. </w:t>
      </w:r>
      <w:r w:rsidR="00571E10">
        <w:t xml:space="preserve">završeno je </w:t>
      </w:r>
      <w:r w:rsidR="00AF5719">
        <w:t xml:space="preserve">i opremljeno </w:t>
      </w:r>
      <w:r w:rsidRPr="007C1E39">
        <w:t xml:space="preserve">74 </w:t>
      </w:r>
      <w:r w:rsidR="00DC5569">
        <w:t xml:space="preserve">drvenih </w:t>
      </w:r>
      <w:r w:rsidRPr="007C1E39">
        <w:t>kuć</w:t>
      </w:r>
      <w:r w:rsidR="00AF5719">
        <w:t>a</w:t>
      </w:r>
      <w:r w:rsidRPr="007C1E39">
        <w:t xml:space="preserve"> u</w:t>
      </w:r>
      <w:r w:rsidR="00AF5719">
        <w:t xml:space="preserve"> naselju Banovi </w:t>
      </w:r>
      <w:r w:rsidR="00956839">
        <w:t>dvori u</w:t>
      </w:r>
      <w:r w:rsidRPr="007C1E39">
        <w:t xml:space="preserve"> Glini te se </w:t>
      </w:r>
      <w:r w:rsidR="00AF5719">
        <w:t xml:space="preserve">pristupilo </w:t>
      </w:r>
      <w:r w:rsidRPr="007C1E39">
        <w:t>useljavanj</w:t>
      </w:r>
      <w:r w:rsidR="00AF5719">
        <w:t>u prvih korisnika</w:t>
      </w:r>
      <w:r w:rsidRPr="007C1E39">
        <w:t xml:space="preserve">. Kuće u Petrinji grade se na dvije lokacije. Na lokaciji u Ulici Rudolfa Hercega do 31. prosinca 2023. godine napravljeno je 16 kuća, </w:t>
      </w:r>
      <w:r w:rsidR="00AF5719">
        <w:t xml:space="preserve">dok je </w:t>
      </w:r>
      <w:r w:rsidRPr="007C1E39">
        <w:t xml:space="preserve">na lokaciji Ulica Ive Maline 41 kuća stavljena pod krov te se dovršetak investicije očekuje u prvim mjesecima 2024. godine. Na lokaciji u Sisku do kraja 2023. godine </w:t>
      </w:r>
      <w:r w:rsidR="00AF5719">
        <w:t xml:space="preserve">izgrađeno je </w:t>
      </w:r>
      <w:r w:rsidRPr="007C1E39">
        <w:t xml:space="preserve">17 kuća. </w:t>
      </w:r>
    </w:p>
    <w:p w14:paraId="402A8CB0" w14:textId="77777777" w:rsidR="005938B1" w:rsidRPr="007C1E39" w:rsidRDefault="005938B1" w:rsidP="005938B1"/>
    <w:p w14:paraId="3B641148" w14:textId="2F1E1A0A" w:rsidR="005938B1" w:rsidRPr="005938B1" w:rsidRDefault="005938B1" w:rsidP="005938B1">
      <w:r w:rsidRPr="007C1E39">
        <w:t xml:space="preserve">Do 31. prosinca 2023. utrošeno je za naselje </w:t>
      </w:r>
      <w:r w:rsidR="00600888">
        <w:t xml:space="preserve">u </w:t>
      </w:r>
      <w:r w:rsidRPr="007C1E39">
        <w:t>Glin</w:t>
      </w:r>
      <w:r w:rsidR="00353E6B">
        <w:t>i</w:t>
      </w:r>
      <w:r w:rsidR="00600888">
        <w:t xml:space="preserve"> ukupno</w:t>
      </w:r>
      <w:r w:rsidRPr="007C1E39">
        <w:t xml:space="preserve"> 6.739.795,29 eura, za naselja </w:t>
      </w:r>
      <w:r w:rsidR="00600888">
        <w:t xml:space="preserve">u Petrinji </w:t>
      </w:r>
      <w:r w:rsidRPr="007C1E39">
        <w:t>5.884.854,32 eura, a za naselje u Sisku 1.958.076,34 eura.</w:t>
      </w:r>
      <w:r w:rsidRPr="005938B1">
        <w:t xml:space="preserve"> </w:t>
      </w:r>
    </w:p>
    <w:p w14:paraId="54301BF3" w14:textId="77777777" w:rsidR="005938B1" w:rsidRDefault="005938B1" w:rsidP="00EF174E"/>
    <w:p w14:paraId="7E5D0ED1" w14:textId="7431BE4C" w:rsidR="00EF174E" w:rsidRPr="004970EB" w:rsidRDefault="007808C9" w:rsidP="00F4045F">
      <w:pPr>
        <w:pStyle w:val="Heading2"/>
      </w:pPr>
      <w:bookmarkStart w:id="25" w:name="_Toc161040576"/>
      <w:r>
        <w:t>S</w:t>
      </w:r>
      <w:r w:rsidR="006706BE">
        <w:t xml:space="preserve">tambeno zbrinjavanje – </w:t>
      </w:r>
      <w:r w:rsidR="006706BE" w:rsidRPr="004970EB">
        <w:t xml:space="preserve">stanje na </w:t>
      </w:r>
      <w:r w:rsidRPr="004970EB">
        <w:t>dan 3</w:t>
      </w:r>
      <w:r w:rsidR="004970EB" w:rsidRPr="004970EB">
        <w:t>1</w:t>
      </w:r>
      <w:r w:rsidRPr="004970EB">
        <w:t xml:space="preserve">. </w:t>
      </w:r>
      <w:r w:rsidR="004970EB" w:rsidRPr="004970EB">
        <w:t>prosinca</w:t>
      </w:r>
      <w:r w:rsidRPr="004970EB">
        <w:t xml:space="preserve"> </w:t>
      </w:r>
      <w:r w:rsidR="006445CF" w:rsidRPr="004970EB">
        <w:t>2023.</w:t>
      </w:r>
      <w:bookmarkEnd w:id="25"/>
    </w:p>
    <w:p w14:paraId="74C3C53B" w14:textId="1B4833A9" w:rsidR="00B74F79" w:rsidRPr="00F60061" w:rsidRDefault="00B74F79" w:rsidP="00B74F79">
      <w:pPr>
        <w:rPr>
          <w:bCs/>
        </w:rPr>
      </w:pPr>
      <w:r w:rsidRPr="00F60061">
        <w:rPr>
          <w:bCs/>
        </w:rPr>
        <w:t xml:space="preserve">Do </w:t>
      </w:r>
      <w:r>
        <w:rPr>
          <w:bCs/>
        </w:rPr>
        <w:t>31. prosinca 2023.</w:t>
      </w:r>
      <w:r w:rsidRPr="00F60061">
        <w:rPr>
          <w:bCs/>
        </w:rPr>
        <w:t xml:space="preserve"> zbrinuto </w:t>
      </w:r>
      <w:r w:rsidRPr="00C36F83">
        <w:rPr>
          <w:bCs/>
        </w:rPr>
        <w:t xml:space="preserve">je </w:t>
      </w:r>
      <w:r w:rsidRPr="00C36F83">
        <w:t>1.17</w:t>
      </w:r>
      <w:r w:rsidR="00BB7458" w:rsidRPr="00C36F83">
        <w:t>1</w:t>
      </w:r>
      <w:r w:rsidRPr="00C36F83">
        <w:t xml:space="preserve"> osoba te </w:t>
      </w:r>
      <w:r>
        <w:t>su i</w:t>
      </w:r>
      <w:r w:rsidRPr="00F60061">
        <w:t>zuzet</w:t>
      </w:r>
      <w:r w:rsidRPr="00574FBE">
        <w:t xml:space="preserve">a </w:t>
      </w:r>
      <w:r>
        <w:t>53</w:t>
      </w:r>
      <w:r w:rsidR="005B2464">
        <w:t>2</w:t>
      </w:r>
      <w:r w:rsidRPr="00F60061">
        <w:t xml:space="preserve"> kontejnera</w:t>
      </w:r>
      <w:r w:rsidRPr="00F60061">
        <w:rPr>
          <w:bCs/>
        </w:rPr>
        <w:t xml:space="preserve">. Svi zahtjevi koji su vezani za korisnike mobilnih stambenih jedinica prioritetno se rješavaju te se u najkraćem mogućem roku uvode u projektiranje i radove. </w:t>
      </w:r>
    </w:p>
    <w:p w14:paraId="15726A4A" w14:textId="77777777" w:rsidR="00B74F79" w:rsidRPr="00F60061" w:rsidRDefault="00B74F79" w:rsidP="00B74F79">
      <w:pPr>
        <w:rPr>
          <w:bCs/>
        </w:rPr>
      </w:pPr>
    </w:p>
    <w:p w14:paraId="7DCF8AC0" w14:textId="779CFE53" w:rsidR="00D229D2" w:rsidRDefault="00691280" w:rsidP="00D52CFD">
      <w:pPr>
        <w:rPr>
          <w:bCs/>
        </w:rPr>
      </w:pPr>
      <w:r>
        <w:rPr>
          <w:bCs/>
        </w:rPr>
        <w:t>Z</w:t>
      </w:r>
      <w:r w:rsidR="00B74F79" w:rsidRPr="00B74F79">
        <w:rPr>
          <w:bCs/>
        </w:rPr>
        <w:t>atvorena su sva</w:t>
      </w:r>
      <w:r w:rsidR="00AB6534">
        <w:rPr>
          <w:bCs/>
        </w:rPr>
        <w:t xml:space="preserve"> klasična</w:t>
      </w:r>
      <w:r w:rsidR="00B74F79" w:rsidRPr="00B74F79">
        <w:rPr>
          <w:bCs/>
        </w:rPr>
        <w:t xml:space="preserve"> kontejnerska naselja na Banovini</w:t>
      </w:r>
      <w:r w:rsidRPr="00691280">
        <w:rPr>
          <w:bCs/>
        </w:rPr>
        <w:t xml:space="preserve">. </w:t>
      </w:r>
      <w:r w:rsidR="00D229D2" w:rsidRPr="00D229D2">
        <w:rPr>
          <w:bCs/>
        </w:rPr>
        <w:t xml:space="preserve">Na području Siska ostale su još dvije modularne zgrade u </w:t>
      </w:r>
      <w:proofErr w:type="spellStart"/>
      <w:r w:rsidR="00D229D2" w:rsidRPr="00D229D2">
        <w:rPr>
          <w:bCs/>
        </w:rPr>
        <w:t>Cvetkovićevoj</w:t>
      </w:r>
      <w:proofErr w:type="spellEnd"/>
      <w:r w:rsidR="00D229D2" w:rsidRPr="00D229D2">
        <w:rPr>
          <w:bCs/>
        </w:rPr>
        <w:t xml:space="preserve"> i </w:t>
      </w:r>
      <w:proofErr w:type="spellStart"/>
      <w:r w:rsidR="00D229D2" w:rsidRPr="00D229D2">
        <w:rPr>
          <w:bCs/>
        </w:rPr>
        <w:t>Fistrovićevoj</w:t>
      </w:r>
      <w:proofErr w:type="spellEnd"/>
      <w:r w:rsidR="00D229D2" w:rsidRPr="00D229D2">
        <w:rPr>
          <w:bCs/>
        </w:rPr>
        <w:t xml:space="preserve"> ulici u kojima je još smješteno 47 osoba. U tijeku su radovi na izgradnji privremenog smještaja u Sisku postavljanjem visoko montažnih energetskih kuća te će se po završetku istih korisnici smješteni u navedenim modularnim zgradama preseliti u adekvatniji smještaj. </w:t>
      </w:r>
    </w:p>
    <w:p w14:paraId="23462F41" w14:textId="77777777" w:rsidR="00D229D2" w:rsidRDefault="00D229D2" w:rsidP="00D52CFD">
      <w:pPr>
        <w:rPr>
          <w:bCs/>
        </w:rPr>
      </w:pPr>
    </w:p>
    <w:p w14:paraId="3A29A5FF" w14:textId="4897CE7B" w:rsidR="00B74F79" w:rsidRPr="00B74F79" w:rsidRDefault="00D52CFD" w:rsidP="00B74F79">
      <w:pPr>
        <w:rPr>
          <w:bCs/>
        </w:rPr>
      </w:pPr>
      <w:r w:rsidRPr="00D0688F">
        <w:t>Od ukupno 2.</w:t>
      </w:r>
      <w:r w:rsidR="00B706C8">
        <w:t>205</w:t>
      </w:r>
      <w:r w:rsidRPr="00D0688F">
        <w:t xml:space="preserve"> individualnih mobilnih stambenih jedinica koji se nalaze uz oštećene kuće, a u kojima je bilo smješteno </w:t>
      </w:r>
      <w:r w:rsidR="006F7B20">
        <w:t>6</w:t>
      </w:r>
      <w:r w:rsidRPr="00D0688F">
        <w:t>.</w:t>
      </w:r>
      <w:r w:rsidR="006F7B20">
        <w:t>122</w:t>
      </w:r>
      <w:r w:rsidRPr="00D0688F">
        <w:t xml:space="preserve"> korisnika do 31. prosinca 2023.</w:t>
      </w:r>
      <w:r w:rsidR="00BA3CF0" w:rsidRPr="00D0688F">
        <w:t xml:space="preserve"> </w:t>
      </w:r>
      <w:r w:rsidRPr="00D0688F">
        <w:t>izuzeto je 267 individualnih mobilnih stambenih jedinica te je zbrinut 751 korisnik.</w:t>
      </w:r>
    </w:p>
    <w:p w14:paraId="097F263A" w14:textId="77777777" w:rsidR="00EA3141" w:rsidRDefault="00EA3141" w:rsidP="008930C9"/>
    <w:p w14:paraId="48D666C2" w14:textId="77777777" w:rsidR="0016648C" w:rsidRDefault="0016648C">
      <w:pPr>
        <w:spacing w:after="160" w:line="259" w:lineRule="auto"/>
        <w:jc w:val="left"/>
        <w:rPr>
          <w:b/>
        </w:rPr>
      </w:pPr>
      <w:r>
        <w:br w:type="page"/>
      </w:r>
    </w:p>
    <w:p w14:paraId="2FAF2FBC" w14:textId="595FBCAF" w:rsidR="00D5203F" w:rsidRDefault="00D5203F" w:rsidP="00D5203F">
      <w:pPr>
        <w:pStyle w:val="Heading1"/>
      </w:pPr>
      <w:bookmarkStart w:id="26" w:name="_Toc161040577"/>
      <w:r>
        <w:lastRenderedPageBreak/>
        <w:t>FINANCIRANJE PROVEDBE ZAKONA</w:t>
      </w:r>
      <w:bookmarkEnd w:id="26"/>
    </w:p>
    <w:p w14:paraId="052F5B05" w14:textId="77777777" w:rsidR="00FC495F" w:rsidRPr="00FC495F" w:rsidRDefault="00FC495F" w:rsidP="001219C3">
      <w:pPr>
        <w:spacing w:line="240" w:lineRule="auto"/>
      </w:pPr>
    </w:p>
    <w:p w14:paraId="020ED461" w14:textId="77777777" w:rsidR="00021F35" w:rsidRPr="00021F35" w:rsidRDefault="00021F35" w:rsidP="00021F35">
      <w:r w:rsidRPr="00021F35">
        <w:t>Provedba Zakona o obnovi financira se sredstvima državnog proračuna Republike Hrvatske, sredstvima proračuna Grada Zagreba i Krapinsko-zagorske županije te sredstvima iz drugih izvora pribavljenim sukladno posebnim propisima i drugim oblicima financiranja.</w:t>
      </w:r>
    </w:p>
    <w:p w14:paraId="0DF63D92" w14:textId="77777777" w:rsidR="00021F35" w:rsidRPr="00021F35" w:rsidRDefault="00021F35" w:rsidP="00021F35"/>
    <w:p w14:paraId="3AA4C396" w14:textId="77777777" w:rsidR="00021F35" w:rsidRPr="00021F35" w:rsidRDefault="00021F35" w:rsidP="00021F35">
      <w:r w:rsidRPr="00021F35">
        <w:t xml:space="preserve">Sredstva za popravak konstrukcije obiteljskih kuća, poslovnih, stambeno-poslovnih i </w:t>
      </w:r>
      <w:proofErr w:type="spellStart"/>
      <w:r w:rsidRPr="00021F35">
        <w:t>višestambenih</w:t>
      </w:r>
      <w:proofErr w:type="spellEnd"/>
      <w:r w:rsidRPr="00021F35">
        <w:t xml:space="preserve"> zgrada, gradnju </w:t>
      </w:r>
      <w:proofErr w:type="spellStart"/>
      <w:r w:rsidRPr="00021F35">
        <w:t>višestambenih</w:t>
      </w:r>
      <w:proofErr w:type="spellEnd"/>
      <w:r w:rsidRPr="00021F35">
        <w:t xml:space="preserve"> zgrada, stambeno-poslovnih zgrada te gradnju i opremanje zamjenskih obiteljskih kuća koje su neuporabljive odnosno privremeno neuporabljive, uključujući i cjelovitu obnovu pojedinačno zaštićenog kulturnog dobra, za područje Grada Zagreba i Krapinsko-zagorske županije osigurava Republika Hrvatska u državnom proračunu u visini od 80 %, a Grad Zagreb i Krapinsko-zagorska županija u visini od 20 % za nekretnine na svojim područjima.</w:t>
      </w:r>
    </w:p>
    <w:p w14:paraId="5DF02F27" w14:textId="77777777" w:rsidR="00021F35" w:rsidRPr="00021F35" w:rsidRDefault="00021F35" w:rsidP="00021F35"/>
    <w:p w14:paraId="624DC6F4" w14:textId="77777777" w:rsidR="00021F35" w:rsidRPr="00021F35" w:rsidRDefault="00021F35" w:rsidP="00021F35">
      <w:r w:rsidRPr="00021F35">
        <w:t>S obzirom na to da je Vlada Republike Hrvatske područje Zagrebačke županije, Sisačko-moslavačke županije i Karlovačke županije proglasila područjem katastrofe, konstrukcijska obnova na tim područjima osigurava se u stopostotnom iznosu iz državnog proračuna. Uklanjanje zgrada koje su izgubile svoju mehaničku otpornost i stabilnost u toj mjeri da su urušene ili da njihova obnova nije moguća, a koje se uklanjaju na temelju Zakona o obnovi financira se sredstvima državnog proračuna.</w:t>
      </w:r>
    </w:p>
    <w:p w14:paraId="5CD66C09" w14:textId="77777777" w:rsidR="00021F35" w:rsidRPr="00021F35" w:rsidRDefault="00021F35" w:rsidP="00021F35"/>
    <w:p w14:paraId="28FB769A" w14:textId="77777777" w:rsidR="00021F35" w:rsidRPr="00021F35" w:rsidRDefault="00021F35" w:rsidP="00021F35">
      <w:r w:rsidRPr="00021F35">
        <w:t>Hrvatski sabor donio je na sjednicama 7. lipnja i 27. listopada 2023. Izmjene i dopune Državnog proračuna Republike Hrvatske za 2023. godinu i projekcija za 2024. i 2025. godinu  (u daljnjem tekstu: Izmjene i dopune). Navedeni dokumenti objavljeni su u „Narodnim novinama“, broj 63/23 dana 12. lipnja i broj 129/23 dana 31. listopada 2023.</w:t>
      </w:r>
    </w:p>
    <w:p w14:paraId="5201C9E9" w14:textId="77777777" w:rsidR="00021F35" w:rsidRPr="00021F35" w:rsidRDefault="00021F35" w:rsidP="00021F35"/>
    <w:p w14:paraId="56E691C1" w14:textId="71D5E5A0" w:rsidR="0075704F" w:rsidRDefault="00021F35" w:rsidP="00021F35">
      <w:r w:rsidRPr="00021F35">
        <w:t>Novi zakonodavni okvir i spajanje triju tijela omogućili su ubrzanje obnove te je Ministarstvo planiralo povećanje proračuna za obnovu u iznosu od 19,74 milijuna eura. Navedenim Izmjenama i dopunama  i preraspodjelama državnog proračuna za 2023. godinu izvorni plan po navedenim aktivnostima od 300,28 milijuna eura povećan je na 320,02 milijuna eura za provedbu obnove:</w:t>
      </w:r>
    </w:p>
    <w:p w14:paraId="43A14263" w14:textId="77777777" w:rsidR="0016648C" w:rsidRPr="00021F35" w:rsidRDefault="0016648C" w:rsidP="00021F35"/>
    <w:p w14:paraId="3FC79B6D" w14:textId="77777777" w:rsidR="00021F35" w:rsidRPr="00021F35" w:rsidRDefault="00021F35" w:rsidP="00021F35">
      <w:pPr>
        <w:numPr>
          <w:ilvl w:val="0"/>
          <w:numId w:val="18"/>
        </w:numPr>
      </w:pPr>
      <w:r w:rsidRPr="00021F35">
        <w:t xml:space="preserve">obnova na području Grada Zagreba i Krapinsko-zagorske županije  </w:t>
      </w:r>
    </w:p>
    <w:p w14:paraId="67A26974" w14:textId="77777777" w:rsidR="00021F35" w:rsidRPr="00021F35" w:rsidRDefault="00021F35" w:rsidP="00021F35">
      <w:pPr>
        <w:numPr>
          <w:ilvl w:val="1"/>
          <w:numId w:val="18"/>
        </w:numPr>
      </w:pPr>
      <w:r w:rsidRPr="00021F35">
        <w:t>97.395.883 eura</w:t>
      </w:r>
    </w:p>
    <w:p w14:paraId="5CB48492" w14:textId="77777777" w:rsidR="00021F35" w:rsidRPr="00021F35" w:rsidRDefault="00021F35" w:rsidP="00021F35">
      <w:pPr>
        <w:numPr>
          <w:ilvl w:val="0"/>
          <w:numId w:val="18"/>
        </w:numPr>
      </w:pPr>
      <w:r w:rsidRPr="00021F35">
        <w:t>obnova na području Zagrebačke županije, Sisačko-moslavačke županije i Karlovačke županije</w:t>
      </w:r>
    </w:p>
    <w:p w14:paraId="144EB16E" w14:textId="09BA29B1" w:rsidR="00021F35" w:rsidRPr="00021F35" w:rsidRDefault="00021F35" w:rsidP="00021F35">
      <w:pPr>
        <w:numPr>
          <w:ilvl w:val="1"/>
          <w:numId w:val="18"/>
        </w:numPr>
      </w:pPr>
      <w:r w:rsidRPr="00021F35">
        <w:t>175.139.615 eura</w:t>
      </w:r>
    </w:p>
    <w:p w14:paraId="29F97B04" w14:textId="77777777" w:rsidR="00021F35" w:rsidRPr="00021F35" w:rsidRDefault="00021F35" w:rsidP="00021F35">
      <w:pPr>
        <w:numPr>
          <w:ilvl w:val="0"/>
          <w:numId w:val="18"/>
        </w:numPr>
      </w:pPr>
      <w:r w:rsidRPr="00021F35">
        <w:t xml:space="preserve">financiranje zamjenskog smještaja na područjima pogođenim potresom </w:t>
      </w:r>
    </w:p>
    <w:p w14:paraId="62F108D1" w14:textId="77777777" w:rsidR="00021F35" w:rsidRPr="00021F35" w:rsidRDefault="00021F35" w:rsidP="00021F35">
      <w:pPr>
        <w:numPr>
          <w:ilvl w:val="1"/>
          <w:numId w:val="18"/>
        </w:numPr>
      </w:pPr>
      <w:r w:rsidRPr="00021F35">
        <w:t>27.805.741 eura</w:t>
      </w:r>
    </w:p>
    <w:p w14:paraId="53EC14E3" w14:textId="77777777" w:rsidR="00021F35" w:rsidRPr="00021F35" w:rsidRDefault="00021F35" w:rsidP="00021F35">
      <w:pPr>
        <w:numPr>
          <w:ilvl w:val="0"/>
          <w:numId w:val="18"/>
        </w:numPr>
      </w:pPr>
      <w:r w:rsidRPr="00021F35">
        <w:t xml:space="preserve">projekt obnove nakon potresa - Zajam broj 9127-HR </w:t>
      </w:r>
    </w:p>
    <w:p w14:paraId="22EA35F0" w14:textId="77777777" w:rsidR="00021F35" w:rsidRPr="00021F35" w:rsidRDefault="00021F35" w:rsidP="00021F35">
      <w:pPr>
        <w:numPr>
          <w:ilvl w:val="1"/>
          <w:numId w:val="18"/>
        </w:numPr>
      </w:pPr>
      <w:r w:rsidRPr="00021F35">
        <w:t>19.674.617 eura</w:t>
      </w:r>
    </w:p>
    <w:p w14:paraId="0E23FA21" w14:textId="77777777" w:rsidR="00021F35" w:rsidRPr="00021F35" w:rsidRDefault="00021F35" w:rsidP="00021F35"/>
    <w:p w14:paraId="153F7179" w14:textId="77777777" w:rsidR="00021F35" w:rsidRPr="00021F35" w:rsidRDefault="00021F35" w:rsidP="00021F35">
      <w:r w:rsidRPr="00021F35">
        <w:lastRenderedPageBreak/>
        <w:t xml:space="preserve">Od početka provedbe u 2020. godini kada su isplaćivane novčane naknade za </w:t>
      </w:r>
      <w:proofErr w:type="spellStart"/>
      <w:r w:rsidRPr="00021F35">
        <w:t>nekonstrukcijsku</w:t>
      </w:r>
      <w:proofErr w:type="spellEnd"/>
      <w:r w:rsidRPr="00021F35">
        <w:t xml:space="preserve"> obnovu do 31. prosinca 2023. ukupno je na obnovu utrošeno 353,25 milijuna eura. Od navedenoga iznosa 270,20 milijuna eura odnosno 76,49 % realizirano je u izvještajnom razdoblju.</w:t>
      </w:r>
    </w:p>
    <w:p w14:paraId="7CEBDE2E" w14:textId="77777777" w:rsidR="00D5203F" w:rsidRPr="00C9549D" w:rsidRDefault="00D5203F" w:rsidP="00D5203F">
      <w:pPr>
        <w:rPr>
          <w:i/>
          <w:iCs/>
        </w:rPr>
      </w:pPr>
    </w:p>
    <w:p w14:paraId="7FB77AA6" w14:textId="2C7A1303" w:rsidR="00D5203F" w:rsidRPr="00C9549D" w:rsidRDefault="00DD49DB" w:rsidP="00D5203F">
      <w:pPr>
        <w:rPr>
          <w:i/>
          <w:iCs/>
        </w:rPr>
      </w:pPr>
      <w:r w:rsidRPr="00DD49DB">
        <w:rPr>
          <w:i/>
          <w:iCs/>
        </w:rPr>
        <w:t>Pregled isplaćenih sredstava za obnovu od ožujka 2020. do prosinca 2023.</w:t>
      </w:r>
    </w:p>
    <w:tbl>
      <w:tblP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32"/>
        <w:gridCol w:w="2835"/>
      </w:tblGrid>
      <w:tr w:rsidR="00CA1C4C" w:rsidRPr="00C9549D" w14:paraId="410779D3" w14:textId="77777777" w:rsidTr="00861662">
        <w:trPr>
          <w:trHeight w:val="567"/>
        </w:trPr>
        <w:tc>
          <w:tcPr>
            <w:tcW w:w="6232" w:type="dxa"/>
            <w:shd w:val="clear" w:color="000000" w:fill="002060"/>
            <w:noWrap/>
            <w:vAlign w:val="center"/>
            <w:hideMark/>
          </w:tcPr>
          <w:p w14:paraId="3CE940E5" w14:textId="62381D60" w:rsidR="00CA1C4C" w:rsidRPr="00C9549D" w:rsidRDefault="00CA1C4C" w:rsidP="00CA1C4C">
            <w:pPr>
              <w:spacing w:line="240" w:lineRule="auto"/>
              <w:jc w:val="center"/>
              <w:rPr>
                <w:rFonts w:eastAsia="Times New Roman"/>
                <w:color w:val="FFFFFF"/>
                <w:lang w:eastAsia="hr-HR"/>
              </w:rPr>
            </w:pPr>
            <w:r w:rsidRPr="00C9549D">
              <w:rPr>
                <w:rFonts w:eastAsia="Times New Roman"/>
                <w:color w:val="FFFFFF"/>
                <w:lang w:eastAsia="hr-HR"/>
              </w:rPr>
              <w:t>Razdoblje</w:t>
            </w:r>
          </w:p>
        </w:tc>
        <w:tc>
          <w:tcPr>
            <w:tcW w:w="2835" w:type="dxa"/>
            <w:shd w:val="clear" w:color="000000" w:fill="002060"/>
            <w:noWrap/>
            <w:vAlign w:val="center"/>
            <w:hideMark/>
          </w:tcPr>
          <w:p w14:paraId="5B6B5E24" w14:textId="1DCBCA10" w:rsidR="00CA1C4C" w:rsidRPr="00C9549D" w:rsidRDefault="00CA1C4C" w:rsidP="00CA1C4C">
            <w:pPr>
              <w:spacing w:line="240" w:lineRule="auto"/>
              <w:jc w:val="center"/>
              <w:rPr>
                <w:rFonts w:eastAsia="Times New Roman"/>
                <w:color w:val="FFFFFF"/>
                <w:lang w:eastAsia="hr-HR"/>
              </w:rPr>
            </w:pPr>
            <w:r w:rsidRPr="00C9549D">
              <w:rPr>
                <w:rFonts w:eastAsia="Times New Roman"/>
                <w:color w:val="FFFFFF"/>
                <w:lang w:eastAsia="hr-HR"/>
              </w:rPr>
              <w:t>Izvršenje</w:t>
            </w:r>
          </w:p>
        </w:tc>
      </w:tr>
      <w:tr w:rsidR="00CA1C4C" w:rsidRPr="00C9549D" w14:paraId="2C0634C3" w14:textId="77777777" w:rsidTr="00861662">
        <w:trPr>
          <w:trHeight w:val="567"/>
        </w:trPr>
        <w:tc>
          <w:tcPr>
            <w:tcW w:w="6232" w:type="dxa"/>
            <w:shd w:val="clear" w:color="auto" w:fill="auto"/>
            <w:vAlign w:val="center"/>
            <w:hideMark/>
          </w:tcPr>
          <w:p w14:paraId="56D958F6" w14:textId="2E1387A7" w:rsidR="00CA1C4C" w:rsidRPr="00C9549D" w:rsidRDefault="00CA1C4C" w:rsidP="00CA1C4C">
            <w:pPr>
              <w:spacing w:line="240" w:lineRule="auto"/>
              <w:jc w:val="left"/>
              <w:rPr>
                <w:rFonts w:eastAsia="Times New Roman"/>
                <w:color w:val="000000"/>
                <w:lang w:eastAsia="hr-HR"/>
              </w:rPr>
            </w:pPr>
            <w:r w:rsidRPr="00C9549D">
              <w:rPr>
                <w:rFonts w:eastAsia="Times New Roman"/>
                <w:color w:val="000000"/>
                <w:lang w:eastAsia="hr-HR"/>
              </w:rPr>
              <w:t>2020. godina</w:t>
            </w:r>
          </w:p>
        </w:tc>
        <w:tc>
          <w:tcPr>
            <w:tcW w:w="2835" w:type="dxa"/>
            <w:shd w:val="clear" w:color="auto" w:fill="auto"/>
            <w:noWrap/>
            <w:vAlign w:val="center"/>
            <w:hideMark/>
          </w:tcPr>
          <w:p w14:paraId="6B36AFE1" w14:textId="3E47E237" w:rsidR="00CA1C4C" w:rsidRPr="00C9549D" w:rsidRDefault="00CA1C4C" w:rsidP="00CA1C4C">
            <w:pPr>
              <w:spacing w:line="240" w:lineRule="auto"/>
              <w:jc w:val="right"/>
              <w:rPr>
                <w:rFonts w:eastAsia="Times New Roman"/>
                <w:color w:val="000000"/>
                <w:lang w:eastAsia="hr-HR"/>
              </w:rPr>
            </w:pPr>
            <w:r w:rsidRPr="00C9549D">
              <w:rPr>
                <w:color w:val="000000"/>
              </w:rPr>
              <w:t xml:space="preserve">         3.438.811,73 € </w:t>
            </w:r>
          </w:p>
        </w:tc>
      </w:tr>
      <w:tr w:rsidR="00CA1C4C" w:rsidRPr="00C9549D" w14:paraId="4B85A82E" w14:textId="77777777" w:rsidTr="00861662">
        <w:trPr>
          <w:trHeight w:val="567"/>
        </w:trPr>
        <w:tc>
          <w:tcPr>
            <w:tcW w:w="6232" w:type="dxa"/>
            <w:shd w:val="clear" w:color="auto" w:fill="auto"/>
            <w:vAlign w:val="center"/>
            <w:hideMark/>
          </w:tcPr>
          <w:p w14:paraId="0522F795" w14:textId="66BE3BEF" w:rsidR="00CA1C4C" w:rsidRPr="00C9549D" w:rsidRDefault="00CA1C4C" w:rsidP="00CA1C4C">
            <w:pPr>
              <w:spacing w:line="240" w:lineRule="auto"/>
              <w:jc w:val="left"/>
              <w:rPr>
                <w:rFonts w:eastAsia="Times New Roman"/>
                <w:color w:val="000000"/>
                <w:lang w:eastAsia="hr-HR"/>
              </w:rPr>
            </w:pPr>
            <w:r w:rsidRPr="00C9549D">
              <w:rPr>
                <w:rFonts w:eastAsia="Times New Roman"/>
                <w:color w:val="000000"/>
                <w:lang w:eastAsia="hr-HR"/>
              </w:rPr>
              <w:t>2021. godina</w:t>
            </w:r>
          </w:p>
        </w:tc>
        <w:tc>
          <w:tcPr>
            <w:tcW w:w="2835" w:type="dxa"/>
            <w:shd w:val="clear" w:color="auto" w:fill="auto"/>
            <w:noWrap/>
            <w:vAlign w:val="center"/>
            <w:hideMark/>
          </w:tcPr>
          <w:p w14:paraId="2980C155" w14:textId="2B0E2581" w:rsidR="00CA1C4C" w:rsidRPr="00C9549D" w:rsidRDefault="00CA1C4C" w:rsidP="00CA1C4C">
            <w:pPr>
              <w:spacing w:line="240" w:lineRule="auto"/>
              <w:jc w:val="right"/>
              <w:rPr>
                <w:rFonts w:eastAsia="Times New Roman"/>
                <w:color w:val="000000"/>
                <w:lang w:eastAsia="hr-HR"/>
              </w:rPr>
            </w:pPr>
            <w:r w:rsidRPr="00C9549D">
              <w:rPr>
                <w:color w:val="000000"/>
              </w:rPr>
              <w:t xml:space="preserve">        16.786.175,34 € </w:t>
            </w:r>
          </w:p>
        </w:tc>
      </w:tr>
      <w:tr w:rsidR="00CA1C4C" w:rsidRPr="00C9549D" w14:paraId="08F13EF9" w14:textId="77777777" w:rsidTr="00861662">
        <w:trPr>
          <w:trHeight w:val="567"/>
        </w:trPr>
        <w:tc>
          <w:tcPr>
            <w:tcW w:w="6232" w:type="dxa"/>
            <w:shd w:val="clear" w:color="auto" w:fill="auto"/>
            <w:vAlign w:val="center"/>
            <w:hideMark/>
          </w:tcPr>
          <w:p w14:paraId="6191BF6E" w14:textId="58C18BFF" w:rsidR="00CA1C4C" w:rsidRPr="00C9549D" w:rsidRDefault="00CA1C4C" w:rsidP="00CA1C4C">
            <w:pPr>
              <w:spacing w:line="240" w:lineRule="auto"/>
              <w:jc w:val="left"/>
              <w:rPr>
                <w:rFonts w:eastAsia="Times New Roman"/>
                <w:color w:val="000000"/>
                <w:lang w:eastAsia="hr-HR"/>
              </w:rPr>
            </w:pPr>
            <w:r w:rsidRPr="00C9549D">
              <w:rPr>
                <w:rFonts w:eastAsia="Times New Roman"/>
                <w:color w:val="000000"/>
                <w:lang w:eastAsia="hr-HR"/>
              </w:rPr>
              <w:t>2022. godina</w:t>
            </w:r>
          </w:p>
        </w:tc>
        <w:tc>
          <w:tcPr>
            <w:tcW w:w="2835" w:type="dxa"/>
            <w:shd w:val="clear" w:color="auto" w:fill="auto"/>
            <w:noWrap/>
            <w:vAlign w:val="center"/>
            <w:hideMark/>
          </w:tcPr>
          <w:p w14:paraId="2F69CD2F" w14:textId="14249014" w:rsidR="00CA1C4C" w:rsidRPr="00C9549D" w:rsidRDefault="00CA1C4C" w:rsidP="00CA1C4C">
            <w:pPr>
              <w:spacing w:line="240" w:lineRule="auto"/>
              <w:jc w:val="right"/>
              <w:rPr>
                <w:rFonts w:eastAsia="Times New Roman"/>
                <w:color w:val="000000"/>
                <w:lang w:eastAsia="hr-HR"/>
              </w:rPr>
            </w:pPr>
            <w:r w:rsidRPr="00C9549D">
              <w:rPr>
                <w:color w:val="000000"/>
              </w:rPr>
              <w:t xml:space="preserve">        62.825.927,57 € </w:t>
            </w:r>
          </w:p>
        </w:tc>
      </w:tr>
      <w:tr w:rsidR="00CA1C4C" w:rsidRPr="00C9549D" w14:paraId="22037D6E" w14:textId="77777777" w:rsidTr="00861662">
        <w:trPr>
          <w:trHeight w:val="567"/>
        </w:trPr>
        <w:tc>
          <w:tcPr>
            <w:tcW w:w="6232" w:type="dxa"/>
            <w:shd w:val="clear" w:color="auto" w:fill="auto"/>
            <w:vAlign w:val="center"/>
            <w:hideMark/>
          </w:tcPr>
          <w:p w14:paraId="2A098118" w14:textId="59B80BF5" w:rsidR="00CA1C4C" w:rsidRPr="00C9549D" w:rsidRDefault="00CA1C4C" w:rsidP="00CA1C4C">
            <w:pPr>
              <w:spacing w:line="240" w:lineRule="auto"/>
              <w:jc w:val="left"/>
              <w:rPr>
                <w:rFonts w:eastAsia="Times New Roman"/>
                <w:color w:val="000000"/>
                <w:lang w:eastAsia="hr-HR"/>
              </w:rPr>
            </w:pPr>
            <w:r>
              <w:rPr>
                <w:rFonts w:eastAsia="Times New Roman"/>
                <w:color w:val="000000"/>
                <w:lang w:eastAsia="hr-HR"/>
              </w:rPr>
              <w:t xml:space="preserve">2023. godina </w:t>
            </w:r>
          </w:p>
        </w:tc>
        <w:tc>
          <w:tcPr>
            <w:tcW w:w="2835" w:type="dxa"/>
            <w:shd w:val="clear" w:color="auto" w:fill="auto"/>
            <w:noWrap/>
            <w:vAlign w:val="center"/>
            <w:hideMark/>
          </w:tcPr>
          <w:p w14:paraId="49AA36C2" w14:textId="04AF94CB" w:rsidR="00CA1C4C" w:rsidRPr="00C9549D" w:rsidRDefault="00CA1C4C" w:rsidP="00CA1C4C">
            <w:pPr>
              <w:spacing w:line="240" w:lineRule="auto"/>
              <w:jc w:val="right"/>
              <w:rPr>
                <w:rFonts w:eastAsia="Times New Roman"/>
                <w:color w:val="000000"/>
                <w:lang w:eastAsia="hr-HR"/>
              </w:rPr>
            </w:pPr>
            <w:r w:rsidRPr="00C9549D">
              <w:rPr>
                <w:color w:val="000000"/>
              </w:rPr>
              <w:t xml:space="preserve">        </w:t>
            </w:r>
            <w:r>
              <w:rPr>
                <w:color w:val="000000"/>
              </w:rPr>
              <w:t xml:space="preserve">270.195.282,82 </w:t>
            </w:r>
            <w:r w:rsidRPr="00C9549D">
              <w:rPr>
                <w:color w:val="000000"/>
              </w:rPr>
              <w:t xml:space="preserve"> € </w:t>
            </w:r>
          </w:p>
        </w:tc>
      </w:tr>
      <w:tr w:rsidR="00CA1C4C" w:rsidRPr="00C9549D" w14:paraId="59CB5461" w14:textId="77777777" w:rsidTr="00861662">
        <w:trPr>
          <w:trHeight w:val="567"/>
        </w:trPr>
        <w:tc>
          <w:tcPr>
            <w:tcW w:w="6232" w:type="dxa"/>
            <w:shd w:val="clear" w:color="000000" w:fill="002060"/>
            <w:noWrap/>
            <w:vAlign w:val="center"/>
            <w:hideMark/>
          </w:tcPr>
          <w:p w14:paraId="7AEFAD57" w14:textId="192E4241" w:rsidR="00CA1C4C" w:rsidRPr="00C9549D" w:rsidRDefault="00CA1C4C" w:rsidP="00CA1C4C">
            <w:pPr>
              <w:spacing w:line="240" w:lineRule="auto"/>
              <w:jc w:val="left"/>
              <w:rPr>
                <w:rFonts w:eastAsia="Times New Roman"/>
                <w:color w:val="FFFFFF"/>
                <w:lang w:eastAsia="hr-HR"/>
              </w:rPr>
            </w:pPr>
            <w:r w:rsidRPr="00C9549D">
              <w:rPr>
                <w:rFonts w:eastAsia="Times New Roman"/>
                <w:color w:val="FFFFFF"/>
                <w:lang w:eastAsia="hr-HR"/>
              </w:rPr>
              <w:t xml:space="preserve">Ukupno od travnja 2020. do </w:t>
            </w:r>
            <w:r>
              <w:rPr>
                <w:rFonts w:eastAsia="Times New Roman"/>
                <w:color w:val="FFFFFF"/>
                <w:lang w:eastAsia="hr-HR"/>
              </w:rPr>
              <w:t>prosinca 2023.</w:t>
            </w:r>
          </w:p>
        </w:tc>
        <w:tc>
          <w:tcPr>
            <w:tcW w:w="2835" w:type="dxa"/>
            <w:shd w:val="clear" w:color="000000" w:fill="002060"/>
            <w:vAlign w:val="center"/>
            <w:hideMark/>
          </w:tcPr>
          <w:p w14:paraId="57D9CE47" w14:textId="1EB07834" w:rsidR="00CA1C4C" w:rsidRPr="00C9549D" w:rsidRDefault="00CA1C4C" w:rsidP="00CA1C4C">
            <w:pPr>
              <w:spacing w:line="240" w:lineRule="auto"/>
              <w:jc w:val="right"/>
              <w:rPr>
                <w:rFonts w:eastAsia="Times New Roman"/>
                <w:color w:val="FFFFFF"/>
                <w:lang w:eastAsia="hr-HR"/>
              </w:rPr>
            </w:pPr>
            <w:r w:rsidRPr="00C9549D">
              <w:rPr>
                <w:color w:val="FFFFFF"/>
              </w:rPr>
              <w:t xml:space="preserve">      </w:t>
            </w:r>
            <w:r>
              <w:rPr>
                <w:color w:val="FFFFFF"/>
              </w:rPr>
              <w:t xml:space="preserve">353.246.197,46 </w:t>
            </w:r>
            <w:r w:rsidRPr="00C9549D">
              <w:rPr>
                <w:color w:val="FFFFFF"/>
              </w:rPr>
              <w:t xml:space="preserve">€ </w:t>
            </w:r>
          </w:p>
        </w:tc>
      </w:tr>
    </w:tbl>
    <w:p w14:paraId="77E8623B" w14:textId="2435198F" w:rsidR="006F11F3" w:rsidRPr="0016648C" w:rsidRDefault="0062100F" w:rsidP="0016648C">
      <w:pPr>
        <w:spacing w:before="120" w:after="120"/>
      </w:pPr>
      <w:r>
        <w:rPr>
          <w:noProof/>
          <w:lang w:eastAsia="hr-HR"/>
        </w:rPr>
        <w:drawing>
          <wp:inline distT="0" distB="0" distL="0" distR="0" wp14:anchorId="39BE3244" wp14:editId="78DF77E2">
            <wp:extent cx="5762625" cy="5344510"/>
            <wp:effectExtent l="0" t="0" r="9525" b="8890"/>
            <wp:docPr id="230772212" name="Grafikon 1">
              <a:extLst xmlns:a="http://schemas.openxmlformats.org/drawingml/2006/main">
                <a:ext uri="{FF2B5EF4-FFF2-40B4-BE49-F238E27FC236}">
                  <a16:creationId xmlns:a16="http://schemas.microsoft.com/office/drawing/2014/main" id="{40286AE4-31CB-F55C-7A9F-F81EBF493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57F08A" w14:textId="24225081" w:rsidR="00CF25B1" w:rsidRDefault="00ED7024" w:rsidP="00AB0077">
      <w:pPr>
        <w:pStyle w:val="Heading1"/>
      </w:pPr>
      <w:bookmarkStart w:id="27" w:name="_Toc161040578"/>
      <w:r>
        <w:lastRenderedPageBreak/>
        <w:t>EUROPSKI I MEĐUNARODNI IZVORI FINANCIRANJA</w:t>
      </w:r>
      <w:bookmarkEnd w:id="27"/>
    </w:p>
    <w:p w14:paraId="63394F88" w14:textId="77777777" w:rsidR="004D7C55" w:rsidRPr="004D7C55" w:rsidRDefault="004D7C55" w:rsidP="004D7C55"/>
    <w:p w14:paraId="25BF39DD" w14:textId="1D26C282" w:rsidR="00EE3D06" w:rsidRPr="006C3BB1" w:rsidRDefault="00BC4AFB" w:rsidP="00F4045F">
      <w:pPr>
        <w:pStyle w:val="Heading2"/>
      </w:pPr>
      <w:bookmarkStart w:id="28" w:name="_Toc161040579"/>
      <w:r w:rsidRPr="006C3BB1">
        <w:t>Operativni program Konkure</w:t>
      </w:r>
      <w:r w:rsidR="00DB5046" w:rsidRPr="006C3BB1">
        <w:t>ntnost</w:t>
      </w:r>
      <w:r w:rsidRPr="006C3BB1">
        <w:t xml:space="preserve"> i kohezi</w:t>
      </w:r>
      <w:r w:rsidR="00DB5046" w:rsidRPr="006C3BB1">
        <w:t>ja</w:t>
      </w:r>
      <w:r w:rsidR="004973FB" w:rsidRPr="006C3BB1">
        <w:t xml:space="preserve"> 2014.-2020.</w:t>
      </w:r>
      <w:bookmarkEnd w:id="28"/>
    </w:p>
    <w:p w14:paraId="2816DA65" w14:textId="77777777" w:rsidR="000F0516" w:rsidRDefault="000F0516" w:rsidP="004D7C55"/>
    <w:p w14:paraId="7A616DD4" w14:textId="02B4217F" w:rsidR="004D7C55" w:rsidRPr="00C9549D" w:rsidRDefault="00852631" w:rsidP="004D7C55">
      <w:r>
        <w:t>I</w:t>
      </w:r>
      <w:r w:rsidR="004D7C55" w:rsidRPr="00C9549D">
        <w:t xml:space="preserve">zmjenom Operativnog programa Konkurentnost i kohezija 2014. – 2020. osigurana su </w:t>
      </w:r>
      <w:r w:rsidR="00EE7249">
        <w:t xml:space="preserve">značajna </w:t>
      </w:r>
      <w:r w:rsidR="004D7C55" w:rsidRPr="00C9549D">
        <w:t>sredstva iz EU fondova za sanaciju posljedica potresa na području Sisačko-moslavačke i Karlovačke županije. Dana 26. svibnja 2021.</w:t>
      </w:r>
      <w:r w:rsidR="00201ADC">
        <w:t xml:space="preserve"> </w:t>
      </w:r>
      <w:r w:rsidR="004D7C55" w:rsidRPr="00C9549D">
        <w:t>i 25</w:t>
      </w:r>
      <w:r w:rsidR="00A4118E">
        <w:t>. listopada 2022. potpisani su u</w:t>
      </w:r>
      <w:r w:rsidR="004D7C55" w:rsidRPr="00C9549D">
        <w:t>govori o dodjeli bespovratnih sredstava za projekte:</w:t>
      </w:r>
    </w:p>
    <w:p w14:paraId="06BF6471" w14:textId="77777777" w:rsidR="004D7C55" w:rsidRPr="00C9549D" w:rsidRDefault="004D7C55" w:rsidP="004D7C55"/>
    <w:p w14:paraId="777CF16E" w14:textId="5C3B7633" w:rsidR="004D7C55" w:rsidRPr="00C9549D" w:rsidRDefault="004D7C55" w:rsidP="00966BC0">
      <w:pPr>
        <w:pStyle w:val="ListParagraph"/>
        <w:numPr>
          <w:ilvl w:val="0"/>
          <w:numId w:val="2"/>
        </w:numPr>
      </w:pPr>
      <w:r w:rsidRPr="00C9549D">
        <w:t>Obnova obiteljskih kuća u vlasništvu Republike Hrvatske na potresom pogođenim područjima</w:t>
      </w:r>
    </w:p>
    <w:p w14:paraId="0F46F383" w14:textId="2422A093" w:rsidR="004D7C55" w:rsidRPr="00C9549D" w:rsidRDefault="004D7C55" w:rsidP="00966BC0">
      <w:pPr>
        <w:pStyle w:val="ListParagraph"/>
        <w:numPr>
          <w:ilvl w:val="0"/>
          <w:numId w:val="2"/>
        </w:numPr>
      </w:pPr>
      <w:r w:rsidRPr="00C9549D">
        <w:t>Uklanjanje i izgradnja zamjenskih stambenih jedinica u vlasništvu RH na potresom pogođenim područjima</w:t>
      </w:r>
      <w:r w:rsidR="00D1185C">
        <w:t xml:space="preserve"> - I</w:t>
      </w:r>
    </w:p>
    <w:p w14:paraId="2FF8A775" w14:textId="22A396B9" w:rsidR="004D7C55" w:rsidRPr="00C9549D" w:rsidRDefault="004D7C55" w:rsidP="00966BC0">
      <w:pPr>
        <w:pStyle w:val="ListParagraph"/>
        <w:numPr>
          <w:ilvl w:val="0"/>
          <w:numId w:val="2"/>
        </w:numPr>
      </w:pPr>
      <w:r w:rsidRPr="00C9549D">
        <w:t>Uklanjanje i izgradnja zamjenskih stambenih jedinica u vlasništvu RH na potresom pogođenim područjima – II</w:t>
      </w:r>
      <w:r w:rsidR="00A4118E">
        <w:t>.</w:t>
      </w:r>
    </w:p>
    <w:p w14:paraId="713CF630" w14:textId="77777777" w:rsidR="004D7C55" w:rsidRPr="00C9549D" w:rsidRDefault="004D7C55" w:rsidP="004D7C55"/>
    <w:p w14:paraId="4F506895" w14:textId="1E74294C" w:rsidR="009E4B04" w:rsidRDefault="004D7C55" w:rsidP="004D7C55">
      <w:r w:rsidRPr="00C9549D">
        <w:t>Prvi Projekt, ukupne vrijednosti 42</w:t>
      </w:r>
      <w:r w:rsidR="00E835F2">
        <w:t>,9 milijuna</w:t>
      </w:r>
      <w:r w:rsidRPr="00C9549D">
        <w:t xml:space="preserve"> </w:t>
      </w:r>
      <w:r w:rsidR="006542FF">
        <w:t>eura</w:t>
      </w:r>
      <w:r w:rsidRPr="00C9549D">
        <w:t xml:space="preserve">, obuhvaća obnovu oko 500 obiteljskih kuća u vlasništvu Republike Hrvatske na potresom pogođenim područjima, dok drugi Projekt, ukupne vrijednosti 46,2 milijuna eura i treći Projekt, ukupne vrijednosti 18,3 milijuna eura obuhvaćaju uklanjanje i izgradnju zamjenskih stambenih jedinica u vlasništvu Republike Hrvatske na potresom pogođenim područjima, odnosno, izgradnju 20 </w:t>
      </w:r>
      <w:proofErr w:type="spellStart"/>
      <w:r w:rsidRPr="00C9549D">
        <w:t>višestambenih</w:t>
      </w:r>
      <w:proofErr w:type="spellEnd"/>
      <w:r w:rsidRPr="00C9549D">
        <w:t xml:space="preserve"> zgrada s ukupno 308 stana te izgradnju oko 60 obiteljskih kuća. Bespovratna sredstva za ova </w:t>
      </w:r>
      <w:r w:rsidR="00A62597">
        <w:t>tri</w:t>
      </w:r>
      <w:r w:rsidRPr="00C9549D">
        <w:t xml:space="preserve"> projekta odobravaju se u visini od 95</w:t>
      </w:r>
      <w:r w:rsidR="008B3B64">
        <w:t xml:space="preserve"> %</w:t>
      </w:r>
      <w:r w:rsidRPr="00C9549D">
        <w:t xml:space="preserve"> vrijednosti projekata, dok nacionalno učešće iznosi 5</w:t>
      </w:r>
      <w:r w:rsidR="008B3B64">
        <w:t xml:space="preserve"> %</w:t>
      </w:r>
      <w:r w:rsidRPr="00C9549D">
        <w:t xml:space="preserve"> ukupne vrijednosti projekata.</w:t>
      </w:r>
      <w:r w:rsidR="00B87171">
        <w:t xml:space="preserve"> </w:t>
      </w:r>
    </w:p>
    <w:p w14:paraId="6CE9C1BC" w14:textId="77777777" w:rsidR="009E4B04" w:rsidRDefault="009E4B04" w:rsidP="004D7C55"/>
    <w:p w14:paraId="4ABD829A" w14:textId="5AC905A0" w:rsidR="004D7C55" w:rsidRDefault="00E73605" w:rsidP="004D7C55">
      <w:r w:rsidRPr="00DB5046">
        <w:t>Izvršenje o</w:t>
      </w:r>
      <w:r w:rsidR="00CB09A2" w:rsidRPr="00DB5046">
        <w:t>vi</w:t>
      </w:r>
      <w:r w:rsidRPr="00DB5046">
        <w:t>h</w:t>
      </w:r>
      <w:r w:rsidR="00CB09A2" w:rsidRPr="00DB5046">
        <w:t xml:space="preserve"> projek</w:t>
      </w:r>
      <w:r w:rsidRPr="00DB5046">
        <w:t>ata</w:t>
      </w:r>
      <w:r w:rsidR="00CB09A2" w:rsidRPr="00DB5046">
        <w:t xml:space="preserve"> uključen</w:t>
      </w:r>
      <w:r w:rsidRPr="00DB5046">
        <w:t>o je</w:t>
      </w:r>
      <w:r w:rsidR="00CB09A2" w:rsidRPr="00DB5046">
        <w:t xml:space="preserve"> u statistiku </w:t>
      </w:r>
      <w:r w:rsidRPr="00DB5046">
        <w:t xml:space="preserve">provedbe </w:t>
      </w:r>
      <w:r w:rsidR="00C12594" w:rsidRPr="00DB5046">
        <w:t>stambenog zbrinjavanja</w:t>
      </w:r>
      <w:r w:rsidRPr="00DB5046">
        <w:t>.</w:t>
      </w:r>
    </w:p>
    <w:p w14:paraId="67BE8D95" w14:textId="77777777" w:rsidR="004D7C55" w:rsidRDefault="004D7C55" w:rsidP="004D7C55"/>
    <w:p w14:paraId="6D515E80" w14:textId="257AB89C" w:rsidR="00A67208" w:rsidRPr="00903981" w:rsidRDefault="00A67208" w:rsidP="00F4045F">
      <w:pPr>
        <w:pStyle w:val="Heading2"/>
      </w:pPr>
      <w:bookmarkStart w:id="29" w:name="_Toc161040580"/>
      <w:r w:rsidRPr="00903981">
        <w:t>Fond solidarnosti</w:t>
      </w:r>
      <w:r w:rsidR="00144BD0" w:rsidRPr="00903981">
        <w:t xml:space="preserve"> E</w:t>
      </w:r>
      <w:r w:rsidR="00903981">
        <w:t>uropske unije (FSEU)</w:t>
      </w:r>
      <w:bookmarkEnd w:id="29"/>
    </w:p>
    <w:p w14:paraId="3DEFB559" w14:textId="63734F77" w:rsidR="007636D4" w:rsidRDefault="007636D4" w:rsidP="007636D4">
      <w:pPr>
        <w:rPr>
          <w:bCs/>
        </w:rPr>
      </w:pPr>
      <w:r w:rsidRPr="008676CB">
        <w:rPr>
          <w:bCs/>
        </w:rPr>
        <w:t>Republici Hrvatskoj je temeljem zahtjeva Vlade</w:t>
      </w:r>
      <w:r>
        <w:rPr>
          <w:bCs/>
        </w:rPr>
        <w:t xml:space="preserve"> Republike Hrvatske</w:t>
      </w:r>
      <w:r w:rsidRPr="008676CB">
        <w:rPr>
          <w:bCs/>
        </w:rPr>
        <w:t xml:space="preserve">, odobreno ukupno </w:t>
      </w:r>
      <w:r>
        <w:rPr>
          <w:bCs/>
        </w:rPr>
        <w:t xml:space="preserve">1,003 milijardi </w:t>
      </w:r>
      <w:r w:rsidRPr="008676CB">
        <w:rPr>
          <w:bCs/>
        </w:rPr>
        <w:t xml:space="preserve">eura pomoći iz Fonda solidarnosti </w:t>
      </w:r>
      <w:r>
        <w:rPr>
          <w:bCs/>
        </w:rPr>
        <w:t>Europske unije</w:t>
      </w:r>
      <w:r w:rsidR="00ED47F2">
        <w:rPr>
          <w:bCs/>
        </w:rPr>
        <w:t xml:space="preserve"> (dalje: FSEU)</w:t>
      </w:r>
      <w:r>
        <w:rPr>
          <w:bCs/>
        </w:rPr>
        <w:t xml:space="preserve"> </w:t>
      </w:r>
      <w:r w:rsidRPr="008676CB">
        <w:rPr>
          <w:bCs/>
        </w:rPr>
        <w:t>za sanaciju šteta nastalih potresom.</w:t>
      </w:r>
      <w:r>
        <w:rPr>
          <w:bCs/>
        </w:rPr>
        <w:t xml:space="preserve"> Od toga za zagrebački potres 683,7 milijuna eura a za petrinjski potres 319,2 milijuna eura. </w:t>
      </w:r>
    </w:p>
    <w:p w14:paraId="300CE5DC" w14:textId="77777777" w:rsidR="007636D4" w:rsidRDefault="007636D4" w:rsidP="007636D4">
      <w:pPr>
        <w:rPr>
          <w:bCs/>
        </w:rPr>
      </w:pPr>
    </w:p>
    <w:p w14:paraId="5420A9D7" w14:textId="459CC784" w:rsidR="00A851A1" w:rsidRDefault="00A851A1" w:rsidP="005102F3">
      <w:pPr>
        <w:rPr>
          <w:bCs/>
        </w:rPr>
      </w:pPr>
      <w:r w:rsidRPr="00A851A1">
        <w:rPr>
          <w:bCs/>
        </w:rPr>
        <w:t>Rok iskorištenja sredstava bio je od 18 mjeseci od isplate punog iznosa pomoći, tj. do 17. lipnja 2022. godine.</w:t>
      </w:r>
      <w:r>
        <w:rPr>
          <w:bCs/>
        </w:rPr>
        <w:t xml:space="preserve"> </w:t>
      </w:r>
      <w:r w:rsidR="00B71013" w:rsidRPr="008676CB">
        <w:rPr>
          <w:bCs/>
        </w:rPr>
        <w:t xml:space="preserve">Uz kvalitetnu </w:t>
      </w:r>
      <w:r w:rsidR="008C4D35">
        <w:rPr>
          <w:bCs/>
        </w:rPr>
        <w:t xml:space="preserve">pripremu </w:t>
      </w:r>
      <w:r w:rsidR="00B71013" w:rsidRPr="008676CB">
        <w:rPr>
          <w:bCs/>
        </w:rPr>
        <w:t>Vlade</w:t>
      </w:r>
      <w:r w:rsidR="00B71013">
        <w:rPr>
          <w:bCs/>
        </w:rPr>
        <w:t xml:space="preserve"> Republike Hrvatske </w:t>
      </w:r>
      <w:r w:rsidR="00B71013" w:rsidRPr="008676CB">
        <w:rPr>
          <w:bCs/>
        </w:rPr>
        <w:t>te uvažavajući specifične okolnosti i progresivne štete, rok za korištenje sredstava F</w:t>
      </w:r>
      <w:r w:rsidR="00B71013">
        <w:rPr>
          <w:bCs/>
        </w:rPr>
        <w:t xml:space="preserve">SEU </w:t>
      </w:r>
      <w:r w:rsidR="00777BE9">
        <w:rPr>
          <w:bCs/>
        </w:rPr>
        <w:t xml:space="preserve">za zagrebački potres je </w:t>
      </w:r>
      <w:r w:rsidR="00B71013" w:rsidRPr="008676CB">
        <w:rPr>
          <w:bCs/>
        </w:rPr>
        <w:t>produljen</w:t>
      </w:r>
      <w:r w:rsidR="00777BE9">
        <w:rPr>
          <w:bCs/>
        </w:rPr>
        <w:t>.</w:t>
      </w:r>
    </w:p>
    <w:p w14:paraId="6C26D798" w14:textId="77777777" w:rsidR="00A851A1" w:rsidRDefault="00A851A1" w:rsidP="005102F3">
      <w:pPr>
        <w:rPr>
          <w:bCs/>
        </w:rPr>
      </w:pPr>
    </w:p>
    <w:p w14:paraId="020103D6" w14:textId="042074A0" w:rsidR="005102F3" w:rsidRPr="005102F3" w:rsidRDefault="00B71013" w:rsidP="005102F3">
      <w:pPr>
        <w:rPr>
          <w:bCs/>
        </w:rPr>
      </w:pPr>
      <w:r>
        <w:rPr>
          <w:bCs/>
        </w:rPr>
        <w:t>Naime, prvotno z</w:t>
      </w:r>
      <w:r w:rsidR="005102F3" w:rsidRPr="005102F3">
        <w:rPr>
          <w:bCs/>
        </w:rPr>
        <w:t>adani rok bio bi izazovan za provedbu i u stabilnim situacijama</w:t>
      </w:r>
      <w:r>
        <w:rPr>
          <w:bCs/>
        </w:rPr>
        <w:t xml:space="preserve"> m</w:t>
      </w:r>
      <w:r w:rsidR="005102F3" w:rsidRPr="005102F3">
        <w:rPr>
          <w:bCs/>
        </w:rPr>
        <w:t xml:space="preserve">eđutim, </w:t>
      </w:r>
      <w:proofErr w:type="spellStart"/>
      <w:r w:rsidR="005102F3" w:rsidRPr="005102F3">
        <w:rPr>
          <w:bCs/>
        </w:rPr>
        <w:t>pandemija</w:t>
      </w:r>
      <w:proofErr w:type="spellEnd"/>
      <w:r w:rsidR="005102F3" w:rsidRPr="005102F3">
        <w:rPr>
          <w:bCs/>
        </w:rPr>
        <w:t xml:space="preserve"> COVID-19 te serija novih potresa s još razornijim učinkom i progresivnim štetama na već pogođenom području uvelike su usporili provedbu što je potaknulo hrvatske institucije na dodatnu analizu progresivne štete i traženje produljenje roka provedbe. E</w:t>
      </w:r>
      <w:r>
        <w:rPr>
          <w:bCs/>
        </w:rPr>
        <w:t xml:space="preserve">uropska komisija </w:t>
      </w:r>
      <w:r w:rsidR="005102F3" w:rsidRPr="005102F3">
        <w:rPr>
          <w:bCs/>
        </w:rPr>
        <w:lastRenderedPageBreak/>
        <w:t>je uvažila argumentaciju R</w:t>
      </w:r>
      <w:r>
        <w:rPr>
          <w:bCs/>
        </w:rPr>
        <w:t xml:space="preserve">epublike </w:t>
      </w:r>
      <w:r w:rsidR="005102F3" w:rsidRPr="005102F3">
        <w:rPr>
          <w:bCs/>
        </w:rPr>
        <w:t>H</w:t>
      </w:r>
      <w:r>
        <w:rPr>
          <w:bCs/>
        </w:rPr>
        <w:t xml:space="preserve">rvatske </w:t>
      </w:r>
      <w:r w:rsidR="005102F3" w:rsidRPr="005102F3">
        <w:rPr>
          <w:bCs/>
        </w:rPr>
        <w:t>i produljenje roka provedbe, odnosno izjednačila s rokom provedbe za petrinjski potres, tj. do 30. lipnja 2023. godine.</w:t>
      </w:r>
    </w:p>
    <w:p w14:paraId="5E56EEEE" w14:textId="77777777" w:rsidR="007636D4" w:rsidRDefault="007636D4" w:rsidP="007636D4">
      <w:pPr>
        <w:rPr>
          <w:bCs/>
        </w:rPr>
      </w:pPr>
    </w:p>
    <w:p w14:paraId="481902FE" w14:textId="77777777" w:rsidR="007636D4" w:rsidRDefault="007636D4" w:rsidP="007636D4">
      <w:pPr>
        <w:rPr>
          <w:bCs/>
        </w:rPr>
      </w:pPr>
      <w:r w:rsidRPr="008676CB">
        <w:rPr>
          <w:bCs/>
        </w:rPr>
        <w:t xml:space="preserve">Dodijeljena sredstva </w:t>
      </w:r>
      <w:r>
        <w:rPr>
          <w:bCs/>
        </w:rPr>
        <w:t>FSEU</w:t>
      </w:r>
      <w:r w:rsidRPr="008676CB">
        <w:rPr>
          <w:bCs/>
        </w:rPr>
        <w:t xml:space="preserve"> namjenski se korist</w:t>
      </w:r>
      <w:r>
        <w:rPr>
          <w:bCs/>
        </w:rPr>
        <w:t>e</w:t>
      </w:r>
      <w:r w:rsidRPr="008676CB">
        <w:rPr>
          <w:bCs/>
        </w:rPr>
        <w:t xml:space="preserve"> za:</w:t>
      </w:r>
    </w:p>
    <w:p w14:paraId="02949EA6" w14:textId="77777777" w:rsidR="007636D4" w:rsidRPr="008676CB" w:rsidRDefault="007636D4" w:rsidP="007636D4">
      <w:pPr>
        <w:rPr>
          <w:bCs/>
        </w:rPr>
      </w:pPr>
    </w:p>
    <w:p w14:paraId="1A96E7A7" w14:textId="77777777" w:rsidR="007636D4" w:rsidRPr="008676CB" w:rsidRDefault="007636D4" w:rsidP="007636D4">
      <w:pPr>
        <w:numPr>
          <w:ilvl w:val="0"/>
          <w:numId w:val="9"/>
        </w:numPr>
        <w:rPr>
          <w:bCs/>
        </w:rPr>
      </w:pPr>
      <w:r w:rsidRPr="008676CB">
        <w:rPr>
          <w:bCs/>
        </w:rPr>
        <w:t>vraćanje u ispravno radno stanje infr</w:t>
      </w:r>
      <w:r>
        <w:rPr>
          <w:bCs/>
        </w:rPr>
        <w:t>astrukture u ključnim sektorima</w:t>
      </w:r>
    </w:p>
    <w:p w14:paraId="2A419EA1" w14:textId="77777777" w:rsidR="007636D4" w:rsidRPr="008676CB" w:rsidRDefault="007636D4" w:rsidP="007636D4">
      <w:pPr>
        <w:numPr>
          <w:ilvl w:val="0"/>
          <w:numId w:val="9"/>
        </w:numPr>
        <w:rPr>
          <w:bCs/>
        </w:rPr>
      </w:pPr>
      <w:r w:rsidRPr="008676CB">
        <w:rPr>
          <w:bCs/>
        </w:rPr>
        <w:t>financiranje službi spašavanja te osiguranje privremenog smještaja i osnovnih životn</w:t>
      </w:r>
      <w:r>
        <w:rPr>
          <w:bCs/>
        </w:rPr>
        <w:t>ih potreba pogođenih stanovnika</w:t>
      </w:r>
    </w:p>
    <w:p w14:paraId="326F505E" w14:textId="77777777" w:rsidR="007636D4" w:rsidRPr="008676CB" w:rsidRDefault="007636D4" w:rsidP="007636D4">
      <w:pPr>
        <w:numPr>
          <w:ilvl w:val="0"/>
          <w:numId w:val="9"/>
        </w:numPr>
        <w:rPr>
          <w:bCs/>
        </w:rPr>
      </w:pPr>
      <w:r w:rsidRPr="008676CB">
        <w:rPr>
          <w:bCs/>
        </w:rPr>
        <w:t>osiguranje preventivne infrastrukture i mjera zaštite kulturne baštine i</w:t>
      </w:r>
    </w:p>
    <w:p w14:paraId="736B03BB" w14:textId="77777777" w:rsidR="007636D4" w:rsidRDefault="007636D4" w:rsidP="007636D4">
      <w:pPr>
        <w:numPr>
          <w:ilvl w:val="0"/>
          <w:numId w:val="9"/>
        </w:numPr>
        <w:rPr>
          <w:bCs/>
        </w:rPr>
      </w:pPr>
      <w:r w:rsidRPr="008676CB">
        <w:rPr>
          <w:bCs/>
        </w:rPr>
        <w:t>čišćenje pogođenih područja i sprečavanje erozije tla.</w:t>
      </w:r>
    </w:p>
    <w:p w14:paraId="4CEF2118" w14:textId="77777777" w:rsidR="00B36E1B" w:rsidRDefault="00B36E1B" w:rsidP="00B14857">
      <w:pPr>
        <w:rPr>
          <w:bCs/>
        </w:rPr>
      </w:pPr>
    </w:p>
    <w:p w14:paraId="34A3A29C" w14:textId="2DFA90AE" w:rsidR="00B14857" w:rsidRDefault="00EF3816" w:rsidP="00B14857">
      <w:pPr>
        <w:rPr>
          <w:bCs/>
        </w:rPr>
      </w:pPr>
      <w:r>
        <w:rPr>
          <w:bCs/>
        </w:rPr>
        <w:t xml:space="preserve">Ministarstvo prostornoga uređenja, graditeljstva i državne imovine je kao Nacionalno koordinacijsko tijelo </w:t>
      </w:r>
      <w:r w:rsidR="00B14857" w:rsidRPr="00B14857">
        <w:rPr>
          <w:bCs/>
        </w:rPr>
        <w:t>održava</w:t>
      </w:r>
      <w:r>
        <w:rPr>
          <w:bCs/>
        </w:rPr>
        <w:t>l</w:t>
      </w:r>
      <w:r w:rsidR="00B14857" w:rsidRPr="00B14857">
        <w:rPr>
          <w:bCs/>
        </w:rPr>
        <w:t xml:space="preserve">o redovitu komunikaciju svih sudionika te je uspostavio online platformu za izvještavanje o provedbi financijskog doprinosa, kako bi se proces odvijao što jednostavnije i efikasnije. U cilju efikasnijeg praćenja provedbe i ubrzanja apsorpcije sredstava FSEU-a, održavani su i koordinacijski sastanci </w:t>
      </w:r>
      <w:r w:rsidR="0000564F">
        <w:rPr>
          <w:bCs/>
        </w:rPr>
        <w:t xml:space="preserve">u Vladi Republike Hrvatske </w:t>
      </w:r>
      <w:r w:rsidR="00076FA8">
        <w:rPr>
          <w:bCs/>
        </w:rPr>
        <w:t>koje je vodio</w:t>
      </w:r>
      <w:r w:rsidR="004A2F7C">
        <w:rPr>
          <w:bCs/>
        </w:rPr>
        <w:t xml:space="preserve"> predsjed</w:t>
      </w:r>
      <w:r w:rsidR="00076FA8">
        <w:rPr>
          <w:bCs/>
        </w:rPr>
        <w:t>nik V</w:t>
      </w:r>
      <w:r w:rsidR="009719BD">
        <w:rPr>
          <w:bCs/>
        </w:rPr>
        <w:t>lade Republike Hrvatske s</w:t>
      </w:r>
      <w:r w:rsidR="0000564F">
        <w:rPr>
          <w:bCs/>
        </w:rPr>
        <w:t xml:space="preserve"> čelnicima Tijela odgovornih za provedbu – resornih ministarstava, županija i Grada Zagreba</w:t>
      </w:r>
      <w:r w:rsidR="00B14857" w:rsidRPr="00B14857">
        <w:rPr>
          <w:bCs/>
        </w:rPr>
        <w:t>, što je u konačnici rezultiralo apsorpcijom ukupnog dostupnog financijskog doprinosa. Uz komunikaciju na razini države, R</w:t>
      </w:r>
      <w:r>
        <w:rPr>
          <w:bCs/>
        </w:rPr>
        <w:t xml:space="preserve">epublika Hrvatska </w:t>
      </w:r>
      <w:r w:rsidR="00B14857" w:rsidRPr="00B14857">
        <w:rPr>
          <w:bCs/>
        </w:rPr>
        <w:t>je imala veliku podršku i pomoć predstavnika nadležnih službi E</w:t>
      </w:r>
      <w:r>
        <w:rPr>
          <w:bCs/>
        </w:rPr>
        <w:t xml:space="preserve">uropske </w:t>
      </w:r>
      <w:r w:rsidR="00253B72">
        <w:rPr>
          <w:bCs/>
        </w:rPr>
        <w:t>k</w:t>
      </w:r>
      <w:r>
        <w:rPr>
          <w:bCs/>
        </w:rPr>
        <w:t>omisije</w:t>
      </w:r>
      <w:r w:rsidR="00B14857" w:rsidRPr="00B14857">
        <w:rPr>
          <w:bCs/>
        </w:rPr>
        <w:t xml:space="preserve">. </w:t>
      </w:r>
    </w:p>
    <w:p w14:paraId="4C3168FC" w14:textId="77777777" w:rsidR="00EF3816" w:rsidRPr="00B14857" w:rsidRDefault="00EF3816" w:rsidP="00B14857">
      <w:pPr>
        <w:rPr>
          <w:bCs/>
        </w:rPr>
      </w:pPr>
    </w:p>
    <w:p w14:paraId="6C59020D" w14:textId="77777777" w:rsidR="007636D4" w:rsidRDefault="007636D4" w:rsidP="007636D4">
      <w:pPr>
        <w:rPr>
          <w:bCs/>
        </w:rPr>
      </w:pPr>
      <w:r w:rsidRPr="008676CB">
        <w:rPr>
          <w:bCs/>
        </w:rPr>
        <w:t xml:space="preserve">Premda je </w:t>
      </w:r>
      <w:r>
        <w:rPr>
          <w:bCs/>
        </w:rPr>
        <w:t xml:space="preserve">FSEU </w:t>
      </w:r>
      <w:r w:rsidRPr="008676CB">
        <w:rPr>
          <w:bCs/>
        </w:rPr>
        <w:t xml:space="preserve">izvorno namijenjen za financiranje vraćanja u stanje prije potresa, </w:t>
      </w:r>
      <w:r>
        <w:rPr>
          <w:bCs/>
        </w:rPr>
        <w:t xml:space="preserve">Republike </w:t>
      </w:r>
      <w:r w:rsidRPr="008676CB">
        <w:rPr>
          <w:bCs/>
        </w:rPr>
        <w:t xml:space="preserve">Hrvatska </w:t>
      </w:r>
      <w:r>
        <w:rPr>
          <w:bCs/>
        </w:rPr>
        <w:t>se odlučila na provođenje</w:t>
      </w:r>
      <w:r w:rsidRPr="008676CB">
        <w:rPr>
          <w:bCs/>
        </w:rPr>
        <w:t xml:space="preserve"> radova konstrukcijske i cjelovite obnove, kako bi udovoljili suvremenim zahtjevima te naraštajima koji dolaze ostavili sigurnije, energetski učinkovite i otporne zgrade</w:t>
      </w:r>
      <w:r>
        <w:rPr>
          <w:bCs/>
        </w:rPr>
        <w:t xml:space="preserve"> po načelu „obnoviti bolje“ (</w:t>
      </w:r>
      <w:proofErr w:type="spellStart"/>
      <w:r>
        <w:rPr>
          <w:bCs/>
        </w:rPr>
        <w:t>eng</w:t>
      </w:r>
      <w:proofErr w:type="spellEnd"/>
      <w:r>
        <w:rPr>
          <w:bCs/>
        </w:rPr>
        <w:t xml:space="preserve">. </w:t>
      </w:r>
      <w:proofErr w:type="spellStart"/>
      <w:r>
        <w:rPr>
          <w:bCs/>
          <w:i/>
          <w:iCs/>
        </w:rPr>
        <w:t>b</w:t>
      </w:r>
      <w:r w:rsidRPr="00773C71">
        <w:rPr>
          <w:bCs/>
          <w:i/>
          <w:iCs/>
        </w:rPr>
        <w:t>ulid</w:t>
      </w:r>
      <w:proofErr w:type="spellEnd"/>
      <w:r w:rsidRPr="00773C71">
        <w:rPr>
          <w:bCs/>
          <w:i/>
          <w:iCs/>
        </w:rPr>
        <w:t xml:space="preserve"> </w:t>
      </w:r>
      <w:proofErr w:type="spellStart"/>
      <w:r w:rsidRPr="00773C71">
        <w:rPr>
          <w:bCs/>
          <w:i/>
          <w:iCs/>
        </w:rPr>
        <w:t>back</w:t>
      </w:r>
      <w:proofErr w:type="spellEnd"/>
      <w:r w:rsidRPr="00773C71">
        <w:rPr>
          <w:bCs/>
          <w:i/>
          <w:iCs/>
        </w:rPr>
        <w:t xml:space="preserve"> </w:t>
      </w:r>
      <w:proofErr w:type="spellStart"/>
      <w:r w:rsidRPr="00773C71">
        <w:rPr>
          <w:bCs/>
          <w:i/>
          <w:iCs/>
        </w:rPr>
        <w:t>better</w:t>
      </w:r>
      <w:proofErr w:type="spellEnd"/>
      <w:r>
        <w:rPr>
          <w:bCs/>
        </w:rPr>
        <w:t>)</w:t>
      </w:r>
      <w:r w:rsidRPr="008676CB">
        <w:rPr>
          <w:bCs/>
        </w:rPr>
        <w:t>.</w:t>
      </w:r>
    </w:p>
    <w:p w14:paraId="2DB08DC2" w14:textId="77777777" w:rsidR="007636D4" w:rsidRDefault="007636D4" w:rsidP="007636D4">
      <w:pPr>
        <w:rPr>
          <w:bCs/>
        </w:rPr>
      </w:pPr>
    </w:p>
    <w:p w14:paraId="693B07A4" w14:textId="77777777" w:rsidR="007636D4" w:rsidRDefault="007636D4" w:rsidP="007636D4">
      <w:pPr>
        <w:rPr>
          <w:bCs/>
        </w:rPr>
      </w:pPr>
      <w:r>
        <w:rPr>
          <w:bCs/>
        </w:rPr>
        <w:t xml:space="preserve">Takav pristup podrazumijeva da se pristupilo poboljšanju temeljnih zahtjeva građevina u odnosu na izvorno stanje prije potresa, no FSEU doprinosi troškovima obnavljanja samo do procijenjenog troška za vraćanje u prijašnje stanje dok se </w:t>
      </w:r>
      <w:proofErr w:type="spellStart"/>
      <w:r>
        <w:rPr>
          <w:bCs/>
        </w:rPr>
        <w:t>poboljšice</w:t>
      </w:r>
      <w:proofErr w:type="spellEnd"/>
      <w:r>
        <w:rPr>
          <w:bCs/>
        </w:rPr>
        <w:t xml:space="preserve"> financiraju iz drugih izvora. </w:t>
      </w:r>
    </w:p>
    <w:p w14:paraId="18A11950" w14:textId="77777777" w:rsidR="007636D4" w:rsidRDefault="007636D4" w:rsidP="007636D4">
      <w:pPr>
        <w:rPr>
          <w:bCs/>
        </w:rPr>
      </w:pPr>
    </w:p>
    <w:p w14:paraId="7754D9C4" w14:textId="77777777" w:rsidR="007636D4" w:rsidRDefault="007636D4" w:rsidP="007636D4">
      <w:pPr>
        <w:rPr>
          <w:bCs/>
        </w:rPr>
      </w:pPr>
      <w:r>
        <w:rPr>
          <w:bCs/>
        </w:rPr>
        <w:t>Ovakva obnova uključuje saniranje nastalih oštećenja, povećanje mehaničke otpornosti i stabilnosti zgrade – posebno povećanje otpornosti na potres, povećanje energetske učinkovitosti i korištenje OIE, energetske uštede, smanjenje emisije CO</w:t>
      </w:r>
      <w:r w:rsidRPr="00845A3F">
        <w:rPr>
          <w:bCs/>
          <w:vertAlign w:val="subscript"/>
        </w:rPr>
        <w:t>2</w:t>
      </w:r>
      <w:r>
        <w:rPr>
          <w:bCs/>
        </w:rPr>
        <w:t xml:space="preserve">, dugoročno smanjenje troškova održavanja, povećanje zdravih unutarnjih klimatskih uvjeta te povećanje sigurnosti od požara. </w:t>
      </w:r>
    </w:p>
    <w:p w14:paraId="0D332DE4" w14:textId="77777777" w:rsidR="007636D4" w:rsidRDefault="007636D4" w:rsidP="007636D4">
      <w:pPr>
        <w:rPr>
          <w:bCs/>
        </w:rPr>
      </w:pPr>
    </w:p>
    <w:p w14:paraId="7F7436B3" w14:textId="77777777" w:rsidR="007636D4" w:rsidRDefault="007636D4" w:rsidP="007636D4">
      <w:pPr>
        <w:rPr>
          <w:bCs/>
        </w:rPr>
      </w:pPr>
      <w:r>
        <w:rPr>
          <w:bCs/>
        </w:rPr>
        <w:t xml:space="preserve">Financiranje cjelovite obnove osigurano je stapanjem FSEU i Mehanizma za oporavak i otpornost te, po potrebi, financiranje iz državnog proračuna i drugih izvora.  </w:t>
      </w:r>
    </w:p>
    <w:p w14:paraId="28637E0B" w14:textId="77777777" w:rsidR="007636D4" w:rsidRDefault="007636D4" w:rsidP="007636D4">
      <w:pPr>
        <w:rPr>
          <w:bCs/>
        </w:rPr>
      </w:pPr>
    </w:p>
    <w:p w14:paraId="0BE74025" w14:textId="43FAE5FE" w:rsidR="007636D4" w:rsidRDefault="007636D4" w:rsidP="007636D4">
      <w:pPr>
        <w:rPr>
          <w:bCs/>
        </w:rPr>
      </w:pPr>
      <w:r>
        <w:rPr>
          <w:bCs/>
        </w:rPr>
        <w:t>Tijekom izvršenja financijskog doprinosa iz FSEU preko 600 korisnika provodilo</w:t>
      </w:r>
      <w:r w:rsidRPr="008676CB">
        <w:rPr>
          <w:bCs/>
        </w:rPr>
        <w:t xml:space="preserve"> </w:t>
      </w:r>
      <w:r>
        <w:rPr>
          <w:bCs/>
        </w:rPr>
        <w:t xml:space="preserve">je </w:t>
      </w:r>
      <w:r w:rsidRPr="008676CB">
        <w:rPr>
          <w:bCs/>
        </w:rPr>
        <w:t>13</w:t>
      </w:r>
      <w:r>
        <w:rPr>
          <w:bCs/>
        </w:rPr>
        <w:t>10</w:t>
      </w:r>
      <w:r w:rsidRPr="008676CB">
        <w:rPr>
          <w:bCs/>
        </w:rPr>
        <w:t xml:space="preserve"> ugovora</w:t>
      </w:r>
      <w:r>
        <w:rPr>
          <w:bCs/>
        </w:rPr>
        <w:t xml:space="preserve"> na kojima su angažirane</w:t>
      </w:r>
      <w:r w:rsidRPr="008676CB">
        <w:rPr>
          <w:bCs/>
        </w:rPr>
        <w:t xml:space="preserve"> 30</w:t>
      </w:r>
      <w:r>
        <w:rPr>
          <w:bCs/>
        </w:rPr>
        <w:t>9</w:t>
      </w:r>
      <w:r w:rsidRPr="008676CB">
        <w:rPr>
          <w:bCs/>
        </w:rPr>
        <w:t xml:space="preserve"> građevinsk</w:t>
      </w:r>
      <w:r>
        <w:rPr>
          <w:bCs/>
        </w:rPr>
        <w:t>ih</w:t>
      </w:r>
      <w:r w:rsidRPr="008676CB">
        <w:rPr>
          <w:bCs/>
        </w:rPr>
        <w:t xml:space="preserve"> tvrtk</w:t>
      </w:r>
      <w:r>
        <w:rPr>
          <w:bCs/>
        </w:rPr>
        <w:t>i</w:t>
      </w:r>
      <w:r w:rsidRPr="008676CB">
        <w:rPr>
          <w:bCs/>
        </w:rPr>
        <w:t>. Na obnovi</w:t>
      </w:r>
      <w:r>
        <w:rPr>
          <w:bCs/>
        </w:rPr>
        <w:t xml:space="preserve"> projekata financiranih iz FSEU</w:t>
      </w:r>
      <w:r w:rsidRPr="008676CB">
        <w:rPr>
          <w:bCs/>
        </w:rPr>
        <w:t xml:space="preserve"> ukupno </w:t>
      </w:r>
      <w:r>
        <w:rPr>
          <w:bCs/>
        </w:rPr>
        <w:t xml:space="preserve">je bilo </w:t>
      </w:r>
      <w:r w:rsidRPr="008676CB">
        <w:rPr>
          <w:bCs/>
        </w:rPr>
        <w:t>angažira</w:t>
      </w:r>
      <w:r>
        <w:rPr>
          <w:bCs/>
        </w:rPr>
        <w:t>n</w:t>
      </w:r>
      <w:r w:rsidRPr="008676CB">
        <w:rPr>
          <w:bCs/>
        </w:rPr>
        <w:t>o</w:t>
      </w:r>
      <w:r>
        <w:rPr>
          <w:bCs/>
        </w:rPr>
        <w:t xml:space="preserve"> preko</w:t>
      </w:r>
      <w:r w:rsidRPr="008676CB">
        <w:rPr>
          <w:bCs/>
        </w:rPr>
        <w:t xml:space="preserve"> 10.500 građevinskih radnika.</w:t>
      </w:r>
    </w:p>
    <w:p w14:paraId="41947E3E" w14:textId="77777777" w:rsidR="007636D4" w:rsidRDefault="007636D4" w:rsidP="007636D4">
      <w:pPr>
        <w:rPr>
          <w:bCs/>
        </w:rPr>
      </w:pPr>
    </w:p>
    <w:p w14:paraId="78BBF034" w14:textId="77777777" w:rsidR="007636D4" w:rsidRDefault="007636D4" w:rsidP="007636D4">
      <w:pPr>
        <w:rPr>
          <w:bCs/>
        </w:rPr>
      </w:pPr>
      <w:r w:rsidRPr="008676CB">
        <w:rPr>
          <w:bCs/>
        </w:rPr>
        <w:lastRenderedPageBreak/>
        <w:t>Zahvaljujući intenzivnim naporima Vlade</w:t>
      </w:r>
      <w:r>
        <w:rPr>
          <w:bCs/>
        </w:rPr>
        <w:t xml:space="preserve"> Republike Hrvatske</w:t>
      </w:r>
      <w:r w:rsidRPr="008676CB">
        <w:rPr>
          <w:bCs/>
        </w:rPr>
        <w:t xml:space="preserve">, nadležnih </w:t>
      </w:r>
      <w:r>
        <w:rPr>
          <w:bCs/>
        </w:rPr>
        <w:t>m</w:t>
      </w:r>
      <w:r w:rsidRPr="008676CB">
        <w:rPr>
          <w:bCs/>
        </w:rPr>
        <w:t xml:space="preserve">inistarstava, </w:t>
      </w:r>
      <w:r>
        <w:rPr>
          <w:bCs/>
        </w:rPr>
        <w:t>ž</w:t>
      </w:r>
      <w:r w:rsidRPr="008676CB">
        <w:rPr>
          <w:bCs/>
        </w:rPr>
        <w:t xml:space="preserve">upanija i Grada Zagreba kao i čitave stručne operative: projektanata, nadzornih inženjera i izvođača sva sredstva osigurana za obnovu iz </w:t>
      </w:r>
      <w:r>
        <w:rPr>
          <w:bCs/>
        </w:rPr>
        <w:t>FSEU-a</w:t>
      </w:r>
      <w:r w:rsidRPr="008676CB">
        <w:rPr>
          <w:bCs/>
        </w:rPr>
        <w:t xml:space="preserve"> u cijelosti su iskorištena</w:t>
      </w:r>
      <w:r>
        <w:rPr>
          <w:bCs/>
        </w:rPr>
        <w:t xml:space="preserve">. </w:t>
      </w:r>
    </w:p>
    <w:p w14:paraId="5CFAF95E" w14:textId="77777777" w:rsidR="007636D4" w:rsidRDefault="007636D4" w:rsidP="007636D4">
      <w:pPr>
        <w:rPr>
          <w:bCs/>
        </w:rPr>
      </w:pPr>
    </w:p>
    <w:p w14:paraId="233D7C5E" w14:textId="0B56272E" w:rsidR="007636D4" w:rsidRDefault="007636D4" w:rsidP="007636D4">
      <w:pPr>
        <w:rPr>
          <w:bCs/>
        </w:rPr>
      </w:pPr>
      <w:r>
        <w:rPr>
          <w:bCs/>
        </w:rPr>
        <w:t xml:space="preserve">U okviru FSEU-a ukupno </w:t>
      </w:r>
      <w:r w:rsidRPr="0007537E">
        <w:rPr>
          <w:bCs/>
        </w:rPr>
        <w:t xml:space="preserve">je verificirano 1,55 milijardi eura prihvatljivog </w:t>
      </w:r>
      <w:r>
        <w:rPr>
          <w:bCs/>
        </w:rPr>
        <w:t>troška, odnosno 155% ukupno dodijeljene alokacije, od čega je za zagrebački potres 928,41 milijuna eura, a za petrinjski 624,80 milijuna eura.</w:t>
      </w:r>
    </w:p>
    <w:p w14:paraId="08D8E73C" w14:textId="77777777" w:rsidR="007636D4" w:rsidRDefault="007636D4" w:rsidP="007636D4">
      <w:pPr>
        <w:rPr>
          <w:bCs/>
        </w:rPr>
      </w:pPr>
    </w:p>
    <w:p w14:paraId="42FF0954" w14:textId="77777777" w:rsidR="009719BD" w:rsidRDefault="007636D4" w:rsidP="007636D4">
      <w:pPr>
        <w:rPr>
          <w:bCs/>
        </w:rPr>
      </w:pPr>
      <w:r w:rsidRPr="00B8174C">
        <w:rPr>
          <w:bCs/>
        </w:rPr>
        <w:t xml:space="preserve">Sredstva su utrošena za obnovu: </w:t>
      </w:r>
    </w:p>
    <w:p w14:paraId="2F069F57" w14:textId="79C95E86" w:rsidR="009719BD" w:rsidRDefault="007636D4" w:rsidP="009719BD">
      <w:pPr>
        <w:pStyle w:val="ListParagraph"/>
        <w:numPr>
          <w:ilvl w:val="0"/>
          <w:numId w:val="4"/>
        </w:numPr>
        <w:rPr>
          <w:bCs/>
        </w:rPr>
      </w:pPr>
      <w:r w:rsidRPr="009719BD">
        <w:rPr>
          <w:bCs/>
        </w:rPr>
        <w:t>163 škola i vrtića</w:t>
      </w:r>
      <w:r w:rsidR="00935FF8">
        <w:rPr>
          <w:bCs/>
        </w:rPr>
        <w:t xml:space="preserve"> te</w:t>
      </w:r>
      <w:r w:rsidRPr="009719BD">
        <w:rPr>
          <w:bCs/>
        </w:rPr>
        <w:t xml:space="preserve"> 26 fakulteta</w:t>
      </w:r>
      <w:r w:rsidR="00935FF8">
        <w:rPr>
          <w:bCs/>
        </w:rPr>
        <w:t>,</w:t>
      </w:r>
      <w:r w:rsidRPr="009719BD">
        <w:rPr>
          <w:bCs/>
        </w:rPr>
        <w:t xml:space="preserve"> </w:t>
      </w:r>
    </w:p>
    <w:p w14:paraId="1A5CEBA8" w14:textId="77777777" w:rsidR="00935FF8" w:rsidRDefault="007636D4" w:rsidP="009719BD">
      <w:pPr>
        <w:pStyle w:val="ListParagraph"/>
        <w:numPr>
          <w:ilvl w:val="0"/>
          <w:numId w:val="4"/>
        </w:numPr>
        <w:rPr>
          <w:bCs/>
        </w:rPr>
      </w:pPr>
      <w:r w:rsidRPr="009719BD">
        <w:rPr>
          <w:bCs/>
        </w:rPr>
        <w:t xml:space="preserve">17 bolnica i 45 drugih zdravstvenih ustanova, </w:t>
      </w:r>
    </w:p>
    <w:p w14:paraId="4A97A2AE" w14:textId="0F05EAA1" w:rsidR="00935FF8" w:rsidRDefault="007636D4" w:rsidP="009719BD">
      <w:pPr>
        <w:pStyle w:val="ListParagraph"/>
        <w:numPr>
          <w:ilvl w:val="0"/>
          <w:numId w:val="4"/>
        </w:numPr>
        <w:rPr>
          <w:bCs/>
        </w:rPr>
      </w:pPr>
      <w:r w:rsidRPr="009719BD">
        <w:rPr>
          <w:bCs/>
        </w:rPr>
        <w:t>2</w:t>
      </w:r>
      <w:r w:rsidR="001C6BFD">
        <w:rPr>
          <w:bCs/>
        </w:rPr>
        <w:t>93</w:t>
      </w:r>
      <w:r w:rsidRPr="009719BD">
        <w:rPr>
          <w:bCs/>
        </w:rPr>
        <w:t xml:space="preserve"> zgrad</w:t>
      </w:r>
      <w:r w:rsidR="001C6BFD">
        <w:rPr>
          <w:bCs/>
        </w:rPr>
        <w:t>e</w:t>
      </w:r>
      <w:r w:rsidRPr="009719BD">
        <w:rPr>
          <w:bCs/>
        </w:rPr>
        <w:t xml:space="preserve"> kulture i kulturne baštine, </w:t>
      </w:r>
    </w:p>
    <w:p w14:paraId="1F8AC099" w14:textId="77777777" w:rsidR="00935FF8" w:rsidRDefault="007636D4" w:rsidP="009719BD">
      <w:pPr>
        <w:pStyle w:val="ListParagraph"/>
        <w:numPr>
          <w:ilvl w:val="0"/>
          <w:numId w:val="4"/>
        </w:numPr>
        <w:rPr>
          <w:bCs/>
        </w:rPr>
      </w:pPr>
      <w:r w:rsidRPr="009719BD">
        <w:rPr>
          <w:bCs/>
        </w:rPr>
        <w:t xml:space="preserve">600 km prometnica, 77 mostova, 6 km tramvajske pruge, </w:t>
      </w:r>
    </w:p>
    <w:p w14:paraId="0B9F057D" w14:textId="77777777" w:rsidR="00935FF8" w:rsidRDefault="007636D4" w:rsidP="009719BD">
      <w:pPr>
        <w:pStyle w:val="ListParagraph"/>
        <w:numPr>
          <w:ilvl w:val="0"/>
          <w:numId w:val="4"/>
        </w:numPr>
        <w:rPr>
          <w:bCs/>
        </w:rPr>
      </w:pPr>
      <w:r w:rsidRPr="009719BD">
        <w:rPr>
          <w:bCs/>
        </w:rPr>
        <w:t xml:space="preserve">28 km nasipa i </w:t>
      </w:r>
      <w:proofErr w:type="spellStart"/>
      <w:r w:rsidRPr="009719BD">
        <w:rPr>
          <w:bCs/>
        </w:rPr>
        <w:t>obaloutvrda</w:t>
      </w:r>
      <w:proofErr w:type="spellEnd"/>
      <w:r w:rsidRPr="009719BD">
        <w:rPr>
          <w:bCs/>
        </w:rPr>
        <w:t xml:space="preserve">, 100 km mreže vodoopskrbe i odvodnje, </w:t>
      </w:r>
    </w:p>
    <w:p w14:paraId="042BAE69" w14:textId="6865273C" w:rsidR="007636D4" w:rsidRPr="009719BD" w:rsidRDefault="007636D4" w:rsidP="009719BD">
      <w:pPr>
        <w:pStyle w:val="ListParagraph"/>
        <w:numPr>
          <w:ilvl w:val="0"/>
          <w:numId w:val="4"/>
        </w:numPr>
        <w:rPr>
          <w:bCs/>
        </w:rPr>
      </w:pPr>
      <w:r w:rsidRPr="009719BD">
        <w:rPr>
          <w:bCs/>
        </w:rPr>
        <w:t>sanirano je 217 klizišta i 108 urušenih vrtača.</w:t>
      </w:r>
    </w:p>
    <w:p w14:paraId="1ACE9BCF" w14:textId="77777777" w:rsidR="007636D4" w:rsidRDefault="007636D4" w:rsidP="007636D4">
      <w:pPr>
        <w:rPr>
          <w:bCs/>
        </w:rPr>
      </w:pPr>
    </w:p>
    <w:p w14:paraId="033C0761" w14:textId="77777777" w:rsidR="007636D4" w:rsidRDefault="007636D4" w:rsidP="007636D4">
      <w:pPr>
        <w:rPr>
          <w:bCs/>
          <w:color w:val="000000" w:themeColor="text1"/>
        </w:rPr>
      </w:pPr>
      <w:r w:rsidRPr="009A58B7">
        <w:rPr>
          <w:bCs/>
          <w:color w:val="000000" w:themeColor="text1"/>
        </w:rPr>
        <w:t>U okviru FSEU objavljena su 4</w:t>
      </w:r>
      <w:r>
        <w:rPr>
          <w:bCs/>
          <w:color w:val="000000" w:themeColor="text1"/>
        </w:rPr>
        <w:t>3</w:t>
      </w:r>
      <w:r w:rsidRPr="009A58B7">
        <w:rPr>
          <w:bCs/>
          <w:color w:val="000000" w:themeColor="text1"/>
        </w:rPr>
        <w:t xml:space="preserve"> javna poziva te</w:t>
      </w:r>
      <w:r>
        <w:rPr>
          <w:bCs/>
          <w:color w:val="000000" w:themeColor="text1"/>
        </w:rPr>
        <w:t xml:space="preserve"> jedna</w:t>
      </w:r>
      <w:r w:rsidRPr="009A58B7">
        <w:rPr>
          <w:bCs/>
          <w:color w:val="000000" w:themeColor="text1"/>
        </w:rPr>
        <w:t xml:space="preserve"> Jednostavna izravna dodjela. </w:t>
      </w:r>
      <w:r>
        <w:rPr>
          <w:bCs/>
          <w:color w:val="000000" w:themeColor="text1"/>
        </w:rPr>
        <w:t xml:space="preserve">Ukupna vrijednost </w:t>
      </w:r>
      <w:r w:rsidRPr="009A58B7">
        <w:rPr>
          <w:bCs/>
          <w:color w:val="000000" w:themeColor="text1"/>
        </w:rPr>
        <w:t>1.3</w:t>
      </w:r>
      <w:r>
        <w:rPr>
          <w:bCs/>
          <w:color w:val="000000" w:themeColor="text1"/>
        </w:rPr>
        <w:t>10</w:t>
      </w:r>
      <w:r w:rsidRPr="009A58B7">
        <w:rPr>
          <w:bCs/>
          <w:color w:val="000000" w:themeColor="text1"/>
        </w:rPr>
        <w:t xml:space="preserve"> projekata </w:t>
      </w:r>
      <w:r>
        <w:rPr>
          <w:bCs/>
          <w:color w:val="000000" w:themeColor="text1"/>
        </w:rPr>
        <w:t xml:space="preserve">iznosi </w:t>
      </w:r>
      <w:r w:rsidRPr="009A58B7">
        <w:rPr>
          <w:bCs/>
          <w:color w:val="000000" w:themeColor="text1"/>
        </w:rPr>
        <w:t>3,</w:t>
      </w:r>
      <w:r>
        <w:rPr>
          <w:bCs/>
          <w:color w:val="000000" w:themeColor="text1"/>
        </w:rPr>
        <w:t>35</w:t>
      </w:r>
      <w:r w:rsidRPr="009A58B7">
        <w:rPr>
          <w:bCs/>
          <w:color w:val="000000" w:themeColor="text1"/>
        </w:rPr>
        <w:t xml:space="preserve"> milijardi eura</w:t>
      </w:r>
      <w:r>
        <w:rPr>
          <w:bCs/>
          <w:color w:val="000000" w:themeColor="text1"/>
        </w:rPr>
        <w:t xml:space="preserve">  od čega je </w:t>
      </w:r>
      <w:r w:rsidRPr="009A58B7">
        <w:rPr>
          <w:bCs/>
          <w:color w:val="000000" w:themeColor="text1"/>
        </w:rPr>
        <w:t xml:space="preserve"> </w:t>
      </w:r>
      <w:r>
        <w:rPr>
          <w:bCs/>
          <w:color w:val="000000" w:themeColor="text1"/>
        </w:rPr>
        <w:t xml:space="preserve">930 završeno. </w:t>
      </w:r>
      <w:r w:rsidRPr="009A58B7">
        <w:rPr>
          <w:bCs/>
          <w:color w:val="000000" w:themeColor="text1"/>
        </w:rPr>
        <w:t xml:space="preserve"> </w:t>
      </w:r>
    </w:p>
    <w:p w14:paraId="30F3CA0A" w14:textId="77777777" w:rsidR="007636D4" w:rsidRDefault="007636D4" w:rsidP="007636D4">
      <w:pPr>
        <w:rPr>
          <w:bCs/>
        </w:rPr>
      </w:pPr>
    </w:p>
    <w:p w14:paraId="139AA526" w14:textId="77777777" w:rsidR="007636D4" w:rsidRDefault="007636D4" w:rsidP="007636D4">
      <w:pPr>
        <w:rPr>
          <w:bCs/>
        </w:rPr>
      </w:pPr>
      <w:r>
        <w:rPr>
          <w:bCs/>
        </w:rPr>
        <w:t>Z</w:t>
      </w:r>
      <w:r w:rsidRPr="008676CB">
        <w:rPr>
          <w:bCs/>
        </w:rPr>
        <w:t>apočeti projekti</w:t>
      </w:r>
      <w:r>
        <w:rPr>
          <w:bCs/>
        </w:rPr>
        <w:t xml:space="preserve"> cjelovite </w:t>
      </w:r>
      <w:r w:rsidRPr="008676CB">
        <w:rPr>
          <w:bCs/>
        </w:rPr>
        <w:t xml:space="preserve"> obnove</w:t>
      </w:r>
      <w:r>
        <w:rPr>
          <w:bCs/>
        </w:rPr>
        <w:t xml:space="preserve"> javnih zgrada</w:t>
      </w:r>
      <w:r w:rsidRPr="008676CB">
        <w:rPr>
          <w:bCs/>
        </w:rPr>
        <w:t xml:space="preserve"> završit </w:t>
      </w:r>
      <w:r>
        <w:rPr>
          <w:bCs/>
        </w:rPr>
        <w:t xml:space="preserve">će se </w:t>
      </w:r>
      <w:r w:rsidRPr="008676CB">
        <w:rPr>
          <w:bCs/>
        </w:rPr>
        <w:t xml:space="preserve">sredstvima Nacionalnog plana oporavka i otpornosti </w:t>
      </w:r>
      <w:r>
        <w:rPr>
          <w:bCs/>
        </w:rPr>
        <w:t xml:space="preserve">2021. – 2026. </w:t>
      </w:r>
      <w:r w:rsidRPr="008676CB">
        <w:rPr>
          <w:bCs/>
        </w:rPr>
        <w:t xml:space="preserve">za što </w:t>
      </w:r>
      <w:r>
        <w:rPr>
          <w:bCs/>
        </w:rPr>
        <w:t xml:space="preserve">je </w:t>
      </w:r>
      <w:r w:rsidRPr="008676CB">
        <w:rPr>
          <w:bCs/>
        </w:rPr>
        <w:t>osigura</w:t>
      </w:r>
      <w:r>
        <w:rPr>
          <w:bCs/>
        </w:rPr>
        <w:t>no</w:t>
      </w:r>
      <w:r w:rsidRPr="008676CB">
        <w:rPr>
          <w:bCs/>
        </w:rPr>
        <w:t xml:space="preserve"> 1,</w:t>
      </w:r>
      <w:r>
        <w:rPr>
          <w:bCs/>
        </w:rPr>
        <w:t>470</w:t>
      </w:r>
      <w:r w:rsidRPr="008676CB">
        <w:rPr>
          <w:bCs/>
        </w:rPr>
        <w:t xml:space="preserve"> milijarde eura</w:t>
      </w:r>
      <w:r>
        <w:rPr>
          <w:bCs/>
        </w:rPr>
        <w:t>.</w:t>
      </w:r>
    </w:p>
    <w:p w14:paraId="29BB8718" w14:textId="77777777" w:rsidR="00BD2579" w:rsidRDefault="00BD2579" w:rsidP="007636D4">
      <w:pPr>
        <w:rPr>
          <w:bCs/>
        </w:rPr>
      </w:pPr>
    </w:p>
    <w:p w14:paraId="71549508" w14:textId="4019968B" w:rsidR="00BD2579" w:rsidRDefault="00DF1E93" w:rsidP="007636D4">
      <w:pPr>
        <w:rPr>
          <w:bCs/>
        </w:rPr>
      </w:pPr>
      <w:r>
        <w:rPr>
          <w:bCs/>
        </w:rPr>
        <w:t>Temeljem Uredbe Vijeća (EZ) 2012/2002</w:t>
      </w:r>
      <w:r w:rsidR="00305EA2">
        <w:rPr>
          <w:bCs/>
        </w:rPr>
        <w:t xml:space="preserve"> Republika Hrvatska je dužna </w:t>
      </w:r>
      <w:r w:rsidR="00FE2081">
        <w:rPr>
          <w:bCs/>
        </w:rPr>
        <w:t>podnijeti</w:t>
      </w:r>
      <w:r w:rsidR="00D44A84">
        <w:rPr>
          <w:bCs/>
        </w:rPr>
        <w:t xml:space="preserve"> Europskoj komisiji </w:t>
      </w:r>
      <w:r w:rsidR="00FE2081">
        <w:rPr>
          <w:bCs/>
        </w:rPr>
        <w:t>Izviješće o izvršenju financijskog doprinosa iz FSEU</w:t>
      </w:r>
      <w:r w:rsidR="005D6629">
        <w:rPr>
          <w:bCs/>
        </w:rPr>
        <w:t xml:space="preserve">. Izrada izvješća </w:t>
      </w:r>
      <w:r w:rsidR="00C508D9">
        <w:rPr>
          <w:bCs/>
        </w:rPr>
        <w:t xml:space="preserve">i za zagrebački i za petrinjski potres </w:t>
      </w:r>
      <w:r w:rsidR="000379C9">
        <w:rPr>
          <w:bCs/>
        </w:rPr>
        <w:t xml:space="preserve">je u </w:t>
      </w:r>
      <w:r w:rsidR="00AA283C">
        <w:rPr>
          <w:bCs/>
        </w:rPr>
        <w:t>visokoj fazi gotovosti</w:t>
      </w:r>
      <w:r w:rsidR="00810B60">
        <w:rPr>
          <w:bCs/>
        </w:rPr>
        <w:t xml:space="preserve">. Riječ je o opsežnoj dokumentaciji koja </w:t>
      </w:r>
      <w:r w:rsidR="00012B2F">
        <w:rPr>
          <w:bCs/>
        </w:rPr>
        <w:t xml:space="preserve">će </w:t>
      </w:r>
      <w:r w:rsidR="00810B60">
        <w:rPr>
          <w:bCs/>
        </w:rPr>
        <w:t xml:space="preserve">uz </w:t>
      </w:r>
      <w:r w:rsidR="00086996">
        <w:rPr>
          <w:bCs/>
        </w:rPr>
        <w:t xml:space="preserve">podatke </w:t>
      </w:r>
      <w:r w:rsidR="00181E66">
        <w:rPr>
          <w:bCs/>
        </w:rPr>
        <w:t xml:space="preserve">o izvršenju financijskog doprinosa sadržavati </w:t>
      </w:r>
      <w:r w:rsidR="008E718C">
        <w:rPr>
          <w:bCs/>
        </w:rPr>
        <w:t xml:space="preserve">i </w:t>
      </w:r>
      <w:r w:rsidR="00456429">
        <w:rPr>
          <w:bCs/>
        </w:rPr>
        <w:t>p</w:t>
      </w:r>
      <w:r w:rsidR="00181E66">
        <w:rPr>
          <w:bCs/>
        </w:rPr>
        <w:t xml:space="preserve">reporuke </w:t>
      </w:r>
      <w:r w:rsidR="00C508D9">
        <w:rPr>
          <w:bCs/>
        </w:rPr>
        <w:t xml:space="preserve">te prijedloge </w:t>
      </w:r>
      <w:r w:rsidR="008E718C">
        <w:rPr>
          <w:bCs/>
        </w:rPr>
        <w:t xml:space="preserve">za daljnje korištenje sredstava FSEU-a. </w:t>
      </w:r>
      <w:r w:rsidR="00D44A84">
        <w:rPr>
          <w:bCs/>
        </w:rPr>
        <w:t xml:space="preserve"> </w:t>
      </w:r>
    </w:p>
    <w:p w14:paraId="6B3EFFDF" w14:textId="77777777" w:rsidR="00B52683" w:rsidRPr="0080293F" w:rsidRDefault="00B52683" w:rsidP="007636D4">
      <w:pPr>
        <w:rPr>
          <w:bCs/>
          <w:color w:val="FF0000"/>
        </w:rPr>
      </w:pPr>
    </w:p>
    <w:p w14:paraId="6DEA2632" w14:textId="5813D1A9" w:rsidR="00B52683" w:rsidRPr="00526AFD" w:rsidRDefault="00B52683" w:rsidP="00B52683">
      <w:pPr>
        <w:rPr>
          <w:bCs/>
        </w:rPr>
      </w:pPr>
      <w:r w:rsidRPr="00526AFD">
        <w:rPr>
          <w:bCs/>
        </w:rPr>
        <w:t xml:space="preserve">Temeljem stečenog iskustva, odnosno specifičnim okolnostima u kojima su se potresi dogodili </w:t>
      </w:r>
      <w:r w:rsidR="00176438">
        <w:rPr>
          <w:bCs/>
        </w:rPr>
        <w:t xml:space="preserve">u Hrvatskoj </w:t>
      </w:r>
      <w:r w:rsidRPr="00526AFD">
        <w:rPr>
          <w:bCs/>
        </w:rPr>
        <w:t>te razmjerom štete i izazovima s kojima je R</w:t>
      </w:r>
      <w:r w:rsidR="00526AFD">
        <w:rPr>
          <w:bCs/>
        </w:rPr>
        <w:t xml:space="preserve">epublika Hrvatska </w:t>
      </w:r>
      <w:r w:rsidRPr="00526AFD">
        <w:rPr>
          <w:bCs/>
        </w:rPr>
        <w:t>bila suočena tijekom razdoblja provedbe</w:t>
      </w:r>
      <w:r w:rsidR="00176438">
        <w:rPr>
          <w:bCs/>
        </w:rPr>
        <w:t xml:space="preserve">, u sklopu </w:t>
      </w:r>
      <w:r w:rsidR="00013451">
        <w:rPr>
          <w:bCs/>
        </w:rPr>
        <w:t>i</w:t>
      </w:r>
      <w:r w:rsidR="00C74AA0">
        <w:rPr>
          <w:bCs/>
        </w:rPr>
        <w:t xml:space="preserve">zvješća </w:t>
      </w:r>
      <w:r w:rsidR="00013451" w:rsidRPr="00013451">
        <w:rPr>
          <w:bCs/>
        </w:rPr>
        <w:t>o izvršenju financijskog doprinosa FSEU</w:t>
      </w:r>
      <w:r w:rsidR="00013451">
        <w:rPr>
          <w:bCs/>
        </w:rPr>
        <w:t xml:space="preserve">, Hrvatska će uputiti </w:t>
      </w:r>
      <w:r w:rsidRPr="00526AFD">
        <w:rPr>
          <w:bCs/>
        </w:rPr>
        <w:t>prijedlo</w:t>
      </w:r>
      <w:r w:rsidR="00013451">
        <w:rPr>
          <w:bCs/>
        </w:rPr>
        <w:t xml:space="preserve">ge </w:t>
      </w:r>
      <w:r w:rsidRPr="00526AFD">
        <w:rPr>
          <w:bCs/>
        </w:rPr>
        <w:t>Europskoj Komisiji za dopunu FSEU uredbe i provedbu na način da se:</w:t>
      </w:r>
    </w:p>
    <w:p w14:paraId="5DBE3C30" w14:textId="77777777" w:rsidR="00B52683" w:rsidRPr="00526AFD" w:rsidRDefault="00B52683" w:rsidP="00B52683">
      <w:pPr>
        <w:rPr>
          <w:bCs/>
        </w:rPr>
      </w:pPr>
    </w:p>
    <w:p w14:paraId="0285C11F" w14:textId="77777777" w:rsidR="00B52683" w:rsidRPr="00526AFD" w:rsidRDefault="00B52683" w:rsidP="00B52683">
      <w:pPr>
        <w:numPr>
          <w:ilvl w:val="0"/>
          <w:numId w:val="20"/>
        </w:numPr>
        <w:rPr>
          <w:bCs/>
        </w:rPr>
      </w:pPr>
      <w:r w:rsidRPr="00526AFD">
        <w:rPr>
          <w:bCs/>
        </w:rPr>
        <w:t>razmotre specifične situacije katastrofe odnosno izvanrednog stanja na prilagođeni način, odnosno da prilagode mehanizmi rješavanja i reakcije ovisno o događaju</w:t>
      </w:r>
    </w:p>
    <w:p w14:paraId="730ADF95" w14:textId="77777777" w:rsidR="000132E7" w:rsidRPr="00526AFD" w:rsidRDefault="000132E7" w:rsidP="000132E7">
      <w:pPr>
        <w:ind w:left="720"/>
        <w:rPr>
          <w:bCs/>
        </w:rPr>
      </w:pPr>
    </w:p>
    <w:p w14:paraId="604E7656" w14:textId="77777777" w:rsidR="00B52683" w:rsidRPr="00526AFD" w:rsidRDefault="00B52683" w:rsidP="00B52683">
      <w:pPr>
        <w:numPr>
          <w:ilvl w:val="0"/>
          <w:numId w:val="20"/>
        </w:numPr>
        <w:rPr>
          <w:bCs/>
        </w:rPr>
      </w:pPr>
      <w:r w:rsidRPr="00526AFD">
        <w:rPr>
          <w:bCs/>
        </w:rPr>
        <w:t>rok provedbe definira uzimajući u obzir specifičnost i lokaciju katastrofe, kao i razmjer štete</w:t>
      </w:r>
    </w:p>
    <w:p w14:paraId="7FF1B3D4" w14:textId="77777777" w:rsidR="000132E7" w:rsidRPr="00526AFD" w:rsidRDefault="000132E7" w:rsidP="000132E7">
      <w:pPr>
        <w:pStyle w:val="ListParagraph"/>
        <w:rPr>
          <w:bCs/>
        </w:rPr>
      </w:pPr>
    </w:p>
    <w:p w14:paraId="3D1EA44D" w14:textId="77777777" w:rsidR="00B52683" w:rsidRPr="00526AFD" w:rsidRDefault="00B52683" w:rsidP="00B52683">
      <w:pPr>
        <w:numPr>
          <w:ilvl w:val="0"/>
          <w:numId w:val="20"/>
        </w:numPr>
        <w:rPr>
          <w:bCs/>
        </w:rPr>
      </w:pPr>
      <w:r w:rsidRPr="00526AFD">
        <w:rPr>
          <w:bCs/>
        </w:rPr>
        <w:t>uvede mogućnost financiranja svih aktivnosti koje će doprinijeti otpornosti na klimatske promjene i buduće prirodne katastrofe, a ne samo vraćanja u ispravno radno stanje</w:t>
      </w:r>
    </w:p>
    <w:p w14:paraId="3BCE72E5" w14:textId="77777777" w:rsidR="000132E7" w:rsidRPr="00526AFD" w:rsidRDefault="000132E7" w:rsidP="000132E7">
      <w:pPr>
        <w:pStyle w:val="ListParagraph"/>
        <w:rPr>
          <w:bCs/>
        </w:rPr>
      </w:pPr>
    </w:p>
    <w:p w14:paraId="5B91ED65" w14:textId="77777777" w:rsidR="00B52683" w:rsidRPr="00526AFD" w:rsidRDefault="00B52683" w:rsidP="00B52683">
      <w:pPr>
        <w:numPr>
          <w:ilvl w:val="0"/>
          <w:numId w:val="20"/>
        </w:numPr>
        <w:rPr>
          <w:bCs/>
        </w:rPr>
      </w:pPr>
      <w:r w:rsidRPr="00526AFD">
        <w:rPr>
          <w:bCs/>
        </w:rPr>
        <w:lastRenderedPageBreak/>
        <w:t>proširi obuhvat prihvatljivosti troškova FSEU-a na način da se osim prihvatljivih operacija u obzir uzme i potreba za obnovom socijalne infrastrukture, zgrada interventnih službi čije je funkcioniranje nužno za povratak u normalne životne uvjete</w:t>
      </w:r>
    </w:p>
    <w:p w14:paraId="4D4BB424" w14:textId="77777777" w:rsidR="006F38B8" w:rsidRPr="00526AFD" w:rsidRDefault="006F38B8" w:rsidP="006F38B8">
      <w:pPr>
        <w:pStyle w:val="ListParagraph"/>
        <w:rPr>
          <w:bCs/>
        </w:rPr>
      </w:pPr>
    </w:p>
    <w:p w14:paraId="084D2A37" w14:textId="74972999" w:rsidR="00B52683" w:rsidRPr="00526AFD" w:rsidRDefault="00B52683" w:rsidP="00B52683">
      <w:pPr>
        <w:numPr>
          <w:ilvl w:val="0"/>
          <w:numId w:val="20"/>
        </w:numPr>
        <w:rPr>
          <w:bCs/>
        </w:rPr>
      </w:pPr>
      <w:r w:rsidRPr="00526AFD">
        <w:rPr>
          <w:bCs/>
        </w:rPr>
        <w:t>osigura veći fond sredstava te prilagodba aktualnom stanju s obzirom na rastuću nestabilnost, a kako bi se u situacijama koje ugrožavaju ljudske živote i ekonomiju moglo promptno reagirati u cilju zaštite ljudskih života</w:t>
      </w:r>
    </w:p>
    <w:p w14:paraId="479A0DEA" w14:textId="77777777" w:rsidR="006F38B8" w:rsidRPr="00526AFD" w:rsidRDefault="006F38B8" w:rsidP="006F38B8">
      <w:pPr>
        <w:pStyle w:val="ListParagraph"/>
        <w:rPr>
          <w:bCs/>
        </w:rPr>
      </w:pPr>
    </w:p>
    <w:p w14:paraId="52D2D0AA" w14:textId="06C65633" w:rsidR="00B52683" w:rsidRPr="00526AFD" w:rsidRDefault="00B52683">
      <w:pPr>
        <w:numPr>
          <w:ilvl w:val="0"/>
          <w:numId w:val="20"/>
        </w:numPr>
        <w:rPr>
          <w:bCs/>
        </w:rPr>
      </w:pPr>
      <w:r w:rsidRPr="00526AFD">
        <w:rPr>
          <w:bCs/>
        </w:rPr>
        <w:t xml:space="preserve">predlaže se razmotriti suradnju u okviru postojećih ili novih mehanizama, primjerice formiranjem timova za reakciju koji bi na poziv EK asistirali državi članici pogođenoj katastrofom. </w:t>
      </w:r>
    </w:p>
    <w:p w14:paraId="53B80CD3" w14:textId="77777777" w:rsidR="0096315D" w:rsidRDefault="0096315D" w:rsidP="007636D4">
      <w:pPr>
        <w:rPr>
          <w:bCs/>
        </w:rPr>
      </w:pPr>
    </w:p>
    <w:p w14:paraId="587C48C2" w14:textId="2ED4F2D3" w:rsidR="007636D4" w:rsidRDefault="007636D4" w:rsidP="007636D4">
      <w:pPr>
        <w:rPr>
          <w:bCs/>
        </w:rPr>
      </w:pPr>
      <w:r>
        <w:rPr>
          <w:bCs/>
        </w:rPr>
        <w:t>S</w:t>
      </w:r>
      <w:r w:rsidRPr="009C75DF">
        <w:rPr>
          <w:bCs/>
        </w:rPr>
        <w:t xml:space="preserve"> ciljem informiranja javnosti o tome na što su utrošena sredstva za obnovu iz FSEU-a izrađen je promotivni film pod nazivom „Fond solidarnosti EU u Hrvatskoj – Obnova nakon potresa i ulaganje u budućnost”</w:t>
      </w:r>
      <w:r>
        <w:rPr>
          <w:bCs/>
        </w:rPr>
        <w:t>. I</w:t>
      </w:r>
      <w:r w:rsidRPr="009C75DF">
        <w:rPr>
          <w:bCs/>
        </w:rPr>
        <w:t>zradu filma iniciralo je, naručilo i koordiniralo Ministarstvo u svojstvu Nacionalnog koordinacijskog tijela</w:t>
      </w:r>
      <w:r>
        <w:rPr>
          <w:bCs/>
        </w:rPr>
        <w:t xml:space="preserve">. Film je poslan svim medijskim kućama te objavljen na </w:t>
      </w:r>
      <w:r w:rsidRPr="00A071CC">
        <w:rPr>
          <w:bCs/>
        </w:rPr>
        <w:t>YouTube kanalu</w:t>
      </w:r>
      <w:r>
        <w:rPr>
          <w:bCs/>
        </w:rPr>
        <w:t xml:space="preserve"> Ministarstva</w:t>
      </w:r>
      <w:r w:rsidR="005510A2">
        <w:rPr>
          <w:bCs/>
        </w:rPr>
        <w:t xml:space="preserve"> (</w:t>
      </w:r>
      <w:hyperlink r:id="rId29" w:history="1">
        <w:r w:rsidR="00B40518">
          <w:rPr>
            <w:rStyle w:val="Hyperlink"/>
            <w:bCs/>
          </w:rPr>
          <w:t>FOND SOLIDARNOSTI EU U HRVATSKOJ: Obnova nakon potresa i ulaganje u budućnost</w:t>
        </w:r>
      </w:hyperlink>
      <w:r w:rsidR="005510A2">
        <w:rPr>
          <w:bCs/>
        </w:rPr>
        <w:t>)</w:t>
      </w:r>
      <w:r>
        <w:rPr>
          <w:bCs/>
        </w:rPr>
        <w:t xml:space="preserve">. </w:t>
      </w:r>
    </w:p>
    <w:p w14:paraId="18800B19" w14:textId="77777777" w:rsidR="00C508D9" w:rsidRDefault="00C508D9" w:rsidP="007636D4">
      <w:pPr>
        <w:rPr>
          <w:bCs/>
        </w:rPr>
      </w:pPr>
    </w:p>
    <w:p w14:paraId="33000CF9" w14:textId="77777777" w:rsidR="007636D4" w:rsidRDefault="007636D4" w:rsidP="007636D4">
      <w:pPr>
        <w:rPr>
          <w:bCs/>
        </w:rPr>
      </w:pPr>
    </w:p>
    <w:p w14:paraId="23FE85C6" w14:textId="02C41319" w:rsidR="007636D4" w:rsidRDefault="0041015B" w:rsidP="007636D4">
      <w:pPr>
        <w:rPr>
          <w:bCs/>
        </w:rPr>
      </w:pPr>
      <w:r>
        <w:rPr>
          <w:noProof/>
          <w:lang w:eastAsia="hr-HR"/>
        </w:rPr>
        <w:drawing>
          <wp:inline distT="0" distB="0" distL="0" distR="0" wp14:anchorId="371D68D8" wp14:editId="77F13145">
            <wp:extent cx="5723890" cy="4583875"/>
            <wp:effectExtent l="0" t="0" r="10160" b="7620"/>
            <wp:docPr id="454914116" name="Grafikon 1">
              <a:extLst xmlns:a="http://schemas.openxmlformats.org/drawingml/2006/main">
                <a:ext uri="{FF2B5EF4-FFF2-40B4-BE49-F238E27FC236}">
                  <a16:creationId xmlns:a16="http://schemas.microsoft.com/office/drawing/2014/main" id="{12C91F33-6399-5E3F-A4ED-756B497C0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343D51A" w14:textId="77777777" w:rsidR="00121ABD" w:rsidRDefault="00121ABD" w:rsidP="007636D4">
      <w:pPr>
        <w:rPr>
          <w:bCs/>
        </w:rPr>
      </w:pPr>
    </w:p>
    <w:p w14:paraId="765EC42F" w14:textId="2A82E235" w:rsidR="007636D4" w:rsidRDefault="005B126C" w:rsidP="007636D4">
      <w:pPr>
        <w:rPr>
          <w:bCs/>
        </w:rPr>
      </w:pPr>
      <w:r>
        <w:rPr>
          <w:noProof/>
          <w:lang w:eastAsia="hr-HR"/>
        </w:rPr>
        <w:lastRenderedPageBreak/>
        <w:drawing>
          <wp:inline distT="0" distB="0" distL="0" distR="0" wp14:anchorId="62DE343A" wp14:editId="00F29DBE">
            <wp:extent cx="1872000" cy="3697200"/>
            <wp:effectExtent l="0" t="0" r="13970" b="17780"/>
            <wp:docPr id="420706659" name="Grafikon 1">
              <a:extLst xmlns:a="http://schemas.openxmlformats.org/drawingml/2006/main">
                <a:ext uri="{FF2B5EF4-FFF2-40B4-BE49-F238E27FC236}">
                  <a16:creationId xmlns:a16="http://schemas.microsoft.com/office/drawing/2014/main" id="{1013E911-8975-EAC3-2978-BDB163E0F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6E3822">
        <w:rPr>
          <w:bCs/>
        </w:rPr>
        <w:t xml:space="preserve"> </w:t>
      </w:r>
      <w:r w:rsidR="006F67B4">
        <w:rPr>
          <w:noProof/>
          <w:lang w:eastAsia="hr-HR"/>
        </w:rPr>
        <w:drawing>
          <wp:inline distT="0" distB="0" distL="0" distR="0" wp14:anchorId="516BF64E" wp14:editId="35D4DCB6">
            <wp:extent cx="1872000" cy="3697200"/>
            <wp:effectExtent l="0" t="0" r="13970" b="17780"/>
            <wp:docPr id="676380449" name="Grafikon 1">
              <a:extLst xmlns:a="http://schemas.openxmlformats.org/drawingml/2006/main">
                <a:ext uri="{FF2B5EF4-FFF2-40B4-BE49-F238E27FC236}">
                  <a16:creationId xmlns:a16="http://schemas.microsoft.com/office/drawing/2014/main" id="{78C54FF8-147C-4CAE-A6DA-CE506DFA8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6F67B4">
        <w:rPr>
          <w:bCs/>
        </w:rPr>
        <w:t xml:space="preserve"> </w:t>
      </w:r>
      <w:r w:rsidR="006F67B4">
        <w:rPr>
          <w:noProof/>
          <w:lang w:eastAsia="hr-HR"/>
        </w:rPr>
        <w:drawing>
          <wp:inline distT="0" distB="0" distL="0" distR="0" wp14:anchorId="42240BCE" wp14:editId="7BE5C7EE">
            <wp:extent cx="1872000" cy="3697200"/>
            <wp:effectExtent l="0" t="0" r="13970" b="17780"/>
            <wp:docPr id="1433773558" name="Grafikon 2">
              <a:extLst xmlns:a="http://schemas.openxmlformats.org/drawingml/2006/main">
                <a:ext uri="{FF2B5EF4-FFF2-40B4-BE49-F238E27FC236}">
                  <a16:creationId xmlns:a16="http://schemas.microsoft.com/office/drawing/2014/main" id="{BA2C6531-4FAD-4C47-AF45-52A684964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75CD9C9" w14:textId="47BE7293" w:rsidR="006F2520" w:rsidRDefault="006F2520" w:rsidP="006F2520">
      <w:pPr>
        <w:rPr>
          <w:bCs/>
        </w:rPr>
      </w:pPr>
    </w:p>
    <w:p w14:paraId="42248813" w14:textId="77777777" w:rsidR="005D3B38" w:rsidRDefault="005D3B38" w:rsidP="006F2520">
      <w:pPr>
        <w:rPr>
          <w:bCs/>
        </w:rPr>
      </w:pPr>
    </w:p>
    <w:p w14:paraId="696B50C2" w14:textId="77777777" w:rsidR="006F2520" w:rsidRPr="00F276DA" w:rsidRDefault="006F2520" w:rsidP="006F2520">
      <w:pPr>
        <w:pStyle w:val="Heading2"/>
      </w:pPr>
      <w:bookmarkStart w:id="30" w:name="_Toc153269882"/>
      <w:bookmarkStart w:id="31" w:name="_Toc161040581"/>
      <w:r>
        <w:t>Nacionalni program oporavka i otpornosti (NPOO)</w:t>
      </w:r>
      <w:bookmarkEnd w:id="30"/>
      <w:bookmarkEnd w:id="31"/>
    </w:p>
    <w:p w14:paraId="5F9935E2" w14:textId="77777777" w:rsidR="00BB3B83" w:rsidRDefault="006F2520" w:rsidP="00BB3B83">
      <w:pPr>
        <w:rPr>
          <w:bCs/>
        </w:rPr>
      </w:pPr>
      <w:r w:rsidRPr="00F54E13">
        <w:t>U</w:t>
      </w:r>
      <w:r w:rsidRPr="00F54E13">
        <w:rPr>
          <w:bCs/>
        </w:rPr>
        <w:t xml:space="preserve"> okviru Nacionalnog plana oporavka i otpornosti 2021. - 2026. (u daljnjem tekstu: NPOO) u sklopu inicijative</w:t>
      </w:r>
      <w:r>
        <w:rPr>
          <w:bCs/>
        </w:rPr>
        <w:t xml:space="preserve"> C6.1 </w:t>
      </w:r>
      <w:r w:rsidRPr="00F54E13">
        <w:rPr>
          <w:bCs/>
        </w:rPr>
        <w:t>Obnova zgrada</w:t>
      </w:r>
      <w:r>
        <w:rPr>
          <w:bCs/>
        </w:rPr>
        <w:t xml:space="preserve"> te </w:t>
      </w:r>
      <w:proofErr w:type="spellStart"/>
      <w:r>
        <w:rPr>
          <w:bCs/>
        </w:rPr>
        <w:t>REPowerEU</w:t>
      </w:r>
      <w:proofErr w:type="spellEnd"/>
      <w:r>
        <w:rPr>
          <w:bCs/>
        </w:rPr>
        <w:t xml:space="preserve"> komponente C7.2. Energetska obnova zgrada, planirane su reforme i investicije koje podupiru proces obnove i </w:t>
      </w:r>
      <w:proofErr w:type="spellStart"/>
      <w:r>
        <w:rPr>
          <w:bCs/>
        </w:rPr>
        <w:t>dekarbonizaciju</w:t>
      </w:r>
      <w:proofErr w:type="spellEnd"/>
      <w:r>
        <w:rPr>
          <w:bCs/>
        </w:rPr>
        <w:t xml:space="preserve">. </w:t>
      </w:r>
    </w:p>
    <w:p w14:paraId="20AAE821" w14:textId="77777777" w:rsidR="00BB3B83" w:rsidRDefault="00BB3B83" w:rsidP="00BB3B83">
      <w:pPr>
        <w:rPr>
          <w:bCs/>
        </w:rPr>
      </w:pPr>
    </w:p>
    <w:p w14:paraId="55060F32" w14:textId="13B4F86B" w:rsidR="006F2520" w:rsidRPr="00F54E13" w:rsidRDefault="006F2520" w:rsidP="00BB3B83">
      <w:pPr>
        <w:rPr>
          <w:bCs/>
        </w:rPr>
      </w:pPr>
      <w:r>
        <w:rPr>
          <w:bCs/>
        </w:rPr>
        <w:t xml:space="preserve">U okviru investicije C7.2 I2 (u inicijalnom NPOO-u </w:t>
      </w:r>
      <w:r w:rsidRPr="00F54E13">
        <w:rPr>
          <w:bCs/>
        </w:rPr>
        <w:t>C.6.1. R1-I2</w:t>
      </w:r>
      <w:r>
        <w:rPr>
          <w:bCs/>
        </w:rPr>
        <w:t>)</w:t>
      </w:r>
      <w:r w:rsidRPr="00F54E13">
        <w:rPr>
          <w:bCs/>
        </w:rPr>
        <w:t xml:space="preserve"> „Obnova zgrada oštećenih u potresu s energetskom obnovom“</w:t>
      </w:r>
      <w:r>
        <w:rPr>
          <w:bCs/>
        </w:rPr>
        <w:t xml:space="preserve">, dodatkom NPOO-a </w:t>
      </w:r>
      <w:r w:rsidRPr="00F54E13">
        <w:rPr>
          <w:bCs/>
        </w:rPr>
        <w:t>predviđeno je</w:t>
      </w:r>
      <w:r>
        <w:rPr>
          <w:bCs/>
        </w:rPr>
        <w:t xml:space="preserve"> 1,52</w:t>
      </w:r>
      <w:r w:rsidRPr="00827B8F">
        <w:rPr>
          <w:bCs/>
        </w:rPr>
        <w:t xml:space="preserve"> milij</w:t>
      </w:r>
      <w:r>
        <w:rPr>
          <w:bCs/>
        </w:rPr>
        <w:t>ardi</w:t>
      </w:r>
      <w:r w:rsidRPr="00827B8F">
        <w:rPr>
          <w:bCs/>
        </w:rPr>
        <w:t xml:space="preserve"> eura za </w:t>
      </w:r>
      <w:r w:rsidRPr="00F54E13">
        <w:rPr>
          <w:bCs/>
        </w:rPr>
        <w:t>sveobuhvatnu obnovu</w:t>
      </w:r>
      <w:r>
        <w:rPr>
          <w:bCs/>
        </w:rPr>
        <w:t xml:space="preserve"> </w:t>
      </w:r>
      <w:r w:rsidRPr="00F54E13">
        <w:rPr>
          <w:bCs/>
        </w:rPr>
        <w:t xml:space="preserve"> </w:t>
      </w:r>
      <w:proofErr w:type="spellStart"/>
      <w:r w:rsidRPr="00F54E13">
        <w:rPr>
          <w:bCs/>
        </w:rPr>
        <w:t>višestambenih</w:t>
      </w:r>
      <w:proofErr w:type="spellEnd"/>
      <w:r w:rsidRPr="00F54E13">
        <w:rPr>
          <w:bCs/>
        </w:rPr>
        <w:t xml:space="preserve"> zgrada i zgrada u javnom sektoru oštećenih u potresu</w:t>
      </w:r>
      <w:r>
        <w:rPr>
          <w:bCs/>
        </w:rPr>
        <w:t xml:space="preserve">, od čega je 1,470 </w:t>
      </w:r>
      <w:r w:rsidR="00D827D5">
        <w:rPr>
          <w:bCs/>
        </w:rPr>
        <w:t>milijardi</w:t>
      </w:r>
      <w:r>
        <w:rPr>
          <w:bCs/>
        </w:rPr>
        <w:t xml:space="preserve"> eura namijenjeno za javne zgrade, a 54,5 milijuna eura za </w:t>
      </w:r>
      <w:proofErr w:type="spellStart"/>
      <w:r>
        <w:rPr>
          <w:bCs/>
        </w:rPr>
        <w:t>višestambene</w:t>
      </w:r>
      <w:proofErr w:type="spellEnd"/>
      <w:r>
        <w:rPr>
          <w:bCs/>
        </w:rPr>
        <w:t xml:space="preserve"> zgrade. Navedenim sredstvima obnoviti će se najmanje 674.845 </w:t>
      </w:r>
      <w:r w:rsidRPr="007E5F3D">
        <w:rPr>
          <w:bCs/>
        </w:rPr>
        <w:t>m</w:t>
      </w:r>
      <w:r w:rsidRPr="006F5479">
        <w:rPr>
          <w:bCs/>
          <w:vertAlign w:val="superscript"/>
        </w:rPr>
        <w:t>2</w:t>
      </w:r>
      <w:r w:rsidRPr="007E5F3D">
        <w:t xml:space="preserve"> </w:t>
      </w:r>
      <w:proofErr w:type="spellStart"/>
      <w:r w:rsidRPr="007E5F3D">
        <w:rPr>
          <w:bCs/>
        </w:rPr>
        <w:t>višestambenih</w:t>
      </w:r>
      <w:proofErr w:type="spellEnd"/>
      <w:r w:rsidRPr="007E5F3D">
        <w:rPr>
          <w:bCs/>
        </w:rPr>
        <w:t xml:space="preserve"> zgrada i zgrada u javnom sektoru oštećenih u potresu</w:t>
      </w:r>
      <w:r>
        <w:rPr>
          <w:bCs/>
        </w:rPr>
        <w:t>.</w:t>
      </w:r>
    </w:p>
    <w:p w14:paraId="4CDD68CB" w14:textId="77777777" w:rsidR="003F2D12" w:rsidRDefault="003F2D12" w:rsidP="003F2D12">
      <w:pPr>
        <w:rPr>
          <w:bCs/>
        </w:rPr>
      </w:pPr>
    </w:p>
    <w:p w14:paraId="29335803" w14:textId="77777777" w:rsidR="006F11F3" w:rsidRPr="00C9549D" w:rsidRDefault="006F11F3" w:rsidP="003F2D12">
      <w:pPr>
        <w:rPr>
          <w:bCs/>
        </w:rPr>
      </w:pPr>
    </w:p>
    <w:p w14:paraId="650A19DF" w14:textId="42817419" w:rsidR="003F2D12" w:rsidRDefault="003F2D12" w:rsidP="00F4045F">
      <w:pPr>
        <w:pStyle w:val="Heading2"/>
      </w:pPr>
      <w:bookmarkStart w:id="32" w:name="_Toc161040582"/>
      <w:r>
        <w:t>Zajam Svjetske banke</w:t>
      </w:r>
      <w:bookmarkEnd w:id="32"/>
      <w:r>
        <w:t xml:space="preserve"> </w:t>
      </w:r>
    </w:p>
    <w:p w14:paraId="57BE03C0" w14:textId="77777777" w:rsidR="003B09BD" w:rsidRDefault="003B09BD" w:rsidP="003B09BD"/>
    <w:p w14:paraId="7FBC9792" w14:textId="795550BB" w:rsidR="006D70E9" w:rsidRDefault="003B09BD" w:rsidP="00D34F38">
      <w:r>
        <w:t xml:space="preserve">Kada je riječ o međunarodnim financijskim institucijama, Republika Hrvatska sklopila je </w:t>
      </w:r>
      <w:r w:rsidR="00967F03">
        <w:t xml:space="preserve">u srpnju 2020. godine </w:t>
      </w:r>
      <w:r>
        <w:t xml:space="preserve">Ugovor o zajmu s Međunarodnom bankom za obnovu i razvoj za projekt obnove nakon potresa i jačanja pripravnosti javnog zdravstva. Ukupna vrijednost zajma iznosi 200 milijuna </w:t>
      </w:r>
      <w:r w:rsidR="00B20D65">
        <w:t>USD</w:t>
      </w:r>
      <w:r>
        <w:t>, od čega je 180 milijuna USD namijenjeno za oporavak i obnovu nakon potresa, 15 milijuna USD za nadzor i pripravnost javnog zdravstva, te 5 milijuna USD za upravljanje projektom.</w:t>
      </w:r>
    </w:p>
    <w:p w14:paraId="7EEC19D7" w14:textId="77777777" w:rsidR="007544AF" w:rsidRDefault="007544AF" w:rsidP="00D34F38"/>
    <w:p w14:paraId="13CF95CF" w14:textId="5FA41CF8" w:rsidR="00D34F38" w:rsidRDefault="00B20D65" w:rsidP="00D34F38">
      <w:r>
        <w:lastRenderedPageBreak/>
        <w:t xml:space="preserve">U okviru </w:t>
      </w:r>
      <w:r w:rsidR="00B254A5">
        <w:t>z</w:t>
      </w:r>
      <w:r>
        <w:t xml:space="preserve">ajma </w:t>
      </w:r>
      <w:r w:rsidR="00B254A5">
        <w:t xml:space="preserve">Svjetske banke </w:t>
      </w:r>
      <w:r>
        <w:t xml:space="preserve">provode se sljedeći projekti: </w:t>
      </w:r>
    </w:p>
    <w:p w14:paraId="742430A3" w14:textId="77777777" w:rsidR="00B20D65" w:rsidRDefault="00B20D65" w:rsidP="00D34F38"/>
    <w:p w14:paraId="72AE83FF" w14:textId="34747416" w:rsidR="00D34F38" w:rsidRPr="00594285" w:rsidRDefault="003F2D12" w:rsidP="00D34F38">
      <w:pPr>
        <w:rPr>
          <w:rStyle w:val="normaltextrun"/>
          <w:bCs/>
          <w:i/>
          <w:iCs/>
          <w:color w:val="000000"/>
          <w:shd w:val="clear" w:color="auto" w:fill="FFFFFF"/>
        </w:rPr>
      </w:pPr>
      <w:r w:rsidRPr="00594285">
        <w:rPr>
          <w:rStyle w:val="normaltextrun"/>
          <w:bCs/>
          <w:i/>
          <w:iCs/>
          <w:color w:val="000000"/>
          <w:shd w:val="clear" w:color="auto" w:fill="FFFFFF"/>
        </w:rPr>
        <w:t>KBC Zagreb – Rebro Faza III</w:t>
      </w:r>
    </w:p>
    <w:p w14:paraId="7F866F65" w14:textId="77777777" w:rsidR="007A2382" w:rsidRDefault="007A2382" w:rsidP="00A267EF">
      <w:pPr>
        <w:rPr>
          <w:color w:val="000000"/>
          <w:shd w:val="clear" w:color="auto" w:fill="FFFFFF"/>
        </w:rPr>
      </w:pPr>
    </w:p>
    <w:p w14:paraId="54CE880E" w14:textId="77777777" w:rsidR="007A2382" w:rsidRPr="007A2382" w:rsidRDefault="007A2382" w:rsidP="007A2382">
      <w:pPr>
        <w:rPr>
          <w:color w:val="000000"/>
          <w:shd w:val="clear" w:color="auto" w:fill="FFFFFF"/>
        </w:rPr>
      </w:pPr>
      <w:r w:rsidRPr="007A2382">
        <w:rPr>
          <w:color w:val="000000"/>
          <w:shd w:val="clear" w:color="auto" w:fill="FFFFFF"/>
        </w:rPr>
        <w:t xml:space="preserve">Zaključno s 31. prosincem 2023., za izgradnju nove bolničke zgrade, otvorene garaže i pristupne ceste u sklopu projekta KBC Zagreb – Rebro Faza III izrađeni su svi glavi projekti te je sada u tijeku postupak ishođenja građevinske dozvole s očekivanim izdavanjem građevinske dozvole početkom siječnja 2024. Paralelno s ovim postupkom dovršavaju se izvedbeni projekti, a planirani rok njihove isporuke je veljača 2024. Postupak nabave radova je u tijeku; provedena je prva faza nabave, tzv. </w:t>
      </w:r>
      <w:proofErr w:type="spellStart"/>
      <w:r w:rsidRPr="007A2382">
        <w:rPr>
          <w:color w:val="000000"/>
          <w:shd w:val="clear" w:color="auto" w:fill="FFFFFF"/>
        </w:rPr>
        <w:t>pretkvalifikacijski</w:t>
      </w:r>
      <w:proofErr w:type="spellEnd"/>
      <w:r w:rsidRPr="007A2382">
        <w:rPr>
          <w:color w:val="000000"/>
          <w:shd w:val="clear" w:color="auto" w:fill="FFFFFF"/>
        </w:rPr>
        <w:t xml:space="preserve"> stupanj, dok je za drugu fazu u tijeku priprema natječajne dokumentacije. U tijeku su također postupci nabava usluga nadzora i upravljanja projektom; zaprimljeni su iskazi interesa te sada kreće faza zaprimanja i ocjene tehničkih i financijskih ponuda. Početak radova se očekuje u lipnju 2024. godine uz očekivano trajanje od 26 mjeseci međutim, bit će omogućen dovršetak po sekcijama pa se za bolničku zgradu dovršetak očekuje u roku od 21 mjesec od početka radova</w:t>
      </w:r>
    </w:p>
    <w:p w14:paraId="5013C50C" w14:textId="77777777" w:rsidR="007A2382" w:rsidRDefault="007A2382" w:rsidP="00A267EF">
      <w:pPr>
        <w:rPr>
          <w:color w:val="000000"/>
          <w:shd w:val="clear" w:color="auto" w:fill="FFFFFF"/>
        </w:rPr>
      </w:pPr>
    </w:p>
    <w:p w14:paraId="3FF2AB10" w14:textId="77777777" w:rsidR="003009FE" w:rsidRPr="00A267EF" w:rsidRDefault="003009FE" w:rsidP="00A267EF">
      <w:pPr>
        <w:rPr>
          <w:color w:val="000000"/>
          <w:shd w:val="clear" w:color="auto" w:fill="FFFFFF"/>
        </w:rPr>
      </w:pPr>
    </w:p>
    <w:p w14:paraId="75547C60" w14:textId="77777777" w:rsidR="00A267EF" w:rsidRPr="00A267EF" w:rsidRDefault="00A267EF" w:rsidP="00A267EF">
      <w:pPr>
        <w:rPr>
          <w:color w:val="000000"/>
          <w:shd w:val="clear" w:color="auto" w:fill="FFFFFF"/>
        </w:rPr>
      </w:pPr>
      <w:r w:rsidRPr="00A267EF">
        <w:rPr>
          <w:color w:val="000000"/>
          <w:shd w:val="clear" w:color="auto" w:fill="FFFFFF"/>
        </w:rPr>
        <w:t>Sa svim pratećim uslugama koje su trenutno ugovorene, trenutna vrijednost ovog projekta je 4,7 milijuna eura od čega je realizirano 2,9 milijuna eura, međutim sve troškovno značajne aktivnosti (radovi, usluge nadzora i upravljanja projektom) se tek imaju za ugovoriti.</w:t>
      </w:r>
    </w:p>
    <w:p w14:paraId="4E06BED6" w14:textId="77777777" w:rsidR="00A267EF" w:rsidRDefault="00A267EF" w:rsidP="00D34F38">
      <w:pPr>
        <w:rPr>
          <w:rStyle w:val="normaltextrun"/>
          <w:color w:val="000000"/>
          <w:shd w:val="clear" w:color="auto" w:fill="FFFFFF"/>
        </w:rPr>
      </w:pPr>
    </w:p>
    <w:p w14:paraId="75CAB8AC" w14:textId="188D6D0C" w:rsidR="003F2D12" w:rsidRPr="00594285" w:rsidRDefault="003F2D12" w:rsidP="00D34F38">
      <w:pPr>
        <w:rPr>
          <w:rStyle w:val="normaltextrun"/>
          <w:bCs/>
          <w:i/>
          <w:iCs/>
          <w:color w:val="000000"/>
          <w:shd w:val="clear" w:color="auto" w:fill="FFFFFF"/>
        </w:rPr>
      </w:pPr>
      <w:r w:rsidRPr="00594285">
        <w:rPr>
          <w:rStyle w:val="normaltextrun"/>
          <w:bCs/>
          <w:i/>
          <w:iCs/>
          <w:color w:val="000000"/>
          <w:shd w:val="clear" w:color="auto" w:fill="FFFFFF"/>
        </w:rPr>
        <w:t>Pedijatrijska hematologija i onkologija</w:t>
      </w:r>
    </w:p>
    <w:p w14:paraId="1FD32489" w14:textId="77777777" w:rsidR="003E4586" w:rsidRDefault="003E4586" w:rsidP="00D34F38"/>
    <w:p w14:paraId="5D523A8B" w14:textId="56064142" w:rsidR="003E4586" w:rsidRDefault="003E4586" w:rsidP="003E4586">
      <w:r w:rsidRPr="003E4586">
        <w:t>Na projektu nastavka izgradnje odjela pedijatrijske hematologije i onkologije u tijeku je izvođenje radova. Datum početka radova bio je 4.</w:t>
      </w:r>
      <w:r w:rsidR="00E3159B">
        <w:t xml:space="preserve"> rujna </w:t>
      </w:r>
      <w:r w:rsidRPr="003E4586">
        <w:t>2023., a završetak je planiran za 4.</w:t>
      </w:r>
      <w:r w:rsidR="00E3159B">
        <w:t xml:space="preserve">svibnja </w:t>
      </w:r>
      <w:r w:rsidRPr="003E4586">
        <w:t>2024. godine. Aktivnosti se trenutno odvijaju sukladno vremenskom planu uz blago kašnjenje uzrokovano određenim neusklađenostima u projektnoj dokumentaciji kao i nedostacima iz prethodne faze izgradnje te se s obzirom na navedeno može očekivati produljenje roka dovršetka kao i manje povećanje ugovorene vrijednosti zbog dodatnih radova potrebnih za postizanje funkcionalnosti budućeg odjela.</w:t>
      </w:r>
      <w:r w:rsidR="00E3159B">
        <w:t xml:space="preserve"> </w:t>
      </w:r>
      <w:r w:rsidRPr="003E4586">
        <w:t xml:space="preserve">Ugovorena je i usluga stručnog nadzora te se ova aktivnost odvija paralelno s izvođenjem radova.  </w:t>
      </w:r>
    </w:p>
    <w:p w14:paraId="2176865F" w14:textId="77777777" w:rsidR="003009FE" w:rsidRPr="003E4586" w:rsidRDefault="003009FE" w:rsidP="003E4586"/>
    <w:p w14:paraId="369CDA56" w14:textId="77777777" w:rsidR="003E4586" w:rsidRPr="003E4586" w:rsidRDefault="003E4586" w:rsidP="003E4586">
      <w:r w:rsidRPr="003E4586">
        <w:t>Ukupna vrijednost ugovorenih radova i usluga je 4,8 milijuna eura te je do kraja 2023. godine realizirano 0,4 milijuna eura.</w:t>
      </w:r>
    </w:p>
    <w:p w14:paraId="45687452" w14:textId="77777777" w:rsidR="003E4586" w:rsidRDefault="003E4586" w:rsidP="00D34F38"/>
    <w:p w14:paraId="41957FD3" w14:textId="77777777" w:rsidR="00D34F38" w:rsidRDefault="00D34F38" w:rsidP="00D34F38"/>
    <w:p w14:paraId="317A6B1C" w14:textId="2789C323" w:rsidR="00D34F38" w:rsidRPr="00594285" w:rsidRDefault="003F2D12" w:rsidP="00D34F38">
      <w:pPr>
        <w:rPr>
          <w:bCs/>
          <w:i/>
          <w:iCs/>
        </w:rPr>
      </w:pPr>
      <w:r w:rsidRPr="00594285">
        <w:rPr>
          <w:bCs/>
          <w:i/>
          <w:iCs/>
        </w:rPr>
        <w:t xml:space="preserve">Srednja strukovna škola Petrinja </w:t>
      </w:r>
    </w:p>
    <w:p w14:paraId="089812C8" w14:textId="77777777" w:rsidR="00436001" w:rsidRDefault="00436001" w:rsidP="00D34F38"/>
    <w:p w14:paraId="63667645" w14:textId="0F42AF37" w:rsidR="00436001" w:rsidRDefault="00436001" w:rsidP="00436001">
      <w:r w:rsidRPr="00436001">
        <w:t>Projekt je u fazi izvođenja radova. Ugovor o radovima je sklopljen 21. prosinca 2022. te je u provedbi. Definiran je datum početka za sve radove kao 11. siječnja 2023., dok su inicijalni datumi završetka za samostalnu uporabnu cjelinu (SUC1) bili 11. rujna 2023. odnosno za SUC2 11. siječnja 2024. S obzirom na određene otežavajuće okolnosti koje su se dogodile tijekom izvođenja radova, period za izvođenje radova je bilo potrebno produljiti te je isti prvotno produljen za SUC1 do 28.</w:t>
      </w:r>
      <w:r w:rsidR="0005226E">
        <w:t xml:space="preserve"> prosinca </w:t>
      </w:r>
      <w:r w:rsidRPr="00436001">
        <w:t xml:space="preserve">2023. međutim, izvođač je u međuvremenu potraživao </w:t>
      </w:r>
      <w:r w:rsidRPr="00436001">
        <w:lastRenderedPageBreak/>
        <w:t>dodatno produljenje roka dovršetka budući da je zbog određenih neusklađenosti u projektnoj dokumentaciji potrebno ishoditi izmjenu i dopunu građevinske dozvole pa je stoga za očekivati dodatno produljenje trajanja radova. Usluge stručnog nadzora i upravljanja projektom se provode paralelno s izvođenjem radova.</w:t>
      </w:r>
    </w:p>
    <w:p w14:paraId="3416C8B9" w14:textId="77777777" w:rsidR="003009FE" w:rsidRPr="00436001" w:rsidRDefault="003009FE" w:rsidP="00436001"/>
    <w:p w14:paraId="6CD42FB9" w14:textId="77777777" w:rsidR="00436001" w:rsidRPr="00436001" w:rsidRDefault="00436001" w:rsidP="00436001">
      <w:r w:rsidRPr="00436001">
        <w:t>Ukupna vrijednost ugovorenih radova i usluga je 9,8 milijuna eura te je do kraja 2023. godine realizirano 5,1 milijun eura. Uz navedene radove i usluge, u sklopu ovog projekta provodi se i nabava opreme za novu školu i dvoranu. Ovaj postupak nabave podijeljen je u 4 grupe te su za dvije grupe sklopljeni ugovori dok se za preostala dva trenutno dovršava postupak nabave.</w:t>
      </w:r>
    </w:p>
    <w:p w14:paraId="4B5B2104" w14:textId="77777777" w:rsidR="00436001" w:rsidRDefault="00436001" w:rsidP="00D34F38"/>
    <w:p w14:paraId="5E299584" w14:textId="77777777" w:rsidR="00D34F38" w:rsidRPr="00D34F38" w:rsidRDefault="00D34F38" w:rsidP="00D34F38">
      <w:pPr>
        <w:rPr>
          <w:b/>
        </w:rPr>
      </w:pPr>
    </w:p>
    <w:p w14:paraId="1F16436E" w14:textId="73CC81B0" w:rsidR="00D34F38" w:rsidRPr="00594285" w:rsidRDefault="003F2D12" w:rsidP="00D34F38">
      <w:pPr>
        <w:rPr>
          <w:bCs/>
          <w:i/>
          <w:iCs/>
        </w:rPr>
      </w:pPr>
      <w:r w:rsidRPr="00594285">
        <w:rPr>
          <w:bCs/>
          <w:i/>
          <w:iCs/>
        </w:rPr>
        <w:t>Zgrada medicine rada Hrvatskog zavoda za javno zdravstvo (</w:t>
      </w:r>
      <w:proofErr w:type="spellStart"/>
      <w:r w:rsidRPr="00594285">
        <w:rPr>
          <w:bCs/>
          <w:i/>
          <w:iCs/>
        </w:rPr>
        <w:t>Nazorova</w:t>
      </w:r>
      <w:proofErr w:type="spellEnd"/>
      <w:r w:rsidRPr="00594285">
        <w:rPr>
          <w:bCs/>
          <w:i/>
          <w:iCs/>
        </w:rPr>
        <w:t xml:space="preserve"> 53)</w:t>
      </w:r>
    </w:p>
    <w:p w14:paraId="429E7032" w14:textId="77777777" w:rsidR="00CC4B2D" w:rsidRDefault="00CC4B2D" w:rsidP="00D34F38"/>
    <w:p w14:paraId="5FEC50F9" w14:textId="77777777" w:rsidR="00CC4B2D" w:rsidRPr="00CC4B2D" w:rsidRDefault="00CC4B2D" w:rsidP="00CC4B2D">
      <w:r w:rsidRPr="00CC4B2D">
        <w:t>Za ovaj projekt je u tijeku ishođenje građevinske dozvole s očekivanim izdavanjem tijekom siječnja 2024. Izrađen je glavni projekt u cijelosti te se trenutno dovršavaju izvedbeni projekti nakon čega slijedi nabava radova. Paralelno s dovršetkom projektne dokumentacije priprema se natječajna dokumentacija za nabavu radova dok je dokumentacija za nabavu usluga nadzora i upravljanja projektom pripremljena te se tijekom siječnja očekuje pokretanja postupaka nabava. Očekivani početak radova je u svibnju 2024. godine uz očekivano trajanje od 15 mjeseci.</w:t>
      </w:r>
    </w:p>
    <w:p w14:paraId="07EB435E" w14:textId="7612DDA3" w:rsidR="00CC4B2D" w:rsidRDefault="00CC4B2D" w:rsidP="00CC4B2D">
      <w:r w:rsidRPr="00CC4B2D">
        <w:t>Ukupna vrijednost ugovorene usluge projektiranja, koja je trenutno jedina ugovorena, je 330 tisuća eura od čega je do 31.</w:t>
      </w:r>
      <w:r w:rsidR="00503174">
        <w:t xml:space="preserve"> </w:t>
      </w:r>
      <w:r>
        <w:t xml:space="preserve">prosinca </w:t>
      </w:r>
      <w:r w:rsidRPr="00CC4B2D">
        <w:t>2023. realizirano 230 tisuća eura.</w:t>
      </w:r>
    </w:p>
    <w:p w14:paraId="1B563814" w14:textId="77777777" w:rsidR="006B7AAA" w:rsidRDefault="006B7AAA" w:rsidP="00CC4B2D"/>
    <w:p w14:paraId="2282BC56" w14:textId="77777777" w:rsidR="006B7AAA" w:rsidRDefault="006B7AAA" w:rsidP="006B7AAA">
      <w:bookmarkStart w:id="33" w:name="OLE_LINK12"/>
    </w:p>
    <w:p w14:paraId="4D1937AA" w14:textId="18EE10DB" w:rsidR="006B7AAA" w:rsidRPr="006B7AAA" w:rsidRDefault="004C6462" w:rsidP="006B7AAA">
      <w:r>
        <w:t>Nadalje, n</w:t>
      </w:r>
      <w:r w:rsidR="006B7AAA" w:rsidRPr="006B7AAA">
        <w:t xml:space="preserve">a zahtjev Sisačko-moslavačke županije odustalo se od daljnje provedbe projekta </w:t>
      </w:r>
      <w:r w:rsidR="006B7AAA" w:rsidRPr="006B7AAA">
        <w:rPr>
          <w:i/>
          <w:iCs/>
        </w:rPr>
        <w:t>Srednja ekonomska škola Sisak</w:t>
      </w:r>
      <w:r w:rsidR="006B7AAA" w:rsidRPr="006B7AAA">
        <w:t xml:space="preserve"> iz sredstava Zajma.</w:t>
      </w:r>
      <w:bookmarkEnd w:id="33"/>
      <w:r w:rsidR="006B7AAA" w:rsidRPr="006B7AAA">
        <w:t xml:space="preserve"> Razlog za odustajanje su ekstenzivni zahtjevi okolišnih i društvenih aspekata provedbe projekta od strane Svjetske banke, temeljem okolnosti da je zemljište je do 1976. korišteno kao odlagalište otpada. S obzirom na nepoznat obuhvat potencijalne </w:t>
      </w:r>
      <w:proofErr w:type="spellStart"/>
      <w:r w:rsidR="006B7AAA" w:rsidRPr="006B7AAA">
        <w:t>remedijacije</w:t>
      </w:r>
      <w:proofErr w:type="spellEnd"/>
      <w:r w:rsidR="006B7AAA" w:rsidRPr="006B7AAA">
        <w:t xml:space="preserve"> tla i time nepoznatog utjecaja na vremenski i financijski obuhvat provedbe projekta, Sisačko-moslavačka županija je odustala od daljnje provedbe </w:t>
      </w:r>
      <w:r w:rsidR="00617857">
        <w:t xml:space="preserve">ovog </w:t>
      </w:r>
      <w:r w:rsidR="006B7AAA" w:rsidRPr="006B7AAA">
        <w:t>projekta</w:t>
      </w:r>
      <w:r w:rsidR="00617857">
        <w:t>.</w:t>
      </w:r>
    </w:p>
    <w:p w14:paraId="5B794E5F" w14:textId="77777777" w:rsidR="006B7AAA" w:rsidRPr="006B7AAA" w:rsidRDefault="006B7AAA" w:rsidP="006B7AAA"/>
    <w:p w14:paraId="57C0811B" w14:textId="77777777" w:rsidR="006B7AAA" w:rsidRPr="006B7AAA" w:rsidRDefault="006B7AAA" w:rsidP="006B7AAA">
      <w:r w:rsidRPr="006B7AAA">
        <w:t>Umjesto daljnje provedbe projekta Srednja ekonomska škola Sisak, Ministarstvo znanosti i obrazovanja predložilo je provedbu i financiranje iz sredstava Zajma projekata izgradnje novog Studentskog doma u Petrinji i projekt rekonstrukcije zgrade A Fakulteta elektrotehnike i računarstva (FER) u Zagrebu.</w:t>
      </w:r>
    </w:p>
    <w:p w14:paraId="50F650AD" w14:textId="77777777" w:rsidR="00A62ED0" w:rsidRDefault="00A62ED0">
      <w:pPr>
        <w:spacing w:after="160" w:line="259" w:lineRule="auto"/>
        <w:jc w:val="left"/>
        <w:rPr>
          <w:b/>
        </w:rPr>
      </w:pPr>
    </w:p>
    <w:p w14:paraId="250B9FC4" w14:textId="77777777" w:rsidR="00B7248E" w:rsidRDefault="00B7248E" w:rsidP="00B7248E">
      <w:pPr>
        <w:rPr>
          <w:bCs/>
          <w:i/>
          <w:iCs/>
        </w:rPr>
      </w:pPr>
      <w:r w:rsidRPr="003009FE">
        <w:rPr>
          <w:bCs/>
          <w:i/>
          <w:iCs/>
        </w:rPr>
        <w:t>Studentski dom Petrinja</w:t>
      </w:r>
    </w:p>
    <w:p w14:paraId="6ADBF30D" w14:textId="77777777" w:rsidR="003009FE" w:rsidRPr="003009FE" w:rsidRDefault="003009FE" w:rsidP="00B7248E">
      <w:pPr>
        <w:rPr>
          <w:bCs/>
          <w:i/>
          <w:iCs/>
        </w:rPr>
      </w:pPr>
    </w:p>
    <w:p w14:paraId="49FCE377" w14:textId="77777777" w:rsidR="00B7248E" w:rsidRPr="00B7248E" w:rsidRDefault="00B7248E" w:rsidP="00B7248E">
      <w:r w:rsidRPr="00B7248E">
        <w:t xml:space="preserve">Izgradnja novog studentskog doma u Petrinji je novopredloženi projekt od Ministarstva znanosti i obrazovanja. Projekt je službeno nominiran u rujnu 2023. te je od tada, iako još nije službeno odobren od strane Svjetske banke, preuzeta provedba tog projekta u sklopu ovog Zajma. Za izgradnju novog doma prethodno je izrađena projektna dokumentacija na razini </w:t>
      </w:r>
      <w:r w:rsidRPr="00B7248E">
        <w:lastRenderedPageBreak/>
        <w:t>glavnog projekta te je ishođena građevinska dozvola. Tijekom ovog razdoblja izrađen je i izvedbeni projekt te je u pripremi natječajna dokumentacija za nabavu radova. Paralelno će se provesti i nabava usluga nadzora, a početak radova se očekuje u svibnju 2024. godine.</w:t>
      </w:r>
    </w:p>
    <w:p w14:paraId="4BA2391B" w14:textId="77777777" w:rsidR="00B7248E" w:rsidRDefault="00B7248E">
      <w:pPr>
        <w:spacing w:after="160" w:line="259" w:lineRule="auto"/>
        <w:jc w:val="left"/>
        <w:rPr>
          <w:b/>
        </w:rPr>
      </w:pPr>
    </w:p>
    <w:p w14:paraId="115FFB0B" w14:textId="77777777" w:rsidR="00B5497F" w:rsidRDefault="00B5497F" w:rsidP="00B5497F">
      <w:pPr>
        <w:rPr>
          <w:i/>
          <w:iCs/>
        </w:rPr>
      </w:pPr>
      <w:r w:rsidRPr="00594285">
        <w:rPr>
          <w:i/>
          <w:iCs/>
        </w:rPr>
        <w:t>Fakultet elektrotehnike i računarstva</w:t>
      </w:r>
    </w:p>
    <w:p w14:paraId="5F863E15" w14:textId="77777777" w:rsidR="00594285" w:rsidRPr="00594285" w:rsidRDefault="00594285" w:rsidP="00B5497F">
      <w:pPr>
        <w:rPr>
          <w:i/>
          <w:iCs/>
        </w:rPr>
      </w:pPr>
    </w:p>
    <w:p w14:paraId="2A2E9B35" w14:textId="77777777" w:rsidR="00B5497F" w:rsidRPr="00B5497F" w:rsidRDefault="00B5497F" w:rsidP="00B5497F">
      <w:r w:rsidRPr="00B5497F">
        <w:t>Projekt rekonstrukcije zgrade FER-a je također novopredloženi projekt Ministarstva znanosti i obrazovanja, a u sklopu ovog Zajma kao prihvatljiva aktivnost identificirana je izrada projektne dokumentacije. Preduvjet za početak provedbe ovog projekta u sklopu Zajma je bilo ishođenje lokacijske dozvole na temelju idejnog projekta koji je prethodno izrađen. Lokacijska dozvola je uspješno ishođena u prosincu 2023. te sada slijedi sljedeća faza izrade projektne dokumentacije, koja se odnosi na izradu glavnog i izvedbenog projekta te ishođenje građevinske dozvole. U tijeku je priprema natječajne dokumentacije za usluge projektiranja.</w:t>
      </w:r>
    </w:p>
    <w:p w14:paraId="55B1C763" w14:textId="3FB2FF3B" w:rsidR="001F2EAE" w:rsidRDefault="001F2EAE">
      <w:pPr>
        <w:spacing w:after="160" w:line="259" w:lineRule="auto"/>
        <w:jc w:val="left"/>
        <w:rPr>
          <w:b/>
        </w:rPr>
      </w:pPr>
      <w:r>
        <w:rPr>
          <w:b/>
        </w:rPr>
        <w:br w:type="page"/>
      </w:r>
    </w:p>
    <w:p w14:paraId="32BAEEE9" w14:textId="1F4E6635" w:rsidR="00175322" w:rsidRPr="00C9549D" w:rsidRDefault="00175322" w:rsidP="00AB0077">
      <w:pPr>
        <w:pStyle w:val="Heading1"/>
      </w:pPr>
      <w:bookmarkStart w:id="34" w:name="_Toc161040583"/>
      <w:r>
        <w:lastRenderedPageBreak/>
        <w:t>ANALIZA UČINAKA I STANJA</w:t>
      </w:r>
      <w:bookmarkEnd w:id="34"/>
    </w:p>
    <w:p w14:paraId="5847CD7A" w14:textId="77777777" w:rsidR="00D31063" w:rsidRPr="00C537B6" w:rsidRDefault="00D31063" w:rsidP="00477F44"/>
    <w:p w14:paraId="10C85177" w14:textId="4630EF26" w:rsidR="003B680B" w:rsidRDefault="00BC7BC7" w:rsidP="003B680B">
      <w:r>
        <w:t>Tijekom 2023. godine d</w:t>
      </w:r>
      <w:r w:rsidR="003B680B" w:rsidRPr="003B680B">
        <w:t>inamika obnove se značajno ubrzala</w:t>
      </w:r>
      <w:r w:rsidR="00C83FFE">
        <w:t>. D</w:t>
      </w:r>
      <w:r w:rsidR="003B680B" w:rsidRPr="003B680B">
        <w:t xml:space="preserve">ovršeni su brojni projekti obnove </w:t>
      </w:r>
      <w:r w:rsidR="001E1AAB">
        <w:t xml:space="preserve">kako privatnih zgrada i kuća tako i </w:t>
      </w:r>
      <w:r w:rsidR="003B680B" w:rsidRPr="003B680B">
        <w:t xml:space="preserve">javnih zgrada te prometne i komunalne infrastrukture. </w:t>
      </w:r>
    </w:p>
    <w:p w14:paraId="3F4ED641" w14:textId="77777777" w:rsidR="003B680B" w:rsidRDefault="003B680B" w:rsidP="003B680B"/>
    <w:p w14:paraId="41365EF2" w14:textId="51090D22" w:rsidR="00BC7BC7" w:rsidRDefault="00BC7BC7" w:rsidP="00BC7BC7">
      <w:r>
        <w:t>R</w:t>
      </w:r>
      <w:r w:rsidRPr="00845507">
        <w:t>eorganizacijom rada ustrojstvenih jedinica nadležnih za provedbu obnove te unaprjeđenjem ljudskih kapaciteta, kao i kontinuiranim praćenjem rezultata rada, postig</w:t>
      </w:r>
      <w:r>
        <w:t xml:space="preserve">nut je </w:t>
      </w:r>
      <w:r w:rsidRPr="00845507">
        <w:t>značajan napredak u rješavanju pristiglih zahtjeva za obnovom. U</w:t>
      </w:r>
      <w:r>
        <w:t xml:space="preserve"> </w:t>
      </w:r>
      <w:r w:rsidRPr="00845507">
        <w:t>202</w:t>
      </w:r>
      <w:r>
        <w:t>3</w:t>
      </w:r>
      <w:r w:rsidRPr="00845507">
        <w:t>. godin</w:t>
      </w:r>
      <w:r w:rsidR="003261F4">
        <w:t>i</w:t>
      </w:r>
      <w:r w:rsidRPr="00845507">
        <w:t xml:space="preserve"> doneseno je </w:t>
      </w:r>
      <w:r w:rsidR="000C1A78">
        <w:t>3</w:t>
      </w:r>
      <w:r w:rsidRPr="009267B4">
        <w:t>.</w:t>
      </w:r>
      <w:r w:rsidR="000C1A78">
        <w:t>756</w:t>
      </w:r>
      <w:r w:rsidRPr="009267B4">
        <w:t xml:space="preserve"> akata</w:t>
      </w:r>
      <w:r w:rsidRPr="00845507">
        <w:t xml:space="preserve"> kojima su podnositelji zahtjeva ostvarili pravo na obnovu, čime je ostvaren napredak u donošenju pozitivnih akata za </w:t>
      </w:r>
      <w:r w:rsidR="00CE45B5" w:rsidRPr="004C3391">
        <w:t>4</w:t>
      </w:r>
      <w:r w:rsidR="00854FCB" w:rsidRPr="004C3391">
        <w:t>8</w:t>
      </w:r>
      <w:r w:rsidRPr="004C3391">
        <w:t xml:space="preserve"> %</w:t>
      </w:r>
      <w:r w:rsidRPr="00845507">
        <w:t xml:space="preserve"> u odnosu na prethodnu godinu.</w:t>
      </w:r>
    </w:p>
    <w:p w14:paraId="44069BE2" w14:textId="77777777" w:rsidR="00B83CCD" w:rsidRDefault="00B83CCD" w:rsidP="00BC7BC7"/>
    <w:p w14:paraId="4FB05A80" w14:textId="1661803F" w:rsidR="00B83CCD" w:rsidRPr="00B83CCD" w:rsidRDefault="006A6050" w:rsidP="00B83CCD">
      <w:r>
        <w:t>U izvještajnom razdoblju b</w:t>
      </w:r>
      <w:r w:rsidR="00B83CCD" w:rsidRPr="00B83CCD">
        <w:t>ilježi se</w:t>
      </w:r>
      <w:r>
        <w:t xml:space="preserve"> </w:t>
      </w:r>
      <w:r w:rsidR="00B83CCD" w:rsidRPr="00B83CCD">
        <w:t xml:space="preserve">značajan napredak </w:t>
      </w:r>
      <w:r>
        <w:t xml:space="preserve">i </w:t>
      </w:r>
      <w:r w:rsidR="00B83CCD" w:rsidRPr="00B83CCD">
        <w:t xml:space="preserve">kod isplata novčanih pomoći za obnovu. </w:t>
      </w:r>
    </w:p>
    <w:p w14:paraId="147EE23A" w14:textId="77777777" w:rsidR="005F0A44" w:rsidRDefault="005F0A44" w:rsidP="00B83CCD"/>
    <w:p w14:paraId="200396B8" w14:textId="02CFB83B" w:rsidR="00B83CCD" w:rsidRPr="00B83CCD" w:rsidRDefault="00B83CCD" w:rsidP="00B83CCD">
      <w:r w:rsidRPr="00B83CCD">
        <w:t xml:space="preserve">Za konstrukcijsku obnovu je tijekom </w:t>
      </w:r>
      <w:r w:rsidR="00C83FFE">
        <w:t xml:space="preserve">2023. godine </w:t>
      </w:r>
      <w:r w:rsidRPr="00B83CCD">
        <w:t xml:space="preserve">izvršeno </w:t>
      </w:r>
      <w:r w:rsidR="00B35FEB">
        <w:t>671</w:t>
      </w:r>
      <w:r w:rsidRPr="00B83CCD">
        <w:t xml:space="preserve"> isplata </w:t>
      </w:r>
      <w:r w:rsidR="00C83FFE">
        <w:t>s ukupnim iznosom od</w:t>
      </w:r>
      <w:r w:rsidRPr="00B83CCD">
        <w:t xml:space="preserve"> </w:t>
      </w:r>
      <w:r w:rsidR="00B35FEB">
        <w:t>99</w:t>
      </w:r>
      <w:r w:rsidRPr="00B83CCD">
        <w:t>,</w:t>
      </w:r>
      <w:r w:rsidR="00B35FEB">
        <w:t>2</w:t>
      </w:r>
      <w:r w:rsidRPr="00B83CCD">
        <w:t xml:space="preserve"> milijuna eura, što je </w:t>
      </w:r>
      <w:r w:rsidR="00B35FEB">
        <w:t>21</w:t>
      </w:r>
      <w:r w:rsidRPr="00B83CCD">
        <w:t xml:space="preserve"> puta više od ukupnog broja isplata i ukupno isplaćenog iznosa u 2022. godini. Taj trend prate i isplate novčanih pomoći za </w:t>
      </w:r>
      <w:proofErr w:type="spellStart"/>
      <w:r w:rsidRPr="00B83CCD">
        <w:t>nekonstrukcijsku</w:t>
      </w:r>
      <w:proofErr w:type="spellEnd"/>
      <w:r w:rsidRPr="00B83CCD">
        <w:t xml:space="preserve"> obnovu gdje je</w:t>
      </w:r>
      <w:r w:rsidR="00B35FEB">
        <w:t xml:space="preserve"> tijekom </w:t>
      </w:r>
      <w:r w:rsidRPr="00B83CCD">
        <w:t>2023. godine izvršen</w:t>
      </w:r>
      <w:r w:rsidR="00B35FEB">
        <w:t>o</w:t>
      </w:r>
      <w:r w:rsidRPr="00B83CCD">
        <w:t xml:space="preserve"> </w:t>
      </w:r>
      <w:r w:rsidR="00B35FEB">
        <w:t xml:space="preserve">1.879 </w:t>
      </w:r>
      <w:r w:rsidRPr="00B83CCD">
        <w:t xml:space="preserve">isplata te je isplaćeno </w:t>
      </w:r>
      <w:r w:rsidR="00B35FEB">
        <w:t>16</w:t>
      </w:r>
      <w:r w:rsidRPr="00B83CCD">
        <w:t>,</w:t>
      </w:r>
      <w:r w:rsidR="00B35FEB">
        <w:t>5</w:t>
      </w:r>
      <w:r w:rsidRPr="00B83CCD">
        <w:t xml:space="preserve"> milijuna eura što je </w:t>
      </w:r>
      <w:r w:rsidR="005F0A44">
        <w:t>60</w:t>
      </w:r>
      <w:r w:rsidRPr="00B83CCD">
        <w:t xml:space="preserve"> % </w:t>
      </w:r>
      <w:r w:rsidR="005F0A44">
        <w:t xml:space="preserve">veći iznos od </w:t>
      </w:r>
      <w:r w:rsidRPr="00B83CCD">
        <w:t>ukupno</w:t>
      </w:r>
      <w:r w:rsidR="005F0A44">
        <w:t xml:space="preserve"> isplaćenog iznosa u </w:t>
      </w:r>
      <w:r w:rsidRPr="00B83CCD">
        <w:t xml:space="preserve">2022. godini. </w:t>
      </w:r>
    </w:p>
    <w:p w14:paraId="44B9E42A" w14:textId="77777777" w:rsidR="00B83CCD" w:rsidRDefault="00B83CCD" w:rsidP="00B83CCD"/>
    <w:p w14:paraId="31C11DD3" w14:textId="77777777" w:rsidR="00C83FFE" w:rsidRDefault="00355060" w:rsidP="00355060">
      <w:r w:rsidRPr="003B680B">
        <w:t xml:space="preserve">Jedan od ključnih pokazatelja ubrzanja obnove svakako je podatak </w:t>
      </w:r>
      <w:r w:rsidR="00B74719">
        <w:t>da je o</w:t>
      </w:r>
      <w:r w:rsidR="00B74719" w:rsidRPr="00B74719">
        <w:t>d početka provedbe u 2020. godini</w:t>
      </w:r>
      <w:r w:rsidR="00C83FFE">
        <w:t>,</w:t>
      </w:r>
      <w:r w:rsidR="00B74719" w:rsidRPr="00B74719">
        <w:t xml:space="preserve"> kada su isplaćivane novčane naknade za </w:t>
      </w:r>
      <w:proofErr w:type="spellStart"/>
      <w:r w:rsidR="00B74719" w:rsidRPr="00B74719">
        <w:t>nekonstrukcijsku</w:t>
      </w:r>
      <w:proofErr w:type="spellEnd"/>
      <w:r w:rsidR="00B74719" w:rsidRPr="00B74719">
        <w:t xml:space="preserve"> obnovu</w:t>
      </w:r>
      <w:r w:rsidR="00C83FFE">
        <w:t>,</w:t>
      </w:r>
      <w:r w:rsidR="00B74719" w:rsidRPr="00B74719">
        <w:t xml:space="preserve"> do 31. prosinca 2023. ukupno na obnovu </w:t>
      </w:r>
      <w:r w:rsidR="00B74719">
        <w:t xml:space="preserve">privatne imovine </w:t>
      </w:r>
      <w:r w:rsidR="00B74719" w:rsidRPr="00B74719">
        <w:t xml:space="preserve">utrošeno 353,25 milijuna eura. Od navedenoga iznosa 270,2 milijuna eura odnosno 76,49 % realizirano je u </w:t>
      </w:r>
      <w:r w:rsidR="00B74719">
        <w:t>2023. godini</w:t>
      </w:r>
      <w:r w:rsidR="00B74719" w:rsidRPr="00B74719">
        <w:t>.</w:t>
      </w:r>
      <w:r w:rsidR="0061356B">
        <w:t xml:space="preserve"> </w:t>
      </w:r>
    </w:p>
    <w:p w14:paraId="56CD36BA" w14:textId="77777777" w:rsidR="00C83FFE" w:rsidRDefault="00C83FFE" w:rsidP="00355060"/>
    <w:p w14:paraId="26067726" w14:textId="26074993" w:rsidR="00355060" w:rsidRDefault="0061356B" w:rsidP="00355060">
      <w:r>
        <w:t>Istovremeno, p</w:t>
      </w:r>
      <w:r w:rsidR="00355060" w:rsidRPr="003B680B">
        <w:t>o modelu novčane pomoći koja je uvedena novim zakonom (tzv. samoobnove) gdje se sva sredstva potrebna za obnovu uplaćuju unaprijed na zasebne račune građana, do</w:t>
      </w:r>
      <w:r w:rsidR="00C83FFE">
        <w:t xml:space="preserve"> 31. prosinca 2023.</w:t>
      </w:r>
      <w:r w:rsidR="00355060" w:rsidRPr="003B680B">
        <w:t xml:space="preserve"> za obnovu</w:t>
      </w:r>
      <w:r w:rsidR="00C83FFE">
        <w:t xml:space="preserve"> je</w:t>
      </w:r>
      <w:r w:rsidR="00355060" w:rsidRPr="003B680B">
        <w:t xml:space="preserve"> </w:t>
      </w:r>
      <w:r w:rsidR="00C83FFE" w:rsidRPr="003B680B">
        <w:t xml:space="preserve">na 547 posebnih računa građana </w:t>
      </w:r>
      <w:r w:rsidR="00355060" w:rsidRPr="003B680B">
        <w:t>isplaćeno 41 milijun</w:t>
      </w:r>
      <w:r w:rsidR="00C83FFE">
        <w:t>a</w:t>
      </w:r>
      <w:r w:rsidR="00355060" w:rsidRPr="003B680B">
        <w:t xml:space="preserve"> eura. </w:t>
      </w:r>
    </w:p>
    <w:p w14:paraId="40C71F59" w14:textId="77777777" w:rsidR="00207FDC" w:rsidRDefault="00207FDC" w:rsidP="00355060"/>
    <w:p w14:paraId="2A72F880" w14:textId="754C758A" w:rsidR="00B83CCD" w:rsidRPr="00B83CCD" w:rsidRDefault="00B83CCD" w:rsidP="00B83CCD">
      <w:r w:rsidRPr="00B83CCD">
        <w:t xml:space="preserve">Značajan porast zabilježen je i u pripremi te objavi postupaka nabave za radove i usluge u obnovi pa je tako tijekom 2023. godine pokrenuto </w:t>
      </w:r>
      <w:r w:rsidR="00FB7AAF">
        <w:t>313</w:t>
      </w:r>
      <w:r w:rsidRPr="00B83CCD">
        <w:t xml:space="preserve"> postupaka ukupne procijenjene vrijednosti </w:t>
      </w:r>
      <w:r w:rsidR="00FB7AAF">
        <w:t>225,2</w:t>
      </w:r>
      <w:r w:rsidRPr="00B83CCD">
        <w:t xml:space="preserve"> milijuna eura koje obuhvaćaju </w:t>
      </w:r>
      <w:r w:rsidR="00FB7AAF">
        <w:t>11</w:t>
      </w:r>
      <w:r w:rsidRPr="00B83CCD">
        <w:t>.</w:t>
      </w:r>
      <w:r w:rsidR="0086509B">
        <w:t>711</w:t>
      </w:r>
      <w:r w:rsidRPr="00B83CCD">
        <w:t xml:space="preserve"> različitih radova i usluga potrebnih za provedbu obnove na potresom pogođenim područjima. </w:t>
      </w:r>
    </w:p>
    <w:p w14:paraId="17B406CB" w14:textId="77777777" w:rsidR="00B83CCD" w:rsidRPr="00B83CCD" w:rsidRDefault="00B83CCD" w:rsidP="00B83CCD"/>
    <w:p w14:paraId="4E9AC9BB" w14:textId="3BB4340B" w:rsidR="00A436CB" w:rsidRDefault="00A436CB" w:rsidP="00A436CB">
      <w:r w:rsidRPr="003B680B">
        <w:t xml:space="preserve">Uz obnovu od potresa paralelno se provode aktivnosti vezane uz stambeno zbrinjavanje potresom pogođenog stanovništva. Stanovnici su neposredno nakon potresa smješteni u kontejnere koji su zbog proteka vremena postali neadekvatni za smještaj. Temeljem Vladinog Programa zbrinjavanja korisnika mobilnih stambenih jedinica iz veljače 2023. godine zatvorena su sva kontejnerska naselja na Banovini te je omogućen kvalitetniji i primjereniji smještaj stanovnika koji borave u kontejnerima ili nekom drugom vidu zamjenskog smještaja, a domovi im još nisu obnovljeni. Zamjenski smještaj osiguran je kroz 11 modela stambenog zbrinjavanja. </w:t>
      </w:r>
    </w:p>
    <w:p w14:paraId="755CE4D0" w14:textId="77777777" w:rsidR="00715266" w:rsidRDefault="00715266" w:rsidP="00B83CCD"/>
    <w:p w14:paraId="74A0955F" w14:textId="0EE19D1D" w:rsidR="00435698" w:rsidRDefault="008D1530" w:rsidP="008D1530">
      <w:r w:rsidRPr="008D1530">
        <w:lastRenderedPageBreak/>
        <w:t xml:space="preserve">S ciljem privremenog zbrinjavanja stanovništva na potresom pogođenom području, uz obnovu oštećenih zgrada i kuća, novim zakonskim rješenjem iz veljače 2023. godine omogućena je gradnja ukupno 36 zgrada </w:t>
      </w:r>
      <w:r w:rsidR="003D4BD8">
        <w:t xml:space="preserve">s ukupno 666 stanova </w:t>
      </w:r>
      <w:r w:rsidRPr="008D1530">
        <w:t xml:space="preserve">od kojih će njih 20 biti u Sisku, 8 u Petrinji, 2 u </w:t>
      </w:r>
      <w:proofErr w:type="spellStart"/>
      <w:r w:rsidRPr="008D1530">
        <w:t>Topuskom</w:t>
      </w:r>
      <w:proofErr w:type="spellEnd"/>
      <w:r w:rsidRPr="008D1530">
        <w:t xml:space="preserve"> te po jedna zgrada u Glini, Lekeniku, Kutini, Jasenovcu, Sunji i Hrvatskoj Kostajnici. Izgradanja se u potpunosti financira sredstvima državnog proračuna za što je osigurano 100 milijuna eura. </w:t>
      </w:r>
      <w:r w:rsidR="00435698">
        <w:t xml:space="preserve">Početak izgradnje na svim lokacijama očekuje se u prvom kvartalu 2024. godine. </w:t>
      </w:r>
    </w:p>
    <w:p w14:paraId="467050D1" w14:textId="77777777" w:rsidR="00435698" w:rsidRDefault="00435698" w:rsidP="008D1530"/>
    <w:p w14:paraId="1C2BB1DA" w14:textId="15C62559" w:rsidR="008D1530" w:rsidRDefault="008D1530" w:rsidP="008D1530">
      <w:r w:rsidRPr="008D1530">
        <w:t xml:space="preserve">Pored ovih zgrada na području Sisačko-moslavačke županije gradi se i 12 zgrada financiranih EU sredstvima u sklopu Operativnog programa konkurentnost i kohezija </w:t>
      </w:r>
      <w:r w:rsidR="003D4BD8">
        <w:t xml:space="preserve">2014.-2020. </w:t>
      </w:r>
      <w:r w:rsidRPr="008D1530">
        <w:t xml:space="preserve">dok je njih </w:t>
      </w:r>
      <w:r w:rsidR="003D4BD8">
        <w:t>8</w:t>
      </w:r>
      <w:r w:rsidRPr="008D1530">
        <w:t xml:space="preserve"> u Petrinji i </w:t>
      </w:r>
      <w:r w:rsidR="00435698">
        <w:t xml:space="preserve">četiri </w:t>
      </w:r>
      <w:r w:rsidRPr="008D1530">
        <w:t xml:space="preserve">u Glini završeno i useljeno krajem 2023. godine. </w:t>
      </w:r>
      <w:r w:rsidR="0061356B">
        <w:t xml:space="preserve"> </w:t>
      </w:r>
    </w:p>
    <w:p w14:paraId="48D7567E" w14:textId="77777777" w:rsidR="00435698" w:rsidRPr="008D1530" w:rsidRDefault="00435698" w:rsidP="008D1530"/>
    <w:p w14:paraId="34E9FEC8" w14:textId="40057909" w:rsidR="00715266" w:rsidRDefault="008D1530" w:rsidP="008D1530">
      <w:r w:rsidRPr="008D1530">
        <w:t xml:space="preserve">U cilju stambenog zbrinjavanja uređeno je i dano na raspolaganje </w:t>
      </w:r>
      <w:r w:rsidR="00DF7F3D">
        <w:t>157</w:t>
      </w:r>
      <w:r w:rsidRPr="008D1530">
        <w:t xml:space="preserve"> državnih stanova.</w:t>
      </w:r>
    </w:p>
    <w:p w14:paraId="3AA954B8" w14:textId="77777777" w:rsidR="00435698" w:rsidRDefault="00435698" w:rsidP="008D1530"/>
    <w:p w14:paraId="0FE01294" w14:textId="2F35BEC7" w:rsidR="00715266" w:rsidRDefault="0061356B" w:rsidP="00715266">
      <w:r>
        <w:t>Ujedno</w:t>
      </w:r>
      <w:r w:rsidR="00715266">
        <w:t>, završena je gradnja</w:t>
      </w:r>
      <w:r w:rsidR="00715266" w:rsidRPr="00076B3D">
        <w:t xml:space="preserve"> 1</w:t>
      </w:r>
      <w:r w:rsidR="00715266">
        <w:t>31</w:t>
      </w:r>
      <w:r w:rsidR="00715266" w:rsidRPr="00076B3D">
        <w:t xml:space="preserve"> </w:t>
      </w:r>
      <w:r w:rsidR="00C524F6">
        <w:t>drvene</w:t>
      </w:r>
      <w:r w:rsidR="00715266" w:rsidRPr="00076B3D">
        <w:t xml:space="preserve"> kuć</w:t>
      </w:r>
      <w:r w:rsidR="00715266">
        <w:t xml:space="preserve">e </w:t>
      </w:r>
      <w:r w:rsidR="00715266" w:rsidRPr="00076B3D">
        <w:t>u Petrinji</w:t>
      </w:r>
      <w:r w:rsidR="00715266">
        <w:t xml:space="preserve"> i </w:t>
      </w:r>
      <w:r w:rsidR="00715266" w:rsidRPr="00076B3D">
        <w:t>Glini</w:t>
      </w:r>
      <w:r w:rsidR="00715266">
        <w:t>,</w:t>
      </w:r>
      <w:r w:rsidR="00715266" w:rsidRPr="00076B3D">
        <w:t xml:space="preserve"> </w:t>
      </w:r>
      <w:r w:rsidR="00715266">
        <w:t xml:space="preserve">a radovi u tijeku </w:t>
      </w:r>
      <w:r>
        <w:t xml:space="preserve">su na </w:t>
      </w:r>
      <w:r w:rsidR="00715266">
        <w:t xml:space="preserve">još </w:t>
      </w:r>
      <w:r w:rsidR="00715266" w:rsidRPr="00076B3D">
        <w:t xml:space="preserve">35 </w:t>
      </w:r>
      <w:r w:rsidR="00715266">
        <w:t xml:space="preserve">kuća </w:t>
      </w:r>
      <w:r w:rsidR="00715266" w:rsidRPr="00076B3D">
        <w:t>u Sisku, a u koje će se također smještati korisnici koji čekaju obnovu svojih domova</w:t>
      </w:r>
      <w:r w:rsidR="00715266">
        <w:t xml:space="preserve"> a borave u kontejnerima</w:t>
      </w:r>
      <w:r w:rsidR="00715266" w:rsidRPr="00076B3D">
        <w:t xml:space="preserve">. </w:t>
      </w:r>
      <w:r w:rsidR="00DF7F3D">
        <w:t>Izrađ</w:t>
      </w:r>
      <w:r w:rsidR="0018757A">
        <w:t>ene su prve</w:t>
      </w:r>
      <w:r w:rsidR="00715266">
        <w:t xml:space="preserve"> </w:t>
      </w:r>
      <w:r w:rsidR="00715266" w:rsidRPr="00076B3D">
        <w:t>energetski</w:t>
      </w:r>
      <w:r w:rsidR="00715266">
        <w:t xml:space="preserve"> visoko učinkovite </w:t>
      </w:r>
      <w:r w:rsidR="00715266" w:rsidRPr="00076B3D">
        <w:t>mobiln</w:t>
      </w:r>
      <w:r w:rsidR="00715266">
        <w:t>e</w:t>
      </w:r>
      <w:r w:rsidR="00715266" w:rsidRPr="00076B3D">
        <w:t xml:space="preserve"> kuć</w:t>
      </w:r>
      <w:r w:rsidR="00715266">
        <w:t>e</w:t>
      </w:r>
      <w:r w:rsidR="00715266" w:rsidRPr="00076B3D">
        <w:t xml:space="preserve"> za privremeni smještaj korisnika kontejnerskog smještaja. </w:t>
      </w:r>
    </w:p>
    <w:p w14:paraId="5FD208D4" w14:textId="77777777" w:rsidR="00715266" w:rsidRDefault="00715266" w:rsidP="00B83CCD"/>
    <w:p w14:paraId="57A5BE91" w14:textId="771FC32E" w:rsidR="004E7D4D" w:rsidRDefault="004E7D4D" w:rsidP="004E7D4D">
      <w:r w:rsidRPr="003B680B">
        <w:t xml:space="preserve">Vlada </w:t>
      </w:r>
      <w:r>
        <w:t xml:space="preserve">Republike Hrvatske </w:t>
      </w:r>
      <w:r w:rsidRPr="003B680B">
        <w:t>kontinuirano radi i na tome da olakša troškove života stanovnika Banovine, pa su tako odlukama Vlade</w:t>
      </w:r>
      <w:r>
        <w:t xml:space="preserve"> Republike Hrvatske</w:t>
      </w:r>
      <w:r w:rsidRPr="003B680B">
        <w:t xml:space="preserve"> osigurane subvencije za toplinsku i električnu energiju, besplatan prijevoz vlakom, uz besplatnu vožnju autocestom, a jednako tako i otpisivanje potraživanja kada je riječ o pristojbama. Uvedene su subvencije za režijske troškove, a sufinancira se najamnina i trajnog i privremenog smještaja. </w:t>
      </w:r>
    </w:p>
    <w:p w14:paraId="0C8CA575" w14:textId="77777777" w:rsidR="004E7D4D" w:rsidRPr="003B680B" w:rsidRDefault="004E7D4D" w:rsidP="004E7D4D"/>
    <w:p w14:paraId="0AB438BF" w14:textId="44D8F2E8" w:rsidR="004E7D4D" w:rsidRPr="003B680B" w:rsidRDefault="004E7D4D" w:rsidP="004E7D4D">
      <w:r w:rsidRPr="003B680B">
        <w:t xml:space="preserve">Vlada </w:t>
      </w:r>
      <w:r>
        <w:t xml:space="preserve">Republike Hrvatske </w:t>
      </w:r>
      <w:r w:rsidRPr="003B680B">
        <w:t xml:space="preserve">je za obnovu osigurala dvije i pol milijarde eura europskih sredstava, pa je tako iz Fonda solidarnosti </w:t>
      </w:r>
      <w:r>
        <w:t xml:space="preserve">EU </w:t>
      </w:r>
      <w:r w:rsidRPr="003B680B">
        <w:t xml:space="preserve">osigurano </w:t>
      </w:r>
      <w:r>
        <w:t>1,003 milijarde eura</w:t>
      </w:r>
      <w:r w:rsidRPr="003B680B">
        <w:t xml:space="preserve">, a iz Nacionalnog plana oporavka i otpornosti osigurano još </w:t>
      </w:r>
      <w:r w:rsidR="00853F57">
        <w:t>1,55 milijardi</w:t>
      </w:r>
      <w:r w:rsidRPr="003B680B">
        <w:t xml:space="preserve"> eura.  Dosad je utrošeno 2,2 milijarde eura za obnovu i revitalizaciju, a kombinacijom europskih i nacionalnih sredstava sve zajedno angažirat će se 3,3 milijarde eura za proces obnove</w:t>
      </w:r>
      <w:r w:rsidR="00C23A08">
        <w:t xml:space="preserve"> javne imovine</w:t>
      </w:r>
      <w:r w:rsidRPr="003B680B">
        <w:t xml:space="preserve"> Zagreba i Banovine.</w:t>
      </w:r>
    </w:p>
    <w:p w14:paraId="4A0C10BF" w14:textId="77777777" w:rsidR="006F2520" w:rsidRDefault="006F2520" w:rsidP="00765236"/>
    <w:p w14:paraId="1C7646F8" w14:textId="77687458" w:rsidR="006F2520" w:rsidRPr="00765236" w:rsidRDefault="006F2520" w:rsidP="00765236">
      <w:r w:rsidRPr="0061356B">
        <w:t>Pozitivni pokazatelji u obnovi javnih zgrada jasno su vidljivi obzirom da su sva dodijeljena sredstava iz FSEU-a iskorištena u cijelosti, a projekti cjelovite obnove se nastavljaju provoditi  iz Mehanizma za oporavak i otpornost.</w:t>
      </w:r>
    </w:p>
    <w:p w14:paraId="3144474E" w14:textId="484AEF8B" w:rsidR="00076B3D" w:rsidRDefault="00076B3D" w:rsidP="00477F44"/>
    <w:p w14:paraId="3B25DCF6" w14:textId="7618B381" w:rsidR="001C230E" w:rsidRDefault="001C230E">
      <w:pPr>
        <w:spacing w:after="160" w:line="259" w:lineRule="auto"/>
        <w:jc w:val="left"/>
      </w:pPr>
      <w:r>
        <w:br w:type="page"/>
      </w:r>
    </w:p>
    <w:p w14:paraId="1AAD6E32" w14:textId="791932AC" w:rsidR="00651AED" w:rsidRDefault="00651AED" w:rsidP="00AB0077">
      <w:pPr>
        <w:pStyle w:val="Heading1"/>
      </w:pPr>
      <w:bookmarkStart w:id="35" w:name="_Toc161040584"/>
      <w:r>
        <w:lastRenderedPageBreak/>
        <w:t>ZAKLJUČAK</w:t>
      </w:r>
      <w:bookmarkEnd w:id="35"/>
    </w:p>
    <w:p w14:paraId="4882C0EE" w14:textId="77777777" w:rsidR="00D53C5A" w:rsidRDefault="00D53C5A" w:rsidP="0044133A"/>
    <w:p w14:paraId="090343C3" w14:textId="7D9F0FD2" w:rsidR="00490D44" w:rsidRDefault="00490D44" w:rsidP="00490D44">
      <w:r>
        <w:t>Nakon novog zakonodavnog okvira</w:t>
      </w:r>
      <w:r w:rsidR="00CE48F3">
        <w:t xml:space="preserve"> u veljači 2023.</w:t>
      </w:r>
      <w:r>
        <w:t>, p</w:t>
      </w:r>
      <w:r w:rsidRPr="003B680B">
        <w:t xml:space="preserve">roces obnove je strukturiran, zakonski, financijski i operativno. </w:t>
      </w:r>
      <w:r w:rsidR="00AA480F">
        <w:t>O</w:t>
      </w:r>
      <w:r w:rsidRPr="003B680B">
        <w:t xml:space="preserve">bnova ima svoju dinamiku koja dolazi u onu fazu gdje su </w:t>
      </w:r>
      <w:r w:rsidR="00AF41CD">
        <w:t xml:space="preserve">dobro </w:t>
      </w:r>
      <w:r w:rsidRPr="003B680B">
        <w:t>vidljivi i opipljivi njezini rezultati.</w:t>
      </w:r>
    </w:p>
    <w:p w14:paraId="583CF1FD" w14:textId="77777777" w:rsidR="008A7264" w:rsidRDefault="008A7264" w:rsidP="00490D44"/>
    <w:p w14:paraId="3A82B715" w14:textId="77777777" w:rsidR="008A7264" w:rsidRDefault="008A7264" w:rsidP="008A7264">
      <w:r>
        <w:t>P</w:t>
      </w:r>
      <w:r w:rsidRPr="00845507">
        <w:t>ovećanjem kapaciteta i kvalitetnijom organizacijom na poslovima obnove</w:t>
      </w:r>
      <w:r>
        <w:t xml:space="preserve"> </w:t>
      </w:r>
      <w:r w:rsidRPr="00845507">
        <w:t>ubrzala se provedba obnove, što se očituje u značajnom povećanju broja donesenih akata, provedenih postupaka nabave i izvođenju radova odnosno otvaranju novih gradilišta.</w:t>
      </w:r>
    </w:p>
    <w:p w14:paraId="2DCA84B7" w14:textId="77777777" w:rsidR="00490D44" w:rsidRDefault="00490D44" w:rsidP="00B846A4"/>
    <w:p w14:paraId="661AA00E" w14:textId="1B395BE8" w:rsidR="00B846A4" w:rsidRPr="003B680B" w:rsidRDefault="0029305A" w:rsidP="00B846A4">
      <w:r w:rsidRPr="0029305A">
        <w:t xml:space="preserve">Govoreći o razmjerima obnove Banovine i Zagreba, radi se o povijesnoj obnovi </w:t>
      </w:r>
      <w:r w:rsidR="00517AD7">
        <w:t xml:space="preserve">zgrada ali </w:t>
      </w:r>
      <w:r w:rsidR="00AF41CD">
        <w:t xml:space="preserve">i </w:t>
      </w:r>
      <w:r w:rsidR="00517AD7">
        <w:t xml:space="preserve">revitalizaciji potresom pogođenog područja. </w:t>
      </w:r>
      <w:r w:rsidR="00421312">
        <w:t xml:space="preserve">Republika </w:t>
      </w:r>
      <w:r w:rsidR="00B846A4">
        <w:t>Hrvatsk</w:t>
      </w:r>
      <w:r w:rsidR="00421312">
        <w:t>a</w:t>
      </w:r>
      <w:r w:rsidR="00B846A4" w:rsidRPr="003B680B">
        <w:t xml:space="preserve"> je odbila povrat u prijašnje stanje te se odlučila na strateški koncept visokog protupotresnog suvremenog standarda i konstrukcijske obnove koji jest nešto sporiji i skuplji, ali je dugoročno sigurniji i isplativiji.</w:t>
      </w:r>
    </w:p>
    <w:p w14:paraId="6FABF0FF" w14:textId="267B1360" w:rsidR="00C82310" w:rsidRDefault="00C82310" w:rsidP="0044133A"/>
    <w:p w14:paraId="79200808" w14:textId="055315A6" w:rsidR="00CF45A8" w:rsidRPr="00CF45A8" w:rsidRDefault="00CF45A8" w:rsidP="00CF45A8">
      <w:r w:rsidRPr="00807D3F">
        <w:t>Z</w:t>
      </w:r>
      <w:r w:rsidRPr="00CF45A8">
        <w:t xml:space="preserve">avršeni su radovi </w:t>
      </w:r>
      <w:r w:rsidRPr="00807D3F">
        <w:t xml:space="preserve">obnove </w:t>
      </w:r>
      <w:r w:rsidRPr="00CF45A8">
        <w:t xml:space="preserve">na </w:t>
      </w:r>
      <w:r w:rsidR="00315CBA">
        <w:t>10</w:t>
      </w:r>
      <w:r w:rsidRPr="00CF45A8">
        <w:t>.</w:t>
      </w:r>
      <w:r w:rsidR="00315CBA">
        <w:t>4</w:t>
      </w:r>
      <w:r w:rsidR="007F4272">
        <w:t>17</w:t>
      </w:r>
      <w:r w:rsidRPr="00CF45A8">
        <w:t xml:space="preserve"> obiteljskih kuća i zgrada</w:t>
      </w:r>
      <w:r w:rsidR="00AB5090" w:rsidRPr="00807D3F">
        <w:t xml:space="preserve">, a </w:t>
      </w:r>
      <w:r w:rsidRPr="00CF45A8">
        <w:t xml:space="preserve">u obnovi je </w:t>
      </w:r>
      <w:r w:rsidR="00DA1681">
        <w:t>1.11</w:t>
      </w:r>
      <w:r w:rsidR="006108E4">
        <w:t>4</w:t>
      </w:r>
      <w:r w:rsidR="00DA1681">
        <w:t xml:space="preserve"> </w:t>
      </w:r>
      <w:r w:rsidRPr="00CF45A8">
        <w:t xml:space="preserve">gradilišta privatnih zgrada i kuća. </w:t>
      </w:r>
    </w:p>
    <w:p w14:paraId="7654CD55" w14:textId="77777777" w:rsidR="0044133A" w:rsidRPr="00845507" w:rsidRDefault="0044133A" w:rsidP="0044133A"/>
    <w:p w14:paraId="3C66447B" w14:textId="33FEF049" w:rsidR="005C3DA5" w:rsidRDefault="0044133A" w:rsidP="0044133A">
      <w:r w:rsidRPr="00845507">
        <w:t>Uz organiziranu obnovu, regulatornim izmjenama unaprijedio se proces samoobnove</w:t>
      </w:r>
      <w:r w:rsidR="00AB5090">
        <w:t xml:space="preserve"> koji se u kratkom vremenu pokazao </w:t>
      </w:r>
      <w:r w:rsidR="00703B5A">
        <w:t>iznimno prihvatljivim modelom od strane korisnika</w:t>
      </w:r>
      <w:r w:rsidR="00C65CFC">
        <w:t xml:space="preserve"> </w:t>
      </w:r>
      <w:r w:rsidR="00C65CFC" w:rsidRPr="00B972BF">
        <w:t xml:space="preserve">te je u </w:t>
      </w:r>
      <w:r w:rsidR="00315CBA">
        <w:t xml:space="preserve">2023. godini </w:t>
      </w:r>
      <w:r w:rsidR="00C65CFC" w:rsidRPr="00B972BF">
        <w:t xml:space="preserve">isplaćeno </w:t>
      </w:r>
      <w:r w:rsidR="00E6530B">
        <w:t>125</w:t>
      </w:r>
      <w:r w:rsidR="00C65CFC" w:rsidRPr="00B972BF">
        <w:t>,</w:t>
      </w:r>
      <w:r w:rsidR="00E6530B">
        <w:t>7</w:t>
      </w:r>
      <w:r w:rsidR="00C65CFC" w:rsidRPr="00B972BF">
        <w:t xml:space="preserve"> milijuna eura novčanih pomoći što je </w:t>
      </w:r>
      <w:r w:rsidR="00E6530B">
        <w:t xml:space="preserve">pet puta </w:t>
      </w:r>
      <w:r w:rsidR="00C65CFC" w:rsidRPr="00B972BF">
        <w:t xml:space="preserve">veći iznos </w:t>
      </w:r>
      <w:r w:rsidR="00E6530B">
        <w:t xml:space="preserve">u odnosu na ukupno ostvarenje </w:t>
      </w:r>
      <w:r w:rsidR="00C65CFC" w:rsidRPr="00B972BF">
        <w:t xml:space="preserve">od početka obnove do </w:t>
      </w:r>
      <w:r w:rsidR="008B7703">
        <w:t>31. prosinca 2022.</w:t>
      </w:r>
      <w:r w:rsidR="00FA752A">
        <w:t xml:space="preserve"> godine. </w:t>
      </w:r>
    </w:p>
    <w:p w14:paraId="09FA6655" w14:textId="77777777" w:rsidR="005C3DA5" w:rsidRPr="00C9549D" w:rsidRDefault="005C3DA5" w:rsidP="005C3DA5"/>
    <w:p w14:paraId="0E2A3006" w14:textId="57464B74" w:rsidR="00440D6C" w:rsidRDefault="00CE48F3" w:rsidP="00440D6C">
      <w:pPr>
        <w:rPr>
          <w:bCs/>
        </w:rPr>
      </w:pPr>
      <w:r>
        <w:t xml:space="preserve">Iznimni rezultati </w:t>
      </w:r>
      <w:r w:rsidR="0044133A" w:rsidRPr="00845507">
        <w:t>očituju se i</w:t>
      </w:r>
      <w:r w:rsidR="005E4420">
        <w:t xml:space="preserve"> u obnovi zgrada javne namjene i infrastrukture </w:t>
      </w:r>
      <w:r w:rsidR="006868C9">
        <w:t xml:space="preserve">za čiju </w:t>
      </w:r>
      <w:r w:rsidR="008E0E7C">
        <w:t>je</w:t>
      </w:r>
      <w:r w:rsidR="006868C9">
        <w:t xml:space="preserve"> obnovu osiguran</w:t>
      </w:r>
      <w:r w:rsidR="008E0E7C">
        <w:t xml:space="preserve">o </w:t>
      </w:r>
      <w:r w:rsidR="007E550A">
        <w:t>1,003 milijardi eura</w:t>
      </w:r>
      <w:r>
        <w:t xml:space="preserve"> iz</w:t>
      </w:r>
      <w:r w:rsidR="007E550A">
        <w:t xml:space="preserve"> </w:t>
      </w:r>
      <w:r w:rsidR="006868C9">
        <w:t>F</w:t>
      </w:r>
      <w:r w:rsidR="00AA480F">
        <w:t>SEU</w:t>
      </w:r>
      <w:r w:rsidR="0082222B">
        <w:t>.</w:t>
      </w:r>
      <w:r>
        <w:t xml:space="preserve"> </w:t>
      </w:r>
      <w:r w:rsidR="00440D6C">
        <w:rPr>
          <w:bCs/>
        </w:rPr>
        <w:t>Tijekom izvršenja financijskog doprinosa preko 600 korisnika provodilo</w:t>
      </w:r>
      <w:r w:rsidR="00440D6C" w:rsidRPr="008676CB">
        <w:rPr>
          <w:bCs/>
        </w:rPr>
        <w:t xml:space="preserve"> </w:t>
      </w:r>
      <w:r w:rsidR="00440D6C">
        <w:rPr>
          <w:bCs/>
        </w:rPr>
        <w:t xml:space="preserve">je </w:t>
      </w:r>
      <w:r w:rsidR="00440D6C" w:rsidRPr="008676CB">
        <w:rPr>
          <w:bCs/>
        </w:rPr>
        <w:t>1</w:t>
      </w:r>
      <w:r w:rsidR="00FA752A">
        <w:rPr>
          <w:bCs/>
        </w:rPr>
        <w:t>.</w:t>
      </w:r>
      <w:r w:rsidR="00440D6C" w:rsidRPr="008676CB">
        <w:rPr>
          <w:bCs/>
        </w:rPr>
        <w:t>3</w:t>
      </w:r>
      <w:r w:rsidR="00440D6C">
        <w:rPr>
          <w:bCs/>
        </w:rPr>
        <w:t>10</w:t>
      </w:r>
      <w:r w:rsidR="00440D6C" w:rsidRPr="008676CB">
        <w:rPr>
          <w:bCs/>
        </w:rPr>
        <w:t xml:space="preserve"> </w:t>
      </w:r>
      <w:r w:rsidR="00D738D4">
        <w:rPr>
          <w:bCs/>
        </w:rPr>
        <w:t xml:space="preserve">projekata </w:t>
      </w:r>
      <w:r w:rsidR="00440D6C">
        <w:rPr>
          <w:bCs/>
        </w:rPr>
        <w:t xml:space="preserve">na kojima </w:t>
      </w:r>
      <w:r>
        <w:rPr>
          <w:bCs/>
        </w:rPr>
        <w:t>je</w:t>
      </w:r>
      <w:r w:rsidR="00440D6C">
        <w:rPr>
          <w:bCs/>
        </w:rPr>
        <w:t xml:space="preserve"> angažiran</w:t>
      </w:r>
      <w:r>
        <w:rPr>
          <w:bCs/>
        </w:rPr>
        <w:t>o</w:t>
      </w:r>
      <w:r w:rsidR="00440D6C" w:rsidRPr="008676CB">
        <w:rPr>
          <w:bCs/>
        </w:rPr>
        <w:t xml:space="preserve"> 30</w:t>
      </w:r>
      <w:r w:rsidR="00440D6C">
        <w:rPr>
          <w:bCs/>
        </w:rPr>
        <w:t>9</w:t>
      </w:r>
      <w:r w:rsidR="00440D6C" w:rsidRPr="008676CB">
        <w:rPr>
          <w:bCs/>
        </w:rPr>
        <w:t xml:space="preserve"> građevinsk</w:t>
      </w:r>
      <w:r w:rsidR="00440D6C">
        <w:rPr>
          <w:bCs/>
        </w:rPr>
        <w:t>ih</w:t>
      </w:r>
      <w:r w:rsidR="00440D6C" w:rsidRPr="008676CB">
        <w:rPr>
          <w:bCs/>
        </w:rPr>
        <w:t xml:space="preserve"> tvrtk</w:t>
      </w:r>
      <w:r w:rsidR="00440D6C">
        <w:rPr>
          <w:bCs/>
        </w:rPr>
        <w:t>i</w:t>
      </w:r>
      <w:r>
        <w:rPr>
          <w:bCs/>
        </w:rPr>
        <w:t xml:space="preserve"> </w:t>
      </w:r>
      <w:r w:rsidR="00AA480F">
        <w:rPr>
          <w:bCs/>
        </w:rPr>
        <w:t>i</w:t>
      </w:r>
      <w:r w:rsidR="00D738D4">
        <w:rPr>
          <w:bCs/>
        </w:rPr>
        <w:t xml:space="preserve"> </w:t>
      </w:r>
      <w:r>
        <w:rPr>
          <w:bCs/>
        </w:rPr>
        <w:t xml:space="preserve">preko </w:t>
      </w:r>
      <w:r w:rsidR="00440D6C" w:rsidRPr="008676CB">
        <w:rPr>
          <w:bCs/>
        </w:rPr>
        <w:t>10.500 građevinskih radnika.</w:t>
      </w:r>
    </w:p>
    <w:p w14:paraId="0381017E" w14:textId="77777777" w:rsidR="00440D6C" w:rsidRDefault="00440D6C" w:rsidP="00440D6C">
      <w:pPr>
        <w:rPr>
          <w:bCs/>
        </w:rPr>
      </w:pPr>
    </w:p>
    <w:p w14:paraId="0722F1CE" w14:textId="77777777" w:rsidR="00440D6C" w:rsidRDefault="00440D6C" w:rsidP="00440D6C">
      <w:pPr>
        <w:rPr>
          <w:bCs/>
        </w:rPr>
      </w:pPr>
      <w:r w:rsidRPr="008676CB">
        <w:rPr>
          <w:bCs/>
        </w:rPr>
        <w:t>Zahvaljujući intenzivnim naporima Vlade</w:t>
      </w:r>
      <w:r>
        <w:rPr>
          <w:bCs/>
        </w:rPr>
        <w:t xml:space="preserve"> Republike Hrvatske</w:t>
      </w:r>
      <w:r w:rsidRPr="008676CB">
        <w:rPr>
          <w:bCs/>
        </w:rPr>
        <w:t xml:space="preserve">, nadležnih </w:t>
      </w:r>
      <w:r>
        <w:rPr>
          <w:bCs/>
        </w:rPr>
        <w:t>m</w:t>
      </w:r>
      <w:r w:rsidRPr="008676CB">
        <w:rPr>
          <w:bCs/>
        </w:rPr>
        <w:t xml:space="preserve">inistarstava, </w:t>
      </w:r>
      <w:r>
        <w:rPr>
          <w:bCs/>
        </w:rPr>
        <w:t>ž</w:t>
      </w:r>
      <w:r w:rsidRPr="008676CB">
        <w:rPr>
          <w:bCs/>
        </w:rPr>
        <w:t xml:space="preserve">upanija i Grada Zagreba kao i čitave stručne operative: projektanata, nadzornih inženjera i izvođača sva sredstva osigurana za obnovu iz </w:t>
      </w:r>
      <w:r>
        <w:rPr>
          <w:bCs/>
        </w:rPr>
        <w:t>FSEU-a</w:t>
      </w:r>
      <w:r w:rsidRPr="008676CB">
        <w:rPr>
          <w:bCs/>
        </w:rPr>
        <w:t xml:space="preserve"> u cijelosti su iskorištena</w:t>
      </w:r>
      <w:r>
        <w:rPr>
          <w:bCs/>
        </w:rPr>
        <w:t xml:space="preserve">. </w:t>
      </w:r>
    </w:p>
    <w:p w14:paraId="62A313B2" w14:textId="77777777" w:rsidR="00440D6C" w:rsidRDefault="00440D6C" w:rsidP="00440D6C">
      <w:pPr>
        <w:rPr>
          <w:bCs/>
        </w:rPr>
      </w:pPr>
    </w:p>
    <w:p w14:paraId="253785C8" w14:textId="77777777" w:rsidR="00440D6C" w:rsidRDefault="00440D6C" w:rsidP="00440D6C">
      <w:pPr>
        <w:rPr>
          <w:bCs/>
        </w:rPr>
      </w:pPr>
      <w:r>
        <w:rPr>
          <w:bCs/>
        </w:rPr>
        <w:t xml:space="preserve">U okviru FSEU-a ukupno </w:t>
      </w:r>
      <w:r w:rsidRPr="0007537E">
        <w:rPr>
          <w:bCs/>
        </w:rPr>
        <w:t xml:space="preserve">je verificirano 1,55 milijardi eura prihvatljivog </w:t>
      </w:r>
      <w:r>
        <w:rPr>
          <w:bCs/>
        </w:rPr>
        <w:t>troška, odnosno 155% ukupno dodijeljene alokacije, od čega je za zagrebački potres 928,41 milijuna eura, a za petrinjski 624,80 milijuna eura.</w:t>
      </w:r>
    </w:p>
    <w:p w14:paraId="5E1415A2" w14:textId="77777777" w:rsidR="00440D6C" w:rsidRDefault="00440D6C" w:rsidP="00440D6C">
      <w:pPr>
        <w:rPr>
          <w:bCs/>
        </w:rPr>
      </w:pPr>
    </w:p>
    <w:p w14:paraId="1CBBE82C" w14:textId="77777777" w:rsidR="00491191" w:rsidRDefault="00440D6C" w:rsidP="00440D6C">
      <w:pPr>
        <w:rPr>
          <w:bCs/>
        </w:rPr>
      </w:pPr>
      <w:r w:rsidRPr="00B8174C">
        <w:rPr>
          <w:bCs/>
        </w:rPr>
        <w:t>Sredstva su utrošena za obnovu: 1</w:t>
      </w:r>
      <w:r>
        <w:rPr>
          <w:bCs/>
        </w:rPr>
        <w:t>63</w:t>
      </w:r>
      <w:r w:rsidRPr="00B8174C">
        <w:rPr>
          <w:bCs/>
        </w:rPr>
        <w:t xml:space="preserve"> škola i vrtića, 26 fakulteta, 1</w:t>
      </w:r>
      <w:r>
        <w:rPr>
          <w:bCs/>
        </w:rPr>
        <w:t>7</w:t>
      </w:r>
      <w:r w:rsidRPr="00B8174C">
        <w:rPr>
          <w:bCs/>
        </w:rPr>
        <w:t xml:space="preserve"> bolnica i </w:t>
      </w:r>
      <w:r>
        <w:rPr>
          <w:bCs/>
        </w:rPr>
        <w:t>4</w:t>
      </w:r>
      <w:r w:rsidRPr="00B8174C">
        <w:rPr>
          <w:bCs/>
        </w:rPr>
        <w:t xml:space="preserve">5 drugih zdravstvenih ustanova, </w:t>
      </w:r>
      <w:r w:rsidR="001C6BFD">
        <w:rPr>
          <w:bCs/>
        </w:rPr>
        <w:t>293</w:t>
      </w:r>
      <w:r w:rsidRPr="00B8174C">
        <w:rPr>
          <w:bCs/>
        </w:rPr>
        <w:t xml:space="preserve"> zgrad</w:t>
      </w:r>
      <w:r w:rsidR="001C6BFD">
        <w:rPr>
          <w:bCs/>
        </w:rPr>
        <w:t>e</w:t>
      </w:r>
      <w:r w:rsidRPr="00B8174C">
        <w:rPr>
          <w:bCs/>
        </w:rPr>
        <w:t xml:space="preserve"> kulture i kulturne baštine, 600 km prometnica, 77 mostova, 6 km tramvajske pruge, 28 km nasipa i </w:t>
      </w:r>
      <w:proofErr w:type="spellStart"/>
      <w:r w:rsidRPr="00B8174C">
        <w:rPr>
          <w:bCs/>
        </w:rPr>
        <w:t>obaloutvrda</w:t>
      </w:r>
      <w:proofErr w:type="spellEnd"/>
      <w:r w:rsidRPr="00B8174C">
        <w:rPr>
          <w:bCs/>
        </w:rPr>
        <w:t>, 100 km mreže vodoopskrbe i odvodnje, a sanirano je 217 klizišta i 108 urušenih vrtača.</w:t>
      </w:r>
      <w:r w:rsidR="0026616D" w:rsidRPr="0026616D">
        <w:rPr>
          <w:bCs/>
        </w:rPr>
        <w:t xml:space="preserve"> </w:t>
      </w:r>
    </w:p>
    <w:p w14:paraId="3221EFE0" w14:textId="77777777" w:rsidR="00491191" w:rsidRDefault="00491191" w:rsidP="00440D6C">
      <w:pPr>
        <w:rPr>
          <w:bCs/>
        </w:rPr>
      </w:pPr>
    </w:p>
    <w:p w14:paraId="012FD2A6" w14:textId="4F84D919" w:rsidR="00B82C72" w:rsidRPr="00B82C72" w:rsidRDefault="004975F3" w:rsidP="00B82C72">
      <w:pPr>
        <w:rPr>
          <w:bCs/>
        </w:rPr>
      </w:pPr>
      <w:r w:rsidRPr="004975F3">
        <w:rPr>
          <w:bCs/>
        </w:rPr>
        <w:lastRenderedPageBreak/>
        <w:t>Kombinacijom europskih i nacionalnih sredstava provest će se projekti obnove javne imovine ukupne vrijednosti 3,3 milijarde eura, a na obnovu Zagreba i Banovine dosad je utrošeno sveukupno 2,2 milijarde eura.</w:t>
      </w:r>
    </w:p>
    <w:p w14:paraId="35A158DE" w14:textId="77777777" w:rsidR="00552C2B" w:rsidRPr="00C9549D" w:rsidRDefault="00552C2B" w:rsidP="00477F44"/>
    <w:p w14:paraId="2EBDE460" w14:textId="4D30B6C1" w:rsidR="004A28A3" w:rsidRPr="004A28A3" w:rsidRDefault="0081575A" w:rsidP="004A28A3">
      <w:r>
        <w:t xml:space="preserve">U cilju </w:t>
      </w:r>
      <w:proofErr w:type="spellStart"/>
      <w:r>
        <w:t>transparentnije</w:t>
      </w:r>
      <w:r w:rsidR="000B19E4">
        <w:t>g</w:t>
      </w:r>
      <w:proofErr w:type="spellEnd"/>
      <w:r>
        <w:t xml:space="preserve"> i preglednije</w:t>
      </w:r>
      <w:r w:rsidR="000B19E4">
        <w:t>g</w:t>
      </w:r>
      <w:r w:rsidR="004A28A3">
        <w:t xml:space="preserve"> praćenja</w:t>
      </w:r>
      <w:r w:rsidR="00F163D3">
        <w:t xml:space="preserve"> obnove, Ministarstvo je</w:t>
      </w:r>
      <w:r w:rsidR="004A28A3" w:rsidRPr="004A28A3">
        <w:t xml:space="preserve"> internim resursima u svibnju 2023. godine izradilo mrežnu aplikaciju koja na jednom mjestu pruža sve informacije o trenutnom statusu obnove privatnih zgrada i kuća.</w:t>
      </w:r>
    </w:p>
    <w:p w14:paraId="45EF0720" w14:textId="77777777" w:rsidR="004A28A3" w:rsidRPr="004A28A3" w:rsidRDefault="004A28A3" w:rsidP="004A28A3"/>
    <w:p w14:paraId="7DF11EB4" w14:textId="3622077F" w:rsidR="004A28A3" w:rsidRPr="004A28A3" w:rsidRDefault="004A28A3" w:rsidP="004A28A3">
      <w:r w:rsidRPr="004A28A3">
        <w:t xml:space="preserve">Aplikacija sadrži popis svih lokacija za koje je zatražena obnova, a moguće ih je pretraživati po adresi i OIB-u podnositelja zahtjeva. </w:t>
      </w:r>
      <w:r w:rsidR="009817B0">
        <w:t xml:space="preserve"> </w:t>
      </w:r>
      <w:r w:rsidRPr="004A28A3">
        <w:t>Odabirom pojedine adrese prikazuje se trenutni status obnove za svaki zaprimljeni zahtjev za obnovu uz grafički prikaz na statusnoj traci koji prikazuje trenutnu fazu u kojoj se nalazi pojedini zahtjev.</w:t>
      </w:r>
    </w:p>
    <w:p w14:paraId="2633D58E" w14:textId="77777777" w:rsidR="004A28A3" w:rsidRPr="004A28A3" w:rsidRDefault="004A28A3" w:rsidP="004A28A3"/>
    <w:p w14:paraId="1D27EA77" w14:textId="6605E886" w:rsidR="006045A1" w:rsidRDefault="004A28A3" w:rsidP="00884BDB">
      <w:r w:rsidRPr="004A28A3">
        <w:t>Uz prikaz geografskih lokacija privatnih nekretnina na interaktivnoj karti, omogućen je i prikaz lokacija javnih zgrada i infrastrukture čija je obnova financirana sredstvima F</w:t>
      </w:r>
      <w:r w:rsidR="00CE1E0E">
        <w:t>SEU-a</w:t>
      </w:r>
      <w:r w:rsidRPr="004A28A3">
        <w:t>.</w:t>
      </w:r>
      <w:r w:rsidR="00286180">
        <w:t xml:space="preserve"> </w:t>
      </w:r>
    </w:p>
    <w:p w14:paraId="6FB6115B" w14:textId="77777777" w:rsidR="006045A1" w:rsidRDefault="006045A1" w:rsidP="00884BDB"/>
    <w:p w14:paraId="75362EE0" w14:textId="1F5A8BE8" w:rsidR="00884BDB" w:rsidRDefault="004A28A3" w:rsidP="00884BDB">
      <w:r>
        <w:t>Aplikacija je dostup</w:t>
      </w:r>
      <w:r w:rsidR="00437531">
        <w:t>n</w:t>
      </w:r>
      <w:r>
        <w:t xml:space="preserve">a na: </w:t>
      </w:r>
      <w:hyperlink r:id="rId34" w:history="1">
        <w:r w:rsidR="00884BDB" w:rsidRPr="00B03D75">
          <w:rPr>
            <w:rStyle w:val="Hyperlink"/>
          </w:rPr>
          <w:t>https://obnova.mpgi.hr/</w:t>
        </w:r>
      </w:hyperlink>
      <w:r w:rsidR="007A5B4E">
        <w:t xml:space="preserve">    </w:t>
      </w:r>
    </w:p>
    <w:p w14:paraId="3E9BB47F" w14:textId="77777777" w:rsidR="00AF517C" w:rsidRDefault="00AF517C" w:rsidP="00884BDB"/>
    <w:p w14:paraId="7569FAB2" w14:textId="77777777" w:rsidR="00AF517C" w:rsidRDefault="003626C4" w:rsidP="00AF517C">
      <w:pPr>
        <w:rPr>
          <w:sz w:val="22"/>
          <w:szCs w:val="22"/>
        </w:rPr>
      </w:pPr>
      <w:r>
        <w:rPr>
          <w:sz w:val="22"/>
          <w:szCs w:val="22"/>
        </w:rPr>
        <w:t xml:space="preserve">                                                                                      </w:t>
      </w:r>
    </w:p>
    <w:p w14:paraId="3B13D651" w14:textId="77777777" w:rsidR="0013275C" w:rsidRDefault="00AF517C" w:rsidP="00AF517C">
      <w:r>
        <w:rPr>
          <w:sz w:val="22"/>
          <w:szCs w:val="22"/>
        </w:rPr>
        <w:t xml:space="preserve">                                                                  </w:t>
      </w:r>
      <w:r w:rsidR="0081768E">
        <w:rPr>
          <w:sz w:val="22"/>
          <w:szCs w:val="22"/>
        </w:rPr>
        <w:t xml:space="preserve"> </w:t>
      </w:r>
      <w:r w:rsidR="0096675E">
        <w:t xml:space="preserve">    </w:t>
      </w:r>
      <w:r w:rsidR="003626C4" w:rsidRPr="005C5F00">
        <w:rPr>
          <w:noProof/>
          <w:lang w:eastAsia="hr-HR"/>
        </w:rPr>
        <w:drawing>
          <wp:inline distT="0" distB="0" distL="0" distR="0" wp14:anchorId="106FEAD3" wp14:editId="435711CE">
            <wp:extent cx="740228" cy="747495"/>
            <wp:effectExtent l="0" t="0" r="3175" b="0"/>
            <wp:docPr id="455301743" name="Slika 45530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4938" cy="752251"/>
                    </a:xfrm>
                    <a:prstGeom prst="rect">
                      <a:avLst/>
                    </a:prstGeom>
                    <a:noFill/>
                    <a:ln>
                      <a:noFill/>
                    </a:ln>
                  </pic:spPr>
                </pic:pic>
              </a:graphicData>
            </a:graphic>
          </wp:inline>
        </w:drawing>
      </w:r>
      <w:r w:rsidR="005C5F00">
        <w:t xml:space="preserve">          </w:t>
      </w:r>
    </w:p>
    <w:p w14:paraId="5855C7E0" w14:textId="77777777" w:rsidR="0013275C" w:rsidRDefault="0013275C" w:rsidP="00AF517C"/>
    <w:p w14:paraId="57559D3F" w14:textId="5BC8EF49" w:rsidR="00884BDB" w:rsidRPr="000A132C" w:rsidRDefault="00884BDB" w:rsidP="00BB043D">
      <w:pPr>
        <w:spacing w:line="240" w:lineRule="auto"/>
        <w:rPr>
          <w:strike/>
        </w:rPr>
      </w:pPr>
    </w:p>
    <w:sectPr w:rsidR="00884BDB" w:rsidRPr="000A132C" w:rsidSect="006F2AB1">
      <w:footerReference w:type="first" r:id="rId36"/>
      <w:pgSz w:w="11906" w:h="16838"/>
      <w:pgMar w:top="1418" w:right="1418" w:bottom="1418" w:left="1418"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DA15" w14:textId="77777777" w:rsidR="006F2AB1" w:rsidRDefault="006F2AB1" w:rsidP="00477F44">
      <w:r>
        <w:separator/>
      </w:r>
    </w:p>
    <w:p w14:paraId="40B439A3" w14:textId="77777777" w:rsidR="006F2AB1" w:rsidRDefault="006F2AB1" w:rsidP="00477F44"/>
  </w:endnote>
  <w:endnote w:type="continuationSeparator" w:id="0">
    <w:p w14:paraId="6058122C" w14:textId="77777777" w:rsidR="006F2AB1" w:rsidRDefault="006F2AB1" w:rsidP="00477F44">
      <w:r>
        <w:continuationSeparator/>
      </w:r>
    </w:p>
    <w:p w14:paraId="2DBE190C" w14:textId="77777777" w:rsidR="006F2AB1" w:rsidRDefault="006F2AB1" w:rsidP="00477F44"/>
  </w:endnote>
  <w:endnote w:type="continuationNotice" w:id="1">
    <w:p w14:paraId="039C5DE8" w14:textId="77777777" w:rsidR="006F2AB1" w:rsidRDefault="006F2AB1" w:rsidP="00477F44"/>
    <w:p w14:paraId="20CB2DE1" w14:textId="77777777" w:rsidR="006F2AB1" w:rsidRDefault="006F2AB1" w:rsidP="00477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F937" w14:textId="77777777" w:rsidR="00BE7EC6" w:rsidRDefault="00BE7EC6" w:rsidP="00477F4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07AF938" w14:textId="77777777" w:rsidR="00BE7EC6" w:rsidRDefault="00BE7EC6" w:rsidP="00477F44">
    <w:pPr>
      <w:pStyle w:val="Footer"/>
    </w:pPr>
  </w:p>
  <w:p w14:paraId="2078E4D4" w14:textId="77777777" w:rsidR="00BE7EC6" w:rsidRDefault="00BE7EC6" w:rsidP="00477F44"/>
  <w:p w14:paraId="4AD6F1C5" w14:textId="77777777" w:rsidR="00C03609" w:rsidRDefault="00C03609"/>
  <w:p w14:paraId="38571D64" w14:textId="77777777" w:rsidR="00C03609" w:rsidRDefault="00C036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C5BB" w14:textId="03A3ED0C" w:rsidR="00527E88" w:rsidRDefault="00527E88">
    <w:pPr>
      <w:pStyle w:val="Footer"/>
      <w:jc w:val="right"/>
    </w:pPr>
  </w:p>
  <w:p w14:paraId="0DFF86EE" w14:textId="77777777" w:rsidR="00C03609" w:rsidRDefault="00C036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532E" w14:textId="77777777" w:rsidR="001F5C66" w:rsidRDefault="001F5C66" w:rsidP="001F5C66">
    <w:pPr>
      <w:spacing w:after="160" w:line="259" w:lineRule="auto"/>
      <w:jc w:val="left"/>
      <w:rPr>
        <w:b/>
      </w:rPr>
    </w:pPr>
  </w:p>
  <w:p w14:paraId="2D4E0698" w14:textId="77777777" w:rsidR="001F5C66" w:rsidRPr="006763A1" w:rsidRDefault="001F5C66" w:rsidP="001F5C66">
    <w:pPr>
      <w:pStyle w:val="Footer"/>
      <w:pBdr>
        <w:top w:val="single" w:sz="4" w:space="1" w:color="404040"/>
      </w:pBdr>
      <w:jc w:val="center"/>
      <w:rPr>
        <w:color w:val="404040"/>
        <w:spacing w:val="20"/>
        <w:sz w:val="20"/>
      </w:rPr>
    </w:pPr>
    <w:r w:rsidRPr="006763A1">
      <w:rPr>
        <w:color w:val="404040"/>
        <w:spacing w:val="20"/>
        <w:sz w:val="20"/>
      </w:rPr>
      <w:t>Banski dvori | Trg Sv. Marka 2  | 10000 Zagreb | tel. 01 4569 222 | vlada.gov.hr</w:t>
    </w:r>
  </w:p>
  <w:p w14:paraId="008FCA78" w14:textId="09509FE7" w:rsidR="00CB4988" w:rsidRDefault="00CB4988">
    <w:pPr>
      <w:pStyle w:val="Footer"/>
      <w:jc w:val="right"/>
    </w:pPr>
  </w:p>
  <w:p w14:paraId="5F9675B3" w14:textId="77777777" w:rsidR="00BE7EC6" w:rsidRDefault="00BE7E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266015"/>
      <w:docPartObj>
        <w:docPartGallery w:val="Page Numbers (Bottom of Page)"/>
        <w:docPartUnique/>
      </w:docPartObj>
    </w:sdtPr>
    <w:sdtEndPr/>
    <w:sdtContent>
      <w:p w14:paraId="321E1A8A" w14:textId="41E53CA6" w:rsidR="004B4F52" w:rsidRDefault="004B4F52">
        <w:pPr>
          <w:pStyle w:val="Footer"/>
          <w:jc w:val="right"/>
        </w:pPr>
        <w:r>
          <w:fldChar w:fldCharType="begin"/>
        </w:r>
        <w:r>
          <w:instrText>PAGE   \* MERGEFORMAT</w:instrText>
        </w:r>
        <w:r>
          <w:fldChar w:fldCharType="separate"/>
        </w:r>
        <w:r w:rsidR="00720C10">
          <w:rPr>
            <w:noProof/>
          </w:rPr>
          <w:t>19</w:t>
        </w:r>
        <w:r>
          <w:fldChar w:fldCharType="end"/>
        </w:r>
      </w:p>
    </w:sdtContent>
  </w:sdt>
  <w:p w14:paraId="38E04657" w14:textId="77777777" w:rsidR="00856337" w:rsidRDefault="008563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8983"/>
      <w:docPartObj>
        <w:docPartGallery w:val="Page Numbers (Bottom of Page)"/>
        <w:docPartUnique/>
      </w:docPartObj>
    </w:sdtPr>
    <w:sdtEndPr/>
    <w:sdtContent>
      <w:p w14:paraId="72306696" w14:textId="51E43182" w:rsidR="001F5C66" w:rsidRDefault="001F5C66">
        <w:pPr>
          <w:pStyle w:val="Footer"/>
          <w:jc w:val="right"/>
        </w:pPr>
        <w:r>
          <w:fldChar w:fldCharType="begin"/>
        </w:r>
        <w:r>
          <w:instrText>PAGE   \* MERGEFORMAT</w:instrText>
        </w:r>
        <w:r>
          <w:fldChar w:fldCharType="separate"/>
        </w:r>
        <w:r w:rsidR="00720C10">
          <w:rPr>
            <w:noProof/>
          </w:rPr>
          <w:t>1</w:t>
        </w:r>
        <w:r>
          <w:fldChar w:fldCharType="end"/>
        </w:r>
      </w:p>
    </w:sdtContent>
  </w:sdt>
  <w:p w14:paraId="45FC4232" w14:textId="77777777" w:rsidR="001F5C66" w:rsidRDefault="001F5C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797551"/>
      <w:docPartObj>
        <w:docPartGallery w:val="Page Numbers (Bottom of Page)"/>
        <w:docPartUnique/>
      </w:docPartObj>
    </w:sdtPr>
    <w:sdtEndPr/>
    <w:sdtContent>
      <w:p w14:paraId="0C26E7FA" w14:textId="63F83550" w:rsidR="00C435EF" w:rsidRDefault="00C435EF">
        <w:pPr>
          <w:pStyle w:val="Footer"/>
          <w:jc w:val="right"/>
        </w:pPr>
        <w:r>
          <w:fldChar w:fldCharType="begin"/>
        </w:r>
        <w:r>
          <w:instrText>PAGE   \* MERGEFORMAT</w:instrText>
        </w:r>
        <w:r>
          <w:fldChar w:fldCharType="separate"/>
        </w:r>
        <w:r w:rsidR="00720C10">
          <w:rPr>
            <w:noProof/>
          </w:rPr>
          <w:t>14</w:t>
        </w:r>
        <w:r>
          <w:fldChar w:fldCharType="end"/>
        </w:r>
      </w:p>
    </w:sdtContent>
  </w:sdt>
  <w:p w14:paraId="4B9E0B1B" w14:textId="77777777" w:rsidR="00C435EF" w:rsidRDefault="00C43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EE6E1" w14:textId="77777777" w:rsidR="006F2AB1" w:rsidRDefault="006F2AB1" w:rsidP="00477F44">
      <w:r>
        <w:separator/>
      </w:r>
    </w:p>
    <w:p w14:paraId="642BF65D" w14:textId="77777777" w:rsidR="006F2AB1" w:rsidRDefault="006F2AB1" w:rsidP="00477F44"/>
  </w:footnote>
  <w:footnote w:type="continuationSeparator" w:id="0">
    <w:p w14:paraId="17EE1C37" w14:textId="77777777" w:rsidR="006F2AB1" w:rsidRDefault="006F2AB1" w:rsidP="00477F44">
      <w:r>
        <w:continuationSeparator/>
      </w:r>
    </w:p>
    <w:p w14:paraId="24BD29F9" w14:textId="77777777" w:rsidR="006F2AB1" w:rsidRDefault="006F2AB1" w:rsidP="00477F44"/>
  </w:footnote>
  <w:footnote w:type="continuationNotice" w:id="1">
    <w:p w14:paraId="004A227B" w14:textId="77777777" w:rsidR="006F2AB1" w:rsidRDefault="006F2AB1" w:rsidP="00477F44"/>
    <w:p w14:paraId="371988C0" w14:textId="77777777" w:rsidR="006F2AB1" w:rsidRDefault="006F2AB1" w:rsidP="00477F44"/>
  </w:footnote>
  <w:footnote w:id="2">
    <w:p w14:paraId="682B7E86" w14:textId="4570B9AE" w:rsidR="00BE7EC6" w:rsidRPr="00AD24E6" w:rsidRDefault="00BE7EC6">
      <w:pPr>
        <w:pStyle w:val="FootnoteText"/>
        <w:rPr>
          <w:sz w:val="18"/>
          <w:szCs w:val="18"/>
        </w:rPr>
      </w:pPr>
      <w:r>
        <w:rPr>
          <w:rStyle w:val="FootnoteReference"/>
        </w:rPr>
        <w:footnoteRef/>
      </w:r>
      <w:r>
        <w:t xml:space="preserve"> </w:t>
      </w:r>
      <w:r w:rsidRPr="00AD24E6">
        <w:rPr>
          <w:sz w:val="18"/>
          <w:szCs w:val="18"/>
        </w:rPr>
        <w:t>Odluke i Rješenja obuhvaćaju sve donesene odluke, odluke o obnovi i rješenja kojima su određena prava na obnovu. Važno je za naglasiti da je donošenjem novog zakona uvedena prilagodba da se rješenje o obnov</w:t>
      </w:r>
      <w:r>
        <w:rPr>
          <w:sz w:val="18"/>
          <w:szCs w:val="18"/>
        </w:rPr>
        <w:t>i</w:t>
      </w:r>
      <w:r w:rsidRPr="00AD24E6">
        <w:rPr>
          <w:sz w:val="18"/>
          <w:szCs w:val="18"/>
        </w:rPr>
        <w:t xml:space="preserve"> donosi nakon izrade nalaza čime se značajno ubrzao postupak i optimizirao proces budući da se po donošenju rješenja neposredno pristupa projektiranju odnosno uklanjanjima.</w:t>
      </w:r>
    </w:p>
  </w:footnote>
  <w:footnote w:id="3">
    <w:p w14:paraId="650EC4DE" w14:textId="5A089573" w:rsidR="00BE7EC6" w:rsidRPr="004412DC" w:rsidRDefault="00BE7EC6">
      <w:pPr>
        <w:pStyle w:val="FootnoteText"/>
        <w:rPr>
          <w:sz w:val="18"/>
          <w:szCs w:val="18"/>
        </w:rPr>
      </w:pPr>
      <w:r w:rsidRPr="00AD24E6">
        <w:rPr>
          <w:rStyle w:val="FootnoteReference"/>
          <w:sz w:val="18"/>
          <w:szCs w:val="18"/>
        </w:rPr>
        <w:footnoteRef/>
      </w:r>
      <w:r w:rsidRPr="00AD24E6">
        <w:rPr>
          <w:sz w:val="18"/>
          <w:szCs w:val="18"/>
        </w:rPr>
        <w:t xml:space="preserve"> Prestanak postupka obuhvaća sva rješenja o obustavi, odbacivanju, odbijanju i ukidanju koja se donose u slučajevima </w:t>
      </w:r>
      <w:r>
        <w:rPr>
          <w:sz w:val="18"/>
          <w:szCs w:val="18"/>
        </w:rPr>
        <w:t>kad</w:t>
      </w:r>
      <w:r w:rsidRPr="00AD24E6">
        <w:rPr>
          <w:sz w:val="18"/>
          <w:szCs w:val="18"/>
        </w:rPr>
        <w:t xml:space="preserve"> je nalazom utvrđeno da nema štete od potresa ili da zahtjev ne zadovoljava zakonom propisane uvjete za ostvarenje prava na obnovu.</w:t>
      </w:r>
    </w:p>
  </w:footnote>
  <w:footnote w:id="4">
    <w:p w14:paraId="6B3698F3" w14:textId="2FD4C219" w:rsidR="00F172CF" w:rsidRPr="004412DC" w:rsidRDefault="00F172CF">
      <w:pPr>
        <w:pStyle w:val="FootnoteText"/>
        <w:rPr>
          <w:sz w:val="18"/>
          <w:szCs w:val="18"/>
        </w:rPr>
      </w:pPr>
      <w:r w:rsidRPr="00AD24E6">
        <w:rPr>
          <w:sz w:val="18"/>
          <w:szCs w:val="18"/>
          <w:vertAlign w:val="superscript"/>
        </w:rPr>
        <w:footnoteRef/>
      </w:r>
      <w:r w:rsidRPr="00AD24E6">
        <w:rPr>
          <w:sz w:val="18"/>
          <w:szCs w:val="18"/>
        </w:rPr>
        <w:t xml:space="preserve"> Kod organizirane nekonstrukcijske obnove vrši</w:t>
      </w:r>
      <w:r>
        <w:rPr>
          <w:sz w:val="18"/>
          <w:szCs w:val="18"/>
        </w:rPr>
        <w:t xml:space="preserve"> se</w:t>
      </w:r>
      <w:r w:rsidRPr="00AD24E6">
        <w:rPr>
          <w:sz w:val="18"/>
          <w:szCs w:val="18"/>
        </w:rPr>
        <w:t xml:space="preserve"> provjera zadovoljava li zgrada sve uvjete propisane Zakonom o obnovi te se pristupa </w:t>
      </w:r>
      <w:r>
        <w:rPr>
          <w:sz w:val="18"/>
          <w:szCs w:val="18"/>
        </w:rPr>
        <w:t>provedbi ili</w:t>
      </w:r>
      <w:r w:rsidRPr="00AD24E6">
        <w:rPr>
          <w:sz w:val="18"/>
          <w:szCs w:val="18"/>
        </w:rPr>
        <w:t xml:space="preserve"> odbijanju zahtjeva.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EB1"/>
    <w:multiLevelType w:val="hybridMultilevel"/>
    <w:tmpl w:val="4058F57C"/>
    <w:lvl w:ilvl="0" w:tplc="FA5E809C">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37528F"/>
    <w:multiLevelType w:val="hybridMultilevel"/>
    <w:tmpl w:val="019894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703446"/>
    <w:multiLevelType w:val="hybridMultilevel"/>
    <w:tmpl w:val="53D46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B673F8"/>
    <w:multiLevelType w:val="hybridMultilevel"/>
    <w:tmpl w:val="D19CFA6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C16636"/>
    <w:multiLevelType w:val="multilevel"/>
    <w:tmpl w:val="D1568C5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C26896"/>
    <w:multiLevelType w:val="hybridMultilevel"/>
    <w:tmpl w:val="895037AC"/>
    <w:lvl w:ilvl="0" w:tplc="76C25BA6">
      <w:start w:val="1"/>
      <w:numFmt w:val="bullet"/>
      <w:pStyle w:val="Tekst"/>
      <w:lvlText w:val=""/>
      <w:lvlJc w:val="left"/>
      <w:pPr>
        <w:ind w:left="720" w:hanging="360"/>
      </w:pPr>
      <w:rPr>
        <w:rFonts w:ascii="Symbol" w:hAnsi="Symbol" w:hint="default"/>
        <w:color w:val="auto"/>
        <w:spacing w:val="-10"/>
        <w:kern w:val="16"/>
        <w:position w:val="0"/>
        <w:sz w:val="28"/>
        <w14:numSpacing w14:val="default"/>
      </w:rPr>
    </w:lvl>
    <w:lvl w:ilvl="1" w:tplc="F088426C">
      <w:start w:val="1"/>
      <w:numFmt w:val="bullet"/>
      <w:lvlText w:val=""/>
      <w:lvlJc w:val="left"/>
      <w:pPr>
        <w:ind w:left="927"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69591A"/>
    <w:multiLevelType w:val="hybridMultilevel"/>
    <w:tmpl w:val="67022FF0"/>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D331E73"/>
    <w:multiLevelType w:val="hybridMultilevel"/>
    <w:tmpl w:val="8EEC716A"/>
    <w:lvl w:ilvl="0" w:tplc="E8C6AB2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A44B0E"/>
    <w:multiLevelType w:val="hybridMultilevel"/>
    <w:tmpl w:val="16BCA8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E350241"/>
    <w:multiLevelType w:val="hybridMultilevel"/>
    <w:tmpl w:val="12FCB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E33205D"/>
    <w:multiLevelType w:val="multilevel"/>
    <w:tmpl w:val="A318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D7CE4"/>
    <w:multiLevelType w:val="hybridMultilevel"/>
    <w:tmpl w:val="D2DCBB4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5955002"/>
    <w:multiLevelType w:val="multilevel"/>
    <w:tmpl w:val="569ADB2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7773E0"/>
    <w:multiLevelType w:val="hybridMultilevel"/>
    <w:tmpl w:val="5C9410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7"/>
  </w:num>
  <w:num w:numId="5">
    <w:abstractNumId w:val="5"/>
  </w:num>
  <w:num w:numId="6">
    <w:abstractNumId w:val="3"/>
  </w:num>
  <w:num w:numId="7">
    <w:abstractNumId w:val="6"/>
  </w:num>
  <w:num w:numId="8">
    <w:abstractNumId w:val="12"/>
  </w:num>
  <w:num w:numId="9">
    <w:abstractNumId w:val="10"/>
  </w:num>
  <w:num w:numId="10">
    <w:abstractNumId w:val="4"/>
    <w:lvlOverride w:ilvl="0">
      <w:startOverride w:val="5"/>
    </w:lvlOverride>
    <w:lvlOverride w:ilvl="1">
      <w:startOverride w:val="5"/>
    </w:lvlOverride>
  </w:num>
  <w:num w:numId="11">
    <w:abstractNumId w:val="4"/>
    <w:lvlOverride w:ilvl="0">
      <w:startOverride w:val="3"/>
    </w:lvlOverride>
    <w:lvlOverride w:ilvl="1">
      <w:startOverride w:val="2"/>
    </w:lvlOverride>
    <w:lvlOverride w:ilvl="2">
      <w:startOverride w:val="2"/>
    </w:lvlOverride>
  </w:num>
  <w:num w:numId="12">
    <w:abstractNumId w:val="4"/>
    <w:lvlOverride w:ilvl="0">
      <w:startOverride w:val="3"/>
    </w:lvlOverride>
    <w:lvlOverride w:ilvl="1">
      <w:startOverride w:val="2"/>
    </w:lvlOverride>
    <w:lvlOverride w:ilvl="2">
      <w:startOverride w:val="1"/>
    </w:lvlOverride>
  </w:num>
  <w:num w:numId="13">
    <w:abstractNumId w:val="4"/>
  </w:num>
  <w:num w:numId="14">
    <w:abstractNumId w:val="4"/>
  </w:num>
  <w:num w:numId="15">
    <w:abstractNumId w:val="4"/>
  </w:num>
  <w:num w:numId="16">
    <w:abstractNumId w:val="11"/>
  </w:num>
  <w:num w:numId="17">
    <w:abstractNumId w:val="9"/>
  </w:num>
  <w:num w:numId="18">
    <w:abstractNumId w:val="1"/>
  </w:num>
  <w:num w:numId="19">
    <w:abstractNumId w:val="2"/>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145"/>
    <w:rsid w:val="0000028A"/>
    <w:rsid w:val="000008CC"/>
    <w:rsid w:val="00001306"/>
    <w:rsid w:val="000013DE"/>
    <w:rsid w:val="0000171D"/>
    <w:rsid w:val="000019C8"/>
    <w:rsid w:val="00001E89"/>
    <w:rsid w:val="00001EA4"/>
    <w:rsid w:val="000027D3"/>
    <w:rsid w:val="000028B9"/>
    <w:rsid w:val="0000294C"/>
    <w:rsid w:val="00002A77"/>
    <w:rsid w:val="00002CED"/>
    <w:rsid w:val="00002EA2"/>
    <w:rsid w:val="0000308D"/>
    <w:rsid w:val="00003CDE"/>
    <w:rsid w:val="00003D18"/>
    <w:rsid w:val="00004502"/>
    <w:rsid w:val="00005358"/>
    <w:rsid w:val="000055EF"/>
    <w:rsid w:val="0000564F"/>
    <w:rsid w:val="00005681"/>
    <w:rsid w:val="00005711"/>
    <w:rsid w:val="00005D98"/>
    <w:rsid w:val="00006000"/>
    <w:rsid w:val="000066E2"/>
    <w:rsid w:val="00006930"/>
    <w:rsid w:val="00006FAE"/>
    <w:rsid w:val="0000704B"/>
    <w:rsid w:val="00007DD2"/>
    <w:rsid w:val="00007EF0"/>
    <w:rsid w:val="000104ED"/>
    <w:rsid w:val="00010AC1"/>
    <w:rsid w:val="00010BA3"/>
    <w:rsid w:val="00010F26"/>
    <w:rsid w:val="000113A8"/>
    <w:rsid w:val="000113C7"/>
    <w:rsid w:val="000114D4"/>
    <w:rsid w:val="00012029"/>
    <w:rsid w:val="0001230A"/>
    <w:rsid w:val="0001275C"/>
    <w:rsid w:val="000129C4"/>
    <w:rsid w:val="00012B2F"/>
    <w:rsid w:val="000132C9"/>
    <w:rsid w:val="000132E7"/>
    <w:rsid w:val="00013451"/>
    <w:rsid w:val="00013D69"/>
    <w:rsid w:val="0001439B"/>
    <w:rsid w:val="00014815"/>
    <w:rsid w:val="0001507C"/>
    <w:rsid w:val="00015112"/>
    <w:rsid w:val="000154B1"/>
    <w:rsid w:val="00015D2A"/>
    <w:rsid w:val="00015F6B"/>
    <w:rsid w:val="00016C6D"/>
    <w:rsid w:val="00017004"/>
    <w:rsid w:val="00017257"/>
    <w:rsid w:val="00017380"/>
    <w:rsid w:val="000173F7"/>
    <w:rsid w:val="00017880"/>
    <w:rsid w:val="000178C5"/>
    <w:rsid w:val="0001793B"/>
    <w:rsid w:val="00017B46"/>
    <w:rsid w:val="00017C9C"/>
    <w:rsid w:val="00017D38"/>
    <w:rsid w:val="000202DE"/>
    <w:rsid w:val="00020318"/>
    <w:rsid w:val="000207E5"/>
    <w:rsid w:val="000209B6"/>
    <w:rsid w:val="00020ECD"/>
    <w:rsid w:val="00020EE5"/>
    <w:rsid w:val="00020F19"/>
    <w:rsid w:val="000211A1"/>
    <w:rsid w:val="000213DB"/>
    <w:rsid w:val="000214A5"/>
    <w:rsid w:val="00021D93"/>
    <w:rsid w:val="00021DD0"/>
    <w:rsid w:val="00021E8B"/>
    <w:rsid w:val="00021F35"/>
    <w:rsid w:val="00021F44"/>
    <w:rsid w:val="000220F3"/>
    <w:rsid w:val="000223CF"/>
    <w:rsid w:val="00022795"/>
    <w:rsid w:val="00025822"/>
    <w:rsid w:val="00025AD8"/>
    <w:rsid w:val="00025F69"/>
    <w:rsid w:val="0002636E"/>
    <w:rsid w:val="0002741C"/>
    <w:rsid w:val="00027E7B"/>
    <w:rsid w:val="00030146"/>
    <w:rsid w:val="000303C9"/>
    <w:rsid w:val="0003055C"/>
    <w:rsid w:val="00030836"/>
    <w:rsid w:val="0003092A"/>
    <w:rsid w:val="000309FC"/>
    <w:rsid w:val="00030D61"/>
    <w:rsid w:val="0003102D"/>
    <w:rsid w:val="0003146B"/>
    <w:rsid w:val="00031C4E"/>
    <w:rsid w:val="00031E2A"/>
    <w:rsid w:val="0003209C"/>
    <w:rsid w:val="00032461"/>
    <w:rsid w:val="000324A3"/>
    <w:rsid w:val="000327A6"/>
    <w:rsid w:val="000327FF"/>
    <w:rsid w:val="00032A52"/>
    <w:rsid w:val="00032C6F"/>
    <w:rsid w:val="0003328C"/>
    <w:rsid w:val="000333C2"/>
    <w:rsid w:val="00033416"/>
    <w:rsid w:val="00033438"/>
    <w:rsid w:val="0003367D"/>
    <w:rsid w:val="0003383D"/>
    <w:rsid w:val="00034068"/>
    <w:rsid w:val="000342D7"/>
    <w:rsid w:val="00034755"/>
    <w:rsid w:val="0003478C"/>
    <w:rsid w:val="000349D0"/>
    <w:rsid w:val="00034A83"/>
    <w:rsid w:val="00034B5B"/>
    <w:rsid w:val="00034EB3"/>
    <w:rsid w:val="00035496"/>
    <w:rsid w:val="00035EB3"/>
    <w:rsid w:val="000360B3"/>
    <w:rsid w:val="000363CB"/>
    <w:rsid w:val="000366EC"/>
    <w:rsid w:val="00036790"/>
    <w:rsid w:val="00036A75"/>
    <w:rsid w:val="0003730A"/>
    <w:rsid w:val="0003789D"/>
    <w:rsid w:val="000379C9"/>
    <w:rsid w:val="00037B3F"/>
    <w:rsid w:val="00037C61"/>
    <w:rsid w:val="000402FB"/>
    <w:rsid w:val="00040767"/>
    <w:rsid w:val="00040A1A"/>
    <w:rsid w:val="00040AF2"/>
    <w:rsid w:val="00040DB1"/>
    <w:rsid w:val="00040E42"/>
    <w:rsid w:val="00041073"/>
    <w:rsid w:val="0004145B"/>
    <w:rsid w:val="000415DB"/>
    <w:rsid w:val="00041D76"/>
    <w:rsid w:val="0004253F"/>
    <w:rsid w:val="000428B6"/>
    <w:rsid w:val="00042994"/>
    <w:rsid w:val="00042A5B"/>
    <w:rsid w:val="00042A8C"/>
    <w:rsid w:val="00042CDA"/>
    <w:rsid w:val="00042DF4"/>
    <w:rsid w:val="00043800"/>
    <w:rsid w:val="00043968"/>
    <w:rsid w:val="00043A3F"/>
    <w:rsid w:val="000440F9"/>
    <w:rsid w:val="0004415D"/>
    <w:rsid w:val="0004418C"/>
    <w:rsid w:val="0004418D"/>
    <w:rsid w:val="000449BB"/>
    <w:rsid w:val="00045300"/>
    <w:rsid w:val="0004545C"/>
    <w:rsid w:val="00045AF4"/>
    <w:rsid w:val="00045C9E"/>
    <w:rsid w:val="000466A2"/>
    <w:rsid w:val="00047872"/>
    <w:rsid w:val="00047BA7"/>
    <w:rsid w:val="000501B2"/>
    <w:rsid w:val="0005097F"/>
    <w:rsid w:val="00050BE7"/>
    <w:rsid w:val="00050FFD"/>
    <w:rsid w:val="0005171F"/>
    <w:rsid w:val="00051D79"/>
    <w:rsid w:val="00051E36"/>
    <w:rsid w:val="0005226E"/>
    <w:rsid w:val="00052974"/>
    <w:rsid w:val="000532E5"/>
    <w:rsid w:val="000536DB"/>
    <w:rsid w:val="0005389B"/>
    <w:rsid w:val="00053B7A"/>
    <w:rsid w:val="00053BFA"/>
    <w:rsid w:val="000546B0"/>
    <w:rsid w:val="00055114"/>
    <w:rsid w:val="00055421"/>
    <w:rsid w:val="00055847"/>
    <w:rsid w:val="000559E7"/>
    <w:rsid w:val="00055D14"/>
    <w:rsid w:val="000564D9"/>
    <w:rsid w:val="00057307"/>
    <w:rsid w:val="0005738C"/>
    <w:rsid w:val="0005758A"/>
    <w:rsid w:val="00057667"/>
    <w:rsid w:val="00057E93"/>
    <w:rsid w:val="00060868"/>
    <w:rsid w:val="0006108B"/>
    <w:rsid w:val="00061118"/>
    <w:rsid w:val="00061710"/>
    <w:rsid w:val="00061894"/>
    <w:rsid w:val="0006287E"/>
    <w:rsid w:val="000631F9"/>
    <w:rsid w:val="00063415"/>
    <w:rsid w:val="00063551"/>
    <w:rsid w:val="0006392A"/>
    <w:rsid w:val="00063B5C"/>
    <w:rsid w:val="00063C8D"/>
    <w:rsid w:val="00063D5B"/>
    <w:rsid w:val="00063E40"/>
    <w:rsid w:val="000641D5"/>
    <w:rsid w:val="000644B6"/>
    <w:rsid w:val="00064A10"/>
    <w:rsid w:val="0006522C"/>
    <w:rsid w:val="0006545C"/>
    <w:rsid w:val="00065578"/>
    <w:rsid w:val="000658CB"/>
    <w:rsid w:val="00065D96"/>
    <w:rsid w:val="00065F5D"/>
    <w:rsid w:val="00065FA3"/>
    <w:rsid w:val="000669E5"/>
    <w:rsid w:val="00066B11"/>
    <w:rsid w:val="000677BB"/>
    <w:rsid w:val="00067931"/>
    <w:rsid w:val="00067A6F"/>
    <w:rsid w:val="00067B14"/>
    <w:rsid w:val="00067F37"/>
    <w:rsid w:val="000700D1"/>
    <w:rsid w:val="00070934"/>
    <w:rsid w:val="000709DD"/>
    <w:rsid w:val="00070E37"/>
    <w:rsid w:val="000710BD"/>
    <w:rsid w:val="00071AC7"/>
    <w:rsid w:val="00071FDC"/>
    <w:rsid w:val="00072AFA"/>
    <w:rsid w:val="00072DA1"/>
    <w:rsid w:val="0007312F"/>
    <w:rsid w:val="00073297"/>
    <w:rsid w:val="000734A5"/>
    <w:rsid w:val="0007355C"/>
    <w:rsid w:val="0007383F"/>
    <w:rsid w:val="00073879"/>
    <w:rsid w:val="00073DEF"/>
    <w:rsid w:val="00073ED3"/>
    <w:rsid w:val="00074449"/>
    <w:rsid w:val="00074BF9"/>
    <w:rsid w:val="00074C83"/>
    <w:rsid w:val="00074CA6"/>
    <w:rsid w:val="00075152"/>
    <w:rsid w:val="0007531A"/>
    <w:rsid w:val="0007537E"/>
    <w:rsid w:val="0007575D"/>
    <w:rsid w:val="00075E5C"/>
    <w:rsid w:val="00076174"/>
    <w:rsid w:val="000763D0"/>
    <w:rsid w:val="000764D3"/>
    <w:rsid w:val="000766D1"/>
    <w:rsid w:val="00076B3D"/>
    <w:rsid w:val="00076C6E"/>
    <w:rsid w:val="00076CDC"/>
    <w:rsid w:val="00076FA8"/>
    <w:rsid w:val="00077264"/>
    <w:rsid w:val="00077414"/>
    <w:rsid w:val="00077720"/>
    <w:rsid w:val="000779D5"/>
    <w:rsid w:val="000806BA"/>
    <w:rsid w:val="00080D9B"/>
    <w:rsid w:val="00080E65"/>
    <w:rsid w:val="000813F5"/>
    <w:rsid w:val="00081812"/>
    <w:rsid w:val="00081924"/>
    <w:rsid w:val="00081B90"/>
    <w:rsid w:val="00081CD9"/>
    <w:rsid w:val="00082D86"/>
    <w:rsid w:val="0008325A"/>
    <w:rsid w:val="00083596"/>
    <w:rsid w:val="000836D3"/>
    <w:rsid w:val="00083851"/>
    <w:rsid w:val="00083E4A"/>
    <w:rsid w:val="0008400B"/>
    <w:rsid w:val="0008406A"/>
    <w:rsid w:val="00084950"/>
    <w:rsid w:val="00084B69"/>
    <w:rsid w:val="00084C87"/>
    <w:rsid w:val="00085080"/>
    <w:rsid w:val="000852F5"/>
    <w:rsid w:val="0008574B"/>
    <w:rsid w:val="0008588E"/>
    <w:rsid w:val="000860B4"/>
    <w:rsid w:val="000863EC"/>
    <w:rsid w:val="00086551"/>
    <w:rsid w:val="00086629"/>
    <w:rsid w:val="000868E7"/>
    <w:rsid w:val="00086996"/>
    <w:rsid w:val="00086D04"/>
    <w:rsid w:val="00086D40"/>
    <w:rsid w:val="00086D78"/>
    <w:rsid w:val="00087E4A"/>
    <w:rsid w:val="00090068"/>
    <w:rsid w:val="00090979"/>
    <w:rsid w:val="00090AF6"/>
    <w:rsid w:val="00091107"/>
    <w:rsid w:val="0009112E"/>
    <w:rsid w:val="00092145"/>
    <w:rsid w:val="000921C6"/>
    <w:rsid w:val="00092394"/>
    <w:rsid w:val="00092549"/>
    <w:rsid w:val="00092609"/>
    <w:rsid w:val="0009263A"/>
    <w:rsid w:val="000929D2"/>
    <w:rsid w:val="00092A64"/>
    <w:rsid w:val="00092B20"/>
    <w:rsid w:val="00092B3C"/>
    <w:rsid w:val="00092FFA"/>
    <w:rsid w:val="000940DE"/>
    <w:rsid w:val="00094118"/>
    <w:rsid w:val="00094EE8"/>
    <w:rsid w:val="000953BE"/>
    <w:rsid w:val="000956CC"/>
    <w:rsid w:val="00095732"/>
    <w:rsid w:val="00095917"/>
    <w:rsid w:val="000959BE"/>
    <w:rsid w:val="00096CE3"/>
    <w:rsid w:val="00096D3F"/>
    <w:rsid w:val="00096EE6"/>
    <w:rsid w:val="00096F2C"/>
    <w:rsid w:val="0009712F"/>
    <w:rsid w:val="00097339"/>
    <w:rsid w:val="000974E0"/>
    <w:rsid w:val="00097808"/>
    <w:rsid w:val="00097BE3"/>
    <w:rsid w:val="00097EA7"/>
    <w:rsid w:val="000A0203"/>
    <w:rsid w:val="000A0682"/>
    <w:rsid w:val="000A0A1A"/>
    <w:rsid w:val="000A0A78"/>
    <w:rsid w:val="000A0B53"/>
    <w:rsid w:val="000A0BC7"/>
    <w:rsid w:val="000A0FB1"/>
    <w:rsid w:val="000A0FE2"/>
    <w:rsid w:val="000A0FF6"/>
    <w:rsid w:val="000A1191"/>
    <w:rsid w:val="000A132C"/>
    <w:rsid w:val="000A1397"/>
    <w:rsid w:val="000A15DF"/>
    <w:rsid w:val="000A193C"/>
    <w:rsid w:val="000A1C44"/>
    <w:rsid w:val="000A2084"/>
    <w:rsid w:val="000A20F9"/>
    <w:rsid w:val="000A2729"/>
    <w:rsid w:val="000A2A35"/>
    <w:rsid w:val="000A2DEC"/>
    <w:rsid w:val="000A2F54"/>
    <w:rsid w:val="000A3397"/>
    <w:rsid w:val="000A3858"/>
    <w:rsid w:val="000A3C99"/>
    <w:rsid w:val="000A40FC"/>
    <w:rsid w:val="000A412F"/>
    <w:rsid w:val="000A4940"/>
    <w:rsid w:val="000A515F"/>
    <w:rsid w:val="000A57BC"/>
    <w:rsid w:val="000A59BF"/>
    <w:rsid w:val="000A5F91"/>
    <w:rsid w:val="000A5FD2"/>
    <w:rsid w:val="000A6663"/>
    <w:rsid w:val="000A6995"/>
    <w:rsid w:val="000A6B0C"/>
    <w:rsid w:val="000A7067"/>
    <w:rsid w:val="000A709E"/>
    <w:rsid w:val="000A79D2"/>
    <w:rsid w:val="000A7AA5"/>
    <w:rsid w:val="000A7AEF"/>
    <w:rsid w:val="000A7D1B"/>
    <w:rsid w:val="000A7EAE"/>
    <w:rsid w:val="000B0866"/>
    <w:rsid w:val="000B09E5"/>
    <w:rsid w:val="000B1138"/>
    <w:rsid w:val="000B1674"/>
    <w:rsid w:val="000B19E4"/>
    <w:rsid w:val="000B2442"/>
    <w:rsid w:val="000B247F"/>
    <w:rsid w:val="000B32FF"/>
    <w:rsid w:val="000B33C6"/>
    <w:rsid w:val="000B3CF7"/>
    <w:rsid w:val="000B4877"/>
    <w:rsid w:val="000B4A1D"/>
    <w:rsid w:val="000B4D77"/>
    <w:rsid w:val="000B4E03"/>
    <w:rsid w:val="000B5064"/>
    <w:rsid w:val="000B531E"/>
    <w:rsid w:val="000B5A62"/>
    <w:rsid w:val="000B5E9E"/>
    <w:rsid w:val="000B64FF"/>
    <w:rsid w:val="000B6C88"/>
    <w:rsid w:val="000B6F34"/>
    <w:rsid w:val="000B6F7E"/>
    <w:rsid w:val="000B75C0"/>
    <w:rsid w:val="000B775C"/>
    <w:rsid w:val="000B7A68"/>
    <w:rsid w:val="000C0A49"/>
    <w:rsid w:val="000C0D25"/>
    <w:rsid w:val="000C0DDB"/>
    <w:rsid w:val="000C1595"/>
    <w:rsid w:val="000C163B"/>
    <w:rsid w:val="000C1A78"/>
    <w:rsid w:val="000C2319"/>
    <w:rsid w:val="000C256E"/>
    <w:rsid w:val="000C276B"/>
    <w:rsid w:val="000C27D1"/>
    <w:rsid w:val="000C3072"/>
    <w:rsid w:val="000C36B0"/>
    <w:rsid w:val="000C3B6E"/>
    <w:rsid w:val="000C3BD5"/>
    <w:rsid w:val="000C3E0C"/>
    <w:rsid w:val="000C3E51"/>
    <w:rsid w:val="000C3EDA"/>
    <w:rsid w:val="000C4750"/>
    <w:rsid w:val="000C49A4"/>
    <w:rsid w:val="000C51B0"/>
    <w:rsid w:val="000C5311"/>
    <w:rsid w:val="000C5561"/>
    <w:rsid w:val="000C563B"/>
    <w:rsid w:val="000C5756"/>
    <w:rsid w:val="000C5A8A"/>
    <w:rsid w:val="000C5C3E"/>
    <w:rsid w:val="000C5CDD"/>
    <w:rsid w:val="000C619F"/>
    <w:rsid w:val="000C61B3"/>
    <w:rsid w:val="000C631D"/>
    <w:rsid w:val="000C6376"/>
    <w:rsid w:val="000C63DD"/>
    <w:rsid w:val="000C6483"/>
    <w:rsid w:val="000C6597"/>
    <w:rsid w:val="000C6D8B"/>
    <w:rsid w:val="000C7293"/>
    <w:rsid w:val="000C73BE"/>
    <w:rsid w:val="000C77AF"/>
    <w:rsid w:val="000C79B1"/>
    <w:rsid w:val="000C7A5C"/>
    <w:rsid w:val="000D00D8"/>
    <w:rsid w:val="000D0180"/>
    <w:rsid w:val="000D1337"/>
    <w:rsid w:val="000D18CF"/>
    <w:rsid w:val="000D1B7C"/>
    <w:rsid w:val="000D1F20"/>
    <w:rsid w:val="000D27C3"/>
    <w:rsid w:val="000D293F"/>
    <w:rsid w:val="000D2F7E"/>
    <w:rsid w:val="000D3410"/>
    <w:rsid w:val="000D371B"/>
    <w:rsid w:val="000D381F"/>
    <w:rsid w:val="000D3CC1"/>
    <w:rsid w:val="000D403E"/>
    <w:rsid w:val="000D40F6"/>
    <w:rsid w:val="000D4768"/>
    <w:rsid w:val="000D4BD4"/>
    <w:rsid w:val="000D5339"/>
    <w:rsid w:val="000D549B"/>
    <w:rsid w:val="000D564A"/>
    <w:rsid w:val="000D5FA1"/>
    <w:rsid w:val="000D5FBD"/>
    <w:rsid w:val="000D628D"/>
    <w:rsid w:val="000D64BD"/>
    <w:rsid w:val="000D651E"/>
    <w:rsid w:val="000D6A95"/>
    <w:rsid w:val="000D6EA3"/>
    <w:rsid w:val="000D7065"/>
    <w:rsid w:val="000D76F8"/>
    <w:rsid w:val="000D7DE6"/>
    <w:rsid w:val="000D7ED4"/>
    <w:rsid w:val="000D7EDF"/>
    <w:rsid w:val="000E02E2"/>
    <w:rsid w:val="000E04A9"/>
    <w:rsid w:val="000E04BA"/>
    <w:rsid w:val="000E04C0"/>
    <w:rsid w:val="000E0919"/>
    <w:rsid w:val="000E0CF1"/>
    <w:rsid w:val="000E0F8D"/>
    <w:rsid w:val="000E110C"/>
    <w:rsid w:val="000E120A"/>
    <w:rsid w:val="000E1888"/>
    <w:rsid w:val="000E1991"/>
    <w:rsid w:val="000E2242"/>
    <w:rsid w:val="000E2318"/>
    <w:rsid w:val="000E2343"/>
    <w:rsid w:val="000E3052"/>
    <w:rsid w:val="000E3338"/>
    <w:rsid w:val="000E356D"/>
    <w:rsid w:val="000E3642"/>
    <w:rsid w:val="000E3908"/>
    <w:rsid w:val="000E39BE"/>
    <w:rsid w:val="000E39D6"/>
    <w:rsid w:val="000E422D"/>
    <w:rsid w:val="000E45A8"/>
    <w:rsid w:val="000E4BE8"/>
    <w:rsid w:val="000E54A2"/>
    <w:rsid w:val="000E5FBE"/>
    <w:rsid w:val="000E61EF"/>
    <w:rsid w:val="000E65D6"/>
    <w:rsid w:val="000E6DF8"/>
    <w:rsid w:val="000E70C9"/>
    <w:rsid w:val="000E7AD0"/>
    <w:rsid w:val="000F01A5"/>
    <w:rsid w:val="000F0345"/>
    <w:rsid w:val="000F0516"/>
    <w:rsid w:val="000F0886"/>
    <w:rsid w:val="000F08F6"/>
    <w:rsid w:val="000F0A26"/>
    <w:rsid w:val="000F0B81"/>
    <w:rsid w:val="000F0D39"/>
    <w:rsid w:val="000F0DB6"/>
    <w:rsid w:val="000F0E39"/>
    <w:rsid w:val="000F12CA"/>
    <w:rsid w:val="000F13D9"/>
    <w:rsid w:val="000F1848"/>
    <w:rsid w:val="000F1C9D"/>
    <w:rsid w:val="000F26D5"/>
    <w:rsid w:val="000F311A"/>
    <w:rsid w:val="000F333B"/>
    <w:rsid w:val="000F4524"/>
    <w:rsid w:val="000F4D2D"/>
    <w:rsid w:val="000F5876"/>
    <w:rsid w:val="000F5A88"/>
    <w:rsid w:val="000F5C2C"/>
    <w:rsid w:val="000F5E9C"/>
    <w:rsid w:val="000F6263"/>
    <w:rsid w:val="000F6B02"/>
    <w:rsid w:val="000F712B"/>
    <w:rsid w:val="000F71A5"/>
    <w:rsid w:val="000F73E6"/>
    <w:rsid w:val="000F75E9"/>
    <w:rsid w:val="000F76C2"/>
    <w:rsid w:val="00100100"/>
    <w:rsid w:val="00100217"/>
    <w:rsid w:val="001003AF"/>
    <w:rsid w:val="00100C72"/>
    <w:rsid w:val="00101071"/>
    <w:rsid w:val="0010158E"/>
    <w:rsid w:val="00101BA1"/>
    <w:rsid w:val="00101E76"/>
    <w:rsid w:val="00101EF8"/>
    <w:rsid w:val="00101F1A"/>
    <w:rsid w:val="0010215A"/>
    <w:rsid w:val="001023FF"/>
    <w:rsid w:val="001036AB"/>
    <w:rsid w:val="00103948"/>
    <w:rsid w:val="00103CF9"/>
    <w:rsid w:val="00104049"/>
    <w:rsid w:val="00104085"/>
    <w:rsid w:val="0010459E"/>
    <w:rsid w:val="001049AC"/>
    <w:rsid w:val="00104B85"/>
    <w:rsid w:val="00105048"/>
    <w:rsid w:val="00105797"/>
    <w:rsid w:val="00105BC1"/>
    <w:rsid w:val="00105CDD"/>
    <w:rsid w:val="00105EBF"/>
    <w:rsid w:val="0010618C"/>
    <w:rsid w:val="00106271"/>
    <w:rsid w:val="001068F4"/>
    <w:rsid w:val="0010738B"/>
    <w:rsid w:val="0010757C"/>
    <w:rsid w:val="00107999"/>
    <w:rsid w:val="00107F42"/>
    <w:rsid w:val="00107FBC"/>
    <w:rsid w:val="00110043"/>
    <w:rsid w:val="0011011D"/>
    <w:rsid w:val="001103E6"/>
    <w:rsid w:val="001103EE"/>
    <w:rsid w:val="00110653"/>
    <w:rsid w:val="00110B35"/>
    <w:rsid w:val="00111147"/>
    <w:rsid w:val="00111402"/>
    <w:rsid w:val="00111E4C"/>
    <w:rsid w:val="001122FF"/>
    <w:rsid w:val="0011231A"/>
    <w:rsid w:val="00112A99"/>
    <w:rsid w:val="00112D8D"/>
    <w:rsid w:val="00113040"/>
    <w:rsid w:val="00113206"/>
    <w:rsid w:val="00113514"/>
    <w:rsid w:val="00113AEC"/>
    <w:rsid w:val="00113E7E"/>
    <w:rsid w:val="00113ECE"/>
    <w:rsid w:val="00113F6F"/>
    <w:rsid w:val="00113F76"/>
    <w:rsid w:val="001140EE"/>
    <w:rsid w:val="001147BC"/>
    <w:rsid w:val="001148AB"/>
    <w:rsid w:val="00114A8F"/>
    <w:rsid w:val="00114C21"/>
    <w:rsid w:val="00115A74"/>
    <w:rsid w:val="00115ABC"/>
    <w:rsid w:val="00115CC6"/>
    <w:rsid w:val="00116191"/>
    <w:rsid w:val="00116254"/>
    <w:rsid w:val="001165D9"/>
    <w:rsid w:val="001168ED"/>
    <w:rsid w:val="001169E1"/>
    <w:rsid w:val="00117409"/>
    <w:rsid w:val="0011756F"/>
    <w:rsid w:val="00117F6A"/>
    <w:rsid w:val="0012040A"/>
    <w:rsid w:val="001205A4"/>
    <w:rsid w:val="00120A97"/>
    <w:rsid w:val="00120E29"/>
    <w:rsid w:val="001210D2"/>
    <w:rsid w:val="001212DE"/>
    <w:rsid w:val="0012163C"/>
    <w:rsid w:val="001219C3"/>
    <w:rsid w:val="00121ABD"/>
    <w:rsid w:val="00121D24"/>
    <w:rsid w:val="00122351"/>
    <w:rsid w:val="0012240E"/>
    <w:rsid w:val="00122670"/>
    <w:rsid w:val="00122EF0"/>
    <w:rsid w:val="0012320A"/>
    <w:rsid w:val="00123378"/>
    <w:rsid w:val="00123625"/>
    <w:rsid w:val="00123728"/>
    <w:rsid w:val="001239AF"/>
    <w:rsid w:val="00123A3F"/>
    <w:rsid w:val="001241B5"/>
    <w:rsid w:val="0012479B"/>
    <w:rsid w:val="001252B4"/>
    <w:rsid w:val="001253BA"/>
    <w:rsid w:val="00125427"/>
    <w:rsid w:val="00125595"/>
    <w:rsid w:val="00125616"/>
    <w:rsid w:val="0012599A"/>
    <w:rsid w:val="00125CBD"/>
    <w:rsid w:val="0012634B"/>
    <w:rsid w:val="0012650C"/>
    <w:rsid w:val="00126959"/>
    <w:rsid w:val="00126A6E"/>
    <w:rsid w:val="00126E72"/>
    <w:rsid w:val="001272D5"/>
    <w:rsid w:val="0012730C"/>
    <w:rsid w:val="0012741A"/>
    <w:rsid w:val="0012761A"/>
    <w:rsid w:val="00127976"/>
    <w:rsid w:val="001279D6"/>
    <w:rsid w:val="0013006F"/>
    <w:rsid w:val="0013025C"/>
    <w:rsid w:val="00130347"/>
    <w:rsid w:val="001305D8"/>
    <w:rsid w:val="00130E24"/>
    <w:rsid w:val="001310A5"/>
    <w:rsid w:val="00131391"/>
    <w:rsid w:val="00131867"/>
    <w:rsid w:val="00131B6B"/>
    <w:rsid w:val="00132122"/>
    <w:rsid w:val="0013275C"/>
    <w:rsid w:val="0013279B"/>
    <w:rsid w:val="001327A6"/>
    <w:rsid w:val="0013292B"/>
    <w:rsid w:val="00133082"/>
    <w:rsid w:val="00133533"/>
    <w:rsid w:val="00133587"/>
    <w:rsid w:val="00133C76"/>
    <w:rsid w:val="00133E7C"/>
    <w:rsid w:val="00133F88"/>
    <w:rsid w:val="00134AEB"/>
    <w:rsid w:val="001350FB"/>
    <w:rsid w:val="00135172"/>
    <w:rsid w:val="00135523"/>
    <w:rsid w:val="00135D58"/>
    <w:rsid w:val="00135ECA"/>
    <w:rsid w:val="0013633C"/>
    <w:rsid w:val="001367E3"/>
    <w:rsid w:val="0013689F"/>
    <w:rsid w:val="00136B18"/>
    <w:rsid w:val="0013741F"/>
    <w:rsid w:val="00137697"/>
    <w:rsid w:val="001379F9"/>
    <w:rsid w:val="00137BBD"/>
    <w:rsid w:val="001417D0"/>
    <w:rsid w:val="00141894"/>
    <w:rsid w:val="00141994"/>
    <w:rsid w:val="00141ABA"/>
    <w:rsid w:val="00141BC8"/>
    <w:rsid w:val="00141EBE"/>
    <w:rsid w:val="00141F08"/>
    <w:rsid w:val="00142107"/>
    <w:rsid w:val="00142AEA"/>
    <w:rsid w:val="001432AA"/>
    <w:rsid w:val="00143E9D"/>
    <w:rsid w:val="00143F19"/>
    <w:rsid w:val="001441B5"/>
    <w:rsid w:val="00144289"/>
    <w:rsid w:val="00144561"/>
    <w:rsid w:val="001447A4"/>
    <w:rsid w:val="00144BD0"/>
    <w:rsid w:val="00144F25"/>
    <w:rsid w:val="00145687"/>
    <w:rsid w:val="00145C41"/>
    <w:rsid w:val="00146169"/>
    <w:rsid w:val="00146918"/>
    <w:rsid w:val="0014747F"/>
    <w:rsid w:val="00147C84"/>
    <w:rsid w:val="001500F3"/>
    <w:rsid w:val="001504C7"/>
    <w:rsid w:val="00150A72"/>
    <w:rsid w:val="00150B45"/>
    <w:rsid w:val="001519F4"/>
    <w:rsid w:val="00151AB4"/>
    <w:rsid w:val="00152041"/>
    <w:rsid w:val="0015225F"/>
    <w:rsid w:val="00152AB9"/>
    <w:rsid w:val="00152BDD"/>
    <w:rsid w:val="00152DF9"/>
    <w:rsid w:val="001537CA"/>
    <w:rsid w:val="001537D8"/>
    <w:rsid w:val="00153B67"/>
    <w:rsid w:val="00153CE6"/>
    <w:rsid w:val="00153D66"/>
    <w:rsid w:val="00153D75"/>
    <w:rsid w:val="00153FC8"/>
    <w:rsid w:val="00154402"/>
    <w:rsid w:val="0015474A"/>
    <w:rsid w:val="001549FC"/>
    <w:rsid w:val="00154A85"/>
    <w:rsid w:val="00154AC1"/>
    <w:rsid w:val="00154FC6"/>
    <w:rsid w:val="00155169"/>
    <w:rsid w:val="001551A6"/>
    <w:rsid w:val="0015554B"/>
    <w:rsid w:val="001555F8"/>
    <w:rsid w:val="001559EA"/>
    <w:rsid w:val="00155AB7"/>
    <w:rsid w:val="00155D76"/>
    <w:rsid w:val="00156262"/>
    <w:rsid w:val="001562A0"/>
    <w:rsid w:val="001563AF"/>
    <w:rsid w:val="001567CF"/>
    <w:rsid w:val="00157036"/>
    <w:rsid w:val="00157045"/>
    <w:rsid w:val="0015718A"/>
    <w:rsid w:val="0015721A"/>
    <w:rsid w:val="001579DA"/>
    <w:rsid w:val="00160234"/>
    <w:rsid w:val="001603F9"/>
    <w:rsid w:val="00160BB3"/>
    <w:rsid w:val="00161697"/>
    <w:rsid w:val="00161781"/>
    <w:rsid w:val="001619C1"/>
    <w:rsid w:val="00161AFE"/>
    <w:rsid w:val="0016283A"/>
    <w:rsid w:val="0016288B"/>
    <w:rsid w:val="0016289E"/>
    <w:rsid w:val="001629E0"/>
    <w:rsid w:val="00162E76"/>
    <w:rsid w:val="00163BFC"/>
    <w:rsid w:val="00164216"/>
    <w:rsid w:val="00164556"/>
    <w:rsid w:val="00164AE2"/>
    <w:rsid w:val="00164B23"/>
    <w:rsid w:val="00164F07"/>
    <w:rsid w:val="0016521F"/>
    <w:rsid w:val="001654F0"/>
    <w:rsid w:val="001656DC"/>
    <w:rsid w:val="001658F9"/>
    <w:rsid w:val="00165A4C"/>
    <w:rsid w:val="00165F20"/>
    <w:rsid w:val="0016627D"/>
    <w:rsid w:val="0016648C"/>
    <w:rsid w:val="001667D7"/>
    <w:rsid w:val="00166842"/>
    <w:rsid w:val="00166912"/>
    <w:rsid w:val="00166BBC"/>
    <w:rsid w:val="00166EF5"/>
    <w:rsid w:val="00167458"/>
    <w:rsid w:val="0016770A"/>
    <w:rsid w:val="0016795D"/>
    <w:rsid w:val="00167C8C"/>
    <w:rsid w:val="0017016F"/>
    <w:rsid w:val="001701C9"/>
    <w:rsid w:val="00170643"/>
    <w:rsid w:val="0017084A"/>
    <w:rsid w:val="001709F2"/>
    <w:rsid w:val="001715A3"/>
    <w:rsid w:val="00171ADD"/>
    <w:rsid w:val="00171AE4"/>
    <w:rsid w:val="00172306"/>
    <w:rsid w:val="0017230F"/>
    <w:rsid w:val="00172626"/>
    <w:rsid w:val="0017285D"/>
    <w:rsid w:val="00172B81"/>
    <w:rsid w:val="00172C72"/>
    <w:rsid w:val="00172C75"/>
    <w:rsid w:val="00172C98"/>
    <w:rsid w:val="00172DD9"/>
    <w:rsid w:val="001730DA"/>
    <w:rsid w:val="001731F0"/>
    <w:rsid w:val="0017358C"/>
    <w:rsid w:val="00173662"/>
    <w:rsid w:val="001737EE"/>
    <w:rsid w:val="00173A20"/>
    <w:rsid w:val="00174291"/>
    <w:rsid w:val="001746FA"/>
    <w:rsid w:val="00174712"/>
    <w:rsid w:val="00174E0E"/>
    <w:rsid w:val="00175322"/>
    <w:rsid w:val="0017579E"/>
    <w:rsid w:val="001757C2"/>
    <w:rsid w:val="00175819"/>
    <w:rsid w:val="001761CE"/>
    <w:rsid w:val="00176223"/>
    <w:rsid w:val="001762C3"/>
    <w:rsid w:val="001763A4"/>
    <w:rsid w:val="00176438"/>
    <w:rsid w:val="0017677F"/>
    <w:rsid w:val="001768FB"/>
    <w:rsid w:val="00176FD3"/>
    <w:rsid w:val="0017735C"/>
    <w:rsid w:val="0017743A"/>
    <w:rsid w:val="0017748C"/>
    <w:rsid w:val="001777EC"/>
    <w:rsid w:val="001779FE"/>
    <w:rsid w:val="00177E3C"/>
    <w:rsid w:val="001800D8"/>
    <w:rsid w:val="0018010C"/>
    <w:rsid w:val="00180421"/>
    <w:rsid w:val="00180437"/>
    <w:rsid w:val="00180711"/>
    <w:rsid w:val="00180A86"/>
    <w:rsid w:val="00180C13"/>
    <w:rsid w:val="00180D45"/>
    <w:rsid w:val="001811F8"/>
    <w:rsid w:val="00181607"/>
    <w:rsid w:val="00181E66"/>
    <w:rsid w:val="00182B5A"/>
    <w:rsid w:val="00182DEB"/>
    <w:rsid w:val="00182E1E"/>
    <w:rsid w:val="00182E69"/>
    <w:rsid w:val="001831FE"/>
    <w:rsid w:val="00183E78"/>
    <w:rsid w:val="001840AD"/>
    <w:rsid w:val="00184329"/>
    <w:rsid w:val="0018438E"/>
    <w:rsid w:val="001847BE"/>
    <w:rsid w:val="00184F03"/>
    <w:rsid w:val="00185350"/>
    <w:rsid w:val="00185598"/>
    <w:rsid w:val="00185733"/>
    <w:rsid w:val="001859A7"/>
    <w:rsid w:val="00185B2D"/>
    <w:rsid w:val="0018603E"/>
    <w:rsid w:val="00186447"/>
    <w:rsid w:val="00186C3C"/>
    <w:rsid w:val="00186DC2"/>
    <w:rsid w:val="001870D0"/>
    <w:rsid w:val="0018757A"/>
    <w:rsid w:val="00187E7B"/>
    <w:rsid w:val="001900FA"/>
    <w:rsid w:val="001906FC"/>
    <w:rsid w:val="001908BB"/>
    <w:rsid w:val="001908C5"/>
    <w:rsid w:val="00190F45"/>
    <w:rsid w:val="0019113B"/>
    <w:rsid w:val="00191170"/>
    <w:rsid w:val="00191F48"/>
    <w:rsid w:val="00192036"/>
    <w:rsid w:val="0019214D"/>
    <w:rsid w:val="00192318"/>
    <w:rsid w:val="0019259F"/>
    <w:rsid w:val="001926AE"/>
    <w:rsid w:val="0019282A"/>
    <w:rsid w:val="00192D40"/>
    <w:rsid w:val="001933B1"/>
    <w:rsid w:val="0019355C"/>
    <w:rsid w:val="00193E54"/>
    <w:rsid w:val="00193EF5"/>
    <w:rsid w:val="00193F4E"/>
    <w:rsid w:val="00193FFB"/>
    <w:rsid w:val="00194658"/>
    <w:rsid w:val="00195032"/>
    <w:rsid w:val="00195515"/>
    <w:rsid w:val="00195C58"/>
    <w:rsid w:val="00195D41"/>
    <w:rsid w:val="00196376"/>
    <w:rsid w:val="00196623"/>
    <w:rsid w:val="00196AAE"/>
    <w:rsid w:val="00196ACC"/>
    <w:rsid w:val="0019713F"/>
    <w:rsid w:val="00197198"/>
    <w:rsid w:val="00197220"/>
    <w:rsid w:val="00197290"/>
    <w:rsid w:val="001974A7"/>
    <w:rsid w:val="00197916"/>
    <w:rsid w:val="001979CC"/>
    <w:rsid w:val="001A0097"/>
    <w:rsid w:val="001A03AC"/>
    <w:rsid w:val="001A07C6"/>
    <w:rsid w:val="001A1716"/>
    <w:rsid w:val="001A1A2A"/>
    <w:rsid w:val="001A1BEA"/>
    <w:rsid w:val="001A1ED6"/>
    <w:rsid w:val="001A25ED"/>
    <w:rsid w:val="001A2B6D"/>
    <w:rsid w:val="001A2DBB"/>
    <w:rsid w:val="001A3684"/>
    <w:rsid w:val="001A3697"/>
    <w:rsid w:val="001A4326"/>
    <w:rsid w:val="001A43FF"/>
    <w:rsid w:val="001A4824"/>
    <w:rsid w:val="001A4F59"/>
    <w:rsid w:val="001A5A41"/>
    <w:rsid w:val="001A5BFC"/>
    <w:rsid w:val="001A5CA5"/>
    <w:rsid w:val="001A5E16"/>
    <w:rsid w:val="001A5E6F"/>
    <w:rsid w:val="001A5E7C"/>
    <w:rsid w:val="001A5EE5"/>
    <w:rsid w:val="001A69F5"/>
    <w:rsid w:val="001A6B65"/>
    <w:rsid w:val="001A6B85"/>
    <w:rsid w:val="001A6C89"/>
    <w:rsid w:val="001A6DE7"/>
    <w:rsid w:val="001A6F02"/>
    <w:rsid w:val="001A6FC0"/>
    <w:rsid w:val="001A7115"/>
    <w:rsid w:val="001A71FD"/>
    <w:rsid w:val="001A7469"/>
    <w:rsid w:val="001A7504"/>
    <w:rsid w:val="001A77BE"/>
    <w:rsid w:val="001A79B7"/>
    <w:rsid w:val="001B01CD"/>
    <w:rsid w:val="001B058D"/>
    <w:rsid w:val="001B0FF7"/>
    <w:rsid w:val="001B110A"/>
    <w:rsid w:val="001B117C"/>
    <w:rsid w:val="001B14A8"/>
    <w:rsid w:val="001B17AD"/>
    <w:rsid w:val="001B180F"/>
    <w:rsid w:val="001B286B"/>
    <w:rsid w:val="001B2AB2"/>
    <w:rsid w:val="001B2F64"/>
    <w:rsid w:val="001B30D1"/>
    <w:rsid w:val="001B3556"/>
    <w:rsid w:val="001B3B4A"/>
    <w:rsid w:val="001B3B8F"/>
    <w:rsid w:val="001B4216"/>
    <w:rsid w:val="001B4442"/>
    <w:rsid w:val="001B45B8"/>
    <w:rsid w:val="001B48AE"/>
    <w:rsid w:val="001B4A98"/>
    <w:rsid w:val="001B4DBE"/>
    <w:rsid w:val="001B5044"/>
    <w:rsid w:val="001B542D"/>
    <w:rsid w:val="001B58FF"/>
    <w:rsid w:val="001B6A43"/>
    <w:rsid w:val="001B6A9A"/>
    <w:rsid w:val="001B6C28"/>
    <w:rsid w:val="001B7248"/>
    <w:rsid w:val="001B7431"/>
    <w:rsid w:val="001B75FD"/>
    <w:rsid w:val="001B76CA"/>
    <w:rsid w:val="001B7A74"/>
    <w:rsid w:val="001B7AE1"/>
    <w:rsid w:val="001B7C3E"/>
    <w:rsid w:val="001C08F8"/>
    <w:rsid w:val="001C0B26"/>
    <w:rsid w:val="001C0D07"/>
    <w:rsid w:val="001C0FD2"/>
    <w:rsid w:val="001C12D1"/>
    <w:rsid w:val="001C14CA"/>
    <w:rsid w:val="001C199A"/>
    <w:rsid w:val="001C19B6"/>
    <w:rsid w:val="001C1BFF"/>
    <w:rsid w:val="001C1DE2"/>
    <w:rsid w:val="001C2128"/>
    <w:rsid w:val="001C230E"/>
    <w:rsid w:val="001C27D2"/>
    <w:rsid w:val="001C2CBE"/>
    <w:rsid w:val="001C2D9D"/>
    <w:rsid w:val="001C3BD2"/>
    <w:rsid w:val="001C3C4B"/>
    <w:rsid w:val="001C40D5"/>
    <w:rsid w:val="001C48E1"/>
    <w:rsid w:val="001C4DC0"/>
    <w:rsid w:val="001C4E1D"/>
    <w:rsid w:val="001C4E37"/>
    <w:rsid w:val="001C5BEF"/>
    <w:rsid w:val="001C5F6B"/>
    <w:rsid w:val="001C5F94"/>
    <w:rsid w:val="001C6889"/>
    <w:rsid w:val="001C6A3A"/>
    <w:rsid w:val="001C6ADC"/>
    <w:rsid w:val="001C6BFD"/>
    <w:rsid w:val="001C6FD6"/>
    <w:rsid w:val="001C70FF"/>
    <w:rsid w:val="001C727D"/>
    <w:rsid w:val="001C790A"/>
    <w:rsid w:val="001C79C7"/>
    <w:rsid w:val="001C7B4C"/>
    <w:rsid w:val="001D00C5"/>
    <w:rsid w:val="001D02F8"/>
    <w:rsid w:val="001D0995"/>
    <w:rsid w:val="001D0EAD"/>
    <w:rsid w:val="001D10D1"/>
    <w:rsid w:val="001D11D7"/>
    <w:rsid w:val="001D17EA"/>
    <w:rsid w:val="001D1C9E"/>
    <w:rsid w:val="001D2058"/>
    <w:rsid w:val="001D20E6"/>
    <w:rsid w:val="001D2310"/>
    <w:rsid w:val="001D2B57"/>
    <w:rsid w:val="001D3507"/>
    <w:rsid w:val="001D35FB"/>
    <w:rsid w:val="001D3BB5"/>
    <w:rsid w:val="001D3C8B"/>
    <w:rsid w:val="001D3F08"/>
    <w:rsid w:val="001D4B37"/>
    <w:rsid w:val="001D4C86"/>
    <w:rsid w:val="001D4DE5"/>
    <w:rsid w:val="001D4EB0"/>
    <w:rsid w:val="001D51A6"/>
    <w:rsid w:val="001D529E"/>
    <w:rsid w:val="001D59ED"/>
    <w:rsid w:val="001D5BEF"/>
    <w:rsid w:val="001D5C55"/>
    <w:rsid w:val="001D5F21"/>
    <w:rsid w:val="001D605B"/>
    <w:rsid w:val="001D607D"/>
    <w:rsid w:val="001D60B6"/>
    <w:rsid w:val="001D61F4"/>
    <w:rsid w:val="001D6AA4"/>
    <w:rsid w:val="001D6D9F"/>
    <w:rsid w:val="001D6EAE"/>
    <w:rsid w:val="001D7333"/>
    <w:rsid w:val="001D7CCB"/>
    <w:rsid w:val="001D7D36"/>
    <w:rsid w:val="001D7F2A"/>
    <w:rsid w:val="001E0475"/>
    <w:rsid w:val="001E060C"/>
    <w:rsid w:val="001E0D3F"/>
    <w:rsid w:val="001E0DD5"/>
    <w:rsid w:val="001E1013"/>
    <w:rsid w:val="001E138C"/>
    <w:rsid w:val="001E152C"/>
    <w:rsid w:val="001E1547"/>
    <w:rsid w:val="001E1AAB"/>
    <w:rsid w:val="001E1D44"/>
    <w:rsid w:val="001E2641"/>
    <w:rsid w:val="001E291C"/>
    <w:rsid w:val="001E293B"/>
    <w:rsid w:val="001E30C7"/>
    <w:rsid w:val="001E33AA"/>
    <w:rsid w:val="001E3533"/>
    <w:rsid w:val="001E3D2E"/>
    <w:rsid w:val="001E40F7"/>
    <w:rsid w:val="001E4162"/>
    <w:rsid w:val="001E4D09"/>
    <w:rsid w:val="001E5920"/>
    <w:rsid w:val="001E6AF9"/>
    <w:rsid w:val="001E6B2D"/>
    <w:rsid w:val="001E70F6"/>
    <w:rsid w:val="001E7952"/>
    <w:rsid w:val="001F012D"/>
    <w:rsid w:val="001F07AD"/>
    <w:rsid w:val="001F095C"/>
    <w:rsid w:val="001F0C67"/>
    <w:rsid w:val="001F0FBD"/>
    <w:rsid w:val="001F10F5"/>
    <w:rsid w:val="001F188A"/>
    <w:rsid w:val="001F1D6F"/>
    <w:rsid w:val="001F1E06"/>
    <w:rsid w:val="001F2138"/>
    <w:rsid w:val="001F2158"/>
    <w:rsid w:val="001F2294"/>
    <w:rsid w:val="001F2329"/>
    <w:rsid w:val="001F24F6"/>
    <w:rsid w:val="001F280A"/>
    <w:rsid w:val="001F2C70"/>
    <w:rsid w:val="001F2EAE"/>
    <w:rsid w:val="001F2FAD"/>
    <w:rsid w:val="001F3093"/>
    <w:rsid w:val="001F31CB"/>
    <w:rsid w:val="001F39FE"/>
    <w:rsid w:val="001F3A8F"/>
    <w:rsid w:val="001F3FB5"/>
    <w:rsid w:val="001F4125"/>
    <w:rsid w:val="001F41B5"/>
    <w:rsid w:val="001F41CF"/>
    <w:rsid w:val="001F4240"/>
    <w:rsid w:val="001F5139"/>
    <w:rsid w:val="001F527F"/>
    <w:rsid w:val="001F542B"/>
    <w:rsid w:val="001F5466"/>
    <w:rsid w:val="001F55C4"/>
    <w:rsid w:val="001F5685"/>
    <w:rsid w:val="001F5C66"/>
    <w:rsid w:val="001F5F66"/>
    <w:rsid w:val="001F5F6D"/>
    <w:rsid w:val="001F5FE7"/>
    <w:rsid w:val="001F6829"/>
    <w:rsid w:val="001F74F1"/>
    <w:rsid w:val="001F7FA0"/>
    <w:rsid w:val="002000AF"/>
    <w:rsid w:val="002006F7"/>
    <w:rsid w:val="002007E5"/>
    <w:rsid w:val="00200967"/>
    <w:rsid w:val="00200B60"/>
    <w:rsid w:val="00200C08"/>
    <w:rsid w:val="00201322"/>
    <w:rsid w:val="0020167D"/>
    <w:rsid w:val="00201ACB"/>
    <w:rsid w:val="00201ADC"/>
    <w:rsid w:val="00201CDC"/>
    <w:rsid w:val="00202099"/>
    <w:rsid w:val="002023DC"/>
    <w:rsid w:val="0020266C"/>
    <w:rsid w:val="00202882"/>
    <w:rsid w:val="00202E02"/>
    <w:rsid w:val="002030FB"/>
    <w:rsid w:val="0020312D"/>
    <w:rsid w:val="00203135"/>
    <w:rsid w:val="00203243"/>
    <w:rsid w:val="00203680"/>
    <w:rsid w:val="002037AD"/>
    <w:rsid w:val="00203BBB"/>
    <w:rsid w:val="00204E59"/>
    <w:rsid w:val="00204E65"/>
    <w:rsid w:val="00204F15"/>
    <w:rsid w:val="0020524F"/>
    <w:rsid w:val="0020605A"/>
    <w:rsid w:val="00206F22"/>
    <w:rsid w:val="002076D2"/>
    <w:rsid w:val="00207DF9"/>
    <w:rsid w:val="00207FDC"/>
    <w:rsid w:val="002102C0"/>
    <w:rsid w:val="002103BD"/>
    <w:rsid w:val="00210A34"/>
    <w:rsid w:val="00210CD8"/>
    <w:rsid w:val="00211470"/>
    <w:rsid w:val="00211ABB"/>
    <w:rsid w:val="00211FDD"/>
    <w:rsid w:val="00212172"/>
    <w:rsid w:val="00212412"/>
    <w:rsid w:val="00212857"/>
    <w:rsid w:val="00212B97"/>
    <w:rsid w:val="00212C1E"/>
    <w:rsid w:val="00212C2E"/>
    <w:rsid w:val="00212FB7"/>
    <w:rsid w:val="00213033"/>
    <w:rsid w:val="00213734"/>
    <w:rsid w:val="00213798"/>
    <w:rsid w:val="00213903"/>
    <w:rsid w:val="00213C77"/>
    <w:rsid w:val="00213DE0"/>
    <w:rsid w:val="00213DE9"/>
    <w:rsid w:val="00214011"/>
    <w:rsid w:val="00214311"/>
    <w:rsid w:val="00214A17"/>
    <w:rsid w:val="00214B58"/>
    <w:rsid w:val="00214C06"/>
    <w:rsid w:val="002151CA"/>
    <w:rsid w:val="002154A9"/>
    <w:rsid w:val="0021598F"/>
    <w:rsid w:val="00215B08"/>
    <w:rsid w:val="002163FB"/>
    <w:rsid w:val="00216BB2"/>
    <w:rsid w:val="00217259"/>
    <w:rsid w:val="00217476"/>
    <w:rsid w:val="002174F5"/>
    <w:rsid w:val="00220216"/>
    <w:rsid w:val="00220555"/>
    <w:rsid w:val="002205D4"/>
    <w:rsid w:val="00220A1E"/>
    <w:rsid w:val="00220A3E"/>
    <w:rsid w:val="00220EF2"/>
    <w:rsid w:val="0022179C"/>
    <w:rsid w:val="002219C6"/>
    <w:rsid w:val="00221C27"/>
    <w:rsid w:val="00221E11"/>
    <w:rsid w:val="00221FEF"/>
    <w:rsid w:val="00223053"/>
    <w:rsid w:val="0022322F"/>
    <w:rsid w:val="00223377"/>
    <w:rsid w:val="00223725"/>
    <w:rsid w:val="00223D61"/>
    <w:rsid w:val="00224AA2"/>
    <w:rsid w:val="00224E73"/>
    <w:rsid w:val="0022500B"/>
    <w:rsid w:val="002256BF"/>
    <w:rsid w:val="002256DF"/>
    <w:rsid w:val="0022595F"/>
    <w:rsid w:val="00225B2C"/>
    <w:rsid w:val="00226203"/>
    <w:rsid w:val="002263EF"/>
    <w:rsid w:val="0022675F"/>
    <w:rsid w:val="00226884"/>
    <w:rsid w:val="00226A9A"/>
    <w:rsid w:val="00226BC0"/>
    <w:rsid w:val="002270C2"/>
    <w:rsid w:val="00227542"/>
    <w:rsid w:val="0022773A"/>
    <w:rsid w:val="00227E52"/>
    <w:rsid w:val="0023097F"/>
    <w:rsid w:val="00230FF8"/>
    <w:rsid w:val="0023102C"/>
    <w:rsid w:val="00231388"/>
    <w:rsid w:val="00231620"/>
    <w:rsid w:val="00231773"/>
    <w:rsid w:val="00231CA5"/>
    <w:rsid w:val="00231EA8"/>
    <w:rsid w:val="00232743"/>
    <w:rsid w:val="0023295A"/>
    <w:rsid w:val="002329EB"/>
    <w:rsid w:val="0023338C"/>
    <w:rsid w:val="0023341E"/>
    <w:rsid w:val="0023356F"/>
    <w:rsid w:val="002342B6"/>
    <w:rsid w:val="00234592"/>
    <w:rsid w:val="0023484E"/>
    <w:rsid w:val="0023510E"/>
    <w:rsid w:val="00235F3C"/>
    <w:rsid w:val="002361C4"/>
    <w:rsid w:val="002363AE"/>
    <w:rsid w:val="0023668D"/>
    <w:rsid w:val="00236C74"/>
    <w:rsid w:val="00236F2A"/>
    <w:rsid w:val="002370A7"/>
    <w:rsid w:val="0023734E"/>
    <w:rsid w:val="0024001D"/>
    <w:rsid w:val="002406D2"/>
    <w:rsid w:val="00240730"/>
    <w:rsid w:val="002407B1"/>
    <w:rsid w:val="00240D5C"/>
    <w:rsid w:val="00241203"/>
    <w:rsid w:val="00241545"/>
    <w:rsid w:val="002417A5"/>
    <w:rsid w:val="00241CAE"/>
    <w:rsid w:val="002420CD"/>
    <w:rsid w:val="0024285B"/>
    <w:rsid w:val="002429AA"/>
    <w:rsid w:val="00242A86"/>
    <w:rsid w:val="00242AA6"/>
    <w:rsid w:val="00242CDC"/>
    <w:rsid w:val="0024328A"/>
    <w:rsid w:val="002436EF"/>
    <w:rsid w:val="00243BED"/>
    <w:rsid w:val="002445F0"/>
    <w:rsid w:val="00244B2B"/>
    <w:rsid w:val="00244B4C"/>
    <w:rsid w:val="00244F41"/>
    <w:rsid w:val="00245060"/>
    <w:rsid w:val="002463C5"/>
    <w:rsid w:val="00246923"/>
    <w:rsid w:val="002469C3"/>
    <w:rsid w:val="00246A1C"/>
    <w:rsid w:val="002473BF"/>
    <w:rsid w:val="00247AEC"/>
    <w:rsid w:val="00247B0F"/>
    <w:rsid w:val="00247BFD"/>
    <w:rsid w:val="0025040B"/>
    <w:rsid w:val="00250F88"/>
    <w:rsid w:val="002510BF"/>
    <w:rsid w:val="002512E5"/>
    <w:rsid w:val="00251567"/>
    <w:rsid w:val="00251723"/>
    <w:rsid w:val="00251837"/>
    <w:rsid w:val="00251B40"/>
    <w:rsid w:val="00251EE1"/>
    <w:rsid w:val="00252619"/>
    <w:rsid w:val="00252BA7"/>
    <w:rsid w:val="00252CD0"/>
    <w:rsid w:val="00252DD5"/>
    <w:rsid w:val="002532E1"/>
    <w:rsid w:val="00253318"/>
    <w:rsid w:val="002534FB"/>
    <w:rsid w:val="002536E7"/>
    <w:rsid w:val="00253981"/>
    <w:rsid w:val="00253A53"/>
    <w:rsid w:val="00253B72"/>
    <w:rsid w:val="00253CC5"/>
    <w:rsid w:val="00253FDF"/>
    <w:rsid w:val="002541CD"/>
    <w:rsid w:val="002542AD"/>
    <w:rsid w:val="0025432E"/>
    <w:rsid w:val="0025434B"/>
    <w:rsid w:val="00254351"/>
    <w:rsid w:val="0025437B"/>
    <w:rsid w:val="002545E5"/>
    <w:rsid w:val="002545F0"/>
    <w:rsid w:val="00254992"/>
    <w:rsid w:val="00254AD9"/>
    <w:rsid w:val="00254D27"/>
    <w:rsid w:val="00254D32"/>
    <w:rsid w:val="00254FD8"/>
    <w:rsid w:val="002554F5"/>
    <w:rsid w:val="0025554C"/>
    <w:rsid w:val="00255A35"/>
    <w:rsid w:val="00255CDB"/>
    <w:rsid w:val="00256382"/>
    <w:rsid w:val="00256716"/>
    <w:rsid w:val="00256AD3"/>
    <w:rsid w:val="00256BB5"/>
    <w:rsid w:val="002570CC"/>
    <w:rsid w:val="00257641"/>
    <w:rsid w:val="0025783F"/>
    <w:rsid w:val="002579B8"/>
    <w:rsid w:val="00257A09"/>
    <w:rsid w:val="00257AE3"/>
    <w:rsid w:val="002603A0"/>
    <w:rsid w:val="0026053C"/>
    <w:rsid w:val="0026059E"/>
    <w:rsid w:val="00260DCA"/>
    <w:rsid w:val="00261358"/>
    <w:rsid w:val="00261BBD"/>
    <w:rsid w:val="00261D12"/>
    <w:rsid w:val="00261DF7"/>
    <w:rsid w:val="002620AB"/>
    <w:rsid w:val="00262129"/>
    <w:rsid w:val="002621A6"/>
    <w:rsid w:val="00262521"/>
    <w:rsid w:val="00262D47"/>
    <w:rsid w:val="00262E14"/>
    <w:rsid w:val="0026357E"/>
    <w:rsid w:val="0026384A"/>
    <w:rsid w:val="00263E0C"/>
    <w:rsid w:val="00264005"/>
    <w:rsid w:val="00264102"/>
    <w:rsid w:val="002644F7"/>
    <w:rsid w:val="002645A5"/>
    <w:rsid w:val="0026462A"/>
    <w:rsid w:val="00264DE7"/>
    <w:rsid w:val="0026531B"/>
    <w:rsid w:val="00265376"/>
    <w:rsid w:val="0026551B"/>
    <w:rsid w:val="00265BE6"/>
    <w:rsid w:val="0026616D"/>
    <w:rsid w:val="0026617D"/>
    <w:rsid w:val="00266758"/>
    <w:rsid w:val="00266888"/>
    <w:rsid w:val="002671BE"/>
    <w:rsid w:val="0026731F"/>
    <w:rsid w:val="00267F85"/>
    <w:rsid w:val="00270197"/>
    <w:rsid w:val="0027038E"/>
    <w:rsid w:val="00270470"/>
    <w:rsid w:val="002705EE"/>
    <w:rsid w:val="002706D7"/>
    <w:rsid w:val="00270796"/>
    <w:rsid w:val="002707D7"/>
    <w:rsid w:val="00270ADC"/>
    <w:rsid w:val="002715A4"/>
    <w:rsid w:val="00272216"/>
    <w:rsid w:val="00272278"/>
    <w:rsid w:val="002733E7"/>
    <w:rsid w:val="00273653"/>
    <w:rsid w:val="0027388C"/>
    <w:rsid w:val="002747EF"/>
    <w:rsid w:val="00274D95"/>
    <w:rsid w:val="002756DC"/>
    <w:rsid w:val="0027586F"/>
    <w:rsid w:val="00275EC9"/>
    <w:rsid w:val="00276701"/>
    <w:rsid w:val="00276B21"/>
    <w:rsid w:val="00276EA1"/>
    <w:rsid w:val="002774D3"/>
    <w:rsid w:val="00277504"/>
    <w:rsid w:val="002775B4"/>
    <w:rsid w:val="00277605"/>
    <w:rsid w:val="00277BDE"/>
    <w:rsid w:val="00277D3B"/>
    <w:rsid w:val="00277D78"/>
    <w:rsid w:val="00277DFB"/>
    <w:rsid w:val="00277EF1"/>
    <w:rsid w:val="00280882"/>
    <w:rsid w:val="00280C60"/>
    <w:rsid w:val="00280D09"/>
    <w:rsid w:val="00281078"/>
    <w:rsid w:val="002812BB"/>
    <w:rsid w:val="00281383"/>
    <w:rsid w:val="002816C1"/>
    <w:rsid w:val="00281756"/>
    <w:rsid w:val="00281962"/>
    <w:rsid w:val="00281F24"/>
    <w:rsid w:val="002821E2"/>
    <w:rsid w:val="0028228A"/>
    <w:rsid w:val="00282359"/>
    <w:rsid w:val="00282651"/>
    <w:rsid w:val="00282F80"/>
    <w:rsid w:val="0028304F"/>
    <w:rsid w:val="0028329B"/>
    <w:rsid w:val="002842D2"/>
    <w:rsid w:val="00284445"/>
    <w:rsid w:val="0028451A"/>
    <w:rsid w:val="002847D5"/>
    <w:rsid w:val="00284D5A"/>
    <w:rsid w:val="00284E10"/>
    <w:rsid w:val="00284FCB"/>
    <w:rsid w:val="0028545E"/>
    <w:rsid w:val="00285632"/>
    <w:rsid w:val="002856E9"/>
    <w:rsid w:val="00285B0E"/>
    <w:rsid w:val="00285BC3"/>
    <w:rsid w:val="00285F32"/>
    <w:rsid w:val="0028612A"/>
    <w:rsid w:val="00286180"/>
    <w:rsid w:val="00286591"/>
    <w:rsid w:val="00286671"/>
    <w:rsid w:val="00286A3C"/>
    <w:rsid w:val="00286BC3"/>
    <w:rsid w:val="00287B90"/>
    <w:rsid w:val="00290597"/>
    <w:rsid w:val="00290798"/>
    <w:rsid w:val="0029082B"/>
    <w:rsid w:val="00290CF8"/>
    <w:rsid w:val="00291169"/>
    <w:rsid w:val="002912C9"/>
    <w:rsid w:val="0029190F"/>
    <w:rsid w:val="00291D4F"/>
    <w:rsid w:val="00291D86"/>
    <w:rsid w:val="002920AF"/>
    <w:rsid w:val="0029211F"/>
    <w:rsid w:val="0029228E"/>
    <w:rsid w:val="00292B6E"/>
    <w:rsid w:val="00292D49"/>
    <w:rsid w:val="0029305A"/>
    <w:rsid w:val="002932EC"/>
    <w:rsid w:val="00293498"/>
    <w:rsid w:val="002937E0"/>
    <w:rsid w:val="00293B34"/>
    <w:rsid w:val="002951F9"/>
    <w:rsid w:val="00295654"/>
    <w:rsid w:val="002956CD"/>
    <w:rsid w:val="00295B8C"/>
    <w:rsid w:val="00296252"/>
    <w:rsid w:val="00296B0B"/>
    <w:rsid w:val="00297355"/>
    <w:rsid w:val="00297BA1"/>
    <w:rsid w:val="00297F65"/>
    <w:rsid w:val="00297FFA"/>
    <w:rsid w:val="002A0300"/>
    <w:rsid w:val="002A0655"/>
    <w:rsid w:val="002A0B87"/>
    <w:rsid w:val="002A0EC1"/>
    <w:rsid w:val="002A0ED5"/>
    <w:rsid w:val="002A0F2A"/>
    <w:rsid w:val="002A10D3"/>
    <w:rsid w:val="002A111E"/>
    <w:rsid w:val="002A1288"/>
    <w:rsid w:val="002A14D0"/>
    <w:rsid w:val="002A153C"/>
    <w:rsid w:val="002A17E7"/>
    <w:rsid w:val="002A1C3B"/>
    <w:rsid w:val="002A1F62"/>
    <w:rsid w:val="002A2559"/>
    <w:rsid w:val="002A2DDC"/>
    <w:rsid w:val="002A2F14"/>
    <w:rsid w:val="002A3909"/>
    <w:rsid w:val="002A3A31"/>
    <w:rsid w:val="002A40CB"/>
    <w:rsid w:val="002A4FE4"/>
    <w:rsid w:val="002A548A"/>
    <w:rsid w:val="002A55BE"/>
    <w:rsid w:val="002A5D64"/>
    <w:rsid w:val="002A6329"/>
    <w:rsid w:val="002A63CA"/>
    <w:rsid w:val="002A691E"/>
    <w:rsid w:val="002A6925"/>
    <w:rsid w:val="002A6BDC"/>
    <w:rsid w:val="002A6FC3"/>
    <w:rsid w:val="002A6FC6"/>
    <w:rsid w:val="002A7425"/>
    <w:rsid w:val="002A76EF"/>
    <w:rsid w:val="002A7A22"/>
    <w:rsid w:val="002A7BA8"/>
    <w:rsid w:val="002A7BAD"/>
    <w:rsid w:val="002A7D87"/>
    <w:rsid w:val="002A7F2D"/>
    <w:rsid w:val="002A7F40"/>
    <w:rsid w:val="002B021E"/>
    <w:rsid w:val="002B0278"/>
    <w:rsid w:val="002B02AD"/>
    <w:rsid w:val="002B0837"/>
    <w:rsid w:val="002B088D"/>
    <w:rsid w:val="002B09CD"/>
    <w:rsid w:val="002B16B7"/>
    <w:rsid w:val="002B1BD9"/>
    <w:rsid w:val="002B2713"/>
    <w:rsid w:val="002B2C35"/>
    <w:rsid w:val="002B3326"/>
    <w:rsid w:val="002B336A"/>
    <w:rsid w:val="002B34E1"/>
    <w:rsid w:val="002B3A46"/>
    <w:rsid w:val="002B3CEC"/>
    <w:rsid w:val="002B3D99"/>
    <w:rsid w:val="002B46EE"/>
    <w:rsid w:val="002B52CA"/>
    <w:rsid w:val="002B546F"/>
    <w:rsid w:val="002B57D4"/>
    <w:rsid w:val="002B5B4B"/>
    <w:rsid w:val="002B6AB5"/>
    <w:rsid w:val="002B6FAC"/>
    <w:rsid w:val="002B7442"/>
    <w:rsid w:val="002B785B"/>
    <w:rsid w:val="002B795C"/>
    <w:rsid w:val="002B7D93"/>
    <w:rsid w:val="002B7F0C"/>
    <w:rsid w:val="002C06F1"/>
    <w:rsid w:val="002C0816"/>
    <w:rsid w:val="002C08A7"/>
    <w:rsid w:val="002C08D6"/>
    <w:rsid w:val="002C09EC"/>
    <w:rsid w:val="002C0B20"/>
    <w:rsid w:val="002C0B67"/>
    <w:rsid w:val="002C12C9"/>
    <w:rsid w:val="002C1398"/>
    <w:rsid w:val="002C1BF8"/>
    <w:rsid w:val="002C1D8E"/>
    <w:rsid w:val="002C1E19"/>
    <w:rsid w:val="002C1F53"/>
    <w:rsid w:val="002C20FA"/>
    <w:rsid w:val="002C215F"/>
    <w:rsid w:val="002C2594"/>
    <w:rsid w:val="002C2828"/>
    <w:rsid w:val="002C296E"/>
    <w:rsid w:val="002C2B4F"/>
    <w:rsid w:val="002C2ECE"/>
    <w:rsid w:val="002C2EFD"/>
    <w:rsid w:val="002C3034"/>
    <w:rsid w:val="002C309E"/>
    <w:rsid w:val="002C3165"/>
    <w:rsid w:val="002C3320"/>
    <w:rsid w:val="002C37F7"/>
    <w:rsid w:val="002C3957"/>
    <w:rsid w:val="002C409A"/>
    <w:rsid w:val="002C4462"/>
    <w:rsid w:val="002C4D05"/>
    <w:rsid w:val="002C4E9A"/>
    <w:rsid w:val="002C5264"/>
    <w:rsid w:val="002C52D1"/>
    <w:rsid w:val="002C54C8"/>
    <w:rsid w:val="002C571E"/>
    <w:rsid w:val="002C5835"/>
    <w:rsid w:val="002C5CF9"/>
    <w:rsid w:val="002C64C3"/>
    <w:rsid w:val="002C64DA"/>
    <w:rsid w:val="002C67A6"/>
    <w:rsid w:val="002C67D3"/>
    <w:rsid w:val="002C67EE"/>
    <w:rsid w:val="002C6BF6"/>
    <w:rsid w:val="002C6E7F"/>
    <w:rsid w:val="002C7465"/>
    <w:rsid w:val="002C75B2"/>
    <w:rsid w:val="002C7D17"/>
    <w:rsid w:val="002C7F3A"/>
    <w:rsid w:val="002D073C"/>
    <w:rsid w:val="002D0C6E"/>
    <w:rsid w:val="002D145B"/>
    <w:rsid w:val="002D1A7E"/>
    <w:rsid w:val="002D2797"/>
    <w:rsid w:val="002D2D24"/>
    <w:rsid w:val="002D2FD9"/>
    <w:rsid w:val="002D2FE3"/>
    <w:rsid w:val="002D3296"/>
    <w:rsid w:val="002D32E5"/>
    <w:rsid w:val="002D33FC"/>
    <w:rsid w:val="002D3471"/>
    <w:rsid w:val="002D34AD"/>
    <w:rsid w:val="002D3602"/>
    <w:rsid w:val="002D36ED"/>
    <w:rsid w:val="002D3BCE"/>
    <w:rsid w:val="002D3F94"/>
    <w:rsid w:val="002D4407"/>
    <w:rsid w:val="002D470E"/>
    <w:rsid w:val="002D51CA"/>
    <w:rsid w:val="002D520A"/>
    <w:rsid w:val="002D5264"/>
    <w:rsid w:val="002D532B"/>
    <w:rsid w:val="002D54FA"/>
    <w:rsid w:val="002D5E9B"/>
    <w:rsid w:val="002D657E"/>
    <w:rsid w:val="002D66DF"/>
    <w:rsid w:val="002D69E6"/>
    <w:rsid w:val="002D708A"/>
    <w:rsid w:val="002D7479"/>
    <w:rsid w:val="002D7A70"/>
    <w:rsid w:val="002D7B24"/>
    <w:rsid w:val="002D7C9D"/>
    <w:rsid w:val="002D7CE8"/>
    <w:rsid w:val="002D7E32"/>
    <w:rsid w:val="002E00D2"/>
    <w:rsid w:val="002E0470"/>
    <w:rsid w:val="002E068F"/>
    <w:rsid w:val="002E06B5"/>
    <w:rsid w:val="002E088B"/>
    <w:rsid w:val="002E095F"/>
    <w:rsid w:val="002E09A9"/>
    <w:rsid w:val="002E0DC0"/>
    <w:rsid w:val="002E1006"/>
    <w:rsid w:val="002E1075"/>
    <w:rsid w:val="002E1080"/>
    <w:rsid w:val="002E12F4"/>
    <w:rsid w:val="002E137A"/>
    <w:rsid w:val="002E151F"/>
    <w:rsid w:val="002E1BCC"/>
    <w:rsid w:val="002E1DFA"/>
    <w:rsid w:val="002E1FD8"/>
    <w:rsid w:val="002E259E"/>
    <w:rsid w:val="002E2713"/>
    <w:rsid w:val="002E2985"/>
    <w:rsid w:val="002E31F1"/>
    <w:rsid w:val="002E332C"/>
    <w:rsid w:val="002E35FA"/>
    <w:rsid w:val="002E3A7D"/>
    <w:rsid w:val="002E3DF8"/>
    <w:rsid w:val="002E451D"/>
    <w:rsid w:val="002E4DCA"/>
    <w:rsid w:val="002E4E4C"/>
    <w:rsid w:val="002E4EAE"/>
    <w:rsid w:val="002E4FE9"/>
    <w:rsid w:val="002E5699"/>
    <w:rsid w:val="002E60FC"/>
    <w:rsid w:val="002E661F"/>
    <w:rsid w:val="002E666D"/>
    <w:rsid w:val="002E683A"/>
    <w:rsid w:val="002E7173"/>
    <w:rsid w:val="002E76DA"/>
    <w:rsid w:val="002E7833"/>
    <w:rsid w:val="002E7D1D"/>
    <w:rsid w:val="002F0158"/>
    <w:rsid w:val="002F02E7"/>
    <w:rsid w:val="002F03CA"/>
    <w:rsid w:val="002F0E0D"/>
    <w:rsid w:val="002F1030"/>
    <w:rsid w:val="002F263A"/>
    <w:rsid w:val="002F278C"/>
    <w:rsid w:val="002F2AF1"/>
    <w:rsid w:val="002F2CD7"/>
    <w:rsid w:val="002F2EB7"/>
    <w:rsid w:val="002F304F"/>
    <w:rsid w:val="002F30CA"/>
    <w:rsid w:val="002F30F6"/>
    <w:rsid w:val="002F3391"/>
    <w:rsid w:val="002F359D"/>
    <w:rsid w:val="002F3770"/>
    <w:rsid w:val="002F3AC9"/>
    <w:rsid w:val="002F4044"/>
    <w:rsid w:val="002F4CD6"/>
    <w:rsid w:val="002F4EB4"/>
    <w:rsid w:val="002F4F70"/>
    <w:rsid w:val="002F5255"/>
    <w:rsid w:val="002F54C3"/>
    <w:rsid w:val="002F56DD"/>
    <w:rsid w:val="002F5E73"/>
    <w:rsid w:val="002F6109"/>
    <w:rsid w:val="002F64AC"/>
    <w:rsid w:val="002F70AE"/>
    <w:rsid w:val="002F74C4"/>
    <w:rsid w:val="002F7648"/>
    <w:rsid w:val="002F7675"/>
    <w:rsid w:val="002F7D4A"/>
    <w:rsid w:val="002F7D5A"/>
    <w:rsid w:val="0030045C"/>
    <w:rsid w:val="003006E4"/>
    <w:rsid w:val="003009FE"/>
    <w:rsid w:val="00301588"/>
    <w:rsid w:val="00301646"/>
    <w:rsid w:val="00301E51"/>
    <w:rsid w:val="0030210A"/>
    <w:rsid w:val="003021B8"/>
    <w:rsid w:val="003023AC"/>
    <w:rsid w:val="003024E4"/>
    <w:rsid w:val="003024F0"/>
    <w:rsid w:val="003025DB"/>
    <w:rsid w:val="0030279C"/>
    <w:rsid w:val="003029DF"/>
    <w:rsid w:val="00302A73"/>
    <w:rsid w:val="00302C39"/>
    <w:rsid w:val="00302C72"/>
    <w:rsid w:val="00302D78"/>
    <w:rsid w:val="00302DBA"/>
    <w:rsid w:val="003030D7"/>
    <w:rsid w:val="00303208"/>
    <w:rsid w:val="00303323"/>
    <w:rsid w:val="0030332F"/>
    <w:rsid w:val="00303511"/>
    <w:rsid w:val="00303619"/>
    <w:rsid w:val="00303A51"/>
    <w:rsid w:val="00303C90"/>
    <w:rsid w:val="003044B6"/>
    <w:rsid w:val="00305196"/>
    <w:rsid w:val="003059CD"/>
    <w:rsid w:val="00305EA2"/>
    <w:rsid w:val="00305EA5"/>
    <w:rsid w:val="00306055"/>
    <w:rsid w:val="00306716"/>
    <w:rsid w:val="00307007"/>
    <w:rsid w:val="003077DB"/>
    <w:rsid w:val="003078F0"/>
    <w:rsid w:val="00307BA8"/>
    <w:rsid w:val="00307FA9"/>
    <w:rsid w:val="003107D5"/>
    <w:rsid w:val="003108C9"/>
    <w:rsid w:val="00310C42"/>
    <w:rsid w:val="00310DE2"/>
    <w:rsid w:val="00311719"/>
    <w:rsid w:val="00311996"/>
    <w:rsid w:val="00311D99"/>
    <w:rsid w:val="00311DC2"/>
    <w:rsid w:val="00311F3D"/>
    <w:rsid w:val="003123FE"/>
    <w:rsid w:val="00312AFF"/>
    <w:rsid w:val="00312B91"/>
    <w:rsid w:val="00312D3F"/>
    <w:rsid w:val="0031318A"/>
    <w:rsid w:val="003131B2"/>
    <w:rsid w:val="0031406D"/>
    <w:rsid w:val="0031428F"/>
    <w:rsid w:val="00314746"/>
    <w:rsid w:val="003147E2"/>
    <w:rsid w:val="00314B84"/>
    <w:rsid w:val="0031551F"/>
    <w:rsid w:val="003155AF"/>
    <w:rsid w:val="0031591C"/>
    <w:rsid w:val="00315CBA"/>
    <w:rsid w:val="003160C6"/>
    <w:rsid w:val="003168C5"/>
    <w:rsid w:val="00316A3E"/>
    <w:rsid w:val="00316BC5"/>
    <w:rsid w:val="00316C0A"/>
    <w:rsid w:val="00316C75"/>
    <w:rsid w:val="003171F2"/>
    <w:rsid w:val="00317619"/>
    <w:rsid w:val="00317627"/>
    <w:rsid w:val="0031793C"/>
    <w:rsid w:val="003179AE"/>
    <w:rsid w:val="00317A4B"/>
    <w:rsid w:val="00317D00"/>
    <w:rsid w:val="00320D18"/>
    <w:rsid w:val="00320F92"/>
    <w:rsid w:val="0032130D"/>
    <w:rsid w:val="00321A89"/>
    <w:rsid w:val="00321C26"/>
    <w:rsid w:val="00321FD0"/>
    <w:rsid w:val="00322445"/>
    <w:rsid w:val="0032252C"/>
    <w:rsid w:val="003227C1"/>
    <w:rsid w:val="003228A9"/>
    <w:rsid w:val="00322D0F"/>
    <w:rsid w:val="00322E03"/>
    <w:rsid w:val="0032347B"/>
    <w:rsid w:val="00323982"/>
    <w:rsid w:val="00323E56"/>
    <w:rsid w:val="00324362"/>
    <w:rsid w:val="00324587"/>
    <w:rsid w:val="0032516B"/>
    <w:rsid w:val="0032571C"/>
    <w:rsid w:val="00326179"/>
    <w:rsid w:val="003261F4"/>
    <w:rsid w:val="003264AD"/>
    <w:rsid w:val="003265D0"/>
    <w:rsid w:val="0032708B"/>
    <w:rsid w:val="00327110"/>
    <w:rsid w:val="0032737B"/>
    <w:rsid w:val="00327FAE"/>
    <w:rsid w:val="003300DB"/>
    <w:rsid w:val="003302A1"/>
    <w:rsid w:val="00330683"/>
    <w:rsid w:val="003307DB"/>
    <w:rsid w:val="003307F0"/>
    <w:rsid w:val="00330AD9"/>
    <w:rsid w:val="00330B20"/>
    <w:rsid w:val="00330F70"/>
    <w:rsid w:val="003316DB"/>
    <w:rsid w:val="0033264C"/>
    <w:rsid w:val="00332A82"/>
    <w:rsid w:val="00332C2D"/>
    <w:rsid w:val="00332CF1"/>
    <w:rsid w:val="00332E07"/>
    <w:rsid w:val="00333E41"/>
    <w:rsid w:val="00334006"/>
    <w:rsid w:val="003347BB"/>
    <w:rsid w:val="00334840"/>
    <w:rsid w:val="00334EEA"/>
    <w:rsid w:val="0033513C"/>
    <w:rsid w:val="00335424"/>
    <w:rsid w:val="003356B4"/>
    <w:rsid w:val="00335947"/>
    <w:rsid w:val="00335A89"/>
    <w:rsid w:val="00335BF9"/>
    <w:rsid w:val="00336203"/>
    <w:rsid w:val="00336285"/>
    <w:rsid w:val="00336BD1"/>
    <w:rsid w:val="00336C8A"/>
    <w:rsid w:val="00336DB2"/>
    <w:rsid w:val="00337545"/>
    <w:rsid w:val="003378A2"/>
    <w:rsid w:val="003379AA"/>
    <w:rsid w:val="00337B7A"/>
    <w:rsid w:val="00337F5F"/>
    <w:rsid w:val="003402D9"/>
    <w:rsid w:val="0034046E"/>
    <w:rsid w:val="003406CD"/>
    <w:rsid w:val="00340719"/>
    <w:rsid w:val="00340861"/>
    <w:rsid w:val="00340C23"/>
    <w:rsid w:val="00340D1A"/>
    <w:rsid w:val="00340D1D"/>
    <w:rsid w:val="003413E6"/>
    <w:rsid w:val="0034148C"/>
    <w:rsid w:val="00341579"/>
    <w:rsid w:val="003417AC"/>
    <w:rsid w:val="00341838"/>
    <w:rsid w:val="00341C78"/>
    <w:rsid w:val="00341D5A"/>
    <w:rsid w:val="00341F84"/>
    <w:rsid w:val="0034203B"/>
    <w:rsid w:val="003420CA"/>
    <w:rsid w:val="003422C8"/>
    <w:rsid w:val="0034230F"/>
    <w:rsid w:val="00342910"/>
    <w:rsid w:val="00342AFB"/>
    <w:rsid w:val="0034310F"/>
    <w:rsid w:val="00343303"/>
    <w:rsid w:val="00343A97"/>
    <w:rsid w:val="00343ED1"/>
    <w:rsid w:val="00343FF8"/>
    <w:rsid w:val="00344AC0"/>
    <w:rsid w:val="00344AD4"/>
    <w:rsid w:val="00344AE1"/>
    <w:rsid w:val="00344F0E"/>
    <w:rsid w:val="0034501E"/>
    <w:rsid w:val="003452EE"/>
    <w:rsid w:val="0034562B"/>
    <w:rsid w:val="00345709"/>
    <w:rsid w:val="003458BF"/>
    <w:rsid w:val="00345B79"/>
    <w:rsid w:val="00345DBF"/>
    <w:rsid w:val="00345E6E"/>
    <w:rsid w:val="00345ED8"/>
    <w:rsid w:val="00346016"/>
    <w:rsid w:val="003465B8"/>
    <w:rsid w:val="003469E3"/>
    <w:rsid w:val="00346EC4"/>
    <w:rsid w:val="00347374"/>
    <w:rsid w:val="00347575"/>
    <w:rsid w:val="00347822"/>
    <w:rsid w:val="00347F05"/>
    <w:rsid w:val="00347F51"/>
    <w:rsid w:val="00347F70"/>
    <w:rsid w:val="003505DE"/>
    <w:rsid w:val="003506AF"/>
    <w:rsid w:val="003508D0"/>
    <w:rsid w:val="003509AB"/>
    <w:rsid w:val="0035116D"/>
    <w:rsid w:val="0035120E"/>
    <w:rsid w:val="00351455"/>
    <w:rsid w:val="003514DF"/>
    <w:rsid w:val="00351B68"/>
    <w:rsid w:val="00351D2D"/>
    <w:rsid w:val="003521DC"/>
    <w:rsid w:val="0035242A"/>
    <w:rsid w:val="0035269B"/>
    <w:rsid w:val="00352A69"/>
    <w:rsid w:val="00352B2A"/>
    <w:rsid w:val="00352CF7"/>
    <w:rsid w:val="0035352C"/>
    <w:rsid w:val="003539BD"/>
    <w:rsid w:val="00353C76"/>
    <w:rsid w:val="00353CA7"/>
    <w:rsid w:val="00353DE0"/>
    <w:rsid w:val="00353E6B"/>
    <w:rsid w:val="003545A3"/>
    <w:rsid w:val="003545F3"/>
    <w:rsid w:val="00354812"/>
    <w:rsid w:val="00354C70"/>
    <w:rsid w:val="00354E50"/>
    <w:rsid w:val="00355060"/>
    <w:rsid w:val="003550BF"/>
    <w:rsid w:val="003556BD"/>
    <w:rsid w:val="003556E4"/>
    <w:rsid w:val="00355A0B"/>
    <w:rsid w:val="00355CDE"/>
    <w:rsid w:val="00355DA0"/>
    <w:rsid w:val="0035615D"/>
    <w:rsid w:val="00356918"/>
    <w:rsid w:val="00357049"/>
    <w:rsid w:val="00357453"/>
    <w:rsid w:val="003574C1"/>
    <w:rsid w:val="00357D98"/>
    <w:rsid w:val="0036040E"/>
    <w:rsid w:val="003604E8"/>
    <w:rsid w:val="00360643"/>
    <w:rsid w:val="00360719"/>
    <w:rsid w:val="003608F8"/>
    <w:rsid w:val="00360AFF"/>
    <w:rsid w:val="003610AF"/>
    <w:rsid w:val="003619D5"/>
    <w:rsid w:val="00361AD7"/>
    <w:rsid w:val="003626C4"/>
    <w:rsid w:val="00362B30"/>
    <w:rsid w:val="00362F85"/>
    <w:rsid w:val="00363257"/>
    <w:rsid w:val="00363C07"/>
    <w:rsid w:val="00363CE9"/>
    <w:rsid w:val="00363DF3"/>
    <w:rsid w:val="00363EB2"/>
    <w:rsid w:val="00363F8C"/>
    <w:rsid w:val="003641B2"/>
    <w:rsid w:val="00364377"/>
    <w:rsid w:val="0036455F"/>
    <w:rsid w:val="00364B4C"/>
    <w:rsid w:val="00365440"/>
    <w:rsid w:val="0036590E"/>
    <w:rsid w:val="00365A6B"/>
    <w:rsid w:val="00365E7D"/>
    <w:rsid w:val="00365E8C"/>
    <w:rsid w:val="003673CC"/>
    <w:rsid w:val="00367783"/>
    <w:rsid w:val="00367F76"/>
    <w:rsid w:val="003700BF"/>
    <w:rsid w:val="003702A8"/>
    <w:rsid w:val="00370981"/>
    <w:rsid w:val="00370B8B"/>
    <w:rsid w:val="00370F89"/>
    <w:rsid w:val="00371269"/>
    <w:rsid w:val="003712DF"/>
    <w:rsid w:val="00371FDF"/>
    <w:rsid w:val="0037222F"/>
    <w:rsid w:val="00372865"/>
    <w:rsid w:val="00372972"/>
    <w:rsid w:val="00372BD2"/>
    <w:rsid w:val="00373672"/>
    <w:rsid w:val="00373900"/>
    <w:rsid w:val="00373BAA"/>
    <w:rsid w:val="00373D68"/>
    <w:rsid w:val="00374278"/>
    <w:rsid w:val="003743D0"/>
    <w:rsid w:val="003748B5"/>
    <w:rsid w:val="003752DD"/>
    <w:rsid w:val="00375395"/>
    <w:rsid w:val="00375472"/>
    <w:rsid w:val="003755B4"/>
    <w:rsid w:val="0037560C"/>
    <w:rsid w:val="003758B7"/>
    <w:rsid w:val="00375B55"/>
    <w:rsid w:val="00375F42"/>
    <w:rsid w:val="00376617"/>
    <w:rsid w:val="00376943"/>
    <w:rsid w:val="00376B39"/>
    <w:rsid w:val="00376B68"/>
    <w:rsid w:val="00376B6B"/>
    <w:rsid w:val="00376CB0"/>
    <w:rsid w:val="00377124"/>
    <w:rsid w:val="00377348"/>
    <w:rsid w:val="003773C2"/>
    <w:rsid w:val="0037751F"/>
    <w:rsid w:val="00377A50"/>
    <w:rsid w:val="00377D18"/>
    <w:rsid w:val="00377E7B"/>
    <w:rsid w:val="00377ECC"/>
    <w:rsid w:val="00380271"/>
    <w:rsid w:val="00380276"/>
    <w:rsid w:val="003802F3"/>
    <w:rsid w:val="00380367"/>
    <w:rsid w:val="00380D74"/>
    <w:rsid w:val="00380DAD"/>
    <w:rsid w:val="003812C6"/>
    <w:rsid w:val="003816F1"/>
    <w:rsid w:val="00381C1B"/>
    <w:rsid w:val="00381DAF"/>
    <w:rsid w:val="0038204D"/>
    <w:rsid w:val="00382A8D"/>
    <w:rsid w:val="0038302E"/>
    <w:rsid w:val="003831CA"/>
    <w:rsid w:val="0038418F"/>
    <w:rsid w:val="003841DA"/>
    <w:rsid w:val="00384319"/>
    <w:rsid w:val="00384F31"/>
    <w:rsid w:val="00384FAA"/>
    <w:rsid w:val="00385119"/>
    <w:rsid w:val="003859A9"/>
    <w:rsid w:val="00385D9F"/>
    <w:rsid w:val="00385E7C"/>
    <w:rsid w:val="0038605A"/>
    <w:rsid w:val="003861E3"/>
    <w:rsid w:val="003864B7"/>
    <w:rsid w:val="003868D7"/>
    <w:rsid w:val="00386A2D"/>
    <w:rsid w:val="00386B94"/>
    <w:rsid w:val="00386BB3"/>
    <w:rsid w:val="00386D93"/>
    <w:rsid w:val="00386E1D"/>
    <w:rsid w:val="00387493"/>
    <w:rsid w:val="0038758B"/>
    <w:rsid w:val="00387898"/>
    <w:rsid w:val="003900D6"/>
    <w:rsid w:val="00390478"/>
    <w:rsid w:val="00390855"/>
    <w:rsid w:val="003909A5"/>
    <w:rsid w:val="00390CCE"/>
    <w:rsid w:val="00391A1C"/>
    <w:rsid w:val="00391C19"/>
    <w:rsid w:val="003920C8"/>
    <w:rsid w:val="0039254C"/>
    <w:rsid w:val="00392994"/>
    <w:rsid w:val="00392BF4"/>
    <w:rsid w:val="0039385A"/>
    <w:rsid w:val="00393EDC"/>
    <w:rsid w:val="00393F20"/>
    <w:rsid w:val="00394012"/>
    <w:rsid w:val="003940D2"/>
    <w:rsid w:val="003942D8"/>
    <w:rsid w:val="003945F1"/>
    <w:rsid w:val="003950BF"/>
    <w:rsid w:val="0039566A"/>
    <w:rsid w:val="003959D3"/>
    <w:rsid w:val="0039611E"/>
    <w:rsid w:val="003971CE"/>
    <w:rsid w:val="003973D3"/>
    <w:rsid w:val="003973FD"/>
    <w:rsid w:val="00397864"/>
    <w:rsid w:val="00397C53"/>
    <w:rsid w:val="00397EAA"/>
    <w:rsid w:val="00397F85"/>
    <w:rsid w:val="003A00A7"/>
    <w:rsid w:val="003A0604"/>
    <w:rsid w:val="003A0CF6"/>
    <w:rsid w:val="003A0D3E"/>
    <w:rsid w:val="003A130A"/>
    <w:rsid w:val="003A1371"/>
    <w:rsid w:val="003A1827"/>
    <w:rsid w:val="003A18D7"/>
    <w:rsid w:val="003A1AEE"/>
    <w:rsid w:val="003A2155"/>
    <w:rsid w:val="003A2300"/>
    <w:rsid w:val="003A29FD"/>
    <w:rsid w:val="003A344A"/>
    <w:rsid w:val="003A3B22"/>
    <w:rsid w:val="003A3B7E"/>
    <w:rsid w:val="003A41E1"/>
    <w:rsid w:val="003A43E7"/>
    <w:rsid w:val="003A4E3C"/>
    <w:rsid w:val="003A4FB9"/>
    <w:rsid w:val="003A5084"/>
    <w:rsid w:val="003A540E"/>
    <w:rsid w:val="003A5658"/>
    <w:rsid w:val="003A5751"/>
    <w:rsid w:val="003A59E0"/>
    <w:rsid w:val="003A5E55"/>
    <w:rsid w:val="003A6189"/>
    <w:rsid w:val="003A61F1"/>
    <w:rsid w:val="003A65CD"/>
    <w:rsid w:val="003A6654"/>
    <w:rsid w:val="003A67D9"/>
    <w:rsid w:val="003A6A13"/>
    <w:rsid w:val="003A6E66"/>
    <w:rsid w:val="003A6EC0"/>
    <w:rsid w:val="003A6FDC"/>
    <w:rsid w:val="003A707E"/>
    <w:rsid w:val="003A7122"/>
    <w:rsid w:val="003A7F58"/>
    <w:rsid w:val="003B0489"/>
    <w:rsid w:val="003B0839"/>
    <w:rsid w:val="003B09BD"/>
    <w:rsid w:val="003B1103"/>
    <w:rsid w:val="003B1209"/>
    <w:rsid w:val="003B14B7"/>
    <w:rsid w:val="003B16FD"/>
    <w:rsid w:val="003B1C8C"/>
    <w:rsid w:val="003B1DA3"/>
    <w:rsid w:val="003B1EDE"/>
    <w:rsid w:val="003B2703"/>
    <w:rsid w:val="003B32B7"/>
    <w:rsid w:val="003B3B74"/>
    <w:rsid w:val="003B3C2F"/>
    <w:rsid w:val="003B3E04"/>
    <w:rsid w:val="003B4380"/>
    <w:rsid w:val="003B4A85"/>
    <w:rsid w:val="003B4CAA"/>
    <w:rsid w:val="003B4E1D"/>
    <w:rsid w:val="003B5049"/>
    <w:rsid w:val="003B5556"/>
    <w:rsid w:val="003B57F3"/>
    <w:rsid w:val="003B59D5"/>
    <w:rsid w:val="003B5C48"/>
    <w:rsid w:val="003B5CE7"/>
    <w:rsid w:val="003B5F76"/>
    <w:rsid w:val="003B60BC"/>
    <w:rsid w:val="003B6146"/>
    <w:rsid w:val="003B6675"/>
    <w:rsid w:val="003B680B"/>
    <w:rsid w:val="003B6A60"/>
    <w:rsid w:val="003B6A95"/>
    <w:rsid w:val="003B6C89"/>
    <w:rsid w:val="003B6D53"/>
    <w:rsid w:val="003B7151"/>
    <w:rsid w:val="003B73CE"/>
    <w:rsid w:val="003B74A4"/>
    <w:rsid w:val="003B771F"/>
    <w:rsid w:val="003B7AAF"/>
    <w:rsid w:val="003C0096"/>
    <w:rsid w:val="003C02BA"/>
    <w:rsid w:val="003C04E9"/>
    <w:rsid w:val="003C09A5"/>
    <w:rsid w:val="003C0BF6"/>
    <w:rsid w:val="003C1216"/>
    <w:rsid w:val="003C1257"/>
    <w:rsid w:val="003C1374"/>
    <w:rsid w:val="003C138C"/>
    <w:rsid w:val="003C16FF"/>
    <w:rsid w:val="003C197C"/>
    <w:rsid w:val="003C1C16"/>
    <w:rsid w:val="003C22B4"/>
    <w:rsid w:val="003C2683"/>
    <w:rsid w:val="003C2D39"/>
    <w:rsid w:val="003C2DB1"/>
    <w:rsid w:val="003C3390"/>
    <w:rsid w:val="003C38D8"/>
    <w:rsid w:val="003C3B4E"/>
    <w:rsid w:val="003C4357"/>
    <w:rsid w:val="003C47F9"/>
    <w:rsid w:val="003C4AB9"/>
    <w:rsid w:val="003C4E6D"/>
    <w:rsid w:val="003C4EDE"/>
    <w:rsid w:val="003C5112"/>
    <w:rsid w:val="003C553E"/>
    <w:rsid w:val="003C5682"/>
    <w:rsid w:val="003C568F"/>
    <w:rsid w:val="003C5911"/>
    <w:rsid w:val="003C59D2"/>
    <w:rsid w:val="003C5AFE"/>
    <w:rsid w:val="003C5F20"/>
    <w:rsid w:val="003C606E"/>
    <w:rsid w:val="003C6915"/>
    <w:rsid w:val="003C6969"/>
    <w:rsid w:val="003C6B21"/>
    <w:rsid w:val="003C6CB8"/>
    <w:rsid w:val="003C6DFB"/>
    <w:rsid w:val="003C70CC"/>
    <w:rsid w:val="003C7151"/>
    <w:rsid w:val="003C737F"/>
    <w:rsid w:val="003C74A9"/>
    <w:rsid w:val="003C76F6"/>
    <w:rsid w:val="003C798C"/>
    <w:rsid w:val="003C79AE"/>
    <w:rsid w:val="003D00EC"/>
    <w:rsid w:val="003D0215"/>
    <w:rsid w:val="003D022B"/>
    <w:rsid w:val="003D0583"/>
    <w:rsid w:val="003D065E"/>
    <w:rsid w:val="003D0832"/>
    <w:rsid w:val="003D08AE"/>
    <w:rsid w:val="003D0982"/>
    <w:rsid w:val="003D0CA3"/>
    <w:rsid w:val="003D0D19"/>
    <w:rsid w:val="003D0EE8"/>
    <w:rsid w:val="003D0F57"/>
    <w:rsid w:val="003D1162"/>
    <w:rsid w:val="003D116C"/>
    <w:rsid w:val="003D1232"/>
    <w:rsid w:val="003D16D7"/>
    <w:rsid w:val="003D16F4"/>
    <w:rsid w:val="003D1D9C"/>
    <w:rsid w:val="003D227E"/>
    <w:rsid w:val="003D2567"/>
    <w:rsid w:val="003D267B"/>
    <w:rsid w:val="003D2FBE"/>
    <w:rsid w:val="003D2FDE"/>
    <w:rsid w:val="003D301C"/>
    <w:rsid w:val="003D3A69"/>
    <w:rsid w:val="003D3B19"/>
    <w:rsid w:val="003D3EEE"/>
    <w:rsid w:val="003D486E"/>
    <w:rsid w:val="003D4A85"/>
    <w:rsid w:val="003D4BD8"/>
    <w:rsid w:val="003D4F44"/>
    <w:rsid w:val="003D4F59"/>
    <w:rsid w:val="003D51E6"/>
    <w:rsid w:val="003D544F"/>
    <w:rsid w:val="003D558F"/>
    <w:rsid w:val="003D56A4"/>
    <w:rsid w:val="003D599F"/>
    <w:rsid w:val="003D5F46"/>
    <w:rsid w:val="003D5FA4"/>
    <w:rsid w:val="003D6D8D"/>
    <w:rsid w:val="003D6EB1"/>
    <w:rsid w:val="003D6FA3"/>
    <w:rsid w:val="003E05C3"/>
    <w:rsid w:val="003E0B03"/>
    <w:rsid w:val="003E11C5"/>
    <w:rsid w:val="003E1A4D"/>
    <w:rsid w:val="003E1E46"/>
    <w:rsid w:val="003E2562"/>
    <w:rsid w:val="003E2BFE"/>
    <w:rsid w:val="003E32EF"/>
    <w:rsid w:val="003E36CE"/>
    <w:rsid w:val="003E39CF"/>
    <w:rsid w:val="003E3D0B"/>
    <w:rsid w:val="003E4306"/>
    <w:rsid w:val="003E44B4"/>
    <w:rsid w:val="003E4583"/>
    <w:rsid w:val="003E4586"/>
    <w:rsid w:val="003E479B"/>
    <w:rsid w:val="003E4C31"/>
    <w:rsid w:val="003E5403"/>
    <w:rsid w:val="003E5756"/>
    <w:rsid w:val="003E578F"/>
    <w:rsid w:val="003E5C37"/>
    <w:rsid w:val="003E5F1C"/>
    <w:rsid w:val="003E6632"/>
    <w:rsid w:val="003E71FF"/>
    <w:rsid w:val="003E75EE"/>
    <w:rsid w:val="003E7670"/>
    <w:rsid w:val="003E7713"/>
    <w:rsid w:val="003E78A0"/>
    <w:rsid w:val="003F018C"/>
    <w:rsid w:val="003F0534"/>
    <w:rsid w:val="003F06F3"/>
    <w:rsid w:val="003F0C06"/>
    <w:rsid w:val="003F0E2E"/>
    <w:rsid w:val="003F125D"/>
    <w:rsid w:val="003F1405"/>
    <w:rsid w:val="003F1D5D"/>
    <w:rsid w:val="003F1EC0"/>
    <w:rsid w:val="003F1F8C"/>
    <w:rsid w:val="003F2241"/>
    <w:rsid w:val="003F2C1D"/>
    <w:rsid w:val="003F2D12"/>
    <w:rsid w:val="003F2D3A"/>
    <w:rsid w:val="003F3E32"/>
    <w:rsid w:val="003F45FE"/>
    <w:rsid w:val="003F49CA"/>
    <w:rsid w:val="003F4C0A"/>
    <w:rsid w:val="003F4EDF"/>
    <w:rsid w:val="003F52F6"/>
    <w:rsid w:val="003F53F6"/>
    <w:rsid w:val="003F5899"/>
    <w:rsid w:val="003F5CAE"/>
    <w:rsid w:val="003F5D35"/>
    <w:rsid w:val="003F5D6F"/>
    <w:rsid w:val="003F62E3"/>
    <w:rsid w:val="003F62F1"/>
    <w:rsid w:val="003F658E"/>
    <w:rsid w:val="003F688B"/>
    <w:rsid w:val="003F69D5"/>
    <w:rsid w:val="003F6A9B"/>
    <w:rsid w:val="003F6C7B"/>
    <w:rsid w:val="003F6F4F"/>
    <w:rsid w:val="003F72AD"/>
    <w:rsid w:val="003F7548"/>
    <w:rsid w:val="0040014D"/>
    <w:rsid w:val="004003B5"/>
    <w:rsid w:val="00400515"/>
    <w:rsid w:val="00400A29"/>
    <w:rsid w:val="00400DD9"/>
    <w:rsid w:val="00400E81"/>
    <w:rsid w:val="00401156"/>
    <w:rsid w:val="004014E6"/>
    <w:rsid w:val="004016DF"/>
    <w:rsid w:val="0040177E"/>
    <w:rsid w:val="0040188B"/>
    <w:rsid w:val="00401935"/>
    <w:rsid w:val="00401C00"/>
    <w:rsid w:val="004020E7"/>
    <w:rsid w:val="004025FD"/>
    <w:rsid w:val="004026C6"/>
    <w:rsid w:val="00403080"/>
    <w:rsid w:val="0040322A"/>
    <w:rsid w:val="004036A7"/>
    <w:rsid w:val="00403A81"/>
    <w:rsid w:val="00403B06"/>
    <w:rsid w:val="00404523"/>
    <w:rsid w:val="00404903"/>
    <w:rsid w:val="00404D18"/>
    <w:rsid w:val="00404FB9"/>
    <w:rsid w:val="004052B2"/>
    <w:rsid w:val="0040618B"/>
    <w:rsid w:val="004061E0"/>
    <w:rsid w:val="00406DF3"/>
    <w:rsid w:val="00406ED1"/>
    <w:rsid w:val="00406F06"/>
    <w:rsid w:val="0040734B"/>
    <w:rsid w:val="00407534"/>
    <w:rsid w:val="0041015B"/>
    <w:rsid w:val="004104D8"/>
    <w:rsid w:val="00410565"/>
    <w:rsid w:val="004105E7"/>
    <w:rsid w:val="00410B01"/>
    <w:rsid w:val="00410CAC"/>
    <w:rsid w:val="00410E54"/>
    <w:rsid w:val="00410FFE"/>
    <w:rsid w:val="00411133"/>
    <w:rsid w:val="00411138"/>
    <w:rsid w:val="00411161"/>
    <w:rsid w:val="004114D0"/>
    <w:rsid w:val="004115D2"/>
    <w:rsid w:val="004118D0"/>
    <w:rsid w:val="00411EF0"/>
    <w:rsid w:val="0041210D"/>
    <w:rsid w:val="0041227D"/>
    <w:rsid w:val="00412540"/>
    <w:rsid w:val="004125B4"/>
    <w:rsid w:val="00412A4D"/>
    <w:rsid w:val="00412CB7"/>
    <w:rsid w:val="00412CF4"/>
    <w:rsid w:val="00412D63"/>
    <w:rsid w:val="00412D8F"/>
    <w:rsid w:val="0041384A"/>
    <w:rsid w:val="00413A72"/>
    <w:rsid w:val="00413BD7"/>
    <w:rsid w:val="00413DD3"/>
    <w:rsid w:val="00413DE4"/>
    <w:rsid w:val="004140CB"/>
    <w:rsid w:val="004145BF"/>
    <w:rsid w:val="004146E8"/>
    <w:rsid w:val="004146EC"/>
    <w:rsid w:val="004147EB"/>
    <w:rsid w:val="00414E5D"/>
    <w:rsid w:val="00414F17"/>
    <w:rsid w:val="00415020"/>
    <w:rsid w:val="00415409"/>
    <w:rsid w:val="0041669F"/>
    <w:rsid w:val="004168EB"/>
    <w:rsid w:val="00416ADB"/>
    <w:rsid w:val="00416B6D"/>
    <w:rsid w:val="004170C5"/>
    <w:rsid w:val="00417565"/>
    <w:rsid w:val="00417B64"/>
    <w:rsid w:val="00417FCB"/>
    <w:rsid w:val="004200EB"/>
    <w:rsid w:val="00420201"/>
    <w:rsid w:val="004202B4"/>
    <w:rsid w:val="004204CC"/>
    <w:rsid w:val="00420A2F"/>
    <w:rsid w:val="00421045"/>
    <w:rsid w:val="00421312"/>
    <w:rsid w:val="00421481"/>
    <w:rsid w:val="00421986"/>
    <w:rsid w:val="00421AA4"/>
    <w:rsid w:val="00421E79"/>
    <w:rsid w:val="00421ED6"/>
    <w:rsid w:val="00421FF2"/>
    <w:rsid w:val="00422475"/>
    <w:rsid w:val="00422644"/>
    <w:rsid w:val="0042264C"/>
    <w:rsid w:val="00422AF6"/>
    <w:rsid w:val="00422CA6"/>
    <w:rsid w:val="00423418"/>
    <w:rsid w:val="004234B8"/>
    <w:rsid w:val="00423BFF"/>
    <w:rsid w:val="004240AC"/>
    <w:rsid w:val="00424254"/>
    <w:rsid w:val="00424B76"/>
    <w:rsid w:val="00425300"/>
    <w:rsid w:val="004254F9"/>
    <w:rsid w:val="0042554A"/>
    <w:rsid w:val="004261F9"/>
    <w:rsid w:val="0042627F"/>
    <w:rsid w:val="004266CB"/>
    <w:rsid w:val="004269CC"/>
    <w:rsid w:val="00426B27"/>
    <w:rsid w:val="00426B4F"/>
    <w:rsid w:val="00426F47"/>
    <w:rsid w:val="004273D3"/>
    <w:rsid w:val="004274BC"/>
    <w:rsid w:val="0042787E"/>
    <w:rsid w:val="00427901"/>
    <w:rsid w:val="00427CD9"/>
    <w:rsid w:val="004302A8"/>
    <w:rsid w:val="004308AD"/>
    <w:rsid w:val="00430B93"/>
    <w:rsid w:val="00430DBA"/>
    <w:rsid w:val="00430E70"/>
    <w:rsid w:val="004310C5"/>
    <w:rsid w:val="00431536"/>
    <w:rsid w:val="00431619"/>
    <w:rsid w:val="00431874"/>
    <w:rsid w:val="00431D3F"/>
    <w:rsid w:val="00431DDF"/>
    <w:rsid w:val="004328D1"/>
    <w:rsid w:val="0043368D"/>
    <w:rsid w:val="00433AD4"/>
    <w:rsid w:val="00433F86"/>
    <w:rsid w:val="004341A6"/>
    <w:rsid w:val="004341BC"/>
    <w:rsid w:val="004341FE"/>
    <w:rsid w:val="0043490E"/>
    <w:rsid w:val="004349D7"/>
    <w:rsid w:val="00434A8D"/>
    <w:rsid w:val="00434AA1"/>
    <w:rsid w:val="00434F8D"/>
    <w:rsid w:val="0043529F"/>
    <w:rsid w:val="0043558A"/>
    <w:rsid w:val="00435698"/>
    <w:rsid w:val="00435B7A"/>
    <w:rsid w:val="00435BA6"/>
    <w:rsid w:val="00435BA8"/>
    <w:rsid w:val="00435E4A"/>
    <w:rsid w:val="00436001"/>
    <w:rsid w:val="0043605E"/>
    <w:rsid w:val="0043611C"/>
    <w:rsid w:val="004372BA"/>
    <w:rsid w:val="00437531"/>
    <w:rsid w:val="0043779B"/>
    <w:rsid w:val="00437F16"/>
    <w:rsid w:val="00437F64"/>
    <w:rsid w:val="0044069C"/>
    <w:rsid w:val="00440891"/>
    <w:rsid w:val="00440A78"/>
    <w:rsid w:val="00440D6C"/>
    <w:rsid w:val="00441278"/>
    <w:rsid w:val="004412DC"/>
    <w:rsid w:val="0044133A"/>
    <w:rsid w:val="0044147F"/>
    <w:rsid w:val="0044185F"/>
    <w:rsid w:val="00441B13"/>
    <w:rsid w:val="004421EE"/>
    <w:rsid w:val="00442227"/>
    <w:rsid w:val="004425DA"/>
    <w:rsid w:val="00443632"/>
    <w:rsid w:val="00443CF8"/>
    <w:rsid w:val="0044460D"/>
    <w:rsid w:val="00444685"/>
    <w:rsid w:val="00444784"/>
    <w:rsid w:val="00444CF1"/>
    <w:rsid w:val="00444E45"/>
    <w:rsid w:val="00444F86"/>
    <w:rsid w:val="00445028"/>
    <w:rsid w:val="004450C2"/>
    <w:rsid w:val="004450D0"/>
    <w:rsid w:val="00445ACF"/>
    <w:rsid w:val="004463EC"/>
    <w:rsid w:val="004464E7"/>
    <w:rsid w:val="004465FD"/>
    <w:rsid w:val="004466B3"/>
    <w:rsid w:val="00446B53"/>
    <w:rsid w:val="00446D3B"/>
    <w:rsid w:val="00446E33"/>
    <w:rsid w:val="004479EA"/>
    <w:rsid w:val="00447CB4"/>
    <w:rsid w:val="0045016C"/>
    <w:rsid w:val="0045051C"/>
    <w:rsid w:val="00450B70"/>
    <w:rsid w:val="0045154F"/>
    <w:rsid w:val="0045173F"/>
    <w:rsid w:val="00451BF9"/>
    <w:rsid w:val="00451D98"/>
    <w:rsid w:val="00451DD2"/>
    <w:rsid w:val="004521CA"/>
    <w:rsid w:val="004523CD"/>
    <w:rsid w:val="004525D0"/>
    <w:rsid w:val="00452A5D"/>
    <w:rsid w:val="00452B7B"/>
    <w:rsid w:val="00452C2A"/>
    <w:rsid w:val="00452EAD"/>
    <w:rsid w:val="00452EE7"/>
    <w:rsid w:val="00452F6C"/>
    <w:rsid w:val="00453061"/>
    <w:rsid w:val="00453113"/>
    <w:rsid w:val="004534D1"/>
    <w:rsid w:val="004536E0"/>
    <w:rsid w:val="004538A5"/>
    <w:rsid w:val="00453900"/>
    <w:rsid w:val="004539AE"/>
    <w:rsid w:val="00453CBE"/>
    <w:rsid w:val="0045458D"/>
    <w:rsid w:val="004545C0"/>
    <w:rsid w:val="004549E2"/>
    <w:rsid w:val="00454A96"/>
    <w:rsid w:val="00454F3B"/>
    <w:rsid w:val="00455022"/>
    <w:rsid w:val="004554A6"/>
    <w:rsid w:val="004558CD"/>
    <w:rsid w:val="00455B7E"/>
    <w:rsid w:val="00455DAE"/>
    <w:rsid w:val="00456429"/>
    <w:rsid w:val="00456546"/>
    <w:rsid w:val="0045698C"/>
    <w:rsid w:val="004569A8"/>
    <w:rsid w:val="00456E60"/>
    <w:rsid w:val="00456E9A"/>
    <w:rsid w:val="00456FBE"/>
    <w:rsid w:val="0045740C"/>
    <w:rsid w:val="0045775D"/>
    <w:rsid w:val="0045794F"/>
    <w:rsid w:val="00457A9A"/>
    <w:rsid w:val="00457B98"/>
    <w:rsid w:val="004602FD"/>
    <w:rsid w:val="00460D48"/>
    <w:rsid w:val="00460E06"/>
    <w:rsid w:val="00460FD8"/>
    <w:rsid w:val="00461235"/>
    <w:rsid w:val="004612E2"/>
    <w:rsid w:val="004615E8"/>
    <w:rsid w:val="00461B80"/>
    <w:rsid w:val="00461C80"/>
    <w:rsid w:val="004622B1"/>
    <w:rsid w:val="0046262D"/>
    <w:rsid w:val="00462C8B"/>
    <w:rsid w:val="00463074"/>
    <w:rsid w:val="00463085"/>
    <w:rsid w:val="00463179"/>
    <w:rsid w:val="00464277"/>
    <w:rsid w:val="004645E3"/>
    <w:rsid w:val="00464D9B"/>
    <w:rsid w:val="0046655A"/>
    <w:rsid w:val="004668E6"/>
    <w:rsid w:val="00466F9F"/>
    <w:rsid w:val="004672B7"/>
    <w:rsid w:val="004676F5"/>
    <w:rsid w:val="00467BCF"/>
    <w:rsid w:val="00467DB0"/>
    <w:rsid w:val="0047033A"/>
    <w:rsid w:val="00470368"/>
    <w:rsid w:val="00470927"/>
    <w:rsid w:val="00470B76"/>
    <w:rsid w:val="00470DB6"/>
    <w:rsid w:val="00470DE8"/>
    <w:rsid w:val="00470EF7"/>
    <w:rsid w:val="004711E5"/>
    <w:rsid w:val="004712B4"/>
    <w:rsid w:val="00471442"/>
    <w:rsid w:val="00471A96"/>
    <w:rsid w:val="00471AFB"/>
    <w:rsid w:val="004722FD"/>
    <w:rsid w:val="004723C7"/>
    <w:rsid w:val="004725FF"/>
    <w:rsid w:val="004729C4"/>
    <w:rsid w:val="004737D5"/>
    <w:rsid w:val="00473930"/>
    <w:rsid w:val="00473E90"/>
    <w:rsid w:val="004740A6"/>
    <w:rsid w:val="0047419E"/>
    <w:rsid w:val="0047504C"/>
    <w:rsid w:val="004753F8"/>
    <w:rsid w:val="00475427"/>
    <w:rsid w:val="004759DC"/>
    <w:rsid w:val="00475A7D"/>
    <w:rsid w:val="00476041"/>
    <w:rsid w:val="004763CA"/>
    <w:rsid w:val="00476554"/>
    <w:rsid w:val="004765CB"/>
    <w:rsid w:val="00476879"/>
    <w:rsid w:val="00476EF4"/>
    <w:rsid w:val="00477873"/>
    <w:rsid w:val="00477AF3"/>
    <w:rsid w:val="00477F44"/>
    <w:rsid w:val="00480073"/>
    <w:rsid w:val="00480A4A"/>
    <w:rsid w:val="00480BDB"/>
    <w:rsid w:val="00480D9E"/>
    <w:rsid w:val="00481533"/>
    <w:rsid w:val="004815B4"/>
    <w:rsid w:val="00481674"/>
    <w:rsid w:val="00481BC5"/>
    <w:rsid w:val="00481F0E"/>
    <w:rsid w:val="00481F43"/>
    <w:rsid w:val="004827C4"/>
    <w:rsid w:val="004827FB"/>
    <w:rsid w:val="00483169"/>
    <w:rsid w:val="004831CE"/>
    <w:rsid w:val="004831D8"/>
    <w:rsid w:val="0048337F"/>
    <w:rsid w:val="00483437"/>
    <w:rsid w:val="004836C7"/>
    <w:rsid w:val="004837E2"/>
    <w:rsid w:val="0048385F"/>
    <w:rsid w:val="00483A6F"/>
    <w:rsid w:val="00483AFA"/>
    <w:rsid w:val="0048406A"/>
    <w:rsid w:val="0048464D"/>
    <w:rsid w:val="00484DF1"/>
    <w:rsid w:val="004852B5"/>
    <w:rsid w:val="00485F7D"/>
    <w:rsid w:val="004864E6"/>
    <w:rsid w:val="00486590"/>
    <w:rsid w:val="00486650"/>
    <w:rsid w:val="00486B28"/>
    <w:rsid w:val="00486BA0"/>
    <w:rsid w:val="00486E88"/>
    <w:rsid w:val="004870A7"/>
    <w:rsid w:val="004870AA"/>
    <w:rsid w:val="0048715F"/>
    <w:rsid w:val="0048758F"/>
    <w:rsid w:val="00487DBA"/>
    <w:rsid w:val="00487E11"/>
    <w:rsid w:val="0049097B"/>
    <w:rsid w:val="004909C8"/>
    <w:rsid w:val="00490B85"/>
    <w:rsid w:val="00490D44"/>
    <w:rsid w:val="00490F50"/>
    <w:rsid w:val="00491191"/>
    <w:rsid w:val="00491394"/>
    <w:rsid w:val="00491657"/>
    <w:rsid w:val="00491C07"/>
    <w:rsid w:val="00491CAB"/>
    <w:rsid w:val="004920B6"/>
    <w:rsid w:val="004922D5"/>
    <w:rsid w:val="00492722"/>
    <w:rsid w:val="00492F70"/>
    <w:rsid w:val="00493176"/>
    <w:rsid w:val="004936EE"/>
    <w:rsid w:val="0049415B"/>
    <w:rsid w:val="00494391"/>
    <w:rsid w:val="004946E2"/>
    <w:rsid w:val="00494BDB"/>
    <w:rsid w:val="00494FE3"/>
    <w:rsid w:val="0049501A"/>
    <w:rsid w:val="004950E0"/>
    <w:rsid w:val="004950FC"/>
    <w:rsid w:val="004951A3"/>
    <w:rsid w:val="0049522E"/>
    <w:rsid w:val="004953E7"/>
    <w:rsid w:val="0049544E"/>
    <w:rsid w:val="00495AE2"/>
    <w:rsid w:val="00495B6C"/>
    <w:rsid w:val="00495C32"/>
    <w:rsid w:val="0049633A"/>
    <w:rsid w:val="00496860"/>
    <w:rsid w:val="00496CA7"/>
    <w:rsid w:val="004970B0"/>
    <w:rsid w:val="004970EB"/>
    <w:rsid w:val="004973FB"/>
    <w:rsid w:val="004975F3"/>
    <w:rsid w:val="004978D5"/>
    <w:rsid w:val="004979C1"/>
    <w:rsid w:val="00497BB1"/>
    <w:rsid w:val="00497C83"/>
    <w:rsid w:val="00497F7E"/>
    <w:rsid w:val="00497FF8"/>
    <w:rsid w:val="004A03EC"/>
    <w:rsid w:val="004A0527"/>
    <w:rsid w:val="004A0892"/>
    <w:rsid w:val="004A0A3E"/>
    <w:rsid w:val="004A0FD1"/>
    <w:rsid w:val="004A11F0"/>
    <w:rsid w:val="004A160C"/>
    <w:rsid w:val="004A18B1"/>
    <w:rsid w:val="004A1F3A"/>
    <w:rsid w:val="004A20CC"/>
    <w:rsid w:val="004A213C"/>
    <w:rsid w:val="004A25A1"/>
    <w:rsid w:val="004A25BB"/>
    <w:rsid w:val="004A25F0"/>
    <w:rsid w:val="004A27FD"/>
    <w:rsid w:val="004A28A3"/>
    <w:rsid w:val="004A2A19"/>
    <w:rsid w:val="004A2B8E"/>
    <w:rsid w:val="004A2F7C"/>
    <w:rsid w:val="004A30AD"/>
    <w:rsid w:val="004A31EB"/>
    <w:rsid w:val="004A3370"/>
    <w:rsid w:val="004A3659"/>
    <w:rsid w:val="004A36A9"/>
    <w:rsid w:val="004A3811"/>
    <w:rsid w:val="004A4256"/>
    <w:rsid w:val="004A4B8F"/>
    <w:rsid w:val="004A4FF4"/>
    <w:rsid w:val="004A545D"/>
    <w:rsid w:val="004A5C90"/>
    <w:rsid w:val="004A5E72"/>
    <w:rsid w:val="004A6035"/>
    <w:rsid w:val="004A6AB5"/>
    <w:rsid w:val="004A6C73"/>
    <w:rsid w:val="004A6D4F"/>
    <w:rsid w:val="004A6E7B"/>
    <w:rsid w:val="004A74BC"/>
    <w:rsid w:val="004A7565"/>
    <w:rsid w:val="004A79F9"/>
    <w:rsid w:val="004A7B0C"/>
    <w:rsid w:val="004A7C74"/>
    <w:rsid w:val="004A7C91"/>
    <w:rsid w:val="004A7CBD"/>
    <w:rsid w:val="004B02E8"/>
    <w:rsid w:val="004B03E0"/>
    <w:rsid w:val="004B0ABA"/>
    <w:rsid w:val="004B0E18"/>
    <w:rsid w:val="004B0E3C"/>
    <w:rsid w:val="004B1295"/>
    <w:rsid w:val="004B1369"/>
    <w:rsid w:val="004B1D8E"/>
    <w:rsid w:val="004B25C9"/>
    <w:rsid w:val="004B2636"/>
    <w:rsid w:val="004B2808"/>
    <w:rsid w:val="004B2F0B"/>
    <w:rsid w:val="004B3504"/>
    <w:rsid w:val="004B39FA"/>
    <w:rsid w:val="004B3A21"/>
    <w:rsid w:val="004B3C22"/>
    <w:rsid w:val="004B4AA9"/>
    <w:rsid w:val="004B4EDA"/>
    <w:rsid w:val="004B4F52"/>
    <w:rsid w:val="004B51DA"/>
    <w:rsid w:val="004B6431"/>
    <w:rsid w:val="004B65D4"/>
    <w:rsid w:val="004B6655"/>
    <w:rsid w:val="004B676A"/>
    <w:rsid w:val="004B6824"/>
    <w:rsid w:val="004B733F"/>
    <w:rsid w:val="004B7607"/>
    <w:rsid w:val="004B7948"/>
    <w:rsid w:val="004B79DE"/>
    <w:rsid w:val="004B7C94"/>
    <w:rsid w:val="004B7F78"/>
    <w:rsid w:val="004C0892"/>
    <w:rsid w:val="004C0A4E"/>
    <w:rsid w:val="004C0ACA"/>
    <w:rsid w:val="004C0F79"/>
    <w:rsid w:val="004C1058"/>
    <w:rsid w:val="004C15CE"/>
    <w:rsid w:val="004C197D"/>
    <w:rsid w:val="004C1B0D"/>
    <w:rsid w:val="004C1B2D"/>
    <w:rsid w:val="004C1E41"/>
    <w:rsid w:val="004C24A5"/>
    <w:rsid w:val="004C24E1"/>
    <w:rsid w:val="004C250D"/>
    <w:rsid w:val="004C25D7"/>
    <w:rsid w:val="004C2651"/>
    <w:rsid w:val="004C28F4"/>
    <w:rsid w:val="004C2BE5"/>
    <w:rsid w:val="004C2C50"/>
    <w:rsid w:val="004C2EA3"/>
    <w:rsid w:val="004C2F5E"/>
    <w:rsid w:val="004C30A4"/>
    <w:rsid w:val="004C310B"/>
    <w:rsid w:val="004C315C"/>
    <w:rsid w:val="004C3391"/>
    <w:rsid w:val="004C3743"/>
    <w:rsid w:val="004C39AB"/>
    <w:rsid w:val="004C3C53"/>
    <w:rsid w:val="004C3F15"/>
    <w:rsid w:val="004C507C"/>
    <w:rsid w:val="004C5212"/>
    <w:rsid w:val="004C55AA"/>
    <w:rsid w:val="004C5863"/>
    <w:rsid w:val="004C58A0"/>
    <w:rsid w:val="004C5B50"/>
    <w:rsid w:val="004C6462"/>
    <w:rsid w:val="004C7140"/>
    <w:rsid w:val="004C7689"/>
    <w:rsid w:val="004C78C5"/>
    <w:rsid w:val="004C7BF2"/>
    <w:rsid w:val="004C7BF7"/>
    <w:rsid w:val="004C7C95"/>
    <w:rsid w:val="004C7CA6"/>
    <w:rsid w:val="004C7D09"/>
    <w:rsid w:val="004D033E"/>
    <w:rsid w:val="004D0591"/>
    <w:rsid w:val="004D096D"/>
    <w:rsid w:val="004D0B9B"/>
    <w:rsid w:val="004D1133"/>
    <w:rsid w:val="004D18FE"/>
    <w:rsid w:val="004D1BE1"/>
    <w:rsid w:val="004D1C1D"/>
    <w:rsid w:val="004D1C8A"/>
    <w:rsid w:val="004D1E7F"/>
    <w:rsid w:val="004D259B"/>
    <w:rsid w:val="004D272B"/>
    <w:rsid w:val="004D2D5D"/>
    <w:rsid w:val="004D2F78"/>
    <w:rsid w:val="004D322D"/>
    <w:rsid w:val="004D326E"/>
    <w:rsid w:val="004D3281"/>
    <w:rsid w:val="004D38D5"/>
    <w:rsid w:val="004D3AE9"/>
    <w:rsid w:val="004D40FA"/>
    <w:rsid w:val="004D51AD"/>
    <w:rsid w:val="004D5352"/>
    <w:rsid w:val="004D5374"/>
    <w:rsid w:val="004D56A2"/>
    <w:rsid w:val="004D5724"/>
    <w:rsid w:val="004D5FD7"/>
    <w:rsid w:val="004D69FC"/>
    <w:rsid w:val="004D702C"/>
    <w:rsid w:val="004D71BA"/>
    <w:rsid w:val="004D7785"/>
    <w:rsid w:val="004D78A1"/>
    <w:rsid w:val="004D7C55"/>
    <w:rsid w:val="004E03E4"/>
    <w:rsid w:val="004E0762"/>
    <w:rsid w:val="004E0CA3"/>
    <w:rsid w:val="004E1025"/>
    <w:rsid w:val="004E1297"/>
    <w:rsid w:val="004E1598"/>
    <w:rsid w:val="004E16FF"/>
    <w:rsid w:val="004E182F"/>
    <w:rsid w:val="004E1D24"/>
    <w:rsid w:val="004E256F"/>
    <w:rsid w:val="004E2668"/>
    <w:rsid w:val="004E3099"/>
    <w:rsid w:val="004E33E6"/>
    <w:rsid w:val="004E3590"/>
    <w:rsid w:val="004E3619"/>
    <w:rsid w:val="004E371A"/>
    <w:rsid w:val="004E3DBA"/>
    <w:rsid w:val="004E4479"/>
    <w:rsid w:val="004E450C"/>
    <w:rsid w:val="004E4ABC"/>
    <w:rsid w:val="004E56A0"/>
    <w:rsid w:val="004E5978"/>
    <w:rsid w:val="004E5992"/>
    <w:rsid w:val="004E6267"/>
    <w:rsid w:val="004E703D"/>
    <w:rsid w:val="004E7054"/>
    <w:rsid w:val="004E70CC"/>
    <w:rsid w:val="004E77E8"/>
    <w:rsid w:val="004E7B08"/>
    <w:rsid w:val="004E7D4D"/>
    <w:rsid w:val="004F036F"/>
    <w:rsid w:val="004F03D9"/>
    <w:rsid w:val="004F0BD9"/>
    <w:rsid w:val="004F1145"/>
    <w:rsid w:val="004F14D0"/>
    <w:rsid w:val="004F1955"/>
    <w:rsid w:val="004F1A42"/>
    <w:rsid w:val="004F24AA"/>
    <w:rsid w:val="004F2A7E"/>
    <w:rsid w:val="004F2A81"/>
    <w:rsid w:val="004F33DF"/>
    <w:rsid w:val="004F3780"/>
    <w:rsid w:val="004F3876"/>
    <w:rsid w:val="004F3BDF"/>
    <w:rsid w:val="004F3E1E"/>
    <w:rsid w:val="004F4113"/>
    <w:rsid w:val="004F446C"/>
    <w:rsid w:val="004F5219"/>
    <w:rsid w:val="004F52BD"/>
    <w:rsid w:val="004F577E"/>
    <w:rsid w:val="004F58E0"/>
    <w:rsid w:val="004F5952"/>
    <w:rsid w:val="004F59DE"/>
    <w:rsid w:val="004F5BFA"/>
    <w:rsid w:val="004F60EA"/>
    <w:rsid w:val="004F6222"/>
    <w:rsid w:val="004F62E1"/>
    <w:rsid w:val="004F62FF"/>
    <w:rsid w:val="004F6774"/>
    <w:rsid w:val="004F7354"/>
    <w:rsid w:val="004F75D3"/>
    <w:rsid w:val="004F75F4"/>
    <w:rsid w:val="004F77E4"/>
    <w:rsid w:val="004F7C50"/>
    <w:rsid w:val="004F7EBD"/>
    <w:rsid w:val="004F7F1F"/>
    <w:rsid w:val="004F7FD9"/>
    <w:rsid w:val="005000EE"/>
    <w:rsid w:val="00500181"/>
    <w:rsid w:val="00500349"/>
    <w:rsid w:val="005006C2"/>
    <w:rsid w:val="00500815"/>
    <w:rsid w:val="00501681"/>
    <w:rsid w:val="005019AE"/>
    <w:rsid w:val="005025FD"/>
    <w:rsid w:val="00502BC3"/>
    <w:rsid w:val="00502D03"/>
    <w:rsid w:val="00503174"/>
    <w:rsid w:val="005036FD"/>
    <w:rsid w:val="005037EA"/>
    <w:rsid w:val="0050396A"/>
    <w:rsid w:val="00503C8E"/>
    <w:rsid w:val="0050416D"/>
    <w:rsid w:val="00504B6E"/>
    <w:rsid w:val="0050500B"/>
    <w:rsid w:val="00505027"/>
    <w:rsid w:val="00505218"/>
    <w:rsid w:val="00505484"/>
    <w:rsid w:val="0050588D"/>
    <w:rsid w:val="00505AFB"/>
    <w:rsid w:val="00505D21"/>
    <w:rsid w:val="00505DBB"/>
    <w:rsid w:val="0050616A"/>
    <w:rsid w:val="00506293"/>
    <w:rsid w:val="00506544"/>
    <w:rsid w:val="00506688"/>
    <w:rsid w:val="0050697B"/>
    <w:rsid w:val="00506D11"/>
    <w:rsid w:val="0050714E"/>
    <w:rsid w:val="00507624"/>
    <w:rsid w:val="00507EFE"/>
    <w:rsid w:val="00507FE7"/>
    <w:rsid w:val="00510262"/>
    <w:rsid w:val="005102F3"/>
    <w:rsid w:val="00510B06"/>
    <w:rsid w:val="00511101"/>
    <w:rsid w:val="005111CB"/>
    <w:rsid w:val="0051122F"/>
    <w:rsid w:val="005117A1"/>
    <w:rsid w:val="0051182B"/>
    <w:rsid w:val="00511ECE"/>
    <w:rsid w:val="00512602"/>
    <w:rsid w:val="005126C0"/>
    <w:rsid w:val="005129B3"/>
    <w:rsid w:val="00512D5E"/>
    <w:rsid w:val="00513147"/>
    <w:rsid w:val="005131C4"/>
    <w:rsid w:val="0051324D"/>
    <w:rsid w:val="00513D53"/>
    <w:rsid w:val="00513EF8"/>
    <w:rsid w:val="00514201"/>
    <w:rsid w:val="0051432C"/>
    <w:rsid w:val="00514330"/>
    <w:rsid w:val="005154B5"/>
    <w:rsid w:val="005156AB"/>
    <w:rsid w:val="00516750"/>
    <w:rsid w:val="00516760"/>
    <w:rsid w:val="00516F51"/>
    <w:rsid w:val="0051714D"/>
    <w:rsid w:val="005173E3"/>
    <w:rsid w:val="00517601"/>
    <w:rsid w:val="005179E4"/>
    <w:rsid w:val="00517AD7"/>
    <w:rsid w:val="005200F7"/>
    <w:rsid w:val="0052056D"/>
    <w:rsid w:val="00520636"/>
    <w:rsid w:val="0052083B"/>
    <w:rsid w:val="00520C3D"/>
    <w:rsid w:val="005210EB"/>
    <w:rsid w:val="005211DE"/>
    <w:rsid w:val="00521716"/>
    <w:rsid w:val="00521942"/>
    <w:rsid w:val="00522311"/>
    <w:rsid w:val="00522381"/>
    <w:rsid w:val="0052244D"/>
    <w:rsid w:val="0052360A"/>
    <w:rsid w:val="00523CA3"/>
    <w:rsid w:val="00523F03"/>
    <w:rsid w:val="0052477D"/>
    <w:rsid w:val="00524A88"/>
    <w:rsid w:val="0052511A"/>
    <w:rsid w:val="00525903"/>
    <w:rsid w:val="00525916"/>
    <w:rsid w:val="00525BA4"/>
    <w:rsid w:val="00526AFD"/>
    <w:rsid w:val="00526EF3"/>
    <w:rsid w:val="005277B6"/>
    <w:rsid w:val="00527D6D"/>
    <w:rsid w:val="00527E22"/>
    <w:rsid w:val="00527E88"/>
    <w:rsid w:val="00527EA4"/>
    <w:rsid w:val="00527F45"/>
    <w:rsid w:val="005307C0"/>
    <w:rsid w:val="00530A45"/>
    <w:rsid w:val="00530DEC"/>
    <w:rsid w:val="005311D7"/>
    <w:rsid w:val="00531575"/>
    <w:rsid w:val="0053178E"/>
    <w:rsid w:val="005327AA"/>
    <w:rsid w:val="00532C64"/>
    <w:rsid w:val="00532DAD"/>
    <w:rsid w:val="00532FD7"/>
    <w:rsid w:val="0053321C"/>
    <w:rsid w:val="0053334B"/>
    <w:rsid w:val="00533785"/>
    <w:rsid w:val="005337A2"/>
    <w:rsid w:val="00533994"/>
    <w:rsid w:val="00534220"/>
    <w:rsid w:val="00534396"/>
    <w:rsid w:val="00534A4E"/>
    <w:rsid w:val="00534BF5"/>
    <w:rsid w:val="005353F7"/>
    <w:rsid w:val="00535592"/>
    <w:rsid w:val="0053569B"/>
    <w:rsid w:val="005359AE"/>
    <w:rsid w:val="0053610E"/>
    <w:rsid w:val="0053638A"/>
    <w:rsid w:val="00536473"/>
    <w:rsid w:val="00536634"/>
    <w:rsid w:val="005368DC"/>
    <w:rsid w:val="00536A6B"/>
    <w:rsid w:val="00536DED"/>
    <w:rsid w:val="005374BA"/>
    <w:rsid w:val="0053777F"/>
    <w:rsid w:val="005377A1"/>
    <w:rsid w:val="005378AF"/>
    <w:rsid w:val="0053792B"/>
    <w:rsid w:val="00537B05"/>
    <w:rsid w:val="00537BFE"/>
    <w:rsid w:val="00537E33"/>
    <w:rsid w:val="005402EB"/>
    <w:rsid w:val="0054073E"/>
    <w:rsid w:val="005408A8"/>
    <w:rsid w:val="00540CF3"/>
    <w:rsid w:val="00540EB2"/>
    <w:rsid w:val="00540EF7"/>
    <w:rsid w:val="005411A4"/>
    <w:rsid w:val="00541EDA"/>
    <w:rsid w:val="0054243E"/>
    <w:rsid w:val="0054246C"/>
    <w:rsid w:val="00542AAD"/>
    <w:rsid w:val="00542ACD"/>
    <w:rsid w:val="00542CFF"/>
    <w:rsid w:val="00542F52"/>
    <w:rsid w:val="00542FBA"/>
    <w:rsid w:val="0054304C"/>
    <w:rsid w:val="0054304E"/>
    <w:rsid w:val="00543131"/>
    <w:rsid w:val="005431B8"/>
    <w:rsid w:val="005432BB"/>
    <w:rsid w:val="00543CBA"/>
    <w:rsid w:val="00543DF7"/>
    <w:rsid w:val="00543EBD"/>
    <w:rsid w:val="0054423B"/>
    <w:rsid w:val="00544E3C"/>
    <w:rsid w:val="005451F0"/>
    <w:rsid w:val="00545298"/>
    <w:rsid w:val="00545A89"/>
    <w:rsid w:val="00546257"/>
    <w:rsid w:val="00546412"/>
    <w:rsid w:val="0054651A"/>
    <w:rsid w:val="005470F8"/>
    <w:rsid w:val="0054721D"/>
    <w:rsid w:val="0054729A"/>
    <w:rsid w:val="00547A7A"/>
    <w:rsid w:val="00547B72"/>
    <w:rsid w:val="00547C21"/>
    <w:rsid w:val="00547CEF"/>
    <w:rsid w:val="00547D05"/>
    <w:rsid w:val="0055015B"/>
    <w:rsid w:val="0055053A"/>
    <w:rsid w:val="005508FF"/>
    <w:rsid w:val="00550A0D"/>
    <w:rsid w:val="00550CA6"/>
    <w:rsid w:val="00550F26"/>
    <w:rsid w:val="00550FC9"/>
    <w:rsid w:val="005510A2"/>
    <w:rsid w:val="00551469"/>
    <w:rsid w:val="00551CE7"/>
    <w:rsid w:val="00551DF4"/>
    <w:rsid w:val="005525C3"/>
    <w:rsid w:val="005526C5"/>
    <w:rsid w:val="005528BB"/>
    <w:rsid w:val="00552C2B"/>
    <w:rsid w:val="00552CA3"/>
    <w:rsid w:val="00552EB5"/>
    <w:rsid w:val="00553366"/>
    <w:rsid w:val="00553761"/>
    <w:rsid w:val="0055400D"/>
    <w:rsid w:val="00554848"/>
    <w:rsid w:val="005559C3"/>
    <w:rsid w:val="00555AFD"/>
    <w:rsid w:val="00555C35"/>
    <w:rsid w:val="00555EF6"/>
    <w:rsid w:val="00556061"/>
    <w:rsid w:val="0055640E"/>
    <w:rsid w:val="00556428"/>
    <w:rsid w:val="005564CF"/>
    <w:rsid w:val="005566CE"/>
    <w:rsid w:val="00556AFC"/>
    <w:rsid w:val="00556E7A"/>
    <w:rsid w:val="00557504"/>
    <w:rsid w:val="00557540"/>
    <w:rsid w:val="005578F3"/>
    <w:rsid w:val="00560300"/>
    <w:rsid w:val="00560635"/>
    <w:rsid w:val="00560941"/>
    <w:rsid w:val="00560ACA"/>
    <w:rsid w:val="00560B2D"/>
    <w:rsid w:val="00560ED0"/>
    <w:rsid w:val="00561284"/>
    <w:rsid w:val="00561657"/>
    <w:rsid w:val="0056198F"/>
    <w:rsid w:val="005621DF"/>
    <w:rsid w:val="00562486"/>
    <w:rsid w:val="0056255F"/>
    <w:rsid w:val="00562932"/>
    <w:rsid w:val="00563894"/>
    <w:rsid w:val="00563961"/>
    <w:rsid w:val="00563BFB"/>
    <w:rsid w:val="0056429C"/>
    <w:rsid w:val="005643DB"/>
    <w:rsid w:val="00564670"/>
    <w:rsid w:val="00564C6E"/>
    <w:rsid w:val="0056601A"/>
    <w:rsid w:val="0056634D"/>
    <w:rsid w:val="0056641D"/>
    <w:rsid w:val="0056691F"/>
    <w:rsid w:val="00566954"/>
    <w:rsid w:val="005669BD"/>
    <w:rsid w:val="00566E74"/>
    <w:rsid w:val="00567411"/>
    <w:rsid w:val="00567760"/>
    <w:rsid w:val="00567899"/>
    <w:rsid w:val="00567B07"/>
    <w:rsid w:val="00567C0A"/>
    <w:rsid w:val="00567E58"/>
    <w:rsid w:val="005705B7"/>
    <w:rsid w:val="00570911"/>
    <w:rsid w:val="00570D53"/>
    <w:rsid w:val="00571602"/>
    <w:rsid w:val="005717D3"/>
    <w:rsid w:val="00571E10"/>
    <w:rsid w:val="00571E59"/>
    <w:rsid w:val="00571EAA"/>
    <w:rsid w:val="00572155"/>
    <w:rsid w:val="00572158"/>
    <w:rsid w:val="00572688"/>
    <w:rsid w:val="00572DE9"/>
    <w:rsid w:val="0057322A"/>
    <w:rsid w:val="0057349D"/>
    <w:rsid w:val="00574D1C"/>
    <w:rsid w:val="00574FBE"/>
    <w:rsid w:val="00575139"/>
    <w:rsid w:val="0057590E"/>
    <w:rsid w:val="005759AD"/>
    <w:rsid w:val="00575B38"/>
    <w:rsid w:val="00575B85"/>
    <w:rsid w:val="00575BE1"/>
    <w:rsid w:val="00575F80"/>
    <w:rsid w:val="00576CC3"/>
    <w:rsid w:val="0057705F"/>
    <w:rsid w:val="005771FF"/>
    <w:rsid w:val="00577F94"/>
    <w:rsid w:val="005800BF"/>
    <w:rsid w:val="0058062C"/>
    <w:rsid w:val="00580797"/>
    <w:rsid w:val="00580D43"/>
    <w:rsid w:val="0058151D"/>
    <w:rsid w:val="00581D5B"/>
    <w:rsid w:val="00581E81"/>
    <w:rsid w:val="0058204A"/>
    <w:rsid w:val="005822FC"/>
    <w:rsid w:val="0058264E"/>
    <w:rsid w:val="0058278E"/>
    <w:rsid w:val="00582802"/>
    <w:rsid w:val="00582C57"/>
    <w:rsid w:val="00582DC5"/>
    <w:rsid w:val="00583666"/>
    <w:rsid w:val="00583F2D"/>
    <w:rsid w:val="00584256"/>
    <w:rsid w:val="005842A1"/>
    <w:rsid w:val="00584352"/>
    <w:rsid w:val="005843AB"/>
    <w:rsid w:val="0058492D"/>
    <w:rsid w:val="00584AC4"/>
    <w:rsid w:val="00584CB3"/>
    <w:rsid w:val="00585554"/>
    <w:rsid w:val="00585714"/>
    <w:rsid w:val="00585B00"/>
    <w:rsid w:val="005860C0"/>
    <w:rsid w:val="00586DF1"/>
    <w:rsid w:val="00587A24"/>
    <w:rsid w:val="00587D07"/>
    <w:rsid w:val="00587E90"/>
    <w:rsid w:val="00590113"/>
    <w:rsid w:val="0059017E"/>
    <w:rsid w:val="0059018D"/>
    <w:rsid w:val="00590BCD"/>
    <w:rsid w:val="00590EA5"/>
    <w:rsid w:val="005912E8"/>
    <w:rsid w:val="00591BF7"/>
    <w:rsid w:val="00591BF9"/>
    <w:rsid w:val="00592088"/>
    <w:rsid w:val="0059218F"/>
    <w:rsid w:val="0059222B"/>
    <w:rsid w:val="00592F85"/>
    <w:rsid w:val="00593703"/>
    <w:rsid w:val="005938B1"/>
    <w:rsid w:val="00594285"/>
    <w:rsid w:val="005946C4"/>
    <w:rsid w:val="00594CB4"/>
    <w:rsid w:val="005953CB"/>
    <w:rsid w:val="005956FC"/>
    <w:rsid w:val="005957A2"/>
    <w:rsid w:val="00595877"/>
    <w:rsid w:val="00596320"/>
    <w:rsid w:val="005974DC"/>
    <w:rsid w:val="00597781"/>
    <w:rsid w:val="00597B60"/>
    <w:rsid w:val="005A0107"/>
    <w:rsid w:val="005A0134"/>
    <w:rsid w:val="005A03C0"/>
    <w:rsid w:val="005A03C2"/>
    <w:rsid w:val="005A041E"/>
    <w:rsid w:val="005A06B8"/>
    <w:rsid w:val="005A0CF2"/>
    <w:rsid w:val="005A0E5F"/>
    <w:rsid w:val="005A0F97"/>
    <w:rsid w:val="005A11A3"/>
    <w:rsid w:val="005A14C3"/>
    <w:rsid w:val="005A17CB"/>
    <w:rsid w:val="005A1A06"/>
    <w:rsid w:val="005A1B11"/>
    <w:rsid w:val="005A1BFF"/>
    <w:rsid w:val="005A1D0D"/>
    <w:rsid w:val="005A2FCE"/>
    <w:rsid w:val="005A3018"/>
    <w:rsid w:val="005A341F"/>
    <w:rsid w:val="005A3558"/>
    <w:rsid w:val="005A379E"/>
    <w:rsid w:val="005A457C"/>
    <w:rsid w:val="005A4839"/>
    <w:rsid w:val="005A4F50"/>
    <w:rsid w:val="005A51BC"/>
    <w:rsid w:val="005A51FA"/>
    <w:rsid w:val="005A52EA"/>
    <w:rsid w:val="005A63B4"/>
    <w:rsid w:val="005A6B14"/>
    <w:rsid w:val="005A7564"/>
    <w:rsid w:val="005A778D"/>
    <w:rsid w:val="005A786C"/>
    <w:rsid w:val="005B04E7"/>
    <w:rsid w:val="005B07A8"/>
    <w:rsid w:val="005B126C"/>
    <w:rsid w:val="005B1496"/>
    <w:rsid w:val="005B16A1"/>
    <w:rsid w:val="005B17D5"/>
    <w:rsid w:val="005B1B22"/>
    <w:rsid w:val="005B1D45"/>
    <w:rsid w:val="005B1F17"/>
    <w:rsid w:val="005B2359"/>
    <w:rsid w:val="005B2464"/>
    <w:rsid w:val="005B2933"/>
    <w:rsid w:val="005B2AD7"/>
    <w:rsid w:val="005B2D19"/>
    <w:rsid w:val="005B302E"/>
    <w:rsid w:val="005B30ED"/>
    <w:rsid w:val="005B333C"/>
    <w:rsid w:val="005B4029"/>
    <w:rsid w:val="005B40F0"/>
    <w:rsid w:val="005B41B6"/>
    <w:rsid w:val="005B4D90"/>
    <w:rsid w:val="005B56FF"/>
    <w:rsid w:val="005B570D"/>
    <w:rsid w:val="005B59B3"/>
    <w:rsid w:val="005B5A36"/>
    <w:rsid w:val="005B5D06"/>
    <w:rsid w:val="005B5D41"/>
    <w:rsid w:val="005B5D4B"/>
    <w:rsid w:val="005B5E14"/>
    <w:rsid w:val="005B650D"/>
    <w:rsid w:val="005B66BD"/>
    <w:rsid w:val="005B6803"/>
    <w:rsid w:val="005B6A4E"/>
    <w:rsid w:val="005B6F6A"/>
    <w:rsid w:val="005B71B9"/>
    <w:rsid w:val="005B73B2"/>
    <w:rsid w:val="005B74EF"/>
    <w:rsid w:val="005B7A38"/>
    <w:rsid w:val="005B7A4F"/>
    <w:rsid w:val="005B7C6A"/>
    <w:rsid w:val="005C029B"/>
    <w:rsid w:val="005C0463"/>
    <w:rsid w:val="005C0E3F"/>
    <w:rsid w:val="005C147A"/>
    <w:rsid w:val="005C19DE"/>
    <w:rsid w:val="005C1C34"/>
    <w:rsid w:val="005C1CBF"/>
    <w:rsid w:val="005C2834"/>
    <w:rsid w:val="005C2CC9"/>
    <w:rsid w:val="005C2E8F"/>
    <w:rsid w:val="005C2F30"/>
    <w:rsid w:val="005C3305"/>
    <w:rsid w:val="005C3B94"/>
    <w:rsid w:val="005C3DA5"/>
    <w:rsid w:val="005C3F5B"/>
    <w:rsid w:val="005C4213"/>
    <w:rsid w:val="005C443A"/>
    <w:rsid w:val="005C4626"/>
    <w:rsid w:val="005C47D9"/>
    <w:rsid w:val="005C499D"/>
    <w:rsid w:val="005C5F00"/>
    <w:rsid w:val="005C65A4"/>
    <w:rsid w:val="005C690D"/>
    <w:rsid w:val="005C7224"/>
    <w:rsid w:val="005C7473"/>
    <w:rsid w:val="005C7564"/>
    <w:rsid w:val="005C79C3"/>
    <w:rsid w:val="005C7A40"/>
    <w:rsid w:val="005C7F54"/>
    <w:rsid w:val="005C7F8A"/>
    <w:rsid w:val="005D0060"/>
    <w:rsid w:val="005D0599"/>
    <w:rsid w:val="005D05B2"/>
    <w:rsid w:val="005D07F2"/>
    <w:rsid w:val="005D0A39"/>
    <w:rsid w:val="005D14C0"/>
    <w:rsid w:val="005D15F6"/>
    <w:rsid w:val="005D1632"/>
    <w:rsid w:val="005D17DE"/>
    <w:rsid w:val="005D1B9B"/>
    <w:rsid w:val="005D1E85"/>
    <w:rsid w:val="005D2237"/>
    <w:rsid w:val="005D2489"/>
    <w:rsid w:val="005D27AC"/>
    <w:rsid w:val="005D27B2"/>
    <w:rsid w:val="005D2989"/>
    <w:rsid w:val="005D2CE5"/>
    <w:rsid w:val="005D3869"/>
    <w:rsid w:val="005D3B38"/>
    <w:rsid w:val="005D460A"/>
    <w:rsid w:val="005D521D"/>
    <w:rsid w:val="005D53B7"/>
    <w:rsid w:val="005D56DA"/>
    <w:rsid w:val="005D587A"/>
    <w:rsid w:val="005D589B"/>
    <w:rsid w:val="005D5BA6"/>
    <w:rsid w:val="005D6629"/>
    <w:rsid w:val="005D6AA4"/>
    <w:rsid w:val="005D6EE3"/>
    <w:rsid w:val="005D763E"/>
    <w:rsid w:val="005D79D2"/>
    <w:rsid w:val="005E0135"/>
    <w:rsid w:val="005E04F7"/>
    <w:rsid w:val="005E062C"/>
    <w:rsid w:val="005E07DA"/>
    <w:rsid w:val="005E09EC"/>
    <w:rsid w:val="005E0CAD"/>
    <w:rsid w:val="005E1571"/>
    <w:rsid w:val="005E15E8"/>
    <w:rsid w:val="005E177E"/>
    <w:rsid w:val="005E17F8"/>
    <w:rsid w:val="005E1B14"/>
    <w:rsid w:val="005E1B38"/>
    <w:rsid w:val="005E1BED"/>
    <w:rsid w:val="005E1F17"/>
    <w:rsid w:val="005E214B"/>
    <w:rsid w:val="005E25A3"/>
    <w:rsid w:val="005E2C0F"/>
    <w:rsid w:val="005E2EAF"/>
    <w:rsid w:val="005E2F0E"/>
    <w:rsid w:val="005E2F3C"/>
    <w:rsid w:val="005E35EF"/>
    <w:rsid w:val="005E39E7"/>
    <w:rsid w:val="005E3EBD"/>
    <w:rsid w:val="005E42E7"/>
    <w:rsid w:val="005E4420"/>
    <w:rsid w:val="005E46E8"/>
    <w:rsid w:val="005E4717"/>
    <w:rsid w:val="005E48F7"/>
    <w:rsid w:val="005E4E9D"/>
    <w:rsid w:val="005E4F8C"/>
    <w:rsid w:val="005E5043"/>
    <w:rsid w:val="005E565A"/>
    <w:rsid w:val="005E59BB"/>
    <w:rsid w:val="005E5B1E"/>
    <w:rsid w:val="005E5D3F"/>
    <w:rsid w:val="005E5DAF"/>
    <w:rsid w:val="005E61C7"/>
    <w:rsid w:val="005E6766"/>
    <w:rsid w:val="005E6A48"/>
    <w:rsid w:val="005E6D19"/>
    <w:rsid w:val="005E7136"/>
    <w:rsid w:val="005E74E9"/>
    <w:rsid w:val="005E7880"/>
    <w:rsid w:val="005F07CD"/>
    <w:rsid w:val="005F07EA"/>
    <w:rsid w:val="005F0A44"/>
    <w:rsid w:val="005F0F42"/>
    <w:rsid w:val="005F1156"/>
    <w:rsid w:val="005F1186"/>
    <w:rsid w:val="005F1195"/>
    <w:rsid w:val="005F1BE8"/>
    <w:rsid w:val="005F21EE"/>
    <w:rsid w:val="005F23E7"/>
    <w:rsid w:val="005F2A11"/>
    <w:rsid w:val="005F2C5B"/>
    <w:rsid w:val="005F2D2D"/>
    <w:rsid w:val="005F3159"/>
    <w:rsid w:val="005F34FC"/>
    <w:rsid w:val="005F378C"/>
    <w:rsid w:val="005F4117"/>
    <w:rsid w:val="005F4608"/>
    <w:rsid w:val="005F48C7"/>
    <w:rsid w:val="005F4909"/>
    <w:rsid w:val="005F4BF2"/>
    <w:rsid w:val="005F4EFB"/>
    <w:rsid w:val="005F512F"/>
    <w:rsid w:val="005F56AF"/>
    <w:rsid w:val="005F586F"/>
    <w:rsid w:val="005F5FEC"/>
    <w:rsid w:val="005F6232"/>
    <w:rsid w:val="005F6C4D"/>
    <w:rsid w:val="005F6FFA"/>
    <w:rsid w:val="005F7036"/>
    <w:rsid w:val="005F7D9D"/>
    <w:rsid w:val="005F7FD7"/>
    <w:rsid w:val="00600802"/>
    <w:rsid w:val="00600888"/>
    <w:rsid w:val="00600CA6"/>
    <w:rsid w:val="00600EFE"/>
    <w:rsid w:val="00601029"/>
    <w:rsid w:val="006017BD"/>
    <w:rsid w:val="00601917"/>
    <w:rsid w:val="00601B66"/>
    <w:rsid w:val="00601B96"/>
    <w:rsid w:val="0060210B"/>
    <w:rsid w:val="00602167"/>
    <w:rsid w:val="0060228E"/>
    <w:rsid w:val="006022D8"/>
    <w:rsid w:val="006023FB"/>
    <w:rsid w:val="00602546"/>
    <w:rsid w:val="00602568"/>
    <w:rsid w:val="0060262E"/>
    <w:rsid w:val="00602655"/>
    <w:rsid w:val="00602722"/>
    <w:rsid w:val="006028AF"/>
    <w:rsid w:val="00603029"/>
    <w:rsid w:val="00603147"/>
    <w:rsid w:val="0060360A"/>
    <w:rsid w:val="0060366E"/>
    <w:rsid w:val="00603F89"/>
    <w:rsid w:val="006045A1"/>
    <w:rsid w:val="00604942"/>
    <w:rsid w:val="00604CB5"/>
    <w:rsid w:val="00605066"/>
    <w:rsid w:val="00605553"/>
    <w:rsid w:val="00605E20"/>
    <w:rsid w:val="006065BC"/>
    <w:rsid w:val="0060668C"/>
    <w:rsid w:val="006067A9"/>
    <w:rsid w:val="00606816"/>
    <w:rsid w:val="00606907"/>
    <w:rsid w:val="0060698A"/>
    <w:rsid w:val="00606A7C"/>
    <w:rsid w:val="00606E2C"/>
    <w:rsid w:val="006070BC"/>
    <w:rsid w:val="006074EC"/>
    <w:rsid w:val="00607DC9"/>
    <w:rsid w:val="00607F93"/>
    <w:rsid w:val="006108E4"/>
    <w:rsid w:val="00610B31"/>
    <w:rsid w:val="00610BEF"/>
    <w:rsid w:val="00610E7C"/>
    <w:rsid w:val="006111EB"/>
    <w:rsid w:val="00611443"/>
    <w:rsid w:val="0061157B"/>
    <w:rsid w:val="0061180A"/>
    <w:rsid w:val="00611D3C"/>
    <w:rsid w:val="00611D55"/>
    <w:rsid w:val="00612FBF"/>
    <w:rsid w:val="006131FB"/>
    <w:rsid w:val="0061356B"/>
    <w:rsid w:val="00613BB0"/>
    <w:rsid w:val="00614338"/>
    <w:rsid w:val="00614828"/>
    <w:rsid w:val="0061484B"/>
    <w:rsid w:val="00614C88"/>
    <w:rsid w:val="00614EEB"/>
    <w:rsid w:val="00615166"/>
    <w:rsid w:val="0061545E"/>
    <w:rsid w:val="00615CBB"/>
    <w:rsid w:val="00615F3B"/>
    <w:rsid w:val="00615FF0"/>
    <w:rsid w:val="00616263"/>
    <w:rsid w:val="0061629D"/>
    <w:rsid w:val="006164E8"/>
    <w:rsid w:val="00616547"/>
    <w:rsid w:val="00616BFC"/>
    <w:rsid w:val="00616D89"/>
    <w:rsid w:val="00617176"/>
    <w:rsid w:val="006177C8"/>
    <w:rsid w:val="00617857"/>
    <w:rsid w:val="00617918"/>
    <w:rsid w:val="00617AA7"/>
    <w:rsid w:val="00617C14"/>
    <w:rsid w:val="00620522"/>
    <w:rsid w:val="006208A0"/>
    <w:rsid w:val="00620978"/>
    <w:rsid w:val="00620ADA"/>
    <w:rsid w:val="00620B47"/>
    <w:rsid w:val="0062100F"/>
    <w:rsid w:val="00621034"/>
    <w:rsid w:val="006213B7"/>
    <w:rsid w:val="00621C57"/>
    <w:rsid w:val="00621E47"/>
    <w:rsid w:val="006220C1"/>
    <w:rsid w:val="00622B74"/>
    <w:rsid w:val="00622BEA"/>
    <w:rsid w:val="00622FF8"/>
    <w:rsid w:val="006239B7"/>
    <w:rsid w:val="006239E4"/>
    <w:rsid w:val="00623B06"/>
    <w:rsid w:val="00623B35"/>
    <w:rsid w:val="00624197"/>
    <w:rsid w:val="0062423F"/>
    <w:rsid w:val="00624552"/>
    <w:rsid w:val="00624DB0"/>
    <w:rsid w:val="00624E56"/>
    <w:rsid w:val="00625003"/>
    <w:rsid w:val="00625860"/>
    <w:rsid w:val="006258A4"/>
    <w:rsid w:val="00625948"/>
    <w:rsid w:val="00625C25"/>
    <w:rsid w:val="00626192"/>
    <w:rsid w:val="00626940"/>
    <w:rsid w:val="00626CC4"/>
    <w:rsid w:val="00626ECC"/>
    <w:rsid w:val="00626F7D"/>
    <w:rsid w:val="006273DC"/>
    <w:rsid w:val="00627817"/>
    <w:rsid w:val="00627965"/>
    <w:rsid w:val="00627B7C"/>
    <w:rsid w:val="0063039A"/>
    <w:rsid w:val="00630444"/>
    <w:rsid w:val="0063052E"/>
    <w:rsid w:val="00630661"/>
    <w:rsid w:val="006306CD"/>
    <w:rsid w:val="00630827"/>
    <w:rsid w:val="00630ACB"/>
    <w:rsid w:val="00631FF1"/>
    <w:rsid w:val="0063211D"/>
    <w:rsid w:val="0063277A"/>
    <w:rsid w:val="00632B43"/>
    <w:rsid w:val="00632FDF"/>
    <w:rsid w:val="00633720"/>
    <w:rsid w:val="006337A8"/>
    <w:rsid w:val="00633947"/>
    <w:rsid w:val="00634191"/>
    <w:rsid w:val="00634390"/>
    <w:rsid w:val="006343D5"/>
    <w:rsid w:val="006343DD"/>
    <w:rsid w:val="006344AF"/>
    <w:rsid w:val="00634ABF"/>
    <w:rsid w:val="00634B2F"/>
    <w:rsid w:val="00634E0A"/>
    <w:rsid w:val="006352F9"/>
    <w:rsid w:val="006353D6"/>
    <w:rsid w:val="00635503"/>
    <w:rsid w:val="006369C0"/>
    <w:rsid w:val="00636AAE"/>
    <w:rsid w:val="00636BA4"/>
    <w:rsid w:val="0063710D"/>
    <w:rsid w:val="00637DE2"/>
    <w:rsid w:val="006401D9"/>
    <w:rsid w:val="0064038A"/>
    <w:rsid w:val="00640DDD"/>
    <w:rsid w:val="00640F77"/>
    <w:rsid w:val="006419A9"/>
    <w:rsid w:val="00641C27"/>
    <w:rsid w:val="00641C3E"/>
    <w:rsid w:val="00641EA2"/>
    <w:rsid w:val="0064219F"/>
    <w:rsid w:val="006426F3"/>
    <w:rsid w:val="00642EA1"/>
    <w:rsid w:val="00642ED2"/>
    <w:rsid w:val="00642FCA"/>
    <w:rsid w:val="00643312"/>
    <w:rsid w:val="00643837"/>
    <w:rsid w:val="00643A95"/>
    <w:rsid w:val="00643C33"/>
    <w:rsid w:val="00644255"/>
    <w:rsid w:val="006445CF"/>
    <w:rsid w:val="0064494D"/>
    <w:rsid w:val="00645152"/>
    <w:rsid w:val="00645865"/>
    <w:rsid w:val="00645F34"/>
    <w:rsid w:val="006462E1"/>
    <w:rsid w:val="006464BB"/>
    <w:rsid w:val="0064676C"/>
    <w:rsid w:val="00646DF1"/>
    <w:rsid w:val="006470B3"/>
    <w:rsid w:val="00647441"/>
    <w:rsid w:val="00647979"/>
    <w:rsid w:val="00647E61"/>
    <w:rsid w:val="00647F01"/>
    <w:rsid w:val="006507A5"/>
    <w:rsid w:val="00650B24"/>
    <w:rsid w:val="00650E15"/>
    <w:rsid w:val="00650F31"/>
    <w:rsid w:val="00650FD2"/>
    <w:rsid w:val="00651606"/>
    <w:rsid w:val="00651AED"/>
    <w:rsid w:val="00651C60"/>
    <w:rsid w:val="00652831"/>
    <w:rsid w:val="0065288F"/>
    <w:rsid w:val="0065313B"/>
    <w:rsid w:val="00653264"/>
    <w:rsid w:val="0065347C"/>
    <w:rsid w:val="0065372F"/>
    <w:rsid w:val="00653972"/>
    <w:rsid w:val="00653D25"/>
    <w:rsid w:val="006542FF"/>
    <w:rsid w:val="006546AF"/>
    <w:rsid w:val="00654DAE"/>
    <w:rsid w:val="00655661"/>
    <w:rsid w:val="00655AA9"/>
    <w:rsid w:val="00655E2F"/>
    <w:rsid w:val="00655ECB"/>
    <w:rsid w:val="00656052"/>
    <w:rsid w:val="0065627F"/>
    <w:rsid w:val="00656BF7"/>
    <w:rsid w:val="00656E1B"/>
    <w:rsid w:val="00657120"/>
    <w:rsid w:val="0066004E"/>
    <w:rsid w:val="00660433"/>
    <w:rsid w:val="006604EF"/>
    <w:rsid w:val="00660709"/>
    <w:rsid w:val="00660A09"/>
    <w:rsid w:val="00660BCE"/>
    <w:rsid w:val="00660D8C"/>
    <w:rsid w:val="00661059"/>
    <w:rsid w:val="0066121B"/>
    <w:rsid w:val="006614F1"/>
    <w:rsid w:val="00661CD7"/>
    <w:rsid w:val="00662226"/>
    <w:rsid w:val="006622D5"/>
    <w:rsid w:val="0066240E"/>
    <w:rsid w:val="0066250D"/>
    <w:rsid w:val="00662523"/>
    <w:rsid w:val="00662D67"/>
    <w:rsid w:val="0066324F"/>
    <w:rsid w:val="00663737"/>
    <w:rsid w:val="0066374A"/>
    <w:rsid w:val="0066387F"/>
    <w:rsid w:val="00663AC6"/>
    <w:rsid w:val="00663F6E"/>
    <w:rsid w:val="0066472F"/>
    <w:rsid w:val="00665456"/>
    <w:rsid w:val="0066549D"/>
    <w:rsid w:val="00666019"/>
    <w:rsid w:val="0066629F"/>
    <w:rsid w:val="006663B3"/>
    <w:rsid w:val="00667D43"/>
    <w:rsid w:val="00667F0F"/>
    <w:rsid w:val="006706BE"/>
    <w:rsid w:val="006712D6"/>
    <w:rsid w:val="0067133B"/>
    <w:rsid w:val="006716BD"/>
    <w:rsid w:val="006717EC"/>
    <w:rsid w:val="006718C8"/>
    <w:rsid w:val="00671D18"/>
    <w:rsid w:val="00671DB6"/>
    <w:rsid w:val="006722CE"/>
    <w:rsid w:val="006723C3"/>
    <w:rsid w:val="0067253B"/>
    <w:rsid w:val="006725A6"/>
    <w:rsid w:val="00672CDF"/>
    <w:rsid w:val="00672D8C"/>
    <w:rsid w:val="00672DBB"/>
    <w:rsid w:val="00673123"/>
    <w:rsid w:val="006735B3"/>
    <w:rsid w:val="00673652"/>
    <w:rsid w:val="00673CF2"/>
    <w:rsid w:val="00674462"/>
    <w:rsid w:val="006750F8"/>
    <w:rsid w:val="0067544C"/>
    <w:rsid w:val="006759D1"/>
    <w:rsid w:val="00675E43"/>
    <w:rsid w:val="006760B8"/>
    <w:rsid w:val="006762AD"/>
    <w:rsid w:val="006767FD"/>
    <w:rsid w:val="006769DD"/>
    <w:rsid w:val="00676B3C"/>
    <w:rsid w:val="00676B4D"/>
    <w:rsid w:val="00676E2B"/>
    <w:rsid w:val="00676F45"/>
    <w:rsid w:val="006774E4"/>
    <w:rsid w:val="006779CD"/>
    <w:rsid w:val="00677BA0"/>
    <w:rsid w:val="006804E9"/>
    <w:rsid w:val="00680A75"/>
    <w:rsid w:val="00680FA9"/>
    <w:rsid w:val="006817BA"/>
    <w:rsid w:val="006819BC"/>
    <w:rsid w:val="00681B06"/>
    <w:rsid w:val="00681BDC"/>
    <w:rsid w:val="00681ED2"/>
    <w:rsid w:val="00681F60"/>
    <w:rsid w:val="0068208E"/>
    <w:rsid w:val="00682270"/>
    <w:rsid w:val="00683034"/>
    <w:rsid w:val="0068326F"/>
    <w:rsid w:val="0068347B"/>
    <w:rsid w:val="00683760"/>
    <w:rsid w:val="00683821"/>
    <w:rsid w:val="00683A6B"/>
    <w:rsid w:val="00683A8D"/>
    <w:rsid w:val="00683C08"/>
    <w:rsid w:val="00683DC3"/>
    <w:rsid w:val="006840EE"/>
    <w:rsid w:val="00684684"/>
    <w:rsid w:val="006848E7"/>
    <w:rsid w:val="00684933"/>
    <w:rsid w:val="00684D4B"/>
    <w:rsid w:val="00684E2B"/>
    <w:rsid w:val="0068581D"/>
    <w:rsid w:val="006858B9"/>
    <w:rsid w:val="00685B75"/>
    <w:rsid w:val="00686564"/>
    <w:rsid w:val="006867F7"/>
    <w:rsid w:val="006868C9"/>
    <w:rsid w:val="00687091"/>
    <w:rsid w:val="00690333"/>
    <w:rsid w:val="006909BF"/>
    <w:rsid w:val="00690CB6"/>
    <w:rsid w:val="00691280"/>
    <w:rsid w:val="006914C8"/>
    <w:rsid w:val="0069152A"/>
    <w:rsid w:val="00691986"/>
    <w:rsid w:val="00691A6E"/>
    <w:rsid w:val="00691D59"/>
    <w:rsid w:val="00692415"/>
    <w:rsid w:val="00692499"/>
    <w:rsid w:val="0069264E"/>
    <w:rsid w:val="006927C1"/>
    <w:rsid w:val="006928BA"/>
    <w:rsid w:val="00692DF1"/>
    <w:rsid w:val="00692FE2"/>
    <w:rsid w:val="0069315A"/>
    <w:rsid w:val="0069345A"/>
    <w:rsid w:val="00693B38"/>
    <w:rsid w:val="0069482E"/>
    <w:rsid w:val="00694CA1"/>
    <w:rsid w:val="00694DE3"/>
    <w:rsid w:val="006950D0"/>
    <w:rsid w:val="00695250"/>
    <w:rsid w:val="00695404"/>
    <w:rsid w:val="006958B9"/>
    <w:rsid w:val="00696054"/>
    <w:rsid w:val="006961C0"/>
    <w:rsid w:val="00696539"/>
    <w:rsid w:val="00696D53"/>
    <w:rsid w:val="00697375"/>
    <w:rsid w:val="00697E7F"/>
    <w:rsid w:val="006A058C"/>
    <w:rsid w:val="006A05C9"/>
    <w:rsid w:val="006A068F"/>
    <w:rsid w:val="006A081A"/>
    <w:rsid w:val="006A0996"/>
    <w:rsid w:val="006A1332"/>
    <w:rsid w:val="006A1AFE"/>
    <w:rsid w:val="006A1B90"/>
    <w:rsid w:val="006A1BAF"/>
    <w:rsid w:val="006A2149"/>
    <w:rsid w:val="006A294D"/>
    <w:rsid w:val="006A2BB4"/>
    <w:rsid w:val="006A2FCE"/>
    <w:rsid w:val="006A33D1"/>
    <w:rsid w:val="006A38FC"/>
    <w:rsid w:val="006A3C31"/>
    <w:rsid w:val="006A479C"/>
    <w:rsid w:val="006A47A2"/>
    <w:rsid w:val="006A4E63"/>
    <w:rsid w:val="006A6050"/>
    <w:rsid w:val="006A6507"/>
    <w:rsid w:val="006A667A"/>
    <w:rsid w:val="006A6C47"/>
    <w:rsid w:val="006A72AD"/>
    <w:rsid w:val="006A74B5"/>
    <w:rsid w:val="006A756D"/>
    <w:rsid w:val="006A793D"/>
    <w:rsid w:val="006A7E55"/>
    <w:rsid w:val="006B073E"/>
    <w:rsid w:val="006B0868"/>
    <w:rsid w:val="006B0A27"/>
    <w:rsid w:val="006B0EA6"/>
    <w:rsid w:val="006B0F25"/>
    <w:rsid w:val="006B1240"/>
    <w:rsid w:val="006B1326"/>
    <w:rsid w:val="006B1501"/>
    <w:rsid w:val="006B1772"/>
    <w:rsid w:val="006B1AE5"/>
    <w:rsid w:val="006B1BCD"/>
    <w:rsid w:val="006B2403"/>
    <w:rsid w:val="006B273D"/>
    <w:rsid w:val="006B27DA"/>
    <w:rsid w:val="006B2D83"/>
    <w:rsid w:val="006B31DE"/>
    <w:rsid w:val="006B3D75"/>
    <w:rsid w:val="006B3EB2"/>
    <w:rsid w:val="006B4140"/>
    <w:rsid w:val="006B43E3"/>
    <w:rsid w:val="006B4540"/>
    <w:rsid w:val="006B46F8"/>
    <w:rsid w:val="006B5602"/>
    <w:rsid w:val="006B5CD5"/>
    <w:rsid w:val="006B5F8E"/>
    <w:rsid w:val="006B66D1"/>
    <w:rsid w:val="006B6C3C"/>
    <w:rsid w:val="006B75A3"/>
    <w:rsid w:val="006B78BA"/>
    <w:rsid w:val="006B7AAA"/>
    <w:rsid w:val="006B7C2E"/>
    <w:rsid w:val="006B7FF2"/>
    <w:rsid w:val="006C01A0"/>
    <w:rsid w:val="006C080F"/>
    <w:rsid w:val="006C0923"/>
    <w:rsid w:val="006C0A56"/>
    <w:rsid w:val="006C0B29"/>
    <w:rsid w:val="006C148E"/>
    <w:rsid w:val="006C1567"/>
    <w:rsid w:val="006C16C2"/>
    <w:rsid w:val="006C1D60"/>
    <w:rsid w:val="006C23AD"/>
    <w:rsid w:val="006C29AA"/>
    <w:rsid w:val="006C2BAD"/>
    <w:rsid w:val="006C2E21"/>
    <w:rsid w:val="006C308E"/>
    <w:rsid w:val="006C32CC"/>
    <w:rsid w:val="006C34D8"/>
    <w:rsid w:val="006C34F7"/>
    <w:rsid w:val="006C35A0"/>
    <w:rsid w:val="006C35B8"/>
    <w:rsid w:val="006C3919"/>
    <w:rsid w:val="006C3BB1"/>
    <w:rsid w:val="006C422E"/>
    <w:rsid w:val="006C4287"/>
    <w:rsid w:val="006C4639"/>
    <w:rsid w:val="006C469C"/>
    <w:rsid w:val="006C4A3E"/>
    <w:rsid w:val="006C4BE1"/>
    <w:rsid w:val="006C564F"/>
    <w:rsid w:val="006C56E7"/>
    <w:rsid w:val="006C57DC"/>
    <w:rsid w:val="006C5AAF"/>
    <w:rsid w:val="006C67F2"/>
    <w:rsid w:val="006C6879"/>
    <w:rsid w:val="006C6D6C"/>
    <w:rsid w:val="006C712F"/>
    <w:rsid w:val="006C72A6"/>
    <w:rsid w:val="006C7590"/>
    <w:rsid w:val="006C7867"/>
    <w:rsid w:val="006C79A5"/>
    <w:rsid w:val="006C7B83"/>
    <w:rsid w:val="006C7BBE"/>
    <w:rsid w:val="006D031B"/>
    <w:rsid w:val="006D0702"/>
    <w:rsid w:val="006D071C"/>
    <w:rsid w:val="006D097B"/>
    <w:rsid w:val="006D0A4B"/>
    <w:rsid w:val="006D0BCD"/>
    <w:rsid w:val="006D106A"/>
    <w:rsid w:val="006D1154"/>
    <w:rsid w:val="006D1264"/>
    <w:rsid w:val="006D14A3"/>
    <w:rsid w:val="006D1937"/>
    <w:rsid w:val="006D1C33"/>
    <w:rsid w:val="006D1D6B"/>
    <w:rsid w:val="006D1EA0"/>
    <w:rsid w:val="006D1FA4"/>
    <w:rsid w:val="006D20D3"/>
    <w:rsid w:val="006D27DD"/>
    <w:rsid w:val="006D3142"/>
    <w:rsid w:val="006D386E"/>
    <w:rsid w:val="006D469C"/>
    <w:rsid w:val="006D46DE"/>
    <w:rsid w:val="006D5015"/>
    <w:rsid w:val="006D52B6"/>
    <w:rsid w:val="006D556C"/>
    <w:rsid w:val="006D5A2D"/>
    <w:rsid w:val="006D60F2"/>
    <w:rsid w:val="006D6148"/>
    <w:rsid w:val="006D70E9"/>
    <w:rsid w:val="006D7577"/>
    <w:rsid w:val="006D790A"/>
    <w:rsid w:val="006D7D53"/>
    <w:rsid w:val="006E0A06"/>
    <w:rsid w:val="006E0FD4"/>
    <w:rsid w:val="006E130D"/>
    <w:rsid w:val="006E15C7"/>
    <w:rsid w:val="006E19F7"/>
    <w:rsid w:val="006E1BEA"/>
    <w:rsid w:val="006E1C99"/>
    <w:rsid w:val="006E1CB5"/>
    <w:rsid w:val="006E1CC5"/>
    <w:rsid w:val="006E1D76"/>
    <w:rsid w:val="006E20C8"/>
    <w:rsid w:val="006E2317"/>
    <w:rsid w:val="006E24F5"/>
    <w:rsid w:val="006E272A"/>
    <w:rsid w:val="006E296F"/>
    <w:rsid w:val="006E29CC"/>
    <w:rsid w:val="006E2A2E"/>
    <w:rsid w:val="006E331A"/>
    <w:rsid w:val="006E3344"/>
    <w:rsid w:val="006E3515"/>
    <w:rsid w:val="006E36F1"/>
    <w:rsid w:val="006E3822"/>
    <w:rsid w:val="006E3F57"/>
    <w:rsid w:val="006E43AA"/>
    <w:rsid w:val="006E4709"/>
    <w:rsid w:val="006E487E"/>
    <w:rsid w:val="006E4999"/>
    <w:rsid w:val="006E4BE8"/>
    <w:rsid w:val="006E4E7D"/>
    <w:rsid w:val="006E53CB"/>
    <w:rsid w:val="006E5654"/>
    <w:rsid w:val="006E5977"/>
    <w:rsid w:val="006E62A5"/>
    <w:rsid w:val="006E664E"/>
    <w:rsid w:val="006E6944"/>
    <w:rsid w:val="006E69A8"/>
    <w:rsid w:val="006E6A58"/>
    <w:rsid w:val="006E6ADF"/>
    <w:rsid w:val="006E6C2A"/>
    <w:rsid w:val="006E74A5"/>
    <w:rsid w:val="006E74E9"/>
    <w:rsid w:val="006E7BF6"/>
    <w:rsid w:val="006E7C39"/>
    <w:rsid w:val="006F02EE"/>
    <w:rsid w:val="006F0729"/>
    <w:rsid w:val="006F0968"/>
    <w:rsid w:val="006F09E5"/>
    <w:rsid w:val="006F118B"/>
    <w:rsid w:val="006F11F3"/>
    <w:rsid w:val="006F125C"/>
    <w:rsid w:val="006F15E7"/>
    <w:rsid w:val="006F163F"/>
    <w:rsid w:val="006F1A8F"/>
    <w:rsid w:val="006F1C46"/>
    <w:rsid w:val="006F1E37"/>
    <w:rsid w:val="006F2520"/>
    <w:rsid w:val="006F2726"/>
    <w:rsid w:val="006F2AB1"/>
    <w:rsid w:val="006F2BF1"/>
    <w:rsid w:val="006F2C7D"/>
    <w:rsid w:val="006F38B8"/>
    <w:rsid w:val="006F3F4B"/>
    <w:rsid w:val="006F40E5"/>
    <w:rsid w:val="006F47FD"/>
    <w:rsid w:val="006F4992"/>
    <w:rsid w:val="006F4A3F"/>
    <w:rsid w:val="006F51D7"/>
    <w:rsid w:val="006F597F"/>
    <w:rsid w:val="006F5F1C"/>
    <w:rsid w:val="006F6499"/>
    <w:rsid w:val="006F67B4"/>
    <w:rsid w:val="006F6884"/>
    <w:rsid w:val="006F6FD2"/>
    <w:rsid w:val="006F7098"/>
    <w:rsid w:val="006F709D"/>
    <w:rsid w:val="006F70DD"/>
    <w:rsid w:val="006F7B20"/>
    <w:rsid w:val="006F7D9C"/>
    <w:rsid w:val="006F7E75"/>
    <w:rsid w:val="00700432"/>
    <w:rsid w:val="0070068B"/>
    <w:rsid w:val="00700E75"/>
    <w:rsid w:val="00700F35"/>
    <w:rsid w:val="007010E4"/>
    <w:rsid w:val="007011A7"/>
    <w:rsid w:val="00701468"/>
    <w:rsid w:val="007014D9"/>
    <w:rsid w:val="0070186E"/>
    <w:rsid w:val="007019CF"/>
    <w:rsid w:val="00701DB8"/>
    <w:rsid w:val="00701E76"/>
    <w:rsid w:val="00702120"/>
    <w:rsid w:val="007021FF"/>
    <w:rsid w:val="007026D6"/>
    <w:rsid w:val="00702991"/>
    <w:rsid w:val="00702B9F"/>
    <w:rsid w:val="00702D2B"/>
    <w:rsid w:val="00702DCE"/>
    <w:rsid w:val="00703104"/>
    <w:rsid w:val="0070315D"/>
    <w:rsid w:val="00703487"/>
    <w:rsid w:val="0070352D"/>
    <w:rsid w:val="00703B5A"/>
    <w:rsid w:val="00703C7F"/>
    <w:rsid w:val="00703D3C"/>
    <w:rsid w:val="00703F41"/>
    <w:rsid w:val="0070430E"/>
    <w:rsid w:val="007043AC"/>
    <w:rsid w:val="007053B2"/>
    <w:rsid w:val="00705CA6"/>
    <w:rsid w:val="0070646D"/>
    <w:rsid w:val="0070680E"/>
    <w:rsid w:val="00706A67"/>
    <w:rsid w:val="007075C1"/>
    <w:rsid w:val="007075C8"/>
    <w:rsid w:val="00707871"/>
    <w:rsid w:val="007078C4"/>
    <w:rsid w:val="00707ABA"/>
    <w:rsid w:val="00707CB1"/>
    <w:rsid w:val="00707CEB"/>
    <w:rsid w:val="00707EBF"/>
    <w:rsid w:val="007106DC"/>
    <w:rsid w:val="00710973"/>
    <w:rsid w:val="00710C8B"/>
    <w:rsid w:val="00710DD9"/>
    <w:rsid w:val="00710FA6"/>
    <w:rsid w:val="0071127A"/>
    <w:rsid w:val="007116B5"/>
    <w:rsid w:val="0071228A"/>
    <w:rsid w:val="007123E4"/>
    <w:rsid w:val="00712BB9"/>
    <w:rsid w:val="00713019"/>
    <w:rsid w:val="007131BA"/>
    <w:rsid w:val="00713891"/>
    <w:rsid w:val="007139E0"/>
    <w:rsid w:val="00714621"/>
    <w:rsid w:val="00714BF3"/>
    <w:rsid w:val="0071511D"/>
    <w:rsid w:val="00715266"/>
    <w:rsid w:val="007153F4"/>
    <w:rsid w:val="00715DF5"/>
    <w:rsid w:val="00715E4D"/>
    <w:rsid w:val="007162DA"/>
    <w:rsid w:val="00716449"/>
    <w:rsid w:val="00716553"/>
    <w:rsid w:val="00716621"/>
    <w:rsid w:val="00716693"/>
    <w:rsid w:val="00716892"/>
    <w:rsid w:val="0071689D"/>
    <w:rsid w:val="0071697D"/>
    <w:rsid w:val="00716DE1"/>
    <w:rsid w:val="007177FC"/>
    <w:rsid w:val="00717A71"/>
    <w:rsid w:val="00717F99"/>
    <w:rsid w:val="00720361"/>
    <w:rsid w:val="00720551"/>
    <w:rsid w:val="007206D9"/>
    <w:rsid w:val="00720725"/>
    <w:rsid w:val="00720757"/>
    <w:rsid w:val="00720A78"/>
    <w:rsid w:val="00720A86"/>
    <w:rsid w:val="00720C10"/>
    <w:rsid w:val="00720C50"/>
    <w:rsid w:val="00720D80"/>
    <w:rsid w:val="00720DE7"/>
    <w:rsid w:val="00721565"/>
    <w:rsid w:val="0072168D"/>
    <w:rsid w:val="00721E90"/>
    <w:rsid w:val="00721F4E"/>
    <w:rsid w:val="0072236C"/>
    <w:rsid w:val="0072263B"/>
    <w:rsid w:val="00722D3D"/>
    <w:rsid w:val="00723124"/>
    <w:rsid w:val="00723A87"/>
    <w:rsid w:val="007242E8"/>
    <w:rsid w:val="007243C3"/>
    <w:rsid w:val="00724748"/>
    <w:rsid w:val="00724ECE"/>
    <w:rsid w:val="0072511C"/>
    <w:rsid w:val="007254E1"/>
    <w:rsid w:val="0072551B"/>
    <w:rsid w:val="00725670"/>
    <w:rsid w:val="00725AE7"/>
    <w:rsid w:val="00725D16"/>
    <w:rsid w:val="00726298"/>
    <w:rsid w:val="007266C9"/>
    <w:rsid w:val="00726F6F"/>
    <w:rsid w:val="007272EB"/>
    <w:rsid w:val="0072763B"/>
    <w:rsid w:val="00727AB9"/>
    <w:rsid w:val="00727FE2"/>
    <w:rsid w:val="007300FD"/>
    <w:rsid w:val="00730500"/>
    <w:rsid w:val="00730736"/>
    <w:rsid w:val="00730A1E"/>
    <w:rsid w:val="00730F1A"/>
    <w:rsid w:val="00730F1D"/>
    <w:rsid w:val="007311F0"/>
    <w:rsid w:val="007311F8"/>
    <w:rsid w:val="007312B4"/>
    <w:rsid w:val="0073135B"/>
    <w:rsid w:val="00732575"/>
    <w:rsid w:val="00732E1F"/>
    <w:rsid w:val="0073302C"/>
    <w:rsid w:val="007331B7"/>
    <w:rsid w:val="0073375D"/>
    <w:rsid w:val="007337A8"/>
    <w:rsid w:val="00733E6F"/>
    <w:rsid w:val="00734496"/>
    <w:rsid w:val="00734515"/>
    <w:rsid w:val="00734748"/>
    <w:rsid w:val="0073487B"/>
    <w:rsid w:val="00734ACC"/>
    <w:rsid w:val="00735709"/>
    <w:rsid w:val="0073588D"/>
    <w:rsid w:val="007358A1"/>
    <w:rsid w:val="00735CBB"/>
    <w:rsid w:val="00735D2E"/>
    <w:rsid w:val="00735D88"/>
    <w:rsid w:val="00735DE3"/>
    <w:rsid w:val="00736214"/>
    <w:rsid w:val="00736306"/>
    <w:rsid w:val="0073632C"/>
    <w:rsid w:val="0073660B"/>
    <w:rsid w:val="00736611"/>
    <w:rsid w:val="00736850"/>
    <w:rsid w:val="00736B4F"/>
    <w:rsid w:val="00736FAF"/>
    <w:rsid w:val="007377C8"/>
    <w:rsid w:val="00737B6A"/>
    <w:rsid w:val="00740513"/>
    <w:rsid w:val="00740B97"/>
    <w:rsid w:val="0074117B"/>
    <w:rsid w:val="0074140D"/>
    <w:rsid w:val="0074164E"/>
    <w:rsid w:val="00741820"/>
    <w:rsid w:val="00741A96"/>
    <w:rsid w:val="00741B4F"/>
    <w:rsid w:val="00741CFB"/>
    <w:rsid w:val="00741F2B"/>
    <w:rsid w:val="0074201E"/>
    <w:rsid w:val="00742304"/>
    <w:rsid w:val="007425A5"/>
    <w:rsid w:val="00742816"/>
    <w:rsid w:val="00742B76"/>
    <w:rsid w:val="00742CD8"/>
    <w:rsid w:val="00742F9B"/>
    <w:rsid w:val="00742FF2"/>
    <w:rsid w:val="00743089"/>
    <w:rsid w:val="007438C5"/>
    <w:rsid w:val="00743EBA"/>
    <w:rsid w:val="0074481C"/>
    <w:rsid w:val="00744D78"/>
    <w:rsid w:val="00745119"/>
    <w:rsid w:val="0074518F"/>
    <w:rsid w:val="00745456"/>
    <w:rsid w:val="00745920"/>
    <w:rsid w:val="00745C1C"/>
    <w:rsid w:val="00745EA8"/>
    <w:rsid w:val="0074666D"/>
    <w:rsid w:val="00746CB0"/>
    <w:rsid w:val="0074730B"/>
    <w:rsid w:val="007475DB"/>
    <w:rsid w:val="00750240"/>
    <w:rsid w:val="00750B47"/>
    <w:rsid w:val="00750D1A"/>
    <w:rsid w:val="00750D55"/>
    <w:rsid w:val="007513F4"/>
    <w:rsid w:val="007514DB"/>
    <w:rsid w:val="007518CE"/>
    <w:rsid w:val="00751B36"/>
    <w:rsid w:val="00752305"/>
    <w:rsid w:val="00752483"/>
    <w:rsid w:val="007527F9"/>
    <w:rsid w:val="0075284D"/>
    <w:rsid w:val="007528CA"/>
    <w:rsid w:val="007529CE"/>
    <w:rsid w:val="00752B60"/>
    <w:rsid w:val="00752CC0"/>
    <w:rsid w:val="00752FDB"/>
    <w:rsid w:val="0075313C"/>
    <w:rsid w:val="007533BF"/>
    <w:rsid w:val="00753832"/>
    <w:rsid w:val="00754018"/>
    <w:rsid w:val="007544AF"/>
    <w:rsid w:val="00754C34"/>
    <w:rsid w:val="00755280"/>
    <w:rsid w:val="007552DE"/>
    <w:rsid w:val="007559A0"/>
    <w:rsid w:val="00755AE3"/>
    <w:rsid w:val="00755D1B"/>
    <w:rsid w:val="007560D0"/>
    <w:rsid w:val="007563F5"/>
    <w:rsid w:val="007567D7"/>
    <w:rsid w:val="007568F7"/>
    <w:rsid w:val="00756E6E"/>
    <w:rsid w:val="0075704F"/>
    <w:rsid w:val="00757305"/>
    <w:rsid w:val="00757311"/>
    <w:rsid w:val="00757361"/>
    <w:rsid w:val="007576E6"/>
    <w:rsid w:val="007579FC"/>
    <w:rsid w:val="00757F68"/>
    <w:rsid w:val="00760A1D"/>
    <w:rsid w:val="00760A99"/>
    <w:rsid w:val="00760ADE"/>
    <w:rsid w:val="007610F7"/>
    <w:rsid w:val="0076131B"/>
    <w:rsid w:val="00761420"/>
    <w:rsid w:val="0076160F"/>
    <w:rsid w:val="00761701"/>
    <w:rsid w:val="00761ACB"/>
    <w:rsid w:val="00761C67"/>
    <w:rsid w:val="00761D48"/>
    <w:rsid w:val="00761E99"/>
    <w:rsid w:val="0076216F"/>
    <w:rsid w:val="007626ED"/>
    <w:rsid w:val="0076278C"/>
    <w:rsid w:val="007636D4"/>
    <w:rsid w:val="00763C19"/>
    <w:rsid w:val="00763EF1"/>
    <w:rsid w:val="0076408B"/>
    <w:rsid w:val="007648E9"/>
    <w:rsid w:val="0076492F"/>
    <w:rsid w:val="00764B8F"/>
    <w:rsid w:val="00764CC6"/>
    <w:rsid w:val="00765236"/>
    <w:rsid w:val="00765809"/>
    <w:rsid w:val="007658E4"/>
    <w:rsid w:val="00765DFD"/>
    <w:rsid w:val="0076683D"/>
    <w:rsid w:val="00766A62"/>
    <w:rsid w:val="00767005"/>
    <w:rsid w:val="00767227"/>
    <w:rsid w:val="0076733F"/>
    <w:rsid w:val="0076778B"/>
    <w:rsid w:val="00767F56"/>
    <w:rsid w:val="007703CC"/>
    <w:rsid w:val="0077051A"/>
    <w:rsid w:val="007705E8"/>
    <w:rsid w:val="00770800"/>
    <w:rsid w:val="00770C09"/>
    <w:rsid w:val="00770EB8"/>
    <w:rsid w:val="00771605"/>
    <w:rsid w:val="0077188A"/>
    <w:rsid w:val="00771E0D"/>
    <w:rsid w:val="00772392"/>
    <w:rsid w:val="00772956"/>
    <w:rsid w:val="00772C13"/>
    <w:rsid w:val="00772CB1"/>
    <w:rsid w:val="00772DE8"/>
    <w:rsid w:val="007730B1"/>
    <w:rsid w:val="007730D3"/>
    <w:rsid w:val="00773845"/>
    <w:rsid w:val="007738CB"/>
    <w:rsid w:val="00773ADD"/>
    <w:rsid w:val="00773BFB"/>
    <w:rsid w:val="00773C71"/>
    <w:rsid w:val="007741A3"/>
    <w:rsid w:val="00774287"/>
    <w:rsid w:val="00774426"/>
    <w:rsid w:val="00774E18"/>
    <w:rsid w:val="007751AC"/>
    <w:rsid w:val="00775367"/>
    <w:rsid w:val="00775664"/>
    <w:rsid w:val="00775CD5"/>
    <w:rsid w:val="00775CE1"/>
    <w:rsid w:val="00776231"/>
    <w:rsid w:val="00776358"/>
    <w:rsid w:val="00776628"/>
    <w:rsid w:val="007766EB"/>
    <w:rsid w:val="007767CF"/>
    <w:rsid w:val="00776B53"/>
    <w:rsid w:val="0077707A"/>
    <w:rsid w:val="0077733F"/>
    <w:rsid w:val="00777729"/>
    <w:rsid w:val="007777DB"/>
    <w:rsid w:val="00777BE9"/>
    <w:rsid w:val="00777E4E"/>
    <w:rsid w:val="00780819"/>
    <w:rsid w:val="0078084C"/>
    <w:rsid w:val="007808C9"/>
    <w:rsid w:val="00780C01"/>
    <w:rsid w:val="00781126"/>
    <w:rsid w:val="00781576"/>
    <w:rsid w:val="007817CC"/>
    <w:rsid w:val="00782000"/>
    <w:rsid w:val="00782CE4"/>
    <w:rsid w:val="00782D5C"/>
    <w:rsid w:val="00783426"/>
    <w:rsid w:val="007834CD"/>
    <w:rsid w:val="007834E9"/>
    <w:rsid w:val="00783863"/>
    <w:rsid w:val="0078399D"/>
    <w:rsid w:val="00783AC0"/>
    <w:rsid w:val="00783D7B"/>
    <w:rsid w:val="00784D93"/>
    <w:rsid w:val="00784EBF"/>
    <w:rsid w:val="00784FD4"/>
    <w:rsid w:val="007869A5"/>
    <w:rsid w:val="00786EE3"/>
    <w:rsid w:val="00786FE0"/>
    <w:rsid w:val="0078722F"/>
    <w:rsid w:val="007872EC"/>
    <w:rsid w:val="00787460"/>
    <w:rsid w:val="00787502"/>
    <w:rsid w:val="00787987"/>
    <w:rsid w:val="00787CD7"/>
    <w:rsid w:val="00787EE8"/>
    <w:rsid w:val="00787F64"/>
    <w:rsid w:val="00790B24"/>
    <w:rsid w:val="00790B69"/>
    <w:rsid w:val="00790F18"/>
    <w:rsid w:val="007910FD"/>
    <w:rsid w:val="00791A7B"/>
    <w:rsid w:val="00791A8C"/>
    <w:rsid w:val="00791CA0"/>
    <w:rsid w:val="00791DBB"/>
    <w:rsid w:val="00792F60"/>
    <w:rsid w:val="0079367D"/>
    <w:rsid w:val="00793D7B"/>
    <w:rsid w:val="00793F54"/>
    <w:rsid w:val="00794902"/>
    <w:rsid w:val="00794FE6"/>
    <w:rsid w:val="0079525F"/>
    <w:rsid w:val="00795407"/>
    <w:rsid w:val="007956C6"/>
    <w:rsid w:val="007965B4"/>
    <w:rsid w:val="007972C6"/>
    <w:rsid w:val="00797BF6"/>
    <w:rsid w:val="00797C77"/>
    <w:rsid w:val="00797CA2"/>
    <w:rsid w:val="00797D8E"/>
    <w:rsid w:val="007A00CA"/>
    <w:rsid w:val="007A00D1"/>
    <w:rsid w:val="007A091A"/>
    <w:rsid w:val="007A17FC"/>
    <w:rsid w:val="007A1ACD"/>
    <w:rsid w:val="007A1B7B"/>
    <w:rsid w:val="007A1F7B"/>
    <w:rsid w:val="007A2317"/>
    <w:rsid w:val="007A2382"/>
    <w:rsid w:val="007A2C00"/>
    <w:rsid w:val="007A3094"/>
    <w:rsid w:val="007A366A"/>
    <w:rsid w:val="007A37C1"/>
    <w:rsid w:val="007A394E"/>
    <w:rsid w:val="007A3FAD"/>
    <w:rsid w:val="007A415B"/>
    <w:rsid w:val="007A48D5"/>
    <w:rsid w:val="007A4A2D"/>
    <w:rsid w:val="007A4D51"/>
    <w:rsid w:val="007A52A6"/>
    <w:rsid w:val="007A59E0"/>
    <w:rsid w:val="007A5B4E"/>
    <w:rsid w:val="007A5C68"/>
    <w:rsid w:val="007A6184"/>
    <w:rsid w:val="007A63C0"/>
    <w:rsid w:val="007A66A0"/>
    <w:rsid w:val="007A6C88"/>
    <w:rsid w:val="007A7892"/>
    <w:rsid w:val="007A7DC2"/>
    <w:rsid w:val="007A7F2D"/>
    <w:rsid w:val="007B022E"/>
    <w:rsid w:val="007B04D1"/>
    <w:rsid w:val="007B1188"/>
    <w:rsid w:val="007B168B"/>
    <w:rsid w:val="007B1744"/>
    <w:rsid w:val="007B177B"/>
    <w:rsid w:val="007B1995"/>
    <w:rsid w:val="007B1C57"/>
    <w:rsid w:val="007B1CA6"/>
    <w:rsid w:val="007B2181"/>
    <w:rsid w:val="007B28DC"/>
    <w:rsid w:val="007B2A9C"/>
    <w:rsid w:val="007B31EC"/>
    <w:rsid w:val="007B3A3F"/>
    <w:rsid w:val="007B3E4D"/>
    <w:rsid w:val="007B4227"/>
    <w:rsid w:val="007B456E"/>
    <w:rsid w:val="007B4574"/>
    <w:rsid w:val="007B4672"/>
    <w:rsid w:val="007B499E"/>
    <w:rsid w:val="007B4A8E"/>
    <w:rsid w:val="007B4D92"/>
    <w:rsid w:val="007B52F0"/>
    <w:rsid w:val="007B5713"/>
    <w:rsid w:val="007B5726"/>
    <w:rsid w:val="007B5990"/>
    <w:rsid w:val="007B5E03"/>
    <w:rsid w:val="007B5E45"/>
    <w:rsid w:val="007B61AD"/>
    <w:rsid w:val="007B6263"/>
    <w:rsid w:val="007B64B8"/>
    <w:rsid w:val="007B6E1A"/>
    <w:rsid w:val="007B7243"/>
    <w:rsid w:val="007B73A0"/>
    <w:rsid w:val="007B73A3"/>
    <w:rsid w:val="007B75B5"/>
    <w:rsid w:val="007B7867"/>
    <w:rsid w:val="007B795F"/>
    <w:rsid w:val="007B79C7"/>
    <w:rsid w:val="007C0153"/>
    <w:rsid w:val="007C03E2"/>
    <w:rsid w:val="007C07E0"/>
    <w:rsid w:val="007C0CC0"/>
    <w:rsid w:val="007C17CC"/>
    <w:rsid w:val="007C1887"/>
    <w:rsid w:val="007C1B23"/>
    <w:rsid w:val="007C1E03"/>
    <w:rsid w:val="007C1E2F"/>
    <w:rsid w:val="007C1E39"/>
    <w:rsid w:val="007C256B"/>
    <w:rsid w:val="007C26CD"/>
    <w:rsid w:val="007C2995"/>
    <w:rsid w:val="007C2F14"/>
    <w:rsid w:val="007C33F3"/>
    <w:rsid w:val="007C3449"/>
    <w:rsid w:val="007C35AD"/>
    <w:rsid w:val="007C3631"/>
    <w:rsid w:val="007C3662"/>
    <w:rsid w:val="007C3A96"/>
    <w:rsid w:val="007C44AF"/>
    <w:rsid w:val="007C4505"/>
    <w:rsid w:val="007C451B"/>
    <w:rsid w:val="007C51AC"/>
    <w:rsid w:val="007C6A88"/>
    <w:rsid w:val="007C6FC0"/>
    <w:rsid w:val="007C7646"/>
    <w:rsid w:val="007C76A3"/>
    <w:rsid w:val="007C77C4"/>
    <w:rsid w:val="007C78A5"/>
    <w:rsid w:val="007C7915"/>
    <w:rsid w:val="007C7A0C"/>
    <w:rsid w:val="007C7CD5"/>
    <w:rsid w:val="007C7D95"/>
    <w:rsid w:val="007D02BB"/>
    <w:rsid w:val="007D0303"/>
    <w:rsid w:val="007D0788"/>
    <w:rsid w:val="007D0DB4"/>
    <w:rsid w:val="007D13AC"/>
    <w:rsid w:val="007D1417"/>
    <w:rsid w:val="007D1F51"/>
    <w:rsid w:val="007D2024"/>
    <w:rsid w:val="007D2412"/>
    <w:rsid w:val="007D248D"/>
    <w:rsid w:val="007D2B3D"/>
    <w:rsid w:val="007D2CA0"/>
    <w:rsid w:val="007D2CF9"/>
    <w:rsid w:val="007D2D81"/>
    <w:rsid w:val="007D3D0D"/>
    <w:rsid w:val="007D3FDD"/>
    <w:rsid w:val="007D419D"/>
    <w:rsid w:val="007D41D5"/>
    <w:rsid w:val="007D4357"/>
    <w:rsid w:val="007D4406"/>
    <w:rsid w:val="007D46FF"/>
    <w:rsid w:val="007D486E"/>
    <w:rsid w:val="007D4B9C"/>
    <w:rsid w:val="007D4ED8"/>
    <w:rsid w:val="007D4F5B"/>
    <w:rsid w:val="007D5010"/>
    <w:rsid w:val="007D5672"/>
    <w:rsid w:val="007D56BB"/>
    <w:rsid w:val="007D57BE"/>
    <w:rsid w:val="007D58B0"/>
    <w:rsid w:val="007D5BFE"/>
    <w:rsid w:val="007D61E7"/>
    <w:rsid w:val="007D620B"/>
    <w:rsid w:val="007D63AE"/>
    <w:rsid w:val="007D63C9"/>
    <w:rsid w:val="007D67B7"/>
    <w:rsid w:val="007D6955"/>
    <w:rsid w:val="007D6D2A"/>
    <w:rsid w:val="007D6EC7"/>
    <w:rsid w:val="007D74A4"/>
    <w:rsid w:val="007D788A"/>
    <w:rsid w:val="007E123F"/>
    <w:rsid w:val="007E15D8"/>
    <w:rsid w:val="007E17F6"/>
    <w:rsid w:val="007E18E4"/>
    <w:rsid w:val="007E1A24"/>
    <w:rsid w:val="007E1A32"/>
    <w:rsid w:val="007E1D19"/>
    <w:rsid w:val="007E1E06"/>
    <w:rsid w:val="007E29A3"/>
    <w:rsid w:val="007E31A5"/>
    <w:rsid w:val="007E31FA"/>
    <w:rsid w:val="007E3440"/>
    <w:rsid w:val="007E34EB"/>
    <w:rsid w:val="007E3723"/>
    <w:rsid w:val="007E38E3"/>
    <w:rsid w:val="007E395C"/>
    <w:rsid w:val="007E3B33"/>
    <w:rsid w:val="007E3EA2"/>
    <w:rsid w:val="007E410F"/>
    <w:rsid w:val="007E4398"/>
    <w:rsid w:val="007E4447"/>
    <w:rsid w:val="007E44FB"/>
    <w:rsid w:val="007E4994"/>
    <w:rsid w:val="007E4AD1"/>
    <w:rsid w:val="007E4FCE"/>
    <w:rsid w:val="007E50A5"/>
    <w:rsid w:val="007E50B3"/>
    <w:rsid w:val="007E5285"/>
    <w:rsid w:val="007E54E4"/>
    <w:rsid w:val="007E550A"/>
    <w:rsid w:val="007E55A0"/>
    <w:rsid w:val="007E56C4"/>
    <w:rsid w:val="007E5863"/>
    <w:rsid w:val="007E58F6"/>
    <w:rsid w:val="007E595A"/>
    <w:rsid w:val="007E59FF"/>
    <w:rsid w:val="007E5FF7"/>
    <w:rsid w:val="007E63D6"/>
    <w:rsid w:val="007E65E1"/>
    <w:rsid w:val="007E69DF"/>
    <w:rsid w:val="007E6B89"/>
    <w:rsid w:val="007E6CAA"/>
    <w:rsid w:val="007E6E85"/>
    <w:rsid w:val="007E6F1B"/>
    <w:rsid w:val="007E7402"/>
    <w:rsid w:val="007E744B"/>
    <w:rsid w:val="007E7503"/>
    <w:rsid w:val="007E75FF"/>
    <w:rsid w:val="007E77F1"/>
    <w:rsid w:val="007E7A7A"/>
    <w:rsid w:val="007E7AD6"/>
    <w:rsid w:val="007E7C12"/>
    <w:rsid w:val="007E7D04"/>
    <w:rsid w:val="007F0228"/>
    <w:rsid w:val="007F025B"/>
    <w:rsid w:val="007F04B5"/>
    <w:rsid w:val="007F04CD"/>
    <w:rsid w:val="007F086C"/>
    <w:rsid w:val="007F089B"/>
    <w:rsid w:val="007F08CE"/>
    <w:rsid w:val="007F0DC4"/>
    <w:rsid w:val="007F0E95"/>
    <w:rsid w:val="007F191D"/>
    <w:rsid w:val="007F1A43"/>
    <w:rsid w:val="007F1E5D"/>
    <w:rsid w:val="007F2491"/>
    <w:rsid w:val="007F29B6"/>
    <w:rsid w:val="007F2A51"/>
    <w:rsid w:val="007F2F3A"/>
    <w:rsid w:val="007F3094"/>
    <w:rsid w:val="007F373E"/>
    <w:rsid w:val="007F3C20"/>
    <w:rsid w:val="007F3FF6"/>
    <w:rsid w:val="007F402A"/>
    <w:rsid w:val="007F41B4"/>
    <w:rsid w:val="007F4272"/>
    <w:rsid w:val="007F4556"/>
    <w:rsid w:val="007F4BAA"/>
    <w:rsid w:val="007F4EC3"/>
    <w:rsid w:val="007F4F07"/>
    <w:rsid w:val="007F524E"/>
    <w:rsid w:val="007F545D"/>
    <w:rsid w:val="007F5A48"/>
    <w:rsid w:val="007F5D5D"/>
    <w:rsid w:val="007F625D"/>
    <w:rsid w:val="007F683E"/>
    <w:rsid w:val="007F7558"/>
    <w:rsid w:val="007F7746"/>
    <w:rsid w:val="007F777D"/>
    <w:rsid w:val="007F7CC1"/>
    <w:rsid w:val="0080000A"/>
    <w:rsid w:val="00800648"/>
    <w:rsid w:val="008008AB"/>
    <w:rsid w:val="00800B85"/>
    <w:rsid w:val="00802028"/>
    <w:rsid w:val="0080293F"/>
    <w:rsid w:val="00802ADE"/>
    <w:rsid w:val="00802FD8"/>
    <w:rsid w:val="008030C8"/>
    <w:rsid w:val="00803778"/>
    <w:rsid w:val="0080395E"/>
    <w:rsid w:val="00803E09"/>
    <w:rsid w:val="0080484A"/>
    <w:rsid w:val="00804C9F"/>
    <w:rsid w:val="00805049"/>
    <w:rsid w:val="0080521E"/>
    <w:rsid w:val="008054BE"/>
    <w:rsid w:val="00805C90"/>
    <w:rsid w:val="00806179"/>
    <w:rsid w:val="00806471"/>
    <w:rsid w:val="00806956"/>
    <w:rsid w:val="00806A96"/>
    <w:rsid w:val="00806AC5"/>
    <w:rsid w:val="008071DB"/>
    <w:rsid w:val="00807235"/>
    <w:rsid w:val="0080730F"/>
    <w:rsid w:val="008075AC"/>
    <w:rsid w:val="00807911"/>
    <w:rsid w:val="00807D3F"/>
    <w:rsid w:val="00810049"/>
    <w:rsid w:val="00810217"/>
    <w:rsid w:val="0081042E"/>
    <w:rsid w:val="0081082D"/>
    <w:rsid w:val="00810AFE"/>
    <w:rsid w:val="00810B60"/>
    <w:rsid w:val="00810EBC"/>
    <w:rsid w:val="0081112B"/>
    <w:rsid w:val="00811306"/>
    <w:rsid w:val="00811CDC"/>
    <w:rsid w:val="00811F12"/>
    <w:rsid w:val="00812346"/>
    <w:rsid w:val="00812557"/>
    <w:rsid w:val="008125D1"/>
    <w:rsid w:val="00812674"/>
    <w:rsid w:val="00813274"/>
    <w:rsid w:val="00813CD3"/>
    <w:rsid w:val="00813DCD"/>
    <w:rsid w:val="00813EC8"/>
    <w:rsid w:val="00814249"/>
    <w:rsid w:val="008142A2"/>
    <w:rsid w:val="00814974"/>
    <w:rsid w:val="00814F1A"/>
    <w:rsid w:val="0081504E"/>
    <w:rsid w:val="0081531B"/>
    <w:rsid w:val="0081575A"/>
    <w:rsid w:val="00815A8D"/>
    <w:rsid w:val="00816062"/>
    <w:rsid w:val="00816511"/>
    <w:rsid w:val="0081679D"/>
    <w:rsid w:val="008168A0"/>
    <w:rsid w:val="00817012"/>
    <w:rsid w:val="0081707B"/>
    <w:rsid w:val="008170F8"/>
    <w:rsid w:val="0081768E"/>
    <w:rsid w:val="0081785D"/>
    <w:rsid w:val="008179B1"/>
    <w:rsid w:val="00817A75"/>
    <w:rsid w:val="00817CE0"/>
    <w:rsid w:val="00817D80"/>
    <w:rsid w:val="00820FFE"/>
    <w:rsid w:val="00821368"/>
    <w:rsid w:val="00821942"/>
    <w:rsid w:val="00821A6E"/>
    <w:rsid w:val="00821AF5"/>
    <w:rsid w:val="0082222B"/>
    <w:rsid w:val="0082289E"/>
    <w:rsid w:val="00822B46"/>
    <w:rsid w:val="00822F79"/>
    <w:rsid w:val="00823914"/>
    <w:rsid w:val="00823B5E"/>
    <w:rsid w:val="00824275"/>
    <w:rsid w:val="00824821"/>
    <w:rsid w:val="00824EDF"/>
    <w:rsid w:val="0082596B"/>
    <w:rsid w:val="0082611F"/>
    <w:rsid w:val="00826725"/>
    <w:rsid w:val="00826BCA"/>
    <w:rsid w:val="00826F33"/>
    <w:rsid w:val="0082710E"/>
    <w:rsid w:val="0082745E"/>
    <w:rsid w:val="008275A2"/>
    <w:rsid w:val="0082767A"/>
    <w:rsid w:val="00827A24"/>
    <w:rsid w:val="00827B8F"/>
    <w:rsid w:val="00827CA2"/>
    <w:rsid w:val="008300B5"/>
    <w:rsid w:val="008302C6"/>
    <w:rsid w:val="00830D24"/>
    <w:rsid w:val="008310FF"/>
    <w:rsid w:val="008318F6"/>
    <w:rsid w:val="00831DB1"/>
    <w:rsid w:val="00833A79"/>
    <w:rsid w:val="00833D28"/>
    <w:rsid w:val="00833F83"/>
    <w:rsid w:val="0083401B"/>
    <w:rsid w:val="00834347"/>
    <w:rsid w:val="0083494C"/>
    <w:rsid w:val="00834CAB"/>
    <w:rsid w:val="00834D3F"/>
    <w:rsid w:val="00835644"/>
    <w:rsid w:val="00835991"/>
    <w:rsid w:val="00835C19"/>
    <w:rsid w:val="00835F4E"/>
    <w:rsid w:val="0083619C"/>
    <w:rsid w:val="008361FF"/>
    <w:rsid w:val="00836C8A"/>
    <w:rsid w:val="0083716E"/>
    <w:rsid w:val="008374C7"/>
    <w:rsid w:val="008376A1"/>
    <w:rsid w:val="0084002C"/>
    <w:rsid w:val="00840168"/>
    <w:rsid w:val="0084090F"/>
    <w:rsid w:val="00840EFE"/>
    <w:rsid w:val="008413BE"/>
    <w:rsid w:val="00841407"/>
    <w:rsid w:val="0084147D"/>
    <w:rsid w:val="008414B6"/>
    <w:rsid w:val="008414B8"/>
    <w:rsid w:val="0084163B"/>
    <w:rsid w:val="00841D20"/>
    <w:rsid w:val="00842158"/>
    <w:rsid w:val="0084231B"/>
    <w:rsid w:val="0084237F"/>
    <w:rsid w:val="008429DA"/>
    <w:rsid w:val="00842BC8"/>
    <w:rsid w:val="00842CB1"/>
    <w:rsid w:val="008435BE"/>
    <w:rsid w:val="00844086"/>
    <w:rsid w:val="008442A0"/>
    <w:rsid w:val="00844B8D"/>
    <w:rsid w:val="00844D6D"/>
    <w:rsid w:val="00844EA2"/>
    <w:rsid w:val="00844ECA"/>
    <w:rsid w:val="008450DC"/>
    <w:rsid w:val="008450F4"/>
    <w:rsid w:val="00845507"/>
    <w:rsid w:val="00845923"/>
    <w:rsid w:val="00845A1D"/>
    <w:rsid w:val="00845A3F"/>
    <w:rsid w:val="008463DA"/>
    <w:rsid w:val="00846C25"/>
    <w:rsid w:val="00847155"/>
    <w:rsid w:val="008472BB"/>
    <w:rsid w:val="008474E7"/>
    <w:rsid w:val="0084766A"/>
    <w:rsid w:val="00847812"/>
    <w:rsid w:val="008502B8"/>
    <w:rsid w:val="00850CB5"/>
    <w:rsid w:val="008511F6"/>
    <w:rsid w:val="00851447"/>
    <w:rsid w:val="008514CE"/>
    <w:rsid w:val="00851F96"/>
    <w:rsid w:val="0085234C"/>
    <w:rsid w:val="008523E7"/>
    <w:rsid w:val="00852631"/>
    <w:rsid w:val="008527D6"/>
    <w:rsid w:val="008529CB"/>
    <w:rsid w:val="008532B9"/>
    <w:rsid w:val="00853497"/>
    <w:rsid w:val="00853773"/>
    <w:rsid w:val="00853BD0"/>
    <w:rsid w:val="00853D98"/>
    <w:rsid w:val="00853F57"/>
    <w:rsid w:val="00854427"/>
    <w:rsid w:val="00854805"/>
    <w:rsid w:val="008549C4"/>
    <w:rsid w:val="00854FA3"/>
    <w:rsid w:val="00854FCB"/>
    <w:rsid w:val="00855034"/>
    <w:rsid w:val="008556BB"/>
    <w:rsid w:val="00855A58"/>
    <w:rsid w:val="00855CED"/>
    <w:rsid w:val="00855DF7"/>
    <w:rsid w:val="00855EF1"/>
    <w:rsid w:val="008560AB"/>
    <w:rsid w:val="00856337"/>
    <w:rsid w:val="0085637A"/>
    <w:rsid w:val="008563CA"/>
    <w:rsid w:val="008566A3"/>
    <w:rsid w:val="0085698F"/>
    <w:rsid w:val="00856B82"/>
    <w:rsid w:val="00856CC7"/>
    <w:rsid w:val="0085749D"/>
    <w:rsid w:val="008578F3"/>
    <w:rsid w:val="00857D2E"/>
    <w:rsid w:val="00860ACD"/>
    <w:rsid w:val="00860F3A"/>
    <w:rsid w:val="00861474"/>
    <w:rsid w:val="00861662"/>
    <w:rsid w:val="00861931"/>
    <w:rsid w:val="00862019"/>
    <w:rsid w:val="00862299"/>
    <w:rsid w:val="0086245C"/>
    <w:rsid w:val="0086261B"/>
    <w:rsid w:val="00862C7E"/>
    <w:rsid w:val="008632A9"/>
    <w:rsid w:val="00863595"/>
    <w:rsid w:val="008635B8"/>
    <w:rsid w:val="00863D7A"/>
    <w:rsid w:val="00863FC8"/>
    <w:rsid w:val="008640AB"/>
    <w:rsid w:val="00864656"/>
    <w:rsid w:val="008646B9"/>
    <w:rsid w:val="00864BBD"/>
    <w:rsid w:val="0086509B"/>
    <w:rsid w:val="00865474"/>
    <w:rsid w:val="0086563A"/>
    <w:rsid w:val="00865ADB"/>
    <w:rsid w:val="00865C9C"/>
    <w:rsid w:val="0086631D"/>
    <w:rsid w:val="00866654"/>
    <w:rsid w:val="0086692D"/>
    <w:rsid w:val="008669C1"/>
    <w:rsid w:val="00867307"/>
    <w:rsid w:val="0086756F"/>
    <w:rsid w:val="008676CB"/>
    <w:rsid w:val="008676F8"/>
    <w:rsid w:val="00867898"/>
    <w:rsid w:val="00867DFC"/>
    <w:rsid w:val="008701E2"/>
    <w:rsid w:val="008703CE"/>
    <w:rsid w:val="008704C2"/>
    <w:rsid w:val="00870903"/>
    <w:rsid w:val="0087096C"/>
    <w:rsid w:val="00870D33"/>
    <w:rsid w:val="008718BD"/>
    <w:rsid w:val="00871A3D"/>
    <w:rsid w:val="008725F0"/>
    <w:rsid w:val="008729B8"/>
    <w:rsid w:val="00872B1D"/>
    <w:rsid w:val="00872EB7"/>
    <w:rsid w:val="0087303F"/>
    <w:rsid w:val="008740F0"/>
    <w:rsid w:val="008743B1"/>
    <w:rsid w:val="00874949"/>
    <w:rsid w:val="00874C06"/>
    <w:rsid w:val="00874D91"/>
    <w:rsid w:val="00874E67"/>
    <w:rsid w:val="00874EC1"/>
    <w:rsid w:val="008754BF"/>
    <w:rsid w:val="00875862"/>
    <w:rsid w:val="00875B55"/>
    <w:rsid w:val="00875C0C"/>
    <w:rsid w:val="00875E07"/>
    <w:rsid w:val="00876334"/>
    <w:rsid w:val="008765D8"/>
    <w:rsid w:val="00876657"/>
    <w:rsid w:val="00876707"/>
    <w:rsid w:val="00877432"/>
    <w:rsid w:val="008779CE"/>
    <w:rsid w:val="00877E95"/>
    <w:rsid w:val="00880623"/>
    <w:rsid w:val="00880760"/>
    <w:rsid w:val="0088087E"/>
    <w:rsid w:val="00880D4C"/>
    <w:rsid w:val="008815A5"/>
    <w:rsid w:val="00881EB9"/>
    <w:rsid w:val="0088202A"/>
    <w:rsid w:val="008826F0"/>
    <w:rsid w:val="00883592"/>
    <w:rsid w:val="008835E2"/>
    <w:rsid w:val="008839CF"/>
    <w:rsid w:val="0088401C"/>
    <w:rsid w:val="0088405E"/>
    <w:rsid w:val="00884704"/>
    <w:rsid w:val="00884BDB"/>
    <w:rsid w:val="00884F3A"/>
    <w:rsid w:val="00885089"/>
    <w:rsid w:val="008851BA"/>
    <w:rsid w:val="00885211"/>
    <w:rsid w:val="00885351"/>
    <w:rsid w:val="0088544C"/>
    <w:rsid w:val="008854FD"/>
    <w:rsid w:val="00885AFC"/>
    <w:rsid w:val="00886096"/>
    <w:rsid w:val="008860ED"/>
    <w:rsid w:val="008863C4"/>
    <w:rsid w:val="00886748"/>
    <w:rsid w:val="00886A82"/>
    <w:rsid w:val="00886EAC"/>
    <w:rsid w:val="008873FE"/>
    <w:rsid w:val="008874C8"/>
    <w:rsid w:val="008874CD"/>
    <w:rsid w:val="00887F3A"/>
    <w:rsid w:val="008900F6"/>
    <w:rsid w:val="00890162"/>
    <w:rsid w:val="008901AE"/>
    <w:rsid w:val="008907F2"/>
    <w:rsid w:val="0089103D"/>
    <w:rsid w:val="00891440"/>
    <w:rsid w:val="008915BB"/>
    <w:rsid w:val="0089176B"/>
    <w:rsid w:val="0089180D"/>
    <w:rsid w:val="008918CE"/>
    <w:rsid w:val="008919D4"/>
    <w:rsid w:val="00891A90"/>
    <w:rsid w:val="0089211F"/>
    <w:rsid w:val="008923D7"/>
    <w:rsid w:val="00892512"/>
    <w:rsid w:val="00892732"/>
    <w:rsid w:val="008928A1"/>
    <w:rsid w:val="00892D68"/>
    <w:rsid w:val="008930C9"/>
    <w:rsid w:val="008930D0"/>
    <w:rsid w:val="008930DF"/>
    <w:rsid w:val="008931D7"/>
    <w:rsid w:val="008935F6"/>
    <w:rsid w:val="00893C7E"/>
    <w:rsid w:val="00893DC8"/>
    <w:rsid w:val="00893EC0"/>
    <w:rsid w:val="0089416D"/>
    <w:rsid w:val="008948C9"/>
    <w:rsid w:val="00894A7B"/>
    <w:rsid w:val="00894E05"/>
    <w:rsid w:val="00895044"/>
    <w:rsid w:val="00895779"/>
    <w:rsid w:val="008957C3"/>
    <w:rsid w:val="0089671B"/>
    <w:rsid w:val="00896838"/>
    <w:rsid w:val="00897288"/>
    <w:rsid w:val="0089734B"/>
    <w:rsid w:val="00897B27"/>
    <w:rsid w:val="008A04CF"/>
    <w:rsid w:val="008A0D3A"/>
    <w:rsid w:val="008A1048"/>
    <w:rsid w:val="008A11A9"/>
    <w:rsid w:val="008A12E2"/>
    <w:rsid w:val="008A15EA"/>
    <w:rsid w:val="008A16C5"/>
    <w:rsid w:val="008A1867"/>
    <w:rsid w:val="008A1E4F"/>
    <w:rsid w:val="008A1F35"/>
    <w:rsid w:val="008A231E"/>
    <w:rsid w:val="008A2AF7"/>
    <w:rsid w:val="008A2F9F"/>
    <w:rsid w:val="008A32C3"/>
    <w:rsid w:val="008A3482"/>
    <w:rsid w:val="008A367C"/>
    <w:rsid w:val="008A37A8"/>
    <w:rsid w:val="008A37EF"/>
    <w:rsid w:val="008A41E9"/>
    <w:rsid w:val="008A5089"/>
    <w:rsid w:val="008A520F"/>
    <w:rsid w:val="008A523F"/>
    <w:rsid w:val="008A53B1"/>
    <w:rsid w:val="008A6006"/>
    <w:rsid w:val="008A61AB"/>
    <w:rsid w:val="008A6304"/>
    <w:rsid w:val="008A631F"/>
    <w:rsid w:val="008A7264"/>
    <w:rsid w:val="008A7917"/>
    <w:rsid w:val="008A7B9F"/>
    <w:rsid w:val="008B04D9"/>
    <w:rsid w:val="008B062D"/>
    <w:rsid w:val="008B09B8"/>
    <w:rsid w:val="008B1E2D"/>
    <w:rsid w:val="008B1F56"/>
    <w:rsid w:val="008B1FB2"/>
    <w:rsid w:val="008B2009"/>
    <w:rsid w:val="008B2293"/>
    <w:rsid w:val="008B2346"/>
    <w:rsid w:val="008B2FAC"/>
    <w:rsid w:val="008B336D"/>
    <w:rsid w:val="008B3512"/>
    <w:rsid w:val="008B378B"/>
    <w:rsid w:val="008B3B64"/>
    <w:rsid w:val="008B3C92"/>
    <w:rsid w:val="008B410C"/>
    <w:rsid w:val="008B4D44"/>
    <w:rsid w:val="008B54DA"/>
    <w:rsid w:val="008B551E"/>
    <w:rsid w:val="008B565C"/>
    <w:rsid w:val="008B6016"/>
    <w:rsid w:val="008B6357"/>
    <w:rsid w:val="008B6910"/>
    <w:rsid w:val="008B6A7D"/>
    <w:rsid w:val="008B6DCF"/>
    <w:rsid w:val="008B6E78"/>
    <w:rsid w:val="008B74D0"/>
    <w:rsid w:val="008B75C4"/>
    <w:rsid w:val="008B7703"/>
    <w:rsid w:val="008C0832"/>
    <w:rsid w:val="008C0958"/>
    <w:rsid w:val="008C0E93"/>
    <w:rsid w:val="008C0EFA"/>
    <w:rsid w:val="008C1128"/>
    <w:rsid w:val="008C190B"/>
    <w:rsid w:val="008C19E3"/>
    <w:rsid w:val="008C1BBF"/>
    <w:rsid w:val="008C1C07"/>
    <w:rsid w:val="008C1CAC"/>
    <w:rsid w:val="008C1F74"/>
    <w:rsid w:val="008C3516"/>
    <w:rsid w:val="008C36A2"/>
    <w:rsid w:val="008C40EC"/>
    <w:rsid w:val="008C43D9"/>
    <w:rsid w:val="008C47EA"/>
    <w:rsid w:val="008C48C4"/>
    <w:rsid w:val="008C4B8C"/>
    <w:rsid w:val="008C4D0F"/>
    <w:rsid w:val="008C4D35"/>
    <w:rsid w:val="008C5352"/>
    <w:rsid w:val="008C5DDD"/>
    <w:rsid w:val="008C6017"/>
    <w:rsid w:val="008C65E4"/>
    <w:rsid w:val="008C668B"/>
    <w:rsid w:val="008C66FC"/>
    <w:rsid w:val="008C6A23"/>
    <w:rsid w:val="008C6AE2"/>
    <w:rsid w:val="008C7D2B"/>
    <w:rsid w:val="008D06BB"/>
    <w:rsid w:val="008D113E"/>
    <w:rsid w:val="008D1530"/>
    <w:rsid w:val="008D1817"/>
    <w:rsid w:val="008D1A62"/>
    <w:rsid w:val="008D1B1E"/>
    <w:rsid w:val="008D2288"/>
    <w:rsid w:val="008D255B"/>
    <w:rsid w:val="008D26E1"/>
    <w:rsid w:val="008D2A23"/>
    <w:rsid w:val="008D2C08"/>
    <w:rsid w:val="008D2DB6"/>
    <w:rsid w:val="008D32A4"/>
    <w:rsid w:val="008D32AF"/>
    <w:rsid w:val="008D3895"/>
    <w:rsid w:val="008D3AB2"/>
    <w:rsid w:val="008D3D3F"/>
    <w:rsid w:val="008D3E12"/>
    <w:rsid w:val="008D3E37"/>
    <w:rsid w:val="008D44C1"/>
    <w:rsid w:val="008D4512"/>
    <w:rsid w:val="008D50CD"/>
    <w:rsid w:val="008D5170"/>
    <w:rsid w:val="008D54EE"/>
    <w:rsid w:val="008D5832"/>
    <w:rsid w:val="008D6442"/>
    <w:rsid w:val="008D6ECE"/>
    <w:rsid w:val="008D70F6"/>
    <w:rsid w:val="008D7522"/>
    <w:rsid w:val="008D770E"/>
    <w:rsid w:val="008D7B56"/>
    <w:rsid w:val="008D7BE3"/>
    <w:rsid w:val="008D7F8C"/>
    <w:rsid w:val="008D7FBB"/>
    <w:rsid w:val="008E0193"/>
    <w:rsid w:val="008E0284"/>
    <w:rsid w:val="008E0328"/>
    <w:rsid w:val="008E042C"/>
    <w:rsid w:val="008E05BF"/>
    <w:rsid w:val="008E0AFA"/>
    <w:rsid w:val="008E0B1E"/>
    <w:rsid w:val="008E0C59"/>
    <w:rsid w:val="008E0E7C"/>
    <w:rsid w:val="008E0E96"/>
    <w:rsid w:val="008E12A6"/>
    <w:rsid w:val="008E1487"/>
    <w:rsid w:val="008E1D7D"/>
    <w:rsid w:val="008E1EA2"/>
    <w:rsid w:val="008E21E7"/>
    <w:rsid w:val="008E2366"/>
    <w:rsid w:val="008E2635"/>
    <w:rsid w:val="008E29A9"/>
    <w:rsid w:val="008E2A09"/>
    <w:rsid w:val="008E2A32"/>
    <w:rsid w:val="008E2D00"/>
    <w:rsid w:val="008E2F73"/>
    <w:rsid w:val="008E2F76"/>
    <w:rsid w:val="008E3312"/>
    <w:rsid w:val="008E36E7"/>
    <w:rsid w:val="008E37A7"/>
    <w:rsid w:val="008E37AC"/>
    <w:rsid w:val="008E37F2"/>
    <w:rsid w:val="008E38F3"/>
    <w:rsid w:val="008E3BAE"/>
    <w:rsid w:val="008E3F65"/>
    <w:rsid w:val="008E3FD2"/>
    <w:rsid w:val="008E4744"/>
    <w:rsid w:val="008E47B4"/>
    <w:rsid w:val="008E4C0D"/>
    <w:rsid w:val="008E5462"/>
    <w:rsid w:val="008E55F3"/>
    <w:rsid w:val="008E577E"/>
    <w:rsid w:val="008E59AF"/>
    <w:rsid w:val="008E5A9A"/>
    <w:rsid w:val="008E5C14"/>
    <w:rsid w:val="008E5DF3"/>
    <w:rsid w:val="008E666C"/>
    <w:rsid w:val="008E66BD"/>
    <w:rsid w:val="008E6E4D"/>
    <w:rsid w:val="008E6E57"/>
    <w:rsid w:val="008E7074"/>
    <w:rsid w:val="008E718C"/>
    <w:rsid w:val="008E772A"/>
    <w:rsid w:val="008E7B17"/>
    <w:rsid w:val="008E7D6D"/>
    <w:rsid w:val="008E7DC6"/>
    <w:rsid w:val="008F0039"/>
    <w:rsid w:val="008F0199"/>
    <w:rsid w:val="008F05DF"/>
    <w:rsid w:val="008F06ED"/>
    <w:rsid w:val="008F0885"/>
    <w:rsid w:val="008F0B97"/>
    <w:rsid w:val="008F0EF9"/>
    <w:rsid w:val="008F0FB2"/>
    <w:rsid w:val="008F0FD1"/>
    <w:rsid w:val="008F1042"/>
    <w:rsid w:val="008F17C1"/>
    <w:rsid w:val="008F197D"/>
    <w:rsid w:val="008F1AF7"/>
    <w:rsid w:val="008F1C50"/>
    <w:rsid w:val="008F1DE8"/>
    <w:rsid w:val="008F22DF"/>
    <w:rsid w:val="008F262F"/>
    <w:rsid w:val="008F293C"/>
    <w:rsid w:val="008F2D66"/>
    <w:rsid w:val="008F2FD7"/>
    <w:rsid w:val="008F2FEB"/>
    <w:rsid w:val="008F3081"/>
    <w:rsid w:val="008F312A"/>
    <w:rsid w:val="008F33C7"/>
    <w:rsid w:val="008F3551"/>
    <w:rsid w:val="008F37B2"/>
    <w:rsid w:val="008F3912"/>
    <w:rsid w:val="008F3AFE"/>
    <w:rsid w:val="008F3C39"/>
    <w:rsid w:val="008F3CB4"/>
    <w:rsid w:val="008F3CBF"/>
    <w:rsid w:val="008F43DE"/>
    <w:rsid w:val="008F4562"/>
    <w:rsid w:val="008F457A"/>
    <w:rsid w:val="008F47F6"/>
    <w:rsid w:val="008F48CB"/>
    <w:rsid w:val="008F4C39"/>
    <w:rsid w:val="008F4D30"/>
    <w:rsid w:val="008F53F7"/>
    <w:rsid w:val="008F5563"/>
    <w:rsid w:val="008F5D34"/>
    <w:rsid w:val="008F5D3D"/>
    <w:rsid w:val="008F67CA"/>
    <w:rsid w:val="008F6AD0"/>
    <w:rsid w:val="008F6B2F"/>
    <w:rsid w:val="008F6FE8"/>
    <w:rsid w:val="008F7108"/>
    <w:rsid w:val="008F73EA"/>
    <w:rsid w:val="009000A8"/>
    <w:rsid w:val="00900537"/>
    <w:rsid w:val="009008D1"/>
    <w:rsid w:val="00900D98"/>
    <w:rsid w:val="009012FC"/>
    <w:rsid w:val="009014AC"/>
    <w:rsid w:val="009018BD"/>
    <w:rsid w:val="00901B96"/>
    <w:rsid w:val="009024C3"/>
    <w:rsid w:val="00902A00"/>
    <w:rsid w:val="00902DE0"/>
    <w:rsid w:val="0090344A"/>
    <w:rsid w:val="00903981"/>
    <w:rsid w:val="00903A0A"/>
    <w:rsid w:val="0090411A"/>
    <w:rsid w:val="00904499"/>
    <w:rsid w:val="0090478E"/>
    <w:rsid w:val="00904956"/>
    <w:rsid w:val="00904A2E"/>
    <w:rsid w:val="00904C84"/>
    <w:rsid w:val="009051BF"/>
    <w:rsid w:val="009052EC"/>
    <w:rsid w:val="00905ECE"/>
    <w:rsid w:val="0090611B"/>
    <w:rsid w:val="009063FC"/>
    <w:rsid w:val="009065CA"/>
    <w:rsid w:val="00906BB2"/>
    <w:rsid w:val="00906EA0"/>
    <w:rsid w:val="00907297"/>
    <w:rsid w:val="0090745C"/>
    <w:rsid w:val="00907803"/>
    <w:rsid w:val="009078E1"/>
    <w:rsid w:val="00907B7A"/>
    <w:rsid w:val="00907CA3"/>
    <w:rsid w:val="00907D62"/>
    <w:rsid w:val="00907DC6"/>
    <w:rsid w:val="00910205"/>
    <w:rsid w:val="00910986"/>
    <w:rsid w:val="009111BD"/>
    <w:rsid w:val="009118A1"/>
    <w:rsid w:val="00911CB7"/>
    <w:rsid w:val="00911D99"/>
    <w:rsid w:val="00912352"/>
    <w:rsid w:val="0091265A"/>
    <w:rsid w:val="00912BF4"/>
    <w:rsid w:val="00912FC7"/>
    <w:rsid w:val="009131A9"/>
    <w:rsid w:val="009131F9"/>
    <w:rsid w:val="00913672"/>
    <w:rsid w:val="009138EE"/>
    <w:rsid w:val="00913B21"/>
    <w:rsid w:val="00913DE1"/>
    <w:rsid w:val="00913E91"/>
    <w:rsid w:val="009162C9"/>
    <w:rsid w:val="00916539"/>
    <w:rsid w:val="00916ED4"/>
    <w:rsid w:val="0091718E"/>
    <w:rsid w:val="009171B9"/>
    <w:rsid w:val="009171D2"/>
    <w:rsid w:val="00917558"/>
    <w:rsid w:val="009176DB"/>
    <w:rsid w:val="009178A3"/>
    <w:rsid w:val="009178AC"/>
    <w:rsid w:val="00917981"/>
    <w:rsid w:val="00917AE2"/>
    <w:rsid w:val="0092052D"/>
    <w:rsid w:val="00920A89"/>
    <w:rsid w:val="009217A3"/>
    <w:rsid w:val="00921B76"/>
    <w:rsid w:val="00921E49"/>
    <w:rsid w:val="00922042"/>
    <w:rsid w:val="0092224E"/>
    <w:rsid w:val="00922455"/>
    <w:rsid w:val="00922663"/>
    <w:rsid w:val="00922731"/>
    <w:rsid w:val="00922BB4"/>
    <w:rsid w:val="00922E1B"/>
    <w:rsid w:val="00922F56"/>
    <w:rsid w:val="00923A14"/>
    <w:rsid w:val="00923AD3"/>
    <w:rsid w:val="00923BE2"/>
    <w:rsid w:val="00923D93"/>
    <w:rsid w:val="0092425E"/>
    <w:rsid w:val="0092488D"/>
    <w:rsid w:val="00925734"/>
    <w:rsid w:val="00925858"/>
    <w:rsid w:val="00925EA1"/>
    <w:rsid w:val="009260AB"/>
    <w:rsid w:val="00926257"/>
    <w:rsid w:val="009267B4"/>
    <w:rsid w:val="009276C5"/>
    <w:rsid w:val="009278A4"/>
    <w:rsid w:val="009278A8"/>
    <w:rsid w:val="00927D5D"/>
    <w:rsid w:val="00927F72"/>
    <w:rsid w:val="00930C65"/>
    <w:rsid w:val="00930F5D"/>
    <w:rsid w:val="009318E6"/>
    <w:rsid w:val="009319BD"/>
    <w:rsid w:val="00931CC5"/>
    <w:rsid w:val="00931D2D"/>
    <w:rsid w:val="00931D38"/>
    <w:rsid w:val="00931D5C"/>
    <w:rsid w:val="00931E8C"/>
    <w:rsid w:val="00932655"/>
    <w:rsid w:val="009326B6"/>
    <w:rsid w:val="00932882"/>
    <w:rsid w:val="0093289E"/>
    <w:rsid w:val="00932DAB"/>
    <w:rsid w:val="00932FF1"/>
    <w:rsid w:val="0093402F"/>
    <w:rsid w:val="009342A8"/>
    <w:rsid w:val="00934331"/>
    <w:rsid w:val="0093452D"/>
    <w:rsid w:val="0093495A"/>
    <w:rsid w:val="00934A2C"/>
    <w:rsid w:val="00934C37"/>
    <w:rsid w:val="00934C77"/>
    <w:rsid w:val="00935179"/>
    <w:rsid w:val="0093536D"/>
    <w:rsid w:val="00935C48"/>
    <w:rsid w:val="00935CEA"/>
    <w:rsid w:val="00935E34"/>
    <w:rsid w:val="00935EE6"/>
    <w:rsid w:val="00935FF8"/>
    <w:rsid w:val="00936269"/>
    <w:rsid w:val="0093684A"/>
    <w:rsid w:val="00936E29"/>
    <w:rsid w:val="00937261"/>
    <w:rsid w:val="0093728B"/>
    <w:rsid w:val="00937421"/>
    <w:rsid w:val="009377A3"/>
    <w:rsid w:val="00937EEB"/>
    <w:rsid w:val="00937F85"/>
    <w:rsid w:val="00940721"/>
    <w:rsid w:val="00940B86"/>
    <w:rsid w:val="00941690"/>
    <w:rsid w:val="0094192E"/>
    <w:rsid w:val="0094197E"/>
    <w:rsid w:val="00941B65"/>
    <w:rsid w:val="00942847"/>
    <w:rsid w:val="0094297A"/>
    <w:rsid w:val="00942B95"/>
    <w:rsid w:val="0094353C"/>
    <w:rsid w:val="00943583"/>
    <w:rsid w:val="009449BF"/>
    <w:rsid w:val="00944D17"/>
    <w:rsid w:val="009451C1"/>
    <w:rsid w:val="00945A52"/>
    <w:rsid w:val="00945F1D"/>
    <w:rsid w:val="009460CC"/>
    <w:rsid w:val="0094614E"/>
    <w:rsid w:val="00946411"/>
    <w:rsid w:val="009468A5"/>
    <w:rsid w:val="00946D79"/>
    <w:rsid w:val="009471A1"/>
    <w:rsid w:val="009472B0"/>
    <w:rsid w:val="00947DED"/>
    <w:rsid w:val="00950195"/>
    <w:rsid w:val="009502BF"/>
    <w:rsid w:val="00950530"/>
    <w:rsid w:val="0095084B"/>
    <w:rsid w:val="00950920"/>
    <w:rsid w:val="00950B5B"/>
    <w:rsid w:val="00950CC9"/>
    <w:rsid w:val="00950CCF"/>
    <w:rsid w:val="00951449"/>
    <w:rsid w:val="0095182D"/>
    <w:rsid w:val="00951C32"/>
    <w:rsid w:val="00951C94"/>
    <w:rsid w:val="00951CF8"/>
    <w:rsid w:val="00951E3F"/>
    <w:rsid w:val="009521C3"/>
    <w:rsid w:val="00952220"/>
    <w:rsid w:val="00952470"/>
    <w:rsid w:val="009524A3"/>
    <w:rsid w:val="009524DA"/>
    <w:rsid w:val="009528E0"/>
    <w:rsid w:val="00952C56"/>
    <w:rsid w:val="00952FF0"/>
    <w:rsid w:val="0095334A"/>
    <w:rsid w:val="0095340E"/>
    <w:rsid w:val="009538C4"/>
    <w:rsid w:val="00953C07"/>
    <w:rsid w:val="00953D49"/>
    <w:rsid w:val="009542E7"/>
    <w:rsid w:val="0095458A"/>
    <w:rsid w:val="009547AA"/>
    <w:rsid w:val="00954C7F"/>
    <w:rsid w:val="00954CA9"/>
    <w:rsid w:val="00954E0A"/>
    <w:rsid w:val="0095516E"/>
    <w:rsid w:val="00955727"/>
    <w:rsid w:val="00955AE9"/>
    <w:rsid w:val="00956232"/>
    <w:rsid w:val="0095675F"/>
    <w:rsid w:val="00956839"/>
    <w:rsid w:val="009568AB"/>
    <w:rsid w:val="009573C0"/>
    <w:rsid w:val="0095771E"/>
    <w:rsid w:val="00957967"/>
    <w:rsid w:val="00957972"/>
    <w:rsid w:val="00957B72"/>
    <w:rsid w:val="00957BAB"/>
    <w:rsid w:val="00957F33"/>
    <w:rsid w:val="0096082B"/>
    <w:rsid w:val="00960F8C"/>
    <w:rsid w:val="00961689"/>
    <w:rsid w:val="0096178D"/>
    <w:rsid w:val="00961956"/>
    <w:rsid w:val="00961D90"/>
    <w:rsid w:val="00961EFB"/>
    <w:rsid w:val="00961F2F"/>
    <w:rsid w:val="00962756"/>
    <w:rsid w:val="0096288E"/>
    <w:rsid w:val="00962896"/>
    <w:rsid w:val="0096315D"/>
    <w:rsid w:val="0096327A"/>
    <w:rsid w:val="009632A5"/>
    <w:rsid w:val="009633ED"/>
    <w:rsid w:val="0096380E"/>
    <w:rsid w:val="00963C45"/>
    <w:rsid w:val="00963CAB"/>
    <w:rsid w:val="00963D25"/>
    <w:rsid w:val="00963E54"/>
    <w:rsid w:val="0096444D"/>
    <w:rsid w:val="0096453E"/>
    <w:rsid w:val="00964561"/>
    <w:rsid w:val="00964A71"/>
    <w:rsid w:val="00964F05"/>
    <w:rsid w:val="00965254"/>
    <w:rsid w:val="009652A8"/>
    <w:rsid w:val="0096549D"/>
    <w:rsid w:val="00965B31"/>
    <w:rsid w:val="00965C60"/>
    <w:rsid w:val="00965F0B"/>
    <w:rsid w:val="0096601C"/>
    <w:rsid w:val="009661A0"/>
    <w:rsid w:val="00966549"/>
    <w:rsid w:val="0096675E"/>
    <w:rsid w:val="0096694E"/>
    <w:rsid w:val="009669B0"/>
    <w:rsid w:val="00966BC0"/>
    <w:rsid w:val="009671EB"/>
    <w:rsid w:val="0096740A"/>
    <w:rsid w:val="009675A2"/>
    <w:rsid w:val="0096775B"/>
    <w:rsid w:val="009679FE"/>
    <w:rsid w:val="00967A36"/>
    <w:rsid w:val="00967C95"/>
    <w:rsid w:val="00967F03"/>
    <w:rsid w:val="0097031F"/>
    <w:rsid w:val="00970848"/>
    <w:rsid w:val="009709DA"/>
    <w:rsid w:val="00970CB0"/>
    <w:rsid w:val="00970CDE"/>
    <w:rsid w:val="00971257"/>
    <w:rsid w:val="009712E2"/>
    <w:rsid w:val="0097134C"/>
    <w:rsid w:val="009719BD"/>
    <w:rsid w:val="00971BB0"/>
    <w:rsid w:val="00971FEF"/>
    <w:rsid w:val="00972210"/>
    <w:rsid w:val="009725F7"/>
    <w:rsid w:val="00972C37"/>
    <w:rsid w:val="00972E99"/>
    <w:rsid w:val="00972F6B"/>
    <w:rsid w:val="009732FA"/>
    <w:rsid w:val="00973B5F"/>
    <w:rsid w:val="0097430D"/>
    <w:rsid w:val="00974359"/>
    <w:rsid w:val="00974669"/>
    <w:rsid w:val="009748DE"/>
    <w:rsid w:val="009749E7"/>
    <w:rsid w:val="00974AC8"/>
    <w:rsid w:val="00974AEE"/>
    <w:rsid w:val="00974E94"/>
    <w:rsid w:val="009752C7"/>
    <w:rsid w:val="009754DF"/>
    <w:rsid w:val="00975AF9"/>
    <w:rsid w:val="00975BAC"/>
    <w:rsid w:val="00975C53"/>
    <w:rsid w:val="00975EA9"/>
    <w:rsid w:val="009762EF"/>
    <w:rsid w:val="00976460"/>
    <w:rsid w:val="00976846"/>
    <w:rsid w:val="00976EF1"/>
    <w:rsid w:val="00977150"/>
    <w:rsid w:val="009773E5"/>
    <w:rsid w:val="009774DA"/>
    <w:rsid w:val="009778ED"/>
    <w:rsid w:val="00977984"/>
    <w:rsid w:val="00977FD8"/>
    <w:rsid w:val="00980A26"/>
    <w:rsid w:val="00980EC3"/>
    <w:rsid w:val="0098135F"/>
    <w:rsid w:val="009817B0"/>
    <w:rsid w:val="00981EC2"/>
    <w:rsid w:val="00982850"/>
    <w:rsid w:val="00982CDF"/>
    <w:rsid w:val="00982D93"/>
    <w:rsid w:val="0098319B"/>
    <w:rsid w:val="00983DB5"/>
    <w:rsid w:val="00983E17"/>
    <w:rsid w:val="00983EDF"/>
    <w:rsid w:val="00983F31"/>
    <w:rsid w:val="00984462"/>
    <w:rsid w:val="009846F5"/>
    <w:rsid w:val="00984DFA"/>
    <w:rsid w:val="00984E36"/>
    <w:rsid w:val="00984FDB"/>
    <w:rsid w:val="0098509B"/>
    <w:rsid w:val="0098530F"/>
    <w:rsid w:val="0098570C"/>
    <w:rsid w:val="009857CB"/>
    <w:rsid w:val="00985BD8"/>
    <w:rsid w:val="00985CFF"/>
    <w:rsid w:val="00985D74"/>
    <w:rsid w:val="00985FC0"/>
    <w:rsid w:val="0098634A"/>
    <w:rsid w:val="00986B9B"/>
    <w:rsid w:val="00986DB6"/>
    <w:rsid w:val="00987256"/>
    <w:rsid w:val="0098742A"/>
    <w:rsid w:val="00987596"/>
    <w:rsid w:val="00987D38"/>
    <w:rsid w:val="00987F7A"/>
    <w:rsid w:val="00990BEA"/>
    <w:rsid w:val="00990EA5"/>
    <w:rsid w:val="00991363"/>
    <w:rsid w:val="0099159B"/>
    <w:rsid w:val="00991849"/>
    <w:rsid w:val="009919AF"/>
    <w:rsid w:val="00991BB3"/>
    <w:rsid w:val="00991E9B"/>
    <w:rsid w:val="00992175"/>
    <w:rsid w:val="00992A00"/>
    <w:rsid w:val="00992D10"/>
    <w:rsid w:val="00993B95"/>
    <w:rsid w:val="009945AF"/>
    <w:rsid w:val="00994E53"/>
    <w:rsid w:val="009950CB"/>
    <w:rsid w:val="009950F1"/>
    <w:rsid w:val="00995240"/>
    <w:rsid w:val="0099551E"/>
    <w:rsid w:val="00996803"/>
    <w:rsid w:val="00996C1E"/>
    <w:rsid w:val="00996C4A"/>
    <w:rsid w:val="00996CAA"/>
    <w:rsid w:val="00997060"/>
    <w:rsid w:val="009970EF"/>
    <w:rsid w:val="009971DB"/>
    <w:rsid w:val="009A05B0"/>
    <w:rsid w:val="009A09CC"/>
    <w:rsid w:val="009A1046"/>
    <w:rsid w:val="009A1382"/>
    <w:rsid w:val="009A20F9"/>
    <w:rsid w:val="009A21F6"/>
    <w:rsid w:val="009A235C"/>
    <w:rsid w:val="009A27D1"/>
    <w:rsid w:val="009A3044"/>
    <w:rsid w:val="009A32A3"/>
    <w:rsid w:val="009A33E1"/>
    <w:rsid w:val="009A3759"/>
    <w:rsid w:val="009A3B08"/>
    <w:rsid w:val="009A4702"/>
    <w:rsid w:val="009A4A3B"/>
    <w:rsid w:val="009A4AB7"/>
    <w:rsid w:val="009A514B"/>
    <w:rsid w:val="009A5471"/>
    <w:rsid w:val="009A5527"/>
    <w:rsid w:val="009A5613"/>
    <w:rsid w:val="009A58B7"/>
    <w:rsid w:val="009A58D6"/>
    <w:rsid w:val="009A593C"/>
    <w:rsid w:val="009A5BD7"/>
    <w:rsid w:val="009A5CD3"/>
    <w:rsid w:val="009A5DE0"/>
    <w:rsid w:val="009A6100"/>
    <w:rsid w:val="009A6985"/>
    <w:rsid w:val="009A6D47"/>
    <w:rsid w:val="009A741F"/>
    <w:rsid w:val="009A756B"/>
    <w:rsid w:val="009B0096"/>
    <w:rsid w:val="009B031D"/>
    <w:rsid w:val="009B0666"/>
    <w:rsid w:val="009B0BF8"/>
    <w:rsid w:val="009B104D"/>
    <w:rsid w:val="009B1D69"/>
    <w:rsid w:val="009B20BF"/>
    <w:rsid w:val="009B27CD"/>
    <w:rsid w:val="009B2912"/>
    <w:rsid w:val="009B31EA"/>
    <w:rsid w:val="009B358E"/>
    <w:rsid w:val="009B383F"/>
    <w:rsid w:val="009B3E3C"/>
    <w:rsid w:val="009B4157"/>
    <w:rsid w:val="009B440C"/>
    <w:rsid w:val="009B4519"/>
    <w:rsid w:val="009B45BE"/>
    <w:rsid w:val="009B4AD7"/>
    <w:rsid w:val="009B4C23"/>
    <w:rsid w:val="009B4E73"/>
    <w:rsid w:val="009B50D4"/>
    <w:rsid w:val="009B52A5"/>
    <w:rsid w:val="009B52B2"/>
    <w:rsid w:val="009B52BD"/>
    <w:rsid w:val="009B5340"/>
    <w:rsid w:val="009B561F"/>
    <w:rsid w:val="009B5DC8"/>
    <w:rsid w:val="009B607F"/>
    <w:rsid w:val="009B6320"/>
    <w:rsid w:val="009B636E"/>
    <w:rsid w:val="009B6669"/>
    <w:rsid w:val="009B673E"/>
    <w:rsid w:val="009B6D66"/>
    <w:rsid w:val="009B6DF4"/>
    <w:rsid w:val="009B7365"/>
    <w:rsid w:val="009B75A4"/>
    <w:rsid w:val="009B77A4"/>
    <w:rsid w:val="009B7BA1"/>
    <w:rsid w:val="009C0689"/>
    <w:rsid w:val="009C09F9"/>
    <w:rsid w:val="009C0BF7"/>
    <w:rsid w:val="009C0CBE"/>
    <w:rsid w:val="009C1A1C"/>
    <w:rsid w:val="009C29C7"/>
    <w:rsid w:val="009C2B8F"/>
    <w:rsid w:val="009C36B7"/>
    <w:rsid w:val="009C39CE"/>
    <w:rsid w:val="009C4127"/>
    <w:rsid w:val="009C4135"/>
    <w:rsid w:val="009C463D"/>
    <w:rsid w:val="009C4BCF"/>
    <w:rsid w:val="009C4C5A"/>
    <w:rsid w:val="009C4D62"/>
    <w:rsid w:val="009C52F2"/>
    <w:rsid w:val="009C5B55"/>
    <w:rsid w:val="009C5F40"/>
    <w:rsid w:val="009C63C6"/>
    <w:rsid w:val="009C680B"/>
    <w:rsid w:val="009C6BE3"/>
    <w:rsid w:val="009C72DB"/>
    <w:rsid w:val="009C72E4"/>
    <w:rsid w:val="009C74CB"/>
    <w:rsid w:val="009C750D"/>
    <w:rsid w:val="009C75DF"/>
    <w:rsid w:val="009C7997"/>
    <w:rsid w:val="009C7A80"/>
    <w:rsid w:val="009D0108"/>
    <w:rsid w:val="009D0A7D"/>
    <w:rsid w:val="009D0C70"/>
    <w:rsid w:val="009D0E96"/>
    <w:rsid w:val="009D1475"/>
    <w:rsid w:val="009D1627"/>
    <w:rsid w:val="009D1B2C"/>
    <w:rsid w:val="009D1D9E"/>
    <w:rsid w:val="009D27E0"/>
    <w:rsid w:val="009D29F5"/>
    <w:rsid w:val="009D3184"/>
    <w:rsid w:val="009D3212"/>
    <w:rsid w:val="009D3344"/>
    <w:rsid w:val="009D357F"/>
    <w:rsid w:val="009D3679"/>
    <w:rsid w:val="009D419D"/>
    <w:rsid w:val="009D42B0"/>
    <w:rsid w:val="009D44A2"/>
    <w:rsid w:val="009D4693"/>
    <w:rsid w:val="009D4736"/>
    <w:rsid w:val="009D47A7"/>
    <w:rsid w:val="009D497F"/>
    <w:rsid w:val="009D4A3B"/>
    <w:rsid w:val="009D5280"/>
    <w:rsid w:val="009D54DD"/>
    <w:rsid w:val="009D5520"/>
    <w:rsid w:val="009D562D"/>
    <w:rsid w:val="009D580E"/>
    <w:rsid w:val="009D6166"/>
    <w:rsid w:val="009D62FD"/>
    <w:rsid w:val="009D6450"/>
    <w:rsid w:val="009D6525"/>
    <w:rsid w:val="009D6589"/>
    <w:rsid w:val="009D67B3"/>
    <w:rsid w:val="009D6928"/>
    <w:rsid w:val="009D69DA"/>
    <w:rsid w:val="009D6E73"/>
    <w:rsid w:val="009D70A5"/>
    <w:rsid w:val="009D728E"/>
    <w:rsid w:val="009D74B4"/>
    <w:rsid w:val="009D78B6"/>
    <w:rsid w:val="009D7BDF"/>
    <w:rsid w:val="009E0147"/>
    <w:rsid w:val="009E0574"/>
    <w:rsid w:val="009E0A3B"/>
    <w:rsid w:val="009E0B2A"/>
    <w:rsid w:val="009E0F91"/>
    <w:rsid w:val="009E100F"/>
    <w:rsid w:val="009E1200"/>
    <w:rsid w:val="009E1CFF"/>
    <w:rsid w:val="009E1D8B"/>
    <w:rsid w:val="009E1E03"/>
    <w:rsid w:val="009E266D"/>
    <w:rsid w:val="009E291A"/>
    <w:rsid w:val="009E2B84"/>
    <w:rsid w:val="009E3385"/>
    <w:rsid w:val="009E3617"/>
    <w:rsid w:val="009E3BCA"/>
    <w:rsid w:val="009E3CE4"/>
    <w:rsid w:val="009E49DA"/>
    <w:rsid w:val="009E4B04"/>
    <w:rsid w:val="009E4B54"/>
    <w:rsid w:val="009E4C16"/>
    <w:rsid w:val="009E4E89"/>
    <w:rsid w:val="009E4F12"/>
    <w:rsid w:val="009E5132"/>
    <w:rsid w:val="009E543B"/>
    <w:rsid w:val="009E54FA"/>
    <w:rsid w:val="009E5867"/>
    <w:rsid w:val="009E58EE"/>
    <w:rsid w:val="009E5B31"/>
    <w:rsid w:val="009E61BF"/>
    <w:rsid w:val="009E687E"/>
    <w:rsid w:val="009E699D"/>
    <w:rsid w:val="009E6F14"/>
    <w:rsid w:val="009E6FFD"/>
    <w:rsid w:val="009E70B1"/>
    <w:rsid w:val="009E7D6C"/>
    <w:rsid w:val="009F0034"/>
    <w:rsid w:val="009F0196"/>
    <w:rsid w:val="009F02E1"/>
    <w:rsid w:val="009F0317"/>
    <w:rsid w:val="009F0E4D"/>
    <w:rsid w:val="009F0ED1"/>
    <w:rsid w:val="009F10A7"/>
    <w:rsid w:val="009F1248"/>
    <w:rsid w:val="009F1324"/>
    <w:rsid w:val="009F14E6"/>
    <w:rsid w:val="009F2131"/>
    <w:rsid w:val="009F23F1"/>
    <w:rsid w:val="009F2620"/>
    <w:rsid w:val="009F28B3"/>
    <w:rsid w:val="009F2A6B"/>
    <w:rsid w:val="009F2C68"/>
    <w:rsid w:val="009F319B"/>
    <w:rsid w:val="009F35EB"/>
    <w:rsid w:val="009F420F"/>
    <w:rsid w:val="009F4875"/>
    <w:rsid w:val="009F5479"/>
    <w:rsid w:val="009F5525"/>
    <w:rsid w:val="009F5737"/>
    <w:rsid w:val="009F5C0B"/>
    <w:rsid w:val="009F6C0E"/>
    <w:rsid w:val="009F6D94"/>
    <w:rsid w:val="009F6DCF"/>
    <w:rsid w:val="009F6EE6"/>
    <w:rsid w:val="009F78D0"/>
    <w:rsid w:val="009F7BDB"/>
    <w:rsid w:val="009F7F73"/>
    <w:rsid w:val="009F7FD8"/>
    <w:rsid w:val="00A000BC"/>
    <w:rsid w:val="00A001EF"/>
    <w:rsid w:val="00A003C6"/>
    <w:rsid w:val="00A00A3A"/>
    <w:rsid w:val="00A00DD7"/>
    <w:rsid w:val="00A00E46"/>
    <w:rsid w:val="00A0158E"/>
    <w:rsid w:val="00A01754"/>
    <w:rsid w:val="00A01CEB"/>
    <w:rsid w:val="00A01DCD"/>
    <w:rsid w:val="00A022CB"/>
    <w:rsid w:val="00A026CB"/>
    <w:rsid w:val="00A029EA"/>
    <w:rsid w:val="00A02AD8"/>
    <w:rsid w:val="00A02C01"/>
    <w:rsid w:val="00A03667"/>
    <w:rsid w:val="00A03751"/>
    <w:rsid w:val="00A03C21"/>
    <w:rsid w:val="00A03C52"/>
    <w:rsid w:val="00A0407D"/>
    <w:rsid w:val="00A04190"/>
    <w:rsid w:val="00A04460"/>
    <w:rsid w:val="00A049E8"/>
    <w:rsid w:val="00A05294"/>
    <w:rsid w:val="00A0544E"/>
    <w:rsid w:val="00A05689"/>
    <w:rsid w:val="00A05891"/>
    <w:rsid w:val="00A05956"/>
    <w:rsid w:val="00A05E8D"/>
    <w:rsid w:val="00A06480"/>
    <w:rsid w:val="00A064A7"/>
    <w:rsid w:val="00A06AE4"/>
    <w:rsid w:val="00A06C87"/>
    <w:rsid w:val="00A06F41"/>
    <w:rsid w:val="00A07090"/>
    <w:rsid w:val="00A071CC"/>
    <w:rsid w:val="00A0728B"/>
    <w:rsid w:val="00A072CA"/>
    <w:rsid w:val="00A07B2C"/>
    <w:rsid w:val="00A07BF7"/>
    <w:rsid w:val="00A07CEB"/>
    <w:rsid w:val="00A07DC9"/>
    <w:rsid w:val="00A1035A"/>
    <w:rsid w:val="00A10BA7"/>
    <w:rsid w:val="00A10BFD"/>
    <w:rsid w:val="00A10EDD"/>
    <w:rsid w:val="00A11948"/>
    <w:rsid w:val="00A11D9F"/>
    <w:rsid w:val="00A11EE2"/>
    <w:rsid w:val="00A12104"/>
    <w:rsid w:val="00A12577"/>
    <w:rsid w:val="00A1263F"/>
    <w:rsid w:val="00A127F7"/>
    <w:rsid w:val="00A12887"/>
    <w:rsid w:val="00A1289B"/>
    <w:rsid w:val="00A12C36"/>
    <w:rsid w:val="00A1309C"/>
    <w:rsid w:val="00A13380"/>
    <w:rsid w:val="00A13651"/>
    <w:rsid w:val="00A13D9B"/>
    <w:rsid w:val="00A13DE0"/>
    <w:rsid w:val="00A1447C"/>
    <w:rsid w:val="00A1473B"/>
    <w:rsid w:val="00A14B43"/>
    <w:rsid w:val="00A14B45"/>
    <w:rsid w:val="00A14B8C"/>
    <w:rsid w:val="00A14C3A"/>
    <w:rsid w:val="00A151AB"/>
    <w:rsid w:val="00A151B4"/>
    <w:rsid w:val="00A156A8"/>
    <w:rsid w:val="00A15779"/>
    <w:rsid w:val="00A1597A"/>
    <w:rsid w:val="00A15D4E"/>
    <w:rsid w:val="00A161C5"/>
    <w:rsid w:val="00A1623B"/>
    <w:rsid w:val="00A166B7"/>
    <w:rsid w:val="00A16A27"/>
    <w:rsid w:val="00A1723A"/>
    <w:rsid w:val="00A1726D"/>
    <w:rsid w:val="00A1758E"/>
    <w:rsid w:val="00A177B0"/>
    <w:rsid w:val="00A17929"/>
    <w:rsid w:val="00A17A67"/>
    <w:rsid w:val="00A17AF8"/>
    <w:rsid w:val="00A17E75"/>
    <w:rsid w:val="00A17FE3"/>
    <w:rsid w:val="00A20940"/>
    <w:rsid w:val="00A20981"/>
    <w:rsid w:val="00A20A0B"/>
    <w:rsid w:val="00A20A3D"/>
    <w:rsid w:val="00A20BC6"/>
    <w:rsid w:val="00A20E0B"/>
    <w:rsid w:val="00A21115"/>
    <w:rsid w:val="00A213CF"/>
    <w:rsid w:val="00A21492"/>
    <w:rsid w:val="00A2156F"/>
    <w:rsid w:val="00A219BC"/>
    <w:rsid w:val="00A21CC1"/>
    <w:rsid w:val="00A22386"/>
    <w:rsid w:val="00A22418"/>
    <w:rsid w:val="00A2285D"/>
    <w:rsid w:val="00A22957"/>
    <w:rsid w:val="00A22C9B"/>
    <w:rsid w:val="00A2353B"/>
    <w:rsid w:val="00A23B40"/>
    <w:rsid w:val="00A23E63"/>
    <w:rsid w:val="00A23F1A"/>
    <w:rsid w:val="00A24345"/>
    <w:rsid w:val="00A2455D"/>
    <w:rsid w:val="00A245E4"/>
    <w:rsid w:val="00A249B1"/>
    <w:rsid w:val="00A249D6"/>
    <w:rsid w:val="00A24E93"/>
    <w:rsid w:val="00A250A6"/>
    <w:rsid w:val="00A25354"/>
    <w:rsid w:val="00A253E5"/>
    <w:rsid w:val="00A25A47"/>
    <w:rsid w:val="00A260E3"/>
    <w:rsid w:val="00A26202"/>
    <w:rsid w:val="00A26244"/>
    <w:rsid w:val="00A2658F"/>
    <w:rsid w:val="00A26722"/>
    <w:rsid w:val="00A267EF"/>
    <w:rsid w:val="00A26D73"/>
    <w:rsid w:val="00A26D8C"/>
    <w:rsid w:val="00A27510"/>
    <w:rsid w:val="00A2770B"/>
    <w:rsid w:val="00A27793"/>
    <w:rsid w:val="00A27F22"/>
    <w:rsid w:val="00A3053F"/>
    <w:rsid w:val="00A30A11"/>
    <w:rsid w:val="00A31197"/>
    <w:rsid w:val="00A31764"/>
    <w:rsid w:val="00A3178A"/>
    <w:rsid w:val="00A31A3C"/>
    <w:rsid w:val="00A3220E"/>
    <w:rsid w:val="00A32705"/>
    <w:rsid w:val="00A32AD2"/>
    <w:rsid w:val="00A32C11"/>
    <w:rsid w:val="00A32D66"/>
    <w:rsid w:val="00A32F18"/>
    <w:rsid w:val="00A3306A"/>
    <w:rsid w:val="00A331AC"/>
    <w:rsid w:val="00A3332A"/>
    <w:rsid w:val="00A333FD"/>
    <w:rsid w:val="00A33976"/>
    <w:rsid w:val="00A33CBC"/>
    <w:rsid w:val="00A33DFE"/>
    <w:rsid w:val="00A33E87"/>
    <w:rsid w:val="00A33E95"/>
    <w:rsid w:val="00A341A5"/>
    <w:rsid w:val="00A34601"/>
    <w:rsid w:val="00A346E4"/>
    <w:rsid w:val="00A34719"/>
    <w:rsid w:val="00A3489F"/>
    <w:rsid w:val="00A34ADD"/>
    <w:rsid w:val="00A34AF0"/>
    <w:rsid w:val="00A34D5B"/>
    <w:rsid w:val="00A35105"/>
    <w:rsid w:val="00A351E2"/>
    <w:rsid w:val="00A354B8"/>
    <w:rsid w:val="00A35A21"/>
    <w:rsid w:val="00A35B2F"/>
    <w:rsid w:val="00A36412"/>
    <w:rsid w:val="00A364C2"/>
    <w:rsid w:val="00A36756"/>
    <w:rsid w:val="00A368B6"/>
    <w:rsid w:val="00A3699F"/>
    <w:rsid w:val="00A37504"/>
    <w:rsid w:val="00A37840"/>
    <w:rsid w:val="00A37AA7"/>
    <w:rsid w:val="00A37D53"/>
    <w:rsid w:val="00A37EBA"/>
    <w:rsid w:val="00A40869"/>
    <w:rsid w:val="00A40A2A"/>
    <w:rsid w:val="00A4115B"/>
    <w:rsid w:val="00A4118E"/>
    <w:rsid w:val="00A41DE2"/>
    <w:rsid w:val="00A41F1E"/>
    <w:rsid w:val="00A42263"/>
    <w:rsid w:val="00A43144"/>
    <w:rsid w:val="00A43283"/>
    <w:rsid w:val="00A436CB"/>
    <w:rsid w:val="00A43831"/>
    <w:rsid w:val="00A43ACF"/>
    <w:rsid w:val="00A4451D"/>
    <w:rsid w:val="00A44934"/>
    <w:rsid w:val="00A449E0"/>
    <w:rsid w:val="00A44DE8"/>
    <w:rsid w:val="00A45181"/>
    <w:rsid w:val="00A45245"/>
    <w:rsid w:val="00A4567A"/>
    <w:rsid w:val="00A45B66"/>
    <w:rsid w:val="00A45FC4"/>
    <w:rsid w:val="00A46173"/>
    <w:rsid w:val="00A4640B"/>
    <w:rsid w:val="00A46A52"/>
    <w:rsid w:val="00A46B0A"/>
    <w:rsid w:val="00A46C07"/>
    <w:rsid w:val="00A46D36"/>
    <w:rsid w:val="00A46DB4"/>
    <w:rsid w:val="00A47549"/>
    <w:rsid w:val="00A477BC"/>
    <w:rsid w:val="00A479BC"/>
    <w:rsid w:val="00A47ECB"/>
    <w:rsid w:val="00A47F2C"/>
    <w:rsid w:val="00A500EE"/>
    <w:rsid w:val="00A5012F"/>
    <w:rsid w:val="00A50685"/>
    <w:rsid w:val="00A50B19"/>
    <w:rsid w:val="00A50D54"/>
    <w:rsid w:val="00A50DF8"/>
    <w:rsid w:val="00A51070"/>
    <w:rsid w:val="00A5143A"/>
    <w:rsid w:val="00A52311"/>
    <w:rsid w:val="00A5272B"/>
    <w:rsid w:val="00A527E4"/>
    <w:rsid w:val="00A52D8C"/>
    <w:rsid w:val="00A533D7"/>
    <w:rsid w:val="00A53809"/>
    <w:rsid w:val="00A53D80"/>
    <w:rsid w:val="00A54051"/>
    <w:rsid w:val="00A5468D"/>
    <w:rsid w:val="00A547DF"/>
    <w:rsid w:val="00A54C52"/>
    <w:rsid w:val="00A5512C"/>
    <w:rsid w:val="00A55523"/>
    <w:rsid w:val="00A559BA"/>
    <w:rsid w:val="00A55AE0"/>
    <w:rsid w:val="00A55D0C"/>
    <w:rsid w:val="00A55DD5"/>
    <w:rsid w:val="00A5623B"/>
    <w:rsid w:val="00A5630F"/>
    <w:rsid w:val="00A56685"/>
    <w:rsid w:val="00A56CA0"/>
    <w:rsid w:val="00A57024"/>
    <w:rsid w:val="00A5712E"/>
    <w:rsid w:val="00A572A2"/>
    <w:rsid w:val="00A575FA"/>
    <w:rsid w:val="00A5790C"/>
    <w:rsid w:val="00A57A89"/>
    <w:rsid w:val="00A57EDB"/>
    <w:rsid w:val="00A57F13"/>
    <w:rsid w:val="00A60269"/>
    <w:rsid w:val="00A60643"/>
    <w:rsid w:val="00A6079F"/>
    <w:rsid w:val="00A60895"/>
    <w:rsid w:val="00A6090C"/>
    <w:rsid w:val="00A60E90"/>
    <w:rsid w:val="00A61E06"/>
    <w:rsid w:val="00A61EC6"/>
    <w:rsid w:val="00A621A0"/>
    <w:rsid w:val="00A62554"/>
    <w:rsid w:val="00A62597"/>
    <w:rsid w:val="00A6264C"/>
    <w:rsid w:val="00A626BA"/>
    <w:rsid w:val="00A627CC"/>
    <w:rsid w:val="00A6283E"/>
    <w:rsid w:val="00A62ED0"/>
    <w:rsid w:val="00A6362F"/>
    <w:rsid w:val="00A6376F"/>
    <w:rsid w:val="00A63B42"/>
    <w:rsid w:val="00A63C33"/>
    <w:rsid w:val="00A64784"/>
    <w:rsid w:val="00A649E3"/>
    <w:rsid w:val="00A64B3D"/>
    <w:rsid w:val="00A661F8"/>
    <w:rsid w:val="00A67208"/>
    <w:rsid w:val="00A67666"/>
    <w:rsid w:val="00A67C37"/>
    <w:rsid w:val="00A70011"/>
    <w:rsid w:val="00A7015D"/>
    <w:rsid w:val="00A7020D"/>
    <w:rsid w:val="00A7023E"/>
    <w:rsid w:val="00A70272"/>
    <w:rsid w:val="00A70350"/>
    <w:rsid w:val="00A7098A"/>
    <w:rsid w:val="00A70CB9"/>
    <w:rsid w:val="00A70D88"/>
    <w:rsid w:val="00A70DB7"/>
    <w:rsid w:val="00A720DE"/>
    <w:rsid w:val="00A7285B"/>
    <w:rsid w:val="00A72B73"/>
    <w:rsid w:val="00A733F4"/>
    <w:rsid w:val="00A73F08"/>
    <w:rsid w:val="00A74049"/>
    <w:rsid w:val="00A74384"/>
    <w:rsid w:val="00A7492E"/>
    <w:rsid w:val="00A74BE4"/>
    <w:rsid w:val="00A74C8A"/>
    <w:rsid w:val="00A75177"/>
    <w:rsid w:val="00A756A8"/>
    <w:rsid w:val="00A75959"/>
    <w:rsid w:val="00A76221"/>
    <w:rsid w:val="00A76D97"/>
    <w:rsid w:val="00A76E8A"/>
    <w:rsid w:val="00A76F8E"/>
    <w:rsid w:val="00A772D9"/>
    <w:rsid w:val="00A773FE"/>
    <w:rsid w:val="00A77493"/>
    <w:rsid w:val="00A7780C"/>
    <w:rsid w:val="00A7780D"/>
    <w:rsid w:val="00A77AFF"/>
    <w:rsid w:val="00A77CE2"/>
    <w:rsid w:val="00A77D24"/>
    <w:rsid w:val="00A7C4B6"/>
    <w:rsid w:val="00A800AA"/>
    <w:rsid w:val="00A80B55"/>
    <w:rsid w:val="00A80BF3"/>
    <w:rsid w:val="00A81161"/>
    <w:rsid w:val="00A81261"/>
    <w:rsid w:val="00A813DD"/>
    <w:rsid w:val="00A8344B"/>
    <w:rsid w:val="00A83669"/>
    <w:rsid w:val="00A83B8F"/>
    <w:rsid w:val="00A83DAF"/>
    <w:rsid w:val="00A84327"/>
    <w:rsid w:val="00A844BA"/>
    <w:rsid w:val="00A84594"/>
    <w:rsid w:val="00A84911"/>
    <w:rsid w:val="00A851A1"/>
    <w:rsid w:val="00A851DB"/>
    <w:rsid w:val="00A8524F"/>
    <w:rsid w:val="00A85377"/>
    <w:rsid w:val="00A8587D"/>
    <w:rsid w:val="00A858E3"/>
    <w:rsid w:val="00A85B8F"/>
    <w:rsid w:val="00A85D10"/>
    <w:rsid w:val="00A85DE2"/>
    <w:rsid w:val="00A8645D"/>
    <w:rsid w:val="00A86803"/>
    <w:rsid w:val="00A86A85"/>
    <w:rsid w:val="00A86B99"/>
    <w:rsid w:val="00A86C4A"/>
    <w:rsid w:val="00A86C9B"/>
    <w:rsid w:val="00A86DAC"/>
    <w:rsid w:val="00A870DC"/>
    <w:rsid w:val="00A87794"/>
    <w:rsid w:val="00A879C9"/>
    <w:rsid w:val="00A87B32"/>
    <w:rsid w:val="00A901AC"/>
    <w:rsid w:val="00A902A8"/>
    <w:rsid w:val="00A9045C"/>
    <w:rsid w:val="00A905F3"/>
    <w:rsid w:val="00A90FE9"/>
    <w:rsid w:val="00A91085"/>
    <w:rsid w:val="00A91130"/>
    <w:rsid w:val="00A912DB"/>
    <w:rsid w:val="00A918DD"/>
    <w:rsid w:val="00A91B90"/>
    <w:rsid w:val="00A91BED"/>
    <w:rsid w:val="00A92058"/>
    <w:rsid w:val="00A921AD"/>
    <w:rsid w:val="00A92EDB"/>
    <w:rsid w:val="00A93103"/>
    <w:rsid w:val="00A937A1"/>
    <w:rsid w:val="00A9397E"/>
    <w:rsid w:val="00A93B18"/>
    <w:rsid w:val="00A93EB2"/>
    <w:rsid w:val="00A94122"/>
    <w:rsid w:val="00A94953"/>
    <w:rsid w:val="00A94A4F"/>
    <w:rsid w:val="00A9554E"/>
    <w:rsid w:val="00A9580D"/>
    <w:rsid w:val="00A95C1B"/>
    <w:rsid w:val="00A960DB"/>
    <w:rsid w:val="00A96302"/>
    <w:rsid w:val="00A96770"/>
    <w:rsid w:val="00A967A9"/>
    <w:rsid w:val="00A96911"/>
    <w:rsid w:val="00A96B5D"/>
    <w:rsid w:val="00A96EA2"/>
    <w:rsid w:val="00A97189"/>
    <w:rsid w:val="00A97764"/>
    <w:rsid w:val="00A9797B"/>
    <w:rsid w:val="00A97E9F"/>
    <w:rsid w:val="00A97F37"/>
    <w:rsid w:val="00AA07D6"/>
    <w:rsid w:val="00AA0921"/>
    <w:rsid w:val="00AA09EF"/>
    <w:rsid w:val="00AA0BFA"/>
    <w:rsid w:val="00AA0C90"/>
    <w:rsid w:val="00AA1288"/>
    <w:rsid w:val="00AA1542"/>
    <w:rsid w:val="00AA161B"/>
    <w:rsid w:val="00AA1C20"/>
    <w:rsid w:val="00AA1DE3"/>
    <w:rsid w:val="00AA2244"/>
    <w:rsid w:val="00AA251D"/>
    <w:rsid w:val="00AA283C"/>
    <w:rsid w:val="00AA2919"/>
    <w:rsid w:val="00AA2B2F"/>
    <w:rsid w:val="00AA337F"/>
    <w:rsid w:val="00AA3C54"/>
    <w:rsid w:val="00AA3D42"/>
    <w:rsid w:val="00AA4114"/>
    <w:rsid w:val="00AA480F"/>
    <w:rsid w:val="00AA48F4"/>
    <w:rsid w:val="00AA4AF1"/>
    <w:rsid w:val="00AA4C33"/>
    <w:rsid w:val="00AA4E75"/>
    <w:rsid w:val="00AA5887"/>
    <w:rsid w:val="00AA5E47"/>
    <w:rsid w:val="00AA684C"/>
    <w:rsid w:val="00AA6B5F"/>
    <w:rsid w:val="00AA6BD1"/>
    <w:rsid w:val="00AA70B7"/>
    <w:rsid w:val="00AA72FD"/>
    <w:rsid w:val="00AA7687"/>
    <w:rsid w:val="00AA76DD"/>
    <w:rsid w:val="00AA7887"/>
    <w:rsid w:val="00AA7D27"/>
    <w:rsid w:val="00AA7D84"/>
    <w:rsid w:val="00AA7FC7"/>
    <w:rsid w:val="00AB0077"/>
    <w:rsid w:val="00AB013D"/>
    <w:rsid w:val="00AB0242"/>
    <w:rsid w:val="00AB091C"/>
    <w:rsid w:val="00AB0D1C"/>
    <w:rsid w:val="00AB0D57"/>
    <w:rsid w:val="00AB10B6"/>
    <w:rsid w:val="00AB12BA"/>
    <w:rsid w:val="00AB1392"/>
    <w:rsid w:val="00AB1419"/>
    <w:rsid w:val="00AB1BD3"/>
    <w:rsid w:val="00AB1C4D"/>
    <w:rsid w:val="00AB1C9B"/>
    <w:rsid w:val="00AB2484"/>
    <w:rsid w:val="00AB2496"/>
    <w:rsid w:val="00AB2A46"/>
    <w:rsid w:val="00AB2D96"/>
    <w:rsid w:val="00AB3209"/>
    <w:rsid w:val="00AB3406"/>
    <w:rsid w:val="00AB38BA"/>
    <w:rsid w:val="00AB3964"/>
    <w:rsid w:val="00AB3D9E"/>
    <w:rsid w:val="00AB3DA5"/>
    <w:rsid w:val="00AB40AE"/>
    <w:rsid w:val="00AB41C1"/>
    <w:rsid w:val="00AB4616"/>
    <w:rsid w:val="00AB4802"/>
    <w:rsid w:val="00AB4DCA"/>
    <w:rsid w:val="00AB4F2C"/>
    <w:rsid w:val="00AB501E"/>
    <w:rsid w:val="00AB5090"/>
    <w:rsid w:val="00AB51B1"/>
    <w:rsid w:val="00AB57B9"/>
    <w:rsid w:val="00AB5B61"/>
    <w:rsid w:val="00AB5C7D"/>
    <w:rsid w:val="00AB5F5A"/>
    <w:rsid w:val="00AB6534"/>
    <w:rsid w:val="00AB6721"/>
    <w:rsid w:val="00AB6DE1"/>
    <w:rsid w:val="00AB7DE7"/>
    <w:rsid w:val="00AC01C9"/>
    <w:rsid w:val="00AC06E2"/>
    <w:rsid w:val="00AC06EE"/>
    <w:rsid w:val="00AC0D43"/>
    <w:rsid w:val="00AC0DFD"/>
    <w:rsid w:val="00AC1152"/>
    <w:rsid w:val="00AC12DE"/>
    <w:rsid w:val="00AC130F"/>
    <w:rsid w:val="00AC13BB"/>
    <w:rsid w:val="00AC16AC"/>
    <w:rsid w:val="00AC1B93"/>
    <w:rsid w:val="00AC1C25"/>
    <w:rsid w:val="00AC1C2F"/>
    <w:rsid w:val="00AC1D91"/>
    <w:rsid w:val="00AC223F"/>
    <w:rsid w:val="00AC23EF"/>
    <w:rsid w:val="00AC2A88"/>
    <w:rsid w:val="00AC3193"/>
    <w:rsid w:val="00AC34F0"/>
    <w:rsid w:val="00AC3A32"/>
    <w:rsid w:val="00AC3B64"/>
    <w:rsid w:val="00AC3CFA"/>
    <w:rsid w:val="00AC3E32"/>
    <w:rsid w:val="00AC43CC"/>
    <w:rsid w:val="00AC45AE"/>
    <w:rsid w:val="00AC49E6"/>
    <w:rsid w:val="00AC4CB4"/>
    <w:rsid w:val="00AC54DA"/>
    <w:rsid w:val="00AC57E1"/>
    <w:rsid w:val="00AC5BC7"/>
    <w:rsid w:val="00AC5DC2"/>
    <w:rsid w:val="00AC6936"/>
    <w:rsid w:val="00AC6D18"/>
    <w:rsid w:val="00AC6D5D"/>
    <w:rsid w:val="00AC702D"/>
    <w:rsid w:val="00AC7082"/>
    <w:rsid w:val="00AC7AB5"/>
    <w:rsid w:val="00AC7DE4"/>
    <w:rsid w:val="00AC7F65"/>
    <w:rsid w:val="00AC7FE1"/>
    <w:rsid w:val="00AD0089"/>
    <w:rsid w:val="00AD034D"/>
    <w:rsid w:val="00AD05E7"/>
    <w:rsid w:val="00AD06B5"/>
    <w:rsid w:val="00AD070E"/>
    <w:rsid w:val="00AD0CE4"/>
    <w:rsid w:val="00AD1012"/>
    <w:rsid w:val="00AD134C"/>
    <w:rsid w:val="00AD1B3B"/>
    <w:rsid w:val="00AD2031"/>
    <w:rsid w:val="00AD22C9"/>
    <w:rsid w:val="00AD245D"/>
    <w:rsid w:val="00AD24E6"/>
    <w:rsid w:val="00AD25F8"/>
    <w:rsid w:val="00AD276B"/>
    <w:rsid w:val="00AD2CDA"/>
    <w:rsid w:val="00AD2F20"/>
    <w:rsid w:val="00AD30C7"/>
    <w:rsid w:val="00AD31F3"/>
    <w:rsid w:val="00AD3811"/>
    <w:rsid w:val="00AD3854"/>
    <w:rsid w:val="00AD3D08"/>
    <w:rsid w:val="00AD408F"/>
    <w:rsid w:val="00AD427A"/>
    <w:rsid w:val="00AD4E6B"/>
    <w:rsid w:val="00AD4F68"/>
    <w:rsid w:val="00AD5019"/>
    <w:rsid w:val="00AD5389"/>
    <w:rsid w:val="00AD5ADD"/>
    <w:rsid w:val="00AD6588"/>
    <w:rsid w:val="00AD6847"/>
    <w:rsid w:val="00AD70FD"/>
    <w:rsid w:val="00AD74D7"/>
    <w:rsid w:val="00AD7999"/>
    <w:rsid w:val="00AD79BE"/>
    <w:rsid w:val="00AE01B1"/>
    <w:rsid w:val="00AE026D"/>
    <w:rsid w:val="00AE0457"/>
    <w:rsid w:val="00AE0642"/>
    <w:rsid w:val="00AE0D05"/>
    <w:rsid w:val="00AE0EC0"/>
    <w:rsid w:val="00AE1556"/>
    <w:rsid w:val="00AE1644"/>
    <w:rsid w:val="00AE1733"/>
    <w:rsid w:val="00AE1C67"/>
    <w:rsid w:val="00AE1E2F"/>
    <w:rsid w:val="00AE2429"/>
    <w:rsid w:val="00AE2A63"/>
    <w:rsid w:val="00AE2D08"/>
    <w:rsid w:val="00AE2E83"/>
    <w:rsid w:val="00AE30DD"/>
    <w:rsid w:val="00AE343D"/>
    <w:rsid w:val="00AE34E9"/>
    <w:rsid w:val="00AE363F"/>
    <w:rsid w:val="00AE37DE"/>
    <w:rsid w:val="00AE3825"/>
    <w:rsid w:val="00AE39BC"/>
    <w:rsid w:val="00AE4089"/>
    <w:rsid w:val="00AE4665"/>
    <w:rsid w:val="00AE4C44"/>
    <w:rsid w:val="00AE4D84"/>
    <w:rsid w:val="00AE5125"/>
    <w:rsid w:val="00AE5597"/>
    <w:rsid w:val="00AE57B4"/>
    <w:rsid w:val="00AE62EE"/>
    <w:rsid w:val="00AE65C3"/>
    <w:rsid w:val="00AE6B83"/>
    <w:rsid w:val="00AE6C36"/>
    <w:rsid w:val="00AE7EC0"/>
    <w:rsid w:val="00AF029D"/>
    <w:rsid w:val="00AF0832"/>
    <w:rsid w:val="00AF0DAD"/>
    <w:rsid w:val="00AF0FF0"/>
    <w:rsid w:val="00AF1586"/>
    <w:rsid w:val="00AF1800"/>
    <w:rsid w:val="00AF1D4C"/>
    <w:rsid w:val="00AF210C"/>
    <w:rsid w:val="00AF249A"/>
    <w:rsid w:val="00AF2A5A"/>
    <w:rsid w:val="00AF2E43"/>
    <w:rsid w:val="00AF3F15"/>
    <w:rsid w:val="00AF41CD"/>
    <w:rsid w:val="00AF436F"/>
    <w:rsid w:val="00AF45BF"/>
    <w:rsid w:val="00AF4E8F"/>
    <w:rsid w:val="00AF517C"/>
    <w:rsid w:val="00AF5719"/>
    <w:rsid w:val="00AF6169"/>
    <w:rsid w:val="00AF6603"/>
    <w:rsid w:val="00AF66D3"/>
    <w:rsid w:val="00AF6946"/>
    <w:rsid w:val="00AF6D0A"/>
    <w:rsid w:val="00AF6FF8"/>
    <w:rsid w:val="00AF76DE"/>
    <w:rsid w:val="00AF7AFD"/>
    <w:rsid w:val="00B00393"/>
    <w:rsid w:val="00B005FF"/>
    <w:rsid w:val="00B01CD1"/>
    <w:rsid w:val="00B02853"/>
    <w:rsid w:val="00B02870"/>
    <w:rsid w:val="00B02895"/>
    <w:rsid w:val="00B02F77"/>
    <w:rsid w:val="00B03083"/>
    <w:rsid w:val="00B03384"/>
    <w:rsid w:val="00B03571"/>
    <w:rsid w:val="00B039FB"/>
    <w:rsid w:val="00B04148"/>
    <w:rsid w:val="00B04BBE"/>
    <w:rsid w:val="00B04E1D"/>
    <w:rsid w:val="00B04E49"/>
    <w:rsid w:val="00B05162"/>
    <w:rsid w:val="00B0542A"/>
    <w:rsid w:val="00B0552B"/>
    <w:rsid w:val="00B055B8"/>
    <w:rsid w:val="00B05664"/>
    <w:rsid w:val="00B0566D"/>
    <w:rsid w:val="00B0569C"/>
    <w:rsid w:val="00B0594F"/>
    <w:rsid w:val="00B06064"/>
    <w:rsid w:val="00B061D2"/>
    <w:rsid w:val="00B06A78"/>
    <w:rsid w:val="00B06CB7"/>
    <w:rsid w:val="00B06EB1"/>
    <w:rsid w:val="00B07658"/>
    <w:rsid w:val="00B07721"/>
    <w:rsid w:val="00B07ABC"/>
    <w:rsid w:val="00B07DBB"/>
    <w:rsid w:val="00B100B1"/>
    <w:rsid w:val="00B10215"/>
    <w:rsid w:val="00B1063E"/>
    <w:rsid w:val="00B107C7"/>
    <w:rsid w:val="00B10953"/>
    <w:rsid w:val="00B1102E"/>
    <w:rsid w:val="00B11177"/>
    <w:rsid w:val="00B1150B"/>
    <w:rsid w:val="00B119F6"/>
    <w:rsid w:val="00B11AA1"/>
    <w:rsid w:val="00B12394"/>
    <w:rsid w:val="00B1309E"/>
    <w:rsid w:val="00B134AD"/>
    <w:rsid w:val="00B134DB"/>
    <w:rsid w:val="00B13740"/>
    <w:rsid w:val="00B13E0E"/>
    <w:rsid w:val="00B13F1D"/>
    <w:rsid w:val="00B14036"/>
    <w:rsid w:val="00B1403A"/>
    <w:rsid w:val="00B141E5"/>
    <w:rsid w:val="00B1424F"/>
    <w:rsid w:val="00B142A0"/>
    <w:rsid w:val="00B142DC"/>
    <w:rsid w:val="00B14488"/>
    <w:rsid w:val="00B14575"/>
    <w:rsid w:val="00B145A6"/>
    <w:rsid w:val="00B14790"/>
    <w:rsid w:val="00B14857"/>
    <w:rsid w:val="00B14DD2"/>
    <w:rsid w:val="00B15B25"/>
    <w:rsid w:val="00B15BFF"/>
    <w:rsid w:val="00B15CC5"/>
    <w:rsid w:val="00B16185"/>
    <w:rsid w:val="00B161E4"/>
    <w:rsid w:val="00B167CF"/>
    <w:rsid w:val="00B16E00"/>
    <w:rsid w:val="00B16F7C"/>
    <w:rsid w:val="00B170F9"/>
    <w:rsid w:val="00B171F8"/>
    <w:rsid w:val="00B172E6"/>
    <w:rsid w:val="00B1730B"/>
    <w:rsid w:val="00B176DF"/>
    <w:rsid w:val="00B17A96"/>
    <w:rsid w:val="00B17F0F"/>
    <w:rsid w:val="00B2033A"/>
    <w:rsid w:val="00B203D2"/>
    <w:rsid w:val="00B20A46"/>
    <w:rsid w:val="00B20CF4"/>
    <w:rsid w:val="00B20D65"/>
    <w:rsid w:val="00B2164A"/>
    <w:rsid w:val="00B21845"/>
    <w:rsid w:val="00B21A21"/>
    <w:rsid w:val="00B2290F"/>
    <w:rsid w:val="00B22C4E"/>
    <w:rsid w:val="00B23224"/>
    <w:rsid w:val="00B23266"/>
    <w:rsid w:val="00B23C26"/>
    <w:rsid w:val="00B23FBC"/>
    <w:rsid w:val="00B24084"/>
    <w:rsid w:val="00B2454F"/>
    <w:rsid w:val="00B24701"/>
    <w:rsid w:val="00B247E9"/>
    <w:rsid w:val="00B24824"/>
    <w:rsid w:val="00B24EBE"/>
    <w:rsid w:val="00B254A5"/>
    <w:rsid w:val="00B254CE"/>
    <w:rsid w:val="00B25B7B"/>
    <w:rsid w:val="00B25F13"/>
    <w:rsid w:val="00B25F53"/>
    <w:rsid w:val="00B26155"/>
    <w:rsid w:val="00B26347"/>
    <w:rsid w:val="00B26B7F"/>
    <w:rsid w:val="00B26B98"/>
    <w:rsid w:val="00B26E5C"/>
    <w:rsid w:val="00B275C6"/>
    <w:rsid w:val="00B27E2C"/>
    <w:rsid w:val="00B27E9D"/>
    <w:rsid w:val="00B27ECF"/>
    <w:rsid w:val="00B30287"/>
    <w:rsid w:val="00B30871"/>
    <w:rsid w:val="00B308A1"/>
    <w:rsid w:val="00B30DA2"/>
    <w:rsid w:val="00B30E24"/>
    <w:rsid w:val="00B31018"/>
    <w:rsid w:val="00B31103"/>
    <w:rsid w:val="00B31175"/>
    <w:rsid w:val="00B311CC"/>
    <w:rsid w:val="00B3157A"/>
    <w:rsid w:val="00B31727"/>
    <w:rsid w:val="00B31FAE"/>
    <w:rsid w:val="00B32910"/>
    <w:rsid w:val="00B3322E"/>
    <w:rsid w:val="00B33279"/>
    <w:rsid w:val="00B33578"/>
    <w:rsid w:val="00B335E5"/>
    <w:rsid w:val="00B3391F"/>
    <w:rsid w:val="00B33960"/>
    <w:rsid w:val="00B33C0B"/>
    <w:rsid w:val="00B340F1"/>
    <w:rsid w:val="00B340F4"/>
    <w:rsid w:val="00B341B9"/>
    <w:rsid w:val="00B34549"/>
    <w:rsid w:val="00B3495A"/>
    <w:rsid w:val="00B34BF3"/>
    <w:rsid w:val="00B34C19"/>
    <w:rsid w:val="00B34E2C"/>
    <w:rsid w:val="00B3525D"/>
    <w:rsid w:val="00B3547C"/>
    <w:rsid w:val="00B354D1"/>
    <w:rsid w:val="00B3597C"/>
    <w:rsid w:val="00B359F0"/>
    <w:rsid w:val="00B35FEB"/>
    <w:rsid w:val="00B3612B"/>
    <w:rsid w:val="00B361D5"/>
    <w:rsid w:val="00B36863"/>
    <w:rsid w:val="00B36B5B"/>
    <w:rsid w:val="00B36E1B"/>
    <w:rsid w:val="00B4002D"/>
    <w:rsid w:val="00B402F5"/>
    <w:rsid w:val="00B40518"/>
    <w:rsid w:val="00B4072E"/>
    <w:rsid w:val="00B412DD"/>
    <w:rsid w:val="00B413B9"/>
    <w:rsid w:val="00B4196F"/>
    <w:rsid w:val="00B41E52"/>
    <w:rsid w:val="00B42479"/>
    <w:rsid w:val="00B424C5"/>
    <w:rsid w:val="00B4255F"/>
    <w:rsid w:val="00B42ACD"/>
    <w:rsid w:val="00B42B37"/>
    <w:rsid w:val="00B42C09"/>
    <w:rsid w:val="00B43C0E"/>
    <w:rsid w:val="00B44027"/>
    <w:rsid w:val="00B4404C"/>
    <w:rsid w:val="00B44113"/>
    <w:rsid w:val="00B441D5"/>
    <w:rsid w:val="00B44394"/>
    <w:rsid w:val="00B4466E"/>
    <w:rsid w:val="00B44CE0"/>
    <w:rsid w:val="00B45138"/>
    <w:rsid w:val="00B45623"/>
    <w:rsid w:val="00B45643"/>
    <w:rsid w:val="00B456BC"/>
    <w:rsid w:val="00B45742"/>
    <w:rsid w:val="00B458CF"/>
    <w:rsid w:val="00B45E9E"/>
    <w:rsid w:val="00B45EC1"/>
    <w:rsid w:val="00B45F0B"/>
    <w:rsid w:val="00B465B4"/>
    <w:rsid w:val="00B47274"/>
    <w:rsid w:val="00B47429"/>
    <w:rsid w:val="00B50723"/>
    <w:rsid w:val="00B50A75"/>
    <w:rsid w:val="00B51391"/>
    <w:rsid w:val="00B51A12"/>
    <w:rsid w:val="00B524F8"/>
    <w:rsid w:val="00B52683"/>
    <w:rsid w:val="00B530C1"/>
    <w:rsid w:val="00B53476"/>
    <w:rsid w:val="00B5434E"/>
    <w:rsid w:val="00B545A7"/>
    <w:rsid w:val="00B54620"/>
    <w:rsid w:val="00B5497F"/>
    <w:rsid w:val="00B54BF2"/>
    <w:rsid w:val="00B54EC3"/>
    <w:rsid w:val="00B54F24"/>
    <w:rsid w:val="00B551C5"/>
    <w:rsid w:val="00B556CF"/>
    <w:rsid w:val="00B55D57"/>
    <w:rsid w:val="00B560DD"/>
    <w:rsid w:val="00B5643B"/>
    <w:rsid w:val="00B567A4"/>
    <w:rsid w:val="00B5699B"/>
    <w:rsid w:val="00B56C45"/>
    <w:rsid w:val="00B56D69"/>
    <w:rsid w:val="00B56D91"/>
    <w:rsid w:val="00B56F4F"/>
    <w:rsid w:val="00B574A4"/>
    <w:rsid w:val="00B57CA9"/>
    <w:rsid w:val="00B57FF8"/>
    <w:rsid w:val="00B6008D"/>
    <w:rsid w:val="00B6059D"/>
    <w:rsid w:val="00B605BA"/>
    <w:rsid w:val="00B6079C"/>
    <w:rsid w:val="00B60A57"/>
    <w:rsid w:val="00B60A99"/>
    <w:rsid w:val="00B613A1"/>
    <w:rsid w:val="00B619EA"/>
    <w:rsid w:val="00B61E2A"/>
    <w:rsid w:val="00B621BA"/>
    <w:rsid w:val="00B62244"/>
    <w:rsid w:val="00B62473"/>
    <w:rsid w:val="00B62901"/>
    <w:rsid w:val="00B62C6E"/>
    <w:rsid w:val="00B63E17"/>
    <w:rsid w:val="00B64147"/>
    <w:rsid w:val="00B6482C"/>
    <w:rsid w:val="00B65079"/>
    <w:rsid w:val="00B65689"/>
    <w:rsid w:val="00B65865"/>
    <w:rsid w:val="00B6614B"/>
    <w:rsid w:val="00B6635B"/>
    <w:rsid w:val="00B66381"/>
    <w:rsid w:val="00B66527"/>
    <w:rsid w:val="00B66DE9"/>
    <w:rsid w:val="00B67154"/>
    <w:rsid w:val="00B6769E"/>
    <w:rsid w:val="00B677DE"/>
    <w:rsid w:val="00B67EAF"/>
    <w:rsid w:val="00B70138"/>
    <w:rsid w:val="00B7017A"/>
    <w:rsid w:val="00B70493"/>
    <w:rsid w:val="00B706C8"/>
    <w:rsid w:val="00B70957"/>
    <w:rsid w:val="00B70C53"/>
    <w:rsid w:val="00B70D2C"/>
    <w:rsid w:val="00B70FF9"/>
    <w:rsid w:val="00B71013"/>
    <w:rsid w:val="00B7108E"/>
    <w:rsid w:val="00B7118E"/>
    <w:rsid w:val="00B712DE"/>
    <w:rsid w:val="00B714BF"/>
    <w:rsid w:val="00B71586"/>
    <w:rsid w:val="00B71593"/>
    <w:rsid w:val="00B71876"/>
    <w:rsid w:val="00B72034"/>
    <w:rsid w:val="00B72069"/>
    <w:rsid w:val="00B721CC"/>
    <w:rsid w:val="00B723B4"/>
    <w:rsid w:val="00B7248E"/>
    <w:rsid w:val="00B7298D"/>
    <w:rsid w:val="00B730E3"/>
    <w:rsid w:val="00B73A81"/>
    <w:rsid w:val="00B74187"/>
    <w:rsid w:val="00B74719"/>
    <w:rsid w:val="00B749D8"/>
    <w:rsid w:val="00B74EEA"/>
    <w:rsid w:val="00B74F79"/>
    <w:rsid w:val="00B750A1"/>
    <w:rsid w:val="00B762D7"/>
    <w:rsid w:val="00B762DC"/>
    <w:rsid w:val="00B7648E"/>
    <w:rsid w:val="00B7693C"/>
    <w:rsid w:val="00B76DC7"/>
    <w:rsid w:val="00B76F15"/>
    <w:rsid w:val="00B77675"/>
    <w:rsid w:val="00B77774"/>
    <w:rsid w:val="00B7789D"/>
    <w:rsid w:val="00B778A5"/>
    <w:rsid w:val="00B77A78"/>
    <w:rsid w:val="00B77BF3"/>
    <w:rsid w:val="00B80305"/>
    <w:rsid w:val="00B8037D"/>
    <w:rsid w:val="00B80926"/>
    <w:rsid w:val="00B81279"/>
    <w:rsid w:val="00B8174C"/>
    <w:rsid w:val="00B81769"/>
    <w:rsid w:val="00B81CBB"/>
    <w:rsid w:val="00B824EC"/>
    <w:rsid w:val="00B827BC"/>
    <w:rsid w:val="00B82827"/>
    <w:rsid w:val="00B82999"/>
    <w:rsid w:val="00B82C72"/>
    <w:rsid w:val="00B8322C"/>
    <w:rsid w:val="00B83408"/>
    <w:rsid w:val="00B8375F"/>
    <w:rsid w:val="00B83C92"/>
    <w:rsid w:val="00B83CCD"/>
    <w:rsid w:val="00B83E59"/>
    <w:rsid w:val="00B83F79"/>
    <w:rsid w:val="00B8456F"/>
    <w:rsid w:val="00B845E6"/>
    <w:rsid w:val="00B846A4"/>
    <w:rsid w:val="00B853BA"/>
    <w:rsid w:val="00B85AE4"/>
    <w:rsid w:val="00B86375"/>
    <w:rsid w:val="00B86774"/>
    <w:rsid w:val="00B86CAB"/>
    <w:rsid w:val="00B86FB1"/>
    <w:rsid w:val="00B87171"/>
    <w:rsid w:val="00B8719A"/>
    <w:rsid w:val="00B877DE"/>
    <w:rsid w:val="00B87843"/>
    <w:rsid w:val="00B87957"/>
    <w:rsid w:val="00B90485"/>
    <w:rsid w:val="00B9053B"/>
    <w:rsid w:val="00B90916"/>
    <w:rsid w:val="00B911BE"/>
    <w:rsid w:val="00B915B6"/>
    <w:rsid w:val="00B9245E"/>
    <w:rsid w:val="00B92587"/>
    <w:rsid w:val="00B92B34"/>
    <w:rsid w:val="00B92B89"/>
    <w:rsid w:val="00B92D9C"/>
    <w:rsid w:val="00B93018"/>
    <w:rsid w:val="00B93F73"/>
    <w:rsid w:val="00B942B0"/>
    <w:rsid w:val="00B9452C"/>
    <w:rsid w:val="00B945A9"/>
    <w:rsid w:val="00B946BC"/>
    <w:rsid w:val="00B94787"/>
    <w:rsid w:val="00B949D9"/>
    <w:rsid w:val="00B94B10"/>
    <w:rsid w:val="00B94F95"/>
    <w:rsid w:val="00B95003"/>
    <w:rsid w:val="00B95211"/>
    <w:rsid w:val="00B95A4C"/>
    <w:rsid w:val="00B96397"/>
    <w:rsid w:val="00B96573"/>
    <w:rsid w:val="00B9684B"/>
    <w:rsid w:val="00B96A4B"/>
    <w:rsid w:val="00B972BF"/>
    <w:rsid w:val="00B972FC"/>
    <w:rsid w:val="00B974DA"/>
    <w:rsid w:val="00B9781D"/>
    <w:rsid w:val="00B97B4A"/>
    <w:rsid w:val="00B97CDF"/>
    <w:rsid w:val="00BA0802"/>
    <w:rsid w:val="00BA0B0E"/>
    <w:rsid w:val="00BA0F61"/>
    <w:rsid w:val="00BA1271"/>
    <w:rsid w:val="00BA13BB"/>
    <w:rsid w:val="00BA1430"/>
    <w:rsid w:val="00BA21B2"/>
    <w:rsid w:val="00BA21FE"/>
    <w:rsid w:val="00BA2A09"/>
    <w:rsid w:val="00BA2D25"/>
    <w:rsid w:val="00BA3645"/>
    <w:rsid w:val="00BA37C2"/>
    <w:rsid w:val="00BA3823"/>
    <w:rsid w:val="00BA3B73"/>
    <w:rsid w:val="00BA3CF0"/>
    <w:rsid w:val="00BA3F4C"/>
    <w:rsid w:val="00BA423B"/>
    <w:rsid w:val="00BA4A4A"/>
    <w:rsid w:val="00BA51FB"/>
    <w:rsid w:val="00BA5324"/>
    <w:rsid w:val="00BA54C4"/>
    <w:rsid w:val="00BA59E4"/>
    <w:rsid w:val="00BA5A02"/>
    <w:rsid w:val="00BA5DFA"/>
    <w:rsid w:val="00BA6240"/>
    <w:rsid w:val="00BA648F"/>
    <w:rsid w:val="00BA669C"/>
    <w:rsid w:val="00BA685F"/>
    <w:rsid w:val="00BA6990"/>
    <w:rsid w:val="00BA6DB1"/>
    <w:rsid w:val="00BA6FD5"/>
    <w:rsid w:val="00BA72DB"/>
    <w:rsid w:val="00BA7349"/>
    <w:rsid w:val="00BA7443"/>
    <w:rsid w:val="00BA7926"/>
    <w:rsid w:val="00BB003F"/>
    <w:rsid w:val="00BB0170"/>
    <w:rsid w:val="00BB03AB"/>
    <w:rsid w:val="00BB043D"/>
    <w:rsid w:val="00BB049E"/>
    <w:rsid w:val="00BB061E"/>
    <w:rsid w:val="00BB0783"/>
    <w:rsid w:val="00BB0A53"/>
    <w:rsid w:val="00BB0E36"/>
    <w:rsid w:val="00BB0EF1"/>
    <w:rsid w:val="00BB0F61"/>
    <w:rsid w:val="00BB168A"/>
    <w:rsid w:val="00BB180C"/>
    <w:rsid w:val="00BB185E"/>
    <w:rsid w:val="00BB1A3A"/>
    <w:rsid w:val="00BB1ED8"/>
    <w:rsid w:val="00BB2076"/>
    <w:rsid w:val="00BB20F5"/>
    <w:rsid w:val="00BB2AA6"/>
    <w:rsid w:val="00BB2C17"/>
    <w:rsid w:val="00BB3228"/>
    <w:rsid w:val="00BB35C4"/>
    <w:rsid w:val="00BB3827"/>
    <w:rsid w:val="00BB3AD0"/>
    <w:rsid w:val="00BB3B77"/>
    <w:rsid w:val="00BB3B83"/>
    <w:rsid w:val="00BB3D72"/>
    <w:rsid w:val="00BB4065"/>
    <w:rsid w:val="00BB41DE"/>
    <w:rsid w:val="00BB465E"/>
    <w:rsid w:val="00BB4831"/>
    <w:rsid w:val="00BB49B4"/>
    <w:rsid w:val="00BB544D"/>
    <w:rsid w:val="00BB5D9E"/>
    <w:rsid w:val="00BB60B7"/>
    <w:rsid w:val="00BB6EB1"/>
    <w:rsid w:val="00BB6ED9"/>
    <w:rsid w:val="00BB6F5B"/>
    <w:rsid w:val="00BB712E"/>
    <w:rsid w:val="00BB7458"/>
    <w:rsid w:val="00BB74EE"/>
    <w:rsid w:val="00BB7955"/>
    <w:rsid w:val="00BB795C"/>
    <w:rsid w:val="00BB7D69"/>
    <w:rsid w:val="00BC02D1"/>
    <w:rsid w:val="00BC0746"/>
    <w:rsid w:val="00BC0BC0"/>
    <w:rsid w:val="00BC0D65"/>
    <w:rsid w:val="00BC1646"/>
    <w:rsid w:val="00BC19C5"/>
    <w:rsid w:val="00BC19E2"/>
    <w:rsid w:val="00BC1B03"/>
    <w:rsid w:val="00BC1B8E"/>
    <w:rsid w:val="00BC1C80"/>
    <w:rsid w:val="00BC205F"/>
    <w:rsid w:val="00BC2300"/>
    <w:rsid w:val="00BC2455"/>
    <w:rsid w:val="00BC25B7"/>
    <w:rsid w:val="00BC2A18"/>
    <w:rsid w:val="00BC2AC9"/>
    <w:rsid w:val="00BC30BA"/>
    <w:rsid w:val="00BC3D70"/>
    <w:rsid w:val="00BC407A"/>
    <w:rsid w:val="00BC412B"/>
    <w:rsid w:val="00BC4771"/>
    <w:rsid w:val="00BC4AEB"/>
    <w:rsid w:val="00BC4AFB"/>
    <w:rsid w:val="00BC5735"/>
    <w:rsid w:val="00BC6B49"/>
    <w:rsid w:val="00BC6B6A"/>
    <w:rsid w:val="00BC7167"/>
    <w:rsid w:val="00BC72B0"/>
    <w:rsid w:val="00BC760F"/>
    <w:rsid w:val="00BC7ABC"/>
    <w:rsid w:val="00BC7BC7"/>
    <w:rsid w:val="00BC7D28"/>
    <w:rsid w:val="00BC7D2A"/>
    <w:rsid w:val="00BD0FD8"/>
    <w:rsid w:val="00BD13B2"/>
    <w:rsid w:val="00BD1C04"/>
    <w:rsid w:val="00BD1C2E"/>
    <w:rsid w:val="00BD1DDC"/>
    <w:rsid w:val="00BD2579"/>
    <w:rsid w:val="00BD2689"/>
    <w:rsid w:val="00BD2B31"/>
    <w:rsid w:val="00BD2E09"/>
    <w:rsid w:val="00BD3988"/>
    <w:rsid w:val="00BD39E9"/>
    <w:rsid w:val="00BD3B41"/>
    <w:rsid w:val="00BD3B8C"/>
    <w:rsid w:val="00BD41AE"/>
    <w:rsid w:val="00BD42C9"/>
    <w:rsid w:val="00BD4B75"/>
    <w:rsid w:val="00BD4CD3"/>
    <w:rsid w:val="00BD5225"/>
    <w:rsid w:val="00BD58B1"/>
    <w:rsid w:val="00BD5A8F"/>
    <w:rsid w:val="00BD5B11"/>
    <w:rsid w:val="00BD5CD6"/>
    <w:rsid w:val="00BD6723"/>
    <w:rsid w:val="00BD6789"/>
    <w:rsid w:val="00BD6D60"/>
    <w:rsid w:val="00BD714B"/>
    <w:rsid w:val="00BD7288"/>
    <w:rsid w:val="00BD74F2"/>
    <w:rsid w:val="00BD7567"/>
    <w:rsid w:val="00BD7716"/>
    <w:rsid w:val="00BD796F"/>
    <w:rsid w:val="00BD7970"/>
    <w:rsid w:val="00BE0200"/>
    <w:rsid w:val="00BE06D6"/>
    <w:rsid w:val="00BE0793"/>
    <w:rsid w:val="00BE0C69"/>
    <w:rsid w:val="00BE0CDF"/>
    <w:rsid w:val="00BE0D2D"/>
    <w:rsid w:val="00BE112D"/>
    <w:rsid w:val="00BE1297"/>
    <w:rsid w:val="00BE12D6"/>
    <w:rsid w:val="00BE12E0"/>
    <w:rsid w:val="00BE1326"/>
    <w:rsid w:val="00BE18E1"/>
    <w:rsid w:val="00BE1D47"/>
    <w:rsid w:val="00BE221F"/>
    <w:rsid w:val="00BE257F"/>
    <w:rsid w:val="00BE28FF"/>
    <w:rsid w:val="00BE3637"/>
    <w:rsid w:val="00BE38CD"/>
    <w:rsid w:val="00BE3C75"/>
    <w:rsid w:val="00BE3F78"/>
    <w:rsid w:val="00BE40AF"/>
    <w:rsid w:val="00BE41FA"/>
    <w:rsid w:val="00BE43DD"/>
    <w:rsid w:val="00BE4753"/>
    <w:rsid w:val="00BE4A1E"/>
    <w:rsid w:val="00BE4D52"/>
    <w:rsid w:val="00BE4F5F"/>
    <w:rsid w:val="00BE50E3"/>
    <w:rsid w:val="00BE54D7"/>
    <w:rsid w:val="00BE5556"/>
    <w:rsid w:val="00BE5713"/>
    <w:rsid w:val="00BE576F"/>
    <w:rsid w:val="00BE5A76"/>
    <w:rsid w:val="00BE5D0E"/>
    <w:rsid w:val="00BE614A"/>
    <w:rsid w:val="00BE66B1"/>
    <w:rsid w:val="00BE68AA"/>
    <w:rsid w:val="00BE6CB1"/>
    <w:rsid w:val="00BE722B"/>
    <w:rsid w:val="00BE72A9"/>
    <w:rsid w:val="00BE7D59"/>
    <w:rsid w:val="00BE7E12"/>
    <w:rsid w:val="00BE7EC6"/>
    <w:rsid w:val="00BE7F45"/>
    <w:rsid w:val="00BF0079"/>
    <w:rsid w:val="00BF0719"/>
    <w:rsid w:val="00BF0E0A"/>
    <w:rsid w:val="00BF0E46"/>
    <w:rsid w:val="00BF123B"/>
    <w:rsid w:val="00BF12B3"/>
    <w:rsid w:val="00BF1C41"/>
    <w:rsid w:val="00BF1CD9"/>
    <w:rsid w:val="00BF1E0F"/>
    <w:rsid w:val="00BF2B51"/>
    <w:rsid w:val="00BF2BD9"/>
    <w:rsid w:val="00BF30CA"/>
    <w:rsid w:val="00BF31A3"/>
    <w:rsid w:val="00BF31CE"/>
    <w:rsid w:val="00BF33B7"/>
    <w:rsid w:val="00BF3E7B"/>
    <w:rsid w:val="00BF4078"/>
    <w:rsid w:val="00BF4422"/>
    <w:rsid w:val="00BF4890"/>
    <w:rsid w:val="00BF48AD"/>
    <w:rsid w:val="00BF501F"/>
    <w:rsid w:val="00BF5413"/>
    <w:rsid w:val="00BF5BCB"/>
    <w:rsid w:val="00BF5D48"/>
    <w:rsid w:val="00BF61ED"/>
    <w:rsid w:val="00BF66A1"/>
    <w:rsid w:val="00BF68CA"/>
    <w:rsid w:val="00BF6E31"/>
    <w:rsid w:val="00BF6FB9"/>
    <w:rsid w:val="00BF72D7"/>
    <w:rsid w:val="00BF751A"/>
    <w:rsid w:val="00BF779E"/>
    <w:rsid w:val="00BF781F"/>
    <w:rsid w:val="00BF7A80"/>
    <w:rsid w:val="00BF7AFE"/>
    <w:rsid w:val="00BF7E22"/>
    <w:rsid w:val="00C0021C"/>
    <w:rsid w:val="00C00BAF"/>
    <w:rsid w:val="00C011A3"/>
    <w:rsid w:val="00C011E5"/>
    <w:rsid w:val="00C017FD"/>
    <w:rsid w:val="00C01ADB"/>
    <w:rsid w:val="00C01B4A"/>
    <w:rsid w:val="00C01C2A"/>
    <w:rsid w:val="00C01F51"/>
    <w:rsid w:val="00C0232D"/>
    <w:rsid w:val="00C027ED"/>
    <w:rsid w:val="00C0281F"/>
    <w:rsid w:val="00C028F1"/>
    <w:rsid w:val="00C02B57"/>
    <w:rsid w:val="00C030E0"/>
    <w:rsid w:val="00C03609"/>
    <w:rsid w:val="00C0377B"/>
    <w:rsid w:val="00C038D4"/>
    <w:rsid w:val="00C0417E"/>
    <w:rsid w:val="00C0419D"/>
    <w:rsid w:val="00C0494E"/>
    <w:rsid w:val="00C04AB9"/>
    <w:rsid w:val="00C04DE5"/>
    <w:rsid w:val="00C050BC"/>
    <w:rsid w:val="00C05738"/>
    <w:rsid w:val="00C059B1"/>
    <w:rsid w:val="00C05C6B"/>
    <w:rsid w:val="00C06DF9"/>
    <w:rsid w:val="00C07799"/>
    <w:rsid w:val="00C07C13"/>
    <w:rsid w:val="00C10217"/>
    <w:rsid w:val="00C10C3C"/>
    <w:rsid w:val="00C11508"/>
    <w:rsid w:val="00C1153A"/>
    <w:rsid w:val="00C118B3"/>
    <w:rsid w:val="00C118CA"/>
    <w:rsid w:val="00C11F69"/>
    <w:rsid w:val="00C12161"/>
    <w:rsid w:val="00C123B5"/>
    <w:rsid w:val="00C12594"/>
    <w:rsid w:val="00C125BA"/>
    <w:rsid w:val="00C12A8C"/>
    <w:rsid w:val="00C13086"/>
    <w:rsid w:val="00C13252"/>
    <w:rsid w:val="00C132A0"/>
    <w:rsid w:val="00C13430"/>
    <w:rsid w:val="00C13E02"/>
    <w:rsid w:val="00C140EA"/>
    <w:rsid w:val="00C143C2"/>
    <w:rsid w:val="00C144C3"/>
    <w:rsid w:val="00C1471A"/>
    <w:rsid w:val="00C14B24"/>
    <w:rsid w:val="00C14D7D"/>
    <w:rsid w:val="00C14F86"/>
    <w:rsid w:val="00C15277"/>
    <w:rsid w:val="00C1568A"/>
    <w:rsid w:val="00C15750"/>
    <w:rsid w:val="00C15B99"/>
    <w:rsid w:val="00C15D5A"/>
    <w:rsid w:val="00C15E6F"/>
    <w:rsid w:val="00C15EF6"/>
    <w:rsid w:val="00C162A4"/>
    <w:rsid w:val="00C16733"/>
    <w:rsid w:val="00C16769"/>
    <w:rsid w:val="00C1682D"/>
    <w:rsid w:val="00C16CAA"/>
    <w:rsid w:val="00C1795E"/>
    <w:rsid w:val="00C17B16"/>
    <w:rsid w:val="00C201C8"/>
    <w:rsid w:val="00C2023A"/>
    <w:rsid w:val="00C20EDE"/>
    <w:rsid w:val="00C2113B"/>
    <w:rsid w:val="00C217D4"/>
    <w:rsid w:val="00C21AA6"/>
    <w:rsid w:val="00C21E14"/>
    <w:rsid w:val="00C22380"/>
    <w:rsid w:val="00C2269B"/>
    <w:rsid w:val="00C22ECC"/>
    <w:rsid w:val="00C22F58"/>
    <w:rsid w:val="00C23170"/>
    <w:rsid w:val="00C2344F"/>
    <w:rsid w:val="00C235C1"/>
    <w:rsid w:val="00C23674"/>
    <w:rsid w:val="00C2393B"/>
    <w:rsid w:val="00C23A08"/>
    <w:rsid w:val="00C23CC5"/>
    <w:rsid w:val="00C23E6F"/>
    <w:rsid w:val="00C23F23"/>
    <w:rsid w:val="00C24117"/>
    <w:rsid w:val="00C24193"/>
    <w:rsid w:val="00C24309"/>
    <w:rsid w:val="00C245EB"/>
    <w:rsid w:val="00C24702"/>
    <w:rsid w:val="00C24A4B"/>
    <w:rsid w:val="00C24DBC"/>
    <w:rsid w:val="00C25001"/>
    <w:rsid w:val="00C2534A"/>
    <w:rsid w:val="00C254F7"/>
    <w:rsid w:val="00C25B5A"/>
    <w:rsid w:val="00C2659F"/>
    <w:rsid w:val="00C266FB"/>
    <w:rsid w:val="00C26CB1"/>
    <w:rsid w:val="00C26E84"/>
    <w:rsid w:val="00C26EA2"/>
    <w:rsid w:val="00C270E7"/>
    <w:rsid w:val="00C2721D"/>
    <w:rsid w:val="00C2741A"/>
    <w:rsid w:val="00C27503"/>
    <w:rsid w:val="00C27552"/>
    <w:rsid w:val="00C278AC"/>
    <w:rsid w:val="00C27CBD"/>
    <w:rsid w:val="00C27E8D"/>
    <w:rsid w:val="00C27FEB"/>
    <w:rsid w:val="00C304A9"/>
    <w:rsid w:val="00C307A6"/>
    <w:rsid w:val="00C30AD5"/>
    <w:rsid w:val="00C30E1B"/>
    <w:rsid w:val="00C31261"/>
    <w:rsid w:val="00C31400"/>
    <w:rsid w:val="00C31A55"/>
    <w:rsid w:val="00C31D3F"/>
    <w:rsid w:val="00C31EA0"/>
    <w:rsid w:val="00C32294"/>
    <w:rsid w:val="00C32A9F"/>
    <w:rsid w:val="00C32E9A"/>
    <w:rsid w:val="00C32F7E"/>
    <w:rsid w:val="00C3301A"/>
    <w:rsid w:val="00C332A6"/>
    <w:rsid w:val="00C3355B"/>
    <w:rsid w:val="00C33652"/>
    <w:rsid w:val="00C3368D"/>
    <w:rsid w:val="00C3387E"/>
    <w:rsid w:val="00C33A27"/>
    <w:rsid w:val="00C342B0"/>
    <w:rsid w:val="00C34404"/>
    <w:rsid w:val="00C34FBD"/>
    <w:rsid w:val="00C352DC"/>
    <w:rsid w:val="00C357DF"/>
    <w:rsid w:val="00C35800"/>
    <w:rsid w:val="00C35B79"/>
    <w:rsid w:val="00C35F7E"/>
    <w:rsid w:val="00C36301"/>
    <w:rsid w:val="00C36410"/>
    <w:rsid w:val="00C36F83"/>
    <w:rsid w:val="00C3712A"/>
    <w:rsid w:val="00C37E76"/>
    <w:rsid w:val="00C401AD"/>
    <w:rsid w:val="00C40911"/>
    <w:rsid w:val="00C40AE9"/>
    <w:rsid w:val="00C40E84"/>
    <w:rsid w:val="00C413EC"/>
    <w:rsid w:val="00C4147B"/>
    <w:rsid w:val="00C4179D"/>
    <w:rsid w:val="00C4258E"/>
    <w:rsid w:val="00C425AE"/>
    <w:rsid w:val="00C42CA9"/>
    <w:rsid w:val="00C435EF"/>
    <w:rsid w:val="00C436D1"/>
    <w:rsid w:val="00C43E39"/>
    <w:rsid w:val="00C44037"/>
    <w:rsid w:val="00C44080"/>
    <w:rsid w:val="00C446DF"/>
    <w:rsid w:val="00C44C0B"/>
    <w:rsid w:val="00C44DA2"/>
    <w:rsid w:val="00C4506C"/>
    <w:rsid w:val="00C4520F"/>
    <w:rsid w:val="00C45270"/>
    <w:rsid w:val="00C46316"/>
    <w:rsid w:val="00C463E4"/>
    <w:rsid w:val="00C466D0"/>
    <w:rsid w:val="00C47466"/>
    <w:rsid w:val="00C47B87"/>
    <w:rsid w:val="00C47D43"/>
    <w:rsid w:val="00C500C9"/>
    <w:rsid w:val="00C5022E"/>
    <w:rsid w:val="00C50524"/>
    <w:rsid w:val="00C508D9"/>
    <w:rsid w:val="00C50913"/>
    <w:rsid w:val="00C50980"/>
    <w:rsid w:val="00C50FC2"/>
    <w:rsid w:val="00C510F1"/>
    <w:rsid w:val="00C51227"/>
    <w:rsid w:val="00C5128D"/>
    <w:rsid w:val="00C51517"/>
    <w:rsid w:val="00C51B64"/>
    <w:rsid w:val="00C51DE4"/>
    <w:rsid w:val="00C51F14"/>
    <w:rsid w:val="00C5235A"/>
    <w:rsid w:val="00C524F6"/>
    <w:rsid w:val="00C525B5"/>
    <w:rsid w:val="00C5273E"/>
    <w:rsid w:val="00C5293D"/>
    <w:rsid w:val="00C52E2E"/>
    <w:rsid w:val="00C534BB"/>
    <w:rsid w:val="00C534D5"/>
    <w:rsid w:val="00C535B2"/>
    <w:rsid w:val="00C537B6"/>
    <w:rsid w:val="00C537DD"/>
    <w:rsid w:val="00C53B08"/>
    <w:rsid w:val="00C54E99"/>
    <w:rsid w:val="00C54F63"/>
    <w:rsid w:val="00C55098"/>
    <w:rsid w:val="00C553A6"/>
    <w:rsid w:val="00C55513"/>
    <w:rsid w:val="00C55EE0"/>
    <w:rsid w:val="00C55F99"/>
    <w:rsid w:val="00C57462"/>
    <w:rsid w:val="00C57FED"/>
    <w:rsid w:val="00C6023C"/>
    <w:rsid w:val="00C60376"/>
    <w:rsid w:val="00C603DB"/>
    <w:rsid w:val="00C603E8"/>
    <w:rsid w:val="00C60C71"/>
    <w:rsid w:val="00C61BC8"/>
    <w:rsid w:val="00C622FF"/>
    <w:rsid w:val="00C62412"/>
    <w:rsid w:val="00C62548"/>
    <w:rsid w:val="00C628FB"/>
    <w:rsid w:val="00C62A61"/>
    <w:rsid w:val="00C62ACA"/>
    <w:rsid w:val="00C62BE1"/>
    <w:rsid w:val="00C62C75"/>
    <w:rsid w:val="00C6314F"/>
    <w:rsid w:val="00C634EA"/>
    <w:rsid w:val="00C639D9"/>
    <w:rsid w:val="00C63AB5"/>
    <w:rsid w:val="00C63F2E"/>
    <w:rsid w:val="00C64175"/>
    <w:rsid w:val="00C642D9"/>
    <w:rsid w:val="00C644CB"/>
    <w:rsid w:val="00C6464F"/>
    <w:rsid w:val="00C65189"/>
    <w:rsid w:val="00C65248"/>
    <w:rsid w:val="00C656AC"/>
    <w:rsid w:val="00C65991"/>
    <w:rsid w:val="00C65CFC"/>
    <w:rsid w:val="00C66257"/>
    <w:rsid w:val="00C663FC"/>
    <w:rsid w:val="00C666E7"/>
    <w:rsid w:val="00C66846"/>
    <w:rsid w:val="00C669F9"/>
    <w:rsid w:val="00C66B7B"/>
    <w:rsid w:val="00C66BAB"/>
    <w:rsid w:val="00C66C5A"/>
    <w:rsid w:val="00C66DB7"/>
    <w:rsid w:val="00C676AE"/>
    <w:rsid w:val="00C67A15"/>
    <w:rsid w:val="00C67E82"/>
    <w:rsid w:val="00C700E3"/>
    <w:rsid w:val="00C70679"/>
    <w:rsid w:val="00C7076B"/>
    <w:rsid w:val="00C7081C"/>
    <w:rsid w:val="00C70884"/>
    <w:rsid w:val="00C70924"/>
    <w:rsid w:val="00C70965"/>
    <w:rsid w:val="00C7141B"/>
    <w:rsid w:val="00C715E2"/>
    <w:rsid w:val="00C7161C"/>
    <w:rsid w:val="00C7179F"/>
    <w:rsid w:val="00C71972"/>
    <w:rsid w:val="00C71AC5"/>
    <w:rsid w:val="00C71FA8"/>
    <w:rsid w:val="00C72154"/>
    <w:rsid w:val="00C727B6"/>
    <w:rsid w:val="00C727C4"/>
    <w:rsid w:val="00C73627"/>
    <w:rsid w:val="00C73865"/>
    <w:rsid w:val="00C73BAC"/>
    <w:rsid w:val="00C73FE6"/>
    <w:rsid w:val="00C740D6"/>
    <w:rsid w:val="00C74185"/>
    <w:rsid w:val="00C747E4"/>
    <w:rsid w:val="00C74A9A"/>
    <w:rsid w:val="00C74AA0"/>
    <w:rsid w:val="00C74D78"/>
    <w:rsid w:val="00C74E35"/>
    <w:rsid w:val="00C74F80"/>
    <w:rsid w:val="00C7502D"/>
    <w:rsid w:val="00C750B6"/>
    <w:rsid w:val="00C7559F"/>
    <w:rsid w:val="00C762B0"/>
    <w:rsid w:val="00C76AF3"/>
    <w:rsid w:val="00C76B50"/>
    <w:rsid w:val="00C76DA0"/>
    <w:rsid w:val="00C76E91"/>
    <w:rsid w:val="00C776C8"/>
    <w:rsid w:val="00C7788E"/>
    <w:rsid w:val="00C778BC"/>
    <w:rsid w:val="00C77933"/>
    <w:rsid w:val="00C77B57"/>
    <w:rsid w:val="00C77B76"/>
    <w:rsid w:val="00C80350"/>
    <w:rsid w:val="00C80626"/>
    <w:rsid w:val="00C807D1"/>
    <w:rsid w:val="00C81333"/>
    <w:rsid w:val="00C815F6"/>
    <w:rsid w:val="00C81A61"/>
    <w:rsid w:val="00C82310"/>
    <w:rsid w:val="00C824B6"/>
    <w:rsid w:val="00C8252F"/>
    <w:rsid w:val="00C82550"/>
    <w:rsid w:val="00C82617"/>
    <w:rsid w:val="00C82660"/>
    <w:rsid w:val="00C82A23"/>
    <w:rsid w:val="00C82B0A"/>
    <w:rsid w:val="00C82D5D"/>
    <w:rsid w:val="00C832C4"/>
    <w:rsid w:val="00C8360A"/>
    <w:rsid w:val="00C837A0"/>
    <w:rsid w:val="00C8385B"/>
    <w:rsid w:val="00C83F58"/>
    <w:rsid w:val="00C83FFE"/>
    <w:rsid w:val="00C841C9"/>
    <w:rsid w:val="00C84236"/>
    <w:rsid w:val="00C84BF6"/>
    <w:rsid w:val="00C84BF7"/>
    <w:rsid w:val="00C84E96"/>
    <w:rsid w:val="00C85199"/>
    <w:rsid w:val="00C854FF"/>
    <w:rsid w:val="00C85AC9"/>
    <w:rsid w:val="00C85FA7"/>
    <w:rsid w:val="00C86673"/>
    <w:rsid w:val="00C86A08"/>
    <w:rsid w:val="00C86AF2"/>
    <w:rsid w:val="00C86C7C"/>
    <w:rsid w:val="00C874AC"/>
    <w:rsid w:val="00C87EBE"/>
    <w:rsid w:val="00C90161"/>
    <w:rsid w:val="00C9049C"/>
    <w:rsid w:val="00C90A5C"/>
    <w:rsid w:val="00C90C87"/>
    <w:rsid w:val="00C90DFF"/>
    <w:rsid w:val="00C912B2"/>
    <w:rsid w:val="00C91378"/>
    <w:rsid w:val="00C915ED"/>
    <w:rsid w:val="00C91645"/>
    <w:rsid w:val="00C925AE"/>
    <w:rsid w:val="00C9265E"/>
    <w:rsid w:val="00C92735"/>
    <w:rsid w:val="00C92BF4"/>
    <w:rsid w:val="00C92F7A"/>
    <w:rsid w:val="00C92FD4"/>
    <w:rsid w:val="00C932CC"/>
    <w:rsid w:val="00C94438"/>
    <w:rsid w:val="00C94FC0"/>
    <w:rsid w:val="00C9549D"/>
    <w:rsid w:val="00C957A0"/>
    <w:rsid w:val="00C9580C"/>
    <w:rsid w:val="00C959C0"/>
    <w:rsid w:val="00C96344"/>
    <w:rsid w:val="00C96A08"/>
    <w:rsid w:val="00C96C4A"/>
    <w:rsid w:val="00C96EDE"/>
    <w:rsid w:val="00C96FA2"/>
    <w:rsid w:val="00C97473"/>
    <w:rsid w:val="00C978CD"/>
    <w:rsid w:val="00CA000D"/>
    <w:rsid w:val="00CA031D"/>
    <w:rsid w:val="00CA068A"/>
    <w:rsid w:val="00CA0863"/>
    <w:rsid w:val="00CA0BB8"/>
    <w:rsid w:val="00CA0D97"/>
    <w:rsid w:val="00CA0EF4"/>
    <w:rsid w:val="00CA167D"/>
    <w:rsid w:val="00CA184B"/>
    <w:rsid w:val="00CA1C4C"/>
    <w:rsid w:val="00CA1E5F"/>
    <w:rsid w:val="00CA20C5"/>
    <w:rsid w:val="00CA2190"/>
    <w:rsid w:val="00CA2211"/>
    <w:rsid w:val="00CA2406"/>
    <w:rsid w:val="00CA2A70"/>
    <w:rsid w:val="00CA334D"/>
    <w:rsid w:val="00CA3BBB"/>
    <w:rsid w:val="00CA3E29"/>
    <w:rsid w:val="00CA3EE0"/>
    <w:rsid w:val="00CA44F3"/>
    <w:rsid w:val="00CA4B80"/>
    <w:rsid w:val="00CA4D89"/>
    <w:rsid w:val="00CA54C1"/>
    <w:rsid w:val="00CA5E17"/>
    <w:rsid w:val="00CA5EA1"/>
    <w:rsid w:val="00CA5FD4"/>
    <w:rsid w:val="00CA6330"/>
    <w:rsid w:val="00CA727E"/>
    <w:rsid w:val="00CA734A"/>
    <w:rsid w:val="00CA783F"/>
    <w:rsid w:val="00CA78E5"/>
    <w:rsid w:val="00CA7A1E"/>
    <w:rsid w:val="00CB0122"/>
    <w:rsid w:val="00CB0131"/>
    <w:rsid w:val="00CB09A2"/>
    <w:rsid w:val="00CB0FFE"/>
    <w:rsid w:val="00CB134B"/>
    <w:rsid w:val="00CB1477"/>
    <w:rsid w:val="00CB1625"/>
    <w:rsid w:val="00CB1814"/>
    <w:rsid w:val="00CB18FA"/>
    <w:rsid w:val="00CB1BC1"/>
    <w:rsid w:val="00CB1D7F"/>
    <w:rsid w:val="00CB1F4D"/>
    <w:rsid w:val="00CB3103"/>
    <w:rsid w:val="00CB317C"/>
    <w:rsid w:val="00CB332C"/>
    <w:rsid w:val="00CB3810"/>
    <w:rsid w:val="00CB3BD0"/>
    <w:rsid w:val="00CB3E7D"/>
    <w:rsid w:val="00CB448E"/>
    <w:rsid w:val="00CB475A"/>
    <w:rsid w:val="00CB4988"/>
    <w:rsid w:val="00CB51A0"/>
    <w:rsid w:val="00CB54D8"/>
    <w:rsid w:val="00CB5893"/>
    <w:rsid w:val="00CB623B"/>
    <w:rsid w:val="00CB66AA"/>
    <w:rsid w:val="00CB6816"/>
    <w:rsid w:val="00CB68A3"/>
    <w:rsid w:val="00CB68AB"/>
    <w:rsid w:val="00CB6925"/>
    <w:rsid w:val="00CB6BEA"/>
    <w:rsid w:val="00CB6C2C"/>
    <w:rsid w:val="00CB6CAC"/>
    <w:rsid w:val="00CB6E35"/>
    <w:rsid w:val="00CB6F7E"/>
    <w:rsid w:val="00CB7421"/>
    <w:rsid w:val="00CB7962"/>
    <w:rsid w:val="00CB7AB9"/>
    <w:rsid w:val="00CC00C4"/>
    <w:rsid w:val="00CC0C47"/>
    <w:rsid w:val="00CC0D17"/>
    <w:rsid w:val="00CC0F35"/>
    <w:rsid w:val="00CC1948"/>
    <w:rsid w:val="00CC20D4"/>
    <w:rsid w:val="00CC26F6"/>
    <w:rsid w:val="00CC2FDA"/>
    <w:rsid w:val="00CC34ED"/>
    <w:rsid w:val="00CC38CB"/>
    <w:rsid w:val="00CC3A0E"/>
    <w:rsid w:val="00CC3A3D"/>
    <w:rsid w:val="00CC4059"/>
    <w:rsid w:val="00CC423F"/>
    <w:rsid w:val="00CC437C"/>
    <w:rsid w:val="00CC43FF"/>
    <w:rsid w:val="00CC44EC"/>
    <w:rsid w:val="00CC46A1"/>
    <w:rsid w:val="00CC4957"/>
    <w:rsid w:val="00CC4B2D"/>
    <w:rsid w:val="00CC4C90"/>
    <w:rsid w:val="00CC5068"/>
    <w:rsid w:val="00CC52DE"/>
    <w:rsid w:val="00CC5745"/>
    <w:rsid w:val="00CC64D6"/>
    <w:rsid w:val="00CC678C"/>
    <w:rsid w:val="00CC6848"/>
    <w:rsid w:val="00CC7A2A"/>
    <w:rsid w:val="00CC7C2A"/>
    <w:rsid w:val="00CC7C8A"/>
    <w:rsid w:val="00CC7CF7"/>
    <w:rsid w:val="00CD005B"/>
    <w:rsid w:val="00CD0091"/>
    <w:rsid w:val="00CD02E7"/>
    <w:rsid w:val="00CD04EE"/>
    <w:rsid w:val="00CD06E2"/>
    <w:rsid w:val="00CD08B7"/>
    <w:rsid w:val="00CD0F5C"/>
    <w:rsid w:val="00CD0F7C"/>
    <w:rsid w:val="00CD1037"/>
    <w:rsid w:val="00CD13D0"/>
    <w:rsid w:val="00CD16AA"/>
    <w:rsid w:val="00CD1A0E"/>
    <w:rsid w:val="00CD1A0F"/>
    <w:rsid w:val="00CD1B03"/>
    <w:rsid w:val="00CD21C9"/>
    <w:rsid w:val="00CD21F4"/>
    <w:rsid w:val="00CD25B9"/>
    <w:rsid w:val="00CD291B"/>
    <w:rsid w:val="00CD2983"/>
    <w:rsid w:val="00CD30A9"/>
    <w:rsid w:val="00CD32C6"/>
    <w:rsid w:val="00CD34AB"/>
    <w:rsid w:val="00CD3C89"/>
    <w:rsid w:val="00CD4211"/>
    <w:rsid w:val="00CD4237"/>
    <w:rsid w:val="00CD4910"/>
    <w:rsid w:val="00CD4BAA"/>
    <w:rsid w:val="00CD51F4"/>
    <w:rsid w:val="00CD53DA"/>
    <w:rsid w:val="00CD5504"/>
    <w:rsid w:val="00CD5612"/>
    <w:rsid w:val="00CD5AC3"/>
    <w:rsid w:val="00CD5F67"/>
    <w:rsid w:val="00CD6374"/>
    <w:rsid w:val="00CD6B57"/>
    <w:rsid w:val="00CD6B7A"/>
    <w:rsid w:val="00CD70E8"/>
    <w:rsid w:val="00CD7539"/>
    <w:rsid w:val="00CD7689"/>
    <w:rsid w:val="00CD7B4A"/>
    <w:rsid w:val="00CD7C5B"/>
    <w:rsid w:val="00CD7CE2"/>
    <w:rsid w:val="00CE000F"/>
    <w:rsid w:val="00CE004A"/>
    <w:rsid w:val="00CE005A"/>
    <w:rsid w:val="00CE0D4E"/>
    <w:rsid w:val="00CE108D"/>
    <w:rsid w:val="00CE1813"/>
    <w:rsid w:val="00CE18E8"/>
    <w:rsid w:val="00CE18F3"/>
    <w:rsid w:val="00CE1903"/>
    <w:rsid w:val="00CE1BE7"/>
    <w:rsid w:val="00CE1D3E"/>
    <w:rsid w:val="00CE1E0E"/>
    <w:rsid w:val="00CE2645"/>
    <w:rsid w:val="00CE2964"/>
    <w:rsid w:val="00CE2AD6"/>
    <w:rsid w:val="00CE2BC0"/>
    <w:rsid w:val="00CE2E0D"/>
    <w:rsid w:val="00CE34A5"/>
    <w:rsid w:val="00CE429A"/>
    <w:rsid w:val="00CE4520"/>
    <w:rsid w:val="00CE45B5"/>
    <w:rsid w:val="00CE48F3"/>
    <w:rsid w:val="00CE4B79"/>
    <w:rsid w:val="00CE4BF6"/>
    <w:rsid w:val="00CE4D0A"/>
    <w:rsid w:val="00CE4D97"/>
    <w:rsid w:val="00CE4F7C"/>
    <w:rsid w:val="00CE54D1"/>
    <w:rsid w:val="00CE5510"/>
    <w:rsid w:val="00CE577B"/>
    <w:rsid w:val="00CE5890"/>
    <w:rsid w:val="00CE6708"/>
    <w:rsid w:val="00CE6788"/>
    <w:rsid w:val="00CE6931"/>
    <w:rsid w:val="00CE7038"/>
    <w:rsid w:val="00CE7769"/>
    <w:rsid w:val="00CE7B6C"/>
    <w:rsid w:val="00CF00B5"/>
    <w:rsid w:val="00CF0328"/>
    <w:rsid w:val="00CF09C4"/>
    <w:rsid w:val="00CF12CC"/>
    <w:rsid w:val="00CF1412"/>
    <w:rsid w:val="00CF15BD"/>
    <w:rsid w:val="00CF167B"/>
    <w:rsid w:val="00CF1C42"/>
    <w:rsid w:val="00CF1D7C"/>
    <w:rsid w:val="00CF21B6"/>
    <w:rsid w:val="00CF25B1"/>
    <w:rsid w:val="00CF2A58"/>
    <w:rsid w:val="00CF380E"/>
    <w:rsid w:val="00CF3BF8"/>
    <w:rsid w:val="00CF3C50"/>
    <w:rsid w:val="00CF4285"/>
    <w:rsid w:val="00CF436B"/>
    <w:rsid w:val="00CF45A8"/>
    <w:rsid w:val="00CF4709"/>
    <w:rsid w:val="00CF4841"/>
    <w:rsid w:val="00CF48AA"/>
    <w:rsid w:val="00CF48F3"/>
    <w:rsid w:val="00CF4B32"/>
    <w:rsid w:val="00CF4D82"/>
    <w:rsid w:val="00CF4FBC"/>
    <w:rsid w:val="00CF5692"/>
    <w:rsid w:val="00CF56C1"/>
    <w:rsid w:val="00CF5A22"/>
    <w:rsid w:val="00CF5F45"/>
    <w:rsid w:val="00CF611D"/>
    <w:rsid w:val="00CF63E7"/>
    <w:rsid w:val="00CF64F0"/>
    <w:rsid w:val="00CF6704"/>
    <w:rsid w:val="00CF6D79"/>
    <w:rsid w:val="00CF76CD"/>
    <w:rsid w:val="00D00CAD"/>
    <w:rsid w:val="00D01857"/>
    <w:rsid w:val="00D01B60"/>
    <w:rsid w:val="00D01D0E"/>
    <w:rsid w:val="00D02004"/>
    <w:rsid w:val="00D023E8"/>
    <w:rsid w:val="00D02657"/>
    <w:rsid w:val="00D02CD4"/>
    <w:rsid w:val="00D02EA6"/>
    <w:rsid w:val="00D02F2E"/>
    <w:rsid w:val="00D0318A"/>
    <w:rsid w:val="00D037F7"/>
    <w:rsid w:val="00D03D4D"/>
    <w:rsid w:val="00D03F95"/>
    <w:rsid w:val="00D0400A"/>
    <w:rsid w:val="00D04534"/>
    <w:rsid w:val="00D045F4"/>
    <w:rsid w:val="00D04D9E"/>
    <w:rsid w:val="00D05588"/>
    <w:rsid w:val="00D05D1C"/>
    <w:rsid w:val="00D05D3F"/>
    <w:rsid w:val="00D06042"/>
    <w:rsid w:val="00D06222"/>
    <w:rsid w:val="00D0688F"/>
    <w:rsid w:val="00D06F1F"/>
    <w:rsid w:val="00D07E57"/>
    <w:rsid w:val="00D07E62"/>
    <w:rsid w:val="00D10503"/>
    <w:rsid w:val="00D1054E"/>
    <w:rsid w:val="00D10669"/>
    <w:rsid w:val="00D108F6"/>
    <w:rsid w:val="00D10B86"/>
    <w:rsid w:val="00D10E47"/>
    <w:rsid w:val="00D1107C"/>
    <w:rsid w:val="00D110C9"/>
    <w:rsid w:val="00D1185C"/>
    <w:rsid w:val="00D12860"/>
    <w:rsid w:val="00D12BE2"/>
    <w:rsid w:val="00D12E80"/>
    <w:rsid w:val="00D131A1"/>
    <w:rsid w:val="00D13394"/>
    <w:rsid w:val="00D1358E"/>
    <w:rsid w:val="00D135C7"/>
    <w:rsid w:val="00D1379D"/>
    <w:rsid w:val="00D13FC6"/>
    <w:rsid w:val="00D14261"/>
    <w:rsid w:val="00D147B1"/>
    <w:rsid w:val="00D147C2"/>
    <w:rsid w:val="00D14D9B"/>
    <w:rsid w:val="00D15FF5"/>
    <w:rsid w:val="00D16015"/>
    <w:rsid w:val="00D1614B"/>
    <w:rsid w:val="00D1621C"/>
    <w:rsid w:val="00D1667D"/>
    <w:rsid w:val="00D167C0"/>
    <w:rsid w:val="00D1685E"/>
    <w:rsid w:val="00D169DA"/>
    <w:rsid w:val="00D16BAC"/>
    <w:rsid w:val="00D16BE1"/>
    <w:rsid w:val="00D17134"/>
    <w:rsid w:val="00D173C0"/>
    <w:rsid w:val="00D17573"/>
    <w:rsid w:val="00D17709"/>
    <w:rsid w:val="00D17CA2"/>
    <w:rsid w:val="00D2028F"/>
    <w:rsid w:val="00D2041F"/>
    <w:rsid w:val="00D20605"/>
    <w:rsid w:val="00D209D2"/>
    <w:rsid w:val="00D20A4A"/>
    <w:rsid w:val="00D2129D"/>
    <w:rsid w:val="00D21D9E"/>
    <w:rsid w:val="00D22928"/>
    <w:rsid w:val="00D229D2"/>
    <w:rsid w:val="00D22A07"/>
    <w:rsid w:val="00D22DDC"/>
    <w:rsid w:val="00D22F9E"/>
    <w:rsid w:val="00D233B6"/>
    <w:rsid w:val="00D23BA2"/>
    <w:rsid w:val="00D24050"/>
    <w:rsid w:val="00D2454D"/>
    <w:rsid w:val="00D245A8"/>
    <w:rsid w:val="00D2516A"/>
    <w:rsid w:val="00D251A5"/>
    <w:rsid w:val="00D25354"/>
    <w:rsid w:val="00D2540C"/>
    <w:rsid w:val="00D2621F"/>
    <w:rsid w:val="00D263A4"/>
    <w:rsid w:val="00D26597"/>
    <w:rsid w:val="00D26868"/>
    <w:rsid w:val="00D27751"/>
    <w:rsid w:val="00D2F4BE"/>
    <w:rsid w:val="00D3017A"/>
    <w:rsid w:val="00D3024C"/>
    <w:rsid w:val="00D3046B"/>
    <w:rsid w:val="00D307DE"/>
    <w:rsid w:val="00D30A17"/>
    <w:rsid w:val="00D30B6C"/>
    <w:rsid w:val="00D31063"/>
    <w:rsid w:val="00D31D83"/>
    <w:rsid w:val="00D32157"/>
    <w:rsid w:val="00D325D8"/>
    <w:rsid w:val="00D329A8"/>
    <w:rsid w:val="00D32B99"/>
    <w:rsid w:val="00D3397E"/>
    <w:rsid w:val="00D33EB1"/>
    <w:rsid w:val="00D34100"/>
    <w:rsid w:val="00D34262"/>
    <w:rsid w:val="00D344B0"/>
    <w:rsid w:val="00D344B1"/>
    <w:rsid w:val="00D34E0F"/>
    <w:rsid w:val="00D34F38"/>
    <w:rsid w:val="00D34F3A"/>
    <w:rsid w:val="00D34FA5"/>
    <w:rsid w:val="00D35421"/>
    <w:rsid w:val="00D35531"/>
    <w:rsid w:val="00D35545"/>
    <w:rsid w:val="00D35653"/>
    <w:rsid w:val="00D35BB4"/>
    <w:rsid w:val="00D35E4C"/>
    <w:rsid w:val="00D35F01"/>
    <w:rsid w:val="00D3694C"/>
    <w:rsid w:val="00D37606"/>
    <w:rsid w:val="00D3774A"/>
    <w:rsid w:val="00D3779D"/>
    <w:rsid w:val="00D377F7"/>
    <w:rsid w:val="00D378DC"/>
    <w:rsid w:val="00D37A11"/>
    <w:rsid w:val="00D37CE6"/>
    <w:rsid w:val="00D40484"/>
    <w:rsid w:val="00D40EE0"/>
    <w:rsid w:val="00D40F18"/>
    <w:rsid w:val="00D40FD4"/>
    <w:rsid w:val="00D41E15"/>
    <w:rsid w:val="00D433EC"/>
    <w:rsid w:val="00D4380C"/>
    <w:rsid w:val="00D439B8"/>
    <w:rsid w:val="00D439D0"/>
    <w:rsid w:val="00D43EE8"/>
    <w:rsid w:val="00D441BD"/>
    <w:rsid w:val="00D44381"/>
    <w:rsid w:val="00D443DB"/>
    <w:rsid w:val="00D446AB"/>
    <w:rsid w:val="00D4492A"/>
    <w:rsid w:val="00D449DC"/>
    <w:rsid w:val="00D44A84"/>
    <w:rsid w:val="00D45028"/>
    <w:rsid w:val="00D45DB9"/>
    <w:rsid w:val="00D463ED"/>
    <w:rsid w:val="00D4708B"/>
    <w:rsid w:val="00D470C7"/>
    <w:rsid w:val="00D471F9"/>
    <w:rsid w:val="00D47218"/>
    <w:rsid w:val="00D472D3"/>
    <w:rsid w:val="00D478AB"/>
    <w:rsid w:val="00D47C24"/>
    <w:rsid w:val="00D47E47"/>
    <w:rsid w:val="00D47E53"/>
    <w:rsid w:val="00D500E3"/>
    <w:rsid w:val="00D50470"/>
    <w:rsid w:val="00D50D99"/>
    <w:rsid w:val="00D51205"/>
    <w:rsid w:val="00D5152C"/>
    <w:rsid w:val="00D5154B"/>
    <w:rsid w:val="00D51986"/>
    <w:rsid w:val="00D51FEA"/>
    <w:rsid w:val="00D5203F"/>
    <w:rsid w:val="00D5228C"/>
    <w:rsid w:val="00D52412"/>
    <w:rsid w:val="00D524F5"/>
    <w:rsid w:val="00D526BD"/>
    <w:rsid w:val="00D527E4"/>
    <w:rsid w:val="00D52902"/>
    <w:rsid w:val="00D52CFD"/>
    <w:rsid w:val="00D53B85"/>
    <w:rsid w:val="00D53C5A"/>
    <w:rsid w:val="00D53CD9"/>
    <w:rsid w:val="00D540CF"/>
    <w:rsid w:val="00D54410"/>
    <w:rsid w:val="00D54550"/>
    <w:rsid w:val="00D54FEE"/>
    <w:rsid w:val="00D552E1"/>
    <w:rsid w:val="00D5585E"/>
    <w:rsid w:val="00D560BD"/>
    <w:rsid w:val="00D56409"/>
    <w:rsid w:val="00D5660F"/>
    <w:rsid w:val="00D56725"/>
    <w:rsid w:val="00D5714F"/>
    <w:rsid w:val="00D577B9"/>
    <w:rsid w:val="00D603E4"/>
    <w:rsid w:val="00D60DE6"/>
    <w:rsid w:val="00D60FAA"/>
    <w:rsid w:val="00D612A5"/>
    <w:rsid w:val="00D614D3"/>
    <w:rsid w:val="00D614EA"/>
    <w:rsid w:val="00D617D5"/>
    <w:rsid w:val="00D61953"/>
    <w:rsid w:val="00D61991"/>
    <w:rsid w:val="00D619B2"/>
    <w:rsid w:val="00D61B9A"/>
    <w:rsid w:val="00D62010"/>
    <w:rsid w:val="00D62035"/>
    <w:rsid w:val="00D62387"/>
    <w:rsid w:val="00D624B2"/>
    <w:rsid w:val="00D624E8"/>
    <w:rsid w:val="00D62747"/>
    <w:rsid w:val="00D62AA9"/>
    <w:rsid w:val="00D63199"/>
    <w:rsid w:val="00D63862"/>
    <w:rsid w:val="00D63A57"/>
    <w:rsid w:val="00D63AEA"/>
    <w:rsid w:val="00D63EAA"/>
    <w:rsid w:val="00D64011"/>
    <w:rsid w:val="00D640E8"/>
    <w:rsid w:val="00D645D1"/>
    <w:rsid w:val="00D64795"/>
    <w:rsid w:val="00D648BE"/>
    <w:rsid w:val="00D64FBD"/>
    <w:rsid w:val="00D65158"/>
    <w:rsid w:val="00D65376"/>
    <w:rsid w:val="00D65596"/>
    <w:rsid w:val="00D65D29"/>
    <w:rsid w:val="00D65E47"/>
    <w:rsid w:val="00D66F2D"/>
    <w:rsid w:val="00D670F0"/>
    <w:rsid w:val="00D676B2"/>
    <w:rsid w:val="00D679A6"/>
    <w:rsid w:val="00D67A58"/>
    <w:rsid w:val="00D67B24"/>
    <w:rsid w:val="00D67F12"/>
    <w:rsid w:val="00D700DF"/>
    <w:rsid w:val="00D702A8"/>
    <w:rsid w:val="00D703BC"/>
    <w:rsid w:val="00D706DE"/>
    <w:rsid w:val="00D7081A"/>
    <w:rsid w:val="00D7096C"/>
    <w:rsid w:val="00D70D94"/>
    <w:rsid w:val="00D70F37"/>
    <w:rsid w:val="00D7109B"/>
    <w:rsid w:val="00D71114"/>
    <w:rsid w:val="00D7126F"/>
    <w:rsid w:val="00D71AC4"/>
    <w:rsid w:val="00D71B3D"/>
    <w:rsid w:val="00D72936"/>
    <w:rsid w:val="00D72D62"/>
    <w:rsid w:val="00D72E80"/>
    <w:rsid w:val="00D7326F"/>
    <w:rsid w:val="00D738D4"/>
    <w:rsid w:val="00D73959"/>
    <w:rsid w:val="00D7395D"/>
    <w:rsid w:val="00D73AEF"/>
    <w:rsid w:val="00D744B6"/>
    <w:rsid w:val="00D751AD"/>
    <w:rsid w:val="00D75403"/>
    <w:rsid w:val="00D754FD"/>
    <w:rsid w:val="00D76125"/>
    <w:rsid w:val="00D76734"/>
    <w:rsid w:val="00D76B46"/>
    <w:rsid w:val="00D76DA1"/>
    <w:rsid w:val="00D76FDD"/>
    <w:rsid w:val="00D77316"/>
    <w:rsid w:val="00D7733F"/>
    <w:rsid w:val="00D77546"/>
    <w:rsid w:val="00D78DAE"/>
    <w:rsid w:val="00D80101"/>
    <w:rsid w:val="00D80177"/>
    <w:rsid w:val="00D80401"/>
    <w:rsid w:val="00D806A5"/>
    <w:rsid w:val="00D80766"/>
    <w:rsid w:val="00D80A5E"/>
    <w:rsid w:val="00D80B41"/>
    <w:rsid w:val="00D8169F"/>
    <w:rsid w:val="00D817FA"/>
    <w:rsid w:val="00D81904"/>
    <w:rsid w:val="00D81A0E"/>
    <w:rsid w:val="00D81B4B"/>
    <w:rsid w:val="00D81EFB"/>
    <w:rsid w:val="00D81FD1"/>
    <w:rsid w:val="00D820B0"/>
    <w:rsid w:val="00D827A1"/>
    <w:rsid w:val="00D827D5"/>
    <w:rsid w:val="00D828D9"/>
    <w:rsid w:val="00D8291F"/>
    <w:rsid w:val="00D82A83"/>
    <w:rsid w:val="00D82B69"/>
    <w:rsid w:val="00D82EA2"/>
    <w:rsid w:val="00D82EA6"/>
    <w:rsid w:val="00D831AC"/>
    <w:rsid w:val="00D8321E"/>
    <w:rsid w:val="00D8351A"/>
    <w:rsid w:val="00D837DE"/>
    <w:rsid w:val="00D83D04"/>
    <w:rsid w:val="00D83EC1"/>
    <w:rsid w:val="00D8476B"/>
    <w:rsid w:val="00D8545B"/>
    <w:rsid w:val="00D85E2F"/>
    <w:rsid w:val="00D8614F"/>
    <w:rsid w:val="00D861A4"/>
    <w:rsid w:val="00D8661A"/>
    <w:rsid w:val="00D86B88"/>
    <w:rsid w:val="00D86D83"/>
    <w:rsid w:val="00D87EB0"/>
    <w:rsid w:val="00D901AF"/>
    <w:rsid w:val="00D902A7"/>
    <w:rsid w:val="00D90307"/>
    <w:rsid w:val="00D90844"/>
    <w:rsid w:val="00D90C6C"/>
    <w:rsid w:val="00D91480"/>
    <w:rsid w:val="00D916D9"/>
    <w:rsid w:val="00D9193E"/>
    <w:rsid w:val="00D919DF"/>
    <w:rsid w:val="00D91EFF"/>
    <w:rsid w:val="00D92156"/>
    <w:rsid w:val="00D925C6"/>
    <w:rsid w:val="00D925DC"/>
    <w:rsid w:val="00D926DA"/>
    <w:rsid w:val="00D9322F"/>
    <w:rsid w:val="00D93A7E"/>
    <w:rsid w:val="00D93B02"/>
    <w:rsid w:val="00D942CD"/>
    <w:rsid w:val="00D942E7"/>
    <w:rsid w:val="00D94578"/>
    <w:rsid w:val="00D94655"/>
    <w:rsid w:val="00D94A61"/>
    <w:rsid w:val="00D94AC8"/>
    <w:rsid w:val="00D94AEE"/>
    <w:rsid w:val="00D950F3"/>
    <w:rsid w:val="00D9594E"/>
    <w:rsid w:val="00D95A85"/>
    <w:rsid w:val="00D95E74"/>
    <w:rsid w:val="00D964E6"/>
    <w:rsid w:val="00D96608"/>
    <w:rsid w:val="00D9672E"/>
    <w:rsid w:val="00D967FF"/>
    <w:rsid w:val="00D968AE"/>
    <w:rsid w:val="00D96E1C"/>
    <w:rsid w:val="00D96EE7"/>
    <w:rsid w:val="00D96F6F"/>
    <w:rsid w:val="00D970E6"/>
    <w:rsid w:val="00D97745"/>
    <w:rsid w:val="00D97924"/>
    <w:rsid w:val="00D979C4"/>
    <w:rsid w:val="00D979E7"/>
    <w:rsid w:val="00DA0178"/>
    <w:rsid w:val="00DA0260"/>
    <w:rsid w:val="00DA053C"/>
    <w:rsid w:val="00DA09DF"/>
    <w:rsid w:val="00DA0D47"/>
    <w:rsid w:val="00DA1681"/>
    <w:rsid w:val="00DA1C81"/>
    <w:rsid w:val="00DA1CC1"/>
    <w:rsid w:val="00DA1D2E"/>
    <w:rsid w:val="00DA1F49"/>
    <w:rsid w:val="00DA2253"/>
    <w:rsid w:val="00DA23F0"/>
    <w:rsid w:val="00DA2991"/>
    <w:rsid w:val="00DA2A2C"/>
    <w:rsid w:val="00DA2CF9"/>
    <w:rsid w:val="00DA2FBE"/>
    <w:rsid w:val="00DA33A5"/>
    <w:rsid w:val="00DA342F"/>
    <w:rsid w:val="00DA364A"/>
    <w:rsid w:val="00DA38F5"/>
    <w:rsid w:val="00DA3DF5"/>
    <w:rsid w:val="00DA4525"/>
    <w:rsid w:val="00DA458A"/>
    <w:rsid w:val="00DA463C"/>
    <w:rsid w:val="00DA4F1A"/>
    <w:rsid w:val="00DA523F"/>
    <w:rsid w:val="00DA5DB9"/>
    <w:rsid w:val="00DA642B"/>
    <w:rsid w:val="00DA676C"/>
    <w:rsid w:val="00DA6940"/>
    <w:rsid w:val="00DA6A80"/>
    <w:rsid w:val="00DA6AE5"/>
    <w:rsid w:val="00DA6CB2"/>
    <w:rsid w:val="00DA7533"/>
    <w:rsid w:val="00DA7C50"/>
    <w:rsid w:val="00DA7E79"/>
    <w:rsid w:val="00DB0D97"/>
    <w:rsid w:val="00DB187A"/>
    <w:rsid w:val="00DB2250"/>
    <w:rsid w:val="00DB26B7"/>
    <w:rsid w:val="00DB27A5"/>
    <w:rsid w:val="00DB28CD"/>
    <w:rsid w:val="00DB2C7D"/>
    <w:rsid w:val="00DB39B5"/>
    <w:rsid w:val="00DB3A65"/>
    <w:rsid w:val="00DB3EB0"/>
    <w:rsid w:val="00DB466C"/>
    <w:rsid w:val="00DB4E96"/>
    <w:rsid w:val="00DB5046"/>
    <w:rsid w:val="00DB529A"/>
    <w:rsid w:val="00DB55F8"/>
    <w:rsid w:val="00DB5BCA"/>
    <w:rsid w:val="00DB5FE3"/>
    <w:rsid w:val="00DB5FFD"/>
    <w:rsid w:val="00DB60AD"/>
    <w:rsid w:val="00DB614B"/>
    <w:rsid w:val="00DB6314"/>
    <w:rsid w:val="00DB66BF"/>
    <w:rsid w:val="00DB680D"/>
    <w:rsid w:val="00DB6840"/>
    <w:rsid w:val="00DB6AAA"/>
    <w:rsid w:val="00DB6B50"/>
    <w:rsid w:val="00DB7616"/>
    <w:rsid w:val="00DB7B3B"/>
    <w:rsid w:val="00DB7C6A"/>
    <w:rsid w:val="00DC0504"/>
    <w:rsid w:val="00DC0A15"/>
    <w:rsid w:val="00DC0FAC"/>
    <w:rsid w:val="00DC1888"/>
    <w:rsid w:val="00DC210B"/>
    <w:rsid w:val="00DC2A37"/>
    <w:rsid w:val="00DC2DB5"/>
    <w:rsid w:val="00DC2E63"/>
    <w:rsid w:val="00DC3030"/>
    <w:rsid w:val="00DC31A4"/>
    <w:rsid w:val="00DC38A2"/>
    <w:rsid w:val="00DC3D46"/>
    <w:rsid w:val="00DC50FC"/>
    <w:rsid w:val="00DC5569"/>
    <w:rsid w:val="00DC55BF"/>
    <w:rsid w:val="00DC5821"/>
    <w:rsid w:val="00DC5822"/>
    <w:rsid w:val="00DC59A8"/>
    <w:rsid w:val="00DC5A20"/>
    <w:rsid w:val="00DC5BB8"/>
    <w:rsid w:val="00DC5BE7"/>
    <w:rsid w:val="00DC5F1B"/>
    <w:rsid w:val="00DC5F82"/>
    <w:rsid w:val="00DC65FD"/>
    <w:rsid w:val="00DC662C"/>
    <w:rsid w:val="00DC6B57"/>
    <w:rsid w:val="00DC6CF9"/>
    <w:rsid w:val="00DC72C5"/>
    <w:rsid w:val="00DC7579"/>
    <w:rsid w:val="00DC7950"/>
    <w:rsid w:val="00DC7EE6"/>
    <w:rsid w:val="00DD015A"/>
    <w:rsid w:val="00DD0265"/>
    <w:rsid w:val="00DD0525"/>
    <w:rsid w:val="00DD0DB4"/>
    <w:rsid w:val="00DD12FD"/>
    <w:rsid w:val="00DD1608"/>
    <w:rsid w:val="00DD17D2"/>
    <w:rsid w:val="00DD1B14"/>
    <w:rsid w:val="00DD1CB9"/>
    <w:rsid w:val="00DD2068"/>
    <w:rsid w:val="00DD294E"/>
    <w:rsid w:val="00DD2C58"/>
    <w:rsid w:val="00DD2FDE"/>
    <w:rsid w:val="00DD327F"/>
    <w:rsid w:val="00DD3DB5"/>
    <w:rsid w:val="00DD3E0E"/>
    <w:rsid w:val="00DD415A"/>
    <w:rsid w:val="00DD4774"/>
    <w:rsid w:val="00DD49DB"/>
    <w:rsid w:val="00DD4A16"/>
    <w:rsid w:val="00DD4EA5"/>
    <w:rsid w:val="00DD518F"/>
    <w:rsid w:val="00DD555B"/>
    <w:rsid w:val="00DD55EE"/>
    <w:rsid w:val="00DD5913"/>
    <w:rsid w:val="00DD6230"/>
    <w:rsid w:val="00DD6C19"/>
    <w:rsid w:val="00DD7157"/>
    <w:rsid w:val="00DD7DC3"/>
    <w:rsid w:val="00DE0534"/>
    <w:rsid w:val="00DE0543"/>
    <w:rsid w:val="00DE0A66"/>
    <w:rsid w:val="00DE0C33"/>
    <w:rsid w:val="00DE0DB3"/>
    <w:rsid w:val="00DE1074"/>
    <w:rsid w:val="00DE128F"/>
    <w:rsid w:val="00DE2FB9"/>
    <w:rsid w:val="00DE30B6"/>
    <w:rsid w:val="00DE3295"/>
    <w:rsid w:val="00DE3392"/>
    <w:rsid w:val="00DE343D"/>
    <w:rsid w:val="00DE39E4"/>
    <w:rsid w:val="00DE3B3C"/>
    <w:rsid w:val="00DE3BF4"/>
    <w:rsid w:val="00DE401F"/>
    <w:rsid w:val="00DE4AF0"/>
    <w:rsid w:val="00DE5252"/>
    <w:rsid w:val="00DE56FF"/>
    <w:rsid w:val="00DE572D"/>
    <w:rsid w:val="00DE58B3"/>
    <w:rsid w:val="00DE5DFF"/>
    <w:rsid w:val="00DE61AB"/>
    <w:rsid w:val="00DE6CD4"/>
    <w:rsid w:val="00DE701D"/>
    <w:rsid w:val="00DE7377"/>
    <w:rsid w:val="00DE7894"/>
    <w:rsid w:val="00DE79D2"/>
    <w:rsid w:val="00DE7B30"/>
    <w:rsid w:val="00DF0954"/>
    <w:rsid w:val="00DF0B2D"/>
    <w:rsid w:val="00DF0F7A"/>
    <w:rsid w:val="00DF135A"/>
    <w:rsid w:val="00DF14E1"/>
    <w:rsid w:val="00DF1775"/>
    <w:rsid w:val="00DF1899"/>
    <w:rsid w:val="00DF1D04"/>
    <w:rsid w:val="00DF1E93"/>
    <w:rsid w:val="00DF1F9E"/>
    <w:rsid w:val="00DF2311"/>
    <w:rsid w:val="00DF273A"/>
    <w:rsid w:val="00DF2946"/>
    <w:rsid w:val="00DF31A6"/>
    <w:rsid w:val="00DF3610"/>
    <w:rsid w:val="00DF378F"/>
    <w:rsid w:val="00DF3AC0"/>
    <w:rsid w:val="00DF4185"/>
    <w:rsid w:val="00DF482B"/>
    <w:rsid w:val="00DF48E4"/>
    <w:rsid w:val="00DF5399"/>
    <w:rsid w:val="00DF56EA"/>
    <w:rsid w:val="00DF58F8"/>
    <w:rsid w:val="00DF59AD"/>
    <w:rsid w:val="00DF5D79"/>
    <w:rsid w:val="00DF6059"/>
    <w:rsid w:val="00DF649E"/>
    <w:rsid w:val="00DF64A8"/>
    <w:rsid w:val="00DF67E9"/>
    <w:rsid w:val="00DF6987"/>
    <w:rsid w:val="00DF6B61"/>
    <w:rsid w:val="00DF6D6E"/>
    <w:rsid w:val="00DF77BA"/>
    <w:rsid w:val="00DF782E"/>
    <w:rsid w:val="00DF79F6"/>
    <w:rsid w:val="00DF7CB4"/>
    <w:rsid w:val="00DF7F3D"/>
    <w:rsid w:val="00DF7F6F"/>
    <w:rsid w:val="00E00105"/>
    <w:rsid w:val="00E003BD"/>
    <w:rsid w:val="00E0062E"/>
    <w:rsid w:val="00E00C96"/>
    <w:rsid w:val="00E01007"/>
    <w:rsid w:val="00E0107C"/>
    <w:rsid w:val="00E012E4"/>
    <w:rsid w:val="00E01915"/>
    <w:rsid w:val="00E01CEA"/>
    <w:rsid w:val="00E0240D"/>
    <w:rsid w:val="00E02547"/>
    <w:rsid w:val="00E02569"/>
    <w:rsid w:val="00E02882"/>
    <w:rsid w:val="00E02B33"/>
    <w:rsid w:val="00E02D93"/>
    <w:rsid w:val="00E031BF"/>
    <w:rsid w:val="00E03278"/>
    <w:rsid w:val="00E036D5"/>
    <w:rsid w:val="00E03820"/>
    <w:rsid w:val="00E03951"/>
    <w:rsid w:val="00E039C7"/>
    <w:rsid w:val="00E03D3E"/>
    <w:rsid w:val="00E03E3E"/>
    <w:rsid w:val="00E0573F"/>
    <w:rsid w:val="00E06092"/>
    <w:rsid w:val="00E060FA"/>
    <w:rsid w:val="00E06409"/>
    <w:rsid w:val="00E067A2"/>
    <w:rsid w:val="00E06820"/>
    <w:rsid w:val="00E072CA"/>
    <w:rsid w:val="00E0753E"/>
    <w:rsid w:val="00E0787A"/>
    <w:rsid w:val="00E07C95"/>
    <w:rsid w:val="00E10966"/>
    <w:rsid w:val="00E112F3"/>
    <w:rsid w:val="00E114C1"/>
    <w:rsid w:val="00E11ED0"/>
    <w:rsid w:val="00E11F29"/>
    <w:rsid w:val="00E1240F"/>
    <w:rsid w:val="00E126A7"/>
    <w:rsid w:val="00E127D7"/>
    <w:rsid w:val="00E12A78"/>
    <w:rsid w:val="00E12BE4"/>
    <w:rsid w:val="00E12CB8"/>
    <w:rsid w:val="00E13188"/>
    <w:rsid w:val="00E131CB"/>
    <w:rsid w:val="00E1334C"/>
    <w:rsid w:val="00E13361"/>
    <w:rsid w:val="00E1353E"/>
    <w:rsid w:val="00E13957"/>
    <w:rsid w:val="00E13A58"/>
    <w:rsid w:val="00E1400F"/>
    <w:rsid w:val="00E14703"/>
    <w:rsid w:val="00E148FA"/>
    <w:rsid w:val="00E14DDB"/>
    <w:rsid w:val="00E14F05"/>
    <w:rsid w:val="00E15EE2"/>
    <w:rsid w:val="00E16528"/>
    <w:rsid w:val="00E16616"/>
    <w:rsid w:val="00E1692E"/>
    <w:rsid w:val="00E16E2C"/>
    <w:rsid w:val="00E1725D"/>
    <w:rsid w:val="00E17E38"/>
    <w:rsid w:val="00E17F00"/>
    <w:rsid w:val="00E17F87"/>
    <w:rsid w:val="00E2035D"/>
    <w:rsid w:val="00E20722"/>
    <w:rsid w:val="00E20D0C"/>
    <w:rsid w:val="00E20D59"/>
    <w:rsid w:val="00E20E39"/>
    <w:rsid w:val="00E21016"/>
    <w:rsid w:val="00E21035"/>
    <w:rsid w:val="00E21301"/>
    <w:rsid w:val="00E219FE"/>
    <w:rsid w:val="00E22FDC"/>
    <w:rsid w:val="00E230B3"/>
    <w:rsid w:val="00E234FA"/>
    <w:rsid w:val="00E235DD"/>
    <w:rsid w:val="00E24699"/>
    <w:rsid w:val="00E24B09"/>
    <w:rsid w:val="00E253BE"/>
    <w:rsid w:val="00E25D78"/>
    <w:rsid w:val="00E25D8B"/>
    <w:rsid w:val="00E26793"/>
    <w:rsid w:val="00E26A10"/>
    <w:rsid w:val="00E26BF9"/>
    <w:rsid w:val="00E26C46"/>
    <w:rsid w:val="00E271D6"/>
    <w:rsid w:val="00E274C7"/>
    <w:rsid w:val="00E2758F"/>
    <w:rsid w:val="00E2761D"/>
    <w:rsid w:val="00E27A2D"/>
    <w:rsid w:val="00E27B66"/>
    <w:rsid w:val="00E300F3"/>
    <w:rsid w:val="00E3033D"/>
    <w:rsid w:val="00E30C16"/>
    <w:rsid w:val="00E30E22"/>
    <w:rsid w:val="00E31428"/>
    <w:rsid w:val="00E31481"/>
    <w:rsid w:val="00E31588"/>
    <w:rsid w:val="00E3159B"/>
    <w:rsid w:val="00E329C4"/>
    <w:rsid w:val="00E331AF"/>
    <w:rsid w:val="00E332AD"/>
    <w:rsid w:val="00E334F8"/>
    <w:rsid w:val="00E33571"/>
    <w:rsid w:val="00E33645"/>
    <w:rsid w:val="00E33A0A"/>
    <w:rsid w:val="00E33A68"/>
    <w:rsid w:val="00E33BE2"/>
    <w:rsid w:val="00E33CF2"/>
    <w:rsid w:val="00E33E34"/>
    <w:rsid w:val="00E343EB"/>
    <w:rsid w:val="00E34538"/>
    <w:rsid w:val="00E3535C"/>
    <w:rsid w:val="00E359C9"/>
    <w:rsid w:val="00E35E01"/>
    <w:rsid w:val="00E35E4E"/>
    <w:rsid w:val="00E35F63"/>
    <w:rsid w:val="00E3650E"/>
    <w:rsid w:val="00E37485"/>
    <w:rsid w:val="00E37816"/>
    <w:rsid w:val="00E37B2B"/>
    <w:rsid w:val="00E37BBE"/>
    <w:rsid w:val="00E37E7A"/>
    <w:rsid w:val="00E4062E"/>
    <w:rsid w:val="00E40C0B"/>
    <w:rsid w:val="00E415C4"/>
    <w:rsid w:val="00E41E62"/>
    <w:rsid w:val="00E41E8F"/>
    <w:rsid w:val="00E41F07"/>
    <w:rsid w:val="00E41F9B"/>
    <w:rsid w:val="00E42AD3"/>
    <w:rsid w:val="00E42C35"/>
    <w:rsid w:val="00E42C8E"/>
    <w:rsid w:val="00E4313F"/>
    <w:rsid w:val="00E431BB"/>
    <w:rsid w:val="00E44069"/>
    <w:rsid w:val="00E44070"/>
    <w:rsid w:val="00E444E4"/>
    <w:rsid w:val="00E4456B"/>
    <w:rsid w:val="00E445DB"/>
    <w:rsid w:val="00E44808"/>
    <w:rsid w:val="00E44BA5"/>
    <w:rsid w:val="00E44F1D"/>
    <w:rsid w:val="00E45621"/>
    <w:rsid w:val="00E4579A"/>
    <w:rsid w:val="00E45807"/>
    <w:rsid w:val="00E4601A"/>
    <w:rsid w:val="00E46073"/>
    <w:rsid w:val="00E46302"/>
    <w:rsid w:val="00E46DA7"/>
    <w:rsid w:val="00E470AE"/>
    <w:rsid w:val="00E47722"/>
    <w:rsid w:val="00E478DB"/>
    <w:rsid w:val="00E47A60"/>
    <w:rsid w:val="00E47AC9"/>
    <w:rsid w:val="00E47C34"/>
    <w:rsid w:val="00E50114"/>
    <w:rsid w:val="00E504FE"/>
    <w:rsid w:val="00E506D3"/>
    <w:rsid w:val="00E508FB"/>
    <w:rsid w:val="00E50C6A"/>
    <w:rsid w:val="00E51465"/>
    <w:rsid w:val="00E51B11"/>
    <w:rsid w:val="00E5201E"/>
    <w:rsid w:val="00E530E8"/>
    <w:rsid w:val="00E53624"/>
    <w:rsid w:val="00E537BA"/>
    <w:rsid w:val="00E53825"/>
    <w:rsid w:val="00E53C78"/>
    <w:rsid w:val="00E53CCB"/>
    <w:rsid w:val="00E544F9"/>
    <w:rsid w:val="00E552FF"/>
    <w:rsid w:val="00E55417"/>
    <w:rsid w:val="00E555CF"/>
    <w:rsid w:val="00E560E2"/>
    <w:rsid w:val="00E561C9"/>
    <w:rsid w:val="00E57A8E"/>
    <w:rsid w:val="00E57DE9"/>
    <w:rsid w:val="00E6011E"/>
    <w:rsid w:val="00E60835"/>
    <w:rsid w:val="00E60986"/>
    <w:rsid w:val="00E60BA6"/>
    <w:rsid w:val="00E61406"/>
    <w:rsid w:val="00E61BE4"/>
    <w:rsid w:val="00E6251F"/>
    <w:rsid w:val="00E62595"/>
    <w:rsid w:val="00E626F5"/>
    <w:rsid w:val="00E629B5"/>
    <w:rsid w:val="00E62E23"/>
    <w:rsid w:val="00E63246"/>
    <w:rsid w:val="00E6329A"/>
    <w:rsid w:val="00E636C4"/>
    <w:rsid w:val="00E6370B"/>
    <w:rsid w:val="00E6387F"/>
    <w:rsid w:val="00E63B22"/>
    <w:rsid w:val="00E640FE"/>
    <w:rsid w:val="00E64788"/>
    <w:rsid w:val="00E64C2D"/>
    <w:rsid w:val="00E64E11"/>
    <w:rsid w:val="00E6530B"/>
    <w:rsid w:val="00E65C2F"/>
    <w:rsid w:val="00E65F3E"/>
    <w:rsid w:val="00E65FA2"/>
    <w:rsid w:val="00E6643F"/>
    <w:rsid w:val="00E66443"/>
    <w:rsid w:val="00E66901"/>
    <w:rsid w:val="00E66DBF"/>
    <w:rsid w:val="00E67258"/>
    <w:rsid w:val="00E67395"/>
    <w:rsid w:val="00E679A1"/>
    <w:rsid w:val="00E67F78"/>
    <w:rsid w:val="00E701D5"/>
    <w:rsid w:val="00E701E1"/>
    <w:rsid w:val="00E70A09"/>
    <w:rsid w:val="00E717A2"/>
    <w:rsid w:val="00E71BBF"/>
    <w:rsid w:val="00E71D27"/>
    <w:rsid w:val="00E725F1"/>
    <w:rsid w:val="00E72D97"/>
    <w:rsid w:val="00E72EE5"/>
    <w:rsid w:val="00E73062"/>
    <w:rsid w:val="00E73605"/>
    <w:rsid w:val="00E7375C"/>
    <w:rsid w:val="00E73EA1"/>
    <w:rsid w:val="00E754C8"/>
    <w:rsid w:val="00E754D6"/>
    <w:rsid w:val="00E75F42"/>
    <w:rsid w:val="00E763B0"/>
    <w:rsid w:val="00E763EF"/>
    <w:rsid w:val="00E76AFE"/>
    <w:rsid w:val="00E77252"/>
    <w:rsid w:val="00E772B4"/>
    <w:rsid w:val="00E773EC"/>
    <w:rsid w:val="00E773F1"/>
    <w:rsid w:val="00E774E9"/>
    <w:rsid w:val="00E774F8"/>
    <w:rsid w:val="00E77574"/>
    <w:rsid w:val="00E8026E"/>
    <w:rsid w:val="00E804DC"/>
    <w:rsid w:val="00E81473"/>
    <w:rsid w:val="00E82102"/>
    <w:rsid w:val="00E824A0"/>
    <w:rsid w:val="00E82E01"/>
    <w:rsid w:val="00E83024"/>
    <w:rsid w:val="00E83136"/>
    <w:rsid w:val="00E835F2"/>
    <w:rsid w:val="00E83701"/>
    <w:rsid w:val="00E83BBF"/>
    <w:rsid w:val="00E8427F"/>
    <w:rsid w:val="00E84737"/>
    <w:rsid w:val="00E8497E"/>
    <w:rsid w:val="00E85075"/>
    <w:rsid w:val="00E8516D"/>
    <w:rsid w:val="00E8555F"/>
    <w:rsid w:val="00E85A2E"/>
    <w:rsid w:val="00E85C87"/>
    <w:rsid w:val="00E8693E"/>
    <w:rsid w:val="00E869D7"/>
    <w:rsid w:val="00E86B45"/>
    <w:rsid w:val="00E87105"/>
    <w:rsid w:val="00E87312"/>
    <w:rsid w:val="00E87AA8"/>
    <w:rsid w:val="00E87C1B"/>
    <w:rsid w:val="00E87DD3"/>
    <w:rsid w:val="00E87E8B"/>
    <w:rsid w:val="00E90C20"/>
    <w:rsid w:val="00E90CA1"/>
    <w:rsid w:val="00E914FC"/>
    <w:rsid w:val="00E9154D"/>
    <w:rsid w:val="00E9157A"/>
    <w:rsid w:val="00E915C4"/>
    <w:rsid w:val="00E91A3A"/>
    <w:rsid w:val="00E920B8"/>
    <w:rsid w:val="00E921BC"/>
    <w:rsid w:val="00E92904"/>
    <w:rsid w:val="00E92AF1"/>
    <w:rsid w:val="00E92CDF"/>
    <w:rsid w:val="00E92E95"/>
    <w:rsid w:val="00E930F2"/>
    <w:rsid w:val="00E9369A"/>
    <w:rsid w:val="00E93802"/>
    <w:rsid w:val="00E93CB7"/>
    <w:rsid w:val="00E93DBE"/>
    <w:rsid w:val="00E93F1D"/>
    <w:rsid w:val="00E941B3"/>
    <w:rsid w:val="00E94231"/>
    <w:rsid w:val="00E944C9"/>
    <w:rsid w:val="00E94C9E"/>
    <w:rsid w:val="00E951C5"/>
    <w:rsid w:val="00E952CE"/>
    <w:rsid w:val="00E95634"/>
    <w:rsid w:val="00E95AEA"/>
    <w:rsid w:val="00E95C28"/>
    <w:rsid w:val="00E95E6F"/>
    <w:rsid w:val="00E96087"/>
    <w:rsid w:val="00E964FF"/>
    <w:rsid w:val="00E9651A"/>
    <w:rsid w:val="00E96633"/>
    <w:rsid w:val="00E96934"/>
    <w:rsid w:val="00E96AAE"/>
    <w:rsid w:val="00E96EAB"/>
    <w:rsid w:val="00E97B03"/>
    <w:rsid w:val="00EA0295"/>
    <w:rsid w:val="00EA0753"/>
    <w:rsid w:val="00EA08BE"/>
    <w:rsid w:val="00EA0BCB"/>
    <w:rsid w:val="00EA0D03"/>
    <w:rsid w:val="00EA13E7"/>
    <w:rsid w:val="00EA19B8"/>
    <w:rsid w:val="00EA19F1"/>
    <w:rsid w:val="00EA1D81"/>
    <w:rsid w:val="00EA21EA"/>
    <w:rsid w:val="00EA30F3"/>
    <w:rsid w:val="00EA3141"/>
    <w:rsid w:val="00EA315E"/>
    <w:rsid w:val="00EA3293"/>
    <w:rsid w:val="00EA3317"/>
    <w:rsid w:val="00EA3A21"/>
    <w:rsid w:val="00EA46C8"/>
    <w:rsid w:val="00EA4F7F"/>
    <w:rsid w:val="00EA5619"/>
    <w:rsid w:val="00EA5B09"/>
    <w:rsid w:val="00EA5CE2"/>
    <w:rsid w:val="00EA5E8D"/>
    <w:rsid w:val="00EA681A"/>
    <w:rsid w:val="00EA6AFC"/>
    <w:rsid w:val="00EA6FA5"/>
    <w:rsid w:val="00EA70DA"/>
    <w:rsid w:val="00EA744B"/>
    <w:rsid w:val="00EA759B"/>
    <w:rsid w:val="00EA75B8"/>
    <w:rsid w:val="00EA75C5"/>
    <w:rsid w:val="00EA7E43"/>
    <w:rsid w:val="00EA7EBA"/>
    <w:rsid w:val="00EA7ECF"/>
    <w:rsid w:val="00EB071F"/>
    <w:rsid w:val="00EB148A"/>
    <w:rsid w:val="00EB26BB"/>
    <w:rsid w:val="00EB27A6"/>
    <w:rsid w:val="00EB2A1B"/>
    <w:rsid w:val="00EB2A8D"/>
    <w:rsid w:val="00EB2AA4"/>
    <w:rsid w:val="00EB2B25"/>
    <w:rsid w:val="00EB2D2C"/>
    <w:rsid w:val="00EB2E5D"/>
    <w:rsid w:val="00EB2F5E"/>
    <w:rsid w:val="00EB336F"/>
    <w:rsid w:val="00EB3A58"/>
    <w:rsid w:val="00EB3C24"/>
    <w:rsid w:val="00EB4B5D"/>
    <w:rsid w:val="00EB4E44"/>
    <w:rsid w:val="00EB5389"/>
    <w:rsid w:val="00EB5637"/>
    <w:rsid w:val="00EB57E0"/>
    <w:rsid w:val="00EB59BD"/>
    <w:rsid w:val="00EB5BE8"/>
    <w:rsid w:val="00EB5D51"/>
    <w:rsid w:val="00EB6370"/>
    <w:rsid w:val="00EB6707"/>
    <w:rsid w:val="00EB6A36"/>
    <w:rsid w:val="00EB724B"/>
    <w:rsid w:val="00EB7579"/>
    <w:rsid w:val="00EB77F8"/>
    <w:rsid w:val="00EB7936"/>
    <w:rsid w:val="00EB7A54"/>
    <w:rsid w:val="00EC0947"/>
    <w:rsid w:val="00EC0996"/>
    <w:rsid w:val="00EC15F0"/>
    <w:rsid w:val="00EC1664"/>
    <w:rsid w:val="00EC2436"/>
    <w:rsid w:val="00EC26FB"/>
    <w:rsid w:val="00EC283D"/>
    <w:rsid w:val="00EC2B59"/>
    <w:rsid w:val="00EC2CCC"/>
    <w:rsid w:val="00EC303D"/>
    <w:rsid w:val="00EC3275"/>
    <w:rsid w:val="00EC39E7"/>
    <w:rsid w:val="00EC3E1B"/>
    <w:rsid w:val="00EC3F10"/>
    <w:rsid w:val="00EC420C"/>
    <w:rsid w:val="00EC431C"/>
    <w:rsid w:val="00EC459B"/>
    <w:rsid w:val="00EC4986"/>
    <w:rsid w:val="00EC4AD2"/>
    <w:rsid w:val="00EC4C24"/>
    <w:rsid w:val="00EC4F1B"/>
    <w:rsid w:val="00EC4FA8"/>
    <w:rsid w:val="00EC654A"/>
    <w:rsid w:val="00EC6A1A"/>
    <w:rsid w:val="00EC6BDE"/>
    <w:rsid w:val="00EC6C4B"/>
    <w:rsid w:val="00EC71A4"/>
    <w:rsid w:val="00EC7215"/>
    <w:rsid w:val="00EC7B90"/>
    <w:rsid w:val="00ED03D2"/>
    <w:rsid w:val="00ED0518"/>
    <w:rsid w:val="00ED060C"/>
    <w:rsid w:val="00ED0E96"/>
    <w:rsid w:val="00ED1070"/>
    <w:rsid w:val="00ED11D9"/>
    <w:rsid w:val="00ED1CA9"/>
    <w:rsid w:val="00ED223E"/>
    <w:rsid w:val="00ED22DC"/>
    <w:rsid w:val="00ED24D4"/>
    <w:rsid w:val="00ED2EF4"/>
    <w:rsid w:val="00ED2FB5"/>
    <w:rsid w:val="00ED319B"/>
    <w:rsid w:val="00ED3274"/>
    <w:rsid w:val="00ED3322"/>
    <w:rsid w:val="00ED3EC8"/>
    <w:rsid w:val="00ED41A0"/>
    <w:rsid w:val="00ED451B"/>
    <w:rsid w:val="00ED458D"/>
    <w:rsid w:val="00ED47F2"/>
    <w:rsid w:val="00ED48E5"/>
    <w:rsid w:val="00ED4B69"/>
    <w:rsid w:val="00ED563F"/>
    <w:rsid w:val="00ED575C"/>
    <w:rsid w:val="00ED59F3"/>
    <w:rsid w:val="00ED6335"/>
    <w:rsid w:val="00ED7024"/>
    <w:rsid w:val="00ED74C8"/>
    <w:rsid w:val="00ED78D8"/>
    <w:rsid w:val="00ED7B4B"/>
    <w:rsid w:val="00ED7F69"/>
    <w:rsid w:val="00EE010E"/>
    <w:rsid w:val="00EE054E"/>
    <w:rsid w:val="00EE0B40"/>
    <w:rsid w:val="00EE0B5F"/>
    <w:rsid w:val="00EE1979"/>
    <w:rsid w:val="00EE1C85"/>
    <w:rsid w:val="00EE1E3B"/>
    <w:rsid w:val="00EE1E4F"/>
    <w:rsid w:val="00EE2060"/>
    <w:rsid w:val="00EE2977"/>
    <w:rsid w:val="00EE2ED6"/>
    <w:rsid w:val="00EE2EDE"/>
    <w:rsid w:val="00EE315D"/>
    <w:rsid w:val="00EE37D0"/>
    <w:rsid w:val="00EE39C8"/>
    <w:rsid w:val="00EE3D06"/>
    <w:rsid w:val="00EE4523"/>
    <w:rsid w:val="00EE45D7"/>
    <w:rsid w:val="00EE47A1"/>
    <w:rsid w:val="00EE49B5"/>
    <w:rsid w:val="00EE49D4"/>
    <w:rsid w:val="00EE52A5"/>
    <w:rsid w:val="00EE5695"/>
    <w:rsid w:val="00EE5870"/>
    <w:rsid w:val="00EE5CF8"/>
    <w:rsid w:val="00EE5E91"/>
    <w:rsid w:val="00EE5F48"/>
    <w:rsid w:val="00EE6059"/>
    <w:rsid w:val="00EE61A4"/>
    <w:rsid w:val="00EE6395"/>
    <w:rsid w:val="00EE68DE"/>
    <w:rsid w:val="00EE6A84"/>
    <w:rsid w:val="00EE702B"/>
    <w:rsid w:val="00EE70A8"/>
    <w:rsid w:val="00EE715F"/>
    <w:rsid w:val="00EE7249"/>
    <w:rsid w:val="00EE7C65"/>
    <w:rsid w:val="00EF009A"/>
    <w:rsid w:val="00EF0293"/>
    <w:rsid w:val="00EF0B04"/>
    <w:rsid w:val="00EF0BF4"/>
    <w:rsid w:val="00EF0D8D"/>
    <w:rsid w:val="00EF10A4"/>
    <w:rsid w:val="00EF167C"/>
    <w:rsid w:val="00EF174E"/>
    <w:rsid w:val="00EF1A20"/>
    <w:rsid w:val="00EF1A39"/>
    <w:rsid w:val="00EF1CD6"/>
    <w:rsid w:val="00EF21E3"/>
    <w:rsid w:val="00EF2772"/>
    <w:rsid w:val="00EF29B4"/>
    <w:rsid w:val="00EF2AF6"/>
    <w:rsid w:val="00EF3566"/>
    <w:rsid w:val="00EF3816"/>
    <w:rsid w:val="00EF3931"/>
    <w:rsid w:val="00EF3C08"/>
    <w:rsid w:val="00EF42C7"/>
    <w:rsid w:val="00EF45F2"/>
    <w:rsid w:val="00EF464F"/>
    <w:rsid w:val="00EF4A43"/>
    <w:rsid w:val="00EF4FDF"/>
    <w:rsid w:val="00EF5088"/>
    <w:rsid w:val="00EF56BA"/>
    <w:rsid w:val="00EF597E"/>
    <w:rsid w:val="00EF5CAE"/>
    <w:rsid w:val="00EF620C"/>
    <w:rsid w:val="00EF644E"/>
    <w:rsid w:val="00EF668C"/>
    <w:rsid w:val="00EF671E"/>
    <w:rsid w:val="00EF6E72"/>
    <w:rsid w:val="00EF6E9A"/>
    <w:rsid w:val="00EF70D2"/>
    <w:rsid w:val="00EF7164"/>
    <w:rsid w:val="00EF7671"/>
    <w:rsid w:val="00EF780B"/>
    <w:rsid w:val="00EF78BD"/>
    <w:rsid w:val="00EF7C54"/>
    <w:rsid w:val="00F008AA"/>
    <w:rsid w:val="00F00D95"/>
    <w:rsid w:val="00F01013"/>
    <w:rsid w:val="00F014CC"/>
    <w:rsid w:val="00F016D1"/>
    <w:rsid w:val="00F01856"/>
    <w:rsid w:val="00F01AA5"/>
    <w:rsid w:val="00F01FCE"/>
    <w:rsid w:val="00F02154"/>
    <w:rsid w:val="00F023AC"/>
    <w:rsid w:val="00F025AA"/>
    <w:rsid w:val="00F02898"/>
    <w:rsid w:val="00F02ACA"/>
    <w:rsid w:val="00F02CB2"/>
    <w:rsid w:val="00F03048"/>
    <w:rsid w:val="00F030A7"/>
    <w:rsid w:val="00F031D3"/>
    <w:rsid w:val="00F0327E"/>
    <w:rsid w:val="00F032B3"/>
    <w:rsid w:val="00F035D2"/>
    <w:rsid w:val="00F039AD"/>
    <w:rsid w:val="00F03DEA"/>
    <w:rsid w:val="00F04EA6"/>
    <w:rsid w:val="00F04FB8"/>
    <w:rsid w:val="00F055BB"/>
    <w:rsid w:val="00F05C3E"/>
    <w:rsid w:val="00F05E8D"/>
    <w:rsid w:val="00F06274"/>
    <w:rsid w:val="00F064B6"/>
    <w:rsid w:val="00F06588"/>
    <w:rsid w:val="00F067CE"/>
    <w:rsid w:val="00F068B6"/>
    <w:rsid w:val="00F06CA8"/>
    <w:rsid w:val="00F0708A"/>
    <w:rsid w:val="00F0739E"/>
    <w:rsid w:val="00F074AE"/>
    <w:rsid w:val="00F07881"/>
    <w:rsid w:val="00F07F27"/>
    <w:rsid w:val="00F10287"/>
    <w:rsid w:val="00F10786"/>
    <w:rsid w:val="00F10A16"/>
    <w:rsid w:val="00F10E1D"/>
    <w:rsid w:val="00F10F57"/>
    <w:rsid w:val="00F10FE5"/>
    <w:rsid w:val="00F116B9"/>
    <w:rsid w:val="00F11AB5"/>
    <w:rsid w:val="00F120E1"/>
    <w:rsid w:val="00F126BE"/>
    <w:rsid w:val="00F12A9D"/>
    <w:rsid w:val="00F12CB4"/>
    <w:rsid w:val="00F12DEE"/>
    <w:rsid w:val="00F13400"/>
    <w:rsid w:val="00F13492"/>
    <w:rsid w:val="00F13593"/>
    <w:rsid w:val="00F13605"/>
    <w:rsid w:val="00F136FE"/>
    <w:rsid w:val="00F1373B"/>
    <w:rsid w:val="00F13A63"/>
    <w:rsid w:val="00F13AFE"/>
    <w:rsid w:val="00F13BEA"/>
    <w:rsid w:val="00F13FA5"/>
    <w:rsid w:val="00F13FE6"/>
    <w:rsid w:val="00F14179"/>
    <w:rsid w:val="00F145EE"/>
    <w:rsid w:val="00F1469E"/>
    <w:rsid w:val="00F14711"/>
    <w:rsid w:val="00F14F77"/>
    <w:rsid w:val="00F1584C"/>
    <w:rsid w:val="00F15B18"/>
    <w:rsid w:val="00F15BE3"/>
    <w:rsid w:val="00F15FBE"/>
    <w:rsid w:val="00F16065"/>
    <w:rsid w:val="00F163D3"/>
    <w:rsid w:val="00F17107"/>
    <w:rsid w:val="00F172CF"/>
    <w:rsid w:val="00F20164"/>
    <w:rsid w:val="00F20188"/>
    <w:rsid w:val="00F207B1"/>
    <w:rsid w:val="00F20AC3"/>
    <w:rsid w:val="00F20D24"/>
    <w:rsid w:val="00F21373"/>
    <w:rsid w:val="00F21F78"/>
    <w:rsid w:val="00F2283C"/>
    <w:rsid w:val="00F22A55"/>
    <w:rsid w:val="00F22FA1"/>
    <w:rsid w:val="00F22FDF"/>
    <w:rsid w:val="00F23406"/>
    <w:rsid w:val="00F235FA"/>
    <w:rsid w:val="00F23A3E"/>
    <w:rsid w:val="00F23B82"/>
    <w:rsid w:val="00F241D4"/>
    <w:rsid w:val="00F24231"/>
    <w:rsid w:val="00F248B8"/>
    <w:rsid w:val="00F2505F"/>
    <w:rsid w:val="00F25511"/>
    <w:rsid w:val="00F256B2"/>
    <w:rsid w:val="00F25700"/>
    <w:rsid w:val="00F25AB9"/>
    <w:rsid w:val="00F25EB7"/>
    <w:rsid w:val="00F26A56"/>
    <w:rsid w:val="00F26A87"/>
    <w:rsid w:val="00F26A98"/>
    <w:rsid w:val="00F2744F"/>
    <w:rsid w:val="00F276DA"/>
    <w:rsid w:val="00F278D9"/>
    <w:rsid w:val="00F27948"/>
    <w:rsid w:val="00F27E33"/>
    <w:rsid w:val="00F30481"/>
    <w:rsid w:val="00F30FEB"/>
    <w:rsid w:val="00F310D9"/>
    <w:rsid w:val="00F314CF"/>
    <w:rsid w:val="00F3169D"/>
    <w:rsid w:val="00F317F8"/>
    <w:rsid w:val="00F31DA4"/>
    <w:rsid w:val="00F322DD"/>
    <w:rsid w:val="00F32433"/>
    <w:rsid w:val="00F32B1C"/>
    <w:rsid w:val="00F32B56"/>
    <w:rsid w:val="00F32BD0"/>
    <w:rsid w:val="00F3332A"/>
    <w:rsid w:val="00F3355E"/>
    <w:rsid w:val="00F33719"/>
    <w:rsid w:val="00F33952"/>
    <w:rsid w:val="00F341D1"/>
    <w:rsid w:val="00F34B9C"/>
    <w:rsid w:val="00F34E38"/>
    <w:rsid w:val="00F3506C"/>
    <w:rsid w:val="00F35154"/>
    <w:rsid w:val="00F35498"/>
    <w:rsid w:val="00F35D5C"/>
    <w:rsid w:val="00F3611D"/>
    <w:rsid w:val="00F36175"/>
    <w:rsid w:val="00F361B8"/>
    <w:rsid w:val="00F36246"/>
    <w:rsid w:val="00F3634C"/>
    <w:rsid w:val="00F363FE"/>
    <w:rsid w:val="00F36684"/>
    <w:rsid w:val="00F36FC0"/>
    <w:rsid w:val="00F377D9"/>
    <w:rsid w:val="00F3785E"/>
    <w:rsid w:val="00F37911"/>
    <w:rsid w:val="00F37C04"/>
    <w:rsid w:val="00F40183"/>
    <w:rsid w:val="00F4020F"/>
    <w:rsid w:val="00F4023D"/>
    <w:rsid w:val="00F4045F"/>
    <w:rsid w:val="00F40487"/>
    <w:rsid w:val="00F40C01"/>
    <w:rsid w:val="00F40D7C"/>
    <w:rsid w:val="00F41CF6"/>
    <w:rsid w:val="00F41D5F"/>
    <w:rsid w:val="00F41DBD"/>
    <w:rsid w:val="00F42723"/>
    <w:rsid w:val="00F42916"/>
    <w:rsid w:val="00F42C97"/>
    <w:rsid w:val="00F42F86"/>
    <w:rsid w:val="00F4304A"/>
    <w:rsid w:val="00F4313C"/>
    <w:rsid w:val="00F43533"/>
    <w:rsid w:val="00F43C36"/>
    <w:rsid w:val="00F43DBC"/>
    <w:rsid w:val="00F44084"/>
    <w:rsid w:val="00F443BA"/>
    <w:rsid w:val="00F449BC"/>
    <w:rsid w:val="00F44C3A"/>
    <w:rsid w:val="00F4503F"/>
    <w:rsid w:val="00F455E4"/>
    <w:rsid w:val="00F45961"/>
    <w:rsid w:val="00F45CC8"/>
    <w:rsid w:val="00F45E18"/>
    <w:rsid w:val="00F461CE"/>
    <w:rsid w:val="00F46299"/>
    <w:rsid w:val="00F46361"/>
    <w:rsid w:val="00F4650D"/>
    <w:rsid w:val="00F46559"/>
    <w:rsid w:val="00F4693F"/>
    <w:rsid w:val="00F469AE"/>
    <w:rsid w:val="00F46AD7"/>
    <w:rsid w:val="00F4714D"/>
    <w:rsid w:val="00F47228"/>
    <w:rsid w:val="00F47E20"/>
    <w:rsid w:val="00F47F06"/>
    <w:rsid w:val="00F4BA5B"/>
    <w:rsid w:val="00F5016F"/>
    <w:rsid w:val="00F50869"/>
    <w:rsid w:val="00F50942"/>
    <w:rsid w:val="00F50C29"/>
    <w:rsid w:val="00F5138F"/>
    <w:rsid w:val="00F51602"/>
    <w:rsid w:val="00F519FB"/>
    <w:rsid w:val="00F52335"/>
    <w:rsid w:val="00F52A1B"/>
    <w:rsid w:val="00F52DCA"/>
    <w:rsid w:val="00F52DDB"/>
    <w:rsid w:val="00F530EB"/>
    <w:rsid w:val="00F531C5"/>
    <w:rsid w:val="00F533CC"/>
    <w:rsid w:val="00F53AB2"/>
    <w:rsid w:val="00F53B11"/>
    <w:rsid w:val="00F53B34"/>
    <w:rsid w:val="00F53E8D"/>
    <w:rsid w:val="00F543AD"/>
    <w:rsid w:val="00F545BE"/>
    <w:rsid w:val="00F546A9"/>
    <w:rsid w:val="00F54E13"/>
    <w:rsid w:val="00F552F6"/>
    <w:rsid w:val="00F55444"/>
    <w:rsid w:val="00F55C7C"/>
    <w:rsid w:val="00F55DFD"/>
    <w:rsid w:val="00F56331"/>
    <w:rsid w:val="00F56387"/>
    <w:rsid w:val="00F57802"/>
    <w:rsid w:val="00F57CC3"/>
    <w:rsid w:val="00F57D27"/>
    <w:rsid w:val="00F57D76"/>
    <w:rsid w:val="00F57F76"/>
    <w:rsid w:val="00F60061"/>
    <w:rsid w:val="00F60409"/>
    <w:rsid w:val="00F6081E"/>
    <w:rsid w:val="00F60CA1"/>
    <w:rsid w:val="00F61C17"/>
    <w:rsid w:val="00F6237D"/>
    <w:rsid w:val="00F6243D"/>
    <w:rsid w:val="00F628CF"/>
    <w:rsid w:val="00F62C6B"/>
    <w:rsid w:val="00F62CD4"/>
    <w:rsid w:val="00F62E1E"/>
    <w:rsid w:val="00F63868"/>
    <w:rsid w:val="00F63AB6"/>
    <w:rsid w:val="00F63EB7"/>
    <w:rsid w:val="00F647EF"/>
    <w:rsid w:val="00F64A44"/>
    <w:rsid w:val="00F64A8D"/>
    <w:rsid w:val="00F64C1B"/>
    <w:rsid w:val="00F652DC"/>
    <w:rsid w:val="00F653DC"/>
    <w:rsid w:val="00F655FD"/>
    <w:rsid w:val="00F6582B"/>
    <w:rsid w:val="00F65D74"/>
    <w:rsid w:val="00F65EA3"/>
    <w:rsid w:val="00F66560"/>
    <w:rsid w:val="00F665B1"/>
    <w:rsid w:val="00F66EA7"/>
    <w:rsid w:val="00F66EDF"/>
    <w:rsid w:val="00F66FE3"/>
    <w:rsid w:val="00F6738D"/>
    <w:rsid w:val="00F675FE"/>
    <w:rsid w:val="00F679BC"/>
    <w:rsid w:val="00F67AB3"/>
    <w:rsid w:val="00F67C3A"/>
    <w:rsid w:val="00F702B2"/>
    <w:rsid w:val="00F7036B"/>
    <w:rsid w:val="00F70398"/>
    <w:rsid w:val="00F70460"/>
    <w:rsid w:val="00F7069A"/>
    <w:rsid w:val="00F707C1"/>
    <w:rsid w:val="00F70B32"/>
    <w:rsid w:val="00F70B96"/>
    <w:rsid w:val="00F70C6A"/>
    <w:rsid w:val="00F714E0"/>
    <w:rsid w:val="00F716CA"/>
    <w:rsid w:val="00F71C4D"/>
    <w:rsid w:val="00F71E9F"/>
    <w:rsid w:val="00F7230A"/>
    <w:rsid w:val="00F72E05"/>
    <w:rsid w:val="00F730DE"/>
    <w:rsid w:val="00F7313C"/>
    <w:rsid w:val="00F733A5"/>
    <w:rsid w:val="00F737AE"/>
    <w:rsid w:val="00F737DA"/>
    <w:rsid w:val="00F73C8E"/>
    <w:rsid w:val="00F742FB"/>
    <w:rsid w:val="00F74316"/>
    <w:rsid w:val="00F743C0"/>
    <w:rsid w:val="00F744B5"/>
    <w:rsid w:val="00F746C3"/>
    <w:rsid w:val="00F74EA9"/>
    <w:rsid w:val="00F74FE9"/>
    <w:rsid w:val="00F75094"/>
    <w:rsid w:val="00F750C4"/>
    <w:rsid w:val="00F75281"/>
    <w:rsid w:val="00F75B2C"/>
    <w:rsid w:val="00F75C86"/>
    <w:rsid w:val="00F765BC"/>
    <w:rsid w:val="00F766E4"/>
    <w:rsid w:val="00F76938"/>
    <w:rsid w:val="00F76E8D"/>
    <w:rsid w:val="00F76FEC"/>
    <w:rsid w:val="00F771ED"/>
    <w:rsid w:val="00F777F4"/>
    <w:rsid w:val="00F77B52"/>
    <w:rsid w:val="00F77C16"/>
    <w:rsid w:val="00F77E8A"/>
    <w:rsid w:val="00F8023A"/>
    <w:rsid w:val="00F8061F"/>
    <w:rsid w:val="00F80BC7"/>
    <w:rsid w:val="00F80D7C"/>
    <w:rsid w:val="00F81780"/>
    <w:rsid w:val="00F81BB8"/>
    <w:rsid w:val="00F81F7F"/>
    <w:rsid w:val="00F82480"/>
    <w:rsid w:val="00F825FF"/>
    <w:rsid w:val="00F827BC"/>
    <w:rsid w:val="00F8283F"/>
    <w:rsid w:val="00F82AC4"/>
    <w:rsid w:val="00F82D9B"/>
    <w:rsid w:val="00F82ED0"/>
    <w:rsid w:val="00F82FE1"/>
    <w:rsid w:val="00F8304B"/>
    <w:rsid w:val="00F8310D"/>
    <w:rsid w:val="00F83330"/>
    <w:rsid w:val="00F8349D"/>
    <w:rsid w:val="00F83667"/>
    <w:rsid w:val="00F83892"/>
    <w:rsid w:val="00F8402E"/>
    <w:rsid w:val="00F841C3"/>
    <w:rsid w:val="00F842E9"/>
    <w:rsid w:val="00F842F0"/>
    <w:rsid w:val="00F84A5A"/>
    <w:rsid w:val="00F84E0C"/>
    <w:rsid w:val="00F850E3"/>
    <w:rsid w:val="00F8519C"/>
    <w:rsid w:val="00F852F3"/>
    <w:rsid w:val="00F8548C"/>
    <w:rsid w:val="00F8564A"/>
    <w:rsid w:val="00F85D49"/>
    <w:rsid w:val="00F86AE9"/>
    <w:rsid w:val="00F86B2C"/>
    <w:rsid w:val="00F86EB7"/>
    <w:rsid w:val="00F87600"/>
    <w:rsid w:val="00F87A08"/>
    <w:rsid w:val="00F87CA1"/>
    <w:rsid w:val="00F9072E"/>
    <w:rsid w:val="00F9087E"/>
    <w:rsid w:val="00F911C0"/>
    <w:rsid w:val="00F91275"/>
    <w:rsid w:val="00F9134A"/>
    <w:rsid w:val="00F91416"/>
    <w:rsid w:val="00F91835"/>
    <w:rsid w:val="00F91E7A"/>
    <w:rsid w:val="00F91E88"/>
    <w:rsid w:val="00F926E4"/>
    <w:rsid w:val="00F93098"/>
    <w:rsid w:val="00F933EE"/>
    <w:rsid w:val="00F94821"/>
    <w:rsid w:val="00F94C23"/>
    <w:rsid w:val="00F94F8A"/>
    <w:rsid w:val="00F95280"/>
    <w:rsid w:val="00F9531F"/>
    <w:rsid w:val="00F95487"/>
    <w:rsid w:val="00F954CE"/>
    <w:rsid w:val="00F95543"/>
    <w:rsid w:val="00F95B64"/>
    <w:rsid w:val="00F95D4F"/>
    <w:rsid w:val="00F9692D"/>
    <w:rsid w:val="00F96B5C"/>
    <w:rsid w:val="00F96CDE"/>
    <w:rsid w:val="00F97C8E"/>
    <w:rsid w:val="00F97D0D"/>
    <w:rsid w:val="00FA05E7"/>
    <w:rsid w:val="00FA076B"/>
    <w:rsid w:val="00FA0ADF"/>
    <w:rsid w:val="00FA0C17"/>
    <w:rsid w:val="00FA0DF8"/>
    <w:rsid w:val="00FA0E23"/>
    <w:rsid w:val="00FA117D"/>
    <w:rsid w:val="00FA1B90"/>
    <w:rsid w:val="00FA1E48"/>
    <w:rsid w:val="00FA2135"/>
    <w:rsid w:val="00FA2195"/>
    <w:rsid w:val="00FA2370"/>
    <w:rsid w:val="00FA2594"/>
    <w:rsid w:val="00FA28C3"/>
    <w:rsid w:val="00FA2988"/>
    <w:rsid w:val="00FA2F64"/>
    <w:rsid w:val="00FA32A1"/>
    <w:rsid w:val="00FA332D"/>
    <w:rsid w:val="00FA355E"/>
    <w:rsid w:val="00FA3CA6"/>
    <w:rsid w:val="00FA3D60"/>
    <w:rsid w:val="00FA3E1A"/>
    <w:rsid w:val="00FA4187"/>
    <w:rsid w:val="00FA457E"/>
    <w:rsid w:val="00FA4A18"/>
    <w:rsid w:val="00FA52A5"/>
    <w:rsid w:val="00FA5793"/>
    <w:rsid w:val="00FA5A7A"/>
    <w:rsid w:val="00FA5D5B"/>
    <w:rsid w:val="00FA6AB1"/>
    <w:rsid w:val="00FA6C0A"/>
    <w:rsid w:val="00FA7482"/>
    <w:rsid w:val="00FA752A"/>
    <w:rsid w:val="00FA784C"/>
    <w:rsid w:val="00FA7BDB"/>
    <w:rsid w:val="00FA7ECD"/>
    <w:rsid w:val="00FB03B9"/>
    <w:rsid w:val="00FB0584"/>
    <w:rsid w:val="00FB06EC"/>
    <w:rsid w:val="00FB0741"/>
    <w:rsid w:val="00FB12EC"/>
    <w:rsid w:val="00FB14DC"/>
    <w:rsid w:val="00FB19FC"/>
    <w:rsid w:val="00FB1A1C"/>
    <w:rsid w:val="00FB1D35"/>
    <w:rsid w:val="00FB1EC1"/>
    <w:rsid w:val="00FB1F7F"/>
    <w:rsid w:val="00FB21E0"/>
    <w:rsid w:val="00FB2487"/>
    <w:rsid w:val="00FB29FB"/>
    <w:rsid w:val="00FB2A7E"/>
    <w:rsid w:val="00FB2B66"/>
    <w:rsid w:val="00FB35A8"/>
    <w:rsid w:val="00FB44C2"/>
    <w:rsid w:val="00FB47F1"/>
    <w:rsid w:val="00FB4A37"/>
    <w:rsid w:val="00FB4C6C"/>
    <w:rsid w:val="00FB4C85"/>
    <w:rsid w:val="00FB51D0"/>
    <w:rsid w:val="00FB5911"/>
    <w:rsid w:val="00FB5D2E"/>
    <w:rsid w:val="00FB5F73"/>
    <w:rsid w:val="00FB6310"/>
    <w:rsid w:val="00FB65B2"/>
    <w:rsid w:val="00FB682B"/>
    <w:rsid w:val="00FB68E9"/>
    <w:rsid w:val="00FB6C19"/>
    <w:rsid w:val="00FB7061"/>
    <w:rsid w:val="00FB74DC"/>
    <w:rsid w:val="00FB74E8"/>
    <w:rsid w:val="00FB76B1"/>
    <w:rsid w:val="00FB7821"/>
    <w:rsid w:val="00FB7AAF"/>
    <w:rsid w:val="00FB7B4E"/>
    <w:rsid w:val="00FB7D52"/>
    <w:rsid w:val="00FC004F"/>
    <w:rsid w:val="00FC00F0"/>
    <w:rsid w:val="00FC0317"/>
    <w:rsid w:val="00FC0385"/>
    <w:rsid w:val="00FC041A"/>
    <w:rsid w:val="00FC04B7"/>
    <w:rsid w:val="00FC06A1"/>
    <w:rsid w:val="00FC08CE"/>
    <w:rsid w:val="00FC0D93"/>
    <w:rsid w:val="00FC0E84"/>
    <w:rsid w:val="00FC122D"/>
    <w:rsid w:val="00FC15A9"/>
    <w:rsid w:val="00FC2B98"/>
    <w:rsid w:val="00FC30EB"/>
    <w:rsid w:val="00FC3313"/>
    <w:rsid w:val="00FC3554"/>
    <w:rsid w:val="00FC3830"/>
    <w:rsid w:val="00FC3DB8"/>
    <w:rsid w:val="00FC3F73"/>
    <w:rsid w:val="00FC4463"/>
    <w:rsid w:val="00FC4673"/>
    <w:rsid w:val="00FC4707"/>
    <w:rsid w:val="00FC47FC"/>
    <w:rsid w:val="00FC495F"/>
    <w:rsid w:val="00FC4A05"/>
    <w:rsid w:val="00FC536A"/>
    <w:rsid w:val="00FC56E7"/>
    <w:rsid w:val="00FC5833"/>
    <w:rsid w:val="00FC615E"/>
    <w:rsid w:val="00FC6245"/>
    <w:rsid w:val="00FC624F"/>
    <w:rsid w:val="00FC6554"/>
    <w:rsid w:val="00FC6758"/>
    <w:rsid w:val="00FC6EAF"/>
    <w:rsid w:val="00FC703A"/>
    <w:rsid w:val="00FD008F"/>
    <w:rsid w:val="00FD098E"/>
    <w:rsid w:val="00FD0B0E"/>
    <w:rsid w:val="00FD1620"/>
    <w:rsid w:val="00FD19F7"/>
    <w:rsid w:val="00FD1EC7"/>
    <w:rsid w:val="00FD259F"/>
    <w:rsid w:val="00FD2986"/>
    <w:rsid w:val="00FD2A04"/>
    <w:rsid w:val="00FD2E02"/>
    <w:rsid w:val="00FD3004"/>
    <w:rsid w:val="00FD302D"/>
    <w:rsid w:val="00FD32B5"/>
    <w:rsid w:val="00FD396B"/>
    <w:rsid w:val="00FD45BA"/>
    <w:rsid w:val="00FD4EBE"/>
    <w:rsid w:val="00FD5565"/>
    <w:rsid w:val="00FD5822"/>
    <w:rsid w:val="00FD598E"/>
    <w:rsid w:val="00FD5B2E"/>
    <w:rsid w:val="00FD5D08"/>
    <w:rsid w:val="00FD5D1B"/>
    <w:rsid w:val="00FD5E83"/>
    <w:rsid w:val="00FD6166"/>
    <w:rsid w:val="00FD67FD"/>
    <w:rsid w:val="00FD6911"/>
    <w:rsid w:val="00FD6BC1"/>
    <w:rsid w:val="00FD6E1F"/>
    <w:rsid w:val="00FD6E8D"/>
    <w:rsid w:val="00FD7246"/>
    <w:rsid w:val="00FD758D"/>
    <w:rsid w:val="00FD767A"/>
    <w:rsid w:val="00FD776A"/>
    <w:rsid w:val="00FD7904"/>
    <w:rsid w:val="00FD7EFC"/>
    <w:rsid w:val="00FE07BB"/>
    <w:rsid w:val="00FE0C09"/>
    <w:rsid w:val="00FE0F52"/>
    <w:rsid w:val="00FE103F"/>
    <w:rsid w:val="00FE1430"/>
    <w:rsid w:val="00FE1906"/>
    <w:rsid w:val="00FE1B00"/>
    <w:rsid w:val="00FE1BC3"/>
    <w:rsid w:val="00FE1C25"/>
    <w:rsid w:val="00FE2081"/>
    <w:rsid w:val="00FE2172"/>
    <w:rsid w:val="00FE22A5"/>
    <w:rsid w:val="00FE258E"/>
    <w:rsid w:val="00FE2980"/>
    <w:rsid w:val="00FE2B22"/>
    <w:rsid w:val="00FE337E"/>
    <w:rsid w:val="00FE4043"/>
    <w:rsid w:val="00FE4073"/>
    <w:rsid w:val="00FE4292"/>
    <w:rsid w:val="00FE44E4"/>
    <w:rsid w:val="00FE4BE2"/>
    <w:rsid w:val="00FE505B"/>
    <w:rsid w:val="00FE5419"/>
    <w:rsid w:val="00FE5474"/>
    <w:rsid w:val="00FE5793"/>
    <w:rsid w:val="00FE58A4"/>
    <w:rsid w:val="00FE5D15"/>
    <w:rsid w:val="00FE6A37"/>
    <w:rsid w:val="00FE6C87"/>
    <w:rsid w:val="00FE6EC9"/>
    <w:rsid w:val="00FE74FC"/>
    <w:rsid w:val="00FE770F"/>
    <w:rsid w:val="00FE77F9"/>
    <w:rsid w:val="00FE7898"/>
    <w:rsid w:val="00FE7B64"/>
    <w:rsid w:val="00FE7C2B"/>
    <w:rsid w:val="00FE7E2C"/>
    <w:rsid w:val="00FF01E2"/>
    <w:rsid w:val="00FF02CB"/>
    <w:rsid w:val="00FF0338"/>
    <w:rsid w:val="00FF1B8F"/>
    <w:rsid w:val="00FF1F6D"/>
    <w:rsid w:val="00FF2145"/>
    <w:rsid w:val="00FF2832"/>
    <w:rsid w:val="00FF29E4"/>
    <w:rsid w:val="00FF2C01"/>
    <w:rsid w:val="00FF2F65"/>
    <w:rsid w:val="00FF3251"/>
    <w:rsid w:val="00FF33B2"/>
    <w:rsid w:val="00FF3B57"/>
    <w:rsid w:val="00FF444B"/>
    <w:rsid w:val="00FF482A"/>
    <w:rsid w:val="00FF4A0B"/>
    <w:rsid w:val="00FF4A93"/>
    <w:rsid w:val="00FF508A"/>
    <w:rsid w:val="00FF5097"/>
    <w:rsid w:val="00FF5161"/>
    <w:rsid w:val="00FF53AE"/>
    <w:rsid w:val="00FF578A"/>
    <w:rsid w:val="00FF5A17"/>
    <w:rsid w:val="00FF5DD4"/>
    <w:rsid w:val="00FF6359"/>
    <w:rsid w:val="00FF660B"/>
    <w:rsid w:val="00FF67C1"/>
    <w:rsid w:val="00FF680C"/>
    <w:rsid w:val="00FF7594"/>
    <w:rsid w:val="00FF78C6"/>
    <w:rsid w:val="00FF7BC9"/>
    <w:rsid w:val="00FF7E21"/>
    <w:rsid w:val="0108617D"/>
    <w:rsid w:val="010AEFB7"/>
    <w:rsid w:val="010DAA9E"/>
    <w:rsid w:val="012E312A"/>
    <w:rsid w:val="013B8340"/>
    <w:rsid w:val="01446095"/>
    <w:rsid w:val="0160B536"/>
    <w:rsid w:val="01702F02"/>
    <w:rsid w:val="01A02275"/>
    <w:rsid w:val="01A14430"/>
    <w:rsid w:val="01C1AAD5"/>
    <w:rsid w:val="01CBD769"/>
    <w:rsid w:val="01E02078"/>
    <w:rsid w:val="0207F6DF"/>
    <w:rsid w:val="02498224"/>
    <w:rsid w:val="024D1E28"/>
    <w:rsid w:val="026FA386"/>
    <w:rsid w:val="028A2940"/>
    <w:rsid w:val="02CFE817"/>
    <w:rsid w:val="02E09BD8"/>
    <w:rsid w:val="03254532"/>
    <w:rsid w:val="033A07FF"/>
    <w:rsid w:val="036D848E"/>
    <w:rsid w:val="038616EF"/>
    <w:rsid w:val="040C1818"/>
    <w:rsid w:val="040F53B4"/>
    <w:rsid w:val="04192048"/>
    <w:rsid w:val="041C48E8"/>
    <w:rsid w:val="04251917"/>
    <w:rsid w:val="0434953D"/>
    <w:rsid w:val="04BC22F9"/>
    <w:rsid w:val="0572D316"/>
    <w:rsid w:val="058599E5"/>
    <w:rsid w:val="05A383B4"/>
    <w:rsid w:val="05C63713"/>
    <w:rsid w:val="0632C84F"/>
    <w:rsid w:val="0636E0B7"/>
    <w:rsid w:val="064283A2"/>
    <w:rsid w:val="066B0708"/>
    <w:rsid w:val="0681D604"/>
    <w:rsid w:val="06AB0765"/>
    <w:rsid w:val="06AED4A2"/>
    <w:rsid w:val="06BF7507"/>
    <w:rsid w:val="06CFDB1F"/>
    <w:rsid w:val="06DA9C3D"/>
    <w:rsid w:val="06F38A07"/>
    <w:rsid w:val="06FA0EB5"/>
    <w:rsid w:val="07821DA6"/>
    <w:rsid w:val="07830F4D"/>
    <w:rsid w:val="07B43439"/>
    <w:rsid w:val="07E7878D"/>
    <w:rsid w:val="07ED4A42"/>
    <w:rsid w:val="08051B38"/>
    <w:rsid w:val="0819EEF3"/>
    <w:rsid w:val="08517308"/>
    <w:rsid w:val="087FBD2E"/>
    <w:rsid w:val="08A64C0C"/>
    <w:rsid w:val="08BF5F9C"/>
    <w:rsid w:val="08C65520"/>
    <w:rsid w:val="08FF9426"/>
    <w:rsid w:val="0954FCC8"/>
    <w:rsid w:val="095ABB22"/>
    <w:rsid w:val="09736428"/>
    <w:rsid w:val="097C0396"/>
    <w:rsid w:val="0987C4B8"/>
    <w:rsid w:val="0994C0BC"/>
    <w:rsid w:val="0996CB14"/>
    <w:rsid w:val="09BC53A5"/>
    <w:rsid w:val="0A2F9859"/>
    <w:rsid w:val="0A62412C"/>
    <w:rsid w:val="0A6E4FF9"/>
    <w:rsid w:val="0A9E2592"/>
    <w:rsid w:val="0AF20294"/>
    <w:rsid w:val="0B065145"/>
    <w:rsid w:val="0B2BB475"/>
    <w:rsid w:val="0B4665D1"/>
    <w:rsid w:val="0B78D320"/>
    <w:rsid w:val="0BA59853"/>
    <w:rsid w:val="0BBF0871"/>
    <w:rsid w:val="0C40597F"/>
    <w:rsid w:val="0C42838A"/>
    <w:rsid w:val="0C4844CF"/>
    <w:rsid w:val="0C73B0F0"/>
    <w:rsid w:val="0C773CC5"/>
    <w:rsid w:val="0C99D590"/>
    <w:rsid w:val="0C9CB263"/>
    <w:rsid w:val="0CAEDB54"/>
    <w:rsid w:val="0CD46527"/>
    <w:rsid w:val="0CE7A8D2"/>
    <w:rsid w:val="0CFDEBC2"/>
    <w:rsid w:val="0D043B28"/>
    <w:rsid w:val="0D4B913A"/>
    <w:rsid w:val="0D520692"/>
    <w:rsid w:val="0D52970C"/>
    <w:rsid w:val="0D6E1737"/>
    <w:rsid w:val="0D7B4111"/>
    <w:rsid w:val="0D9594C2"/>
    <w:rsid w:val="0D9C90C1"/>
    <w:rsid w:val="0DA9D901"/>
    <w:rsid w:val="0DE7492C"/>
    <w:rsid w:val="0DFA4F6B"/>
    <w:rsid w:val="0E60ADDA"/>
    <w:rsid w:val="0E7C6724"/>
    <w:rsid w:val="0E84540F"/>
    <w:rsid w:val="0E900349"/>
    <w:rsid w:val="0E950E79"/>
    <w:rsid w:val="0EB6D51F"/>
    <w:rsid w:val="0EEFD890"/>
    <w:rsid w:val="0F1325FE"/>
    <w:rsid w:val="0F1D2F89"/>
    <w:rsid w:val="0F1E6AA9"/>
    <w:rsid w:val="0F615E1E"/>
    <w:rsid w:val="0F61B42C"/>
    <w:rsid w:val="0F7C2F31"/>
    <w:rsid w:val="0F8D1302"/>
    <w:rsid w:val="0F9CA63E"/>
    <w:rsid w:val="1014EDD7"/>
    <w:rsid w:val="102B5B56"/>
    <w:rsid w:val="108D0D15"/>
    <w:rsid w:val="10B0AC8B"/>
    <w:rsid w:val="10BA99E7"/>
    <w:rsid w:val="10CCDB75"/>
    <w:rsid w:val="10D2E101"/>
    <w:rsid w:val="110AA60B"/>
    <w:rsid w:val="112F8D4D"/>
    <w:rsid w:val="114103B0"/>
    <w:rsid w:val="1157C5AF"/>
    <w:rsid w:val="118FD15A"/>
    <w:rsid w:val="1190AC89"/>
    <w:rsid w:val="11AB4002"/>
    <w:rsid w:val="121A85F0"/>
    <w:rsid w:val="1296A3D1"/>
    <w:rsid w:val="12B11E50"/>
    <w:rsid w:val="12B584B8"/>
    <w:rsid w:val="12B5DD9A"/>
    <w:rsid w:val="12D36A7B"/>
    <w:rsid w:val="1319DE5F"/>
    <w:rsid w:val="134A8FD0"/>
    <w:rsid w:val="13A0027B"/>
    <w:rsid w:val="13B03E0C"/>
    <w:rsid w:val="13E46469"/>
    <w:rsid w:val="13E5EC6D"/>
    <w:rsid w:val="140307E7"/>
    <w:rsid w:val="1406CB63"/>
    <w:rsid w:val="141C55AA"/>
    <w:rsid w:val="1436371F"/>
    <w:rsid w:val="145DC917"/>
    <w:rsid w:val="14699BEC"/>
    <w:rsid w:val="149E6B64"/>
    <w:rsid w:val="14D91CA4"/>
    <w:rsid w:val="14E7CDA1"/>
    <w:rsid w:val="14E89D2D"/>
    <w:rsid w:val="14FFC132"/>
    <w:rsid w:val="1508B24A"/>
    <w:rsid w:val="151530C5"/>
    <w:rsid w:val="154393EB"/>
    <w:rsid w:val="155523F3"/>
    <w:rsid w:val="157BB48E"/>
    <w:rsid w:val="1588E2D3"/>
    <w:rsid w:val="159E8D6B"/>
    <w:rsid w:val="15A4F713"/>
    <w:rsid w:val="15B5BC13"/>
    <w:rsid w:val="15BD3E33"/>
    <w:rsid w:val="15E3F675"/>
    <w:rsid w:val="160831E6"/>
    <w:rsid w:val="16183556"/>
    <w:rsid w:val="166E8F55"/>
    <w:rsid w:val="16A0D80F"/>
    <w:rsid w:val="16A14819"/>
    <w:rsid w:val="16D42613"/>
    <w:rsid w:val="16D56D96"/>
    <w:rsid w:val="16F4BE8D"/>
    <w:rsid w:val="16F6D857"/>
    <w:rsid w:val="1703288E"/>
    <w:rsid w:val="1708891A"/>
    <w:rsid w:val="1732AD7D"/>
    <w:rsid w:val="176DCD49"/>
    <w:rsid w:val="179AF209"/>
    <w:rsid w:val="179BDDDC"/>
    <w:rsid w:val="17EF3483"/>
    <w:rsid w:val="180CEF6C"/>
    <w:rsid w:val="181BA31A"/>
    <w:rsid w:val="183D8EEE"/>
    <w:rsid w:val="185DBF60"/>
    <w:rsid w:val="1877BE81"/>
    <w:rsid w:val="188F201E"/>
    <w:rsid w:val="189D6AB5"/>
    <w:rsid w:val="18AE9A70"/>
    <w:rsid w:val="190901BE"/>
    <w:rsid w:val="191F04C0"/>
    <w:rsid w:val="1962D99B"/>
    <w:rsid w:val="19724EC9"/>
    <w:rsid w:val="19A19545"/>
    <w:rsid w:val="19C3F598"/>
    <w:rsid w:val="1A25DE22"/>
    <w:rsid w:val="1A42771F"/>
    <w:rsid w:val="1A42FFBC"/>
    <w:rsid w:val="1A48674E"/>
    <w:rsid w:val="1A8520CB"/>
    <w:rsid w:val="1ACF1C10"/>
    <w:rsid w:val="1AEC46CA"/>
    <w:rsid w:val="1AF8833B"/>
    <w:rsid w:val="1B075AC9"/>
    <w:rsid w:val="1B263DCD"/>
    <w:rsid w:val="1B38072C"/>
    <w:rsid w:val="1B7D7F66"/>
    <w:rsid w:val="1B827A0B"/>
    <w:rsid w:val="1B8BFCF5"/>
    <w:rsid w:val="1BDF88B3"/>
    <w:rsid w:val="1BFFE100"/>
    <w:rsid w:val="1C10C7A4"/>
    <w:rsid w:val="1C2806B6"/>
    <w:rsid w:val="1C3BBFAF"/>
    <w:rsid w:val="1C94539C"/>
    <w:rsid w:val="1C9DA517"/>
    <w:rsid w:val="1CBE417A"/>
    <w:rsid w:val="1CC1EE8B"/>
    <w:rsid w:val="1CFD9B2D"/>
    <w:rsid w:val="1D0D2E69"/>
    <w:rsid w:val="1D0E0021"/>
    <w:rsid w:val="1D41551B"/>
    <w:rsid w:val="1D441300"/>
    <w:rsid w:val="1D662DEF"/>
    <w:rsid w:val="1D68BEAA"/>
    <w:rsid w:val="1D764023"/>
    <w:rsid w:val="1D7FEF95"/>
    <w:rsid w:val="1D96E09B"/>
    <w:rsid w:val="1DB73F20"/>
    <w:rsid w:val="1DD38077"/>
    <w:rsid w:val="1E30542D"/>
    <w:rsid w:val="1E490CD9"/>
    <w:rsid w:val="1E5D9562"/>
    <w:rsid w:val="1E6E31AD"/>
    <w:rsid w:val="1EC7571E"/>
    <w:rsid w:val="1ECA7E4C"/>
    <w:rsid w:val="1EF75707"/>
    <w:rsid w:val="1F367FC2"/>
    <w:rsid w:val="1F40B82E"/>
    <w:rsid w:val="1F6913E9"/>
    <w:rsid w:val="1F7168AB"/>
    <w:rsid w:val="1F7257F7"/>
    <w:rsid w:val="1F748F61"/>
    <w:rsid w:val="1F86B662"/>
    <w:rsid w:val="1FD8472C"/>
    <w:rsid w:val="1FE24F9C"/>
    <w:rsid w:val="1FEF3D47"/>
    <w:rsid w:val="1FEF8E21"/>
    <w:rsid w:val="2041CFDD"/>
    <w:rsid w:val="205B0624"/>
    <w:rsid w:val="207990DD"/>
    <w:rsid w:val="20848E27"/>
    <w:rsid w:val="20849240"/>
    <w:rsid w:val="208E195D"/>
    <w:rsid w:val="209D2D1A"/>
    <w:rsid w:val="20B37207"/>
    <w:rsid w:val="20E8EFF2"/>
    <w:rsid w:val="210F0F92"/>
    <w:rsid w:val="217F5568"/>
    <w:rsid w:val="218EA03A"/>
    <w:rsid w:val="21AF48C3"/>
    <w:rsid w:val="21C21E0C"/>
    <w:rsid w:val="21C24450"/>
    <w:rsid w:val="21ED09E6"/>
    <w:rsid w:val="21EF0E86"/>
    <w:rsid w:val="221CC8BD"/>
    <w:rsid w:val="2247B7E3"/>
    <w:rsid w:val="2248E974"/>
    <w:rsid w:val="2257883F"/>
    <w:rsid w:val="226D94C9"/>
    <w:rsid w:val="227148D7"/>
    <w:rsid w:val="227A47AC"/>
    <w:rsid w:val="227E7A65"/>
    <w:rsid w:val="227FE647"/>
    <w:rsid w:val="22A410C7"/>
    <w:rsid w:val="22AE06FE"/>
    <w:rsid w:val="22AEF2D4"/>
    <w:rsid w:val="22AFF2DB"/>
    <w:rsid w:val="22BFE0BD"/>
    <w:rsid w:val="22C487BC"/>
    <w:rsid w:val="22F32C89"/>
    <w:rsid w:val="22FB414D"/>
    <w:rsid w:val="2350FBE1"/>
    <w:rsid w:val="2382159F"/>
    <w:rsid w:val="2395A32B"/>
    <w:rsid w:val="23A68D26"/>
    <w:rsid w:val="23CB37A2"/>
    <w:rsid w:val="23E76F4D"/>
    <w:rsid w:val="24158095"/>
    <w:rsid w:val="243007A8"/>
    <w:rsid w:val="248AF382"/>
    <w:rsid w:val="249CF4B6"/>
    <w:rsid w:val="24BD295C"/>
    <w:rsid w:val="24DDA6CC"/>
    <w:rsid w:val="25053B53"/>
    <w:rsid w:val="25083A7D"/>
    <w:rsid w:val="25580363"/>
    <w:rsid w:val="255D6986"/>
    <w:rsid w:val="256C7B64"/>
    <w:rsid w:val="2578DA86"/>
    <w:rsid w:val="259E111A"/>
    <w:rsid w:val="25C0ADBE"/>
    <w:rsid w:val="25C6E06F"/>
    <w:rsid w:val="25D88CFC"/>
    <w:rsid w:val="25EC7258"/>
    <w:rsid w:val="25F511E7"/>
    <w:rsid w:val="25FDCFC9"/>
    <w:rsid w:val="2600A588"/>
    <w:rsid w:val="2632E663"/>
    <w:rsid w:val="2647F780"/>
    <w:rsid w:val="2685225E"/>
    <w:rsid w:val="26AD16C1"/>
    <w:rsid w:val="26BA5E84"/>
    <w:rsid w:val="26D26903"/>
    <w:rsid w:val="26D8F3A5"/>
    <w:rsid w:val="274973D7"/>
    <w:rsid w:val="2771BDDB"/>
    <w:rsid w:val="279F2538"/>
    <w:rsid w:val="27B12166"/>
    <w:rsid w:val="27C0CF21"/>
    <w:rsid w:val="288FA425"/>
    <w:rsid w:val="2930DD04"/>
    <w:rsid w:val="2946D9AC"/>
    <w:rsid w:val="2955F43C"/>
    <w:rsid w:val="29713EF0"/>
    <w:rsid w:val="29761A0D"/>
    <w:rsid w:val="29B7A06A"/>
    <w:rsid w:val="29F8D8B9"/>
    <w:rsid w:val="2A03AB8B"/>
    <w:rsid w:val="2A277ADD"/>
    <w:rsid w:val="2AD447FC"/>
    <w:rsid w:val="2AEE3817"/>
    <w:rsid w:val="2B0ECD31"/>
    <w:rsid w:val="2B1D9B36"/>
    <w:rsid w:val="2B2CE182"/>
    <w:rsid w:val="2B354460"/>
    <w:rsid w:val="2BA91E8E"/>
    <w:rsid w:val="2BC40BA5"/>
    <w:rsid w:val="2BD371FF"/>
    <w:rsid w:val="2BED4D23"/>
    <w:rsid w:val="2C4D2C6B"/>
    <w:rsid w:val="2C59AE82"/>
    <w:rsid w:val="2C65F064"/>
    <w:rsid w:val="2C84DA26"/>
    <w:rsid w:val="2C87F8A8"/>
    <w:rsid w:val="2C89627E"/>
    <w:rsid w:val="2C900482"/>
    <w:rsid w:val="2C9DC57E"/>
    <w:rsid w:val="2CBBD18D"/>
    <w:rsid w:val="2CC54E76"/>
    <w:rsid w:val="2CD34CB7"/>
    <w:rsid w:val="2CD617B6"/>
    <w:rsid w:val="2CD668C8"/>
    <w:rsid w:val="2D080155"/>
    <w:rsid w:val="2D10FC19"/>
    <w:rsid w:val="2D512AE5"/>
    <w:rsid w:val="2D568317"/>
    <w:rsid w:val="2D687798"/>
    <w:rsid w:val="2DD5DB34"/>
    <w:rsid w:val="2DE5E497"/>
    <w:rsid w:val="2DF5CCE5"/>
    <w:rsid w:val="2DFF95A9"/>
    <w:rsid w:val="2E1A4F56"/>
    <w:rsid w:val="2E2C21A5"/>
    <w:rsid w:val="2E4608EC"/>
    <w:rsid w:val="2E6558DC"/>
    <w:rsid w:val="2E7D8D13"/>
    <w:rsid w:val="2EB6856B"/>
    <w:rsid w:val="2EE86DE2"/>
    <w:rsid w:val="2EFB36CC"/>
    <w:rsid w:val="2F0C4E01"/>
    <w:rsid w:val="2F33F6C4"/>
    <w:rsid w:val="2F37DD0A"/>
    <w:rsid w:val="2F4B1BD7"/>
    <w:rsid w:val="2F50C24C"/>
    <w:rsid w:val="2F59DE0D"/>
    <w:rsid w:val="2F5CAB58"/>
    <w:rsid w:val="2F6E8588"/>
    <w:rsid w:val="2F781693"/>
    <w:rsid w:val="2F90AA19"/>
    <w:rsid w:val="2F9FF4DB"/>
    <w:rsid w:val="2FD76675"/>
    <w:rsid w:val="2FF47F4E"/>
    <w:rsid w:val="301CFF74"/>
    <w:rsid w:val="3033905C"/>
    <w:rsid w:val="3046BAA9"/>
    <w:rsid w:val="3052725D"/>
    <w:rsid w:val="3055EA9D"/>
    <w:rsid w:val="309B2F7B"/>
    <w:rsid w:val="30B0A045"/>
    <w:rsid w:val="30DB5D88"/>
    <w:rsid w:val="30F69353"/>
    <w:rsid w:val="3125EC3E"/>
    <w:rsid w:val="316CDBCE"/>
    <w:rsid w:val="3170EDA5"/>
    <w:rsid w:val="31B0C4BD"/>
    <w:rsid w:val="31B7DC88"/>
    <w:rsid w:val="31BD82A3"/>
    <w:rsid w:val="31C8126E"/>
    <w:rsid w:val="31D94131"/>
    <w:rsid w:val="31E6F1AF"/>
    <w:rsid w:val="321C880D"/>
    <w:rsid w:val="3220305E"/>
    <w:rsid w:val="3269BEF1"/>
    <w:rsid w:val="32766F33"/>
    <w:rsid w:val="328257CD"/>
    <w:rsid w:val="328BD789"/>
    <w:rsid w:val="32B568E3"/>
    <w:rsid w:val="32BB4944"/>
    <w:rsid w:val="32C71AAF"/>
    <w:rsid w:val="32CF1C88"/>
    <w:rsid w:val="332D1658"/>
    <w:rsid w:val="333FD395"/>
    <w:rsid w:val="334749C7"/>
    <w:rsid w:val="3369EFAF"/>
    <w:rsid w:val="33A4895D"/>
    <w:rsid w:val="33A4D150"/>
    <w:rsid w:val="33A6A29B"/>
    <w:rsid w:val="33B5E439"/>
    <w:rsid w:val="33D74E5F"/>
    <w:rsid w:val="341D7491"/>
    <w:rsid w:val="342A9DA8"/>
    <w:rsid w:val="34418063"/>
    <w:rsid w:val="344C6D29"/>
    <w:rsid w:val="347003D6"/>
    <w:rsid w:val="347AB2E8"/>
    <w:rsid w:val="3483A33F"/>
    <w:rsid w:val="3486CE53"/>
    <w:rsid w:val="34885208"/>
    <w:rsid w:val="34C08ECB"/>
    <w:rsid w:val="351AE7FE"/>
    <w:rsid w:val="3524B98F"/>
    <w:rsid w:val="35280E0F"/>
    <w:rsid w:val="35541817"/>
    <w:rsid w:val="35608AEC"/>
    <w:rsid w:val="35726D88"/>
    <w:rsid w:val="360641F0"/>
    <w:rsid w:val="362191A3"/>
    <w:rsid w:val="362F472E"/>
    <w:rsid w:val="364807AD"/>
    <w:rsid w:val="36529F66"/>
    <w:rsid w:val="367D6401"/>
    <w:rsid w:val="368F00DE"/>
    <w:rsid w:val="36B0D9BE"/>
    <w:rsid w:val="36CCA55B"/>
    <w:rsid w:val="36CF44D8"/>
    <w:rsid w:val="36D88D3D"/>
    <w:rsid w:val="37059F2B"/>
    <w:rsid w:val="371156D7"/>
    <w:rsid w:val="378AC511"/>
    <w:rsid w:val="37A66B10"/>
    <w:rsid w:val="37D547AE"/>
    <w:rsid w:val="37FD7342"/>
    <w:rsid w:val="37FDD3BD"/>
    <w:rsid w:val="3801B58E"/>
    <w:rsid w:val="384C42D7"/>
    <w:rsid w:val="384CAA1F"/>
    <w:rsid w:val="385828E9"/>
    <w:rsid w:val="385A3A14"/>
    <w:rsid w:val="3871378E"/>
    <w:rsid w:val="3888B73F"/>
    <w:rsid w:val="38894AC4"/>
    <w:rsid w:val="389D62D1"/>
    <w:rsid w:val="38C23C73"/>
    <w:rsid w:val="38C686FA"/>
    <w:rsid w:val="38D9B398"/>
    <w:rsid w:val="38FBA3DC"/>
    <w:rsid w:val="38FFDBF3"/>
    <w:rsid w:val="390B71B0"/>
    <w:rsid w:val="3929507D"/>
    <w:rsid w:val="39A1BEB2"/>
    <w:rsid w:val="39A9B12A"/>
    <w:rsid w:val="3A0168B2"/>
    <w:rsid w:val="3A251B25"/>
    <w:rsid w:val="3A29F2EB"/>
    <w:rsid w:val="3A4F1F56"/>
    <w:rsid w:val="3A6DF5CD"/>
    <w:rsid w:val="3A706ABE"/>
    <w:rsid w:val="3A7FFBAD"/>
    <w:rsid w:val="3AA417E7"/>
    <w:rsid w:val="3AD48294"/>
    <w:rsid w:val="3AF9EF84"/>
    <w:rsid w:val="3B0361CE"/>
    <w:rsid w:val="3B111250"/>
    <w:rsid w:val="3BA69B6C"/>
    <w:rsid w:val="3BB532DC"/>
    <w:rsid w:val="3BBCEF77"/>
    <w:rsid w:val="3BF11036"/>
    <w:rsid w:val="3BF4DB55"/>
    <w:rsid w:val="3BF98DBE"/>
    <w:rsid w:val="3BFAA8FA"/>
    <w:rsid w:val="3C0A7A19"/>
    <w:rsid w:val="3C407925"/>
    <w:rsid w:val="3C4D09CD"/>
    <w:rsid w:val="3C83ADBA"/>
    <w:rsid w:val="3CDB29AB"/>
    <w:rsid w:val="3CDDA0E3"/>
    <w:rsid w:val="3CF99417"/>
    <w:rsid w:val="3CFCF0D3"/>
    <w:rsid w:val="3D106313"/>
    <w:rsid w:val="3D1E8DFC"/>
    <w:rsid w:val="3D402FEE"/>
    <w:rsid w:val="3D46937A"/>
    <w:rsid w:val="3D475809"/>
    <w:rsid w:val="3D596D7B"/>
    <w:rsid w:val="3D5CA5AD"/>
    <w:rsid w:val="3D62B9A9"/>
    <w:rsid w:val="3D63F01A"/>
    <w:rsid w:val="3D6483AB"/>
    <w:rsid w:val="3D64B581"/>
    <w:rsid w:val="3D66B952"/>
    <w:rsid w:val="3D6CDB95"/>
    <w:rsid w:val="3D731F98"/>
    <w:rsid w:val="3DA5A5A4"/>
    <w:rsid w:val="3DC51831"/>
    <w:rsid w:val="3DCA1CD1"/>
    <w:rsid w:val="3DE70E6C"/>
    <w:rsid w:val="3DF1EF2D"/>
    <w:rsid w:val="3DF21DA2"/>
    <w:rsid w:val="3E03DB98"/>
    <w:rsid w:val="3E5966AA"/>
    <w:rsid w:val="3E5E0D9E"/>
    <w:rsid w:val="3E814811"/>
    <w:rsid w:val="3EAC9237"/>
    <w:rsid w:val="3EBA2607"/>
    <w:rsid w:val="3F4F6D2D"/>
    <w:rsid w:val="3F59F71C"/>
    <w:rsid w:val="3F648850"/>
    <w:rsid w:val="3F7F241B"/>
    <w:rsid w:val="3F8041A3"/>
    <w:rsid w:val="3F949016"/>
    <w:rsid w:val="4007BEF1"/>
    <w:rsid w:val="4008558B"/>
    <w:rsid w:val="40102D0A"/>
    <w:rsid w:val="4039A74A"/>
    <w:rsid w:val="4080AE18"/>
    <w:rsid w:val="40B55667"/>
    <w:rsid w:val="40E083E4"/>
    <w:rsid w:val="4163DD0B"/>
    <w:rsid w:val="41910E21"/>
    <w:rsid w:val="41B3C8EF"/>
    <w:rsid w:val="41DC7F12"/>
    <w:rsid w:val="424AF8F6"/>
    <w:rsid w:val="42632150"/>
    <w:rsid w:val="42A28899"/>
    <w:rsid w:val="42B53A61"/>
    <w:rsid w:val="42D0F3E4"/>
    <w:rsid w:val="42E758C5"/>
    <w:rsid w:val="43029468"/>
    <w:rsid w:val="432A171B"/>
    <w:rsid w:val="43331091"/>
    <w:rsid w:val="4335CF5B"/>
    <w:rsid w:val="43F44028"/>
    <w:rsid w:val="43FBA12A"/>
    <w:rsid w:val="4435DF43"/>
    <w:rsid w:val="44710282"/>
    <w:rsid w:val="449895A4"/>
    <w:rsid w:val="44BFEF68"/>
    <w:rsid w:val="44C01037"/>
    <w:rsid w:val="44DE51A4"/>
    <w:rsid w:val="44F0520A"/>
    <w:rsid w:val="453022B4"/>
    <w:rsid w:val="45783035"/>
    <w:rsid w:val="457DFB0F"/>
    <w:rsid w:val="45B63C81"/>
    <w:rsid w:val="4617AD96"/>
    <w:rsid w:val="463C43BB"/>
    <w:rsid w:val="466A71A9"/>
    <w:rsid w:val="466F8C46"/>
    <w:rsid w:val="46981D52"/>
    <w:rsid w:val="46A85CB3"/>
    <w:rsid w:val="46C3CBC2"/>
    <w:rsid w:val="46E72764"/>
    <w:rsid w:val="46F3F16C"/>
    <w:rsid w:val="4726F6FF"/>
    <w:rsid w:val="473A7EC9"/>
    <w:rsid w:val="4746F8BC"/>
    <w:rsid w:val="477F52A0"/>
    <w:rsid w:val="47F21BF2"/>
    <w:rsid w:val="480F2F60"/>
    <w:rsid w:val="482AB9C9"/>
    <w:rsid w:val="48353946"/>
    <w:rsid w:val="48479C19"/>
    <w:rsid w:val="484FF7A5"/>
    <w:rsid w:val="48672BFE"/>
    <w:rsid w:val="48848DD3"/>
    <w:rsid w:val="4886CD47"/>
    <w:rsid w:val="48C79A13"/>
    <w:rsid w:val="48FA1AE1"/>
    <w:rsid w:val="493EA061"/>
    <w:rsid w:val="4979759F"/>
    <w:rsid w:val="4992D772"/>
    <w:rsid w:val="49C78DD3"/>
    <w:rsid w:val="49DA149D"/>
    <w:rsid w:val="4A19EA29"/>
    <w:rsid w:val="4A2C0C06"/>
    <w:rsid w:val="4A3E6100"/>
    <w:rsid w:val="4A59CAA3"/>
    <w:rsid w:val="4A64D15C"/>
    <w:rsid w:val="4A6C05AF"/>
    <w:rsid w:val="4A7ACA4D"/>
    <w:rsid w:val="4A8213ED"/>
    <w:rsid w:val="4A9090E0"/>
    <w:rsid w:val="4A93E39B"/>
    <w:rsid w:val="4AF2048D"/>
    <w:rsid w:val="4AF70759"/>
    <w:rsid w:val="4B2B05D3"/>
    <w:rsid w:val="4B49B779"/>
    <w:rsid w:val="4B624BA5"/>
    <w:rsid w:val="4B641FCA"/>
    <w:rsid w:val="4BAA006E"/>
    <w:rsid w:val="4BAB2ED4"/>
    <w:rsid w:val="4BBAF514"/>
    <w:rsid w:val="4BDA10BC"/>
    <w:rsid w:val="4BDB04E4"/>
    <w:rsid w:val="4BFD9DF5"/>
    <w:rsid w:val="4C07D610"/>
    <w:rsid w:val="4C158A2A"/>
    <w:rsid w:val="4C5AE0A8"/>
    <w:rsid w:val="4CC05C3F"/>
    <w:rsid w:val="4CD618CD"/>
    <w:rsid w:val="4CEF3CF4"/>
    <w:rsid w:val="4D1E60FC"/>
    <w:rsid w:val="4D22E218"/>
    <w:rsid w:val="4D38D525"/>
    <w:rsid w:val="4D48E68F"/>
    <w:rsid w:val="4D4D9F43"/>
    <w:rsid w:val="4D4FFDE6"/>
    <w:rsid w:val="4D81FC88"/>
    <w:rsid w:val="4D85C5C6"/>
    <w:rsid w:val="4DD18558"/>
    <w:rsid w:val="4DE790F4"/>
    <w:rsid w:val="4DFE112A"/>
    <w:rsid w:val="4E02ED66"/>
    <w:rsid w:val="4E0F7909"/>
    <w:rsid w:val="4E13C367"/>
    <w:rsid w:val="4E51481A"/>
    <w:rsid w:val="4E5777B2"/>
    <w:rsid w:val="4E771332"/>
    <w:rsid w:val="4EAFA5A7"/>
    <w:rsid w:val="4EC669BF"/>
    <w:rsid w:val="4EFA284B"/>
    <w:rsid w:val="4F0FEFD2"/>
    <w:rsid w:val="4F17684E"/>
    <w:rsid w:val="4F1AC251"/>
    <w:rsid w:val="4F2D88E1"/>
    <w:rsid w:val="4F69D006"/>
    <w:rsid w:val="4F725F15"/>
    <w:rsid w:val="4FAF89EB"/>
    <w:rsid w:val="4FDE30FB"/>
    <w:rsid w:val="4FF3C786"/>
    <w:rsid w:val="500F1BCE"/>
    <w:rsid w:val="5013E4CA"/>
    <w:rsid w:val="501C73F0"/>
    <w:rsid w:val="505ADCB1"/>
    <w:rsid w:val="50813D1A"/>
    <w:rsid w:val="50CEDEC8"/>
    <w:rsid w:val="50D39DFF"/>
    <w:rsid w:val="513E049E"/>
    <w:rsid w:val="514647F1"/>
    <w:rsid w:val="5182BE24"/>
    <w:rsid w:val="518F0640"/>
    <w:rsid w:val="51A5D12B"/>
    <w:rsid w:val="51D40F63"/>
    <w:rsid w:val="51E8D6D5"/>
    <w:rsid w:val="51EE978F"/>
    <w:rsid w:val="51F55045"/>
    <w:rsid w:val="52348278"/>
    <w:rsid w:val="52640F58"/>
    <w:rsid w:val="526E556A"/>
    <w:rsid w:val="527F742F"/>
    <w:rsid w:val="52856B1D"/>
    <w:rsid w:val="528FD6E7"/>
    <w:rsid w:val="5294C79C"/>
    <w:rsid w:val="52B25B90"/>
    <w:rsid w:val="52B51F93"/>
    <w:rsid w:val="5363F72A"/>
    <w:rsid w:val="537BC21B"/>
    <w:rsid w:val="5388549A"/>
    <w:rsid w:val="53901815"/>
    <w:rsid w:val="5390B534"/>
    <w:rsid w:val="539CD647"/>
    <w:rsid w:val="53D4704C"/>
    <w:rsid w:val="53E6CBA5"/>
    <w:rsid w:val="53FD26A6"/>
    <w:rsid w:val="54503BC3"/>
    <w:rsid w:val="5478623F"/>
    <w:rsid w:val="548519CF"/>
    <w:rsid w:val="549ACB87"/>
    <w:rsid w:val="54B9CF61"/>
    <w:rsid w:val="54DBF3E4"/>
    <w:rsid w:val="54F53C61"/>
    <w:rsid w:val="551D8DAD"/>
    <w:rsid w:val="551EA5D1"/>
    <w:rsid w:val="552C2C19"/>
    <w:rsid w:val="555C1B4E"/>
    <w:rsid w:val="555E87EC"/>
    <w:rsid w:val="5560B2FB"/>
    <w:rsid w:val="556C233A"/>
    <w:rsid w:val="5573B82B"/>
    <w:rsid w:val="557A22DB"/>
    <w:rsid w:val="55D4F1C2"/>
    <w:rsid w:val="56302CC9"/>
    <w:rsid w:val="565B01E5"/>
    <w:rsid w:val="5675636C"/>
    <w:rsid w:val="567F7850"/>
    <w:rsid w:val="568E8062"/>
    <w:rsid w:val="568EE38D"/>
    <w:rsid w:val="56E74C76"/>
    <w:rsid w:val="57079893"/>
    <w:rsid w:val="570C903E"/>
    <w:rsid w:val="5726619D"/>
    <w:rsid w:val="5749F23A"/>
    <w:rsid w:val="575A19BC"/>
    <w:rsid w:val="58565226"/>
    <w:rsid w:val="58638F72"/>
    <w:rsid w:val="5869EC83"/>
    <w:rsid w:val="588238F5"/>
    <w:rsid w:val="588D4F2A"/>
    <w:rsid w:val="591A9B95"/>
    <w:rsid w:val="59EFBCB0"/>
    <w:rsid w:val="5A7AF9AC"/>
    <w:rsid w:val="5AC4D092"/>
    <w:rsid w:val="5AC9CC31"/>
    <w:rsid w:val="5AD218B7"/>
    <w:rsid w:val="5AE6EA72"/>
    <w:rsid w:val="5AEEBAC9"/>
    <w:rsid w:val="5B214E0E"/>
    <w:rsid w:val="5B5D2AA3"/>
    <w:rsid w:val="5B7BB97B"/>
    <w:rsid w:val="5BB531F7"/>
    <w:rsid w:val="5BBF091F"/>
    <w:rsid w:val="5C03FD97"/>
    <w:rsid w:val="5C2DE120"/>
    <w:rsid w:val="5C3C594A"/>
    <w:rsid w:val="5C4C008A"/>
    <w:rsid w:val="5C664AC8"/>
    <w:rsid w:val="5C784F19"/>
    <w:rsid w:val="5CABDD4C"/>
    <w:rsid w:val="5CDB59F8"/>
    <w:rsid w:val="5D3F216D"/>
    <w:rsid w:val="5D408DC6"/>
    <w:rsid w:val="5D6CBB23"/>
    <w:rsid w:val="5D77351F"/>
    <w:rsid w:val="5DA4EDAD"/>
    <w:rsid w:val="5DCA718D"/>
    <w:rsid w:val="5DD9F89C"/>
    <w:rsid w:val="5DE348F7"/>
    <w:rsid w:val="5DE4AD58"/>
    <w:rsid w:val="5E824B12"/>
    <w:rsid w:val="5EAA0576"/>
    <w:rsid w:val="5EB9A899"/>
    <w:rsid w:val="5ED5F8DF"/>
    <w:rsid w:val="5F1992FF"/>
    <w:rsid w:val="5F3BDBC2"/>
    <w:rsid w:val="5F492799"/>
    <w:rsid w:val="5F684EDB"/>
    <w:rsid w:val="5F6F01DE"/>
    <w:rsid w:val="5F9293AA"/>
    <w:rsid w:val="5FA4ABBE"/>
    <w:rsid w:val="5FAC9275"/>
    <w:rsid w:val="5FB32F7F"/>
    <w:rsid w:val="5FC339EA"/>
    <w:rsid w:val="5FE5BCA7"/>
    <w:rsid w:val="5FED2CE4"/>
    <w:rsid w:val="600D5ADD"/>
    <w:rsid w:val="6027B12F"/>
    <w:rsid w:val="6036B3BB"/>
    <w:rsid w:val="60395EB7"/>
    <w:rsid w:val="605DCD83"/>
    <w:rsid w:val="6061640B"/>
    <w:rsid w:val="6076E5BD"/>
    <w:rsid w:val="607F78DD"/>
    <w:rsid w:val="609940F9"/>
    <w:rsid w:val="60A09C0F"/>
    <w:rsid w:val="610B69B7"/>
    <w:rsid w:val="6136947A"/>
    <w:rsid w:val="6138D6BD"/>
    <w:rsid w:val="615454D7"/>
    <w:rsid w:val="61A375D6"/>
    <w:rsid w:val="61C4FEE9"/>
    <w:rsid w:val="6202F00C"/>
    <w:rsid w:val="62165A62"/>
    <w:rsid w:val="62218F1B"/>
    <w:rsid w:val="622A2244"/>
    <w:rsid w:val="623C9990"/>
    <w:rsid w:val="628060CC"/>
    <w:rsid w:val="628716B7"/>
    <w:rsid w:val="62A0741C"/>
    <w:rsid w:val="62B36C77"/>
    <w:rsid w:val="62D66E3C"/>
    <w:rsid w:val="63047228"/>
    <w:rsid w:val="634C4F8F"/>
    <w:rsid w:val="636178C2"/>
    <w:rsid w:val="637A43AE"/>
    <w:rsid w:val="637D4CBA"/>
    <w:rsid w:val="63BC2796"/>
    <w:rsid w:val="63D1E049"/>
    <w:rsid w:val="63EB7D0F"/>
    <w:rsid w:val="6415172A"/>
    <w:rsid w:val="6428A718"/>
    <w:rsid w:val="645B0329"/>
    <w:rsid w:val="6476BBF9"/>
    <w:rsid w:val="647955A2"/>
    <w:rsid w:val="647BC6B8"/>
    <w:rsid w:val="64A83567"/>
    <w:rsid w:val="64C5633A"/>
    <w:rsid w:val="65314350"/>
    <w:rsid w:val="65695A67"/>
    <w:rsid w:val="6586E200"/>
    <w:rsid w:val="65C8FB37"/>
    <w:rsid w:val="65F4DDB6"/>
    <w:rsid w:val="66145800"/>
    <w:rsid w:val="664560E2"/>
    <w:rsid w:val="6646E7E1"/>
    <w:rsid w:val="664A7657"/>
    <w:rsid w:val="666037A6"/>
    <w:rsid w:val="666FB7A8"/>
    <w:rsid w:val="668CA2E7"/>
    <w:rsid w:val="66927083"/>
    <w:rsid w:val="66929EEF"/>
    <w:rsid w:val="673A3AC4"/>
    <w:rsid w:val="67533B5E"/>
    <w:rsid w:val="675BC056"/>
    <w:rsid w:val="676A05C6"/>
    <w:rsid w:val="679CFD85"/>
    <w:rsid w:val="67EA07DA"/>
    <w:rsid w:val="682E6E79"/>
    <w:rsid w:val="683724AC"/>
    <w:rsid w:val="683F0AC4"/>
    <w:rsid w:val="687A4696"/>
    <w:rsid w:val="688F52E6"/>
    <w:rsid w:val="68C4713C"/>
    <w:rsid w:val="68DFD5BF"/>
    <w:rsid w:val="68E184B1"/>
    <w:rsid w:val="6916224E"/>
    <w:rsid w:val="6927FC84"/>
    <w:rsid w:val="69383841"/>
    <w:rsid w:val="694ACF2C"/>
    <w:rsid w:val="695061D4"/>
    <w:rsid w:val="696D8243"/>
    <w:rsid w:val="6984EAF8"/>
    <w:rsid w:val="69AFB793"/>
    <w:rsid w:val="69F24522"/>
    <w:rsid w:val="6A107523"/>
    <w:rsid w:val="6A5E4546"/>
    <w:rsid w:val="6A9C2DB1"/>
    <w:rsid w:val="6AA555FF"/>
    <w:rsid w:val="6AC45914"/>
    <w:rsid w:val="6AE7D266"/>
    <w:rsid w:val="6AFAE0E0"/>
    <w:rsid w:val="6B0C343D"/>
    <w:rsid w:val="6B18DC29"/>
    <w:rsid w:val="6B3EE3C2"/>
    <w:rsid w:val="6B568D61"/>
    <w:rsid w:val="6B8B1593"/>
    <w:rsid w:val="6B93FDBC"/>
    <w:rsid w:val="6B9A7773"/>
    <w:rsid w:val="6BDE2BBE"/>
    <w:rsid w:val="6C002FB6"/>
    <w:rsid w:val="6C262D76"/>
    <w:rsid w:val="6C57440C"/>
    <w:rsid w:val="6C62E8CF"/>
    <w:rsid w:val="6C662A81"/>
    <w:rsid w:val="6C83C0D7"/>
    <w:rsid w:val="6C92FFC3"/>
    <w:rsid w:val="6CEF5878"/>
    <w:rsid w:val="6CF87422"/>
    <w:rsid w:val="6D1AE0B4"/>
    <w:rsid w:val="6D31A954"/>
    <w:rsid w:val="6D607C20"/>
    <w:rsid w:val="6D66ED2E"/>
    <w:rsid w:val="6D6C5A3C"/>
    <w:rsid w:val="6D72A035"/>
    <w:rsid w:val="6DBD4CFC"/>
    <w:rsid w:val="6DF939F0"/>
    <w:rsid w:val="6E005D2D"/>
    <w:rsid w:val="6E0C9FD6"/>
    <w:rsid w:val="6E3A24DB"/>
    <w:rsid w:val="6E7D00B0"/>
    <w:rsid w:val="6E811BDC"/>
    <w:rsid w:val="6EB42BF7"/>
    <w:rsid w:val="6EEA2FC4"/>
    <w:rsid w:val="6F0AC483"/>
    <w:rsid w:val="6F157D59"/>
    <w:rsid w:val="6F1E77C1"/>
    <w:rsid w:val="6F27E023"/>
    <w:rsid w:val="6F2A8392"/>
    <w:rsid w:val="6F2AD511"/>
    <w:rsid w:val="6F2BE23A"/>
    <w:rsid w:val="6F750F29"/>
    <w:rsid w:val="6F7AA967"/>
    <w:rsid w:val="6F855879"/>
    <w:rsid w:val="6F888B08"/>
    <w:rsid w:val="6F95C78B"/>
    <w:rsid w:val="6F95FCA8"/>
    <w:rsid w:val="6FAE657F"/>
    <w:rsid w:val="6FEC3ABB"/>
    <w:rsid w:val="6FF5479D"/>
    <w:rsid w:val="6FFB761A"/>
    <w:rsid w:val="6FFC2F70"/>
    <w:rsid w:val="6FFE122F"/>
    <w:rsid w:val="7026984E"/>
    <w:rsid w:val="70667ED4"/>
    <w:rsid w:val="7067E095"/>
    <w:rsid w:val="7078F333"/>
    <w:rsid w:val="70931BD3"/>
    <w:rsid w:val="70A985BB"/>
    <w:rsid w:val="70B3DE0B"/>
    <w:rsid w:val="70C98ABB"/>
    <w:rsid w:val="70D7DBCD"/>
    <w:rsid w:val="70D7F783"/>
    <w:rsid w:val="70E235D7"/>
    <w:rsid w:val="70F59A71"/>
    <w:rsid w:val="70F78403"/>
    <w:rsid w:val="70F7B4BB"/>
    <w:rsid w:val="71053BD1"/>
    <w:rsid w:val="711DE38A"/>
    <w:rsid w:val="714CECD4"/>
    <w:rsid w:val="71600343"/>
    <w:rsid w:val="7196A302"/>
    <w:rsid w:val="71CB4FAE"/>
    <w:rsid w:val="71D9C718"/>
    <w:rsid w:val="71DE1882"/>
    <w:rsid w:val="71E1D642"/>
    <w:rsid w:val="72229ACF"/>
    <w:rsid w:val="722B9D2B"/>
    <w:rsid w:val="7248FD22"/>
    <w:rsid w:val="726D1D76"/>
    <w:rsid w:val="7274063D"/>
    <w:rsid w:val="728ADC4D"/>
    <w:rsid w:val="72F74118"/>
    <w:rsid w:val="73005C93"/>
    <w:rsid w:val="731C1C9D"/>
    <w:rsid w:val="731C794D"/>
    <w:rsid w:val="731DDA13"/>
    <w:rsid w:val="7329FFB4"/>
    <w:rsid w:val="73604BE4"/>
    <w:rsid w:val="73782924"/>
    <w:rsid w:val="73A185E5"/>
    <w:rsid w:val="73B3E837"/>
    <w:rsid w:val="73CD8392"/>
    <w:rsid w:val="74247F28"/>
    <w:rsid w:val="7435C637"/>
    <w:rsid w:val="743BE9E1"/>
    <w:rsid w:val="74749744"/>
    <w:rsid w:val="74AE3CAC"/>
    <w:rsid w:val="74ED7BA5"/>
    <w:rsid w:val="7537584A"/>
    <w:rsid w:val="754A1EEE"/>
    <w:rsid w:val="7570C1F8"/>
    <w:rsid w:val="75D5B024"/>
    <w:rsid w:val="75DDCE04"/>
    <w:rsid w:val="761EB805"/>
    <w:rsid w:val="76704BF9"/>
    <w:rsid w:val="767EC293"/>
    <w:rsid w:val="769C5F24"/>
    <w:rsid w:val="76B542E8"/>
    <w:rsid w:val="76DC4C1D"/>
    <w:rsid w:val="76FC70FB"/>
    <w:rsid w:val="771269EC"/>
    <w:rsid w:val="77538175"/>
    <w:rsid w:val="776D82FA"/>
    <w:rsid w:val="77802BA6"/>
    <w:rsid w:val="77819D26"/>
    <w:rsid w:val="77A1DFFD"/>
    <w:rsid w:val="77B5B226"/>
    <w:rsid w:val="77D27FEB"/>
    <w:rsid w:val="77D5B5AA"/>
    <w:rsid w:val="781210A7"/>
    <w:rsid w:val="783995F7"/>
    <w:rsid w:val="7843C748"/>
    <w:rsid w:val="788C61E2"/>
    <w:rsid w:val="788ED6D3"/>
    <w:rsid w:val="789476A1"/>
    <w:rsid w:val="78B05476"/>
    <w:rsid w:val="78B2C902"/>
    <w:rsid w:val="78BF03B8"/>
    <w:rsid w:val="793C13A0"/>
    <w:rsid w:val="79A42E15"/>
    <w:rsid w:val="79A7EB3F"/>
    <w:rsid w:val="79B900EB"/>
    <w:rsid w:val="79E702A9"/>
    <w:rsid w:val="7A29B2B2"/>
    <w:rsid w:val="7A47704F"/>
    <w:rsid w:val="7A8CF607"/>
    <w:rsid w:val="7A8EE59D"/>
    <w:rsid w:val="7AB5F9EC"/>
    <w:rsid w:val="7AE23A34"/>
    <w:rsid w:val="7B187694"/>
    <w:rsid w:val="7B266839"/>
    <w:rsid w:val="7B27C501"/>
    <w:rsid w:val="7B2E6E2D"/>
    <w:rsid w:val="7B467687"/>
    <w:rsid w:val="7B4721B3"/>
    <w:rsid w:val="7B5CA7EB"/>
    <w:rsid w:val="7B70E1A5"/>
    <w:rsid w:val="7C041C97"/>
    <w:rsid w:val="7C1AB6AD"/>
    <w:rsid w:val="7C1BE3CE"/>
    <w:rsid w:val="7C40EC59"/>
    <w:rsid w:val="7C452519"/>
    <w:rsid w:val="7C5B577E"/>
    <w:rsid w:val="7C670B36"/>
    <w:rsid w:val="7C7EC94B"/>
    <w:rsid w:val="7C97E3CB"/>
    <w:rsid w:val="7C98D2E7"/>
    <w:rsid w:val="7CDF8C01"/>
    <w:rsid w:val="7D1F8C3E"/>
    <w:rsid w:val="7D216A68"/>
    <w:rsid w:val="7D2941D2"/>
    <w:rsid w:val="7D2DD2B8"/>
    <w:rsid w:val="7D327647"/>
    <w:rsid w:val="7D42B340"/>
    <w:rsid w:val="7D7CA57D"/>
    <w:rsid w:val="7D7EE29B"/>
    <w:rsid w:val="7D8F248D"/>
    <w:rsid w:val="7DB7E7D4"/>
    <w:rsid w:val="7DD79AE3"/>
    <w:rsid w:val="7E0E28EE"/>
    <w:rsid w:val="7E214595"/>
    <w:rsid w:val="7E2AD864"/>
    <w:rsid w:val="7E40A659"/>
    <w:rsid w:val="7E5F65C3"/>
    <w:rsid w:val="7EBF14E4"/>
    <w:rsid w:val="7EC3B964"/>
    <w:rsid w:val="7ED5270C"/>
    <w:rsid w:val="7EE661E3"/>
    <w:rsid w:val="7EEBEF8A"/>
    <w:rsid w:val="7F110280"/>
    <w:rsid w:val="7F2AA9B3"/>
    <w:rsid w:val="7F5F441F"/>
    <w:rsid w:val="7F6F1F55"/>
    <w:rsid w:val="7F88A4E0"/>
    <w:rsid w:val="7FEAD210"/>
    <w:rsid w:val="7FEF52C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7AF3E0"/>
  <w14:defaultImageDpi w14:val="0"/>
  <w15:docId w15:val="{FA9E7C1B-10AB-4A95-8935-C2AE1A5F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31B"/>
    <w:pPr>
      <w:spacing w:after="0" w:line="276" w:lineRule="auto"/>
      <w:jc w:val="both"/>
    </w:pPr>
    <w:rPr>
      <w:rFonts w:ascii="Times New Roman" w:hAnsi="Times New Roman"/>
      <w:sz w:val="24"/>
      <w:szCs w:val="24"/>
      <w:lang w:eastAsia="en-US"/>
    </w:rPr>
  </w:style>
  <w:style w:type="paragraph" w:styleId="Heading1">
    <w:name w:val="heading 1"/>
    <w:basedOn w:val="ListParagraph"/>
    <w:next w:val="Normal"/>
    <w:link w:val="Heading1Char"/>
    <w:uiPriority w:val="9"/>
    <w:qFormat/>
    <w:locked/>
    <w:rsid w:val="00AB0077"/>
    <w:pPr>
      <w:numPr>
        <w:numId w:val="1"/>
      </w:numPr>
      <w:spacing w:after="120"/>
      <w:outlineLvl w:val="0"/>
    </w:pPr>
    <w:rPr>
      <w:b/>
    </w:rPr>
  </w:style>
  <w:style w:type="paragraph" w:styleId="Heading2">
    <w:name w:val="heading 2"/>
    <w:basedOn w:val="Heading1"/>
    <w:next w:val="Normal"/>
    <w:link w:val="Heading2Char"/>
    <w:uiPriority w:val="9"/>
    <w:unhideWhenUsed/>
    <w:qFormat/>
    <w:locked/>
    <w:rsid w:val="00F4045F"/>
    <w:pPr>
      <w:numPr>
        <w:ilvl w:val="1"/>
      </w:numPr>
      <w:ind w:left="426"/>
      <w:outlineLvl w:val="1"/>
    </w:pPr>
  </w:style>
  <w:style w:type="paragraph" w:styleId="Heading3">
    <w:name w:val="heading 3"/>
    <w:basedOn w:val="Heading2"/>
    <w:next w:val="Normal"/>
    <w:link w:val="Heading3Char"/>
    <w:uiPriority w:val="9"/>
    <w:unhideWhenUsed/>
    <w:qFormat/>
    <w:locked/>
    <w:rsid w:val="00AA7FC7"/>
    <w:pPr>
      <w:numPr>
        <w:ilvl w:val="2"/>
      </w:numPr>
      <w:outlineLvl w:val="2"/>
    </w:pPr>
    <w:rPr>
      <w:b w:val="0"/>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BC7"/>
    <w:pPr>
      <w:tabs>
        <w:tab w:val="center" w:pos="4536"/>
        <w:tab w:val="right" w:pos="9072"/>
      </w:tabs>
    </w:pPr>
  </w:style>
  <w:style w:type="character" w:customStyle="1" w:styleId="HeaderChar">
    <w:name w:val="Header Char"/>
    <w:basedOn w:val="DefaultParagraphFont"/>
    <w:link w:val="Header"/>
    <w:uiPriority w:val="99"/>
    <w:locked/>
    <w:rsid w:val="000A0BC7"/>
  </w:style>
  <w:style w:type="paragraph" w:styleId="ListParagraph">
    <w:name w:val="List Paragraph"/>
    <w:basedOn w:val="Normal"/>
    <w:uiPriority w:val="34"/>
    <w:qFormat/>
    <w:rsid w:val="000A0BC7"/>
    <w:pPr>
      <w:ind w:left="720"/>
      <w:contextualSpacing/>
    </w:pPr>
  </w:style>
  <w:style w:type="paragraph" w:customStyle="1" w:styleId="T-98-2">
    <w:name w:val="T-9/8-2"/>
    <w:basedOn w:val="Normal"/>
    <w:uiPriority w:val="99"/>
    <w:rsid w:val="000A0BC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0A0BC7"/>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0A0BC7"/>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styleId="BalloonText">
    <w:name w:val="Balloon Text"/>
    <w:basedOn w:val="Normal"/>
    <w:link w:val="BalloonTextChar"/>
    <w:uiPriority w:val="99"/>
    <w:semiHidden/>
    <w:rsid w:val="00CC43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37C"/>
    <w:rPr>
      <w:rFonts w:ascii="Tahoma" w:hAnsi="Tahoma"/>
      <w:sz w:val="16"/>
    </w:rPr>
  </w:style>
  <w:style w:type="paragraph" w:styleId="Footer">
    <w:name w:val="footer"/>
    <w:basedOn w:val="Normal"/>
    <w:link w:val="FooterChar"/>
    <w:uiPriority w:val="99"/>
    <w:locked/>
    <w:rsid w:val="00B556CF"/>
    <w:pPr>
      <w:tabs>
        <w:tab w:val="center" w:pos="4536"/>
        <w:tab w:val="right" w:pos="9072"/>
      </w:tabs>
    </w:pPr>
  </w:style>
  <w:style w:type="character" w:customStyle="1" w:styleId="FooterChar">
    <w:name w:val="Footer Char"/>
    <w:basedOn w:val="DefaultParagraphFont"/>
    <w:link w:val="Footer"/>
    <w:uiPriority w:val="99"/>
    <w:locked/>
    <w:rPr>
      <w:lang w:val="x-none" w:eastAsia="en-US"/>
    </w:rPr>
  </w:style>
  <w:style w:type="character" w:styleId="PageNumber">
    <w:name w:val="page number"/>
    <w:basedOn w:val="DefaultParagraphFont"/>
    <w:uiPriority w:val="99"/>
    <w:locked/>
    <w:rsid w:val="00B556CF"/>
    <w:rPr>
      <w:rFonts w:cs="Times New Roman"/>
    </w:rPr>
  </w:style>
  <w:style w:type="paragraph" w:customStyle="1" w:styleId="t-10-9-kurz-s">
    <w:name w:val="t-10-9-kurz-s"/>
    <w:basedOn w:val="Normal"/>
    <w:uiPriority w:val="99"/>
    <w:rsid w:val="00C55513"/>
    <w:pPr>
      <w:spacing w:before="100" w:beforeAutospacing="1" w:after="100" w:afterAutospacing="1"/>
      <w:jc w:val="center"/>
    </w:pPr>
    <w:rPr>
      <w:i/>
      <w:iCs/>
      <w:sz w:val="26"/>
      <w:szCs w:val="26"/>
      <w:lang w:eastAsia="hr-HR"/>
    </w:rPr>
  </w:style>
  <w:style w:type="paragraph" w:customStyle="1" w:styleId="clanak0">
    <w:name w:val="clanak"/>
    <w:basedOn w:val="Normal"/>
    <w:uiPriority w:val="99"/>
    <w:rsid w:val="00C55513"/>
    <w:pPr>
      <w:spacing w:before="100" w:beforeAutospacing="1" w:after="100" w:afterAutospacing="1"/>
      <w:jc w:val="center"/>
    </w:pPr>
    <w:rPr>
      <w:lang w:eastAsia="hr-HR"/>
    </w:rPr>
  </w:style>
  <w:style w:type="paragraph" w:customStyle="1" w:styleId="t-9-8">
    <w:name w:val="t-9-8"/>
    <w:basedOn w:val="Normal"/>
    <w:uiPriority w:val="99"/>
    <w:rsid w:val="00C55513"/>
    <w:pPr>
      <w:spacing w:before="100" w:beforeAutospacing="1" w:after="100" w:afterAutospacing="1"/>
      <w:jc w:val="left"/>
    </w:pPr>
    <w:rPr>
      <w:lang w:eastAsia="hr-HR"/>
    </w:rPr>
  </w:style>
  <w:style w:type="character" w:customStyle="1" w:styleId="kurziv1">
    <w:name w:val="kurziv1"/>
    <w:uiPriority w:val="99"/>
    <w:rsid w:val="00C55513"/>
    <w:rPr>
      <w:i/>
    </w:rPr>
  </w:style>
  <w:style w:type="character" w:styleId="CommentReference">
    <w:name w:val="annotation reference"/>
    <w:basedOn w:val="DefaultParagraphFont"/>
    <w:uiPriority w:val="99"/>
    <w:semiHidden/>
    <w:locked/>
    <w:rsid w:val="00BC4771"/>
    <w:rPr>
      <w:rFonts w:cs="Times New Roman"/>
      <w:sz w:val="16"/>
    </w:rPr>
  </w:style>
  <w:style w:type="paragraph" w:styleId="CommentText">
    <w:name w:val="annotation text"/>
    <w:basedOn w:val="Normal"/>
    <w:link w:val="CommentTextChar"/>
    <w:uiPriority w:val="99"/>
    <w:locked/>
    <w:rsid w:val="00BC4771"/>
    <w:rPr>
      <w:rFonts w:eastAsia="Times New Roman"/>
      <w:sz w:val="20"/>
      <w:szCs w:val="20"/>
    </w:rPr>
  </w:style>
  <w:style w:type="character" w:customStyle="1" w:styleId="CommentTextChar">
    <w:name w:val="Comment Text Char"/>
    <w:basedOn w:val="DefaultParagraphFont"/>
    <w:link w:val="CommentText"/>
    <w:uiPriority w:val="99"/>
    <w:locked/>
    <w:rPr>
      <w:sz w:val="20"/>
      <w:lang w:val="x-none" w:eastAsia="en-US"/>
    </w:rPr>
  </w:style>
  <w:style w:type="paragraph" w:styleId="CommentSubject">
    <w:name w:val="annotation subject"/>
    <w:basedOn w:val="CommentText"/>
    <w:next w:val="CommentText"/>
    <w:link w:val="CommentSubjectChar"/>
    <w:uiPriority w:val="99"/>
    <w:semiHidden/>
    <w:locked/>
    <w:rsid w:val="00BC4771"/>
    <w:rPr>
      <w:rFonts w:eastAsia="Calibri"/>
      <w:b/>
      <w:bCs/>
    </w:rPr>
  </w:style>
  <w:style w:type="character" w:customStyle="1" w:styleId="CommentSubjectChar">
    <w:name w:val="Comment Subject Char"/>
    <w:basedOn w:val="CommentTextChar"/>
    <w:link w:val="CommentSubject"/>
    <w:uiPriority w:val="99"/>
    <w:semiHidden/>
    <w:locked/>
    <w:rPr>
      <w:b/>
      <w:sz w:val="20"/>
      <w:lang w:val="x-none" w:eastAsia="en-US"/>
    </w:rPr>
  </w:style>
  <w:style w:type="paragraph" w:customStyle="1" w:styleId="msolistparagraph0">
    <w:name w:val="msolistparagraph"/>
    <w:basedOn w:val="Normal"/>
    <w:uiPriority w:val="99"/>
    <w:rsid w:val="00F45CC8"/>
    <w:pPr>
      <w:ind w:left="720"/>
      <w:jc w:val="left"/>
    </w:pPr>
    <w:rPr>
      <w:rFonts w:eastAsia="Times New Roman"/>
      <w:lang w:eastAsia="hr-HR"/>
    </w:rPr>
  </w:style>
  <w:style w:type="paragraph" w:customStyle="1" w:styleId="clanak-">
    <w:name w:val="clanak-"/>
    <w:basedOn w:val="Normal"/>
    <w:uiPriority w:val="99"/>
    <w:rsid w:val="00F03DEA"/>
    <w:pPr>
      <w:spacing w:before="100" w:beforeAutospacing="1" w:after="100" w:afterAutospacing="1"/>
      <w:jc w:val="center"/>
    </w:pPr>
    <w:rPr>
      <w:lang w:eastAsia="hr-HR"/>
    </w:rPr>
  </w:style>
  <w:style w:type="paragraph" w:customStyle="1" w:styleId="t-10-9-sred">
    <w:name w:val="t-10-9-sred"/>
    <w:basedOn w:val="Normal"/>
    <w:uiPriority w:val="99"/>
    <w:rsid w:val="00494391"/>
    <w:pPr>
      <w:spacing w:before="100" w:beforeAutospacing="1" w:after="100" w:afterAutospacing="1"/>
      <w:jc w:val="center"/>
    </w:pPr>
    <w:rPr>
      <w:rFonts w:eastAsia="Times New Roman"/>
      <w:sz w:val="26"/>
      <w:szCs w:val="26"/>
      <w:lang w:eastAsia="hr-HR"/>
    </w:rPr>
  </w:style>
  <w:style w:type="paragraph" w:customStyle="1" w:styleId="t-10-9-fett">
    <w:name w:val="t-10-9-fett"/>
    <w:basedOn w:val="Normal"/>
    <w:uiPriority w:val="99"/>
    <w:rsid w:val="00494391"/>
    <w:pPr>
      <w:spacing w:before="100" w:beforeAutospacing="1" w:after="100" w:afterAutospacing="1"/>
      <w:jc w:val="left"/>
    </w:pPr>
    <w:rPr>
      <w:rFonts w:eastAsia="Times New Roman"/>
      <w:b/>
      <w:bCs/>
      <w:sz w:val="26"/>
      <w:szCs w:val="26"/>
      <w:lang w:eastAsia="hr-HR"/>
    </w:rPr>
  </w:style>
  <w:style w:type="table" w:styleId="TableGrid">
    <w:name w:val="Table Grid"/>
    <w:basedOn w:val="TableNormal"/>
    <w:uiPriority w:val="39"/>
    <w:locked/>
    <w:rsid w:val="00E47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1F74F1"/>
    <w:rPr>
      <w:color w:val="0563C1" w:themeColor="hyperlink"/>
      <w:u w:val="single"/>
    </w:rPr>
  </w:style>
  <w:style w:type="character" w:customStyle="1" w:styleId="Heading2Char">
    <w:name w:val="Heading 2 Char"/>
    <w:basedOn w:val="DefaultParagraphFont"/>
    <w:link w:val="Heading2"/>
    <w:uiPriority w:val="9"/>
    <w:rsid w:val="00F4045F"/>
    <w:rPr>
      <w:rFonts w:ascii="Times New Roman" w:hAnsi="Times New Roman"/>
      <w:b/>
      <w:sz w:val="24"/>
      <w:szCs w:val="24"/>
      <w:lang w:eastAsia="en-US"/>
    </w:rPr>
  </w:style>
  <w:style w:type="table" w:styleId="GridTable5Dark-Accent5">
    <w:name w:val="Grid Table 5 Dark Accent 5"/>
    <w:basedOn w:val="TableNormal"/>
    <w:uiPriority w:val="50"/>
    <w:rsid w:val="00AB10B6"/>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E3033D"/>
    <w:pPr>
      <w:spacing w:after="0" w:line="240" w:lineRule="auto"/>
    </w:pPr>
    <w:rPr>
      <w:lang w:eastAsia="en-US"/>
    </w:rPr>
  </w:style>
  <w:style w:type="character" w:customStyle="1" w:styleId="Heading1Char">
    <w:name w:val="Heading 1 Char"/>
    <w:basedOn w:val="DefaultParagraphFont"/>
    <w:link w:val="Heading1"/>
    <w:uiPriority w:val="9"/>
    <w:rsid w:val="00AB0077"/>
    <w:rPr>
      <w:rFonts w:ascii="Times New Roman" w:hAnsi="Times New Roman"/>
      <w:b/>
      <w:sz w:val="24"/>
      <w:szCs w:val="24"/>
      <w:lang w:eastAsia="en-US"/>
    </w:rPr>
  </w:style>
  <w:style w:type="paragraph" w:styleId="TOCHeading">
    <w:name w:val="TOC Heading"/>
    <w:basedOn w:val="Heading1"/>
    <w:next w:val="Normal"/>
    <w:uiPriority w:val="39"/>
    <w:unhideWhenUsed/>
    <w:qFormat/>
    <w:rsid w:val="004E56A0"/>
    <w:pPr>
      <w:keepNext/>
      <w:keepLines/>
      <w:numPr>
        <w:numId w:val="0"/>
      </w:numPr>
      <w:spacing w:before="240"/>
      <w:contextualSpacing w:val="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locked/>
    <w:rsid w:val="00765DFD"/>
    <w:pPr>
      <w:tabs>
        <w:tab w:val="left" w:pos="440"/>
        <w:tab w:val="right" w:leader="dot" w:pos="9062"/>
      </w:tabs>
      <w:spacing w:after="100"/>
    </w:pPr>
  </w:style>
  <w:style w:type="paragraph" w:styleId="TOC2">
    <w:name w:val="toc 2"/>
    <w:basedOn w:val="Normal"/>
    <w:next w:val="Normal"/>
    <w:autoRedefine/>
    <w:uiPriority w:val="39"/>
    <w:unhideWhenUsed/>
    <w:locked/>
    <w:rsid w:val="00401C00"/>
    <w:pPr>
      <w:tabs>
        <w:tab w:val="left" w:pos="880"/>
        <w:tab w:val="right" w:leader="dot" w:pos="9060"/>
      </w:tabs>
      <w:spacing w:after="100"/>
      <w:ind w:left="220"/>
    </w:pPr>
  </w:style>
  <w:style w:type="paragraph" w:styleId="NoSpacing">
    <w:name w:val="No Spacing"/>
    <w:uiPriority w:val="1"/>
    <w:qFormat/>
    <w:rsid w:val="00531575"/>
    <w:pPr>
      <w:spacing w:after="0" w:line="240" w:lineRule="auto"/>
    </w:pPr>
    <w:rPr>
      <w:rFonts w:ascii="Times New Roman" w:eastAsiaTheme="minorHAnsi" w:hAnsi="Times New Roman"/>
      <w:lang w:eastAsia="en-US"/>
    </w:rPr>
  </w:style>
  <w:style w:type="character" w:customStyle="1" w:styleId="cf01">
    <w:name w:val="cf01"/>
    <w:basedOn w:val="DefaultParagraphFont"/>
    <w:rsid w:val="00BF30CA"/>
    <w:rPr>
      <w:rFonts w:ascii="Segoe UI" w:hAnsi="Segoe UI" w:cs="Segoe UI" w:hint="default"/>
      <w:sz w:val="18"/>
      <w:szCs w:val="18"/>
    </w:rPr>
  </w:style>
  <w:style w:type="paragraph" w:styleId="FootnoteText">
    <w:name w:val="footnote text"/>
    <w:basedOn w:val="Normal"/>
    <w:link w:val="FootnoteTextChar"/>
    <w:uiPriority w:val="99"/>
    <w:semiHidden/>
    <w:unhideWhenUsed/>
    <w:locked/>
    <w:rsid w:val="000415DB"/>
    <w:rPr>
      <w:sz w:val="20"/>
      <w:szCs w:val="20"/>
    </w:rPr>
  </w:style>
  <w:style w:type="character" w:customStyle="1" w:styleId="FootnoteTextChar">
    <w:name w:val="Footnote Text Char"/>
    <w:basedOn w:val="DefaultParagraphFont"/>
    <w:link w:val="FootnoteText"/>
    <w:uiPriority w:val="99"/>
    <w:semiHidden/>
    <w:rsid w:val="000415DB"/>
    <w:rPr>
      <w:sz w:val="20"/>
      <w:szCs w:val="20"/>
      <w:lang w:eastAsia="en-US"/>
    </w:rPr>
  </w:style>
  <w:style w:type="character" w:styleId="FootnoteReference">
    <w:name w:val="footnote reference"/>
    <w:basedOn w:val="DefaultParagraphFont"/>
    <w:uiPriority w:val="99"/>
    <w:semiHidden/>
    <w:unhideWhenUsed/>
    <w:locked/>
    <w:rsid w:val="000415DB"/>
    <w:rPr>
      <w:vertAlign w:val="superscript"/>
    </w:rPr>
  </w:style>
  <w:style w:type="character" w:customStyle="1" w:styleId="Heading3Char">
    <w:name w:val="Heading 3 Char"/>
    <w:basedOn w:val="DefaultParagraphFont"/>
    <w:link w:val="Heading3"/>
    <w:uiPriority w:val="9"/>
    <w:rsid w:val="00AA7FC7"/>
    <w:rPr>
      <w:rFonts w:ascii="Times New Roman" w:hAnsi="Times New Roman"/>
      <w:bCs/>
      <w:i/>
      <w:iCs/>
      <w:sz w:val="24"/>
      <w:szCs w:val="24"/>
      <w:lang w:eastAsia="en-US"/>
    </w:rPr>
  </w:style>
  <w:style w:type="paragraph" w:styleId="TOC3">
    <w:name w:val="toc 3"/>
    <w:basedOn w:val="Normal"/>
    <w:next w:val="Normal"/>
    <w:autoRedefine/>
    <w:uiPriority w:val="39"/>
    <w:unhideWhenUsed/>
    <w:locked/>
    <w:rsid w:val="000A132C"/>
    <w:pPr>
      <w:tabs>
        <w:tab w:val="left" w:pos="1320"/>
        <w:tab w:val="right" w:leader="dot" w:pos="9060"/>
      </w:tabs>
      <w:spacing w:after="100"/>
      <w:ind w:left="440"/>
    </w:pPr>
    <w:rPr>
      <w:noProof/>
    </w:rPr>
  </w:style>
  <w:style w:type="character" w:customStyle="1" w:styleId="normaltextrun">
    <w:name w:val="normaltextrun"/>
    <w:basedOn w:val="DefaultParagraphFont"/>
    <w:rsid w:val="00D703BC"/>
  </w:style>
  <w:style w:type="character" w:customStyle="1" w:styleId="eop">
    <w:name w:val="eop"/>
    <w:basedOn w:val="DefaultParagraphFont"/>
    <w:rsid w:val="00D703BC"/>
  </w:style>
  <w:style w:type="character" w:customStyle="1" w:styleId="Nerijeenospominjanje1">
    <w:name w:val="Neriješeno spominjanje1"/>
    <w:basedOn w:val="DefaultParagraphFont"/>
    <w:uiPriority w:val="99"/>
    <w:semiHidden/>
    <w:unhideWhenUsed/>
    <w:rsid w:val="00884BDB"/>
    <w:rPr>
      <w:color w:val="605E5C"/>
      <w:shd w:val="clear" w:color="auto" w:fill="E1DFDD"/>
    </w:rPr>
  </w:style>
  <w:style w:type="paragraph" w:customStyle="1" w:styleId="Tekst">
    <w:name w:val="Tekst"/>
    <w:basedOn w:val="ListParagraph"/>
    <w:link w:val="TekstChar"/>
    <w:qFormat/>
    <w:rsid w:val="00FE6C87"/>
    <w:pPr>
      <w:numPr>
        <w:numId w:val="5"/>
      </w:numPr>
      <w:spacing w:after="120"/>
      <w:contextualSpacing w:val="0"/>
    </w:pPr>
    <w:rPr>
      <w:rFonts w:eastAsiaTheme="minorHAnsi"/>
      <w:color w:val="000000" w:themeColor="text1"/>
      <w:sz w:val="28"/>
      <w:szCs w:val="36"/>
    </w:rPr>
  </w:style>
  <w:style w:type="character" w:customStyle="1" w:styleId="TekstChar">
    <w:name w:val="Tekst Char"/>
    <w:basedOn w:val="DefaultParagraphFont"/>
    <w:link w:val="Tekst"/>
    <w:rsid w:val="00FE6C87"/>
    <w:rPr>
      <w:rFonts w:ascii="Times New Roman" w:eastAsiaTheme="minorHAnsi" w:hAnsi="Times New Roman"/>
      <w:color w:val="000000" w:themeColor="text1"/>
      <w:sz w:val="28"/>
      <w:szCs w:val="36"/>
      <w:lang w:eastAsia="en-US"/>
    </w:rPr>
  </w:style>
  <w:style w:type="character" w:styleId="FollowedHyperlink">
    <w:name w:val="FollowedHyperlink"/>
    <w:basedOn w:val="DefaultParagraphFont"/>
    <w:uiPriority w:val="99"/>
    <w:semiHidden/>
    <w:unhideWhenUsed/>
    <w:locked/>
    <w:rsid w:val="001049AC"/>
    <w:rPr>
      <w:color w:val="954F72" w:themeColor="followedHyperlink"/>
      <w:u w:val="single"/>
    </w:rPr>
  </w:style>
  <w:style w:type="paragraph" w:customStyle="1" w:styleId="Char1CharCharChar">
    <w:name w:val="Char1 Char Char Char"/>
    <w:basedOn w:val="Normal"/>
    <w:rsid w:val="00580D43"/>
    <w:pPr>
      <w:tabs>
        <w:tab w:val="left" w:pos="284"/>
        <w:tab w:val="num" w:pos="2126"/>
      </w:tabs>
      <w:spacing w:after="160" w:line="240" w:lineRule="exact"/>
      <w:ind w:left="2126" w:hanging="567"/>
      <w:contextualSpacing/>
      <w:jc w:val="left"/>
    </w:pPr>
    <w:rPr>
      <w:rFonts w:eastAsia="Times New Roman"/>
      <w:szCs w:val="20"/>
      <w:lang w:val="en-US" w:eastAsia="hr-HR"/>
    </w:rPr>
  </w:style>
  <w:style w:type="character" w:customStyle="1" w:styleId="UnresolvedMention1">
    <w:name w:val="Unresolved Mention1"/>
    <w:basedOn w:val="DefaultParagraphFont"/>
    <w:uiPriority w:val="99"/>
    <w:semiHidden/>
    <w:unhideWhenUsed/>
    <w:rsid w:val="0055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9688">
      <w:bodyDiv w:val="1"/>
      <w:marLeft w:val="0"/>
      <w:marRight w:val="0"/>
      <w:marTop w:val="0"/>
      <w:marBottom w:val="0"/>
      <w:divBdr>
        <w:top w:val="none" w:sz="0" w:space="0" w:color="auto"/>
        <w:left w:val="none" w:sz="0" w:space="0" w:color="auto"/>
        <w:bottom w:val="none" w:sz="0" w:space="0" w:color="auto"/>
        <w:right w:val="none" w:sz="0" w:space="0" w:color="auto"/>
      </w:divBdr>
    </w:div>
    <w:div w:id="99185329">
      <w:bodyDiv w:val="1"/>
      <w:marLeft w:val="0"/>
      <w:marRight w:val="0"/>
      <w:marTop w:val="0"/>
      <w:marBottom w:val="0"/>
      <w:divBdr>
        <w:top w:val="none" w:sz="0" w:space="0" w:color="auto"/>
        <w:left w:val="none" w:sz="0" w:space="0" w:color="auto"/>
        <w:bottom w:val="none" w:sz="0" w:space="0" w:color="auto"/>
        <w:right w:val="none" w:sz="0" w:space="0" w:color="auto"/>
      </w:divBdr>
    </w:div>
    <w:div w:id="112292369">
      <w:bodyDiv w:val="1"/>
      <w:marLeft w:val="0"/>
      <w:marRight w:val="0"/>
      <w:marTop w:val="0"/>
      <w:marBottom w:val="0"/>
      <w:divBdr>
        <w:top w:val="none" w:sz="0" w:space="0" w:color="auto"/>
        <w:left w:val="none" w:sz="0" w:space="0" w:color="auto"/>
        <w:bottom w:val="none" w:sz="0" w:space="0" w:color="auto"/>
        <w:right w:val="none" w:sz="0" w:space="0" w:color="auto"/>
      </w:divBdr>
    </w:div>
    <w:div w:id="123038374">
      <w:bodyDiv w:val="1"/>
      <w:marLeft w:val="0"/>
      <w:marRight w:val="0"/>
      <w:marTop w:val="0"/>
      <w:marBottom w:val="0"/>
      <w:divBdr>
        <w:top w:val="none" w:sz="0" w:space="0" w:color="auto"/>
        <w:left w:val="none" w:sz="0" w:space="0" w:color="auto"/>
        <w:bottom w:val="none" w:sz="0" w:space="0" w:color="auto"/>
        <w:right w:val="none" w:sz="0" w:space="0" w:color="auto"/>
      </w:divBdr>
    </w:div>
    <w:div w:id="135338217">
      <w:bodyDiv w:val="1"/>
      <w:marLeft w:val="0"/>
      <w:marRight w:val="0"/>
      <w:marTop w:val="0"/>
      <w:marBottom w:val="0"/>
      <w:divBdr>
        <w:top w:val="none" w:sz="0" w:space="0" w:color="auto"/>
        <w:left w:val="none" w:sz="0" w:space="0" w:color="auto"/>
        <w:bottom w:val="none" w:sz="0" w:space="0" w:color="auto"/>
        <w:right w:val="none" w:sz="0" w:space="0" w:color="auto"/>
      </w:divBdr>
    </w:div>
    <w:div w:id="190649049">
      <w:bodyDiv w:val="1"/>
      <w:marLeft w:val="0"/>
      <w:marRight w:val="0"/>
      <w:marTop w:val="0"/>
      <w:marBottom w:val="0"/>
      <w:divBdr>
        <w:top w:val="none" w:sz="0" w:space="0" w:color="auto"/>
        <w:left w:val="none" w:sz="0" w:space="0" w:color="auto"/>
        <w:bottom w:val="none" w:sz="0" w:space="0" w:color="auto"/>
        <w:right w:val="none" w:sz="0" w:space="0" w:color="auto"/>
      </w:divBdr>
    </w:div>
    <w:div w:id="191192509">
      <w:bodyDiv w:val="1"/>
      <w:marLeft w:val="0"/>
      <w:marRight w:val="0"/>
      <w:marTop w:val="0"/>
      <w:marBottom w:val="0"/>
      <w:divBdr>
        <w:top w:val="none" w:sz="0" w:space="0" w:color="auto"/>
        <w:left w:val="none" w:sz="0" w:space="0" w:color="auto"/>
        <w:bottom w:val="none" w:sz="0" w:space="0" w:color="auto"/>
        <w:right w:val="none" w:sz="0" w:space="0" w:color="auto"/>
      </w:divBdr>
    </w:div>
    <w:div w:id="239023466">
      <w:bodyDiv w:val="1"/>
      <w:marLeft w:val="0"/>
      <w:marRight w:val="0"/>
      <w:marTop w:val="0"/>
      <w:marBottom w:val="0"/>
      <w:divBdr>
        <w:top w:val="none" w:sz="0" w:space="0" w:color="auto"/>
        <w:left w:val="none" w:sz="0" w:space="0" w:color="auto"/>
        <w:bottom w:val="none" w:sz="0" w:space="0" w:color="auto"/>
        <w:right w:val="none" w:sz="0" w:space="0" w:color="auto"/>
      </w:divBdr>
    </w:div>
    <w:div w:id="264263852">
      <w:bodyDiv w:val="1"/>
      <w:marLeft w:val="0"/>
      <w:marRight w:val="0"/>
      <w:marTop w:val="0"/>
      <w:marBottom w:val="0"/>
      <w:divBdr>
        <w:top w:val="none" w:sz="0" w:space="0" w:color="auto"/>
        <w:left w:val="none" w:sz="0" w:space="0" w:color="auto"/>
        <w:bottom w:val="none" w:sz="0" w:space="0" w:color="auto"/>
        <w:right w:val="none" w:sz="0" w:space="0" w:color="auto"/>
      </w:divBdr>
    </w:div>
    <w:div w:id="290286726">
      <w:bodyDiv w:val="1"/>
      <w:marLeft w:val="0"/>
      <w:marRight w:val="0"/>
      <w:marTop w:val="0"/>
      <w:marBottom w:val="0"/>
      <w:divBdr>
        <w:top w:val="none" w:sz="0" w:space="0" w:color="auto"/>
        <w:left w:val="none" w:sz="0" w:space="0" w:color="auto"/>
        <w:bottom w:val="none" w:sz="0" w:space="0" w:color="auto"/>
        <w:right w:val="none" w:sz="0" w:space="0" w:color="auto"/>
      </w:divBdr>
    </w:div>
    <w:div w:id="292297348">
      <w:bodyDiv w:val="1"/>
      <w:marLeft w:val="0"/>
      <w:marRight w:val="0"/>
      <w:marTop w:val="0"/>
      <w:marBottom w:val="0"/>
      <w:divBdr>
        <w:top w:val="none" w:sz="0" w:space="0" w:color="auto"/>
        <w:left w:val="none" w:sz="0" w:space="0" w:color="auto"/>
        <w:bottom w:val="none" w:sz="0" w:space="0" w:color="auto"/>
        <w:right w:val="none" w:sz="0" w:space="0" w:color="auto"/>
      </w:divBdr>
    </w:div>
    <w:div w:id="311646295">
      <w:bodyDiv w:val="1"/>
      <w:marLeft w:val="0"/>
      <w:marRight w:val="0"/>
      <w:marTop w:val="0"/>
      <w:marBottom w:val="0"/>
      <w:divBdr>
        <w:top w:val="none" w:sz="0" w:space="0" w:color="auto"/>
        <w:left w:val="none" w:sz="0" w:space="0" w:color="auto"/>
        <w:bottom w:val="none" w:sz="0" w:space="0" w:color="auto"/>
        <w:right w:val="none" w:sz="0" w:space="0" w:color="auto"/>
      </w:divBdr>
    </w:div>
    <w:div w:id="312375516">
      <w:marLeft w:val="0"/>
      <w:marRight w:val="0"/>
      <w:marTop w:val="0"/>
      <w:marBottom w:val="0"/>
      <w:divBdr>
        <w:top w:val="none" w:sz="0" w:space="0" w:color="auto"/>
        <w:left w:val="none" w:sz="0" w:space="0" w:color="auto"/>
        <w:bottom w:val="none" w:sz="0" w:space="0" w:color="auto"/>
        <w:right w:val="none" w:sz="0" w:space="0" w:color="auto"/>
      </w:divBdr>
      <w:divsChild>
        <w:div w:id="312375644">
          <w:marLeft w:val="0"/>
          <w:marRight w:val="0"/>
          <w:marTop w:val="0"/>
          <w:marBottom w:val="0"/>
          <w:divBdr>
            <w:top w:val="none" w:sz="0" w:space="0" w:color="auto"/>
            <w:left w:val="none" w:sz="0" w:space="0" w:color="auto"/>
            <w:bottom w:val="none" w:sz="0" w:space="0" w:color="auto"/>
            <w:right w:val="none" w:sz="0" w:space="0" w:color="auto"/>
          </w:divBdr>
          <w:divsChild>
            <w:div w:id="312375514">
              <w:marLeft w:val="0"/>
              <w:marRight w:val="0"/>
              <w:marTop w:val="0"/>
              <w:marBottom w:val="0"/>
              <w:divBdr>
                <w:top w:val="none" w:sz="0" w:space="0" w:color="auto"/>
                <w:left w:val="none" w:sz="0" w:space="0" w:color="auto"/>
                <w:bottom w:val="none" w:sz="0" w:space="0" w:color="auto"/>
                <w:right w:val="none" w:sz="0" w:space="0" w:color="auto"/>
              </w:divBdr>
              <w:divsChild>
                <w:div w:id="312375643">
                  <w:marLeft w:val="0"/>
                  <w:marRight w:val="0"/>
                  <w:marTop w:val="0"/>
                  <w:marBottom w:val="0"/>
                  <w:divBdr>
                    <w:top w:val="none" w:sz="0" w:space="0" w:color="auto"/>
                    <w:left w:val="none" w:sz="0" w:space="0" w:color="auto"/>
                    <w:bottom w:val="none" w:sz="0" w:space="0" w:color="auto"/>
                    <w:right w:val="none" w:sz="0" w:space="0" w:color="auto"/>
                  </w:divBdr>
                  <w:divsChild>
                    <w:div w:id="312375642">
                      <w:marLeft w:val="0"/>
                      <w:marRight w:val="0"/>
                      <w:marTop w:val="0"/>
                      <w:marBottom w:val="0"/>
                      <w:divBdr>
                        <w:top w:val="none" w:sz="0" w:space="0" w:color="auto"/>
                        <w:left w:val="none" w:sz="0" w:space="0" w:color="auto"/>
                        <w:bottom w:val="none" w:sz="0" w:space="0" w:color="auto"/>
                        <w:right w:val="none" w:sz="0" w:space="0" w:color="auto"/>
                      </w:divBdr>
                      <w:divsChild>
                        <w:div w:id="3123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375517">
      <w:marLeft w:val="0"/>
      <w:marRight w:val="0"/>
      <w:marTop w:val="0"/>
      <w:marBottom w:val="0"/>
      <w:divBdr>
        <w:top w:val="none" w:sz="0" w:space="0" w:color="auto"/>
        <w:left w:val="none" w:sz="0" w:space="0" w:color="auto"/>
        <w:bottom w:val="none" w:sz="0" w:space="0" w:color="auto"/>
        <w:right w:val="none" w:sz="0" w:space="0" w:color="auto"/>
      </w:divBdr>
      <w:divsChild>
        <w:div w:id="312375575">
          <w:marLeft w:val="0"/>
          <w:marRight w:val="0"/>
          <w:marTop w:val="0"/>
          <w:marBottom w:val="0"/>
          <w:divBdr>
            <w:top w:val="none" w:sz="0" w:space="0" w:color="auto"/>
            <w:left w:val="none" w:sz="0" w:space="0" w:color="auto"/>
            <w:bottom w:val="none" w:sz="0" w:space="0" w:color="auto"/>
            <w:right w:val="none" w:sz="0" w:space="0" w:color="auto"/>
          </w:divBdr>
          <w:divsChild>
            <w:div w:id="3123755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27">
      <w:marLeft w:val="0"/>
      <w:marRight w:val="0"/>
      <w:marTop w:val="0"/>
      <w:marBottom w:val="0"/>
      <w:divBdr>
        <w:top w:val="none" w:sz="0" w:space="0" w:color="auto"/>
        <w:left w:val="none" w:sz="0" w:space="0" w:color="auto"/>
        <w:bottom w:val="none" w:sz="0" w:space="0" w:color="auto"/>
        <w:right w:val="none" w:sz="0" w:space="0" w:color="auto"/>
      </w:divBdr>
      <w:divsChild>
        <w:div w:id="312375586">
          <w:marLeft w:val="0"/>
          <w:marRight w:val="0"/>
          <w:marTop w:val="0"/>
          <w:marBottom w:val="0"/>
          <w:divBdr>
            <w:top w:val="none" w:sz="0" w:space="0" w:color="auto"/>
            <w:left w:val="none" w:sz="0" w:space="0" w:color="auto"/>
            <w:bottom w:val="none" w:sz="0" w:space="0" w:color="auto"/>
            <w:right w:val="none" w:sz="0" w:space="0" w:color="auto"/>
          </w:divBdr>
          <w:divsChild>
            <w:div w:id="31237555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31">
      <w:marLeft w:val="0"/>
      <w:marRight w:val="0"/>
      <w:marTop w:val="0"/>
      <w:marBottom w:val="0"/>
      <w:divBdr>
        <w:top w:val="none" w:sz="0" w:space="0" w:color="auto"/>
        <w:left w:val="none" w:sz="0" w:space="0" w:color="auto"/>
        <w:bottom w:val="none" w:sz="0" w:space="0" w:color="auto"/>
        <w:right w:val="none" w:sz="0" w:space="0" w:color="auto"/>
      </w:divBdr>
      <w:divsChild>
        <w:div w:id="312375634">
          <w:marLeft w:val="0"/>
          <w:marRight w:val="0"/>
          <w:marTop w:val="0"/>
          <w:marBottom w:val="0"/>
          <w:divBdr>
            <w:top w:val="none" w:sz="0" w:space="0" w:color="auto"/>
            <w:left w:val="none" w:sz="0" w:space="0" w:color="auto"/>
            <w:bottom w:val="none" w:sz="0" w:space="0" w:color="auto"/>
            <w:right w:val="none" w:sz="0" w:space="0" w:color="auto"/>
          </w:divBdr>
          <w:divsChild>
            <w:div w:id="3123755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34">
      <w:marLeft w:val="0"/>
      <w:marRight w:val="0"/>
      <w:marTop w:val="0"/>
      <w:marBottom w:val="0"/>
      <w:divBdr>
        <w:top w:val="none" w:sz="0" w:space="0" w:color="auto"/>
        <w:left w:val="none" w:sz="0" w:space="0" w:color="auto"/>
        <w:bottom w:val="none" w:sz="0" w:space="0" w:color="auto"/>
        <w:right w:val="none" w:sz="0" w:space="0" w:color="auto"/>
      </w:divBdr>
      <w:divsChild>
        <w:div w:id="312375557">
          <w:marLeft w:val="0"/>
          <w:marRight w:val="0"/>
          <w:marTop w:val="0"/>
          <w:marBottom w:val="0"/>
          <w:divBdr>
            <w:top w:val="none" w:sz="0" w:space="0" w:color="auto"/>
            <w:left w:val="none" w:sz="0" w:space="0" w:color="auto"/>
            <w:bottom w:val="none" w:sz="0" w:space="0" w:color="auto"/>
            <w:right w:val="none" w:sz="0" w:space="0" w:color="auto"/>
          </w:divBdr>
          <w:divsChild>
            <w:div w:id="31237555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35">
      <w:marLeft w:val="0"/>
      <w:marRight w:val="0"/>
      <w:marTop w:val="0"/>
      <w:marBottom w:val="0"/>
      <w:divBdr>
        <w:top w:val="none" w:sz="0" w:space="0" w:color="auto"/>
        <w:left w:val="none" w:sz="0" w:space="0" w:color="auto"/>
        <w:bottom w:val="none" w:sz="0" w:space="0" w:color="auto"/>
        <w:right w:val="none" w:sz="0" w:space="0" w:color="auto"/>
      </w:divBdr>
      <w:divsChild>
        <w:div w:id="312375523">
          <w:marLeft w:val="0"/>
          <w:marRight w:val="0"/>
          <w:marTop w:val="0"/>
          <w:marBottom w:val="0"/>
          <w:divBdr>
            <w:top w:val="none" w:sz="0" w:space="0" w:color="auto"/>
            <w:left w:val="none" w:sz="0" w:space="0" w:color="auto"/>
            <w:bottom w:val="none" w:sz="0" w:space="0" w:color="auto"/>
            <w:right w:val="none" w:sz="0" w:space="0" w:color="auto"/>
          </w:divBdr>
          <w:divsChild>
            <w:div w:id="3123755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41">
      <w:marLeft w:val="0"/>
      <w:marRight w:val="0"/>
      <w:marTop w:val="0"/>
      <w:marBottom w:val="0"/>
      <w:divBdr>
        <w:top w:val="none" w:sz="0" w:space="0" w:color="auto"/>
        <w:left w:val="none" w:sz="0" w:space="0" w:color="auto"/>
        <w:bottom w:val="none" w:sz="0" w:space="0" w:color="auto"/>
        <w:right w:val="none" w:sz="0" w:space="0" w:color="auto"/>
      </w:divBdr>
      <w:divsChild>
        <w:div w:id="312375580">
          <w:marLeft w:val="0"/>
          <w:marRight w:val="0"/>
          <w:marTop w:val="0"/>
          <w:marBottom w:val="0"/>
          <w:divBdr>
            <w:top w:val="none" w:sz="0" w:space="0" w:color="auto"/>
            <w:left w:val="none" w:sz="0" w:space="0" w:color="auto"/>
            <w:bottom w:val="none" w:sz="0" w:space="0" w:color="auto"/>
            <w:right w:val="none" w:sz="0" w:space="0" w:color="auto"/>
          </w:divBdr>
          <w:divsChild>
            <w:div w:id="3123755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48">
      <w:marLeft w:val="0"/>
      <w:marRight w:val="0"/>
      <w:marTop w:val="0"/>
      <w:marBottom w:val="0"/>
      <w:divBdr>
        <w:top w:val="none" w:sz="0" w:space="0" w:color="auto"/>
        <w:left w:val="none" w:sz="0" w:space="0" w:color="auto"/>
        <w:bottom w:val="none" w:sz="0" w:space="0" w:color="auto"/>
        <w:right w:val="none" w:sz="0" w:space="0" w:color="auto"/>
      </w:divBdr>
      <w:divsChild>
        <w:div w:id="312375543">
          <w:marLeft w:val="0"/>
          <w:marRight w:val="0"/>
          <w:marTop w:val="0"/>
          <w:marBottom w:val="0"/>
          <w:divBdr>
            <w:top w:val="none" w:sz="0" w:space="0" w:color="auto"/>
            <w:left w:val="none" w:sz="0" w:space="0" w:color="auto"/>
            <w:bottom w:val="none" w:sz="0" w:space="0" w:color="auto"/>
            <w:right w:val="none" w:sz="0" w:space="0" w:color="auto"/>
          </w:divBdr>
          <w:divsChild>
            <w:div w:id="31237552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49">
      <w:marLeft w:val="0"/>
      <w:marRight w:val="0"/>
      <w:marTop w:val="0"/>
      <w:marBottom w:val="0"/>
      <w:divBdr>
        <w:top w:val="none" w:sz="0" w:space="0" w:color="auto"/>
        <w:left w:val="none" w:sz="0" w:space="0" w:color="auto"/>
        <w:bottom w:val="none" w:sz="0" w:space="0" w:color="auto"/>
        <w:right w:val="none" w:sz="0" w:space="0" w:color="auto"/>
      </w:divBdr>
      <w:divsChild>
        <w:div w:id="312375581">
          <w:marLeft w:val="0"/>
          <w:marRight w:val="0"/>
          <w:marTop w:val="0"/>
          <w:marBottom w:val="0"/>
          <w:divBdr>
            <w:top w:val="none" w:sz="0" w:space="0" w:color="auto"/>
            <w:left w:val="none" w:sz="0" w:space="0" w:color="auto"/>
            <w:bottom w:val="none" w:sz="0" w:space="0" w:color="auto"/>
            <w:right w:val="none" w:sz="0" w:space="0" w:color="auto"/>
          </w:divBdr>
          <w:divsChild>
            <w:div w:id="31237552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50">
      <w:marLeft w:val="0"/>
      <w:marRight w:val="0"/>
      <w:marTop w:val="0"/>
      <w:marBottom w:val="0"/>
      <w:divBdr>
        <w:top w:val="none" w:sz="0" w:space="0" w:color="auto"/>
        <w:left w:val="none" w:sz="0" w:space="0" w:color="auto"/>
        <w:bottom w:val="none" w:sz="0" w:space="0" w:color="auto"/>
        <w:right w:val="none" w:sz="0" w:space="0" w:color="auto"/>
      </w:divBdr>
      <w:divsChild>
        <w:div w:id="312375571">
          <w:marLeft w:val="0"/>
          <w:marRight w:val="0"/>
          <w:marTop w:val="0"/>
          <w:marBottom w:val="0"/>
          <w:divBdr>
            <w:top w:val="none" w:sz="0" w:space="0" w:color="auto"/>
            <w:left w:val="none" w:sz="0" w:space="0" w:color="auto"/>
            <w:bottom w:val="none" w:sz="0" w:space="0" w:color="auto"/>
            <w:right w:val="none" w:sz="0" w:space="0" w:color="auto"/>
          </w:divBdr>
          <w:divsChild>
            <w:div w:id="3123755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52">
      <w:marLeft w:val="0"/>
      <w:marRight w:val="0"/>
      <w:marTop w:val="0"/>
      <w:marBottom w:val="0"/>
      <w:divBdr>
        <w:top w:val="none" w:sz="0" w:space="0" w:color="auto"/>
        <w:left w:val="none" w:sz="0" w:space="0" w:color="auto"/>
        <w:bottom w:val="none" w:sz="0" w:space="0" w:color="auto"/>
        <w:right w:val="none" w:sz="0" w:space="0" w:color="auto"/>
      </w:divBdr>
      <w:divsChild>
        <w:div w:id="312375633">
          <w:marLeft w:val="0"/>
          <w:marRight w:val="0"/>
          <w:marTop w:val="0"/>
          <w:marBottom w:val="0"/>
          <w:divBdr>
            <w:top w:val="none" w:sz="0" w:space="0" w:color="auto"/>
            <w:left w:val="none" w:sz="0" w:space="0" w:color="auto"/>
            <w:bottom w:val="none" w:sz="0" w:space="0" w:color="auto"/>
            <w:right w:val="none" w:sz="0" w:space="0" w:color="auto"/>
          </w:divBdr>
          <w:divsChild>
            <w:div w:id="31237558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55">
      <w:marLeft w:val="0"/>
      <w:marRight w:val="0"/>
      <w:marTop w:val="0"/>
      <w:marBottom w:val="0"/>
      <w:divBdr>
        <w:top w:val="none" w:sz="0" w:space="0" w:color="auto"/>
        <w:left w:val="none" w:sz="0" w:space="0" w:color="auto"/>
        <w:bottom w:val="none" w:sz="0" w:space="0" w:color="auto"/>
        <w:right w:val="none" w:sz="0" w:space="0" w:color="auto"/>
      </w:divBdr>
      <w:divsChild>
        <w:div w:id="312375572">
          <w:marLeft w:val="0"/>
          <w:marRight w:val="0"/>
          <w:marTop w:val="0"/>
          <w:marBottom w:val="0"/>
          <w:divBdr>
            <w:top w:val="none" w:sz="0" w:space="0" w:color="auto"/>
            <w:left w:val="none" w:sz="0" w:space="0" w:color="auto"/>
            <w:bottom w:val="none" w:sz="0" w:space="0" w:color="auto"/>
            <w:right w:val="none" w:sz="0" w:space="0" w:color="auto"/>
          </w:divBdr>
          <w:divsChild>
            <w:div w:id="31237563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60">
      <w:marLeft w:val="0"/>
      <w:marRight w:val="0"/>
      <w:marTop w:val="0"/>
      <w:marBottom w:val="0"/>
      <w:divBdr>
        <w:top w:val="none" w:sz="0" w:space="0" w:color="auto"/>
        <w:left w:val="none" w:sz="0" w:space="0" w:color="auto"/>
        <w:bottom w:val="none" w:sz="0" w:space="0" w:color="auto"/>
        <w:right w:val="none" w:sz="0" w:space="0" w:color="auto"/>
      </w:divBdr>
      <w:divsChild>
        <w:div w:id="312375544">
          <w:marLeft w:val="0"/>
          <w:marRight w:val="0"/>
          <w:marTop w:val="0"/>
          <w:marBottom w:val="0"/>
          <w:divBdr>
            <w:top w:val="none" w:sz="0" w:space="0" w:color="auto"/>
            <w:left w:val="none" w:sz="0" w:space="0" w:color="auto"/>
            <w:bottom w:val="none" w:sz="0" w:space="0" w:color="auto"/>
            <w:right w:val="none" w:sz="0" w:space="0" w:color="auto"/>
          </w:divBdr>
          <w:divsChild>
            <w:div w:id="3123755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64">
      <w:marLeft w:val="0"/>
      <w:marRight w:val="0"/>
      <w:marTop w:val="0"/>
      <w:marBottom w:val="0"/>
      <w:divBdr>
        <w:top w:val="none" w:sz="0" w:space="0" w:color="auto"/>
        <w:left w:val="none" w:sz="0" w:space="0" w:color="auto"/>
        <w:bottom w:val="none" w:sz="0" w:space="0" w:color="auto"/>
        <w:right w:val="none" w:sz="0" w:space="0" w:color="auto"/>
      </w:divBdr>
      <w:divsChild>
        <w:div w:id="312375587">
          <w:marLeft w:val="0"/>
          <w:marRight w:val="0"/>
          <w:marTop w:val="0"/>
          <w:marBottom w:val="0"/>
          <w:divBdr>
            <w:top w:val="none" w:sz="0" w:space="0" w:color="auto"/>
            <w:left w:val="none" w:sz="0" w:space="0" w:color="auto"/>
            <w:bottom w:val="none" w:sz="0" w:space="0" w:color="auto"/>
            <w:right w:val="none" w:sz="0" w:space="0" w:color="auto"/>
          </w:divBdr>
          <w:divsChild>
            <w:div w:id="3123755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65">
      <w:marLeft w:val="0"/>
      <w:marRight w:val="0"/>
      <w:marTop w:val="0"/>
      <w:marBottom w:val="0"/>
      <w:divBdr>
        <w:top w:val="none" w:sz="0" w:space="0" w:color="auto"/>
        <w:left w:val="none" w:sz="0" w:space="0" w:color="auto"/>
        <w:bottom w:val="none" w:sz="0" w:space="0" w:color="auto"/>
        <w:right w:val="none" w:sz="0" w:space="0" w:color="auto"/>
      </w:divBdr>
      <w:divsChild>
        <w:div w:id="312375566">
          <w:marLeft w:val="0"/>
          <w:marRight w:val="0"/>
          <w:marTop w:val="0"/>
          <w:marBottom w:val="0"/>
          <w:divBdr>
            <w:top w:val="none" w:sz="0" w:space="0" w:color="auto"/>
            <w:left w:val="none" w:sz="0" w:space="0" w:color="auto"/>
            <w:bottom w:val="none" w:sz="0" w:space="0" w:color="auto"/>
            <w:right w:val="none" w:sz="0" w:space="0" w:color="auto"/>
          </w:divBdr>
          <w:divsChild>
            <w:div w:id="3123755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67">
      <w:marLeft w:val="0"/>
      <w:marRight w:val="0"/>
      <w:marTop w:val="0"/>
      <w:marBottom w:val="0"/>
      <w:divBdr>
        <w:top w:val="none" w:sz="0" w:space="0" w:color="auto"/>
        <w:left w:val="none" w:sz="0" w:space="0" w:color="auto"/>
        <w:bottom w:val="none" w:sz="0" w:space="0" w:color="auto"/>
        <w:right w:val="none" w:sz="0" w:space="0" w:color="auto"/>
      </w:divBdr>
      <w:divsChild>
        <w:div w:id="312375562">
          <w:marLeft w:val="0"/>
          <w:marRight w:val="0"/>
          <w:marTop w:val="0"/>
          <w:marBottom w:val="0"/>
          <w:divBdr>
            <w:top w:val="none" w:sz="0" w:space="0" w:color="auto"/>
            <w:left w:val="none" w:sz="0" w:space="0" w:color="auto"/>
            <w:bottom w:val="none" w:sz="0" w:space="0" w:color="auto"/>
            <w:right w:val="none" w:sz="0" w:space="0" w:color="auto"/>
          </w:divBdr>
          <w:divsChild>
            <w:div w:id="31237552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69">
      <w:marLeft w:val="0"/>
      <w:marRight w:val="0"/>
      <w:marTop w:val="0"/>
      <w:marBottom w:val="0"/>
      <w:divBdr>
        <w:top w:val="none" w:sz="0" w:space="0" w:color="auto"/>
        <w:left w:val="none" w:sz="0" w:space="0" w:color="auto"/>
        <w:bottom w:val="none" w:sz="0" w:space="0" w:color="auto"/>
        <w:right w:val="none" w:sz="0" w:space="0" w:color="auto"/>
      </w:divBdr>
      <w:divsChild>
        <w:div w:id="312375547">
          <w:marLeft w:val="0"/>
          <w:marRight w:val="0"/>
          <w:marTop w:val="0"/>
          <w:marBottom w:val="0"/>
          <w:divBdr>
            <w:top w:val="none" w:sz="0" w:space="0" w:color="auto"/>
            <w:left w:val="none" w:sz="0" w:space="0" w:color="auto"/>
            <w:bottom w:val="none" w:sz="0" w:space="0" w:color="auto"/>
            <w:right w:val="none" w:sz="0" w:space="0" w:color="auto"/>
          </w:divBdr>
          <w:divsChild>
            <w:div w:id="3123755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70">
      <w:marLeft w:val="0"/>
      <w:marRight w:val="0"/>
      <w:marTop w:val="0"/>
      <w:marBottom w:val="0"/>
      <w:divBdr>
        <w:top w:val="none" w:sz="0" w:space="0" w:color="auto"/>
        <w:left w:val="none" w:sz="0" w:space="0" w:color="auto"/>
        <w:bottom w:val="none" w:sz="0" w:space="0" w:color="auto"/>
        <w:right w:val="none" w:sz="0" w:space="0" w:color="auto"/>
      </w:divBdr>
      <w:divsChild>
        <w:div w:id="312375579">
          <w:marLeft w:val="0"/>
          <w:marRight w:val="0"/>
          <w:marTop w:val="0"/>
          <w:marBottom w:val="0"/>
          <w:divBdr>
            <w:top w:val="none" w:sz="0" w:space="0" w:color="auto"/>
            <w:left w:val="none" w:sz="0" w:space="0" w:color="auto"/>
            <w:bottom w:val="none" w:sz="0" w:space="0" w:color="auto"/>
            <w:right w:val="none" w:sz="0" w:space="0" w:color="auto"/>
          </w:divBdr>
          <w:divsChild>
            <w:div w:id="3123755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77">
      <w:marLeft w:val="0"/>
      <w:marRight w:val="0"/>
      <w:marTop w:val="0"/>
      <w:marBottom w:val="0"/>
      <w:divBdr>
        <w:top w:val="none" w:sz="0" w:space="0" w:color="auto"/>
        <w:left w:val="none" w:sz="0" w:space="0" w:color="auto"/>
        <w:bottom w:val="none" w:sz="0" w:space="0" w:color="auto"/>
        <w:right w:val="none" w:sz="0" w:space="0" w:color="auto"/>
      </w:divBdr>
      <w:divsChild>
        <w:div w:id="312375519">
          <w:marLeft w:val="0"/>
          <w:marRight w:val="0"/>
          <w:marTop w:val="0"/>
          <w:marBottom w:val="0"/>
          <w:divBdr>
            <w:top w:val="none" w:sz="0" w:space="0" w:color="auto"/>
            <w:left w:val="none" w:sz="0" w:space="0" w:color="auto"/>
            <w:bottom w:val="none" w:sz="0" w:space="0" w:color="auto"/>
            <w:right w:val="none" w:sz="0" w:space="0" w:color="auto"/>
          </w:divBdr>
          <w:divsChild>
            <w:div w:id="31237553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78">
      <w:marLeft w:val="0"/>
      <w:marRight w:val="0"/>
      <w:marTop w:val="0"/>
      <w:marBottom w:val="0"/>
      <w:divBdr>
        <w:top w:val="none" w:sz="0" w:space="0" w:color="auto"/>
        <w:left w:val="none" w:sz="0" w:space="0" w:color="auto"/>
        <w:bottom w:val="none" w:sz="0" w:space="0" w:color="auto"/>
        <w:right w:val="none" w:sz="0" w:space="0" w:color="auto"/>
      </w:divBdr>
      <w:divsChild>
        <w:div w:id="312375568">
          <w:marLeft w:val="0"/>
          <w:marRight w:val="0"/>
          <w:marTop w:val="0"/>
          <w:marBottom w:val="0"/>
          <w:divBdr>
            <w:top w:val="none" w:sz="0" w:space="0" w:color="auto"/>
            <w:left w:val="none" w:sz="0" w:space="0" w:color="auto"/>
            <w:bottom w:val="none" w:sz="0" w:space="0" w:color="auto"/>
            <w:right w:val="none" w:sz="0" w:space="0" w:color="auto"/>
          </w:divBdr>
          <w:divsChild>
            <w:div w:id="3123755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82">
      <w:marLeft w:val="0"/>
      <w:marRight w:val="0"/>
      <w:marTop w:val="0"/>
      <w:marBottom w:val="0"/>
      <w:divBdr>
        <w:top w:val="none" w:sz="0" w:space="0" w:color="auto"/>
        <w:left w:val="none" w:sz="0" w:space="0" w:color="auto"/>
        <w:bottom w:val="none" w:sz="0" w:space="0" w:color="auto"/>
        <w:right w:val="none" w:sz="0" w:space="0" w:color="auto"/>
      </w:divBdr>
      <w:divsChild>
        <w:div w:id="312375530">
          <w:marLeft w:val="0"/>
          <w:marRight w:val="0"/>
          <w:marTop w:val="0"/>
          <w:marBottom w:val="0"/>
          <w:divBdr>
            <w:top w:val="none" w:sz="0" w:space="0" w:color="auto"/>
            <w:left w:val="none" w:sz="0" w:space="0" w:color="auto"/>
            <w:bottom w:val="none" w:sz="0" w:space="0" w:color="auto"/>
            <w:right w:val="none" w:sz="0" w:space="0" w:color="auto"/>
          </w:divBdr>
          <w:divsChild>
            <w:div w:id="3123756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84">
      <w:marLeft w:val="0"/>
      <w:marRight w:val="0"/>
      <w:marTop w:val="0"/>
      <w:marBottom w:val="0"/>
      <w:divBdr>
        <w:top w:val="none" w:sz="0" w:space="0" w:color="auto"/>
        <w:left w:val="none" w:sz="0" w:space="0" w:color="auto"/>
        <w:bottom w:val="none" w:sz="0" w:space="0" w:color="auto"/>
        <w:right w:val="none" w:sz="0" w:space="0" w:color="auto"/>
      </w:divBdr>
      <w:divsChild>
        <w:div w:id="312375533">
          <w:marLeft w:val="0"/>
          <w:marRight w:val="0"/>
          <w:marTop w:val="0"/>
          <w:marBottom w:val="0"/>
          <w:divBdr>
            <w:top w:val="none" w:sz="0" w:space="0" w:color="auto"/>
            <w:left w:val="none" w:sz="0" w:space="0" w:color="auto"/>
            <w:bottom w:val="none" w:sz="0" w:space="0" w:color="auto"/>
            <w:right w:val="none" w:sz="0" w:space="0" w:color="auto"/>
          </w:divBdr>
          <w:divsChild>
            <w:div w:id="3123755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88">
      <w:marLeft w:val="0"/>
      <w:marRight w:val="0"/>
      <w:marTop w:val="0"/>
      <w:marBottom w:val="0"/>
      <w:divBdr>
        <w:top w:val="none" w:sz="0" w:space="0" w:color="auto"/>
        <w:left w:val="none" w:sz="0" w:space="0" w:color="auto"/>
        <w:bottom w:val="none" w:sz="0" w:space="0" w:color="auto"/>
        <w:right w:val="none" w:sz="0" w:space="0" w:color="auto"/>
      </w:divBdr>
      <w:divsChild>
        <w:div w:id="312375554">
          <w:marLeft w:val="0"/>
          <w:marRight w:val="0"/>
          <w:marTop w:val="0"/>
          <w:marBottom w:val="0"/>
          <w:divBdr>
            <w:top w:val="none" w:sz="0" w:space="0" w:color="auto"/>
            <w:left w:val="none" w:sz="0" w:space="0" w:color="auto"/>
            <w:bottom w:val="none" w:sz="0" w:space="0" w:color="auto"/>
            <w:right w:val="none" w:sz="0" w:space="0" w:color="auto"/>
          </w:divBdr>
          <w:divsChild>
            <w:div w:id="31237553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91">
      <w:marLeft w:val="0"/>
      <w:marRight w:val="0"/>
      <w:marTop w:val="0"/>
      <w:marBottom w:val="0"/>
      <w:divBdr>
        <w:top w:val="none" w:sz="0" w:space="0" w:color="auto"/>
        <w:left w:val="none" w:sz="0" w:space="0" w:color="auto"/>
        <w:bottom w:val="none" w:sz="0" w:space="0" w:color="auto"/>
        <w:right w:val="none" w:sz="0" w:space="0" w:color="auto"/>
      </w:divBdr>
      <w:divsChild>
        <w:div w:id="312375522">
          <w:marLeft w:val="0"/>
          <w:marRight w:val="0"/>
          <w:marTop w:val="0"/>
          <w:marBottom w:val="0"/>
          <w:divBdr>
            <w:top w:val="none" w:sz="0" w:space="0" w:color="auto"/>
            <w:left w:val="none" w:sz="0" w:space="0" w:color="auto"/>
            <w:bottom w:val="none" w:sz="0" w:space="0" w:color="auto"/>
            <w:right w:val="none" w:sz="0" w:space="0" w:color="auto"/>
          </w:divBdr>
          <w:divsChild>
            <w:div w:id="31237557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595">
      <w:marLeft w:val="0"/>
      <w:marRight w:val="0"/>
      <w:marTop w:val="0"/>
      <w:marBottom w:val="0"/>
      <w:divBdr>
        <w:top w:val="none" w:sz="0" w:space="0" w:color="auto"/>
        <w:left w:val="none" w:sz="0" w:space="0" w:color="auto"/>
        <w:bottom w:val="none" w:sz="0" w:space="0" w:color="auto"/>
        <w:right w:val="none" w:sz="0" w:space="0" w:color="auto"/>
      </w:divBdr>
      <w:divsChild>
        <w:div w:id="312375598">
          <w:marLeft w:val="0"/>
          <w:marRight w:val="0"/>
          <w:marTop w:val="0"/>
          <w:marBottom w:val="0"/>
          <w:divBdr>
            <w:top w:val="none" w:sz="0" w:space="0" w:color="auto"/>
            <w:left w:val="none" w:sz="0" w:space="0" w:color="auto"/>
            <w:bottom w:val="none" w:sz="0" w:space="0" w:color="auto"/>
            <w:right w:val="none" w:sz="0" w:space="0" w:color="auto"/>
          </w:divBdr>
          <w:divsChild>
            <w:div w:id="31237559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597">
      <w:marLeft w:val="0"/>
      <w:marRight w:val="0"/>
      <w:marTop w:val="0"/>
      <w:marBottom w:val="0"/>
      <w:divBdr>
        <w:top w:val="none" w:sz="0" w:space="0" w:color="auto"/>
        <w:left w:val="none" w:sz="0" w:space="0" w:color="auto"/>
        <w:bottom w:val="none" w:sz="0" w:space="0" w:color="auto"/>
        <w:right w:val="none" w:sz="0" w:space="0" w:color="auto"/>
      </w:divBdr>
      <w:divsChild>
        <w:div w:id="312375593">
          <w:marLeft w:val="0"/>
          <w:marRight w:val="0"/>
          <w:marTop w:val="0"/>
          <w:marBottom w:val="0"/>
          <w:divBdr>
            <w:top w:val="none" w:sz="0" w:space="0" w:color="auto"/>
            <w:left w:val="none" w:sz="0" w:space="0" w:color="auto"/>
            <w:bottom w:val="none" w:sz="0" w:space="0" w:color="auto"/>
            <w:right w:val="none" w:sz="0" w:space="0" w:color="auto"/>
          </w:divBdr>
          <w:divsChild>
            <w:div w:id="31237559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00">
      <w:marLeft w:val="0"/>
      <w:marRight w:val="0"/>
      <w:marTop w:val="0"/>
      <w:marBottom w:val="0"/>
      <w:divBdr>
        <w:top w:val="none" w:sz="0" w:space="0" w:color="auto"/>
        <w:left w:val="none" w:sz="0" w:space="0" w:color="auto"/>
        <w:bottom w:val="none" w:sz="0" w:space="0" w:color="auto"/>
        <w:right w:val="none" w:sz="0" w:space="0" w:color="auto"/>
      </w:divBdr>
      <w:divsChild>
        <w:div w:id="312375596">
          <w:marLeft w:val="0"/>
          <w:marRight w:val="0"/>
          <w:marTop w:val="0"/>
          <w:marBottom w:val="0"/>
          <w:divBdr>
            <w:top w:val="none" w:sz="0" w:space="0" w:color="auto"/>
            <w:left w:val="none" w:sz="0" w:space="0" w:color="auto"/>
            <w:bottom w:val="none" w:sz="0" w:space="0" w:color="auto"/>
            <w:right w:val="none" w:sz="0" w:space="0" w:color="auto"/>
          </w:divBdr>
          <w:divsChild>
            <w:div w:id="312375601">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06">
      <w:marLeft w:val="0"/>
      <w:marRight w:val="0"/>
      <w:marTop w:val="0"/>
      <w:marBottom w:val="0"/>
      <w:divBdr>
        <w:top w:val="none" w:sz="0" w:space="0" w:color="auto"/>
        <w:left w:val="none" w:sz="0" w:space="0" w:color="auto"/>
        <w:bottom w:val="none" w:sz="0" w:space="0" w:color="auto"/>
        <w:right w:val="none" w:sz="0" w:space="0" w:color="auto"/>
      </w:divBdr>
      <w:divsChild>
        <w:div w:id="312375612">
          <w:marLeft w:val="0"/>
          <w:marRight w:val="0"/>
          <w:marTop w:val="0"/>
          <w:marBottom w:val="0"/>
          <w:divBdr>
            <w:top w:val="none" w:sz="0" w:space="0" w:color="auto"/>
            <w:left w:val="none" w:sz="0" w:space="0" w:color="auto"/>
            <w:bottom w:val="none" w:sz="0" w:space="0" w:color="auto"/>
            <w:right w:val="none" w:sz="0" w:space="0" w:color="auto"/>
          </w:divBdr>
          <w:divsChild>
            <w:div w:id="312375618">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08">
      <w:marLeft w:val="0"/>
      <w:marRight w:val="0"/>
      <w:marTop w:val="0"/>
      <w:marBottom w:val="0"/>
      <w:divBdr>
        <w:top w:val="none" w:sz="0" w:space="0" w:color="auto"/>
        <w:left w:val="none" w:sz="0" w:space="0" w:color="auto"/>
        <w:bottom w:val="none" w:sz="0" w:space="0" w:color="auto"/>
        <w:right w:val="none" w:sz="0" w:space="0" w:color="auto"/>
      </w:divBdr>
      <w:divsChild>
        <w:div w:id="312375603">
          <w:marLeft w:val="0"/>
          <w:marRight w:val="0"/>
          <w:marTop w:val="0"/>
          <w:marBottom w:val="0"/>
          <w:divBdr>
            <w:top w:val="none" w:sz="0" w:space="0" w:color="auto"/>
            <w:left w:val="none" w:sz="0" w:space="0" w:color="auto"/>
            <w:bottom w:val="none" w:sz="0" w:space="0" w:color="auto"/>
            <w:right w:val="none" w:sz="0" w:space="0" w:color="auto"/>
          </w:divBdr>
          <w:divsChild>
            <w:div w:id="312375607">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09">
      <w:marLeft w:val="0"/>
      <w:marRight w:val="0"/>
      <w:marTop w:val="0"/>
      <w:marBottom w:val="0"/>
      <w:divBdr>
        <w:top w:val="none" w:sz="0" w:space="0" w:color="auto"/>
        <w:left w:val="none" w:sz="0" w:space="0" w:color="auto"/>
        <w:bottom w:val="none" w:sz="0" w:space="0" w:color="auto"/>
        <w:right w:val="none" w:sz="0" w:space="0" w:color="auto"/>
      </w:divBdr>
      <w:divsChild>
        <w:div w:id="312375620">
          <w:marLeft w:val="0"/>
          <w:marRight w:val="0"/>
          <w:marTop w:val="0"/>
          <w:marBottom w:val="0"/>
          <w:divBdr>
            <w:top w:val="none" w:sz="0" w:space="0" w:color="auto"/>
            <w:left w:val="none" w:sz="0" w:space="0" w:color="auto"/>
            <w:bottom w:val="none" w:sz="0" w:space="0" w:color="auto"/>
            <w:right w:val="none" w:sz="0" w:space="0" w:color="auto"/>
          </w:divBdr>
          <w:divsChild>
            <w:div w:id="312375613">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11">
      <w:marLeft w:val="0"/>
      <w:marRight w:val="0"/>
      <w:marTop w:val="0"/>
      <w:marBottom w:val="0"/>
      <w:divBdr>
        <w:top w:val="none" w:sz="0" w:space="0" w:color="auto"/>
        <w:left w:val="none" w:sz="0" w:space="0" w:color="auto"/>
        <w:bottom w:val="none" w:sz="0" w:space="0" w:color="auto"/>
        <w:right w:val="none" w:sz="0" w:space="0" w:color="auto"/>
      </w:divBdr>
      <w:divsChild>
        <w:div w:id="312375604">
          <w:marLeft w:val="0"/>
          <w:marRight w:val="0"/>
          <w:marTop w:val="0"/>
          <w:marBottom w:val="0"/>
          <w:divBdr>
            <w:top w:val="none" w:sz="0" w:space="0" w:color="auto"/>
            <w:left w:val="none" w:sz="0" w:space="0" w:color="auto"/>
            <w:bottom w:val="none" w:sz="0" w:space="0" w:color="auto"/>
            <w:right w:val="none" w:sz="0" w:space="0" w:color="auto"/>
          </w:divBdr>
          <w:divsChild>
            <w:div w:id="312375605">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16">
      <w:marLeft w:val="0"/>
      <w:marRight w:val="0"/>
      <w:marTop w:val="0"/>
      <w:marBottom w:val="0"/>
      <w:divBdr>
        <w:top w:val="none" w:sz="0" w:space="0" w:color="auto"/>
        <w:left w:val="none" w:sz="0" w:space="0" w:color="auto"/>
        <w:bottom w:val="none" w:sz="0" w:space="0" w:color="auto"/>
        <w:right w:val="none" w:sz="0" w:space="0" w:color="auto"/>
      </w:divBdr>
      <w:divsChild>
        <w:div w:id="312375617">
          <w:marLeft w:val="0"/>
          <w:marRight w:val="0"/>
          <w:marTop w:val="0"/>
          <w:marBottom w:val="0"/>
          <w:divBdr>
            <w:top w:val="none" w:sz="0" w:space="0" w:color="auto"/>
            <w:left w:val="none" w:sz="0" w:space="0" w:color="auto"/>
            <w:bottom w:val="none" w:sz="0" w:space="0" w:color="auto"/>
            <w:right w:val="none" w:sz="0" w:space="0" w:color="auto"/>
          </w:divBdr>
          <w:divsChild>
            <w:div w:id="312375615">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21">
      <w:marLeft w:val="0"/>
      <w:marRight w:val="0"/>
      <w:marTop w:val="0"/>
      <w:marBottom w:val="0"/>
      <w:divBdr>
        <w:top w:val="none" w:sz="0" w:space="0" w:color="auto"/>
        <w:left w:val="none" w:sz="0" w:space="0" w:color="auto"/>
        <w:bottom w:val="none" w:sz="0" w:space="0" w:color="auto"/>
        <w:right w:val="none" w:sz="0" w:space="0" w:color="auto"/>
      </w:divBdr>
      <w:divsChild>
        <w:div w:id="312375610">
          <w:marLeft w:val="0"/>
          <w:marRight w:val="0"/>
          <w:marTop w:val="0"/>
          <w:marBottom w:val="0"/>
          <w:divBdr>
            <w:top w:val="none" w:sz="0" w:space="0" w:color="auto"/>
            <w:left w:val="none" w:sz="0" w:space="0" w:color="auto"/>
            <w:bottom w:val="none" w:sz="0" w:space="0" w:color="auto"/>
            <w:right w:val="none" w:sz="0" w:space="0" w:color="auto"/>
          </w:divBdr>
          <w:divsChild>
            <w:div w:id="312375602">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22">
      <w:marLeft w:val="0"/>
      <w:marRight w:val="0"/>
      <w:marTop w:val="0"/>
      <w:marBottom w:val="0"/>
      <w:divBdr>
        <w:top w:val="none" w:sz="0" w:space="0" w:color="auto"/>
        <w:left w:val="none" w:sz="0" w:space="0" w:color="auto"/>
        <w:bottom w:val="none" w:sz="0" w:space="0" w:color="auto"/>
        <w:right w:val="none" w:sz="0" w:space="0" w:color="auto"/>
      </w:divBdr>
      <w:divsChild>
        <w:div w:id="312375614">
          <w:marLeft w:val="0"/>
          <w:marRight w:val="0"/>
          <w:marTop w:val="0"/>
          <w:marBottom w:val="0"/>
          <w:divBdr>
            <w:top w:val="none" w:sz="0" w:space="0" w:color="auto"/>
            <w:left w:val="none" w:sz="0" w:space="0" w:color="auto"/>
            <w:bottom w:val="none" w:sz="0" w:space="0" w:color="auto"/>
            <w:right w:val="none" w:sz="0" w:space="0" w:color="auto"/>
          </w:divBdr>
          <w:divsChild>
            <w:div w:id="31237561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312375623">
      <w:marLeft w:val="0"/>
      <w:marRight w:val="0"/>
      <w:marTop w:val="0"/>
      <w:marBottom w:val="0"/>
      <w:divBdr>
        <w:top w:val="none" w:sz="0" w:space="0" w:color="auto"/>
        <w:left w:val="none" w:sz="0" w:space="0" w:color="auto"/>
        <w:bottom w:val="none" w:sz="0" w:space="0" w:color="auto"/>
        <w:right w:val="none" w:sz="0" w:space="0" w:color="auto"/>
      </w:divBdr>
    </w:div>
    <w:div w:id="312375624">
      <w:marLeft w:val="0"/>
      <w:marRight w:val="0"/>
      <w:marTop w:val="0"/>
      <w:marBottom w:val="0"/>
      <w:divBdr>
        <w:top w:val="none" w:sz="0" w:space="0" w:color="auto"/>
        <w:left w:val="none" w:sz="0" w:space="0" w:color="auto"/>
        <w:bottom w:val="none" w:sz="0" w:space="0" w:color="auto"/>
        <w:right w:val="none" w:sz="0" w:space="0" w:color="auto"/>
      </w:divBdr>
    </w:div>
    <w:div w:id="312375625">
      <w:marLeft w:val="0"/>
      <w:marRight w:val="0"/>
      <w:marTop w:val="0"/>
      <w:marBottom w:val="0"/>
      <w:divBdr>
        <w:top w:val="none" w:sz="0" w:space="0" w:color="auto"/>
        <w:left w:val="none" w:sz="0" w:space="0" w:color="auto"/>
        <w:bottom w:val="none" w:sz="0" w:space="0" w:color="auto"/>
        <w:right w:val="none" w:sz="0" w:space="0" w:color="auto"/>
      </w:divBdr>
    </w:div>
    <w:div w:id="312375626">
      <w:marLeft w:val="0"/>
      <w:marRight w:val="0"/>
      <w:marTop w:val="0"/>
      <w:marBottom w:val="0"/>
      <w:divBdr>
        <w:top w:val="none" w:sz="0" w:space="0" w:color="auto"/>
        <w:left w:val="none" w:sz="0" w:space="0" w:color="auto"/>
        <w:bottom w:val="none" w:sz="0" w:space="0" w:color="auto"/>
        <w:right w:val="none" w:sz="0" w:space="0" w:color="auto"/>
      </w:divBdr>
    </w:div>
    <w:div w:id="312375627">
      <w:marLeft w:val="0"/>
      <w:marRight w:val="0"/>
      <w:marTop w:val="0"/>
      <w:marBottom w:val="0"/>
      <w:divBdr>
        <w:top w:val="none" w:sz="0" w:space="0" w:color="auto"/>
        <w:left w:val="none" w:sz="0" w:space="0" w:color="auto"/>
        <w:bottom w:val="none" w:sz="0" w:space="0" w:color="auto"/>
        <w:right w:val="none" w:sz="0" w:space="0" w:color="auto"/>
      </w:divBdr>
    </w:div>
    <w:div w:id="312375628">
      <w:marLeft w:val="0"/>
      <w:marRight w:val="0"/>
      <w:marTop w:val="0"/>
      <w:marBottom w:val="0"/>
      <w:divBdr>
        <w:top w:val="none" w:sz="0" w:space="0" w:color="auto"/>
        <w:left w:val="none" w:sz="0" w:space="0" w:color="auto"/>
        <w:bottom w:val="none" w:sz="0" w:space="0" w:color="auto"/>
        <w:right w:val="none" w:sz="0" w:space="0" w:color="auto"/>
      </w:divBdr>
    </w:div>
    <w:div w:id="312375629">
      <w:marLeft w:val="0"/>
      <w:marRight w:val="0"/>
      <w:marTop w:val="0"/>
      <w:marBottom w:val="0"/>
      <w:divBdr>
        <w:top w:val="none" w:sz="0" w:space="0" w:color="auto"/>
        <w:left w:val="none" w:sz="0" w:space="0" w:color="auto"/>
        <w:bottom w:val="none" w:sz="0" w:space="0" w:color="auto"/>
        <w:right w:val="none" w:sz="0" w:space="0" w:color="auto"/>
      </w:divBdr>
    </w:div>
    <w:div w:id="312375630">
      <w:marLeft w:val="0"/>
      <w:marRight w:val="0"/>
      <w:marTop w:val="0"/>
      <w:marBottom w:val="0"/>
      <w:divBdr>
        <w:top w:val="none" w:sz="0" w:space="0" w:color="auto"/>
        <w:left w:val="none" w:sz="0" w:space="0" w:color="auto"/>
        <w:bottom w:val="none" w:sz="0" w:space="0" w:color="auto"/>
        <w:right w:val="none" w:sz="0" w:space="0" w:color="auto"/>
      </w:divBdr>
    </w:div>
    <w:div w:id="312375631">
      <w:marLeft w:val="0"/>
      <w:marRight w:val="0"/>
      <w:marTop w:val="0"/>
      <w:marBottom w:val="0"/>
      <w:divBdr>
        <w:top w:val="none" w:sz="0" w:space="0" w:color="auto"/>
        <w:left w:val="none" w:sz="0" w:space="0" w:color="auto"/>
        <w:bottom w:val="none" w:sz="0" w:space="0" w:color="auto"/>
        <w:right w:val="none" w:sz="0" w:space="0" w:color="auto"/>
      </w:divBdr>
      <w:divsChild>
        <w:div w:id="312375561">
          <w:marLeft w:val="0"/>
          <w:marRight w:val="0"/>
          <w:marTop w:val="0"/>
          <w:marBottom w:val="0"/>
          <w:divBdr>
            <w:top w:val="none" w:sz="0" w:space="0" w:color="auto"/>
            <w:left w:val="none" w:sz="0" w:space="0" w:color="auto"/>
            <w:bottom w:val="none" w:sz="0" w:space="0" w:color="auto"/>
            <w:right w:val="none" w:sz="0" w:space="0" w:color="auto"/>
          </w:divBdr>
          <w:divsChild>
            <w:div w:id="31237554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632">
      <w:marLeft w:val="0"/>
      <w:marRight w:val="0"/>
      <w:marTop w:val="0"/>
      <w:marBottom w:val="0"/>
      <w:divBdr>
        <w:top w:val="none" w:sz="0" w:space="0" w:color="auto"/>
        <w:left w:val="none" w:sz="0" w:space="0" w:color="auto"/>
        <w:bottom w:val="none" w:sz="0" w:space="0" w:color="auto"/>
        <w:right w:val="none" w:sz="0" w:space="0" w:color="auto"/>
      </w:divBdr>
      <w:divsChild>
        <w:div w:id="312375539">
          <w:marLeft w:val="0"/>
          <w:marRight w:val="0"/>
          <w:marTop w:val="0"/>
          <w:marBottom w:val="0"/>
          <w:divBdr>
            <w:top w:val="none" w:sz="0" w:space="0" w:color="auto"/>
            <w:left w:val="none" w:sz="0" w:space="0" w:color="auto"/>
            <w:bottom w:val="none" w:sz="0" w:space="0" w:color="auto"/>
            <w:right w:val="none" w:sz="0" w:space="0" w:color="auto"/>
          </w:divBdr>
          <w:divsChild>
            <w:div w:id="31237554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636">
      <w:marLeft w:val="0"/>
      <w:marRight w:val="0"/>
      <w:marTop w:val="0"/>
      <w:marBottom w:val="0"/>
      <w:divBdr>
        <w:top w:val="none" w:sz="0" w:space="0" w:color="auto"/>
        <w:left w:val="none" w:sz="0" w:space="0" w:color="auto"/>
        <w:bottom w:val="none" w:sz="0" w:space="0" w:color="auto"/>
        <w:right w:val="none" w:sz="0" w:space="0" w:color="auto"/>
      </w:divBdr>
      <w:divsChild>
        <w:div w:id="312375641">
          <w:marLeft w:val="0"/>
          <w:marRight w:val="0"/>
          <w:marTop w:val="0"/>
          <w:marBottom w:val="0"/>
          <w:divBdr>
            <w:top w:val="none" w:sz="0" w:space="0" w:color="auto"/>
            <w:left w:val="none" w:sz="0" w:space="0" w:color="auto"/>
            <w:bottom w:val="none" w:sz="0" w:space="0" w:color="auto"/>
            <w:right w:val="none" w:sz="0" w:space="0" w:color="auto"/>
          </w:divBdr>
          <w:divsChild>
            <w:div w:id="31237552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638">
      <w:marLeft w:val="0"/>
      <w:marRight w:val="0"/>
      <w:marTop w:val="0"/>
      <w:marBottom w:val="0"/>
      <w:divBdr>
        <w:top w:val="none" w:sz="0" w:space="0" w:color="auto"/>
        <w:left w:val="none" w:sz="0" w:space="0" w:color="auto"/>
        <w:bottom w:val="none" w:sz="0" w:space="0" w:color="auto"/>
        <w:right w:val="none" w:sz="0" w:space="0" w:color="auto"/>
      </w:divBdr>
      <w:divsChild>
        <w:div w:id="312375532">
          <w:marLeft w:val="0"/>
          <w:marRight w:val="0"/>
          <w:marTop w:val="0"/>
          <w:marBottom w:val="0"/>
          <w:divBdr>
            <w:top w:val="none" w:sz="0" w:space="0" w:color="auto"/>
            <w:left w:val="none" w:sz="0" w:space="0" w:color="auto"/>
            <w:bottom w:val="none" w:sz="0" w:space="0" w:color="auto"/>
            <w:right w:val="none" w:sz="0" w:space="0" w:color="auto"/>
          </w:divBdr>
          <w:divsChild>
            <w:div w:id="3123755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639">
      <w:marLeft w:val="0"/>
      <w:marRight w:val="0"/>
      <w:marTop w:val="0"/>
      <w:marBottom w:val="0"/>
      <w:divBdr>
        <w:top w:val="none" w:sz="0" w:space="0" w:color="auto"/>
        <w:left w:val="none" w:sz="0" w:space="0" w:color="auto"/>
        <w:bottom w:val="none" w:sz="0" w:space="0" w:color="auto"/>
        <w:right w:val="none" w:sz="0" w:space="0" w:color="auto"/>
      </w:divBdr>
      <w:divsChild>
        <w:div w:id="312375520">
          <w:marLeft w:val="0"/>
          <w:marRight w:val="0"/>
          <w:marTop w:val="0"/>
          <w:marBottom w:val="0"/>
          <w:divBdr>
            <w:top w:val="none" w:sz="0" w:space="0" w:color="auto"/>
            <w:left w:val="none" w:sz="0" w:space="0" w:color="auto"/>
            <w:bottom w:val="none" w:sz="0" w:space="0" w:color="auto"/>
            <w:right w:val="none" w:sz="0" w:space="0" w:color="auto"/>
          </w:divBdr>
          <w:divsChild>
            <w:div w:id="31237558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640">
      <w:marLeft w:val="0"/>
      <w:marRight w:val="0"/>
      <w:marTop w:val="0"/>
      <w:marBottom w:val="0"/>
      <w:divBdr>
        <w:top w:val="none" w:sz="0" w:space="0" w:color="auto"/>
        <w:left w:val="none" w:sz="0" w:space="0" w:color="auto"/>
        <w:bottom w:val="none" w:sz="0" w:space="0" w:color="auto"/>
        <w:right w:val="none" w:sz="0" w:space="0" w:color="auto"/>
      </w:divBdr>
      <w:divsChild>
        <w:div w:id="312375576">
          <w:marLeft w:val="0"/>
          <w:marRight w:val="0"/>
          <w:marTop w:val="0"/>
          <w:marBottom w:val="0"/>
          <w:divBdr>
            <w:top w:val="none" w:sz="0" w:space="0" w:color="auto"/>
            <w:left w:val="none" w:sz="0" w:space="0" w:color="auto"/>
            <w:bottom w:val="none" w:sz="0" w:space="0" w:color="auto"/>
            <w:right w:val="none" w:sz="0" w:space="0" w:color="auto"/>
          </w:divBdr>
          <w:divsChild>
            <w:div w:id="31237555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12375645">
      <w:marLeft w:val="0"/>
      <w:marRight w:val="0"/>
      <w:marTop w:val="0"/>
      <w:marBottom w:val="0"/>
      <w:divBdr>
        <w:top w:val="none" w:sz="0" w:space="0" w:color="auto"/>
        <w:left w:val="none" w:sz="0" w:space="0" w:color="auto"/>
        <w:bottom w:val="none" w:sz="0" w:space="0" w:color="auto"/>
        <w:right w:val="none" w:sz="0" w:space="0" w:color="auto"/>
      </w:divBdr>
    </w:div>
    <w:div w:id="312375646">
      <w:marLeft w:val="0"/>
      <w:marRight w:val="0"/>
      <w:marTop w:val="0"/>
      <w:marBottom w:val="0"/>
      <w:divBdr>
        <w:top w:val="none" w:sz="0" w:space="0" w:color="auto"/>
        <w:left w:val="none" w:sz="0" w:space="0" w:color="auto"/>
        <w:bottom w:val="none" w:sz="0" w:space="0" w:color="auto"/>
        <w:right w:val="none" w:sz="0" w:space="0" w:color="auto"/>
      </w:divBdr>
    </w:div>
    <w:div w:id="312375647">
      <w:marLeft w:val="0"/>
      <w:marRight w:val="0"/>
      <w:marTop w:val="0"/>
      <w:marBottom w:val="0"/>
      <w:divBdr>
        <w:top w:val="none" w:sz="0" w:space="0" w:color="auto"/>
        <w:left w:val="none" w:sz="0" w:space="0" w:color="auto"/>
        <w:bottom w:val="none" w:sz="0" w:space="0" w:color="auto"/>
        <w:right w:val="none" w:sz="0" w:space="0" w:color="auto"/>
      </w:divBdr>
    </w:div>
    <w:div w:id="312375648">
      <w:marLeft w:val="0"/>
      <w:marRight w:val="0"/>
      <w:marTop w:val="0"/>
      <w:marBottom w:val="0"/>
      <w:divBdr>
        <w:top w:val="none" w:sz="0" w:space="0" w:color="auto"/>
        <w:left w:val="none" w:sz="0" w:space="0" w:color="auto"/>
        <w:bottom w:val="none" w:sz="0" w:space="0" w:color="auto"/>
        <w:right w:val="none" w:sz="0" w:space="0" w:color="auto"/>
      </w:divBdr>
    </w:div>
    <w:div w:id="320549800">
      <w:bodyDiv w:val="1"/>
      <w:marLeft w:val="0"/>
      <w:marRight w:val="0"/>
      <w:marTop w:val="0"/>
      <w:marBottom w:val="0"/>
      <w:divBdr>
        <w:top w:val="none" w:sz="0" w:space="0" w:color="auto"/>
        <w:left w:val="none" w:sz="0" w:space="0" w:color="auto"/>
        <w:bottom w:val="none" w:sz="0" w:space="0" w:color="auto"/>
        <w:right w:val="none" w:sz="0" w:space="0" w:color="auto"/>
      </w:divBdr>
    </w:div>
    <w:div w:id="328564548">
      <w:bodyDiv w:val="1"/>
      <w:marLeft w:val="0"/>
      <w:marRight w:val="0"/>
      <w:marTop w:val="0"/>
      <w:marBottom w:val="0"/>
      <w:divBdr>
        <w:top w:val="none" w:sz="0" w:space="0" w:color="auto"/>
        <w:left w:val="none" w:sz="0" w:space="0" w:color="auto"/>
        <w:bottom w:val="none" w:sz="0" w:space="0" w:color="auto"/>
        <w:right w:val="none" w:sz="0" w:space="0" w:color="auto"/>
      </w:divBdr>
    </w:div>
    <w:div w:id="335425915">
      <w:bodyDiv w:val="1"/>
      <w:marLeft w:val="0"/>
      <w:marRight w:val="0"/>
      <w:marTop w:val="0"/>
      <w:marBottom w:val="0"/>
      <w:divBdr>
        <w:top w:val="none" w:sz="0" w:space="0" w:color="auto"/>
        <w:left w:val="none" w:sz="0" w:space="0" w:color="auto"/>
        <w:bottom w:val="none" w:sz="0" w:space="0" w:color="auto"/>
        <w:right w:val="none" w:sz="0" w:space="0" w:color="auto"/>
      </w:divBdr>
    </w:div>
    <w:div w:id="355540838">
      <w:bodyDiv w:val="1"/>
      <w:marLeft w:val="0"/>
      <w:marRight w:val="0"/>
      <w:marTop w:val="0"/>
      <w:marBottom w:val="0"/>
      <w:divBdr>
        <w:top w:val="none" w:sz="0" w:space="0" w:color="auto"/>
        <w:left w:val="none" w:sz="0" w:space="0" w:color="auto"/>
        <w:bottom w:val="none" w:sz="0" w:space="0" w:color="auto"/>
        <w:right w:val="none" w:sz="0" w:space="0" w:color="auto"/>
      </w:divBdr>
    </w:div>
    <w:div w:id="373239943">
      <w:bodyDiv w:val="1"/>
      <w:marLeft w:val="0"/>
      <w:marRight w:val="0"/>
      <w:marTop w:val="0"/>
      <w:marBottom w:val="0"/>
      <w:divBdr>
        <w:top w:val="none" w:sz="0" w:space="0" w:color="auto"/>
        <w:left w:val="none" w:sz="0" w:space="0" w:color="auto"/>
        <w:bottom w:val="none" w:sz="0" w:space="0" w:color="auto"/>
        <w:right w:val="none" w:sz="0" w:space="0" w:color="auto"/>
      </w:divBdr>
    </w:div>
    <w:div w:id="452747571">
      <w:bodyDiv w:val="1"/>
      <w:marLeft w:val="0"/>
      <w:marRight w:val="0"/>
      <w:marTop w:val="0"/>
      <w:marBottom w:val="0"/>
      <w:divBdr>
        <w:top w:val="none" w:sz="0" w:space="0" w:color="auto"/>
        <w:left w:val="none" w:sz="0" w:space="0" w:color="auto"/>
        <w:bottom w:val="none" w:sz="0" w:space="0" w:color="auto"/>
        <w:right w:val="none" w:sz="0" w:space="0" w:color="auto"/>
      </w:divBdr>
    </w:div>
    <w:div w:id="511115839">
      <w:bodyDiv w:val="1"/>
      <w:marLeft w:val="0"/>
      <w:marRight w:val="0"/>
      <w:marTop w:val="0"/>
      <w:marBottom w:val="0"/>
      <w:divBdr>
        <w:top w:val="none" w:sz="0" w:space="0" w:color="auto"/>
        <w:left w:val="none" w:sz="0" w:space="0" w:color="auto"/>
        <w:bottom w:val="none" w:sz="0" w:space="0" w:color="auto"/>
        <w:right w:val="none" w:sz="0" w:space="0" w:color="auto"/>
      </w:divBdr>
    </w:div>
    <w:div w:id="521865396">
      <w:bodyDiv w:val="1"/>
      <w:marLeft w:val="0"/>
      <w:marRight w:val="0"/>
      <w:marTop w:val="0"/>
      <w:marBottom w:val="0"/>
      <w:divBdr>
        <w:top w:val="none" w:sz="0" w:space="0" w:color="auto"/>
        <w:left w:val="none" w:sz="0" w:space="0" w:color="auto"/>
        <w:bottom w:val="none" w:sz="0" w:space="0" w:color="auto"/>
        <w:right w:val="none" w:sz="0" w:space="0" w:color="auto"/>
      </w:divBdr>
    </w:div>
    <w:div w:id="548148629">
      <w:bodyDiv w:val="1"/>
      <w:marLeft w:val="0"/>
      <w:marRight w:val="0"/>
      <w:marTop w:val="0"/>
      <w:marBottom w:val="0"/>
      <w:divBdr>
        <w:top w:val="none" w:sz="0" w:space="0" w:color="auto"/>
        <w:left w:val="none" w:sz="0" w:space="0" w:color="auto"/>
        <w:bottom w:val="none" w:sz="0" w:space="0" w:color="auto"/>
        <w:right w:val="none" w:sz="0" w:space="0" w:color="auto"/>
      </w:divBdr>
    </w:div>
    <w:div w:id="571165283">
      <w:bodyDiv w:val="1"/>
      <w:marLeft w:val="0"/>
      <w:marRight w:val="0"/>
      <w:marTop w:val="0"/>
      <w:marBottom w:val="0"/>
      <w:divBdr>
        <w:top w:val="none" w:sz="0" w:space="0" w:color="auto"/>
        <w:left w:val="none" w:sz="0" w:space="0" w:color="auto"/>
        <w:bottom w:val="none" w:sz="0" w:space="0" w:color="auto"/>
        <w:right w:val="none" w:sz="0" w:space="0" w:color="auto"/>
      </w:divBdr>
    </w:div>
    <w:div w:id="586764382">
      <w:bodyDiv w:val="1"/>
      <w:marLeft w:val="0"/>
      <w:marRight w:val="0"/>
      <w:marTop w:val="0"/>
      <w:marBottom w:val="0"/>
      <w:divBdr>
        <w:top w:val="none" w:sz="0" w:space="0" w:color="auto"/>
        <w:left w:val="none" w:sz="0" w:space="0" w:color="auto"/>
        <w:bottom w:val="none" w:sz="0" w:space="0" w:color="auto"/>
        <w:right w:val="none" w:sz="0" w:space="0" w:color="auto"/>
      </w:divBdr>
    </w:div>
    <w:div w:id="611983603">
      <w:bodyDiv w:val="1"/>
      <w:marLeft w:val="0"/>
      <w:marRight w:val="0"/>
      <w:marTop w:val="0"/>
      <w:marBottom w:val="0"/>
      <w:divBdr>
        <w:top w:val="none" w:sz="0" w:space="0" w:color="auto"/>
        <w:left w:val="none" w:sz="0" w:space="0" w:color="auto"/>
        <w:bottom w:val="none" w:sz="0" w:space="0" w:color="auto"/>
        <w:right w:val="none" w:sz="0" w:space="0" w:color="auto"/>
      </w:divBdr>
    </w:div>
    <w:div w:id="640380278">
      <w:bodyDiv w:val="1"/>
      <w:marLeft w:val="0"/>
      <w:marRight w:val="0"/>
      <w:marTop w:val="0"/>
      <w:marBottom w:val="0"/>
      <w:divBdr>
        <w:top w:val="none" w:sz="0" w:space="0" w:color="auto"/>
        <w:left w:val="none" w:sz="0" w:space="0" w:color="auto"/>
        <w:bottom w:val="none" w:sz="0" w:space="0" w:color="auto"/>
        <w:right w:val="none" w:sz="0" w:space="0" w:color="auto"/>
      </w:divBdr>
    </w:div>
    <w:div w:id="659768545">
      <w:bodyDiv w:val="1"/>
      <w:marLeft w:val="0"/>
      <w:marRight w:val="0"/>
      <w:marTop w:val="0"/>
      <w:marBottom w:val="0"/>
      <w:divBdr>
        <w:top w:val="none" w:sz="0" w:space="0" w:color="auto"/>
        <w:left w:val="none" w:sz="0" w:space="0" w:color="auto"/>
        <w:bottom w:val="none" w:sz="0" w:space="0" w:color="auto"/>
        <w:right w:val="none" w:sz="0" w:space="0" w:color="auto"/>
      </w:divBdr>
    </w:div>
    <w:div w:id="670059547">
      <w:bodyDiv w:val="1"/>
      <w:marLeft w:val="0"/>
      <w:marRight w:val="0"/>
      <w:marTop w:val="0"/>
      <w:marBottom w:val="0"/>
      <w:divBdr>
        <w:top w:val="none" w:sz="0" w:space="0" w:color="auto"/>
        <w:left w:val="none" w:sz="0" w:space="0" w:color="auto"/>
        <w:bottom w:val="none" w:sz="0" w:space="0" w:color="auto"/>
        <w:right w:val="none" w:sz="0" w:space="0" w:color="auto"/>
      </w:divBdr>
    </w:div>
    <w:div w:id="694816866">
      <w:bodyDiv w:val="1"/>
      <w:marLeft w:val="0"/>
      <w:marRight w:val="0"/>
      <w:marTop w:val="0"/>
      <w:marBottom w:val="0"/>
      <w:divBdr>
        <w:top w:val="none" w:sz="0" w:space="0" w:color="auto"/>
        <w:left w:val="none" w:sz="0" w:space="0" w:color="auto"/>
        <w:bottom w:val="none" w:sz="0" w:space="0" w:color="auto"/>
        <w:right w:val="none" w:sz="0" w:space="0" w:color="auto"/>
      </w:divBdr>
    </w:div>
    <w:div w:id="722411408">
      <w:bodyDiv w:val="1"/>
      <w:marLeft w:val="0"/>
      <w:marRight w:val="0"/>
      <w:marTop w:val="0"/>
      <w:marBottom w:val="0"/>
      <w:divBdr>
        <w:top w:val="none" w:sz="0" w:space="0" w:color="auto"/>
        <w:left w:val="none" w:sz="0" w:space="0" w:color="auto"/>
        <w:bottom w:val="none" w:sz="0" w:space="0" w:color="auto"/>
        <w:right w:val="none" w:sz="0" w:space="0" w:color="auto"/>
      </w:divBdr>
    </w:div>
    <w:div w:id="723482368">
      <w:bodyDiv w:val="1"/>
      <w:marLeft w:val="0"/>
      <w:marRight w:val="0"/>
      <w:marTop w:val="0"/>
      <w:marBottom w:val="0"/>
      <w:divBdr>
        <w:top w:val="none" w:sz="0" w:space="0" w:color="auto"/>
        <w:left w:val="none" w:sz="0" w:space="0" w:color="auto"/>
        <w:bottom w:val="none" w:sz="0" w:space="0" w:color="auto"/>
        <w:right w:val="none" w:sz="0" w:space="0" w:color="auto"/>
      </w:divBdr>
    </w:div>
    <w:div w:id="788359285">
      <w:bodyDiv w:val="1"/>
      <w:marLeft w:val="0"/>
      <w:marRight w:val="0"/>
      <w:marTop w:val="0"/>
      <w:marBottom w:val="0"/>
      <w:divBdr>
        <w:top w:val="none" w:sz="0" w:space="0" w:color="auto"/>
        <w:left w:val="none" w:sz="0" w:space="0" w:color="auto"/>
        <w:bottom w:val="none" w:sz="0" w:space="0" w:color="auto"/>
        <w:right w:val="none" w:sz="0" w:space="0" w:color="auto"/>
      </w:divBdr>
    </w:div>
    <w:div w:id="828518584">
      <w:bodyDiv w:val="1"/>
      <w:marLeft w:val="0"/>
      <w:marRight w:val="0"/>
      <w:marTop w:val="0"/>
      <w:marBottom w:val="0"/>
      <w:divBdr>
        <w:top w:val="none" w:sz="0" w:space="0" w:color="auto"/>
        <w:left w:val="none" w:sz="0" w:space="0" w:color="auto"/>
        <w:bottom w:val="none" w:sz="0" w:space="0" w:color="auto"/>
        <w:right w:val="none" w:sz="0" w:space="0" w:color="auto"/>
      </w:divBdr>
    </w:div>
    <w:div w:id="843662526">
      <w:bodyDiv w:val="1"/>
      <w:marLeft w:val="0"/>
      <w:marRight w:val="0"/>
      <w:marTop w:val="0"/>
      <w:marBottom w:val="0"/>
      <w:divBdr>
        <w:top w:val="none" w:sz="0" w:space="0" w:color="auto"/>
        <w:left w:val="none" w:sz="0" w:space="0" w:color="auto"/>
        <w:bottom w:val="none" w:sz="0" w:space="0" w:color="auto"/>
        <w:right w:val="none" w:sz="0" w:space="0" w:color="auto"/>
      </w:divBdr>
    </w:div>
    <w:div w:id="877863200">
      <w:bodyDiv w:val="1"/>
      <w:marLeft w:val="0"/>
      <w:marRight w:val="0"/>
      <w:marTop w:val="0"/>
      <w:marBottom w:val="0"/>
      <w:divBdr>
        <w:top w:val="none" w:sz="0" w:space="0" w:color="auto"/>
        <w:left w:val="none" w:sz="0" w:space="0" w:color="auto"/>
        <w:bottom w:val="none" w:sz="0" w:space="0" w:color="auto"/>
        <w:right w:val="none" w:sz="0" w:space="0" w:color="auto"/>
      </w:divBdr>
    </w:div>
    <w:div w:id="885409760">
      <w:bodyDiv w:val="1"/>
      <w:marLeft w:val="0"/>
      <w:marRight w:val="0"/>
      <w:marTop w:val="0"/>
      <w:marBottom w:val="0"/>
      <w:divBdr>
        <w:top w:val="none" w:sz="0" w:space="0" w:color="auto"/>
        <w:left w:val="none" w:sz="0" w:space="0" w:color="auto"/>
        <w:bottom w:val="none" w:sz="0" w:space="0" w:color="auto"/>
        <w:right w:val="none" w:sz="0" w:space="0" w:color="auto"/>
      </w:divBdr>
    </w:div>
    <w:div w:id="887180105">
      <w:bodyDiv w:val="1"/>
      <w:marLeft w:val="0"/>
      <w:marRight w:val="0"/>
      <w:marTop w:val="0"/>
      <w:marBottom w:val="0"/>
      <w:divBdr>
        <w:top w:val="none" w:sz="0" w:space="0" w:color="auto"/>
        <w:left w:val="none" w:sz="0" w:space="0" w:color="auto"/>
        <w:bottom w:val="none" w:sz="0" w:space="0" w:color="auto"/>
        <w:right w:val="none" w:sz="0" w:space="0" w:color="auto"/>
      </w:divBdr>
    </w:div>
    <w:div w:id="905651354">
      <w:bodyDiv w:val="1"/>
      <w:marLeft w:val="0"/>
      <w:marRight w:val="0"/>
      <w:marTop w:val="0"/>
      <w:marBottom w:val="0"/>
      <w:divBdr>
        <w:top w:val="none" w:sz="0" w:space="0" w:color="auto"/>
        <w:left w:val="none" w:sz="0" w:space="0" w:color="auto"/>
        <w:bottom w:val="none" w:sz="0" w:space="0" w:color="auto"/>
        <w:right w:val="none" w:sz="0" w:space="0" w:color="auto"/>
      </w:divBdr>
    </w:div>
    <w:div w:id="931281966">
      <w:bodyDiv w:val="1"/>
      <w:marLeft w:val="0"/>
      <w:marRight w:val="0"/>
      <w:marTop w:val="0"/>
      <w:marBottom w:val="0"/>
      <w:divBdr>
        <w:top w:val="none" w:sz="0" w:space="0" w:color="auto"/>
        <w:left w:val="none" w:sz="0" w:space="0" w:color="auto"/>
        <w:bottom w:val="none" w:sz="0" w:space="0" w:color="auto"/>
        <w:right w:val="none" w:sz="0" w:space="0" w:color="auto"/>
      </w:divBdr>
    </w:div>
    <w:div w:id="936526192">
      <w:bodyDiv w:val="1"/>
      <w:marLeft w:val="0"/>
      <w:marRight w:val="0"/>
      <w:marTop w:val="0"/>
      <w:marBottom w:val="0"/>
      <w:divBdr>
        <w:top w:val="none" w:sz="0" w:space="0" w:color="auto"/>
        <w:left w:val="none" w:sz="0" w:space="0" w:color="auto"/>
        <w:bottom w:val="none" w:sz="0" w:space="0" w:color="auto"/>
        <w:right w:val="none" w:sz="0" w:space="0" w:color="auto"/>
      </w:divBdr>
    </w:div>
    <w:div w:id="950624386">
      <w:bodyDiv w:val="1"/>
      <w:marLeft w:val="0"/>
      <w:marRight w:val="0"/>
      <w:marTop w:val="0"/>
      <w:marBottom w:val="0"/>
      <w:divBdr>
        <w:top w:val="none" w:sz="0" w:space="0" w:color="auto"/>
        <w:left w:val="none" w:sz="0" w:space="0" w:color="auto"/>
        <w:bottom w:val="none" w:sz="0" w:space="0" w:color="auto"/>
        <w:right w:val="none" w:sz="0" w:space="0" w:color="auto"/>
      </w:divBdr>
    </w:div>
    <w:div w:id="950822314">
      <w:bodyDiv w:val="1"/>
      <w:marLeft w:val="0"/>
      <w:marRight w:val="0"/>
      <w:marTop w:val="0"/>
      <w:marBottom w:val="0"/>
      <w:divBdr>
        <w:top w:val="none" w:sz="0" w:space="0" w:color="auto"/>
        <w:left w:val="none" w:sz="0" w:space="0" w:color="auto"/>
        <w:bottom w:val="none" w:sz="0" w:space="0" w:color="auto"/>
        <w:right w:val="none" w:sz="0" w:space="0" w:color="auto"/>
      </w:divBdr>
    </w:div>
    <w:div w:id="974678516">
      <w:bodyDiv w:val="1"/>
      <w:marLeft w:val="0"/>
      <w:marRight w:val="0"/>
      <w:marTop w:val="0"/>
      <w:marBottom w:val="0"/>
      <w:divBdr>
        <w:top w:val="none" w:sz="0" w:space="0" w:color="auto"/>
        <w:left w:val="none" w:sz="0" w:space="0" w:color="auto"/>
        <w:bottom w:val="none" w:sz="0" w:space="0" w:color="auto"/>
        <w:right w:val="none" w:sz="0" w:space="0" w:color="auto"/>
      </w:divBdr>
    </w:div>
    <w:div w:id="993340079">
      <w:bodyDiv w:val="1"/>
      <w:marLeft w:val="0"/>
      <w:marRight w:val="0"/>
      <w:marTop w:val="0"/>
      <w:marBottom w:val="0"/>
      <w:divBdr>
        <w:top w:val="none" w:sz="0" w:space="0" w:color="auto"/>
        <w:left w:val="none" w:sz="0" w:space="0" w:color="auto"/>
        <w:bottom w:val="none" w:sz="0" w:space="0" w:color="auto"/>
        <w:right w:val="none" w:sz="0" w:space="0" w:color="auto"/>
      </w:divBdr>
    </w:div>
    <w:div w:id="1044909162">
      <w:bodyDiv w:val="1"/>
      <w:marLeft w:val="0"/>
      <w:marRight w:val="0"/>
      <w:marTop w:val="0"/>
      <w:marBottom w:val="0"/>
      <w:divBdr>
        <w:top w:val="none" w:sz="0" w:space="0" w:color="auto"/>
        <w:left w:val="none" w:sz="0" w:space="0" w:color="auto"/>
        <w:bottom w:val="none" w:sz="0" w:space="0" w:color="auto"/>
        <w:right w:val="none" w:sz="0" w:space="0" w:color="auto"/>
      </w:divBdr>
    </w:div>
    <w:div w:id="1054815714">
      <w:bodyDiv w:val="1"/>
      <w:marLeft w:val="0"/>
      <w:marRight w:val="0"/>
      <w:marTop w:val="0"/>
      <w:marBottom w:val="0"/>
      <w:divBdr>
        <w:top w:val="none" w:sz="0" w:space="0" w:color="auto"/>
        <w:left w:val="none" w:sz="0" w:space="0" w:color="auto"/>
        <w:bottom w:val="none" w:sz="0" w:space="0" w:color="auto"/>
        <w:right w:val="none" w:sz="0" w:space="0" w:color="auto"/>
      </w:divBdr>
    </w:div>
    <w:div w:id="1060981149">
      <w:bodyDiv w:val="1"/>
      <w:marLeft w:val="0"/>
      <w:marRight w:val="0"/>
      <w:marTop w:val="0"/>
      <w:marBottom w:val="0"/>
      <w:divBdr>
        <w:top w:val="none" w:sz="0" w:space="0" w:color="auto"/>
        <w:left w:val="none" w:sz="0" w:space="0" w:color="auto"/>
        <w:bottom w:val="none" w:sz="0" w:space="0" w:color="auto"/>
        <w:right w:val="none" w:sz="0" w:space="0" w:color="auto"/>
      </w:divBdr>
    </w:div>
    <w:div w:id="1064375520">
      <w:bodyDiv w:val="1"/>
      <w:marLeft w:val="0"/>
      <w:marRight w:val="0"/>
      <w:marTop w:val="0"/>
      <w:marBottom w:val="0"/>
      <w:divBdr>
        <w:top w:val="none" w:sz="0" w:space="0" w:color="auto"/>
        <w:left w:val="none" w:sz="0" w:space="0" w:color="auto"/>
        <w:bottom w:val="none" w:sz="0" w:space="0" w:color="auto"/>
        <w:right w:val="none" w:sz="0" w:space="0" w:color="auto"/>
      </w:divBdr>
    </w:div>
    <w:div w:id="1257179409">
      <w:bodyDiv w:val="1"/>
      <w:marLeft w:val="0"/>
      <w:marRight w:val="0"/>
      <w:marTop w:val="0"/>
      <w:marBottom w:val="0"/>
      <w:divBdr>
        <w:top w:val="none" w:sz="0" w:space="0" w:color="auto"/>
        <w:left w:val="none" w:sz="0" w:space="0" w:color="auto"/>
        <w:bottom w:val="none" w:sz="0" w:space="0" w:color="auto"/>
        <w:right w:val="none" w:sz="0" w:space="0" w:color="auto"/>
      </w:divBdr>
    </w:div>
    <w:div w:id="1283223710">
      <w:bodyDiv w:val="1"/>
      <w:marLeft w:val="0"/>
      <w:marRight w:val="0"/>
      <w:marTop w:val="0"/>
      <w:marBottom w:val="0"/>
      <w:divBdr>
        <w:top w:val="none" w:sz="0" w:space="0" w:color="auto"/>
        <w:left w:val="none" w:sz="0" w:space="0" w:color="auto"/>
        <w:bottom w:val="none" w:sz="0" w:space="0" w:color="auto"/>
        <w:right w:val="none" w:sz="0" w:space="0" w:color="auto"/>
      </w:divBdr>
    </w:div>
    <w:div w:id="1296526932">
      <w:bodyDiv w:val="1"/>
      <w:marLeft w:val="0"/>
      <w:marRight w:val="0"/>
      <w:marTop w:val="0"/>
      <w:marBottom w:val="0"/>
      <w:divBdr>
        <w:top w:val="none" w:sz="0" w:space="0" w:color="auto"/>
        <w:left w:val="none" w:sz="0" w:space="0" w:color="auto"/>
        <w:bottom w:val="none" w:sz="0" w:space="0" w:color="auto"/>
        <w:right w:val="none" w:sz="0" w:space="0" w:color="auto"/>
      </w:divBdr>
    </w:div>
    <w:div w:id="1339843761">
      <w:bodyDiv w:val="1"/>
      <w:marLeft w:val="0"/>
      <w:marRight w:val="0"/>
      <w:marTop w:val="0"/>
      <w:marBottom w:val="0"/>
      <w:divBdr>
        <w:top w:val="none" w:sz="0" w:space="0" w:color="auto"/>
        <w:left w:val="none" w:sz="0" w:space="0" w:color="auto"/>
        <w:bottom w:val="none" w:sz="0" w:space="0" w:color="auto"/>
        <w:right w:val="none" w:sz="0" w:space="0" w:color="auto"/>
      </w:divBdr>
    </w:div>
    <w:div w:id="1347832242">
      <w:bodyDiv w:val="1"/>
      <w:marLeft w:val="0"/>
      <w:marRight w:val="0"/>
      <w:marTop w:val="0"/>
      <w:marBottom w:val="0"/>
      <w:divBdr>
        <w:top w:val="none" w:sz="0" w:space="0" w:color="auto"/>
        <w:left w:val="none" w:sz="0" w:space="0" w:color="auto"/>
        <w:bottom w:val="none" w:sz="0" w:space="0" w:color="auto"/>
        <w:right w:val="none" w:sz="0" w:space="0" w:color="auto"/>
      </w:divBdr>
    </w:div>
    <w:div w:id="1522741396">
      <w:bodyDiv w:val="1"/>
      <w:marLeft w:val="0"/>
      <w:marRight w:val="0"/>
      <w:marTop w:val="0"/>
      <w:marBottom w:val="0"/>
      <w:divBdr>
        <w:top w:val="none" w:sz="0" w:space="0" w:color="auto"/>
        <w:left w:val="none" w:sz="0" w:space="0" w:color="auto"/>
        <w:bottom w:val="none" w:sz="0" w:space="0" w:color="auto"/>
        <w:right w:val="none" w:sz="0" w:space="0" w:color="auto"/>
      </w:divBdr>
    </w:div>
    <w:div w:id="1538470126">
      <w:bodyDiv w:val="1"/>
      <w:marLeft w:val="0"/>
      <w:marRight w:val="0"/>
      <w:marTop w:val="0"/>
      <w:marBottom w:val="0"/>
      <w:divBdr>
        <w:top w:val="none" w:sz="0" w:space="0" w:color="auto"/>
        <w:left w:val="none" w:sz="0" w:space="0" w:color="auto"/>
        <w:bottom w:val="none" w:sz="0" w:space="0" w:color="auto"/>
        <w:right w:val="none" w:sz="0" w:space="0" w:color="auto"/>
      </w:divBdr>
    </w:div>
    <w:div w:id="1611549177">
      <w:bodyDiv w:val="1"/>
      <w:marLeft w:val="0"/>
      <w:marRight w:val="0"/>
      <w:marTop w:val="0"/>
      <w:marBottom w:val="0"/>
      <w:divBdr>
        <w:top w:val="none" w:sz="0" w:space="0" w:color="auto"/>
        <w:left w:val="none" w:sz="0" w:space="0" w:color="auto"/>
        <w:bottom w:val="none" w:sz="0" w:space="0" w:color="auto"/>
        <w:right w:val="none" w:sz="0" w:space="0" w:color="auto"/>
      </w:divBdr>
    </w:div>
    <w:div w:id="1641155777">
      <w:bodyDiv w:val="1"/>
      <w:marLeft w:val="0"/>
      <w:marRight w:val="0"/>
      <w:marTop w:val="0"/>
      <w:marBottom w:val="0"/>
      <w:divBdr>
        <w:top w:val="none" w:sz="0" w:space="0" w:color="auto"/>
        <w:left w:val="none" w:sz="0" w:space="0" w:color="auto"/>
        <w:bottom w:val="none" w:sz="0" w:space="0" w:color="auto"/>
        <w:right w:val="none" w:sz="0" w:space="0" w:color="auto"/>
      </w:divBdr>
    </w:div>
    <w:div w:id="1645695701">
      <w:bodyDiv w:val="1"/>
      <w:marLeft w:val="0"/>
      <w:marRight w:val="0"/>
      <w:marTop w:val="0"/>
      <w:marBottom w:val="0"/>
      <w:divBdr>
        <w:top w:val="none" w:sz="0" w:space="0" w:color="auto"/>
        <w:left w:val="none" w:sz="0" w:space="0" w:color="auto"/>
        <w:bottom w:val="none" w:sz="0" w:space="0" w:color="auto"/>
        <w:right w:val="none" w:sz="0" w:space="0" w:color="auto"/>
      </w:divBdr>
    </w:div>
    <w:div w:id="1680959035">
      <w:bodyDiv w:val="1"/>
      <w:marLeft w:val="0"/>
      <w:marRight w:val="0"/>
      <w:marTop w:val="0"/>
      <w:marBottom w:val="0"/>
      <w:divBdr>
        <w:top w:val="none" w:sz="0" w:space="0" w:color="auto"/>
        <w:left w:val="none" w:sz="0" w:space="0" w:color="auto"/>
        <w:bottom w:val="none" w:sz="0" w:space="0" w:color="auto"/>
        <w:right w:val="none" w:sz="0" w:space="0" w:color="auto"/>
      </w:divBdr>
    </w:div>
    <w:div w:id="1743218743">
      <w:bodyDiv w:val="1"/>
      <w:marLeft w:val="0"/>
      <w:marRight w:val="0"/>
      <w:marTop w:val="0"/>
      <w:marBottom w:val="0"/>
      <w:divBdr>
        <w:top w:val="none" w:sz="0" w:space="0" w:color="auto"/>
        <w:left w:val="none" w:sz="0" w:space="0" w:color="auto"/>
        <w:bottom w:val="none" w:sz="0" w:space="0" w:color="auto"/>
        <w:right w:val="none" w:sz="0" w:space="0" w:color="auto"/>
      </w:divBdr>
    </w:div>
    <w:div w:id="1771273547">
      <w:bodyDiv w:val="1"/>
      <w:marLeft w:val="0"/>
      <w:marRight w:val="0"/>
      <w:marTop w:val="0"/>
      <w:marBottom w:val="0"/>
      <w:divBdr>
        <w:top w:val="none" w:sz="0" w:space="0" w:color="auto"/>
        <w:left w:val="none" w:sz="0" w:space="0" w:color="auto"/>
        <w:bottom w:val="none" w:sz="0" w:space="0" w:color="auto"/>
        <w:right w:val="none" w:sz="0" w:space="0" w:color="auto"/>
      </w:divBdr>
    </w:div>
    <w:div w:id="1848670570">
      <w:bodyDiv w:val="1"/>
      <w:marLeft w:val="0"/>
      <w:marRight w:val="0"/>
      <w:marTop w:val="0"/>
      <w:marBottom w:val="0"/>
      <w:divBdr>
        <w:top w:val="none" w:sz="0" w:space="0" w:color="auto"/>
        <w:left w:val="none" w:sz="0" w:space="0" w:color="auto"/>
        <w:bottom w:val="none" w:sz="0" w:space="0" w:color="auto"/>
        <w:right w:val="none" w:sz="0" w:space="0" w:color="auto"/>
      </w:divBdr>
    </w:div>
    <w:div w:id="1878933367">
      <w:bodyDiv w:val="1"/>
      <w:marLeft w:val="0"/>
      <w:marRight w:val="0"/>
      <w:marTop w:val="0"/>
      <w:marBottom w:val="0"/>
      <w:divBdr>
        <w:top w:val="none" w:sz="0" w:space="0" w:color="auto"/>
        <w:left w:val="none" w:sz="0" w:space="0" w:color="auto"/>
        <w:bottom w:val="none" w:sz="0" w:space="0" w:color="auto"/>
        <w:right w:val="none" w:sz="0" w:space="0" w:color="auto"/>
      </w:divBdr>
    </w:div>
    <w:div w:id="1881239432">
      <w:bodyDiv w:val="1"/>
      <w:marLeft w:val="0"/>
      <w:marRight w:val="0"/>
      <w:marTop w:val="0"/>
      <w:marBottom w:val="0"/>
      <w:divBdr>
        <w:top w:val="none" w:sz="0" w:space="0" w:color="auto"/>
        <w:left w:val="none" w:sz="0" w:space="0" w:color="auto"/>
        <w:bottom w:val="none" w:sz="0" w:space="0" w:color="auto"/>
        <w:right w:val="none" w:sz="0" w:space="0" w:color="auto"/>
      </w:divBdr>
    </w:div>
    <w:div w:id="1887139723">
      <w:bodyDiv w:val="1"/>
      <w:marLeft w:val="0"/>
      <w:marRight w:val="0"/>
      <w:marTop w:val="0"/>
      <w:marBottom w:val="0"/>
      <w:divBdr>
        <w:top w:val="none" w:sz="0" w:space="0" w:color="auto"/>
        <w:left w:val="none" w:sz="0" w:space="0" w:color="auto"/>
        <w:bottom w:val="none" w:sz="0" w:space="0" w:color="auto"/>
        <w:right w:val="none" w:sz="0" w:space="0" w:color="auto"/>
      </w:divBdr>
    </w:div>
    <w:div w:id="1972663886">
      <w:bodyDiv w:val="1"/>
      <w:marLeft w:val="0"/>
      <w:marRight w:val="0"/>
      <w:marTop w:val="0"/>
      <w:marBottom w:val="0"/>
      <w:divBdr>
        <w:top w:val="none" w:sz="0" w:space="0" w:color="auto"/>
        <w:left w:val="none" w:sz="0" w:space="0" w:color="auto"/>
        <w:bottom w:val="none" w:sz="0" w:space="0" w:color="auto"/>
        <w:right w:val="none" w:sz="0" w:space="0" w:color="auto"/>
      </w:divBdr>
    </w:div>
    <w:div w:id="2005545046">
      <w:bodyDiv w:val="1"/>
      <w:marLeft w:val="0"/>
      <w:marRight w:val="0"/>
      <w:marTop w:val="0"/>
      <w:marBottom w:val="0"/>
      <w:divBdr>
        <w:top w:val="none" w:sz="0" w:space="0" w:color="auto"/>
        <w:left w:val="none" w:sz="0" w:space="0" w:color="auto"/>
        <w:bottom w:val="none" w:sz="0" w:space="0" w:color="auto"/>
        <w:right w:val="none" w:sz="0" w:space="0" w:color="auto"/>
      </w:divBdr>
    </w:div>
    <w:div w:id="2019306231">
      <w:bodyDiv w:val="1"/>
      <w:marLeft w:val="0"/>
      <w:marRight w:val="0"/>
      <w:marTop w:val="0"/>
      <w:marBottom w:val="0"/>
      <w:divBdr>
        <w:top w:val="none" w:sz="0" w:space="0" w:color="auto"/>
        <w:left w:val="none" w:sz="0" w:space="0" w:color="auto"/>
        <w:bottom w:val="none" w:sz="0" w:space="0" w:color="auto"/>
        <w:right w:val="none" w:sz="0" w:space="0" w:color="auto"/>
      </w:divBdr>
    </w:div>
    <w:div w:id="2065791038">
      <w:bodyDiv w:val="1"/>
      <w:marLeft w:val="0"/>
      <w:marRight w:val="0"/>
      <w:marTop w:val="0"/>
      <w:marBottom w:val="0"/>
      <w:divBdr>
        <w:top w:val="none" w:sz="0" w:space="0" w:color="auto"/>
        <w:left w:val="none" w:sz="0" w:space="0" w:color="auto"/>
        <w:bottom w:val="none" w:sz="0" w:space="0" w:color="auto"/>
        <w:right w:val="none" w:sz="0" w:space="0" w:color="auto"/>
      </w:divBdr>
    </w:div>
    <w:div w:id="2076583445">
      <w:bodyDiv w:val="1"/>
      <w:marLeft w:val="0"/>
      <w:marRight w:val="0"/>
      <w:marTop w:val="0"/>
      <w:marBottom w:val="0"/>
      <w:divBdr>
        <w:top w:val="none" w:sz="0" w:space="0" w:color="auto"/>
        <w:left w:val="none" w:sz="0" w:space="0" w:color="auto"/>
        <w:bottom w:val="none" w:sz="0" w:space="0" w:color="auto"/>
        <w:right w:val="none" w:sz="0" w:space="0" w:color="auto"/>
      </w:divBdr>
    </w:div>
    <w:div w:id="2085493093">
      <w:bodyDiv w:val="1"/>
      <w:marLeft w:val="0"/>
      <w:marRight w:val="0"/>
      <w:marTop w:val="0"/>
      <w:marBottom w:val="0"/>
      <w:divBdr>
        <w:top w:val="none" w:sz="0" w:space="0" w:color="auto"/>
        <w:left w:val="none" w:sz="0" w:space="0" w:color="auto"/>
        <w:bottom w:val="none" w:sz="0" w:space="0" w:color="auto"/>
        <w:right w:val="none" w:sz="0" w:space="0" w:color="auto"/>
      </w:divBdr>
    </w:div>
    <w:div w:id="209959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10.xml"/><Relationship Id="rId21" Type="http://schemas.openxmlformats.org/officeDocument/2006/relationships/chart" Target="charts/chart5.xml"/><Relationship Id="rId34" Type="http://schemas.openxmlformats.org/officeDocument/2006/relationships/hyperlink" Target="https://obnova.mpgi.h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chart" Target="charts/chart4.xml"/><Relationship Id="rId29" Type="http://schemas.openxmlformats.org/officeDocument/2006/relationships/hyperlink" Target="https://www.youtube.com/watch?v=A-CVK9who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8.xml"/><Relationship Id="rId32" Type="http://schemas.openxmlformats.org/officeDocument/2006/relationships/chart" Target="charts/chart1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chart" Target="charts/chart7.xml"/><Relationship Id="rId28" Type="http://schemas.openxmlformats.org/officeDocument/2006/relationships/chart" Target="charts/chart11.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hyperlink" Target="https://eojn.nn.hr/Oglasnik/" TargetMode="External"/><Relationship Id="rId30" Type="http://schemas.openxmlformats.org/officeDocument/2006/relationships/chart" Target="charts/chart12.xml"/><Relationship Id="rId35" Type="http://schemas.openxmlformats.org/officeDocument/2006/relationships/image" Target="media/image2.emf"/><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mgipu365.sharepoint.com/sites/OBNOVA402/Shared%20Documents/General/7.%20ISPLATE%20NOV&#268;ANIH%20POMO&#262;I/NOV&#268;ANE%20POMO&#262;I%20-%20KONSTRUKCIJSKA%20I%20ZAMJENSK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mgipu365.sharepoint.com/sites/KABINET/Shared%20Documents/General/IZVJE&#352;&#262;A/OBNOVA%20-%20GODI&#352;NJE%20I%20POLUGODI&#352;NJE/3.%20GODI&#352;NJE%202023/TABLICE%20ZA%20GODI&#352;NJE%20IZVJE&#352;&#262;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a:t>Isplaćeno po godinama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'TABLICE ZA IZVJEŠTAJ'!$C$29</c:f>
              <c:strCache>
                <c:ptCount val="1"/>
                <c:pt idx="0">
                  <c:v>Isplate po godinama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IZVJEŠTAJ'!$B$30:$B$33</c:f>
              <c:strCache>
                <c:ptCount val="4"/>
                <c:pt idx="0">
                  <c:v>2020.
godina</c:v>
                </c:pt>
                <c:pt idx="1">
                  <c:v>2021.
godina</c:v>
                </c:pt>
                <c:pt idx="2">
                  <c:v>2022.
godina</c:v>
                </c:pt>
                <c:pt idx="3">
                  <c:v>2023.
godina</c:v>
                </c:pt>
              </c:strCache>
            </c:strRef>
          </c:cat>
          <c:val>
            <c:numRef>
              <c:f>'TABLICE ZA IZVJEŠTAJ'!$C$30:$C$33</c:f>
              <c:numCache>
                <c:formatCode>_-* #,##0.00\ [$€-1]_-;\-* #,##0.00\ [$€-1]_-;_-* "-"??\ [$€-1]_-;_-@_-</c:formatCode>
                <c:ptCount val="4"/>
                <c:pt idx="0">
                  <c:v>3438811.73</c:v>
                </c:pt>
                <c:pt idx="1">
                  <c:v>6265975.0499999989</c:v>
                </c:pt>
                <c:pt idx="2">
                  <c:v>10275225.520000001</c:v>
                </c:pt>
                <c:pt idx="3">
                  <c:v>16449115.389999997</c:v>
                </c:pt>
              </c:numCache>
            </c:numRef>
          </c:val>
          <c:extLst>
            <c:ext xmlns:c16="http://schemas.microsoft.com/office/drawing/2014/chart" uri="{C3380CC4-5D6E-409C-BE32-E72D297353CC}">
              <c16:uniqueId val="{00000000-75D0-41BC-BF40-F197C077957B}"/>
            </c:ext>
          </c:extLst>
        </c:ser>
        <c:dLbls>
          <c:showLegendKey val="0"/>
          <c:showVal val="0"/>
          <c:showCatName val="0"/>
          <c:showSerName val="0"/>
          <c:showPercent val="0"/>
          <c:showBubbleSize val="0"/>
        </c:dLbls>
        <c:gapWidth val="150"/>
        <c:shape val="box"/>
        <c:axId val="1223875008"/>
        <c:axId val="792091008"/>
        <c:axId val="0"/>
      </c:bar3DChart>
      <c:catAx>
        <c:axId val="1223875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792091008"/>
        <c:crosses val="autoZero"/>
        <c:auto val="1"/>
        <c:lblAlgn val="ctr"/>
        <c:lblOffset val="100"/>
        <c:noMultiLvlLbl val="0"/>
      </c:catAx>
      <c:valAx>
        <c:axId val="792091008"/>
        <c:scaling>
          <c:orientation val="minMax"/>
        </c:scaling>
        <c:delete val="0"/>
        <c:axPos val="l"/>
        <c:majorGridlines>
          <c:spPr>
            <a:ln w="9525" cap="flat" cmpd="sng" algn="ctr">
              <a:solidFill>
                <a:schemeClr val="tx1">
                  <a:lumMod val="15000"/>
                  <a:lumOff val="85000"/>
                </a:schemeClr>
              </a:solidFill>
              <a:round/>
            </a:ln>
            <a:effectLst/>
          </c:spPr>
        </c:majorGridlines>
        <c:numFmt formatCode="_-* #,##0.00\ [$€-1]_-;\-* #,##0.00\ [$€-1]_-;_-* &quot;-&quot;??\ [$€-1]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23875008"/>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a:t>Milijuni eura</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a:t>Ukupno</a:t>
            </a:r>
            <a:r>
              <a:rPr lang="hr-HR" baseline="0"/>
              <a:t> isplaćeno </a:t>
            </a:r>
            <a:r>
              <a:rPr lang="hr-HR"/>
              <a:t>za trošak samoobnove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'[TABLICE ZA GODIŠNJE IZVJEŠĆE.xlsx]TABLICE ZA IZVJEŠTAJ'!$D$194</c:f>
              <c:strCache>
                <c:ptCount val="1"/>
                <c:pt idx="0">
                  <c:v>Ukupno isplaćeno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GODIŠNJE IZVJEŠĆE.xlsx]TABLICE ZA IZVJEŠTAJ'!$B$195:$B$196</c:f>
              <c:strCache>
                <c:ptCount val="2"/>
                <c:pt idx="0">
                  <c:v>2022.
godina</c:v>
                </c:pt>
                <c:pt idx="1">
                  <c:v>2023.
godina</c:v>
                </c:pt>
              </c:strCache>
            </c:strRef>
          </c:cat>
          <c:val>
            <c:numRef>
              <c:f>'[TABLICE ZA GODIŠNJE IZVJEŠĆE.xlsx]TABLICE ZA IZVJEŠTAJ'!$D$195:$D$196</c:f>
              <c:numCache>
                <c:formatCode>_-* #,##0.00\ [$€-1]_-;\-* #,##0.00\ [$€-1]_-;_-* "-"??\ [$€-1]_-;_-@_-</c:formatCode>
                <c:ptCount val="2"/>
                <c:pt idx="0">
                  <c:v>66361.440000000002</c:v>
                </c:pt>
                <c:pt idx="1">
                  <c:v>2258970.6800000002</c:v>
                </c:pt>
              </c:numCache>
            </c:numRef>
          </c:val>
          <c:extLst>
            <c:ext xmlns:c16="http://schemas.microsoft.com/office/drawing/2014/chart" uri="{C3380CC4-5D6E-409C-BE32-E72D297353CC}">
              <c16:uniqueId val="{00000000-0597-4342-AF4D-07AF3283924D}"/>
            </c:ext>
          </c:extLst>
        </c:ser>
        <c:dLbls>
          <c:showLegendKey val="0"/>
          <c:showVal val="0"/>
          <c:showCatName val="0"/>
          <c:showSerName val="0"/>
          <c:showPercent val="0"/>
          <c:showBubbleSize val="0"/>
        </c:dLbls>
        <c:gapWidth val="150"/>
        <c:shape val="box"/>
        <c:axId val="1218573376"/>
        <c:axId val="486798944"/>
        <c:axId val="0"/>
      </c:bar3DChart>
      <c:catAx>
        <c:axId val="1218573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86798944"/>
        <c:crosses val="autoZero"/>
        <c:auto val="1"/>
        <c:lblAlgn val="ctr"/>
        <c:lblOffset val="100"/>
        <c:noMultiLvlLbl val="0"/>
      </c:catAx>
      <c:valAx>
        <c:axId val="486798944"/>
        <c:scaling>
          <c:orientation val="minMax"/>
        </c:scaling>
        <c:delete val="0"/>
        <c:axPos val="l"/>
        <c:majorGridlines>
          <c:spPr>
            <a:ln w="9525" cap="flat" cmpd="sng" algn="ctr">
              <a:solidFill>
                <a:schemeClr val="tx1">
                  <a:lumMod val="15000"/>
                  <a:lumOff val="85000"/>
                </a:schemeClr>
              </a:solidFill>
              <a:round/>
            </a:ln>
            <a:effectLst/>
          </c:spPr>
        </c:majorGridlines>
        <c:numFmt formatCode="_-* #,##0.00\ [$€-1]_-;\-* #,##0.00\ [$€-1]_-;_-* &quot;-&quot;??\ [$€-1]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18573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a:t>Provedba obnove - Izvršenje proračuna od ožujka 2020. do prosinca 2023. godine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7630853994490357E-2"/>
                  <c:y val="-1.6317016317016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23-48EC-8D6A-F9B283FD33A5}"/>
                </c:ext>
              </c:extLst>
            </c:dLbl>
            <c:dLbl>
              <c:idx val="1"/>
              <c:layout>
                <c:manualLayout>
                  <c:x val="3.9669421487603308E-2"/>
                  <c:y val="-2.564102564102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23-48EC-8D6A-F9B283FD33A5}"/>
                </c:ext>
              </c:extLst>
            </c:dLbl>
            <c:dLbl>
              <c:idx val="2"/>
              <c:layout>
                <c:manualLayout>
                  <c:x val="2.4242424242424242E-2"/>
                  <c:y val="-1.8648018648018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23-48EC-8D6A-F9B283FD33A5}"/>
                </c:ext>
              </c:extLst>
            </c:dLbl>
            <c:dLbl>
              <c:idx val="3"/>
              <c:layout>
                <c:manualLayout>
                  <c:x val="3.0853994490357965E-2"/>
                  <c:y val="-1.6317016317016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23-48EC-8D6A-F9B283FD33A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GODIŠNJE IZVJEŠĆE.xlsx]TABLICE ZA IZVJEŠTAJ'!$B$269:$B$272</c:f>
              <c:strCache>
                <c:ptCount val="4"/>
                <c:pt idx="0">
                  <c:v>2020. godina</c:v>
                </c:pt>
                <c:pt idx="1">
                  <c:v>2021. godina</c:v>
                </c:pt>
                <c:pt idx="2">
                  <c:v>2022. godina</c:v>
                </c:pt>
                <c:pt idx="3">
                  <c:v>2023. godina </c:v>
                </c:pt>
              </c:strCache>
            </c:strRef>
          </c:cat>
          <c:val>
            <c:numRef>
              <c:f>'[TABLICE ZA GODIŠNJE IZVJEŠĆE.xlsx]TABLICE ZA IZVJEŠTAJ'!$C$269:$C$272</c:f>
              <c:numCache>
                <c:formatCode>#,##0.00\ [$€-1];[Red]\-#,##0.00\ [$€-1]</c:formatCode>
                <c:ptCount val="4"/>
                <c:pt idx="0">
                  <c:v>3438811.73</c:v>
                </c:pt>
                <c:pt idx="1">
                  <c:v>16786175.34</c:v>
                </c:pt>
                <c:pt idx="2">
                  <c:v>62825927.57</c:v>
                </c:pt>
                <c:pt idx="3">
                  <c:v>270195282.81999999</c:v>
                </c:pt>
              </c:numCache>
            </c:numRef>
          </c:val>
          <c:extLst>
            <c:ext xmlns:c16="http://schemas.microsoft.com/office/drawing/2014/chart" uri="{C3380CC4-5D6E-409C-BE32-E72D297353CC}">
              <c16:uniqueId val="{00000000-7223-48EC-8D6A-F9B283FD33A5}"/>
            </c:ext>
          </c:extLst>
        </c:ser>
        <c:dLbls>
          <c:showLegendKey val="0"/>
          <c:showVal val="0"/>
          <c:showCatName val="0"/>
          <c:showSerName val="0"/>
          <c:showPercent val="0"/>
          <c:showBubbleSize val="0"/>
        </c:dLbls>
        <c:gapWidth val="150"/>
        <c:shape val="box"/>
        <c:axId val="1648515456"/>
        <c:axId val="952186128"/>
        <c:axId val="0"/>
      </c:bar3DChart>
      <c:catAx>
        <c:axId val="1648515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952186128"/>
        <c:crosses val="autoZero"/>
        <c:auto val="1"/>
        <c:lblAlgn val="ctr"/>
        <c:lblOffset val="100"/>
        <c:noMultiLvlLbl val="0"/>
      </c:catAx>
      <c:valAx>
        <c:axId val="952186128"/>
        <c:scaling>
          <c:orientation val="minMax"/>
        </c:scaling>
        <c:delete val="0"/>
        <c:axPos val="l"/>
        <c:majorGridlines>
          <c:spPr>
            <a:ln w="9525" cap="flat" cmpd="sng" algn="ctr">
              <a:solidFill>
                <a:schemeClr val="tx1">
                  <a:lumMod val="15000"/>
                  <a:lumOff val="85000"/>
                </a:schemeClr>
              </a:solidFill>
              <a:round/>
            </a:ln>
            <a:effectLst/>
          </c:spPr>
        </c:majorGridlines>
        <c:numFmt formatCode="#,##0.00\ [$€-1];[Red]\-#,##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64851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'[TABLICE ZA GODIŠNJE IZVJEŠĆE.xlsx]FSEU'!$A$2</c:f>
          <c:strCache>
            <c:ptCount val="1"/>
            <c:pt idx="0">
              <c:v>Apsorpcija FSEU
(milijardi eura)</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'[TABLICE ZA GODIŠNJE IZVJEŠĆE.xlsx]FSEU'!$A$4</c:f>
              <c:strCache>
                <c:ptCount val="1"/>
                <c:pt idx="0">
                  <c:v>Iznos</c:v>
                </c:pt>
              </c:strCache>
            </c:strRef>
          </c:tx>
          <c:spPr>
            <a:solidFill>
              <a:schemeClr val="accent1"/>
            </a:solidFill>
            <a:ln>
              <a:noFill/>
            </a:ln>
            <a:effectLst/>
            <a:sp3d/>
          </c:spPr>
          <c:invertIfNegative val="0"/>
          <c:dPt>
            <c:idx val="6"/>
            <c:invertIfNegative val="0"/>
            <c:bubble3D val="0"/>
            <c:spPr>
              <a:solidFill>
                <a:srgbClr val="00B050"/>
              </a:solidFill>
              <a:ln>
                <a:noFill/>
              </a:ln>
              <a:effectLst/>
              <a:sp3d/>
            </c:spPr>
            <c:extLst>
              <c:ext xmlns:c16="http://schemas.microsoft.com/office/drawing/2014/chart" uri="{C3380CC4-5D6E-409C-BE32-E72D297353CC}">
                <c16:uniqueId val="{00000001-F7B5-45F1-B8C3-BD9429F23534}"/>
              </c:ext>
            </c:extLst>
          </c:dPt>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'[TABLICE ZA GODIŠNJE IZVJEŠĆE.xlsx]FSEU'!$B$2:$H$3</c:f>
              <c:multiLvlStrCache>
                <c:ptCount val="7"/>
                <c:lvl>
                  <c:pt idx="0">
                    <c:v>siječanj</c:v>
                  </c:pt>
                  <c:pt idx="1">
                    <c:v>veljača</c:v>
                  </c:pt>
                  <c:pt idx="2">
                    <c:v>ožujak</c:v>
                  </c:pt>
                  <c:pt idx="3">
                    <c:v>travanj</c:v>
                  </c:pt>
                  <c:pt idx="4">
                    <c:v>svibanj</c:v>
                  </c:pt>
                  <c:pt idx="5">
                    <c:v>lipanj</c:v>
                  </c:pt>
                  <c:pt idx="6">
                    <c:v>prosinac</c:v>
                  </c:pt>
                </c:lvl>
                <c:lvl>
                  <c:pt idx="0">
                    <c:v>Alokacija</c:v>
                  </c:pt>
                  <c:pt idx="6">
                    <c:v>Verificirano</c:v>
                  </c:pt>
                </c:lvl>
              </c:multiLvlStrCache>
            </c:multiLvlStrRef>
          </c:cat>
          <c:val>
            <c:numRef>
              <c:f>'[TABLICE ZA GODIŠNJE IZVJEŠĆE.xlsx]FSEU'!$B$4:$H$4</c:f>
              <c:numCache>
                <c:formatCode>#,##0_ ;\-#,##0\ </c:formatCode>
                <c:ptCount val="7"/>
                <c:pt idx="0">
                  <c:v>399000000</c:v>
                </c:pt>
                <c:pt idx="1">
                  <c:v>510000000</c:v>
                </c:pt>
                <c:pt idx="2">
                  <c:v>664000000</c:v>
                </c:pt>
                <c:pt idx="3">
                  <c:v>800000000</c:v>
                </c:pt>
                <c:pt idx="4">
                  <c:v>1036000000</c:v>
                </c:pt>
                <c:pt idx="5">
                  <c:v>1435000000</c:v>
                </c:pt>
                <c:pt idx="6">
                  <c:v>1550000000</c:v>
                </c:pt>
              </c:numCache>
            </c:numRef>
          </c:val>
          <c:extLst>
            <c:ext xmlns:c16="http://schemas.microsoft.com/office/drawing/2014/chart" uri="{C3380CC4-5D6E-409C-BE32-E72D297353CC}">
              <c16:uniqueId val="{00000002-F7B5-45F1-B8C3-BD9429F23534}"/>
            </c:ext>
          </c:extLst>
        </c:ser>
        <c:dLbls>
          <c:showLegendKey val="0"/>
          <c:showVal val="0"/>
          <c:showCatName val="0"/>
          <c:showSerName val="0"/>
          <c:showPercent val="0"/>
          <c:showBubbleSize val="0"/>
        </c:dLbls>
        <c:gapWidth val="150"/>
        <c:shape val="box"/>
        <c:axId val="1924291632"/>
        <c:axId val="1665026591"/>
        <c:axId val="0"/>
      </c:bar3DChart>
      <c:catAx>
        <c:axId val="1924291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665026591"/>
        <c:crosses val="autoZero"/>
        <c:auto val="1"/>
        <c:lblAlgn val="ctr"/>
        <c:lblOffset val="100"/>
        <c:noMultiLvlLbl val="0"/>
      </c:catAx>
      <c:valAx>
        <c:axId val="1665026591"/>
        <c:scaling>
          <c:orientation val="minMax"/>
        </c:scaling>
        <c:delete val="0"/>
        <c:axPos val="l"/>
        <c:majorGridlines>
          <c:spPr>
            <a:ln w="9525" cap="flat" cmpd="sng" algn="ctr">
              <a:solidFill>
                <a:schemeClr val="tx1">
                  <a:lumMod val="15000"/>
                  <a:lumOff val="85000"/>
                </a:schemeClr>
              </a:solidFill>
              <a:round/>
            </a:ln>
            <a:effectLst/>
          </c:spPr>
        </c:majorGridlines>
        <c:numFmt formatCode="#,##0.0_ ;\-#,##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924291632"/>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Milijard</a:t>
                  </a:r>
                  <a:r>
                    <a:rPr lang="hr-HR"/>
                    <a:t>i eura</a:t>
                  </a:r>
                  <a:endParaRPr lang="en-US"/>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'[TABLICE ZA GODIŠNJE IZVJEŠĆE.xlsx]FSEU'!$B$33</c:f>
          <c:strCache>
            <c:ptCount val="1"/>
            <c:pt idx="0">
              <c:v>Apsorpcija FSEU
(milijardi eura)</c:v>
            </c:pt>
          </c:strCache>
        </c:strRef>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numFmt formatCode="#,##0.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GODIŠNJE IZVJEŠĆE.xlsx]FSEU'!$B$34:$C$34</c:f>
              <c:strCache>
                <c:ptCount val="2"/>
                <c:pt idx="0">
                  <c:v>alokacija</c:v>
                </c:pt>
                <c:pt idx="1">
                  <c:v>verificirano</c:v>
                </c:pt>
              </c:strCache>
            </c:strRef>
          </c:cat>
          <c:val>
            <c:numRef>
              <c:f>'[TABLICE ZA GODIŠNJE IZVJEŠĆE.xlsx]FSEU'!$B$35:$C$35</c:f>
              <c:numCache>
                <c:formatCode>#,##0_ ;\-#,##0\ </c:formatCode>
                <c:ptCount val="2"/>
                <c:pt idx="0">
                  <c:v>1003000000</c:v>
                </c:pt>
                <c:pt idx="1">
                  <c:v>1550000000</c:v>
                </c:pt>
              </c:numCache>
            </c:numRef>
          </c:val>
          <c:extLst>
            <c:ext xmlns:c16="http://schemas.microsoft.com/office/drawing/2014/chart" uri="{C3380CC4-5D6E-409C-BE32-E72D297353CC}">
              <c16:uniqueId val="{00000000-2988-440E-B2AC-38C5D4E29E02}"/>
            </c:ext>
          </c:extLst>
        </c:ser>
        <c:dLbls>
          <c:showLegendKey val="0"/>
          <c:showVal val="0"/>
          <c:showCatName val="0"/>
          <c:showSerName val="0"/>
          <c:showPercent val="0"/>
          <c:showBubbleSize val="0"/>
        </c:dLbls>
        <c:gapWidth val="150"/>
        <c:shape val="box"/>
        <c:axId val="976382655"/>
        <c:axId val="1125814991"/>
        <c:axId val="0"/>
      </c:bar3DChart>
      <c:catAx>
        <c:axId val="976382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125814991"/>
        <c:crosses val="autoZero"/>
        <c:auto val="1"/>
        <c:lblAlgn val="ctr"/>
        <c:lblOffset val="100"/>
        <c:noMultiLvlLbl val="0"/>
      </c:catAx>
      <c:valAx>
        <c:axId val="1125814991"/>
        <c:scaling>
          <c:orientation val="minMax"/>
        </c:scaling>
        <c:delete val="0"/>
        <c:axPos val="l"/>
        <c:majorGridlines>
          <c:spPr>
            <a:ln w="9525" cap="flat" cmpd="sng" algn="ctr">
              <a:solidFill>
                <a:schemeClr val="tx1">
                  <a:lumMod val="15000"/>
                  <a:lumOff val="85000"/>
                </a:schemeClr>
              </a:solidFill>
              <a:round/>
            </a:ln>
            <a:effectLst/>
          </c:spPr>
        </c:majorGridlines>
        <c:numFmt formatCode="#,##0.0_ ;\-#,##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976382655"/>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a:t>Milijarde eura</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'[TABLICE ZA GODIŠNJE IZVJEŠĆE.xlsx]FSEU'!$B$37</c:f>
          <c:strCache>
            <c:ptCount val="1"/>
            <c:pt idx="0">
              <c:v>Zagrebački potres
(milijuna eura)</c:v>
            </c:pt>
          </c:strCache>
        </c:strRef>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GODIŠNJE IZVJEŠĆE.xlsx]FSEU'!$B$34:$C$34</c:f>
              <c:strCache>
                <c:ptCount val="2"/>
                <c:pt idx="0">
                  <c:v>alokacija</c:v>
                </c:pt>
                <c:pt idx="1">
                  <c:v>verificirano</c:v>
                </c:pt>
              </c:strCache>
            </c:strRef>
          </c:cat>
          <c:val>
            <c:numRef>
              <c:f>'[TABLICE ZA GODIŠNJE IZVJEŠĆE.xlsx]FSEU'!$B$39:$C$39</c:f>
              <c:numCache>
                <c:formatCode>#,##0_ ;\-#,##0\ </c:formatCode>
                <c:ptCount val="2"/>
                <c:pt idx="0">
                  <c:v>683700000</c:v>
                </c:pt>
                <c:pt idx="1">
                  <c:v>926400000</c:v>
                </c:pt>
              </c:numCache>
            </c:numRef>
          </c:val>
          <c:extLst>
            <c:ext xmlns:c16="http://schemas.microsoft.com/office/drawing/2014/chart" uri="{C3380CC4-5D6E-409C-BE32-E72D297353CC}">
              <c16:uniqueId val="{00000000-5735-4233-9EB2-0C6677999F62}"/>
            </c:ext>
          </c:extLst>
        </c:ser>
        <c:dLbls>
          <c:showLegendKey val="0"/>
          <c:showVal val="0"/>
          <c:showCatName val="0"/>
          <c:showSerName val="0"/>
          <c:showPercent val="0"/>
          <c:showBubbleSize val="0"/>
        </c:dLbls>
        <c:gapWidth val="150"/>
        <c:shape val="box"/>
        <c:axId val="976382655"/>
        <c:axId val="1125814991"/>
        <c:axId val="0"/>
      </c:bar3DChart>
      <c:catAx>
        <c:axId val="976382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125814991"/>
        <c:crosses val="autoZero"/>
        <c:auto val="1"/>
        <c:lblAlgn val="ctr"/>
        <c:lblOffset val="100"/>
        <c:noMultiLvlLbl val="0"/>
      </c:catAx>
      <c:valAx>
        <c:axId val="1125814991"/>
        <c:scaling>
          <c:orientation val="minMax"/>
        </c:scaling>
        <c:delete val="0"/>
        <c:axPos val="l"/>
        <c:majorGridlines>
          <c:spPr>
            <a:ln w="9525" cap="flat" cmpd="sng" algn="ctr">
              <a:solidFill>
                <a:schemeClr val="tx1">
                  <a:lumMod val="15000"/>
                  <a:lumOff val="85000"/>
                </a:schemeClr>
              </a:solidFill>
              <a:round/>
            </a:ln>
            <a:effectLst/>
          </c:spPr>
        </c:majorGridlines>
        <c:numFmt formatCode="#,##0_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976382655"/>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Milijuni</a:t>
                  </a:r>
                  <a:r>
                    <a:rPr lang="hr-HR"/>
                    <a:t> eura</a:t>
                  </a:r>
                  <a:endParaRPr lang="en-US"/>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'[TABLICE ZA GODIŠNJE IZVJEŠĆE.xlsx]FSEU'!$B$41</c:f>
          <c:strCache>
            <c:ptCount val="1"/>
            <c:pt idx="0">
              <c:v>Petrinjski potres
(milijuna eura)</c:v>
            </c:pt>
          </c:strCache>
        </c:strRef>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GODIŠNJE IZVJEŠĆE.xlsx]FSEU'!$B$34:$C$34</c:f>
              <c:strCache>
                <c:ptCount val="2"/>
                <c:pt idx="0">
                  <c:v>alokacija</c:v>
                </c:pt>
                <c:pt idx="1">
                  <c:v>verificirano</c:v>
                </c:pt>
              </c:strCache>
            </c:strRef>
          </c:cat>
          <c:val>
            <c:numRef>
              <c:f>'[TABLICE ZA GODIŠNJE IZVJEŠĆE.xlsx]FSEU'!$B$43:$C$43</c:f>
              <c:numCache>
                <c:formatCode>#,##0_ ;\-#,##0\ </c:formatCode>
                <c:ptCount val="2"/>
                <c:pt idx="0">
                  <c:v>319200000</c:v>
                </c:pt>
                <c:pt idx="1">
                  <c:v>624800000</c:v>
                </c:pt>
              </c:numCache>
            </c:numRef>
          </c:val>
          <c:extLst>
            <c:ext xmlns:c16="http://schemas.microsoft.com/office/drawing/2014/chart" uri="{C3380CC4-5D6E-409C-BE32-E72D297353CC}">
              <c16:uniqueId val="{00000000-0AE7-47D6-B1CE-0F8FAD92DF8A}"/>
            </c:ext>
          </c:extLst>
        </c:ser>
        <c:dLbls>
          <c:showLegendKey val="0"/>
          <c:showVal val="0"/>
          <c:showCatName val="0"/>
          <c:showSerName val="0"/>
          <c:showPercent val="0"/>
          <c:showBubbleSize val="0"/>
        </c:dLbls>
        <c:gapWidth val="150"/>
        <c:shape val="box"/>
        <c:axId val="976382655"/>
        <c:axId val="1125814991"/>
        <c:axId val="0"/>
      </c:bar3DChart>
      <c:catAx>
        <c:axId val="976382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125814991"/>
        <c:crosses val="autoZero"/>
        <c:auto val="1"/>
        <c:lblAlgn val="ctr"/>
        <c:lblOffset val="100"/>
        <c:noMultiLvlLbl val="0"/>
      </c:catAx>
      <c:valAx>
        <c:axId val="1125814991"/>
        <c:scaling>
          <c:orientation val="minMax"/>
        </c:scaling>
        <c:delete val="0"/>
        <c:axPos val="l"/>
        <c:majorGridlines>
          <c:spPr>
            <a:ln w="9525" cap="flat" cmpd="sng" algn="ctr">
              <a:solidFill>
                <a:schemeClr val="tx1">
                  <a:lumMod val="15000"/>
                  <a:lumOff val="85000"/>
                </a:schemeClr>
              </a:solidFill>
              <a:round/>
            </a:ln>
            <a:effectLst/>
          </c:spPr>
        </c:majorGridlines>
        <c:numFmt formatCode="#,##0.0_ ;\-#,##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976382655"/>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Milijuni</a:t>
                  </a:r>
                  <a:r>
                    <a:rPr lang="hr-HR"/>
                    <a:t> eura</a:t>
                  </a:r>
                  <a:endParaRPr lang="en-US"/>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'TABLICE ZA IZVJEŠTAJ'!$D$29</c:f>
              <c:strCache>
                <c:ptCount val="1"/>
                <c:pt idx="0">
                  <c:v>Broj isplata u razdoblju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IZVJEŠTAJ'!$B$30:$B$33</c:f>
              <c:strCache>
                <c:ptCount val="4"/>
                <c:pt idx="0">
                  <c:v>2020.
godina</c:v>
                </c:pt>
                <c:pt idx="1">
                  <c:v>2021.
godina</c:v>
                </c:pt>
                <c:pt idx="2">
                  <c:v>2022.
godina</c:v>
                </c:pt>
                <c:pt idx="3">
                  <c:v>2023.
godina</c:v>
                </c:pt>
              </c:strCache>
            </c:strRef>
          </c:cat>
          <c:val>
            <c:numRef>
              <c:f>'TABLICE ZA IZVJEŠTAJ'!$D$30:$D$33</c:f>
              <c:numCache>
                <c:formatCode>#,##0</c:formatCode>
                <c:ptCount val="4"/>
                <c:pt idx="0">
                  <c:v>691</c:v>
                </c:pt>
                <c:pt idx="1">
                  <c:v>846</c:v>
                </c:pt>
                <c:pt idx="2">
                  <c:v>1301</c:v>
                </c:pt>
                <c:pt idx="3">
                  <c:v>1879</c:v>
                </c:pt>
              </c:numCache>
            </c:numRef>
          </c:val>
          <c:extLst>
            <c:ext xmlns:c16="http://schemas.microsoft.com/office/drawing/2014/chart" uri="{C3380CC4-5D6E-409C-BE32-E72D297353CC}">
              <c16:uniqueId val="{00000000-D52A-4CA3-8212-E0903552EDAE}"/>
            </c:ext>
          </c:extLst>
        </c:ser>
        <c:dLbls>
          <c:showLegendKey val="0"/>
          <c:showVal val="0"/>
          <c:showCatName val="0"/>
          <c:showSerName val="0"/>
          <c:showPercent val="0"/>
          <c:showBubbleSize val="0"/>
        </c:dLbls>
        <c:gapWidth val="150"/>
        <c:shape val="box"/>
        <c:axId val="1164422320"/>
        <c:axId val="1079924640"/>
        <c:axId val="0"/>
      </c:bar3DChart>
      <c:catAx>
        <c:axId val="1164422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079924640"/>
        <c:crosses val="autoZero"/>
        <c:auto val="1"/>
        <c:lblAlgn val="ctr"/>
        <c:lblOffset val="100"/>
        <c:noMultiLvlLbl val="0"/>
      </c:catAx>
      <c:valAx>
        <c:axId val="1079924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16442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strRef>
          <c:f>'TABLICE ZA IZVJEŠTAJ'!$B$68</c:f>
          <c:strCache>
            <c:ptCount val="1"/>
            <c:pt idx="0">
              <c:v>Pregled isplata novčanih pomoći za konstrukcijsku obnovu po vrstama u 2022. i 2023. godini</c:v>
            </c:pt>
          </c:strCache>
        </c:strRef>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'TABLICE ZA IZVJEŠTAJ'!$B$70</c:f>
              <c:strCache>
                <c:ptCount val="1"/>
                <c:pt idx="0">
                  <c:v>2022. godina</c:v>
                </c:pt>
              </c:strCache>
            </c:strRef>
          </c:tx>
          <c:spPr>
            <a:solidFill>
              <a:schemeClr val="accent1">
                <a:shade val="76000"/>
              </a:schemeClr>
            </a:solidFill>
            <a:ln>
              <a:noFill/>
            </a:ln>
            <a:effectLst/>
            <a:sp3d/>
          </c:spPr>
          <c:invertIfNegative val="0"/>
          <c:dLbls>
            <c:dLbl>
              <c:idx val="0"/>
              <c:layout>
                <c:manualLayout>
                  <c:x val="-2.8665931642778392E-2"/>
                  <c:y val="-1.7818959372772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B4-4723-9E3E-A8BDA5D86E2C}"/>
                </c:ext>
              </c:extLst>
            </c:dLbl>
            <c:dLbl>
              <c:idx val="1"/>
              <c:layout>
                <c:manualLayout>
                  <c:x val="-3.3076074972436607E-2"/>
                  <c:y val="-1.4255167498218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B4-4723-9E3E-A8BDA5D86E2C}"/>
                </c:ext>
              </c:extLst>
            </c:dLbl>
            <c:dLbl>
              <c:idx val="2"/>
              <c:layout>
                <c:manualLayout>
                  <c:x val="-1.7640573318632936E-2"/>
                  <c:y val="-7.12758374910905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B4-4723-9E3E-A8BDA5D86E2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IZVJEŠTAJ'!$C$69:$E$69</c:f>
              <c:strCache>
                <c:ptCount val="3"/>
                <c:pt idx="0">
                  <c:v> Novčana pomoć prije konstrukcijske obnove </c:v>
                </c:pt>
                <c:pt idx="1">
                  <c:v>Novčana pomoć tijekom konstrukcijske obnove</c:v>
                </c:pt>
                <c:pt idx="2">
                  <c:v>Novčana pomoć nakon konstrukcijske obnove</c:v>
                </c:pt>
              </c:strCache>
            </c:strRef>
          </c:cat>
          <c:val>
            <c:numRef>
              <c:f>'TABLICE ZA IZVJEŠTAJ'!$C$70:$E$70</c:f>
              <c:numCache>
                <c:formatCode>_-* #,##0.00\ [$€-1]_-;\-* #,##0.00\ [$€-1]_-;_-* "-"??\ [$€-1]_-;_-@_-</c:formatCode>
                <c:ptCount val="3"/>
                <c:pt idx="0">
                  <c:v>2293690.9300000002</c:v>
                </c:pt>
                <c:pt idx="1">
                  <c:v>1613566.32</c:v>
                </c:pt>
                <c:pt idx="2">
                  <c:v>755723.10999999987</c:v>
                </c:pt>
              </c:numCache>
            </c:numRef>
          </c:val>
          <c:extLst>
            <c:ext xmlns:c16="http://schemas.microsoft.com/office/drawing/2014/chart" uri="{C3380CC4-5D6E-409C-BE32-E72D297353CC}">
              <c16:uniqueId val="{00000000-52B4-4723-9E3E-A8BDA5D86E2C}"/>
            </c:ext>
          </c:extLst>
        </c:ser>
        <c:ser>
          <c:idx val="1"/>
          <c:order val="1"/>
          <c:tx>
            <c:strRef>
              <c:f>'TABLICE ZA IZVJEŠTAJ'!$B$71</c:f>
              <c:strCache>
                <c:ptCount val="1"/>
                <c:pt idx="0">
                  <c:v>2023. godina</c:v>
                </c:pt>
              </c:strCache>
            </c:strRef>
          </c:tx>
          <c:spPr>
            <a:solidFill>
              <a:schemeClr val="accent1">
                <a:tint val="77000"/>
              </a:schemeClr>
            </a:solidFill>
            <a:ln>
              <a:noFill/>
            </a:ln>
            <a:effectLst/>
            <a:sp3d/>
          </c:spPr>
          <c:invertIfNegative val="0"/>
          <c:dLbls>
            <c:dLbl>
              <c:idx val="0"/>
              <c:layout>
                <c:manualLayout>
                  <c:x val="2.205071664829107E-3"/>
                  <c:y val="-1.7818959372772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B4-4723-9E3E-A8BDA5D86E2C}"/>
                </c:ext>
              </c:extLst>
            </c:dLbl>
            <c:dLbl>
              <c:idx val="1"/>
              <c:layout>
                <c:manualLayout>
                  <c:x val="2.4255788313120176E-2"/>
                  <c:y val="-3.2074126870990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B4-4723-9E3E-A8BDA5D86E2C}"/>
                </c:ext>
              </c:extLst>
            </c:dLbl>
            <c:dLbl>
              <c:idx val="2"/>
              <c:layout>
                <c:manualLayout>
                  <c:x val="2.2050716648290909E-2"/>
                  <c:y val="-2.4946543121881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B4-4723-9E3E-A8BDA5D86E2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IZVJEŠTAJ'!$C$69:$E$69</c:f>
              <c:strCache>
                <c:ptCount val="3"/>
                <c:pt idx="0">
                  <c:v> Novčana pomoć prije konstrukcijske obnove </c:v>
                </c:pt>
                <c:pt idx="1">
                  <c:v>Novčana pomoć tijekom konstrukcijske obnove</c:v>
                </c:pt>
                <c:pt idx="2">
                  <c:v>Novčana pomoć nakon konstrukcijske obnove</c:v>
                </c:pt>
              </c:strCache>
            </c:strRef>
          </c:cat>
          <c:val>
            <c:numRef>
              <c:f>'TABLICE ZA IZVJEŠTAJ'!$C$71:$E$71</c:f>
              <c:numCache>
                <c:formatCode>_-* #,##0.00\ [$€-1]_-;\-* #,##0.00\ [$€-1]_-;_-* "-"??\ [$€-1]_-;_-@_-</c:formatCode>
                <c:ptCount val="3"/>
                <c:pt idx="0">
                  <c:v>87116605.414999992</c:v>
                </c:pt>
                <c:pt idx="1">
                  <c:v>7558344.1950000012</c:v>
                </c:pt>
                <c:pt idx="2">
                  <c:v>4572082.17</c:v>
                </c:pt>
              </c:numCache>
            </c:numRef>
          </c:val>
          <c:extLst>
            <c:ext xmlns:c16="http://schemas.microsoft.com/office/drawing/2014/chart" uri="{C3380CC4-5D6E-409C-BE32-E72D297353CC}">
              <c16:uniqueId val="{00000001-52B4-4723-9E3E-A8BDA5D86E2C}"/>
            </c:ext>
          </c:extLst>
        </c:ser>
        <c:dLbls>
          <c:showLegendKey val="0"/>
          <c:showVal val="0"/>
          <c:showCatName val="0"/>
          <c:showSerName val="0"/>
          <c:showPercent val="0"/>
          <c:showBubbleSize val="0"/>
        </c:dLbls>
        <c:gapWidth val="150"/>
        <c:shape val="box"/>
        <c:axId val="1168604560"/>
        <c:axId val="841077232"/>
        <c:axId val="0"/>
      </c:bar3DChart>
      <c:catAx>
        <c:axId val="1168604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841077232"/>
        <c:crosses val="autoZero"/>
        <c:auto val="1"/>
        <c:lblAlgn val="ctr"/>
        <c:lblOffset val="100"/>
        <c:noMultiLvlLbl val="0"/>
      </c:catAx>
      <c:valAx>
        <c:axId val="841077232"/>
        <c:scaling>
          <c:orientation val="minMax"/>
        </c:scaling>
        <c:delete val="0"/>
        <c:axPos val="l"/>
        <c:majorGridlines>
          <c:spPr>
            <a:ln w="9525" cap="flat" cmpd="sng" algn="ctr">
              <a:solidFill>
                <a:schemeClr val="tx1">
                  <a:lumMod val="15000"/>
                  <a:lumOff val="85000"/>
                </a:schemeClr>
              </a:solidFill>
              <a:round/>
            </a:ln>
            <a:effectLst/>
          </c:spPr>
        </c:majorGridlines>
        <c:numFmt formatCode="_-* #,##0.00\ [$€-1]_-;\-* #,##0.00\ [$€-1]_-;_-* &quot;-&quot;??\ [$€-1]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16860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 </a:t>
            </a:r>
            <a:r>
              <a:rPr lang="hr-HR" sz="1200"/>
              <a:t>I</a:t>
            </a:r>
            <a:r>
              <a:rPr lang="en-US" sz="1200"/>
              <a:t>spla</a:t>
            </a:r>
            <a:r>
              <a:rPr lang="hr-HR" sz="1200"/>
              <a:t>te za novčanu pomoć za konstrukcijsku obnovu</a:t>
            </a:r>
            <a:r>
              <a:rPr lang="en-US" sz="1200"/>
              <a:t> </a:t>
            </a:r>
            <a:r>
              <a:rPr lang="hr-HR" sz="1200"/>
              <a:t>po godinama</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2331397945511307E-2"/>
                  <c:y val="2.0161422614511773E-2"/>
                </c:manualLayout>
              </c:layout>
              <c:showLegendKey val="0"/>
              <c:showVal val="1"/>
              <c:showCatName val="0"/>
              <c:showSerName val="0"/>
              <c:showPercent val="0"/>
              <c:showBubbleSize val="0"/>
              <c:extLst>
                <c:ext xmlns:c15="http://schemas.microsoft.com/office/drawing/2012/chart" uri="{CE6537A1-D6FC-4f65-9D91-7224C49458BB}">
                  <c15:layout>
                    <c:manualLayout>
                      <c:w val="0.33162125949084414"/>
                      <c:h val="0.11436505164676994"/>
                    </c:manualLayout>
                  </c15:layout>
                </c:ext>
                <c:ext xmlns:c16="http://schemas.microsoft.com/office/drawing/2014/chart" uri="{C3380CC4-5D6E-409C-BE32-E72D297353CC}">
                  <c16:uniqueId val="{00000001-474E-4EEC-A2A0-B3398A71BB1A}"/>
                </c:ext>
              </c:extLst>
            </c:dLbl>
            <c:dLbl>
              <c:idx val="1"/>
              <c:layout>
                <c:manualLayout>
                  <c:x val="1.786511835640911E-2"/>
                  <c:y val="2.0161422614511863E-2"/>
                </c:manualLayout>
              </c:layout>
              <c:showLegendKey val="0"/>
              <c:showVal val="1"/>
              <c:showCatName val="0"/>
              <c:showSerName val="0"/>
              <c:showPercent val="0"/>
              <c:showBubbleSize val="0"/>
              <c:extLst>
                <c:ext xmlns:c15="http://schemas.microsoft.com/office/drawing/2012/chart" uri="{CE6537A1-D6FC-4f65-9D91-7224C49458BB}">
                  <c15:layout>
                    <c:manualLayout>
                      <c:w val="0.30817329164805718"/>
                      <c:h val="0.11436505164676994"/>
                    </c:manualLayout>
                  </c15:layout>
                </c:ext>
                <c:ext xmlns:c16="http://schemas.microsoft.com/office/drawing/2014/chart" uri="{C3380CC4-5D6E-409C-BE32-E72D297353CC}">
                  <c16:uniqueId val="{00000002-474E-4EEC-A2A0-B3398A71BB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'TABLICE ZA IZVJEŠTAJ'!$B$70:$B$71</c:f>
              <c:strCache>
                <c:ptCount val="2"/>
                <c:pt idx="0">
                  <c:v>2022. godina</c:v>
                </c:pt>
                <c:pt idx="1">
                  <c:v>2023. godina</c:v>
                </c:pt>
              </c:strCache>
            </c:strRef>
          </c:cat>
          <c:val>
            <c:numRef>
              <c:f>'TABLICE ZA IZVJEŠTAJ'!$F$70:$F$71</c:f>
              <c:numCache>
                <c:formatCode>_-* #,##0.00\ [$€-1]_-;\-* #,##0.00\ [$€-1]_-;_-* "-"??\ [$€-1]_-;_-@_-</c:formatCode>
                <c:ptCount val="2"/>
                <c:pt idx="0">
                  <c:v>4662980.3599999994</c:v>
                </c:pt>
                <c:pt idx="1">
                  <c:v>99247031.780000001</c:v>
                </c:pt>
              </c:numCache>
            </c:numRef>
          </c:val>
          <c:extLst>
            <c:ext xmlns:c16="http://schemas.microsoft.com/office/drawing/2014/chart" uri="{C3380CC4-5D6E-409C-BE32-E72D297353CC}">
              <c16:uniqueId val="{00000000-474E-4EEC-A2A0-B3398A71BB1A}"/>
            </c:ext>
          </c:extLst>
        </c:ser>
        <c:dLbls>
          <c:showLegendKey val="0"/>
          <c:showVal val="0"/>
          <c:showCatName val="0"/>
          <c:showSerName val="0"/>
          <c:showPercent val="0"/>
          <c:showBubbleSize val="0"/>
        </c:dLbls>
        <c:gapWidth val="150"/>
        <c:shape val="box"/>
        <c:axId val="1778109520"/>
        <c:axId val="1079944976"/>
        <c:axId val="0"/>
      </c:bar3DChart>
      <c:catAx>
        <c:axId val="1778109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079944976"/>
        <c:crosses val="autoZero"/>
        <c:auto val="1"/>
        <c:lblAlgn val="ctr"/>
        <c:lblOffset val="100"/>
        <c:noMultiLvlLbl val="0"/>
      </c:catAx>
      <c:valAx>
        <c:axId val="1079944976"/>
        <c:scaling>
          <c:orientation val="minMax"/>
        </c:scaling>
        <c:delete val="0"/>
        <c:axPos val="l"/>
        <c:majorGridlines>
          <c:spPr>
            <a:ln w="9525" cap="flat" cmpd="sng" algn="ctr">
              <a:solidFill>
                <a:schemeClr val="tx1">
                  <a:lumMod val="15000"/>
                  <a:lumOff val="85000"/>
                </a:schemeClr>
              </a:solidFill>
              <a:round/>
            </a:ln>
            <a:effectLst/>
          </c:spPr>
        </c:majorGridlines>
        <c:numFmt formatCode="_-* #,##0.00\ [$€-1]_-;\-* #,##0.00\ [$€-1]_-;_-* &quot;-&quot;??\ [$€-1]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778109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Broj isplata</a:t>
            </a:r>
            <a:r>
              <a:rPr lang="hr-HR" sz="1200"/>
              <a:t> novčanih pomoći za konstrukcijsku obnovu</a:t>
            </a:r>
            <a:r>
              <a:rPr lang="en-US" sz="1200"/>
              <a:t> </a:t>
            </a:r>
            <a:r>
              <a:rPr lang="hr-HR" sz="1200"/>
              <a:t>po godinama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3.1263957123715942E-2"/>
                  <c:y val="-1.6801075268817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07-4488-9ED4-6772E1FB2D9C}"/>
                </c:ext>
              </c:extLst>
            </c:dLbl>
            <c:dLbl>
              <c:idx val="1"/>
              <c:layout>
                <c:manualLayout>
                  <c:x val="2.2331397945511307E-2"/>
                  <c:y val="-1.6801075268817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07-4488-9ED4-6772E1FB2D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IZVJEŠTAJ'!$B$70:$B$71</c:f>
              <c:strCache>
                <c:ptCount val="2"/>
                <c:pt idx="0">
                  <c:v>2022. godina</c:v>
                </c:pt>
                <c:pt idx="1">
                  <c:v>2023. godina</c:v>
                </c:pt>
              </c:strCache>
            </c:strRef>
          </c:cat>
          <c:val>
            <c:numRef>
              <c:f>'TABLICE ZA IZVJEŠTAJ'!$G$70:$G$71</c:f>
              <c:numCache>
                <c:formatCode>#,##0</c:formatCode>
                <c:ptCount val="2"/>
                <c:pt idx="0">
                  <c:v>30</c:v>
                </c:pt>
                <c:pt idx="1">
                  <c:v>671</c:v>
                </c:pt>
              </c:numCache>
            </c:numRef>
          </c:val>
          <c:extLst>
            <c:ext xmlns:c16="http://schemas.microsoft.com/office/drawing/2014/chart" uri="{C3380CC4-5D6E-409C-BE32-E72D297353CC}">
              <c16:uniqueId val="{00000000-2707-4488-9ED4-6772E1FB2D9C}"/>
            </c:ext>
          </c:extLst>
        </c:ser>
        <c:dLbls>
          <c:showLegendKey val="0"/>
          <c:showVal val="0"/>
          <c:showCatName val="0"/>
          <c:showSerName val="0"/>
          <c:showPercent val="0"/>
          <c:showBubbleSize val="0"/>
        </c:dLbls>
        <c:gapWidth val="150"/>
        <c:shape val="box"/>
        <c:axId val="1778045200"/>
        <c:axId val="1079930096"/>
        <c:axId val="0"/>
      </c:bar3DChart>
      <c:catAx>
        <c:axId val="177804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079930096"/>
        <c:crosses val="autoZero"/>
        <c:auto val="1"/>
        <c:lblAlgn val="ctr"/>
        <c:lblOffset val="100"/>
        <c:noMultiLvlLbl val="0"/>
      </c:catAx>
      <c:valAx>
        <c:axId val="1079930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778045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200"/>
              <a:t>Pregled konstrukcijskih obnova na kraju izvještajnih razdoblja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3.573023671281822E-2"/>
                  <c:y val="-2.3521505376344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D9-4A1E-9A4A-F7BD55ADCEF0}"/>
                </c:ext>
              </c:extLst>
            </c:dLbl>
            <c:dLbl>
              <c:idx val="1"/>
              <c:layout>
                <c:manualLayout>
                  <c:x val="4.0196516301920497E-2"/>
                  <c:y val="-2.0161290322580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D9-4A1E-9A4A-F7BD55ADCE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IZVJEŠTAJ'!$C$105,'TABLICE ZA IZVJEŠTAJ'!$E$105)</c:f>
              <c:strCache>
                <c:ptCount val="2"/>
                <c:pt idx="0">
                  <c:v> Stanje na
31. prosinca 2022. </c:v>
                </c:pt>
                <c:pt idx="1">
                  <c:v> Stanje na
31.prosinca 2023. </c:v>
                </c:pt>
              </c:strCache>
            </c:strRef>
          </c:cat>
          <c:val>
            <c:numRef>
              <c:f>('TABLICE ZA IZVJEŠTAJ'!$C$112,'TABLICE ZA IZVJEŠTAJ'!$E$112)</c:f>
              <c:numCache>
                <c:formatCode>#,##0</c:formatCode>
                <c:ptCount val="2"/>
                <c:pt idx="0">
                  <c:v>22</c:v>
                </c:pt>
                <c:pt idx="1">
                  <c:v>631</c:v>
                </c:pt>
              </c:numCache>
            </c:numRef>
          </c:val>
          <c:extLst>
            <c:ext xmlns:c16="http://schemas.microsoft.com/office/drawing/2014/chart" uri="{C3380CC4-5D6E-409C-BE32-E72D297353CC}">
              <c16:uniqueId val="{00000000-50D9-4A1E-9A4A-F7BD55ADCEF0}"/>
            </c:ext>
          </c:extLst>
        </c:ser>
        <c:dLbls>
          <c:showLegendKey val="0"/>
          <c:showVal val="0"/>
          <c:showCatName val="0"/>
          <c:showSerName val="0"/>
          <c:showPercent val="0"/>
          <c:showBubbleSize val="0"/>
        </c:dLbls>
        <c:gapWidth val="150"/>
        <c:shape val="box"/>
        <c:axId val="1643774512"/>
        <c:axId val="1632456112"/>
        <c:axId val="0"/>
      </c:bar3DChart>
      <c:catAx>
        <c:axId val="1643774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632456112"/>
        <c:crosses val="autoZero"/>
        <c:auto val="1"/>
        <c:lblAlgn val="ctr"/>
        <c:lblOffset val="100"/>
        <c:noMultiLvlLbl val="0"/>
      </c:catAx>
      <c:valAx>
        <c:axId val="1632456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643774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200"/>
              <a:t>Pregled konstrukcijskih obnova po vrsti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2331397945511429E-2"/>
                  <c:y val="-2.0161290322580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D3-4DA1-9533-27E84B8C68AC}"/>
                </c:ext>
              </c:extLst>
            </c:dLbl>
            <c:dLbl>
              <c:idx val="1"/>
              <c:layout>
                <c:manualLayout>
                  <c:x val="4.4662795891022698E-2"/>
                  <c:y val="-2.0161290322580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D3-4DA1-9533-27E84B8C68A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IZVJEŠTAJ'!$B$106,'TABLICE ZA IZVJEŠTAJ'!$B$109)</c:f>
              <c:strCache>
                <c:ptCount val="2"/>
                <c:pt idx="0">
                  <c:v>Organizirana konstrukcijska obnova</c:v>
                </c:pt>
                <c:pt idx="1">
                  <c:v>Novčana pomoć za konstrukcijsku obnovu</c:v>
                </c:pt>
              </c:strCache>
            </c:strRef>
          </c:cat>
          <c:val>
            <c:numRef>
              <c:f>('TABLICE ZA IZVJEŠTAJ'!$E$106,'TABLICE ZA IZVJEŠTAJ'!$E$109)</c:f>
              <c:numCache>
                <c:formatCode>#,##0</c:formatCode>
                <c:ptCount val="2"/>
                <c:pt idx="0">
                  <c:v>47</c:v>
                </c:pt>
                <c:pt idx="1">
                  <c:v>584</c:v>
                </c:pt>
              </c:numCache>
            </c:numRef>
          </c:val>
          <c:extLst>
            <c:ext xmlns:c16="http://schemas.microsoft.com/office/drawing/2014/chart" uri="{C3380CC4-5D6E-409C-BE32-E72D297353CC}">
              <c16:uniqueId val="{00000000-3BD3-4DA1-9533-27E84B8C68AC}"/>
            </c:ext>
          </c:extLst>
        </c:ser>
        <c:dLbls>
          <c:showLegendKey val="0"/>
          <c:showVal val="0"/>
          <c:showCatName val="0"/>
          <c:showSerName val="0"/>
          <c:showPercent val="0"/>
          <c:showBubbleSize val="0"/>
        </c:dLbls>
        <c:gapWidth val="150"/>
        <c:shape val="box"/>
        <c:axId val="1773573424"/>
        <c:axId val="1079947952"/>
        <c:axId val="0"/>
      </c:bar3DChart>
      <c:catAx>
        <c:axId val="1773573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079947952"/>
        <c:crosses val="autoZero"/>
        <c:auto val="1"/>
        <c:lblAlgn val="ctr"/>
        <c:lblOffset val="100"/>
        <c:noMultiLvlLbl val="0"/>
      </c:catAx>
      <c:valAx>
        <c:axId val="1079947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773573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UKUPNO ISPLAĆENE</a:t>
            </a:r>
            <a:r>
              <a:rPr lang="hr-HR"/>
              <a:t> </a:t>
            </a:r>
            <a:r>
              <a:rPr lang="en-US"/>
              <a:t>NOVČANE POMOĆI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'[NOVČANE POMOĆI - KONSTRUKCIJSKA I ZAMJENSKE.xlsx]DINAMIKA ISPLATA 2'!$C$32</c:f>
              <c:strCache>
                <c:ptCount val="1"/>
                <c:pt idx="0">
                  <c:v>UKUPNO ISPLAĆENENOVČANE POMOĆI</c:v>
                </c:pt>
              </c:strCache>
            </c:strRef>
          </c:tx>
          <c:spPr>
            <a:solidFill>
              <a:schemeClr val="accent1"/>
            </a:solidFill>
            <a:ln>
              <a:noFill/>
            </a:ln>
            <a:effectLst/>
            <a:sp3d/>
          </c:spPr>
          <c:invertIfNegative val="0"/>
          <c:dLbls>
            <c:dLbl>
              <c:idx val="0"/>
              <c:layout>
                <c:manualLayout>
                  <c:x val="2.8384279475982533E-2"/>
                  <c:y val="-1.398601398601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7E-4409-913D-2107F7D1DB81}"/>
                </c:ext>
              </c:extLst>
            </c:dLbl>
            <c:dLbl>
              <c:idx val="1"/>
              <c:layout>
                <c:manualLayout>
                  <c:x val="3.0567685589519649E-2"/>
                  <c:y val="-1.3986013986013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7E-4409-913D-2107F7D1DB81}"/>
                </c:ext>
              </c:extLst>
            </c:dLbl>
            <c:dLbl>
              <c:idx val="2"/>
              <c:layout>
                <c:manualLayout>
                  <c:x val="1.9650655021833982E-2"/>
                  <c:y val="-1.7482517482517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7E-4409-913D-2107F7D1DB81}"/>
                </c:ext>
              </c:extLst>
            </c:dLbl>
            <c:dLbl>
              <c:idx val="3"/>
              <c:layout>
                <c:manualLayout>
                  <c:x val="1.9650655021834062E-2"/>
                  <c:y val="-2.097902097902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7E-4409-913D-2107F7D1DB8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'[NOVČANE POMOĆI - KONSTRUKCIJSKA I ZAMJENSKE.xlsx]DINAMIKA ISPLATA 2'!$B$33:$B$36</c:f>
              <c:strCache>
                <c:ptCount val="4"/>
                <c:pt idx="0">
                  <c:v>2020. godina</c:v>
                </c:pt>
                <c:pt idx="1">
                  <c:v>2021. godina</c:v>
                </c:pt>
                <c:pt idx="2">
                  <c:v>2022. godina</c:v>
                </c:pt>
                <c:pt idx="3">
                  <c:v>2023. godina</c:v>
                </c:pt>
              </c:strCache>
            </c:strRef>
          </c:cat>
          <c:val>
            <c:numRef>
              <c:f>'[NOVČANE POMOĆI - KONSTRUKCIJSKA I ZAMJENSKE.xlsx]DINAMIKA ISPLATA 2'!$C$33:$C$36</c:f>
              <c:numCache>
                <c:formatCode>_-* #,##0.00\ [$€-1]_-;\-* #,##0.00\ [$€-1]_-;_-* "-"??\ [$€-1]_-;_-@_-</c:formatCode>
                <c:ptCount val="4"/>
                <c:pt idx="0">
                  <c:v>3438811.73</c:v>
                </c:pt>
                <c:pt idx="1">
                  <c:v>6265975.0499999989</c:v>
                </c:pt>
                <c:pt idx="2">
                  <c:v>15004567.320000002</c:v>
                </c:pt>
                <c:pt idx="3">
                  <c:v>125651719.69999999</c:v>
                </c:pt>
              </c:numCache>
            </c:numRef>
          </c:val>
          <c:extLst>
            <c:ext xmlns:c16="http://schemas.microsoft.com/office/drawing/2014/chart" uri="{C3380CC4-5D6E-409C-BE32-E72D297353CC}">
              <c16:uniqueId val="{00000000-107E-4409-913D-2107F7D1DB81}"/>
            </c:ext>
          </c:extLst>
        </c:ser>
        <c:dLbls>
          <c:showLegendKey val="0"/>
          <c:showVal val="0"/>
          <c:showCatName val="0"/>
          <c:showSerName val="0"/>
          <c:showPercent val="0"/>
          <c:showBubbleSize val="0"/>
        </c:dLbls>
        <c:gapWidth val="150"/>
        <c:shape val="box"/>
        <c:axId val="533426528"/>
        <c:axId val="770996816"/>
        <c:axId val="0"/>
      </c:bar3DChart>
      <c:catAx>
        <c:axId val="533426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770996816"/>
        <c:crosses val="autoZero"/>
        <c:auto val="1"/>
        <c:lblAlgn val="ctr"/>
        <c:lblOffset val="100"/>
        <c:noMultiLvlLbl val="0"/>
      </c:catAx>
      <c:valAx>
        <c:axId val="770996816"/>
        <c:scaling>
          <c:orientation val="minMax"/>
        </c:scaling>
        <c:delete val="0"/>
        <c:axPos val="l"/>
        <c:majorGridlines>
          <c:spPr>
            <a:ln w="9525" cap="flat" cmpd="sng" algn="ctr">
              <a:solidFill>
                <a:schemeClr val="tx1">
                  <a:lumMod val="15000"/>
                  <a:lumOff val="85000"/>
                </a:schemeClr>
              </a:solidFill>
              <a:round/>
            </a:ln>
            <a:effectLst/>
          </c:spPr>
        </c:majorGridlines>
        <c:numFmt formatCode="_-* #,##0.00\ [$€-1]_-;\-* #,##0.00\ [$€-1]_-;_-* &quot;-&quot;??\ [$€-1]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533426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a:t>Broj isplata novčanih naknada za trošak samoobnove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'[TABLICE ZA GODIŠNJE IZVJEŠĆE.xlsx]TABLICE ZA IZVJEŠTAJ'!$C$194</c:f>
              <c:strCache>
                <c:ptCount val="1"/>
                <c:pt idx="0">
                  <c:v>Ukupno isplata</c:v>
                </c:pt>
              </c:strCache>
            </c:strRef>
          </c:tx>
          <c:spPr>
            <a:solidFill>
              <a:schemeClr val="accent1"/>
            </a:solidFill>
            <a:ln>
              <a:noFill/>
            </a:ln>
            <a:effectLst/>
            <a:sp3d/>
          </c:spPr>
          <c:invertIfNegative val="0"/>
          <c:dLbls>
            <c:dLbl>
              <c:idx val="0"/>
              <c:layout>
                <c:manualLayout>
                  <c:x val="4.0196516301920539E-2"/>
                  <c:y val="-2.0161290322580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11-4BA8-9D02-0913B89A85E6}"/>
                </c:ext>
              </c:extLst>
            </c:dLbl>
            <c:dLbl>
              <c:idx val="1"/>
              <c:layout>
                <c:manualLayout>
                  <c:x val="2.6797677534613502E-2"/>
                  <c:y val="-1.6801075268817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11-4BA8-9D02-0913B89A85E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'[TABLICE ZA GODIŠNJE IZVJEŠĆE.xlsx]TABLICE ZA IZVJEŠTAJ'!$B$195:$B$196</c:f>
              <c:strCache>
                <c:ptCount val="2"/>
                <c:pt idx="0">
                  <c:v>2022.
godina</c:v>
                </c:pt>
                <c:pt idx="1">
                  <c:v>2023.
godina</c:v>
                </c:pt>
              </c:strCache>
            </c:strRef>
          </c:cat>
          <c:val>
            <c:numRef>
              <c:f>'[TABLICE ZA GODIŠNJE IZVJEŠĆE.xlsx]TABLICE ZA IZVJEŠTAJ'!$C$195:$C$196</c:f>
              <c:numCache>
                <c:formatCode>#,##0</c:formatCode>
                <c:ptCount val="2"/>
                <c:pt idx="0">
                  <c:v>15</c:v>
                </c:pt>
                <c:pt idx="1">
                  <c:v>630</c:v>
                </c:pt>
              </c:numCache>
            </c:numRef>
          </c:val>
          <c:extLst>
            <c:ext xmlns:c16="http://schemas.microsoft.com/office/drawing/2014/chart" uri="{C3380CC4-5D6E-409C-BE32-E72D297353CC}">
              <c16:uniqueId val="{00000000-B111-4BA8-9D02-0913B89A85E6}"/>
            </c:ext>
          </c:extLst>
        </c:ser>
        <c:dLbls>
          <c:showLegendKey val="0"/>
          <c:showVal val="0"/>
          <c:showCatName val="0"/>
          <c:showSerName val="0"/>
          <c:showPercent val="0"/>
          <c:showBubbleSize val="0"/>
        </c:dLbls>
        <c:gapWidth val="150"/>
        <c:shape val="box"/>
        <c:axId val="1218573376"/>
        <c:axId val="486798944"/>
        <c:axId val="0"/>
      </c:bar3DChart>
      <c:catAx>
        <c:axId val="1218573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86798944"/>
        <c:crosses val="autoZero"/>
        <c:auto val="1"/>
        <c:lblAlgn val="ctr"/>
        <c:lblOffset val="100"/>
        <c:noMultiLvlLbl val="0"/>
      </c:catAx>
      <c:valAx>
        <c:axId val="486798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18573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2dc701-50fa-4629-b8e4-6291a4db5a68">
      <UserInfo>
        <DisplayName>Ana Favro Šaban</DisplayName>
        <AccountId>161</AccountId>
        <AccountType/>
      </UserInfo>
      <UserInfo>
        <DisplayName>Tonči Glavinić</DisplayName>
        <AccountId>81</AccountId>
        <AccountType/>
      </UserInfo>
      <UserInfo>
        <DisplayName>Valentina Buljubašić</DisplayName>
        <AccountId>121</AccountId>
        <AccountType/>
      </UserInfo>
      <UserInfo>
        <DisplayName>Valentina Vincek</DisplayName>
        <AccountId>178</AccountId>
        <AccountType/>
      </UserInfo>
      <UserInfo>
        <DisplayName>Martina Horvatić</DisplayName>
        <AccountId>176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C9F0AC35364CAB863130C21C76CD" ma:contentTypeVersion="6" ma:contentTypeDescription="Create a new document." ma:contentTypeScope="" ma:versionID="31a1579a38522f946d0de78645bbe823">
  <xsd:schema xmlns:xsd="http://www.w3.org/2001/XMLSchema" xmlns:xs="http://www.w3.org/2001/XMLSchema" xmlns:p="http://schemas.microsoft.com/office/2006/metadata/properties" xmlns:ns2="0ca3b90c-349a-4f14-940f-0d5971d8b823" xmlns:ns3="852dc701-50fa-4629-b8e4-6291a4db5a68" targetNamespace="http://schemas.microsoft.com/office/2006/metadata/properties" ma:root="true" ma:fieldsID="b1d068e18f52a3d608f7315512acff87" ns2:_="" ns3:_="">
    <xsd:import namespace="0ca3b90c-349a-4f14-940f-0d5971d8b823"/>
    <xsd:import namespace="852dc701-50fa-4629-b8e4-6291a4db5a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3b90c-349a-4f14-940f-0d5971d8b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dc701-50fa-4629-b8e4-6291a4db5a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B9D6-00FA-41F0-9AF0-82CD42360979}">
  <ds:schemaRefs>
    <ds:schemaRef ds:uri="http://schemas.microsoft.com/office/infopath/2007/PartnerControls"/>
    <ds:schemaRef ds:uri="http://schemas.microsoft.com/office/2006/metadata/properties"/>
    <ds:schemaRef ds:uri="http://purl.org/dc/elements/1.1/"/>
    <ds:schemaRef ds:uri="0ca3b90c-349a-4f14-940f-0d5971d8b823"/>
    <ds:schemaRef ds:uri="http://purl.org/dc/dcmitype/"/>
    <ds:schemaRef ds:uri="http://purl.org/dc/terms/"/>
    <ds:schemaRef ds:uri="http://schemas.microsoft.com/office/2006/documentManagement/types"/>
    <ds:schemaRef ds:uri="852dc701-50fa-4629-b8e4-6291a4db5a68"/>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33B0D9C2-C758-41AC-AD14-99C1440CA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3b90c-349a-4f14-940f-0d5971d8b823"/>
    <ds:schemaRef ds:uri="852dc701-50fa-4629-b8e4-6291a4db5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E07EA-A312-4DCD-B73B-BDF73C66643F}">
  <ds:schemaRefs>
    <ds:schemaRef ds:uri="http://schemas.microsoft.com/sharepoint/v3/contenttype/forms"/>
  </ds:schemaRefs>
</ds:datastoreItem>
</file>

<file path=customXml/itemProps4.xml><?xml version="1.0" encoding="utf-8"?>
<ds:datastoreItem xmlns:ds="http://schemas.openxmlformats.org/officeDocument/2006/customXml" ds:itemID="{03178BE3-0F63-49E0-B757-BD0BC92D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52</Pages>
  <Words>13812</Words>
  <Characters>86026</Characters>
  <Application>Microsoft Office Word</Application>
  <DocSecurity>0</DocSecurity>
  <Lines>716</Lines>
  <Paragraphs>199</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99639</CharactersWithSpaces>
  <SharedDoc>false</SharedDoc>
  <HLinks>
    <vt:vector size="180" baseType="variant">
      <vt:variant>
        <vt:i4>2818152</vt:i4>
      </vt:variant>
      <vt:variant>
        <vt:i4>170</vt:i4>
      </vt:variant>
      <vt:variant>
        <vt:i4>0</vt:i4>
      </vt:variant>
      <vt:variant>
        <vt:i4>5</vt:i4>
      </vt:variant>
      <vt:variant>
        <vt:lpwstr>https://obnova.mpgi.hr/</vt:lpwstr>
      </vt:variant>
      <vt:variant>
        <vt:lpwstr/>
      </vt:variant>
      <vt:variant>
        <vt:i4>3145790</vt:i4>
      </vt:variant>
      <vt:variant>
        <vt:i4>167</vt:i4>
      </vt:variant>
      <vt:variant>
        <vt:i4>0</vt:i4>
      </vt:variant>
      <vt:variant>
        <vt:i4>5</vt:i4>
      </vt:variant>
      <vt:variant>
        <vt:lpwstr>https://www.youtube.com/watch?v=A-CVK9whoEo</vt:lpwstr>
      </vt:variant>
      <vt:variant>
        <vt:lpwstr/>
      </vt:variant>
      <vt:variant>
        <vt:i4>4784174</vt:i4>
      </vt:variant>
      <vt:variant>
        <vt:i4>164</vt:i4>
      </vt:variant>
      <vt:variant>
        <vt:i4>0</vt:i4>
      </vt:variant>
      <vt:variant>
        <vt:i4>5</vt:i4>
      </vt:variant>
      <vt:variant>
        <vt:lpwstr>https://www.youtube.com/@ministarstvompgi1890</vt:lpwstr>
      </vt:variant>
      <vt:variant>
        <vt:lpwstr/>
      </vt:variant>
      <vt:variant>
        <vt:i4>1310795</vt:i4>
      </vt:variant>
      <vt:variant>
        <vt:i4>161</vt:i4>
      </vt:variant>
      <vt:variant>
        <vt:i4>0</vt:i4>
      </vt:variant>
      <vt:variant>
        <vt:i4>5</vt:i4>
      </vt:variant>
      <vt:variant>
        <vt:lpwstr>https://eojn.nn.hr/Oglasnik/</vt:lpwstr>
      </vt:variant>
      <vt:variant>
        <vt:lpwstr/>
      </vt:variant>
      <vt:variant>
        <vt:i4>1966139</vt:i4>
      </vt:variant>
      <vt:variant>
        <vt:i4>154</vt:i4>
      </vt:variant>
      <vt:variant>
        <vt:i4>0</vt:i4>
      </vt:variant>
      <vt:variant>
        <vt:i4>5</vt:i4>
      </vt:variant>
      <vt:variant>
        <vt:lpwstr/>
      </vt:variant>
      <vt:variant>
        <vt:lpwstr>_Toc160189271</vt:lpwstr>
      </vt:variant>
      <vt:variant>
        <vt:i4>1966139</vt:i4>
      </vt:variant>
      <vt:variant>
        <vt:i4>148</vt:i4>
      </vt:variant>
      <vt:variant>
        <vt:i4>0</vt:i4>
      </vt:variant>
      <vt:variant>
        <vt:i4>5</vt:i4>
      </vt:variant>
      <vt:variant>
        <vt:lpwstr/>
      </vt:variant>
      <vt:variant>
        <vt:lpwstr>_Toc160189270</vt:lpwstr>
      </vt:variant>
      <vt:variant>
        <vt:i4>2031675</vt:i4>
      </vt:variant>
      <vt:variant>
        <vt:i4>142</vt:i4>
      </vt:variant>
      <vt:variant>
        <vt:i4>0</vt:i4>
      </vt:variant>
      <vt:variant>
        <vt:i4>5</vt:i4>
      </vt:variant>
      <vt:variant>
        <vt:lpwstr/>
      </vt:variant>
      <vt:variant>
        <vt:lpwstr>_Toc160189269</vt:lpwstr>
      </vt:variant>
      <vt:variant>
        <vt:i4>2031675</vt:i4>
      </vt:variant>
      <vt:variant>
        <vt:i4>136</vt:i4>
      </vt:variant>
      <vt:variant>
        <vt:i4>0</vt:i4>
      </vt:variant>
      <vt:variant>
        <vt:i4>5</vt:i4>
      </vt:variant>
      <vt:variant>
        <vt:lpwstr/>
      </vt:variant>
      <vt:variant>
        <vt:lpwstr>_Toc160189268</vt:lpwstr>
      </vt:variant>
      <vt:variant>
        <vt:i4>2031675</vt:i4>
      </vt:variant>
      <vt:variant>
        <vt:i4>130</vt:i4>
      </vt:variant>
      <vt:variant>
        <vt:i4>0</vt:i4>
      </vt:variant>
      <vt:variant>
        <vt:i4>5</vt:i4>
      </vt:variant>
      <vt:variant>
        <vt:lpwstr/>
      </vt:variant>
      <vt:variant>
        <vt:lpwstr>_Toc160189267</vt:lpwstr>
      </vt:variant>
      <vt:variant>
        <vt:i4>2031675</vt:i4>
      </vt:variant>
      <vt:variant>
        <vt:i4>124</vt:i4>
      </vt:variant>
      <vt:variant>
        <vt:i4>0</vt:i4>
      </vt:variant>
      <vt:variant>
        <vt:i4>5</vt:i4>
      </vt:variant>
      <vt:variant>
        <vt:lpwstr/>
      </vt:variant>
      <vt:variant>
        <vt:lpwstr>_Toc160189266</vt:lpwstr>
      </vt:variant>
      <vt:variant>
        <vt:i4>2031675</vt:i4>
      </vt:variant>
      <vt:variant>
        <vt:i4>118</vt:i4>
      </vt:variant>
      <vt:variant>
        <vt:i4>0</vt:i4>
      </vt:variant>
      <vt:variant>
        <vt:i4>5</vt:i4>
      </vt:variant>
      <vt:variant>
        <vt:lpwstr/>
      </vt:variant>
      <vt:variant>
        <vt:lpwstr>_Toc160189265</vt:lpwstr>
      </vt:variant>
      <vt:variant>
        <vt:i4>2031675</vt:i4>
      </vt:variant>
      <vt:variant>
        <vt:i4>112</vt:i4>
      </vt:variant>
      <vt:variant>
        <vt:i4>0</vt:i4>
      </vt:variant>
      <vt:variant>
        <vt:i4>5</vt:i4>
      </vt:variant>
      <vt:variant>
        <vt:lpwstr/>
      </vt:variant>
      <vt:variant>
        <vt:lpwstr>_Toc160189264</vt:lpwstr>
      </vt:variant>
      <vt:variant>
        <vt:i4>2031675</vt:i4>
      </vt:variant>
      <vt:variant>
        <vt:i4>106</vt:i4>
      </vt:variant>
      <vt:variant>
        <vt:i4>0</vt:i4>
      </vt:variant>
      <vt:variant>
        <vt:i4>5</vt:i4>
      </vt:variant>
      <vt:variant>
        <vt:lpwstr/>
      </vt:variant>
      <vt:variant>
        <vt:lpwstr>_Toc160189263</vt:lpwstr>
      </vt:variant>
      <vt:variant>
        <vt:i4>2031675</vt:i4>
      </vt:variant>
      <vt:variant>
        <vt:i4>100</vt:i4>
      </vt:variant>
      <vt:variant>
        <vt:i4>0</vt:i4>
      </vt:variant>
      <vt:variant>
        <vt:i4>5</vt:i4>
      </vt:variant>
      <vt:variant>
        <vt:lpwstr/>
      </vt:variant>
      <vt:variant>
        <vt:lpwstr>_Toc160189262</vt:lpwstr>
      </vt:variant>
      <vt:variant>
        <vt:i4>2031675</vt:i4>
      </vt:variant>
      <vt:variant>
        <vt:i4>94</vt:i4>
      </vt:variant>
      <vt:variant>
        <vt:i4>0</vt:i4>
      </vt:variant>
      <vt:variant>
        <vt:i4>5</vt:i4>
      </vt:variant>
      <vt:variant>
        <vt:lpwstr/>
      </vt:variant>
      <vt:variant>
        <vt:lpwstr>_Toc160189261</vt:lpwstr>
      </vt:variant>
      <vt:variant>
        <vt:i4>2031675</vt:i4>
      </vt:variant>
      <vt:variant>
        <vt:i4>88</vt:i4>
      </vt:variant>
      <vt:variant>
        <vt:i4>0</vt:i4>
      </vt:variant>
      <vt:variant>
        <vt:i4>5</vt:i4>
      </vt:variant>
      <vt:variant>
        <vt:lpwstr/>
      </vt:variant>
      <vt:variant>
        <vt:lpwstr>_Toc160189260</vt:lpwstr>
      </vt:variant>
      <vt:variant>
        <vt:i4>1835067</vt:i4>
      </vt:variant>
      <vt:variant>
        <vt:i4>82</vt:i4>
      </vt:variant>
      <vt:variant>
        <vt:i4>0</vt:i4>
      </vt:variant>
      <vt:variant>
        <vt:i4>5</vt:i4>
      </vt:variant>
      <vt:variant>
        <vt:lpwstr/>
      </vt:variant>
      <vt:variant>
        <vt:lpwstr>_Toc160189259</vt:lpwstr>
      </vt:variant>
      <vt:variant>
        <vt:i4>1835067</vt:i4>
      </vt:variant>
      <vt:variant>
        <vt:i4>76</vt:i4>
      </vt:variant>
      <vt:variant>
        <vt:i4>0</vt:i4>
      </vt:variant>
      <vt:variant>
        <vt:i4>5</vt:i4>
      </vt:variant>
      <vt:variant>
        <vt:lpwstr/>
      </vt:variant>
      <vt:variant>
        <vt:lpwstr>_Toc160189258</vt:lpwstr>
      </vt:variant>
      <vt:variant>
        <vt:i4>1835067</vt:i4>
      </vt:variant>
      <vt:variant>
        <vt:i4>70</vt:i4>
      </vt:variant>
      <vt:variant>
        <vt:i4>0</vt:i4>
      </vt:variant>
      <vt:variant>
        <vt:i4>5</vt:i4>
      </vt:variant>
      <vt:variant>
        <vt:lpwstr/>
      </vt:variant>
      <vt:variant>
        <vt:lpwstr>_Toc160189257</vt:lpwstr>
      </vt:variant>
      <vt:variant>
        <vt:i4>1835067</vt:i4>
      </vt:variant>
      <vt:variant>
        <vt:i4>64</vt:i4>
      </vt:variant>
      <vt:variant>
        <vt:i4>0</vt:i4>
      </vt:variant>
      <vt:variant>
        <vt:i4>5</vt:i4>
      </vt:variant>
      <vt:variant>
        <vt:lpwstr/>
      </vt:variant>
      <vt:variant>
        <vt:lpwstr>_Toc160189256</vt:lpwstr>
      </vt:variant>
      <vt:variant>
        <vt:i4>1835067</vt:i4>
      </vt:variant>
      <vt:variant>
        <vt:i4>58</vt:i4>
      </vt:variant>
      <vt:variant>
        <vt:i4>0</vt:i4>
      </vt:variant>
      <vt:variant>
        <vt:i4>5</vt:i4>
      </vt:variant>
      <vt:variant>
        <vt:lpwstr/>
      </vt:variant>
      <vt:variant>
        <vt:lpwstr>_Toc160189255</vt:lpwstr>
      </vt:variant>
      <vt:variant>
        <vt:i4>1835067</vt:i4>
      </vt:variant>
      <vt:variant>
        <vt:i4>52</vt:i4>
      </vt:variant>
      <vt:variant>
        <vt:i4>0</vt:i4>
      </vt:variant>
      <vt:variant>
        <vt:i4>5</vt:i4>
      </vt:variant>
      <vt:variant>
        <vt:lpwstr/>
      </vt:variant>
      <vt:variant>
        <vt:lpwstr>_Toc160189254</vt:lpwstr>
      </vt:variant>
      <vt:variant>
        <vt:i4>1835067</vt:i4>
      </vt:variant>
      <vt:variant>
        <vt:i4>46</vt:i4>
      </vt:variant>
      <vt:variant>
        <vt:i4>0</vt:i4>
      </vt:variant>
      <vt:variant>
        <vt:i4>5</vt:i4>
      </vt:variant>
      <vt:variant>
        <vt:lpwstr/>
      </vt:variant>
      <vt:variant>
        <vt:lpwstr>_Toc160189253</vt:lpwstr>
      </vt:variant>
      <vt:variant>
        <vt:i4>1835067</vt:i4>
      </vt:variant>
      <vt:variant>
        <vt:i4>40</vt:i4>
      </vt:variant>
      <vt:variant>
        <vt:i4>0</vt:i4>
      </vt:variant>
      <vt:variant>
        <vt:i4>5</vt:i4>
      </vt:variant>
      <vt:variant>
        <vt:lpwstr/>
      </vt:variant>
      <vt:variant>
        <vt:lpwstr>_Toc160189252</vt:lpwstr>
      </vt:variant>
      <vt:variant>
        <vt:i4>1835067</vt:i4>
      </vt:variant>
      <vt:variant>
        <vt:i4>34</vt:i4>
      </vt:variant>
      <vt:variant>
        <vt:i4>0</vt:i4>
      </vt:variant>
      <vt:variant>
        <vt:i4>5</vt:i4>
      </vt:variant>
      <vt:variant>
        <vt:lpwstr/>
      </vt:variant>
      <vt:variant>
        <vt:lpwstr>_Toc160189251</vt:lpwstr>
      </vt:variant>
      <vt:variant>
        <vt:i4>1835067</vt:i4>
      </vt:variant>
      <vt:variant>
        <vt:i4>28</vt:i4>
      </vt:variant>
      <vt:variant>
        <vt:i4>0</vt:i4>
      </vt:variant>
      <vt:variant>
        <vt:i4>5</vt:i4>
      </vt:variant>
      <vt:variant>
        <vt:lpwstr/>
      </vt:variant>
      <vt:variant>
        <vt:lpwstr>_Toc160189250</vt:lpwstr>
      </vt:variant>
      <vt:variant>
        <vt:i4>1900603</vt:i4>
      </vt:variant>
      <vt:variant>
        <vt:i4>22</vt:i4>
      </vt:variant>
      <vt:variant>
        <vt:i4>0</vt:i4>
      </vt:variant>
      <vt:variant>
        <vt:i4>5</vt:i4>
      </vt:variant>
      <vt:variant>
        <vt:lpwstr/>
      </vt:variant>
      <vt:variant>
        <vt:lpwstr>_Toc160189249</vt:lpwstr>
      </vt:variant>
      <vt:variant>
        <vt:i4>1900603</vt:i4>
      </vt:variant>
      <vt:variant>
        <vt:i4>16</vt:i4>
      </vt:variant>
      <vt:variant>
        <vt:i4>0</vt:i4>
      </vt:variant>
      <vt:variant>
        <vt:i4>5</vt:i4>
      </vt:variant>
      <vt:variant>
        <vt:lpwstr/>
      </vt:variant>
      <vt:variant>
        <vt:lpwstr>_Toc160189248</vt:lpwstr>
      </vt:variant>
      <vt:variant>
        <vt:i4>1900603</vt:i4>
      </vt:variant>
      <vt:variant>
        <vt:i4>10</vt:i4>
      </vt:variant>
      <vt:variant>
        <vt:i4>0</vt:i4>
      </vt:variant>
      <vt:variant>
        <vt:i4>5</vt:i4>
      </vt:variant>
      <vt:variant>
        <vt:lpwstr/>
      </vt:variant>
      <vt:variant>
        <vt:lpwstr>_Toc160189247</vt:lpwstr>
      </vt:variant>
      <vt:variant>
        <vt:i4>1900603</vt:i4>
      </vt:variant>
      <vt:variant>
        <vt:i4>4</vt:i4>
      </vt:variant>
      <vt:variant>
        <vt:i4>0</vt:i4>
      </vt:variant>
      <vt:variant>
        <vt:i4>5</vt:i4>
      </vt:variant>
      <vt:variant>
        <vt:lpwstr/>
      </vt:variant>
      <vt:variant>
        <vt:lpwstr>_Toc160189246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Dominis</dc:creator>
  <cp:keywords/>
  <dc:description/>
  <cp:lastModifiedBy>Ines Uglešić</cp:lastModifiedBy>
  <cp:revision>635</cp:revision>
  <cp:lastPrinted>2024-03-01T12:16:00Z</cp:lastPrinted>
  <dcterms:created xsi:type="dcterms:W3CDTF">2024-02-09T11:01:00Z</dcterms:created>
  <dcterms:modified xsi:type="dcterms:W3CDTF">2024-06-03T13:36:00Z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0x01010029D3C9F0AC35364CAB863130C21C76CD</vt:lpwstr>
  </property>
  <property fmtid="{D5CDD505-2E9C-101B-9397-08002B2CF9AE}" pid="3" name="Order">
    <vt:r8>210500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161;#Ana Favro Šaban;#81;#Tonči Glavinić;#121;#Valentina Buljubašić;#178;#Valentina Vincek;#176;#Martina Horvatić</vt:lpwstr>
  </property>
</Properties>
</file>