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336F3" w14:textId="77777777" w:rsidR="00400BFA" w:rsidRDefault="00400BFA" w:rsidP="00400BFA">
      <w:pPr>
        <w:jc w:val="center"/>
        <w:rPr>
          <w:rFonts w:ascii="Calibri" w:eastAsia="Calibri" w:hAnsi="Calibri"/>
        </w:rPr>
      </w:pPr>
    </w:p>
    <w:p w14:paraId="477BC2DF" w14:textId="77777777" w:rsidR="00C41040" w:rsidRPr="00F607B8" w:rsidRDefault="00C41040" w:rsidP="00C41040">
      <w:pPr>
        <w:jc w:val="center"/>
        <w:rPr>
          <w:rFonts w:ascii="Calibri" w:eastAsia="Calibri" w:hAnsi="Calibri"/>
        </w:rPr>
      </w:pPr>
      <w:r w:rsidRPr="00F607B8">
        <w:rPr>
          <w:rFonts w:ascii="Calibri" w:eastAsia="Calibri" w:hAnsi="Calibri"/>
          <w:noProof/>
        </w:rPr>
        <w:drawing>
          <wp:inline distT="0" distB="0" distL="0" distR="0" wp14:anchorId="7D7EA698" wp14:editId="7EC9FE7D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FD0E8" w14:textId="77777777" w:rsidR="00C41040" w:rsidRPr="00F607B8" w:rsidRDefault="00C41040" w:rsidP="00C41040">
      <w:pPr>
        <w:spacing w:before="60" w:after="1680"/>
        <w:jc w:val="center"/>
        <w:rPr>
          <w:rFonts w:eastAsia="Calibri"/>
          <w:sz w:val="28"/>
        </w:rPr>
      </w:pPr>
      <w:r w:rsidRPr="00F607B8">
        <w:rPr>
          <w:rFonts w:eastAsia="Calibri"/>
          <w:sz w:val="28"/>
        </w:rPr>
        <w:t>VLADA REPUBLIKE HRVATSKE</w:t>
      </w:r>
    </w:p>
    <w:p w14:paraId="182E43B4" w14:textId="77777777" w:rsidR="00C41040" w:rsidRPr="00F607B8" w:rsidRDefault="00C41040" w:rsidP="00C41040">
      <w:pPr>
        <w:jc w:val="both"/>
        <w:rPr>
          <w:rFonts w:eastAsia="Calibri"/>
        </w:rPr>
      </w:pPr>
    </w:p>
    <w:p w14:paraId="41E807C3" w14:textId="20E47EB7" w:rsidR="00C41040" w:rsidRPr="00F607B8" w:rsidRDefault="00C41040" w:rsidP="00C41040">
      <w:pPr>
        <w:jc w:val="right"/>
        <w:rPr>
          <w:rFonts w:eastAsia="Calibri"/>
        </w:rPr>
      </w:pPr>
      <w:r>
        <w:rPr>
          <w:rFonts w:eastAsia="Calibri"/>
        </w:rPr>
        <w:t>Zagreb,</w:t>
      </w:r>
      <w:r w:rsidR="00152F36">
        <w:rPr>
          <w:rFonts w:eastAsia="Calibri"/>
        </w:rPr>
        <w:t xml:space="preserve">  1</w:t>
      </w:r>
      <w:r w:rsidR="00A94FF2">
        <w:rPr>
          <w:rFonts w:eastAsia="Calibri"/>
        </w:rPr>
        <w:t>3</w:t>
      </w:r>
      <w:r w:rsidR="00152F36">
        <w:rPr>
          <w:rFonts w:eastAsia="Calibri"/>
        </w:rPr>
        <w:t xml:space="preserve">. </w:t>
      </w:r>
      <w:r>
        <w:rPr>
          <w:rFonts w:eastAsia="Calibri"/>
        </w:rPr>
        <w:t>lipnja 2024</w:t>
      </w:r>
      <w:r w:rsidRPr="00F607B8">
        <w:rPr>
          <w:rFonts w:eastAsia="Calibri"/>
        </w:rPr>
        <w:t xml:space="preserve">. </w:t>
      </w:r>
    </w:p>
    <w:p w14:paraId="121929A8" w14:textId="77777777" w:rsidR="00400BFA" w:rsidRDefault="00400BFA" w:rsidP="00400BFA">
      <w:pPr>
        <w:jc w:val="right"/>
        <w:rPr>
          <w:rFonts w:eastAsia="Calibri"/>
        </w:rPr>
      </w:pPr>
    </w:p>
    <w:p w14:paraId="6A5FC5E1" w14:textId="77777777" w:rsidR="00400BFA" w:rsidRDefault="00400BFA" w:rsidP="00400BFA">
      <w:pPr>
        <w:jc w:val="right"/>
        <w:rPr>
          <w:rFonts w:eastAsia="Calibri"/>
        </w:rPr>
      </w:pPr>
    </w:p>
    <w:p w14:paraId="77373D40" w14:textId="77777777" w:rsidR="00400BFA" w:rsidRDefault="00400BFA" w:rsidP="00400BFA">
      <w:pPr>
        <w:jc w:val="right"/>
        <w:rPr>
          <w:rFonts w:eastAsia="Calibri"/>
        </w:rPr>
      </w:pPr>
    </w:p>
    <w:p w14:paraId="1D35AB66" w14:textId="77777777" w:rsidR="00400BFA" w:rsidRPr="004A1F99" w:rsidRDefault="00400BFA" w:rsidP="00400BFA">
      <w:pPr>
        <w:jc w:val="right"/>
        <w:rPr>
          <w:rFonts w:eastAsia="Calibri"/>
        </w:rPr>
      </w:pPr>
    </w:p>
    <w:p w14:paraId="2EFD384E" w14:textId="77777777" w:rsidR="00400BFA" w:rsidRDefault="00400BFA" w:rsidP="00400BFA">
      <w:pPr>
        <w:jc w:val="right"/>
        <w:rPr>
          <w:rFonts w:eastAsia="Calibri"/>
        </w:rPr>
      </w:pPr>
    </w:p>
    <w:p w14:paraId="4365D06B" w14:textId="77777777" w:rsidR="00400BFA" w:rsidRDefault="00400BFA" w:rsidP="00400BFA">
      <w:pPr>
        <w:jc w:val="right"/>
        <w:rPr>
          <w:rFonts w:eastAsia="Calibri"/>
        </w:rPr>
      </w:pPr>
    </w:p>
    <w:p w14:paraId="33F968AC" w14:textId="77777777" w:rsidR="00400BFA" w:rsidRDefault="00400BFA" w:rsidP="00400BFA">
      <w:pPr>
        <w:jc w:val="right"/>
        <w:rPr>
          <w:rFonts w:eastAsia="Calibri"/>
        </w:rPr>
      </w:pPr>
    </w:p>
    <w:p w14:paraId="0231531F" w14:textId="77777777" w:rsidR="00400BFA" w:rsidRDefault="00400BFA" w:rsidP="00400BFA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077"/>
      </w:tblGrid>
      <w:tr w:rsidR="00400BFA" w:rsidRPr="003D2EC0" w14:paraId="35B18AD8" w14:textId="77777777" w:rsidTr="00400BFA">
        <w:tc>
          <w:tcPr>
            <w:tcW w:w="1951" w:type="dxa"/>
            <w:hideMark/>
          </w:tcPr>
          <w:p w14:paraId="394E8E6D" w14:textId="77777777" w:rsidR="00400BFA" w:rsidRPr="003D2EC0" w:rsidRDefault="00400BFA">
            <w:pPr>
              <w:spacing w:line="360" w:lineRule="auto"/>
              <w:rPr>
                <w:b/>
                <w:lang w:eastAsia="en-US"/>
              </w:rPr>
            </w:pPr>
            <w:r w:rsidRPr="003D2EC0">
              <w:rPr>
                <w:b/>
                <w:smallCaps/>
                <w:lang w:eastAsia="en-US"/>
              </w:rPr>
              <w:t>Predlagatelj</w:t>
            </w:r>
            <w:r w:rsidRPr="003D2EC0">
              <w:rPr>
                <w:b/>
                <w:lang w:eastAsia="en-US"/>
              </w:rPr>
              <w:t>:</w:t>
            </w:r>
          </w:p>
        </w:tc>
        <w:tc>
          <w:tcPr>
            <w:tcW w:w="7229" w:type="dxa"/>
            <w:hideMark/>
          </w:tcPr>
          <w:p w14:paraId="15BAADFD" w14:textId="77777777" w:rsidR="00400BFA" w:rsidRPr="003D2EC0" w:rsidRDefault="00400BFA">
            <w:pPr>
              <w:spacing w:line="360" w:lineRule="auto"/>
              <w:rPr>
                <w:lang w:eastAsia="en-US"/>
              </w:rPr>
            </w:pPr>
            <w:r w:rsidRPr="003D2EC0">
              <w:rPr>
                <w:lang w:eastAsia="en-US"/>
              </w:rPr>
              <w:t>Ministarstvo mora, prometa i infrastrukture</w:t>
            </w:r>
          </w:p>
        </w:tc>
      </w:tr>
    </w:tbl>
    <w:p w14:paraId="77284254" w14:textId="77777777" w:rsidR="00400BFA" w:rsidRPr="003D2EC0" w:rsidRDefault="00400BFA" w:rsidP="00400BFA">
      <w:pPr>
        <w:jc w:val="both"/>
        <w:rPr>
          <w:rFonts w:eastAsia="Calibri"/>
        </w:rPr>
      </w:pPr>
      <w:r w:rsidRPr="003D2EC0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4"/>
        <w:gridCol w:w="7092"/>
      </w:tblGrid>
      <w:tr w:rsidR="00400BFA" w:rsidRPr="003D2EC0" w14:paraId="34433600" w14:textId="77777777" w:rsidTr="00400BFA">
        <w:trPr>
          <w:trHeight w:val="1003"/>
        </w:trPr>
        <w:tc>
          <w:tcPr>
            <w:tcW w:w="1951" w:type="dxa"/>
            <w:hideMark/>
          </w:tcPr>
          <w:p w14:paraId="5E8583C1" w14:textId="77777777" w:rsidR="00400BFA" w:rsidRPr="003D2EC0" w:rsidRDefault="00400BFA">
            <w:pPr>
              <w:spacing w:line="360" w:lineRule="auto"/>
              <w:rPr>
                <w:b/>
                <w:lang w:eastAsia="en-US"/>
              </w:rPr>
            </w:pPr>
            <w:r w:rsidRPr="003D2EC0">
              <w:rPr>
                <w:b/>
                <w:smallCaps/>
                <w:lang w:eastAsia="en-US"/>
              </w:rPr>
              <w:t>Predmet</w:t>
            </w:r>
            <w:r w:rsidRPr="003D2EC0">
              <w:rPr>
                <w:b/>
                <w:lang w:eastAsia="en-US"/>
              </w:rPr>
              <w:t>:</w:t>
            </w:r>
          </w:p>
        </w:tc>
        <w:tc>
          <w:tcPr>
            <w:tcW w:w="7229" w:type="dxa"/>
            <w:hideMark/>
          </w:tcPr>
          <w:p w14:paraId="431C6B0A" w14:textId="7EC1DD15" w:rsidR="00400BFA" w:rsidRPr="003D2EC0" w:rsidRDefault="00400BFA" w:rsidP="00400BFA">
            <w:pPr>
              <w:spacing w:line="256" w:lineRule="auto"/>
              <w:jc w:val="both"/>
              <w:rPr>
                <w:lang w:eastAsia="en-US"/>
              </w:rPr>
            </w:pPr>
            <w:r w:rsidRPr="003D2EC0">
              <w:rPr>
                <w:lang w:eastAsia="en-US"/>
              </w:rPr>
              <w:t xml:space="preserve">Prijedlog odluke o davanju prethodne suglasnosti za sklapanje ugovora o </w:t>
            </w:r>
            <w:proofErr w:type="spellStart"/>
            <w:r w:rsidRPr="003D2EC0">
              <w:rPr>
                <w:lang w:eastAsia="en-US"/>
              </w:rPr>
              <w:t>predfinanciranju</w:t>
            </w:r>
            <w:proofErr w:type="spellEnd"/>
            <w:r w:rsidRPr="003D2EC0">
              <w:rPr>
                <w:lang w:eastAsia="en-US"/>
              </w:rPr>
              <w:t xml:space="preserve"> i najmu između društva HŽ Putnički prijevoz d.o.o. i EUROFIMA – Europskog društva za financiranje nabavki željezničkog materijala, za financiranje ulaganja u objekte za održavanje željezničkih vozila</w:t>
            </w:r>
          </w:p>
        </w:tc>
      </w:tr>
    </w:tbl>
    <w:p w14:paraId="117B6FE6" w14:textId="77777777" w:rsidR="00400BFA" w:rsidRDefault="00400BFA" w:rsidP="00400BFA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</w:t>
      </w:r>
    </w:p>
    <w:p w14:paraId="4780927C" w14:textId="77777777" w:rsidR="00400BFA" w:rsidRDefault="00400BFA" w:rsidP="00400BFA">
      <w:pPr>
        <w:jc w:val="both"/>
        <w:rPr>
          <w:rFonts w:eastAsia="Calibri"/>
        </w:rPr>
      </w:pPr>
    </w:p>
    <w:p w14:paraId="2A808746" w14:textId="77777777" w:rsidR="00400BFA" w:rsidRDefault="00400BFA" w:rsidP="00400BFA">
      <w:pPr>
        <w:jc w:val="both"/>
        <w:rPr>
          <w:rFonts w:eastAsia="Calibri"/>
        </w:rPr>
      </w:pPr>
    </w:p>
    <w:p w14:paraId="1FD2554F" w14:textId="77777777" w:rsidR="00400BFA" w:rsidRDefault="00400BFA" w:rsidP="00400BFA">
      <w:pPr>
        <w:jc w:val="both"/>
        <w:rPr>
          <w:rFonts w:eastAsia="Calibri"/>
        </w:rPr>
      </w:pPr>
    </w:p>
    <w:p w14:paraId="631F791C" w14:textId="77777777" w:rsidR="00400BFA" w:rsidRDefault="00400BFA" w:rsidP="00400BFA">
      <w:pPr>
        <w:jc w:val="both"/>
        <w:rPr>
          <w:rFonts w:eastAsia="Calibri"/>
        </w:rPr>
      </w:pPr>
    </w:p>
    <w:p w14:paraId="497616F7" w14:textId="77777777" w:rsidR="00400BFA" w:rsidRDefault="00400BFA" w:rsidP="00400BFA">
      <w:pPr>
        <w:jc w:val="both"/>
        <w:rPr>
          <w:rFonts w:eastAsia="Calibri"/>
        </w:rPr>
      </w:pPr>
    </w:p>
    <w:p w14:paraId="525BDBDE" w14:textId="77777777" w:rsidR="00400BFA" w:rsidRDefault="00400BFA" w:rsidP="00400BFA">
      <w:pPr>
        <w:jc w:val="both"/>
        <w:rPr>
          <w:rFonts w:eastAsia="Calibri"/>
        </w:rPr>
      </w:pPr>
    </w:p>
    <w:p w14:paraId="290EC132" w14:textId="77777777" w:rsidR="00400BFA" w:rsidRDefault="00400BFA" w:rsidP="00400BFA">
      <w:pPr>
        <w:jc w:val="both"/>
        <w:rPr>
          <w:rFonts w:eastAsia="Calibri"/>
        </w:rPr>
      </w:pPr>
    </w:p>
    <w:p w14:paraId="36166412" w14:textId="77777777" w:rsidR="00400BFA" w:rsidRDefault="00400BFA" w:rsidP="00400BFA">
      <w:pPr>
        <w:jc w:val="both"/>
        <w:rPr>
          <w:rFonts w:eastAsia="Calibri"/>
        </w:rPr>
      </w:pPr>
    </w:p>
    <w:p w14:paraId="1409D644" w14:textId="77777777" w:rsidR="00400BFA" w:rsidRDefault="00400BFA" w:rsidP="00400BFA">
      <w:pPr>
        <w:jc w:val="both"/>
        <w:rPr>
          <w:rFonts w:eastAsia="Calibri"/>
        </w:rPr>
      </w:pPr>
    </w:p>
    <w:p w14:paraId="586DAC5E" w14:textId="77777777" w:rsidR="00400BFA" w:rsidRDefault="00400BFA" w:rsidP="00400BFA">
      <w:pPr>
        <w:jc w:val="both"/>
        <w:rPr>
          <w:rFonts w:eastAsia="Calibri"/>
        </w:rPr>
      </w:pPr>
    </w:p>
    <w:p w14:paraId="027A7ECC" w14:textId="77777777" w:rsidR="00400BFA" w:rsidRDefault="00400BFA" w:rsidP="00400BFA">
      <w:pPr>
        <w:jc w:val="both"/>
        <w:rPr>
          <w:rFonts w:eastAsia="Calibri"/>
        </w:rPr>
      </w:pPr>
    </w:p>
    <w:p w14:paraId="305F1A1F" w14:textId="77777777" w:rsidR="00400BFA" w:rsidRDefault="00400BFA" w:rsidP="00400BFA">
      <w:pPr>
        <w:jc w:val="both"/>
        <w:rPr>
          <w:rFonts w:eastAsia="Calibri"/>
        </w:rPr>
      </w:pPr>
    </w:p>
    <w:p w14:paraId="4B79F214" w14:textId="77777777" w:rsidR="00400BFA" w:rsidRDefault="00400BFA" w:rsidP="00400BFA">
      <w:pPr>
        <w:jc w:val="both"/>
        <w:rPr>
          <w:rFonts w:eastAsia="Calibri"/>
        </w:rPr>
      </w:pPr>
    </w:p>
    <w:p w14:paraId="2048B971" w14:textId="77777777" w:rsidR="00400BFA" w:rsidRDefault="00400BFA" w:rsidP="00400BFA">
      <w:pPr>
        <w:jc w:val="both"/>
        <w:rPr>
          <w:rFonts w:eastAsia="Calibri"/>
        </w:rPr>
      </w:pPr>
    </w:p>
    <w:p w14:paraId="20FEE52A" w14:textId="77777777" w:rsidR="00400BFA" w:rsidRDefault="00400BFA" w:rsidP="00400BFA">
      <w:pPr>
        <w:jc w:val="both"/>
        <w:rPr>
          <w:rFonts w:eastAsia="Calibri"/>
        </w:rPr>
      </w:pPr>
    </w:p>
    <w:p w14:paraId="6DAA502D" w14:textId="77777777" w:rsidR="00400BFA" w:rsidRDefault="00400BFA" w:rsidP="00400BFA">
      <w:pPr>
        <w:jc w:val="both"/>
        <w:rPr>
          <w:rFonts w:eastAsia="Calibri"/>
        </w:rPr>
      </w:pPr>
    </w:p>
    <w:p w14:paraId="39D2B8F9" w14:textId="77777777" w:rsidR="00400BFA" w:rsidRDefault="00400BFA" w:rsidP="00400BFA">
      <w:pPr>
        <w:jc w:val="both"/>
        <w:rPr>
          <w:rFonts w:eastAsia="Calibri"/>
        </w:rPr>
      </w:pPr>
    </w:p>
    <w:p w14:paraId="640EEE37" w14:textId="77777777" w:rsidR="00400BFA" w:rsidRDefault="00400BFA" w:rsidP="00400BFA">
      <w:pPr>
        <w:jc w:val="both"/>
        <w:rPr>
          <w:rFonts w:eastAsia="Calibri"/>
        </w:rPr>
      </w:pPr>
    </w:p>
    <w:p w14:paraId="2BD591F1" w14:textId="77777777" w:rsidR="00400BFA" w:rsidRDefault="00400BFA" w:rsidP="00400BFA">
      <w:pPr>
        <w:jc w:val="both"/>
        <w:rPr>
          <w:rFonts w:eastAsia="Calibri"/>
        </w:rPr>
      </w:pPr>
    </w:p>
    <w:p w14:paraId="3B4C9BD9" w14:textId="598AF5F3" w:rsidR="00400BFA" w:rsidRDefault="00400BFA" w:rsidP="00400BFA">
      <w:pPr>
        <w:pBdr>
          <w:top w:val="single" w:sz="4" w:space="1" w:color="404040"/>
        </w:pBdr>
        <w:tabs>
          <w:tab w:val="center" w:pos="4513"/>
          <w:tab w:val="right" w:pos="9026"/>
        </w:tabs>
        <w:jc w:val="center"/>
        <w:rPr>
          <w:color w:val="404040"/>
          <w:spacing w:val="20"/>
          <w:sz w:val="20"/>
        </w:rPr>
      </w:pPr>
      <w:r>
        <w:rPr>
          <w:color w:val="404040"/>
          <w:spacing w:val="20"/>
          <w:sz w:val="20"/>
        </w:rPr>
        <w:t xml:space="preserve">Banski dvori | </w:t>
      </w:r>
      <w:r w:rsidR="003D2EC0">
        <w:rPr>
          <w:color w:val="404040"/>
          <w:spacing w:val="20"/>
          <w:sz w:val="20"/>
        </w:rPr>
        <w:t>Trg Sv. Marka 2</w:t>
      </w:r>
      <w:r>
        <w:rPr>
          <w:color w:val="404040"/>
          <w:spacing w:val="20"/>
          <w:sz w:val="20"/>
        </w:rPr>
        <w:t xml:space="preserve"> | 10000 Zagreb | tel. 01 4569 209 | vlada.gov.hr</w:t>
      </w:r>
    </w:p>
    <w:p w14:paraId="51F36547" w14:textId="77777777" w:rsidR="003D2EC0" w:rsidRDefault="003D2EC0" w:rsidP="008035EA">
      <w:pPr>
        <w:jc w:val="right"/>
        <w:rPr>
          <w:i/>
        </w:rPr>
      </w:pPr>
    </w:p>
    <w:p w14:paraId="5556BDF8" w14:textId="77777777" w:rsidR="003D2EC0" w:rsidRDefault="003D2EC0" w:rsidP="008035EA">
      <w:pPr>
        <w:jc w:val="right"/>
        <w:rPr>
          <w:i/>
        </w:rPr>
      </w:pPr>
    </w:p>
    <w:p w14:paraId="067D84CF" w14:textId="0181383A" w:rsidR="000707ED" w:rsidRPr="008035EA" w:rsidRDefault="008035EA" w:rsidP="008035EA">
      <w:pPr>
        <w:jc w:val="right"/>
        <w:rPr>
          <w:i/>
        </w:rPr>
      </w:pPr>
      <w:r w:rsidRPr="008035EA">
        <w:rPr>
          <w:i/>
        </w:rPr>
        <w:t>Prijedlog</w:t>
      </w:r>
    </w:p>
    <w:p w14:paraId="11C63184" w14:textId="77777777" w:rsidR="00C55C5B" w:rsidRDefault="00C55C5B" w:rsidP="00D21396">
      <w:pPr>
        <w:jc w:val="both"/>
      </w:pPr>
    </w:p>
    <w:p w14:paraId="7B663E29" w14:textId="77777777" w:rsidR="00C55C5B" w:rsidRDefault="00C55C5B" w:rsidP="00D21396">
      <w:pPr>
        <w:jc w:val="both"/>
      </w:pPr>
    </w:p>
    <w:p w14:paraId="77CFDA2E" w14:textId="77777777" w:rsidR="003D2EC0" w:rsidRDefault="003D2EC0" w:rsidP="00D21396">
      <w:pPr>
        <w:jc w:val="both"/>
      </w:pPr>
    </w:p>
    <w:p w14:paraId="1C6BA75A" w14:textId="1AF54906" w:rsidR="00D21396" w:rsidRDefault="00857A15" w:rsidP="003D2EC0">
      <w:pPr>
        <w:ind w:firstLine="1418"/>
        <w:jc w:val="both"/>
      </w:pPr>
      <w:r w:rsidRPr="00D21396">
        <w:t>Na temelju članka 117. stavka 1. Zakona o proračunu („Narodne novine“, broj 144/21</w:t>
      </w:r>
      <w:r w:rsidR="003D2EC0">
        <w:t>.</w:t>
      </w:r>
      <w:r w:rsidRPr="00D21396">
        <w:t>)</w:t>
      </w:r>
      <w:r>
        <w:t xml:space="preserve">, a u vezi s člankom 59. Zakona o izvršavanju Državnog proračuna Republike Hrvatske za 2024. godinu </w:t>
      </w:r>
      <w:r w:rsidRPr="00202D9F">
        <w:t xml:space="preserve">(„Narodne novine“, </w:t>
      </w:r>
      <w:r>
        <w:t>broj 149/23</w:t>
      </w:r>
      <w:r w:rsidR="003D2EC0">
        <w:t>.</w:t>
      </w:r>
      <w:r w:rsidRPr="00202D9F">
        <w:t>)</w:t>
      </w:r>
      <w:r w:rsidRPr="00D21396">
        <w:t>,</w:t>
      </w:r>
      <w:r w:rsidR="00D21396" w:rsidRPr="00D21396">
        <w:t xml:space="preserve"> Vlada Republike Hrvatske je na sjednic</w:t>
      </w:r>
      <w:r w:rsidR="002D6E38">
        <w:t>i održanoj __________ 2024</w:t>
      </w:r>
      <w:r w:rsidR="00D21396" w:rsidRPr="00D21396">
        <w:t xml:space="preserve">. donijela  </w:t>
      </w:r>
    </w:p>
    <w:p w14:paraId="11B77A87" w14:textId="77777777" w:rsidR="008035EA" w:rsidRPr="00D21396" w:rsidRDefault="008035EA" w:rsidP="00D21396">
      <w:pPr>
        <w:jc w:val="both"/>
      </w:pPr>
    </w:p>
    <w:p w14:paraId="68FFF64B" w14:textId="77777777" w:rsidR="00D21396" w:rsidRPr="00D21396" w:rsidRDefault="00D21396" w:rsidP="00D21396">
      <w:pPr>
        <w:jc w:val="both"/>
      </w:pPr>
    </w:p>
    <w:p w14:paraId="3E9889D7" w14:textId="77777777" w:rsidR="00D21396" w:rsidRPr="00D21396" w:rsidRDefault="00D21396" w:rsidP="00D21396">
      <w:pPr>
        <w:jc w:val="center"/>
        <w:rPr>
          <w:b/>
        </w:rPr>
      </w:pPr>
      <w:r w:rsidRPr="00D21396">
        <w:rPr>
          <w:b/>
        </w:rPr>
        <w:t>O D L U K U</w:t>
      </w:r>
    </w:p>
    <w:p w14:paraId="7CECDAD6" w14:textId="77777777" w:rsidR="00D21396" w:rsidRPr="00D21396" w:rsidRDefault="00D21396" w:rsidP="00D21396">
      <w:pPr>
        <w:jc w:val="center"/>
        <w:rPr>
          <w:b/>
        </w:rPr>
      </w:pPr>
    </w:p>
    <w:p w14:paraId="25944CDD" w14:textId="12DE3EA5" w:rsidR="000435B7" w:rsidRPr="00D21396" w:rsidRDefault="00D21396" w:rsidP="008035EA">
      <w:pPr>
        <w:jc w:val="center"/>
      </w:pPr>
      <w:r w:rsidRPr="00D21396">
        <w:rPr>
          <w:b/>
        </w:rPr>
        <w:t xml:space="preserve">o davanju prethodne suglasnosti </w:t>
      </w:r>
      <w:r w:rsidR="00623AFD" w:rsidRPr="00623AFD">
        <w:rPr>
          <w:b/>
        </w:rPr>
        <w:t xml:space="preserve">za sklapanje ugovora o </w:t>
      </w:r>
      <w:proofErr w:type="spellStart"/>
      <w:r w:rsidR="00623AFD" w:rsidRPr="00623AFD">
        <w:rPr>
          <w:b/>
        </w:rPr>
        <w:t>predfinanciranju</w:t>
      </w:r>
      <w:proofErr w:type="spellEnd"/>
      <w:r w:rsidR="00623AFD" w:rsidRPr="00623AFD">
        <w:rPr>
          <w:b/>
        </w:rPr>
        <w:t xml:space="preserve"> i najmu između društva HŽ Putnički prijevoz d.o.o. i EUROFIMA – Europskog društva za financiranje nabavki</w:t>
      </w:r>
      <w:r w:rsidR="008035EA">
        <w:rPr>
          <w:b/>
        </w:rPr>
        <w:t xml:space="preserve"> željezničkog materijala</w:t>
      </w:r>
      <w:r w:rsidR="00A96BA3">
        <w:rPr>
          <w:b/>
        </w:rPr>
        <w:t xml:space="preserve">, </w:t>
      </w:r>
      <w:r w:rsidR="00DF048B" w:rsidRPr="00DF048B">
        <w:rPr>
          <w:b/>
        </w:rPr>
        <w:t xml:space="preserve">za financiranje </w:t>
      </w:r>
      <w:r w:rsidR="00DF048B">
        <w:rPr>
          <w:b/>
        </w:rPr>
        <w:t>u</w:t>
      </w:r>
      <w:r w:rsidR="00DF048B" w:rsidRPr="00DF048B">
        <w:rPr>
          <w:b/>
        </w:rPr>
        <w:t>laganja u objekte za održavanje željezničkih vozila</w:t>
      </w:r>
    </w:p>
    <w:p w14:paraId="45557D59" w14:textId="77777777" w:rsidR="000435B7" w:rsidRPr="000435B7" w:rsidRDefault="000435B7" w:rsidP="00DF048B">
      <w:pPr>
        <w:jc w:val="both"/>
        <w:rPr>
          <w:b/>
        </w:rPr>
      </w:pPr>
    </w:p>
    <w:p w14:paraId="7BB6889C" w14:textId="77777777" w:rsidR="00D21396" w:rsidRPr="00D21396" w:rsidRDefault="00D21396" w:rsidP="00D21396">
      <w:pPr>
        <w:jc w:val="center"/>
        <w:rPr>
          <w:b/>
        </w:rPr>
      </w:pPr>
      <w:r w:rsidRPr="00D21396">
        <w:rPr>
          <w:b/>
        </w:rPr>
        <w:t>I.</w:t>
      </w:r>
    </w:p>
    <w:p w14:paraId="24A3BB3D" w14:textId="77777777" w:rsidR="00D21396" w:rsidRPr="00D21396" w:rsidRDefault="00D21396" w:rsidP="00D21396">
      <w:pPr>
        <w:jc w:val="center"/>
        <w:rPr>
          <w:b/>
        </w:rPr>
      </w:pPr>
    </w:p>
    <w:p w14:paraId="3852E2A9" w14:textId="4EFF2805" w:rsidR="00D21396" w:rsidRDefault="00D21396" w:rsidP="003D2EC0">
      <w:pPr>
        <w:ind w:firstLine="1418"/>
        <w:jc w:val="both"/>
      </w:pPr>
      <w:r w:rsidRPr="00D21396">
        <w:t xml:space="preserve">Daje se prethodna suglasnost za sklapanje ugovora o </w:t>
      </w:r>
      <w:proofErr w:type="spellStart"/>
      <w:r w:rsidRPr="00D21396">
        <w:t>predfinanciranju</w:t>
      </w:r>
      <w:proofErr w:type="spellEnd"/>
      <w:r w:rsidRPr="00D21396">
        <w:t xml:space="preserve"> i najmu između društva HŽ Putnički prijevoz d.o.o. i EUROFIMA – Europskog društva za financiranje nabavki željezničkog materijala u iznosu od </w:t>
      </w:r>
      <w:r w:rsidR="00A95276">
        <w:t>14.000.000,00</w:t>
      </w:r>
      <w:r w:rsidR="007A5166">
        <w:t xml:space="preserve"> </w:t>
      </w:r>
      <w:r w:rsidR="003D2EC0">
        <w:t>eura</w:t>
      </w:r>
      <w:r w:rsidR="007A5166">
        <w:t xml:space="preserve">, </w:t>
      </w:r>
      <w:r w:rsidR="00A95276">
        <w:t>za fin</w:t>
      </w:r>
      <w:r w:rsidR="00A95276" w:rsidRPr="00A95276">
        <w:t>a</w:t>
      </w:r>
      <w:r w:rsidR="00A95276">
        <w:t>n</w:t>
      </w:r>
      <w:r w:rsidR="00A95276" w:rsidRPr="00A95276">
        <w:t>ciranje ulaganja u objekte za održavanja željezničkih vozila</w:t>
      </w:r>
      <w:r w:rsidRPr="00D21396">
        <w:t>.</w:t>
      </w:r>
    </w:p>
    <w:p w14:paraId="6D751564" w14:textId="77777777" w:rsidR="000E4658" w:rsidRPr="00D21396" w:rsidRDefault="000E4658" w:rsidP="00D21396">
      <w:pPr>
        <w:ind w:firstLine="708"/>
        <w:jc w:val="both"/>
        <w:rPr>
          <w:b/>
        </w:rPr>
      </w:pPr>
    </w:p>
    <w:p w14:paraId="5ECE3C84" w14:textId="77777777" w:rsidR="00D21396" w:rsidRPr="00D21396" w:rsidRDefault="00D21396" w:rsidP="00D21396">
      <w:pPr>
        <w:jc w:val="center"/>
        <w:rPr>
          <w:b/>
        </w:rPr>
      </w:pPr>
      <w:r w:rsidRPr="00D21396">
        <w:rPr>
          <w:b/>
        </w:rPr>
        <w:t>II.</w:t>
      </w:r>
    </w:p>
    <w:p w14:paraId="28F48CF7" w14:textId="77777777" w:rsidR="00D21396" w:rsidRPr="00D21396" w:rsidRDefault="00D21396" w:rsidP="00D21396">
      <w:pPr>
        <w:jc w:val="center"/>
        <w:rPr>
          <w:b/>
        </w:rPr>
      </w:pPr>
    </w:p>
    <w:p w14:paraId="48D0A09E" w14:textId="7C3088EB" w:rsidR="00D21396" w:rsidRPr="00D21396" w:rsidRDefault="00D21396" w:rsidP="00D21396">
      <w:pPr>
        <w:jc w:val="both"/>
        <w:rPr>
          <w:b/>
        </w:rPr>
      </w:pPr>
      <w:r w:rsidRPr="00D21396">
        <w:tab/>
      </w:r>
      <w:r w:rsidR="00800FF1">
        <w:tab/>
      </w:r>
      <w:r w:rsidRPr="00D21396">
        <w:t>Suglasnost iz to</w:t>
      </w:r>
      <w:r w:rsidR="008035EA">
        <w:t>čke I. ove Odluke daje se uz sl</w:t>
      </w:r>
      <w:r w:rsidRPr="00D21396">
        <w:t>jedeće uvjete:</w:t>
      </w:r>
    </w:p>
    <w:p w14:paraId="06AEB2C8" w14:textId="77777777" w:rsidR="00D21396" w:rsidRDefault="00D21396" w:rsidP="00D21396">
      <w:pPr>
        <w:jc w:val="center"/>
        <w:rPr>
          <w:b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848"/>
      </w:tblGrid>
      <w:tr w:rsidR="00CB18A3" w14:paraId="196D6718" w14:textId="77777777" w:rsidTr="00ED4CB2">
        <w:tc>
          <w:tcPr>
            <w:tcW w:w="4508" w:type="dxa"/>
          </w:tcPr>
          <w:p w14:paraId="770D4CEA" w14:textId="2C5B4D21" w:rsidR="00CB18A3" w:rsidRPr="003D2EC0" w:rsidRDefault="00CB18A3" w:rsidP="003D2EC0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d</w:t>
            </w:r>
            <w:r w:rsidRPr="00D21396">
              <w:t>avatelj</w:t>
            </w:r>
            <w:r>
              <w:t xml:space="preserve"> financiranja</w:t>
            </w:r>
            <w:r w:rsidRPr="00D21396">
              <w:t>:</w:t>
            </w:r>
          </w:p>
        </w:tc>
        <w:tc>
          <w:tcPr>
            <w:tcW w:w="4848" w:type="dxa"/>
          </w:tcPr>
          <w:p w14:paraId="544C97EE" w14:textId="77777777" w:rsidR="00CB18A3" w:rsidRDefault="00CB18A3" w:rsidP="00CB18A3">
            <w:pPr>
              <w:rPr>
                <w:b/>
              </w:rPr>
            </w:pPr>
            <w:r w:rsidRPr="00D21396">
              <w:t>EUROFIMA</w:t>
            </w:r>
          </w:p>
        </w:tc>
      </w:tr>
      <w:tr w:rsidR="00A96BA3" w14:paraId="473BD531" w14:textId="77777777" w:rsidTr="00ED4CB2">
        <w:tc>
          <w:tcPr>
            <w:tcW w:w="4508" w:type="dxa"/>
          </w:tcPr>
          <w:p w14:paraId="1518D133" w14:textId="77777777" w:rsidR="00A96BA3" w:rsidRDefault="00A96BA3" w:rsidP="003D2EC0">
            <w:pPr>
              <w:pStyle w:val="ListParagraph"/>
              <w:numPr>
                <w:ilvl w:val="0"/>
                <w:numId w:val="6"/>
              </w:numPr>
            </w:pPr>
            <w:r>
              <w:t>korisnik financiranja:</w:t>
            </w:r>
          </w:p>
        </w:tc>
        <w:tc>
          <w:tcPr>
            <w:tcW w:w="4848" w:type="dxa"/>
          </w:tcPr>
          <w:p w14:paraId="741E3DF5" w14:textId="61DE7B58" w:rsidR="00A96BA3" w:rsidRPr="00D21396" w:rsidRDefault="00A96BA3" w:rsidP="003637E3">
            <w:r w:rsidRPr="00A96BA3">
              <w:t>društv</w:t>
            </w:r>
            <w:r w:rsidR="00FA2E1E">
              <w:t>o</w:t>
            </w:r>
            <w:r w:rsidRPr="00A96BA3">
              <w:t xml:space="preserve"> HŽ Putnički prijevoz d.o.o.</w:t>
            </w:r>
            <w:r w:rsidR="003637E3">
              <w:t xml:space="preserve"> </w:t>
            </w:r>
          </w:p>
        </w:tc>
      </w:tr>
      <w:tr w:rsidR="00CB18A3" w14:paraId="645EF6D4" w14:textId="77777777" w:rsidTr="00ED4CB2">
        <w:tc>
          <w:tcPr>
            <w:tcW w:w="4508" w:type="dxa"/>
          </w:tcPr>
          <w:p w14:paraId="5D6E95EF" w14:textId="77777777" w:rsidR="00CB18A3" w:rsidRPr="00CB18A3" w:rsidRDefault="00CB18A3" w:rsidP="00DD2683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iznos financiranja</w:t>
            </w:r>
            <w:r w:rsidRPr="00D21396">
              <w:t>:</w:t>
            </w:r>
            <w:r w:rsidRPr="00D21396">
              <w:tab/>
            </w:r>
          </w:p>
        </w:tc>
        <w:tc>
          <w:tcPr>
            <w:tcW w:w="4848" w:type="dxa"/>
          </w:tcPr>
          <w:p w14:paraId="767AE98E" w14:textId="357F5B1D" w:rsidR="00CB18A3" w:rsidRDefault="00DF048B" w:rsidP="00DD2683">
            <w:pPr>
              <w:rPr>
                <w:b/>
              </w:rPr>
            </w:pPr>
            <w:r>
              <w:t>14</w:t>
            </w:r>
            <w:r w:rsidR="00CB18A3" w:rsidRPr="00D21396">
              <w:t xml:space="preserve">.000.000,00 </w:t>
            </w:r>
            <w:r w:rsidR="00DD2683">
              <w:t>eura</w:t>
            </w:r>
          </w:p>
        </w:tc>
      </w:tr>
      <w:tr w:rsidR="00CB18A3" w14:paraId="3FBC109B" w14:textId="77777777" w:rsidTr="00ED4CB2">
        <w:tc>
          <w:tcPr>
            <w:tcW w:w="4508" w:type="dxa"/>
          </w:tcPr>
          <w:p w14:paraId="2A3001CD" w14:textId="77777777" w:rsidR="00CB18A3" w:rsidRPr="00CB18A3" w:rsidRDefault="00CB18A3" w:rsidP="00DD2683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D21396">
              <w:t>namjena:</w:t>
            </w:r>
          </w:p>
        </w:tc>
        <w:tc>
          <w:tcPr>
            <w:tcW w:w="4848" w:type="dxa"/>
          </w:tcPr>
          <w:p w14:paraId="0EC1E6B3" w14:textId="1EDD56E4" w:rsidR="00CB18A3" w:rsidRPr="00CB18A3" w:rsidRDefault="00DF048B" w:rsidP="00CB18A3">
            <w:pPr>
              <w:jc w:val="both"/>
            </w:pPr>
            <w:r w:rsidRPr="00DF048B">
              <w:t>obnova objekata za održavanje željezničkih vozila</w:t>
            </w:r>
          </w:p>
        </w:tc>
      </w:tr>
      <w:tr w:rsidR="00CB18A3" w14:paraId="4BB11F93" w14:textId="77777777" w:rsidTr="00ED4CB2">
        <w:tc>
          <w:tcPr>
            <w:tcW w:w="4508" w:type="dxa"/>
          </w:tcPr>
          <w:p w14:paraId="2CD5F143" w14:textId="77777777" w:rsidR="00CB18A3" w:rsidRPr="00CB18A3" w:rsidRDefault="00CB18A3" w:rsidP="00DD2683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način povlačenja:</w:t>
            </w:r>
          </w:p>
        </w:tc>
        <w:tc>
          <w:tcPr>
            <w:tcW w:w="4848" w:type="dxa"/>
          </w:tcPr>
          <w:p w14:paraId="269560D9" w14:textId="77777777" w:rsidR="00CB18A3" w:rsidRPr="00CB18A3" w:rsidRDefault="000435B7" w:rsidP="00CB18A3">
            <w:pPr>
              <w:jc w:val="both"/>
            </w:pPr>
            <w:r w:rsidRPr="000435B7">
              <w:t>mogućnost povlačenja zajma u jednoj ili više tranši</w:t>
            </w:r>
          </w:p>
        </w:tc>
      </w:tr>
      <w:tr w:rsidR="00CB18A3" w14:paraId="28A7D0D0" w14:textId="77777777" w:rsidTr="00ED4CB2">
        <w:tc>
          <w:tcPr>
            <w:tcW w:w="4508" w:type="dxa"/>
          </w:tcPr>
          <w:p w14:paraId="651533D3" w14:textId="77777777" w:rsidR="00CB18A3" w:rsidRPr="00CB18A3" w:rsidRDefault="00CB18A3" w:rsidP="00DD2683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otplata:</w:t>
            </w:r>
            <w:r>
              <w:tab/>
            </w:r>
          </w:p>
        </w:tc>
        <w:tc>
          <w:tcPr>
            <w:tcW w:w="4848" w:type="dxa"/>
          </w:tcPr>
          <w:p w14:paraId="7972154B" w14:textId="77777777" w:rsidR="00CB18A3" w:rsidRPr="00CB18A3" w:rsidRDefault="00CB18A3" w:rsidP="00CB18A3">
            <w:pPr>
              <w:jc w:val="both"/>
            </w:pPr>
            <w:r w:rsidRPr="00CB18A3">
              <w:t>jednokratno, nakon 15 godina</w:t>
            </w:r>
          </w:p>
        </w:tc>
      </w:tr>
      <w:tr w:rsidR="00CB18A3" w14:paraId="1A0CD0D6" w14:textId="77777777" w:rsidTr="00ED4CB2">
        <w:tc>
          <w:tcPr>
            <w:tcW w:w="4508" w:type="dxa"/>
          </w:tcPr>
          <w:p w14:paraId="5D89B7E1" w14:textId="4B411B09" w:rsidR="00CB18A3" w:rsidRPr="00DD2683" w:rsidRDefault="00CB18A3" w:rsidP="00DD2683">
            <w:pPr>
              <w:pStyle w:val="ListParagraph"/>
              <w:numPr>
                <w:ilvl w:val="0"/>
                <w:numId w:val="6"/>
              </w:numPr>
            </w:pPr>
            <w:r>
              <w:t>kamatna stopa:</w:t>
            </w:r>
          </w:p>
          <w:p w14:paraId="1BB6F692" w14:textId="77777777" w:rsidR="000E4658" w:rsidRPr="000E4658" w:rsidRDefault="000E4658" w:rsidP="000E4658">
            <w:pPr>
              <w:pStyle w:val="ListParagraph"/>
              <w:rPr>
                <w:b/>
              </w:rPr>
            </w:pPr>
          </w:p>
          <w:p w14:paraId="49028B10" w14:textId="52DC2512" w:rsidR="000E4658" w:rsidRPr="00CB18A3" w:rsidRDefault="000E4658" w:rsidP="00DD2683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DF15B0">
              <w:t>otplata kamata i naknada:</w:t>
            </w:r>
          </w:p>
        </w:tc>
        <w:tc>
          <w:tcPr>
            <w:tcW w:w="4848" w:type="dxa"/>
          </w:tcPr>
          <w:p w14:paraId="7D9C2DB1" w14:textId="697B16FA" w:rsidR="00CB18A3" w:rsidRDefault="000435B7" w:rsidP="00C762D4">
            <w:pPr>
              <w:jc w:val="both"/>
            </w:pPr>
            <w:r>
              <w:t>fiksna (3,44</w:t>
            </w:r>
            <w:r w:rsidR="00DD2683">
              <w:t xml:space="preserve"> </w:t>
            </w:r>
            <w:r>
              <w:t>% na dan 6. veljače 2024.</w:t>
            </w:r>
            <w:r w:rsidR="00DD2683">
              <w:t>,</w:t>
            </w:r>
            <w:r>
              <w:t xml:space="preserve"> ista će se definirati i fiksirati kod zaključenja </w:t>
            </w:r>
            <w:r w:rsidR="00DD2683">
              <w:t>ugovora</w:t>
            </w:r>
          </w:p>
          <w:p w14:paraId="019DB3F1" w14:textId="6B91E6EB" w:rsidR="000E4658" w:rsidRPr="00CB18A3" w:rsidRDefault="000E4658" w:rsidP="00C762D4">
            <w:pPr>
              <w:jc w:val="both"/>
            </w:pPr>
            <w:r w:rsidRPr="000E4658">
              <w:t>polugodišnja</w:t>
            </w:r>
          </w:p>
        </w:tc>
      </w:tr>
      <w:tr w:rsidR="00CB18A3" w14:paraId="08131489" w14:textId="77777777" w:rsidTr="00ED4CB2">
        <w:tc>
          <w:tcPr>
            <w:tcW w:w="4508" w:type="dxa"/>
          </w:tcPr>
          <w:p w14:paraId="78B462A1" w14:textId="77777777" w:rsidR="00CB18A3" w:rsidRPr="00CB18A3" w:rsidRDefault="00CB18A3" w:rsidP="00DD2683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provizija</w:t>
            </w:r>
          </w:p>
        </w:tc>
        <w:tc>
          <w:tcPr>
            <w:tcW w:w="4848" w:type="dxa"/>
          </w:tcPr>
          <w:p w14:paraId="3B38AB5E" w14:textId="2CB8DD48" w:rsidR="00CB18A3" w:rsidRPr="00CB18A3" w:rsidRDefault="00810730" w:rsidP="00CB18A3">
            <w:pPr>
              <w:jc w:val="both"/>
            </w:pPr>
            <w:r w:rsidRPr="00810730">
              <w:t>0,05</w:t>
            </w:r>
            <w:r w:rsidR="00DD2683">
              <w:t xml:space="preserve"> </w:t>
            </w:r>
            <w:r w:rsidRPr="00810730">
              <w:t>% godišnje</w:t>
            </w:r>
          </w:p>
        </w:tc>
      </w:tr>
      <w:tr w:rsidR="00CB18A3" w14:paraId="0CD85D8D" w14:textId="77777777" w:rsidTr="00ED4CB2">
        <w:tc>
          <w:tcPr>
            <w:tcW w:w="4508" w:type="dxa"/>
          </w:tcPr>
          <w:p w14:paraId="5F078803" w14:textId="77777777" w:rsidR="00CB18A3" w:rsidRPr="00CB18A3" w:rsidRDefault="00CB18A3" w:rsidP="00DD2683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trošak:</w:t>
            </w:r>
          </w:p>
        </w:tc>
        <w:tc>
          <w:tcPr>
            <w:tcW w:w="4848" w:type="dxa"/>
          </w:tcPr>
          <w:p w14:paraId="3EF9B66E" w14:textId="4B0DEF05" w:rsidR="00CB18A3" w:rsidRPr="000E4658" w:rsidRDefault="000E4658" w:rsidP="00CB18A3">
            <w:pPr>
              <w:tabs>
                <w:tab w:val="left" w:pos="1440"/>
              </w:tabs>
              <w:jc w:val="both"/>
            </w:pPr>
            <w:r w:rsidRPr="000E4658">
              <w:t>0,20</w:t>
            </w:r>
            <w:r w:rsidR="00DD2683">
              <w:t xml:space="preserve"> </w:t>
            </w:r>
            <w:r w:rsidRPr="000E4658">
              <w:t>% godišnje te ostaje nepromjenjiv do promjene kreditnog rejtinga Republike Hrvatske</w:t>
            </w:r>
          </w:p>
        </w:tc>
      </w:tr>
      <w:tr w:rsidR="00CB18A3" w:rsidRPr="003637E3" w14:paraId="6B4D9A61" w14:textId="77777777" w:rsidTr="00ED4CB2">
        <w:tc>
          <w:tcPr>
            <w:tcW w:w="4508" w:type="dxa"/>
          </w:tcPr>
          <w:p w14:paraId="6389978D" w14:textId="77777777" w:rsidR="00CB18A3" w:rsidRPr="00CB18A3" w:rsidRDefault="00CB18A3" w:rsidP="00E42EAC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>jamstvo:</w:t>
            </w:r>
          </w:p>
        </w:tc>
        <w:tc>
          <w:tcPr>
            <w:tcW w:w="4848" w:type="dxa"/>
          </w:tcPr>
          <w:p w14:paraId="3087F84E" w14:textId="1EBAC91B" w:rsidR="00CB18A3" w:rsidRPr="003637E3" w:rsidRDefault="00DD2683" w:rsidP="003637E3">
            <w:pPr>
              <w:jc w:val="both"/>
            </w:pPr>
            <w:r w:rsidRPr="003637E3">
              <w:t xml:space="preserve">jamstvo </w:t>
            </w:r>
            <w:r w:rsidR="000E4658" w:rsidRPr="003637E3">
              <w:t xml:space="preserve">Republike Hrvatske sukladno članku 5 </w:t>
            </w:r>
            <w:r w:rsidR="000E4658" w:rsidRPr="003637E3">
              <w:rPr>
                <w:bCs/>
              </w:rPr>
              <w:t>Konvencije o osnivanju „EUROFIMA“ – Europsko društvo za financiranje nabavki željezničkog materijala</w:t>
            </w:r>
            <w:r w:rsidR="00E42EAC" w:rsidRPr="003637E3">
              <w:rPr>
                <w:bCs/>
              </w:rPr>
              <w:t xml:space="preserve"> („Narodne novine – Me</w:t>
            </w:r>
            <w:r w:rsidR="00152F36" w:rsidRPr="003637E3">
              <w:rPr>
                <w:bCs/>
              </w:rPr>
              <w:t>đunarodni ugovori“, broj 6/94.)</w:t>
            </w:r>
            <w:r w:rsidR="00E42EAC" w:rsidRPr="003637E3" w:rsidDel="00E42EAC">
              <w:rPr>
                <w:bCs/>
              </w:rPr>
              <w:t xml:space="preserve"> </w:t>
            </w:r>
            <w:r w:rsidR="00810730" w:rsidRPr="003637E3">
              <w:t>/</w:t>
            </w:r>
            <w:r w:rsidR="00152F36" w:rsidRPr="003637E3">
              <w:t xml:space="preserve"> </w:t>
            </w:r>
            <w:proofErr w:type="spellStart"/>
            <w:r w:rsidR="00810730" w:rsidRPr="003637E3">
              <w:t>kolateral</w:t>
            </w:r>
            <w:proofErr w:type="spellEnd"/>
            <w:r w:rsidR="00810730" w:rsidRPr="003637E3">
              <w:t xml:space="preserve"> na </w:t>
            </w:r>
            <w:r w:rsidR="00152F36" w:rsidRPr="003637E3">
              <w:t xml:space="preserve">elektromotornim vlakovima </w:t>
            </w:r>
            <w:r w:rsidR="003637E3" w:rsidRPr="003637E3">
              <w:t xml:space="preserve">društva </w:t>
            </w:r>
            <w:r w:rsidR="00152F36" w:rsidRPr="003637E3">
              <w:t>HŽ</w:t>
            </w:r>
            <w:r w:rsidR="003637E3" w:rsidRPr="003637E3">
              <w:t xml:space="preserve"> Putnički prijevoz d.o.o.</w:t>
            </w:r>
            <w:r w:rsidR="00810730" w:rsidRPr="003637E3">
              <w:t xml:space="preserve"> </w:t>
            </w:r>
          </w:p>
        </w:tc>
      </w:tr>
      <w:tr w:rsidR="00CB18A3" w14:paraId="0580B923" w14:textId="77777777" w:rsidTr="00ED4CB2">
        <w:tc>
          <w:tcPr>
            <w:tcW w:w="4508" w:type="dxa"/>
          </w:tcPr>
          <w:p w14:paraId="1B287779" w14:textId="77777777" w:rsidR="00CB18A3" w:rsidRPr="00CB18A3" w:rsidRDefault="00CB18A3" w:rsidP="00E42EAC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>
              <w:t xml:space="preserve">mjerodavno pravo: </w:t>
            </w:r>
            <w:r>
              <w:tab/>
            </w:r>
          </w:p>
        </w:tc>
        <w:tc>
          <w:tcPr>
            <w:tcW w:w="4848" w:type="dxa"/>
          </w:tcPr>
          <w:p w14:paraId="7A7C16B9" w14:textId="3FCDC3DE" w:rsidR="00CB18A3" w:rsidRPr="00CB18A3" w:rsidRDefault="00CB18A3" w:rsidP="00CB18A3">
            <w:pPr>
              <w:jc w:val="both"/>
            </w:pPr>
            <w:r w:rsidRPr="00CB18A3">
              <w:t>Švicarska</w:t>
            </w:r>
            <w:r w:rsidR="00DB5003">
              <w:t>.</w:t>
            </w:r>
          </w:p>
        </w:tc>
      </w:tr>
    </w:tbl>
    <w:p w14:paraId="54331B1A" w14:textId="74C189BB" w:rsidR="000E4658" w:rsidRPr="00D21396" w:rsidRDefault="000E4658" w:rsidP="00D21396">
      <w:pPr>
        <w:jc w:val="both"/>
        <w:rPr>
          <w:bCs/>
          <w:i/>
          <w:lang w:eastAsia="en-US"/>
        </w:rPr>
      </w:pPr>
    </w:p>
    <w:p w14:paraId="40EDE119" w14:textId="3CC8ACD5" w:rsidR="00D21396" w:rsidRDefault="00D21396" w:rsidP="000E4658">
      <w:pPr>
        <w:jc w:val="center"/>
        <w:rPr>
          <w:b/>
        </w:rPr>
      </w:pPr>
      <w:r w:rsidRPr="00D21396">
        <w:rPr>
          <w:b/>
        </w:rPr>
        <w:t>III.</w:t>
      </w:r>
    </w:p>
    <w:p w14:paraId="799B4E41" w14:textId="77777777" w:rsidR="000E4658" w:rsidRPr="000E4658" w:rsidRDefault="000E4658" w:rsidP="000E4658">
      <w:pPr>
        <w:jc w:val="center"/>
        <w:rPr>
          <w:b/>
        </w:rPr>
      </w:pPr>
    </w:p>
    <w:p w14:paraId="28AA99F0" w14:textId="617C151E" w:rsidR="000E4658" w:rsidRDefault="000E4658" w:rsidP="00E15193">
      <w:pPr>
        <w:ind w:firstLine="1418"/>
        <w:jc w:val="both"/>
      </w:pPr>
      <w:r>
        <w:t xml:space="preserve">Konačni financijski uvjeti bit će definirani danom potpisa ugovora </w:t>
      </w:r>
      <w:r w:rsidR="00E15193">
        <w:t xml:space="preserve">s </w:t>
      </w:r>
      <w:r>
        <w:t>obzirom na to da se utvrđuju sukladno uvjetima na tržištu.</w:t>
      </w:r>
    </w:p>
    <w:p w14:paraId="33E05864" w14:textId="77777777" w:rsidR="000E4658" w:rsidRDefault="000E4658" w:rsidP="000E4658"/>
    <w:p w14:paraId="00E14464" w14:textId="072D11F4" w:rsidR="00D21396" w:rsidRDefault="000E4658" w:rsidP="000E4658">
      <w:pPr>
        <w:jc w:val="center"/>
        <w:rPr>
          <w:b/>
        </w:rPr>
      </w:pPr>
      <w:r w:rsidRPr="000E4658">
        <w:rPr>
          <w:b/>
        </w:rPr>
        <w:t>IV.</w:t>
      </w:r>
    </w:p>
    <w:p w14:paraId="6716821F" w14:textId="77777777" w:rsidR="000E4658" w:rsidRPr="000E4658" w:rsidRDefault="000E4658" w:rsidP="000E4658">
      <w:pPr>
        <w:jc w:val="center"/>
        <w:rPr>
          <w:b/>
        </w:rPr>
      </w:pPr>
    </w:p>
    <w:p w14:paraId="5D096EAB" w14:textId="77777777" w:rsidR="00D21396" w:rsidRPr="00D21396" w:rsidRDefault="00D21396" w:rsidP="009C06F4">
      <w:pPr>
        <w:ind w:firstLine="1418"/>
        <w:jc w:val="both"/>
      </w:pPr>
      <w:r w:rsidRPr="00D21396">
        <w:t>U slučaju promjene vlasničkih odnosa društvo HŽ Putnički prijevoz d.o.o. se obvezuje na urednu i redovitu otplatu financijskih sredstava iz točke I. ove Odluke do njihove konačne otplate.</w:t>
      </w:r>
    </w:p>
    <w:p w14:paraId="4DE774C2" w14:textId="77777777" w:rsidR="00D21396" w:rsidRPr="00D21396" w:rsidRDefault="00D21396" w:rsidP="00D21396">
      <w:pPr>
        <w:jc w:val="both"/>
        <w:rPr>
          <w:lang w:eastAsia="en-US"/>
        </w:rPr>
      </w:pPr>
    </w:p>
    <w:p w14:paraId="4377053A" w14:textId="77D58F79" w:rsidR="00D21396" w:rsidRPr="00D21396" w:rsidRDefault="00D21396" w:rsidP="00D21396">
      <w:pPr>
        <w:jc w:val="center"/>
        <w:rPr>
          <w:b/>
          <w:lang w:eastAsia="en-US"/>
        </w:rPr>
      </w:pPr>
      <w:r w:rsidRPr="00D21396">
        <w:rPr>
          <w:b/>
          <w:lang w:eastAsia="en-US"/>
        </w:rPr>
        <w:t>V.</w:t>
      </w:r>
    </w:p>
    <w:p w14:paraId="4810583D" w14:textId="77777777" w:rsidR="00D21396" w:rsidRPr="00D21396" w:rsidRDefault="00D21396" w:rsidP="00D21396">
      <w:pPr>
        <w:jc w:val="both"/>
        <w:rPr>
          <w:lang w:eastAsia="en-US"/>
        </w:rPr>
      </w:pPr>
    </w:p>
    <w:p w14:paraId="3615F1A7" w14:textId="77777777" w:rsidR="00C55C5B" w:rsidRDefault="00D21396" w:rsidP="009C06F4">
      <w:pPr>
        <w:ind w:firstLine="1418"/>
        <w:jc w:val="both"/>
        <w:rPr>
          <w:lang w:eastAsia="en-US"/>
        </w:rPr>
      </w:pPr>
      <w:r w:rsidRPr="00D21396">
        <w:rPr>
          <w:lang w:eastAsia="en-US"/>
        </w:rPr>
        <w:t>Suglasnost za sklapanje ugovora iz točke I. ove Odluke uvjetuje se sklapanjem ugovora između Ministarstva financija i Ministarstva mora, prometa i infrastrukture i društva HŽ Putnički prijevoz d.o.o., radi reguliranja obveza i odgovornosti, u svrhu redovite otplate financijskih sredstava iz točke I. ove Odluke do njihove konačne otplate te osiguranja povrata sredstava.</w:t>
      </w:r>
    </w:p>
    <w:p w14:paraId="7250DAEE" w14:textId="1866DA40" w:rsidR="002D6E38" w:rsidRPr="00D21396" w:rsidRDefault="002D6E38" w:rsidP="005F777A">
      <w:pPr>
        <w:jc w:val="both"/>
        <w:rPr>
          <w:lang w:eastAsia="en-US"/>
        </w:rPr>
      </w:pPr>
    </w:p>
    <w:p w14:paraId="0F80DDD8" w14:textId="56EE1875" w:rsidR="00D21396" w:rsidRPr="00D21396" w:rsidRDefault="00D21396" w:rsidP="00D21396">
      <w:pPr>
        <w:jc w:val="center"/>
        <w:rPr>
          <w:b/>
        </w:rPr>
      </w:pPr>
      <w:r w:rsidRPr="00D21396">
        <w:rPr>
          <w:b/>
        </w:rPr>
        <w:t>V</w:t>
      </w:r>
      <w:r w:rsidR="000E4658">
        <w:rPr>
          <w:b/>
        </w:rPr>
        <w:t>I</w:t>
      </w:r>
      <w:r w:rsidRPr="00D21396">
        <w:rPr>
          <w:b/>
        </w:rPr>
        <w:t>.</w:t>
      </w:r>
    </w:p>
    <w:p w14:paraId="5DCB704C" w14:textId="77777777" w:rsidR="00D21396" w:rsidRPr="00D21396" w:rsidRDefault="00D21396" w:rsidP="00D21396">
      <w:pPr>
        <w:rPr>
          <w:b/>
        </w:rPr>
      </w:pPr>
    </w:p>
    <w:p w14:paraId="60A002BA" w14:textId="77777777" w:rsidR="00D21396" w:rsidRPr="00D21396" w:rsidRDefault="00D21396" w:rsidP="009C06F4">
      <w:pPr>
        <w:ind w:left="720" w:firstLine="720"/>
      </w:pPr>
      <w:r w:rsidRPr="00D21396">
        <w:t>Ova Odluka stupa na snagu danom donošenja.</w:t>
      </w:r>
    </w:p>
    <w:p w14:paraId="759581B8" w14:textId="77777777" w:rsidR="00D21396" w:rsidRPr="00D21396" w:rsidRDefault="00D21396" w:rsidP="00D21396">
      <w:pPr>
        <w:ind w:firstLine="708"/>
      </w:pPr>
    </w:p>
    <w:p w14:paraId="039E5C1F" w14:textId="77777777" w:rsidR="00D21396" w:rsidRPr="00D21396" w:rsidRDefault="00D21396" w:rsidP="00D21396"/>
    <w:p w14:paraId="1AADDFCB" w14:textId="28B3D714" w:rsidR="00D21396" w:rsidRPr="00D21396" w:rsidRDefault="00D21396" w:rsidP="00D21396">
      <w:r w:rsidRPr="00D21396">
        <w:t xml:space="preserve">KLASA: </w:t>
      </w:r>
    </w:p>
    <w:p w14:paraId="1B6F248C" w14:textId="77777777" w:rsidR="00D21396" w:rsidRPr="00D21396" w:rsidRDefault="00D21396" w:rsidP="00D21396">
      <w:r w:rsidRPr="00D21396">
        <w:t>URBROJ:</w:t>
      </w:r>
    </w:p>
    <w:p w14:paraId="68E71BCE" w14:textId="77777777" w:rsidR="009C06F4" w:rsidRDefault="009C06F4" w:rsidP="00D21396"/>
    <w:p w14:paraId="11D9D25F" w14:textId="164ED251" w:rsidR="00D21396" w:rsidRPr="00D21396" w:rsidRDefault="00810730" w:rsidP="00D21396">
      <w:r>
        <w:t>Zagreb,__________2024</w:t>
      </w:r>
      <w:r w:rsidR="00D21396" w:rsidRPr="00D21396">
        <w:t>. godine</w:t>
      </w:r>
    </w:p>
    <w:p w14:paraId="6C68533C" w14:textId="77777777" w:rsidR="00D21396" w:rsidRPr="00D21396" w:rsidRDefault="00D21396" w:rsidP="00D21396"/>
    <w:p w14:paraId="794E24FF" w14:textId="77777777" w:rsidR="00D21396" w:rsidRPr="00D21396" w:rsidRDefault="00D21396" w:rsidP="00D21396"/>
    <w:p w14:paraId="45EE42BF" w14:textId="77777777" w:rsidR="00D21396" w:rsidRPr="00D21396" w:rsidRDefault="00D21396" w:rsidP="00D21396"/>
    <w:p w14:paraId="608379D1" w14:textId="77777777" w:rsidR="00D21396" w:rsidRPr="00D21396" w:rsidRDefault="00D21396" w:rsidP="00D21396">
      <w:pPr>
        <w:ind w:left="3969" w:firstLine="6"/>
        <w:jc w:val="center"/>
        <w:rPr>
          <w:b/>
        </w:rPr>
      </w:pPr>
    </w:p>
    <w:p w14:paraId="2EE53E5D" w14:textId="3A975DAD" w:rsidR="00D21396" w:rsidRPr="00D21396" w:rsidRDefault="00D21396" w:rsidP="009C06F4">
      <w:pPr>
        <w:ind w:left="3969" w:firstLine="6"/>
        <w:jc w:val="center"/>
        <w:rPr>
          <w:b/>
        </w:rPr>
      </w:pPr>
      <w:r w:rsidRPr="00D21396">
        <w:rPr>
          <w:b/>
        </w:rPr>
        <w:t xml:space="preserve">PREDSJEDNIK </w:t>
      </w:r>
    </w:p>
    <w:p w14:paraId="2B963DCB" w14:textId="1B3CCCAF" w:rsidR="00D21396" w:rsidRDefault="00D21396" w:rsidP="009C06F4">
      <w:pPr>
        <w:ind w:left="3969" w:firstLine="6"/>
        <w:jc w:val="center"/>
        <w:rPr>
          <w:b/>
        </w:rPr>
      </w:pPr>
    </w:p>
    <w:p w14:paraId="06850A54" w14:textId="77777777" w:rsidR="009C06F4" w:rsidRPr="00D21396" w:rsidRDefault="009C06F4" w:rsidP="009C06F4">
      <w:pPr>
        <w:ind w:left="3969" w:firstLine="6"/>
        <w:jc w:val="center"/>
        <w:rPr>
          <w:b/>
        </w:rPr>
      </w:pPr>
    </w:p>
    <w:p w14:paraId="706995FD" w14:textId="5A609517" w:rsidR="00D21396" w:rsidRDefault="008035EA" w:rsidP="009C06F4">
      <w:pPr>
        <w:ind w:left="3969" w:firstLine="6"/>
        <w:jc w:val="center"/>
      </w:pPr>
      <w:r>
        <w:rPr>
          <w:b/>
        </w:rPr>
        <w:t xml:space="preserve">mr. </w:t>
      </w:r>
      <w:proofErr w:type="spellStart"/>
      <w:r>
        <w:rPr>
          <w:b/>
        </w:rPr>
        <w:t>sc</w:t>
      </w:r>
      <w:proofErr w:type="spellEnd"/>
      <w:r>
        <w:rPr>
          <w:b/>
        </w:rPr>
        <w:t xml:space="preserve">. </w:t>
      </w:r>
      <w:r w:rsidR="00D21396" w:rsidRPr="00D21396">
        <w:rPr>
          <w:b/>
        </w:rPr>
        <w:t>Andrej Plenković</w:t>
      </w:r>
    </w:p>
    <w:p w14:paraId="1DAC0B1D" w14:textId="77777777" w:rsidR="00D21396" w:rsidRDefault="00D21396"/>
    <w:p w14:paraId="6C332948" w14:textId="77777777" w:rsidR="00D21396" w:rsidRDefault="00D21396"/>
    <w:p w14:paraId="0667101E" w14:textId="3CFED52C" w:rsidR="00D21396" w:rsidRDefault="00D21396"/>
    <w:p w14:paraId="3AE2139C" w14:textId="77777777" w:rsidR="00C55C5B" w:rsidRDefault="00C55C5B">
      <w:pPr>
        <w:spacing w:after="160" w:line="259" w:lineRule="auto"/>
      </w:pPr>
      <w:r>
        <w:br w:type="page"/>
      </w:r>
    </w:p>
    <w:p w14:paraId="0E1710CE" w14:textId="77777777" w:rsidR="00D21396" w:rsidRDefault="00D21396"/>
    <w:p w14:paraId="25EC6D1A" w14:textId="77777777" w:rsidR="00D21396" w:rsidRPr="00D21396" w:rsidRDefault="00D21396" w:rsidP="00D21396">
      <w:pPr>
        <w:spacing w:line="276" w:lineRule="auto"/>
        <w:jc w:val="center"/>
        <w:rPr>
          <w:b/>
        </w:rPr>
      </w:pPr>
      <w:r w:rsidRPr="00D21396">
        <w:rPr>
          <w:b/>
        </w:rPr>
        <w:t>OBRAZLOŽENJE:</w:t>
      </w:r>
    </w:p>
    <w:p w14:paraId="7A22561C" w14:textId="77777777" w:rsidR="00D21396" w:rsidRPr="00D21396" w:rsidRDefault="00D21396" w:rsidP="00D21396">
      <w:pPr>
        <w:spacing w:line="276" w:lineRule="auto"/>
        <w:rPr>
          <w:b/>
        </w:rPr>
      </w:pPr>
    </w:p>
    <w:p w14:paraId="6376C46F" w14:textId="77777777" w:rsidR="00D21396" w:rsidRPr="00D21396" w:rsidRDefault="00D21396" w:rsidP="00D21396">
      <w:pPr>
        <w:jc w:val="both"/>
        <w:rPr>
          <w:bCs/>
        </w:rPr>
      </w:pPr>
    </w:p>
    <w:p w14:paraId="5E5AC704" w14:textId="71EFAD74" w:rsidR="00D21396" w:rsidRDefault="00D21396" w:rsidP="00D21396">
      <w:pPr>
        <w:jc w:val="both"/>
        <w:rPr>
          <w:bCs/>
        </w:rPr>
      </w:pPr>
      <w:r w:rsidRPr="00D21396">
        <w:rPr>
          <w:bCs/>
        </w:rPr>
        <w:t>Donošenjem predmetne Odluke društvu</w:t>
      </w:r>
      <w:r w:rsidRPr="00D21396">
        <w:rPr>
          <w:rFonts w:asciiTheme="minorHAnsi" w:eastAsiaTheme="minorHAnsi" w:hAnsiTheme="minorHAnsi" w:cstheme="minorBidi"/>
          <w:lang w:val="en-GB" w:eastAsia="en-US"/>
        </w:rPr>
        <w:t xml:space="preserve"> </w:t>
      </w:r>
      <w:r w:rsidRPr="00D21396">
        <w:rPr>
          <w:bCs/>
        </w:rPr>
        <w:t xml:space="preserve">HŽ Putnički prijevoz d.o.o. osigurat </w:t>
      </w:r>
      <w:r w:rsidR="00810730">
        <w:rPr>
          <w:bCs/>
        </w:rPr>
        <w:t xml:space="preserve">će </w:t>
      </w:r>
      <w:r w:rsidR="00D26F3D">
        <w:rPr>
          <w:bCs/>
        </w:rPr>
        <w:t>se sredstva u iznosu od 14</w:t>
      </w:r>
      <w:r w:rsidRPr="00D21396">
        <w:rPr>
          <w:bCs/>
        </w:rPr>
        <w:t>.000.000,00 EUR za financiranje nabavki željezničkog ma</w:t>
      </w:r>
      <w:r w:rsidR="00A96BA3">
        <w:rPr>
          <w:bCs/>
        </w:rPr>
        <w:t xml:space="preserve">terijala, </w:t>
      </w:r>
      <w:r w:rsidR="00D26F3D">
        <w:rPr>
          <w:bCs/>
        </w:rPr>
        <w:t xml:space="preserve">odnosno </w:t>
      </w:r>
      <w:r w:rsidR="00D26F3D">
        <w:t>fin</w:t>
      </w:r>
      <w:r w:rsidR="00D26F3D" w:rsidRPr="00A95276">
        <w:t>a</w:t>
      </w:r>
      <w:r w:rsidR="006F1755">
        <w:t>nciranje</w:t>
      </w:r>
      <w:r w:rsidR="00D26F3D" w:rsidRPr="00A95276">
        <w:t xml:space="preserve"> ulaganja u objekte za održavanja željezničkih vozila</w:t>
      </w:r>
      <w:r w:rsidR="00810730">
        <w:rPr>
          <w:bCs/>
        </w:rPr>
        <w:t>.</w:t>
      </w:r>
    </w:p>
    <w:p w14:paraId="7CCFDC07" w14:textId="77777777" w:rsidR="006F1755" w:rsidRPr="00D21396" w:rsidRDefault="006F1755" w:rsidP="00D21396">
      <w:pPr>
        <w:jc w:val="both"/>
        <w:rPr>
          <w:bCs/>
        </w:rPr>
      </w:pPr>
    </w:p>
    <w:p w14:paraId="3762350D" w14:textId="2E8B4A06" w:rsidR="00A95276" w:rsidRPr="00A95276" w:rsidRDefault="00A95276" w:rsidP="00A95276">
      <w:pPr>
        <w:jc w:val="both"/>
        <w:rPr>
          <w:bCs/>
        </w:rPr>
      </w:pPr>
      <w:r w:rsidRPr="00A95276">
        <w:rPr>
          <w:bCs/>
        </w:rPr>
        <w:t>Vlada Republike Hrvatske usvojila je dokument Modernizacija i restrukturiranja željezničkog sektora, KLASA: 022-03/21-04/226, URBROJ: 50301-05/20-21-1 od 1. srpnja 2021.</w:t>
      </w:r>
      <w:r w:rsidR="00D457D1">
        <w:rPr>
          <w:bCs/>
        </w:rPr>
        <w:t xml:space="preserve"> </w:t>
      </w:r>
      <w:r w:rsidRPr="00A95276">
        <w:rPr>
          <w:bCs/>
        </w:rPr>
        <w:t>U poglavlju III, točka 34. stavak b) dokumenta navodi se unapređenje i standardizacija voznog parka i opreme s ciljem pružanja ekološki prihvatljive i održive javne usluge željezničkog prijevoza, što je predviđeno kroz sljedeće tri mjere:</w:t>
      </w:r>
    </w:p>
    <w:p w14:paraId="4D9A14E7" w14:textId="65DBF46A" w:rsidR="00A95276" w:rsidRPr="006F1755" w:rsidRDefault="00A95276" w:rsidP="006F1755">
      <w:pPr>
        <w:pStyle w:val="ListParagraph"/>
        <w:numPr>
          <w:ilvl w:val="0"/>
          <w:numId w:val="4"/>
        </w:numPr>
        <w:jc w:val="both"/>
        <w:rPr>
          <w:bCs/>
        </w:rPr>
      </w:pPr>
      <w:r w:rsidRPr="006F1755">
        <w:rPr>
          <w:bCs/>
        </w:rPr>
        <w:t>investicije u postojeće prijevozne kapacitete</w:t>
      </w:r>
      <w:r w:rsidR="006F1755">
        <w:rPr>
          <w:bCs/>
        </w:rPr>
        <w:t>,</w:t>
      </w:r>
    </w:p>
    <w:p w14:paraId="2B20D250" w14:textId="423C8656" w:rsidR="00A95276" w:rsidRPr="006F1755" w:rsidRDefault="00A95276" w:rsidP="006F1755">
      <w:pPr>
        <w:pStyle w:val="ListParagraph"/>
        <w:numPr>
          <w:ilvl w:val="0"/>
          <w:numId w:val="4"/>
        </w:numPr>
        <w:jc w:val="both"/>
        <w:rPr>
          <w:bCs/>
        </w:rPr>
      </w:pPr>
      <w:r w:rsidRPr="006F1755">
        <w:rPr>
          <w:bCs/>
        </w:rPr>
        <w:t>nabava novih vlakova uključivo i vlakove za neelektrificirane pruge (alternativni i hibridni oblici)</w:t>
      </w:r>
      <w:r w:rsidR="006F1755">
        <w:rPr>
          <w:bCs/>
        </w:rPr>
        <w:t>,</w:t>
      </w:r>
    </w:p>
    <w:p w14:paraId="25310C39" w14:textId="5F1F0F12" w:rsidR="00A95276" w:rsidRPr="006F1755" w:rsidRDefault="00A95276" w:rsidP="006F1755">
      <w:pPr>
        <w:pStyle w:val="ListParagraph"/>
        <w:numPr>
          <w:ilvl w:val="0"/>
          <w:numId w:val="4"/>
        </w:numPr>
        <w:jc w:val="both"/>
        <w:rPr>
          <w:bCs/>
        </w:rPr>
      </w:pPr>
      <w:r w:rsidRPr="006F1755">
        <w:rPr>
          <w:bCs/>
        </w:rPr>
        <w:t>ulaganja u objekte za održavanje prijevoznih kapaciteta.</w:t>
      </w:r>
    </w:p>
    <w:p w14:paraId="7FA3A56D" w14:textId="77777777" w:rsidR="00A95276" w:rsidRPr="00A95276" w:rsidRDefault="00A95276" w:rsidP="00A95276">
      <w:pPr>
        <w:jc w:val="both"/>
        <w:rPr>
          <w:bCs/>
        </w:rPr>
      </w:pPr>
    </w:p>
    <w:p w14:paraId="198CF6A0" w14:textId="41162A3A" w:rsidR="00853561" w:rsidRPr="00853561" w:rsidRDefault="00A95276" w:rsidP="00853561">
      <w:pPr>
        <w:jc w:val="both"/>
        <w:rPr>
          <w:sz w:val="22"/>
          <w:szCs w:val="22"/>
        </w:rPr>
      </w:pPr>
      <w:r w:rsidRPr="00A95276">
        <w:rPr>
          <w:bCs/>
        </w:rPr>
        <w:t xml:space="preserve">Kako bi </w:t>
      </w:r>
      <w:r w:rsidR="006F1755">
        <w:rPr>
          <w:bCs/>
        </w:rPr>
        <w:t xml:space="preserve">društvo </w:t>
      </w:r>
      <w:r w:rsidRPr="00A95276">
        <w:rPr>
          <w:bCs/>
        </w:rPr>
        <w:t xml:space="preserve">HŽ Putnički prijevoz </w:t>
      </w:r>
      <w:r w:rsidR="006F1755">
        <w:rPr>
          <w:bCs/>
        </w:rPr>
        <w:t xml:space="preserve">d.o.o. </w:t>
      </w:r>
      <w:r w:rsidRPr="00A95276">
        <w:rPr>
          <w:bCs/>
        </w:rPr>
        <w:t xml:space="preserve">omogućio nesmetano odvijanje voznog reda na temelju PSO ugovora, koji je potpisan s Ministarstvom mora, prometa i infrastrukture neophodno je, uz obnovu voznog parka, obnoviti i radionice za održavanje željezničkih vozila. </w:t>
      </w:r>
      <w:r w:rsidR="006F1755">
        <w:rPr>
          <w:bCs/>
        </w:rPr>
        <w:t>S ciljem osiguravanja</w:t>
      </w:r>
      <w:r w:rsidRPr="00A95276">
        <w:rPr>
          <w:bCs/>
        </w:rPr>
        <w:t xml:space="preserve"> usluga održavanja željezničkih vozila koja je nužna za željeznički promet potrebna je obnova radionica za održavanje u Koprivnici, Osijeku, Puli, Splitu, Varaždinu i Vinkov</w:t>
      </w:r>
      <w:r w:rsidR="006F1755">
        <w:rPr>
          <w:bCs/>
        </w:rPr>
        <w:t>cima.</w:t>
      </w:r>
      <w:r w:rsidR="00A95823">
        <w:rPr>
          <w:bCs/>
        </w:rPr>
        <w:t xml:space="preserve"> </w:t>
      </w:r>
      <w:r w:rsidR="00853561">
        <w:t>Investicije u objekte za održavanje uključuju izradu projektne dokumentacije, ulaganja u centre za održavanje (sanacija i proširenje željezničkih kolosijeka, unutarnje  i van</w:t>
      </w:r>
      <w:r w:rsidR="00A95823">
        <w:t>jsko uređenje objekata - zamjenu</w:t>
      </w:r>
      <w:r w:rsidR="00853561">
        <w:t xml:space="preserve"> vrata, prozora, ventil</w:t>
      </w:r>
      <w:r w:rsidR="00A95823">
        <w:t>acije, izmjenu rasvjete, razvode</w:t>
      </w:r>
      <w:r w:rsidR="00853561">
        <w:t xml:space="preserve"> električnih instalacija, zamjen</w:t>
      </w:r>
      <w:r w:rsidR="00A95823">
        <w:t>u krovišta, obnovu</w:t>
      </w:r>
      <w:r w:rsidR="00853561">
        <w:t xml:space="preserve"> grijanja, signalizacije i nadzora i slič</w:t>
      </w:r>
      <w:r w:rsidR="00A95823">
        <w:t>no) te nabavu potrebne opreme (dizalice, punjače</w:t>
      </w:r>
      <w:r w:rsidR="00853561">
        <w:t>, kolica za transport, i</w:t>
      </w:r>
      <w:r w:rsidR="00A95823">
        <w:t>ndustrijske</w:t>
      </w:r>
      <w:r w:rsidR="00853561">
        <w:t xml:space="preserve"> usisivač</w:t>
      </w:r>
      <w:r w:rsidR="00A95823">
        <w:t>e i perače, mjerene uređaje, pumpe, kompresore</w:t>
      </w:r>
      <w:r w:rsidR="00853561">
        <w:t>, radioničk</w:t>
      </w:r>
      <w:r w:rsidR="00A95823">
        <w:t>e priključke</w:t>
      </w:r>
      <w:r w:rsidR="00853561">
        <w:t xml:space="preserve">, </w:t>
      </w:r>
      <w:proofErr w:type="spellStart"/>
      <w:r w:rsidR="00853561">
        <w:t>probnice</w:t>
      </w:r>
      <w:proofErr w:type="spellEnd"/>
      <w:r w:rsidR="00853561">
        <w:t xml:space="preserve"> i slično).</w:t>
      </w:r>
    </w:p>
    <w:p w14:paraId="55F5E026" w14:textId="77777777" w:rsidR="00A95276" w:rsidRPr="00A95276" w:rsidRDefault="00A95276" w:rsidP="00A95276">
      <w:pPr>
        <w:jc w:val="both"/>
        <w:rPr>
          <w:bCs/>
        </w:rPr>
      </w:pPr>
    </w:p>
    <w:p w14:paraId="151F9E89" w14:textId="54133F2E" w:rsidR="00AA6254" w:rsidRDefault="006F1755" w:rsidP="00A95276">
      <w:pPr>
        <w:jc w:val="both"/>
        <w:rPr>
          <w:bCs/>
        </w:rPr>
      </w:pPr>
      <w:r>
        <w:rPr>
          <w:bCs/>
        </w:rPr>
        <w:t>Slijedom navedenog, zatražene su</w:t>
      </w:r>
      <w:r w:rsidR="00A95276" w:rsidRPr="00A95276">
        <w:rPr>
          <w:bCs/>
        </w:rPr>
        <w:t xml:space="preserve"> informativne ponude komercijalnih banaka i EUROFIMA-e (Europsko društvo za financiranje n</w:t>
      </w:r>
      <w:r>
        <w:rPr>
          <w:bCs/>
        </w:rPr>
        <w:t xml:space="preserve">abavki željezničkog materijala) </w:t>
      </w:r>
      <w:r w:rsidRPr="00A95276">
        <w:rPr>
          <w:bCs/>
        </w:rPr>
        <w:t>uz fiksnu kamatnu stopu</w:t>
      </w:r>
    </w:p>
    <w:p w14:paraId="0FC19646" w14:textId="748DF0FC" w:rsidR="00A95276" w:rsidRPr="00A95276" w:rsidRDefault="006F1755" w:rsidP="00A95276">
      <w:pPr>
        <w:jc w:val="both"/>
        <w:rPr>
          <w:bCs/>
        </w:rPr>
      </w:pPr>
      <w:r>
        <w:rPr>
          <w:bCs/>
        </w:rPr>
        <w:t>k</w:t>
      </w:r>
      <w:r w:rsidR="00A95276" w:rsidRPr="00A95276">
        <w:rPr>
          <w:bCs/>
        </w:rPr>
        <w:t>ako bi se ograničila izloženost promjenama na tržištu i os</w:t>
      </w:r>
      <w:r>
        <w:rPr>
          <w:bCs/>
        </w:rPr>
        <w:t>igurala predvidljivost troškova.</w:t>
      </w:r>
    </w:p>
    <w:p w14:paraId="10AEB32E" w14:textId="77777777" w:rsidR="00A95276" w:rsidRPr="00A95276" w:rsidRDefault="00A95276" w:rsidP="00A95276">
      <w:pPr>
        <w:jc w:val="both"/>
        <w:rPr>
          <w:bCs/>
        </w:rPr>
      </w:pPr>
    </w:p>
    <w:p w14:paraId="191CA496" w14:textId="4FA940D6" w:rsidR="00A95276" w:rsidRPr="00853561" w:rsidRDefault="00A95276" w:rsidP="00A95276">
      <w:pPr>
        <w:jc w:val="both"/>
        <w:rPr>
          <w:bCs/>
        </w:rPr>
      </w:pPr>
      <w:r w:rsidRPr="00A95276">
        <w:rPr>
          <w:bCs/>
        </w:rPr>
        <w:t>Temeljem analize pristiglih ponuda utvrđeno je da je EUROFIMA (Europsko društvo za financiranje nabavki željezničkog materijala), u kojoj je HŽ Putnički prijevoz d.o.o</w:t>
      </w:r>
      <w:r w:rsidR="006F1755">
        <w:rPr>
          <w:bCs/>
        </w:rPr>
        <w:t>. jedan od dioničara, iskazala</w:t>
      </w:r>
      <w:r w:rsidRPr="00A95276">
        <w:rPr>
          <w:bCs/>
        </w:rPr>
        <w:t xml:space="preserve"> interes za financiranje nave</w:t>
      </w:r>
      <w:r w:rsidR="0066113E">
        <w:rPr>
          <w:bCs/>
        </w:rPr>
        <w:t>denog projekata te je dostavila</w:t>
      </w:r>
      <w:r w:rsidRPr="00A95276">
        <w:rPr>
          <w:bCs/>
        </w:rPr>
        <w:t xml:space="preserve"> indikativne </w:t>
      </w:r>
      <w:r w:rsidR="006F1755" w:rsidRPr="00853561">
        <w:rPr>
          <w:bCs/>
        </w:rPr>
        <w:t>ponude uz najnižu kamatnu stopu.</w:t>
      </w:r>
    </w:p>
    <w:p w14:paraId="2B293087" w14:textId="66377C43" w:rsidR="000E4658" w:rsidRPr="00853561" w:rsidRDefault="000E4658" w:rsidP="00A95276">
      <w:pPr>
        <w:jc w:val="both"/>
        <w:rPr>
          <w:bCs/>
        </w:rPr>
      </w:pPr>
    </w:p>
    <w:p w14:paraId="79A712A5" w14:textId="7160AF9F" w:rsidR="000E4658" w:rsidRPr="00280EE4" w:rsidRDefault="000E4658" w:rsidP="00A95276">
      <w:pPr>
        <w:jc w:val="both"/>
        <w:rPr>
          <w:lang w:eastAsia="en-US"/>
        </w:rPr>
      </w:pPr>
      <w:r w:rsidRPr="00280EE4">
        <w:rPr>
          <w:bCs/>
        </w:rPr>
        <w:t xml:space="preserve">Premda dostavljena ponuda EUROFIMA-e uključuje, uz iznos financiranja </w:t>
      </w:r>
      <w:r w:rsidRPr="00280EE4">
        <w:rPr>
          <w:lang w:eastAsia="en-US"/>
        </w:rPr>
        <w:t xml:space="preserve">ulaganja u objekte za održavanje željezničkih vozila i </w:t>
      </w:r>
      <w:r w:rsidRPr="00280EE4">
        <w:rPr>
          <w:bCs/>
        </w:rPr>
        <w:t>iznos financiranja obnove lokomotiva i vlakova</w:t>
      </w:r>
      <w:r w:rsidRPr="00280EE4">
        <w:rPr>
          <w:lang w:eastAsia="en-US"/>
        </w:rPr>
        <w:t xml:space="preserve">, </w:t>
      </w:r>
      <w:r w:rsidR="00280EE4" w:rsidRPr="00280EE4">
        <w:rPr>
          <w:lang w:eastAsia="en-US"/>
        </w:rPr>
        <w:t xml:space="preserve">s </w:t>
      </w:r>
      <w:r w:rsidRPr="00280EE4">
        <w:rPr>
          <w:lang w:eastAsia="en-US"/>
        </w:rPr>
        <w:t xml:space="preserve">obzirom </w:t>
      </w:r>
      <w:r w:rsidR="00280EE4" w:rsidRPr="00280EE4">
        <w:rPr>
          <w:lang w:eastAsia="en-US"/>
        </w:rPr>
        <w:t xml:space="preserve">na to </w:t>
      </w:r>
      <w:r w:rsidRPr="00280EE4">
        <w:rPr>
          <w:lang w:eastAsia="en-US"/>
        </w:rPr>
        <w:t>da se radi o različitoj namjeni financiranja kao i različitoj dinamici financiranja, predlaže se donošenje dvije razdvojene Odluke Vlade Republike Hrvatske.</w:t>
      </w:r>
    </w:p>
    <w:p w14:paraId="6FAC0CD8" w14:textId="77777777" w:rsidR="006F1755" w:rsidRPr="00A95276" w:rsidRDefault="006F1755" w:rsidP="00A95276">
      <w:pPr>
        <w:jc w:val="both"/>
        <w:rPr>
          <w:bCs/>
        </w:rPr>
      </w:pPr>
    </w:p>
    <w:p w14:paraId="30582FFA" w14:textId="390F53D6" w:rsidR="003D7038" w:rsidRDefault="00A95276" w:rsidP="006F1755">
      <w:pPr>
        <w:jc w:val="both"/>
        <w:rPr>
          <w:bCs/>
        </w:rPr>
      </w:pPr>
      <w:r w:rsidRPr="00A95276">
        <w:rPr>
          <w:bCs/>
        </w:rPr>
        <w:t xml:space="preserve">S obzirom na najpovoljnije uvjete te dosadašnju uspješnu suradnju za financiranje nabave 11 elektromotornih vlakova te 7 dizel-motornih vlakova </w:t>
      </w:r>
      <w:r w:rsidR="006F1755">
        <w:rPr>
          <w:bCs/>
        </w:rPr>
        <w:t xml:space="preserve">te </w:t>
      </w:r>
      <w:r w:rsidRPr="00A95276">
        <w:rPr>
          <w:bCs/>
        </w:rPr>
        <w:t xml:space="preserve">uzimajući u obzir postojeća dugoročna zaduženja </w:t>
      </w:r>
      <w:r w:rsidR="006F1755">
        <w:rPr>
          <w:bCs/>
        </w:rPr>
        <w:t xml:space="preserve">društva </w:t>
      </w:r>
      <w:r w:rsidRPr="00A95276">
        <w:rPr>
          <w:bCs/>
        </w:rPr>
        <w:t xml:space="preserve">HŽPP-a </w:t>
      </w:r>
      <w:r w:rsidR="006F1755">
        <w:rPr>
          <w:bCs/>
        </w:rPr>
        <w:t>odabrana je ponuda</w:t>
      </w:r>
      <w:r w:rsidRPr="00A95276">
        <w:rPr>
          <w:bCs/>
        </w:rPr>
        <w:t xml:space="preserve"> EUROFIMA-e odno</w:t>
      </w:r>
      <w:r w:rsidR="006F1755">
        <w:rPr>
          <w:bCs/>
        </w:rPr>
        <w:t>sno dugoročno zaduženje kroz 15</w:t>
      </w:r>
      <w:r w:rsidRPr="00A95276">
        <w:rPr>
          <w:bCs/>
        </w:rPr>
        <w:t xml:space="preserve"> godina s jednokratnom otplatom.</w:t>
      </w:r>
    </w:p>
    <w:p w14:paraId="1C100BD7" w14:textId="77777777" w:rsidR="006F1755" w:rsidRDefault="006F1755" w:rsidP="006F1755">
      <w:pPr>
        <w:jc w:val="both"/>
        <w:rPr>
          <w:bCs/>
        </w:rPr>
      </w:pPr>
    </w:p>
    <w:p w14:paraId="3750A270" w14:textId="1EF82837" w:rsidR="00A95276" w:rsidRDefault="00A95276" w:rsidP="00A95276">
      <w:pPr>
        <w:jc w:val="both"/>
        <w:rPr>
          <w:bCs/>
        </w:rPr>
      </w:pPr>
      <w:r w:rsidRPr="00A95276">
        <w:rPr>
          <w:bCs/>
        </w:rPr>
        <w:t>Nadalje, desetogodišnji ugovor o javnim uslugama za usluge od općeg gospodarskog interesa u javnom željezničkom prijevozu u R</w:t>
      </w:r>
      <w:r w:rsidR="006F1755">
        <w:rPr>
          <w:bCs/>
        </w:rPr>
        <w:t>epublici Hrvatskoj</w:t>
      </w:r>
      <w:r w:rsidR="006F1755" w:rsidRPr="006F1755">
        <w:rPr>
          <w:bCs/>
        </w:rPr>
        <w:t xml:space="preserve"> </w:t>
      </w:r>
      <w:r w:rsidR="006F1755" w:rsidRPr="00A95276">
        <w:rPr>
          <w:bCs/>
        </w:rPr>
        <w:t xml:space="preserve">za razdoblje od 1. siječnja 2019. do </w:t>
      </w:r>
      <w:r w:rsidR="006F1755" w:rsidRPr="00A95276">
        <w:rPr>
          <w:bCs/>
        </w:rPr>
        <w:lastRenderedPageBreak/>
        <w:t>31. prosinca 2028</w:t>
      </w:r>
      <w:r w:rsidR="006F1755">
        <w:rPr>
          <w:bCs/>
        </w:rPr>
        <w:t>., sklopljen</w:t>
      </w:r>
      <w:r w:rsidRPr="00A95276">
        <w:rPr>
          <w:bCs/>
        </w:rPr>
        <w:t xml:space="preserve"> između R</w:t>
      </w:r>
      <w:r w:rsidR="006F1755">
        <w:rPr>
          <w:bCs/>
        </w:rPr>
        <w:t>epublike Hrvatske,</w:t>
      </w:r>
      <w:r w:rsidRPr="00A95276">
        <w:rPr>
          <w:bCs/>
        </w:rPr>
        <w:t xml:space="preserve"> Ministarstva mora, prometa i infrastrukture</w:t>
      </w:r>
      <w:r w:rsidR="006F1755">
        <w:rPr>
          <w:bCs/>
        </w:rPr>
        <w:t xml:space="preserve"> i društva HŽ Putnički prijevoz,</w:t>
      </w:r>
      <w:r w:rsidRPr="00A95276">
        <w:rPr>
          <w:bCs/>
        </w:rPr>
        <w:t xml:space="preserve"> osigurava financijsku i tržišnu stabilnost </w:t>
      </w:r>
      <w:r w:rsidR="006F1755">
        <w:rPr>
          <w:bCs/>
        </w:rPr>
        <w:t>društva</w:t>
      </w:r>
      <w:r w:rsidRPr="00A95276">
        <w:rPr>
          <w:bCs/>
        </w:rPr>
        <w:t xml:space="preserve"> te pokriva operativne troškove poslovanja, uključujući i troškove kamata po kreditu. </w:t>
      </w:r>
    </w:p>
    <w:p w14:paraId="6B7F7C52" w14:textId="77777777" w:rsidR="006F1755" w:rsidRPr="00A95276" w:rsidRDefault="006F1755" w:rsidP="00A95276">
      <w:pPr>
        <w:jc w:val="both"/>
        <w:rPr>
          <w:bCs/>
        </w:rPr>
      </w:pPr>
    </w:p>
    <w:p w14:paraId="651843FC" w14:textId="77777777" w:rsidR="006F1755" w:rsidRDefault="00A95276" w:rsidP="00A95276">
      <w:pPr>
        <w:jc w:val="both"/>
        <w:rPr>
          <w:bCs/>
        </w:rPr>
      </w:pPr>
      <w:r w:rsidRPr="00A95276">
        <w:rPr>
          <w:bCs/>
        </w:rPr>
        <w:t>Također, pri planiranju volumena javne usluge i troškova za obavljanje treba voditi računa da iznos naknade obuhvaća i pokriće troškova ovih projekata uključivo otplatu kredita s obzirom da sam Ugovor o javnim uslugama predviđa mogućnost javnog financiranja imovine za pružanje javne usluge prijevoza putnika željeznicom.</w:t>
      </w:r>
      <w:r w:rsidR="006F1755">
        <w:rPr>
          <w:bCs/>
        </w:rPr>
        <w:t xml:space="preserve"> </w:t>
      </w:r>
    </w:p>
    <w:p w14:paraId="473C0108" w14:textId="77777777" w:rsidR="006F1755" w:rsidRDefault="006F1755" w:rsidP="00A95276">
      <w:pPr>
        <w:jc w:val="both"/>
        <w:rPr>
          <w:bCs/>
        </w:rPr>
      </w:pPr>
    </w:p>
    <w:p w14:paraId="0BD1E0CC" w14:textId="7A4F099F" w:rsidR="00D21396" w:rsidRPr="00D21396" w:rsidRDefault="00D21396" w:rsidP="00A95276">
      <w:pPr>
        <w:jc w:val="both"/>
        <w:rPr>
          <w:bCs/>
        </w:rPr>
      </w:pPr>
      <w:r w:rsidRPr="00D21396">
        <w:rPr>
          <w:bCs/>
        </w:rPr>
        <w:t xml:space="preserve">Uprava društva HŽ Putnički prijevoz d.o.o. na sjednici održanoj </w:t>
      </w:r>
      <w:r w:rsidR="00A95276">
        <w:rPr>
          <w:bCs/>
        </w:rPr>
        <w:t>4</w:t>
      </w:r>
      <w:r w:rsidRPr="00D21396">
        <w:rPr>
          <w:bCs/>
        </w:rPr>
        <w:t xml:space="preserve">. </w:t>
      </w:r>
      <w:r w:rsidR="00A95276">
        <w:rPr>
          <w:bCs/>
        </w:rPr>
        <w:t>ožujka</w:t>
      </w:r>
      <w:r w:rsidRPr="00D21396">
        <w:rPr>
          <w:bCs/>
        </w:rPr>
        <w:t xml:space="preserve"> 202</w:t>
      </w:r>
      <w:r w:rsidR="00A95276">
        <w:rPr>
          <w:bCs/>
        </w:rPr>
        <w:t>4</w:t>
      </w:r>
      <w:r w:rsidRPr="00D21396">
        <w:rPr>
          <w:bCs/>
        </w:rPr>
        <w:t xml:space="preserve">. donijela je Odluku o </w:t>
      </w:r>
      <w:r w:rsidR="00307790" w:rsidRPr="00307790">
        <w:rPr>
          <w:bCs/>
        </w:rPr>
        <w:t xml:space="preserve">dugoročno kreditno zaduženje između društva HŽ Putnički prijevoz d.o.o. i EUROFIMA - Europskog društva za financiranje nabavki željezničkog materijala, za financiranje </w:t>
      </w:r>
      <w:r w:rsidR="002832C4" w:rsidRPr="002832C4">
        <w:rPr>
          <w:bCs/>
        </w:rPr>
        <w:t>radi financiranja obnove objekata za održavanje željezničkih vozila</w:t>
      </w:r>
      <w:r w:rsidR="002832C4">
        <w:rPr>
          <w:bCs/>
        </w:rPr>
        <w:t xml:space="preserve"> u iznosu od 14</w:t>
      </w:r>
      <w:r w:rsidR="00307790">
        <w:rPr>
          <w:bCs/>
        </w:rPr>
        <w:t>.000.000,00 EUR, broj: UP-11</w:t>
      </w:r>
      <w:r w:rsidRPr="00D21396">
        <w:rPr>
          <w:bCs/>
        </w:rPr>
        <w:t>-</w:t>
      </w:r>
      <w:r w:rsidR="002832C4">
        <w:rPr>
          <w:bCs/>
        </w:rPr>
        <w:t>2</w:t>
      </w:r>
      <w:r w:rsidRPr="00D21396">
        <w:rPr>
          <w:bCs/>
        </w:rPr>
        <w:t>/</w:t>
      </w:r>
      <w:r w:rsidR="00307790">
        <w:rPr>
          <w:bCs/>
        </w:rPr>
        <w:t>24</w:t>
      </w:r>
      <w:r w:rsidRPr="00D21396">
        <w:rPr>
          <w:bCs/>
        </w:rPr>
        <w:t>. Nadzorni odbor društva HŽ Putnički prijevoz</w:t>
      </w:r>
      <w:r w:rsidR="00307790">
        <w:rPr>
          <w:bCs/>
        </w:rPr>
        <w:t xml:space="preserve"> d</w:t>
      </w:r>
      <w:r w:rsidR="002832C4">
        <w:rPr>
          <w:bCs/>
        </w:rPr>
        <w:t>.o.o. svojom Odlukom br. NO-10-2</w:t>
      </w:r>
      <w:r w:rsidR="00307790">
        <w:rPr>
          <w:bCs/>
        </w:rPr>
        <w:t>/24 od 5</w:t>
      </w:r>
      <w:r w:rsidRPr="00D21396">
        <w:rPr>
          <w:bCs/>
        </w:rPr>
        <w:t xml:space="preserve">. </w:t>
      </w:r>
      <w:r w:rsidR="00307790">
        <w:rPr>
          <w:bCs/>
        </w:rPr>
        <w:t>ožujka</w:t>
      </w:r>
      <w:r w:rsidRPr="00D21396">
        <w:rPr>
          <w:bCs/>
        </w:rPr>
        <w:t xml:space="preserve"> 202</w:t>
      </w:r>
      <w:r w:rsidR="00307790">
        <w:rPr>
          <w:bCs/>
        </w:rPr>
        <w:t>4</w:t>
      </w:r>
      <w:r w:rsidRPr="00D21396">
        <w:rPr>
          <w:bCs/>
        </w:rPr>
        <w:t xml:space="preserve">. </w:t>
      </w:r>
      <w:bookmarkStart w:id="0" w:name="_GoBack"/>
      <w:bookmarkEnd w:id="0"/>
      <w:r w:rsidRPr="00D21396">
        <w:rPr>
          <w:bCs/>
        </w:rPr>
        <w:t xml:space="preserve"> dao je suglasnost na Odluku Uprave o dugoročnom financiranju br. UP-</w:t>
      </w:r>
      <w:r w:rsidR="00307790">
        <w:rPr>
          <w:bCs/>
        </w:rPr>
        <w:t>11</w:t>
      </w:r>
      <w:r w:rsidR="00307790" w:rsidRPr="00D21396">
        <w:rPr>
          <w:bCs/>
        </w:rPr>
        <w:t>-</w:t>
      </w:r>
      <w:r w:rsidR="002832C4">
        <w:rPr>
          <w:bCs/>
        </w:rPr>
        <w:t>2</w:t>
      </w:r>
      <w:r w:rsidR="00307790" w:rsidRPr="00D21396">
        <w:rPr>
          <w:bCs/>
        </w:rPr>
        <w:t>/</w:t>
      </w:r>
      <w:r w:rsidR="00307790">
        <w:rPr>
          <w:bCs/>
        </w:rPr>
        <w:t>24</w:t>
      </w:r>
      <w:r w:rsidRPr="00D21396">
        <w:rPr>
          <w:bCs/>
        </w:rPr>
        <w:t>.</w:t>
      </w:r>
    </w:p>
    <w:p w14:paraId="0DA9B626" w14:textId="77777777" w:rsidR="00D21396" w:rsidRPr="00D21396" w:rsidRDefault="00D21396" w:rsidP="00D21396">
      <w:pPr>
        <w:jc w:val="both"/>
        <w:rPr>
          <w:bCs/>
        </w:rPr>
      </w:pPr>
    </w:p>
    <w:p w14:paraId="42BD8095" w14:textId="0AFDE7A4" w:rsidR="00D21396" w:rsidRPr="00D21396" w:rsidRDefault="00D21396" w:rsidP="00D21396">
      <w:pPr>
        <w:jc w:val="both"/>
        <w:rPr>
          <w:bCs/>
        </w:rPr>
      </w:pPr>
      <w:r w:rsidRPr="00D21396">
        <w:rPr>
          <w:bCs/>
        </w:rPr>
        <w:t xml:space="preserve">Za provođenje predmetne </w:t>
      </w:r>
      <w:r w:rsidR="002B0FEE">
        <w:rPr>
          <w:bCs/>
        </w:rPr>
        <w:t>O</w:t>
      </w:r>
      <w:r w:rsidRPr="00D21396">
        <w:rPr>
          <w:bCs/>
        </w:rPr>
        <w:t>dluke nije potrebno osigurati sredstva u Državnom proračunu Republike Hrvatske, već su sredstva planirana u financijskom planu društva HŽ Putnički prijevoz d.o.o. za razdoblje od 2</w:t>
      </w:r>
      <w:r w:rsidR="00A95276">
        <w:rPr>
          <w:bCs/>
        </w:rPr>
        <w:t>024</w:t>
      </w:r>
      <w:r w:rsidRPr="00D21396">
        <w:rPr>
          <w:bCs/>
        </w:rPr>
        <w:t>. do 202</w:t>
      </w:r>
      <w:r w:rsidR="00A95276">
        <w:rPr>
          <w:bCs/>
        </w:rPr>
        <w:t>6</w:t>
      </w:r>
      <w:r w:rsidRPr="00D21396">
        <w:rPr>
          <w:bCs/>
        </w:rPr>
        <w:t>. godine. Kao potencijalna obveza za državni proračun je izdavanje državnog jamstva koje se temelji na čl</w:t>
      </w:r>
      <w:r w:rsidR="002B0FEE">
        <w:rPr>
          <w:bCs/>
        </w:rPr>
        <w:t>anku</w:t>
      </w:r>
      <w:r w:rsidRPr="00D21396">
        <w:rPr>
          <w:bCs/>
        </w:rPr>
        <w:t xml:space="preserve"> 5. Konvencije o osnivanju „EUROFIMA“ – Europsko društvo za financiranje nabavki željezničkog materijala, objavljeno u NN/MU broj 6/94.</w:t>
      </w:r>
    </w:p>
    <w:p w14:paraId="7AFAB77B" w14:textId="77777777" w:rsidR="00D21396" w:rsidRPr="00D21396" w:rsidRDefault="00D21396" w:rsidP="00D21396">
      <w:pPr>
        <w:jc w:val="both"/>
        <w:rPr>
          <w:bCs/>
        </w:rPr>
      </w:pPr>
    </w:p>
    <w:p w14:paraId="500DC4C8" w14:textId="312CA5FD" w:rsidR="00D21396" w:rsidRDefault="00D21396"/>
    <w:sectPr w:rsidR="00D21396" w:rsidSect="00C55C5B"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3D08A" w14:textId="77777777" w:rsidR="003E7F05" w:rsidRDefault="003E7F05" w:rsidP="00D21396">
      <w:r>
        <w:separator/>
      </w:r>
    </w:p>
  </w:endnote>
  <w:endnote w:type="continuationSeparator" w:id="0">
    <w:p w14:paraId="66829807" w14:textId="77777777" w:rsidR="003E7F05" w:rsidRDefault="003E7F05" w:rsidP="00D2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63B01" w14:textId="77777777" w:rsidR="003E7F05" w:rsidRDefault="003E7F05" w:rsidP="00D21396">
      <w:r>
        <w:separator/>
      </w:r>
    </w:p>
  </w:footnote>
  <w:footnote w:type="continuationSeparator" w:id="0">
    <w:p w14:paraId="3A3F69DF" w14:textId="77777777" w:rsidR="003E7F05" w:rsidRDefault="003E7F05" w:rsidP="00D21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3D21"/>
    <w:multiLevelType w:val="hybridMultilevel"/>
    <w:tmpl w:val="EB189AAC"/>
    <w:lvl w:ilvl="0" w:tplc="6770AB3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1D25"/>
    <w:multiLevelType w:val="hybridMultilevel"/>
    <w:tmpl w:val="A1FA690E"/>
    <w:lvl w:ilvl="0" w:tplc="A1E0B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034FC"/>
    <w:multiLevelType w:val="hybridMultilevel"/>
    <w:tmpl w:val="085063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D2104"/>
    <w:multiLevelType w:val="hybridMultilevel"/>
    <w:tmpl w:val="7944AF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D3D6A"/>
    <w:multiLevelType w:val="hybridMultilevel"/>
    <w:tmpl w:val="255A5BA4"/>
    <w:lvl w:ilvl="0" w:tplc="10F4B2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AA433C"/>
    <w:multiLevelType w:val="hybridMultilevel"/>
    <w:tmpl w:val="1226BEA0"/>
    <w:lvl w:ilvl="0" w:tplc="E5545D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7ED"/>
    <w:rsid w:val="000068F6"/>
    <w:rsid w:val="000435B7"/>
    <w:rsid w:val="000707ED"/>
    <w:rsid w:val="000B5134"/>
    <w:rsid w:val="000E4658"/>
    <w:rsid w:val="00110ED8"/>
    <w:rsid w:val="00113686"/>
    <w:rsid w:val="00152F36"/>
    <w:rsid w:val="0016622D"/>
    <w:rsid w:val="001930FF"/>
    <w:rsid w:val="00196344"/>
    <w:rsid w:val="001C31F6"/>
    <w:rsid w:val="0021029A"/>
    <w:rsid w:val="00223584"/>
    <w:rsid w:val="0024251C"/>
    <w:rsid w:val="00280EE4"/>
    <w:rsid w:val="002832C4"/>
    <w:rsid w:val="002B0FEE"/>
    <w:rsid w:val="002D6E38"/>
    <w:rsid w:val="002F6B15"/>
    <w:rsid w:val="00307790"/>
    <w:rsid w:val="003637E3"/>
    <w:rsid w:val="003D2EC0"/>
    <w:rsid w:val="003D7038"/>
    <w:rsid w:val="003E7F05"/>
    <w:rsid w:val="00400BFA"/>
    <w:rsid w:val="004A1F99"/>
    <w:rsid w:val="004D2351"/>
    <w:rsid w:val="00596068"/>
    <w:rsid w:val="005A0B0E"/>
    <w:rsid w:val="005D5076"/>
    <w:rsid w:val="005F777A"/>
    <w:rsid w:val="00622242"/>
    <w:rsid w:val="00623AFD"/>
    <w:rsid w:val="00626680"/>
    <w:rsid w:val="0066113E"/>
    <w:rsid w:val="006F1755"/>
    <w:rsid w:val="00775FB4"/>
    <w:rsid w:val="007A5166"/>
    <w:rsid w:val="00800FF1"/>
    <w:rsid w:val="008035EA"/>
    <w:rsid w:val="00810730"/>
    <w:rsid w:val="00831404"/>
    <w:rsid w:val="008353AE"/>
    <w:rsid w:val="00853561"/>
    <w:rsid w:val="00857A15"/>
    <w:rsid w:val="00890F01"/>
    <w:rsid w:val="008A21B3"/>
    <w:rsid w:val="0097752B"/>
    <w:rsid w:val="009A310F"/>
    <w:rsid w:val="009C06F4"/>
    <w:rsid w:val="00A94FF2"/>
    <w:rsid w:val="00A95276"/>
    <w:rsid w:val="00A95823"/>
    <w:rsid w:val="00A96BA3"/>
    <w:rsid w:val="00AA6254"/>
    <w:rsid w:val="00C40946"/>
    <w:rsid w:val="00C41040"/>
    <w:rsid w:val="00C55C5B"/>
    <w:rsid w:val="00C603B4"/>
    <w:rsid w:val="00C62320"/>
    <w:rsid w:val="00C762D4"/>
    <w:rsid w:val="00CB18A3"/>
    <w:rsid w:val="00D21396"/>
    <w:rsid w:val="00D26F3D"/>
    <w:rsid w:val="00D457D1"/>
    <w:rsid w:val="00DB5003"/>
    <w:rsid w:val="00DD2683"/>
    <w:rsid w:val="00DF048B"/>
    <w:rsid w:val="00E15193"/>
    <w:rsid w:val="00E42EAC"/>
    <w:rsid w:val="00ED4CB2"/>
    <w:rsid w:val="00EF67CC"/>
    <w:rsid w:val="00F00D3E"/>
    <w:rsid w:val="00F07ABE"/>
    <w:rsid w:val="00FA2E1E"/>
    <w:rsid w:val="00FE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2053D7"/>
  <w15:chartTrackingRefBased/>
  <w15:docId w15:val="{D187473C-7266-48F0-A5E7-D08EE842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3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396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D213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396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7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7CC"/>
    <w:rPr>
      <w:rFonts w:ascii="Segoe UI" w:eastAsia="Times New Roman" w:hAnsi="Segoe UI" w:cs="Segoe UI"/>
      <w:sz w:val="18"/>
      <w:szCs w:val="18"/>
      <w:lang w:val="hr-HR" w:eastAsia="hr-HR"/>
    </w:rPr>
  </w:style>
  <w:style w:type="table" w:styleId="TableGrid">
    <w:name w:val="Table Grid"/>
    <w:basedOn w:val="TableNormal"/>
    <w:uiPriority w:val="39"/>
    <w:rsid w:val="00CB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18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35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35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5B7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5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5B7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AZJMDCZ6QSYZ-1849078857-38349</_dlc_DocId>
    <_dlc_DocIdUrl xmlns="a494813a-d0d8-4dad-94cb-0d196f36ba15">
      <Url>https://ekoordinacije.vlada.hr/koordinacija-gospodarstvo/_layouts/15/DocIdRedir.aspx?ID=AZJMDCZ6QSYZ-1849078857-38349</Url>
      <Description>AZJMDCZ6QSYZ-1849078857-38349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002F7-C472-4FFF-863D-C2179017BD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7B1AA7-5A93-4885-9239-1E492D117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67DD1-F66F-4C6A-B41A-0CF94162EE91}">
  <ds:schemaRefs>
    <ds:schemaRef ds:uri="a494813a-d0d8-4dad-94cb-0d196f36ba15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1F7435E-ADC0-4BF1-84B8-CF123DD51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445746-C146-4D27-806E-FD70F88B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1252</Words>
  <Characters>7139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Zlatić</dc:creator>
  <cp:keywords/>
  <dc:description/>
  <cp:lastModifiedBy>Ines Uglešić</cp:lastModifiedBy>
  <cp:revision>14</cp:revision>
  <cp:lastPrinted>2024-06-05T11:25:00Z</cp:lastPrinted>
  <dcterms:created xsi:type="dcterms:W3CDTF">2024-06-04T14:32:00Z</dcterms:created>
  <dcterms:modified xsi:type="dcterms:W3CDTF">2024-06-11T08:36:00Z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1b215733-f82d-4e3d-b2b1-f3c3e64b8e11</vt:lpwstr>
  </property>
</Properties>
</file>