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8A421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4F38DC9A" wp14:editId="5373E21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DDD7DB8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52D0616" w14:textId="77777777" w:rsidR="00CD3EFA" w:rsidRDefault="00CD3EFA"/>
    <w:p w14:paraId="1B4F58C7" w14:textId="6A9A174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C24B14">
        <w:t>21</w:t>
      </w:r>
      <w:r w:rsidR="005B313E">
        <w:t xml:space="preserve">. </w:t>
      </w:r>
      <w:r w:rsidR="00FC7C1D">
        <w:t>lip</w:t>
      </w:r>
      <w:r w:rsidR="00DB5112">
        <w:t>nj</w:t>
      </w:r>
      <w:r w:rsidR="00FC7C1D">
        <w:t>a</w:t>
      </w:r>
      <w:r w:rsidR="004C1D95">
        <w:t xml:space="preserve"> </w:t>
      </w:r>
      <w:r w:rsidR="005B313E">
        <w:t>202</w:t>
      </w:r>
      <w:r w:rsidR="00DB5112">
        <w:t>4</w:t>
      </w:r>
      <w:r w:rsidRPr="003A2F05">
        <w:t>.</w:t>
      </w:r>
    </w:p>
    <w:p w14:paraId="4E0D9B84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B13ECE5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826615">
          <w:footerReference w:type="default" r:id="rId9"/>
          <w:footerReference w:type="first" r:id="rId10"/>
          <w:type w:val="continuous"/>
          <w:pgSz w:w="11906" w:h="16838"/>
          <w:pgMar w:top="993" w:right="1417" w:bottom="1417" w:left="1417" w:header="709" w:footer="658" w:gutter="0"/>
          <w:pgNumType w:start="2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2185FCC4" w14:textId="77777777" w:rsidTr="000350D9">
        <w:tc>
          <w:tcPr>
            <w:tcW w:w="1951" w:type="dxa"/>
          </w:tcPr>
          <w:p w14:paraId="4673F425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969F918" w14:textId="362BD8CA" w:rsidR="000350D9" w:rsidRDefault="004C1D95" w:rsidP="00101795">
            <w:pPr>
              <w:spacing w:line="360" w:lineRule="auto"/>
            </w:pPr>
            <w:r>
              <w:t>Mini</w:t>
            </w:r>
            <w:r w:rsidR="003917A7">
              <w:t xml:space="preserve">starstvo </w:t>
            </w:r>
            <w:r w:rsidR="00101795">
              <w:t>gospodarstva</w:t>
            </w:r>
          </w:p>
        </w:tc>
      </w:tr>
    </w:tbl>
    <w:p w14:paraId="2C3EA606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A73FE35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77A12EC8" w14:textId="77777777" w:rsidTr="000350D9">
        <w:tc>
          <w:tcPr>
            <w:tcW w:w="1951" w:type="dxa"/>
          </w:tcPr>
          <w:p w14:paraId="4EEC22C7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3FEF8F2" w14:textId="0A28FF29" w:rsidR="0089393E" w:rsidRDefault="00C24B14" w:rsidP="0089393E">
            <w:pPr>
              <w:jc w:val="both"/>
            </w:pPr>
            <w:r>
              <w:t>Prijedlog o</w:t>
            </w:r>
            <w:r w:rsidR="00DB5112" w:rsidRPr="00DB5112">
              <w:t xml:space="preserve">dluke o pokretanju postupka za sklapanje sporazuma o tumačenju i primjeni ugovora o </w:t>
            </w:r>
            <w:r w:rsidR="00DB5112">
              <w:t>E</w:t>
            </w:r>
            <w:r w:rsidR="00DB5112" w:rsidRPr="00DB5112">
              <w:t xml:space="preserve">nergetskoj povelji između </w:t>
            </w:r>
            <w:r w:rsidR="00DB5112">
              <w:t>E</w:t>
            </w:r>
            <w:r w:rsidR="00DB5112" w:rsidRPr="00DB5112">
              <w:t xml:space="preserve">uropske </w:t>
            </w:r>
            <w:r w:rsidR="00DB5112">
              <w:t>u</w:t>
            </w:r>
            <w:r w:rsidR="00DB5112" w:rsidRPr="00DB5112">
              <w:t xml:space="preserve">nije, </w:t>
            </w:r>
            <w:r w:rsidR="00DB5112">
              <w:t>E</w:t>
            </w:r>
            <w:r w:rsidR="00DB5112" w:rsidRPr="00DB5112">
              <w:t>uropske zajednice za atomsku energiju i njihovih država članica</w:t>
            </w:r>
          </w:p>
        </w:tc>
      </w:tr>
    </w:tbl>
    <w:p w14:paraId="7D8CAACF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881C6A8" w14:textId="77777777" w:rsidR="00CE78D1" w:rsidRDefault="00CE78D1" w:rsidP="008F0DD4"/>
    <w:p w14:paraId="45AECD75" w14:textId="77777777" w:rsidR="00CE78D1" w:rsidRPr="00CE78D1" w:rsidRDefault="00CE78D1" w:rsidP="00CE78D1"/>
    <w:p w14:paraId="5E0CE4B5" w14:textId="77777777" w:rsidR="00CE78D1" w:rsidRPr="00CE78D1" w:rsidRDefault="00CE78D1" w:rsidP="00CE78D1"/>
    <w:p w14:paraId="2FAEE07A" w14:textId="77777777" w:rsidR="00CE78D1" w:rsidRPr="00CE78D1" w:rsidRDefault="00CE78D1" w:rsidP="00CE78D1"/>
    <w:p w14:paraId="62E6714C" w14:textId="77777777" w:rsidR="00CE78D1" w:rsidRPr="00CE78D1" w:rsidRDefault="00CE78D1" w:rsidP="00CE78D1"/>
    <w:p w14:paraId="3D956DAA" w14:textId="77777777" w:rsidR="00CE78D1" w:rsidRPr="00CE78D1" w:rsidRDefault="00CE78D1" w:rsidP="00CE78D1"/>
    <w:p w14:paraId="289CF2AB" w14:textId="77777777" w:rsidR="00CE78D1" w:rsidRPr="00CE78D1" w:rsidRDefault="00CE78D1" w:rsidP="00CE78D1"/>
    <w:p w14:paraId="281650C8" w14:textId="77777777" w:rsidR="00CE78D1" w:rsidRPr="00CE78D1" w:rsidRDefault="00CE78D1" w:rsidP="00CE78D1"/>
    <w:p w14:paraId="7B25C725" w14:textId="77777777" w:rsidR="00CE78D1" w:rsidRPr="00CE78D1" w:rsidRDefault="00CE78D1" w:rsidP="00CE78D1"/>
    <w:p w14:paraId="7355C302" w14:textId="77777777" w:rsidR="00CE78D1" w:rsidRPr="00CE78D1" w:rsidRDefault="00CE78D1" w:rsidP="00CE78D1"/>
    <w:p w14:paraId="3C272B92" w14:textId="77777777" w:rsidR="00CE78D1" w:rsidRPr="00CE78D1" w:rsidRDefault="00CE78D1" w:rsidP="00CE78D1"/>
    <w:p w14:paraId="45BF6604" w14:textId="77777777" w:rsidR="00CE78D1" w:rsidRPr="00CE78D1" w:rsidRDefault="00CE78D1" w:rsidP="00CE78D1"/>
    <w:p w14:paraId="5AB98975" w14:textId="77777777" w:rsidR="00CE78D1" w:rsidRPr="00CE78D1" w:rsidRDefault="00CE78D1" w:rsidP="00CE78D1"/>
    <w:p w14:paraId="1ADB3DD3" w14:textId="77777777" w:rsidR="00CE78D1" w:rsidRDefault="00CE78D1" w:rsidP="00CE78D1"/>
    <w:p w14:paraId="67DF85D7" w14:textId="77777777" w:rsidR="00CE78D1" w:rsidRDefault="00CE78D1" w:rsidP="00CE78D1"/>
    <w:p w14:paraId="051E802C" w14:textId="77777777" w:rsidR="008F0DD4" w:rsidRDefault="008F0DD4" w:rsidP="00CE78D1"/>
    <w:p w14:paraId="7E27BD25" w14:textId="77777777" w:rsidR="00493B27" w:rsidRDefault="00493B27" w:rsidP="00CE78D1"/>
    <w:p w14:paraId="5590383D" w14:textId="77777777" w:rsidR="00493B27" w:rsidRDefault="00493B27" w:rsidP="00CE78D1"/>
    <w:p w14:paraId="18CA697C" w14:textId="77777777" w:rsidR="00493B27" w:rsidRDefault="00493B27" w:rsidP="00CE78D1"/>
    <w:p w14:paraId="283D6E0D" w14:textId="77777777" w:rsidR="00101795" w:rsidRDefault="00101795" w:rsidP="00CA5F53">
      <w:pPr>
        <w:jc w:val="right"/>
      </w:pPr>
    </w:p>
    <w:p w14:paraId="20D25E52" w14:textId="77777777" w:rsidR="007C5115" w:rsidRPr="007C5115" w:rsidRDefault="007C5115" w:rsidP="00BE0046">
      <w:pPr>
        <w:pBdr>
          <w:bottom w:val="single" w:sz="12" w:space="1" w:color="auto"/>
        </w:pBdr>
        <w:spacing w:beforeLines="120" w:before="288" w:line="276" w:lineRule="auto"/>
        <w:contextualSpacing/>
        <w:rPr>
          <w:b/>
        </w:rPr>
      </w:pPr>
    </w:p>
    <w:p w14:paraId="2D48F41C" w14:textId="77777777" w:rsidR="00BE0046" w:rsidRDefault="00BE0046" w:rsidP="00DB5112">
      <w:pPr>
        <w:jc w:val="both"/>
      </w:pPr>
    </w:p>
    <w:p w14:paraId="6AD1BE88" w14:textId="77777777" w:rsidR="00BE0046" w:rsidRDefault="00BE0046" w:rsidP="00DB5112">
      <w:pPr>
        <w:jc w:val="both"/>
      </w:pPr>
    </w:p>
    <w:p w14:paraId="253786B7" w14:textId="47927CC8" w:rsidR="00DB5112" w:rsidRPr="00BE0046" w:rsidRDefault="00DB5112" w:rsidP="00DB5112">
      <w:pPr>
        <w:jc w:val="both"/>
      </w:pPr>
      <w:r w:rsidRPr="005C4DFB">
        <w:t>Na temelju članka 7. Zakona o sklapanju i izvršavanju međunarodnih ugovora (</w:t>
      </w:r>
      <w:r>
        <w:t>„</w:t>
      </w:r>
      <w:r w:rsidRPr="005C4DFB">
        <w:t>Narodne novine</w:t>
      </w:r>
      <w:r>
        <w:t>“</w:t>
      </w:r>
      <w:r w:rsidRPr="005C4DFB">
        <w:t>, broj 28/96</w:t>
      </w:r>
      <w:r>
        <w:t>.</w:t>
      </w:r>
      <w:r w:rsidRPr="005C4DFB">
        <w:t>), Vlada Republike Hrvatske je na sjednici održanoj ________ 20</w:t>
      </w:r>
      <w:r>
        <w:t>24</w:t>
      </w:r>
      <w:r w:rsidRPr="005C4DFB">
        <w:t>. donijela</w:t>
      </w:r>
    </w:p>
    <w:p w14:paraId="5E37DDB1" w14:textId="0B875B8C" w:rsidR="00DB5112" w:rsidRDefault="00DB5112" w:rsidP="00DB5112">
      <w:pPr>
        <w:jc w:val="both"/>
        <w:rPr>
          <w:b/>
        </w:rPr>
      </w:pPr>
    </w:p>
    <w:p w14:paraId="3749DA6D" w14:textId="77777777" w:rsidR="00BE0046" w:rsidRDefault="00BE0046" w:rsidP="00BE0046">
      <w:pPr>
        <w:jc w:val="center"/>
        <w:rPr>
          <w:b/>
        </w:rPr>
      </w:pPr>
      <w:r>
        <w:rPr>
          <w:b/>
        </w:rPr>
        <w:t>O</w:t>
      </w:r>
      <w:r w:rsidR="00DB5112" w:rsidRPr="005C4DFB">
        <w:rPr>
          <w:b/>
        </w:rPr>
        <w:t xml:space="preserve"> D L U K U</w:t>
      </w:r>
    </w:p>
    <w:p w14:paraId="6B410046" w14:textId="734849F3" w:rsidR="00DB5112" w:rsidRPr="005C4DFB" w:rsidRDefault="00DB5112" w:rsidP="00BE0046">
      <w:pPr>
        <w:jc w:val="center"/>
        <w:rPr>
          <w:b/>
        </w:rPr>
      </w:pPr>
      <w:r w:rsidRPr="005C4DFB">
        <w:rPr>
          <w:b/>
        </w:rPr>
        <w:t xml:space="preserve">o pokretanju postupka za sklapanje </w:t>
      </w:r>
    </w:p>
    <w:p w14:paraId="37B473F8" w14:textId="77777777" w:rsidR="00DB5112" w:rsidRPr="00043496" w:rsidRDefault="00DB5112" w:rsidP="00BE0046">
      <w:pPr>
        <w:jc w:val="center"/>
        <w:rPr>
          <w:b/>
        </w:rPr>
      </w:pPr>
      <w:r>
        <w:rPr>
          <w:b/>
        </w:rPr>
        <w:t>Sporazuma</w:t>
      </w:r>
      <w:r w:rsidRPr="005C4DFB">
        <w:rPr>
          <w:b/>
        </w:rPr>
        <w:t xml:space="preserve"> </w:t>
      </w:r>
      <w:r>
        <w:rPr>
          <w:b/>
        </w:rPr>
        <w:t>o tumačenju i primjeni U</w:t>
      </w:r>
      <w:r w:rsidRPr="00043496">
        <w:rPr>
          <w:b/>
        </w:rPr>
        <w:t xml:space="preserve">govora o </w:t>
      </w:r>
      <w:r>
        <w:rPr>
          <w:b/>
        </w:rPr>
        <w:t>E</w:t>
      </w:r>
      <w:r w:rsidRPr="00043496">
        <w:rPr>
          <w:b/>
        </w:rPr>
        <w:t xml:space="preserve">nergetskoj povelji </w:t>
      </w:r>
    </w:p>
    <w:p w14:paraId="20D1B25C" w14:textId="77777777" w:rsidR="00DB5112" w:rsidRPr="005C4DFB" w:rsidRDefault="00DB5112" w:rsidP="00BE0046">
      <w:pPr>
        <w:jc w:val="center"/>
        <w:rPr>
          <w:b/>
        </w:rPr>
      </w:pPr>
      <w:r>
        <w:rPr>
          <w:b/>
        </w:rPr>
        <w:t>između Europske unije, E</w:t>
      </w:r>
      <w:r w:rsidRPr="00043496">
        <w:rPr>
          <w:b/>
        </w:rPr>
        <w:t>uropske zajednice za atomsku energiju i njihovih država članica</w:t>
      </w:r>
    </w:p>
    <w:p w14:paraId="27B42EEB" w14:textId="77777777" w:rsidR="00DB5112" w:rsidRPr="005C4DFB" w:rsidRDefault="00DB5112" w:rsidP="00DB5112">
      <w:pPr>
        <w:spacing w:after="240"/>
        <w:jc w:val="center"/>
        <w:rPr>
          <w:color w:val="3366FF"/>
        </w:rPr>
      </w:pPr>
      <w:r w:rsidRPr="005C4DFB">
        <w:rPr>
          <w:b/>
        </w:rPr>
        <w:cr/>
      </w:r>
      <w:r w:rsidRPr="005C4DFB">
        <w:rPr>
          <w:b/>
        </w:rPr>
        <w:cr/>
        <w:t>I.</w:t>
      </w:r>
    </w:p>
    <w:p w14:paraId="4678A963" w14:textId="77777777" w:rsidR="00DB5112" w:rsidRPr="005C4DFB" w:rsidRDefault="00DB5112" w:rsidP="00DB5112">
      <w:pPr>
        <w:jc w:val="center"/>
        <w:rPr>
          <w:b/>
        </w:rPr>
      </w:pPr>
    </w:p>
    <w:p w14:paraId="1E0727C3" w14:textId="217D3B6A" w:rsidR="00DB5112" w:rsidRPr="005C4DFB" w:rsidRDefault="00DB5112" w:rsidP="00DB5112">
      <w:pPr>
        <w:jc w:val="both"/>
      </w:pPr>
      <w:r w:rsidRPr="005C4DFB">
        <w:tab/>
        <w:t>Na temelju članka 139. Ustava Republike Hrvatske (</w:t>
      </w:r>
      <w:r>
        <w:t>„</w:t>
      </w:r>
      <w:r w:rsidRPr="005C4DFB">
        <w:t>Narodne novine</w:t>
      </w:r>
      <w:r>
        <w:t>“</w:t>
      </w:r>
      <w:r w:rsidRPr="005C4DFB">
        <w:t xml:space="preserve">, </w:t>
      </w:r>
      <w:r w:rsidR="00433657" w:rsidRPr="00433657">
        <w:t>br.</w:t>
      </w:r>
      <w:r w:rsidRPr="005C4DFB">
        <w:t xml:space="preserve"> 85/10</w:t>
      </w:r>
      <w:r>
        <w:t>.</w:t>
      </w:r>
      <w:r w:rsidRPr="005C4DFB">
        <w:t xml:space="preserve"> – pročišćeni tekst i 5/14</w:t>
      </w:r>
      <w:r>
        <w:t>.</w:t>
      </w:r>
      <w:r w:rsidRPr="005C4DFB">
        <w:t xml:space="preserve"> – Odluka Ustavnog suda Republike Hrvatske) pokreće se postupak za sklapanje </w:t>
      </w:r>
      <w:r w:rsidRPr="00433657">
        <w:t>Sporazuma o tumačenju i primjeni Ugovora o Energetskoj povelji između Europske unije, Europske zajednice za atomsku energiju i njihovih država članica</w:t>
      </w:r>
      <w:r w:rsidRPr="005C4DFB">
        <w:t xml:space="preserve"> (u daljnjem tekstu: </w:t>
      </w:r>
      <w:r>
        <w:t>Sporazum</w:t>
      </w:r>
      <w:r w:rsidRPr="005C4DFB">
        <w:t>).</w:t>
      </w:r>
    </w:p>
    <w:p w14:paraId="138D33CB" w14:textId="77777777" w:rsidR="00DB5112" w:rsidRPr="005C4DFB" w:rsidRDefault="00DB5112" w:rsidP="00DB5112"/>
    <w:p w14:paraId="2B089EF5" w14:textId="77777777" w:rsidR="00DB5112" w:rsidRPr="005C4DFB" w:rsidRDefault="00DB5112" w:rsidP="00DB5112"/>
    <w:p w14:paraId="04C6D6ED" w14:textId="77777777" w:rsidR="00DB5112" w:rsidRPr="005C4DFB" w:rsidRDefault="00DB5112" w:rsidP="00DB5112">
      <w:pPr>
        <w:jc w:val="center"/>
        <w:rPr>
          <w:b/>
        </w:rPr>
      </w:pPr>
      <w:r w:rsidRPr="005C4DFB">
        <w:rPr>
          <w:b/>
        </w:rPr>
        <w:t>II.</w:t>
      </w:r>
    </w:p>
    <w:p w14:paraId="5B30053B" w14:textId="77777777" w:rsidR="00DB5112" w:rsidRPr="005C4DFB" w:rsidRDefault="00DB5112" w:rsidP="00DB5112">
      <w:pPr>
        <w:jc w:val="center"/>
        <w:rPr>
          <w:b/>
        </w:rPr>
      </w:pPr>
    </w:p>
    <w:p w14:paraId="5C459F0B" w14:textId="77777777" w:rsidR="00DB5112" w:rsidRPr="00433657" w:rsidRDefault="00DB5112" w:rsidP="00DB5112">
      <w:pPr>
        <w:spacing w:after="240"/>
        <w:jc w:val="both"/>
      </w:pPr>
      <w:r w:rsidRPr="00433657">
        <w:tab/>
        <w:t xml:space="preserve">Imajući na umu pravila međunarodnog običajnog prava kako su kodificirana u Bečkoj konvenciji o pravu međunarodnih ugovora, te uzimajući u obzir da članice organizacije regionalne gospodarske integracije u smislu članka 1. stavka 3. Ugovora o Energetskoj povelji ovime izražavaju zajednički dogovor o tumačenju i primjeni ugovora u svojim međusobnim odnosima, slijedom presude Suda EU-a u predmetu C-284/16, Slowakische Republik protiv Achmea BV (u daljnjem tekstu: presuda Achmea), te presude u predmetu C-741/19, République de Moldavie protiv Komstroy (u daljnjem tekstu: presuda Komstroy), Europska unija, EURATOM i države članice započele su pregovore o sklapanju sporazuma o tumačenju i primjeni Ugovora o Energetskoj povelji (u daljnjem tekstu: ECT). </w:t>
      </w:r>
    </w:p>
    <w:p w14:paraId="75F35770" w14:textId="77777777" w:rsidR="00DB5112" w:rsidRDefault="00DB5112" w:rsidP="00DB5112">
      <w:pPr>
        <w:spacing w:after="240"/>
        <w:ind w:firstLine="708"/>
        <w:jc w:val="both"/>
      </w:pPr>
      <w:r>
        <w:lastRenderedPageBreak/>
        <w:t xml:space="preserve">Sud EU-a je 6. ožujka 2018., u presudi </w:t>
      </w:r>
      <w:r w:rsidRPr="007F5FAD">
        <w:rPr>
          <w:i/>
        </w:rPr>
        <w:t>Achmea</w:t>
      </w:r>
      <w:r>
        <w:t xml:space="preserve"> odlučio da su odredbe</w:t>
      </w:r>
      <w:r w:rsidRPr="00935DCA">
        <w:t xml:space="preserve"> o arbitraži između ulagača i države u međunarodnim sporazumima sklopljenima između država članica Europske unije protivne Ugovorima EU-a i zbog te neusklađenosti ne mogu se primjenjivati nakon datuma na koji je posljednja od stranaka bilateralnog ugovora o ulaganju unutar EU-a postala država članica Europske unije.</w:t>
      </w:r>
    </w:p>
    <w:p w14:paraId="136E59DA" w14:textId="77777777" w:rsidR="00DB5112" w:rsidRPr="00935DCA" w:rsidRDefault="00DB5112" w:rsidP="00DB5112">
      <w:pPr>
        <w:spacing w:after="240"/>
        <w:ind w:firstLine="708"/>
        <w:jc w:val="both"/>
      </w:pPr>
      <w:r>
        <w:t xml:space="preserve">U presudi </w:t>
      </w:r>
      <w:r w:rsidRPr="00935DCA">
        <w:rPr>
          <w:i/>
        </w:rPr>
        <w:t>Komstroy</w:t>
      </w:r>
      <w:r>
        <w:t xml:space="preserve"> od 2. rujna 2021., Sud EU-a je odlučio da članak 26. stavak 2. točku (c) ECT-a treba tumačiti na način da se ne primjenjuje na sporove između države članice i ulagatelja iz druge države članice u vezi s ulaganjem potonje države članice u prvoj državi članici. Svrha ECT-a je uređivati bilateralne odnose između dviju ugovornih stranaka stoga se prava i obveze iz ECT-a primjenjuju samo bilateralno, između dviju ugovornih stranaka.</w:t>
      </w:r>
    </w:p>
    <w:p w14:paraId="0B79C4E8" w14:textId="77777777" w:rsidR="00DB5112" w:rsidRDefault="00DB5112" w:rsidP="00DB5112">
      <w:pPr>
        <w:ind w:firstLine="708"/>
        <w:jc w:val="both"/>
      </w:pPr>
      <w:r>
        <w:t>Europska unija, EURATOM i države članice Sporazumom će potvrditi</w:t>
      </w:r>
      <w:r w:rsidRPr="00780D62">
        <w:t xml:space="preserve"> da dijele zajednički dogovor o </w:t>
      </w:r>
      <w:r>
        <w:t>neprimjenjivosti članka 26. ECT-a</w:t>
      </w:r>
      <w:r w:rsidRPr="0039112C">
        <w:t xml:space="preserve"> kao osnove za arbitražne postupke unutar </w:t>
      </w:r>
      <w:r>
        <w:t>EU-a.</w:t>
      </w:r>
    </w:p>
    <w:p w14:paraId="5983C169" w14:textId="77777777" w:rsidR="00DB5112" w:rsidRDefault="00DB5112" w:rsidP="00DB5112">
      <w:pPr>
        <w:ind w:firstLine="708"/>
        <w:jc w:val="both"/>
      </w:pPr>
    </w:p>
    <w:p w14:paraId="2E9FBDC6" w14:textId="77777777" w:rsidR="00DB5112" w:rsidRDefault="00DB5112" w:rsidP="00DB5112">
      <w:pPr>
        <w:ind w:firstLine="708"/>
        <w:jc w:val="both"/>
      </w:pPr>
      <w:r w:rsidRPr="00780D62">
        <w:t xml:space="preserve">Sporazumom </w:t>
      </w:r>
      <w:r>
        <w:t xml:space="preserve">će se potvrditi da </w:t>
      </w:r>
      <w:r w:rsidRPr="00780D62">
        <w:t>se ECT nikada nije primjenjivao, ne primjenjuje niti će se primjenjivati unutar EU-a, da ECT ne može služiti kao osnova za arbitražni postupak i da se klauzula o vremenskom ograničenju valjanosti ne primjenjuje unutar EU-a</w:t>
      </w:r>
      <w:r>
        <w:t xml:space="preserve">. Također će se </w:t>
      </w:r>
      <w:r w:rsidRPr="00780D62">
        <w:t xml:space="preserve">odrediti obveze država članica u slučaju da su uključene u arbitražni postupak na temelju zahtjeva na temelju članka 26. ECT-a. </w:t>
      </w:r>
    </w:p>
    <w:p w14:paraId="41402C99" w14:textId="77777777" w:rsidR="00DB5112" w:rsidRPr="00780D62" w:rsidRDefault="00DB5112" w:rsidP="00DB5112">
      <w:pPr>
        <w:ind w:firstLine="708"/>
        <w:jc w:val="both"/>
      </w:pPr>
    </w:p>
    <w:p w14:paraId="55FBB0FD" w14:textId="72E5C4D9" w:rsidR="00DB5112" w:rsidRDefault="00DB5112" w:rsidP="00DB5112">
      <w:pPr>
        <w:pStyle w:val="Default"/>
        <w:spacing w:after="160"/>
        <w:ind w:right="11" w:firstLine="708"/>
        <w:jc w:val="both"/>
        <w:rPr>
          <w:color w:val="auto"/>
        </w:rPr>
      </w:pPr>
      <w:r>
        <w:rPr>
          <w:color w:val="auto"/>
        </w:rPr>
        <w:t>Uz parafiranje Sporazum</w:t>
      </w:r>
      <w:r w:rsidRPr="009E10D1">
        <w:rPr>
          <w:color w:val="auto"/>
        </w:rPr>
        <w:t xml:space="preserve"> </w:t>
      </w:r>
      <w:r w:rsidRPr="005F0689">
        <w:rPr>
          <w:color w:val="auto"/>
        </w:rPr>
        <w:t xml:space="preserve">kao </w:t>
      </w:r>
      <w:r>
        <w:rPr>
          <w:color w:val="auto"/>
        </w:rPr>
        <w:t xml:space="preserve">potvrde stabilnosti teksta Sporazuma, Europska unija, EURATOM i države članice potpisat će </w:t>
      </w:r>
      <w:r w:rsidRPr="004405CF">
        <w:rPr>
          <w:i/>
          <w:iCs/>
          <w:color w:val="auto"/>
        </w:rPr>
        <w:t>Izjav</w:t>
      </w:r>
      <w:r>
        <w:rPr>
          <w:i/>
          <w:iCs/>
          <w:color w:val="auto"/>
        </w:rPr>
        <w:t>u</w:t>
      </w:r>
      <w:r w:rsidRPr="004405CF">
        <w:rPr>
          <w:i/>
          <w:iCs/>
          <w:color w:val="auto"/>
        </w:rPr>
        <w:t xml:space="preserve"> o pravnim posljedicama presude Suda u predmetu Komstroy i zajednički dogovor o neprimjenjivosti članka 26. Ugovora o energetskoj povelji kao osnove za arbitražne postupke unutar </w:t>
      </w:r>
      <w:r w:rsidR="00EA342F">
        <w:rPr>
          <w:i/>
          <w:iCs/>
          <w:color w:val="auto"/>
        </w:rPr>
        <w:t>EU</w:t>
      </w:r>
      <w:bookmarkStart w:id="0" w:name="_GoBack"/>
      <w:bookmarkEnd w:id="0"/>
      <w:r>
        <w:rPr>
          <w:color w:val="auto"/>
        </w:rPr>
        <w:t xml:space="preserve">, u istom sadržaju kao i Sporazum, za čije stupanje na snagu nije potreban </w:t>
      </w:r>
      <w:r w:rsidRPr="00D43486">
        <w:rPr>
          <w:color w:val="auto"/>
        </w:rPr>
        <w:t>formaln</w:t>
      </w:r>
      <w:r>
        <w:rPr>
          <w:color w:val="auto"/>
        </w:rPr>
        <w:t>i</w:t>
      </w:r>
      <w:r w:rsidRPr="00D43486">
        <w:rPr>
          <w:color w:val="auto"/>
        </w:rPr>
        <w:t xml:space="preserve"> postup</w:t>
      </w:r>
      <w:r>
        <w:rPr>
          <w:color w:val="auto"/>
        </w:rPr>
        <w:t>a</w:t>
      </w:r>
      <w:r w:rsidRPr="00D43486">
        <w:rPr>
          <w:color w:val="auto"/>
        </w:rPr>
        <w:t xml:space="preserve">k </w:t>
      </w:r>
      <w:r>
        <w:rPr>
          <w:color w:val="auto"/>
        </w:rPr>
        <w:t xml:space="preserve">potvrđivanja na nacionalnim razinama, a kojom će preuzeti obvezu </w:t>
      </w:r>
      <w:r w:rsidRPr="005F0689">
        <w:rPr>
          <w:color w:val="auto"/>
        </w:rPr>
        <w:t>poduz</w:t>
      </w:r>
      <w:r>
        <w:rPr>
          <w:color w:val="auto"/>
        </w:rPr>
        <w:t>imanja</w:t>
      </w:r>
      <w:r w:rsidRPr="005F0689">
        <w:rPr>
          <w:color w:val="auto"/>
        </w:rPr>
        <w:t xml:space="preserve"> sv</w:t>
      </w:r>
      <w:r>
        <w:rPr>
          <w:color w:val="auto"/>
        </w:rPr>
        <w:t>ih</w:t>
      </w:r>
      <w:r w:rsidRPr="005F0689">
        <w:rPr>
          <w:color w:val="auto"/>
        </w:rPr>
        <w:t xml:space="preserve"> napor</w:t>
      </w:r>
      <w:r>
        <w:rPr>
          <w:color w:val="auto"/>
        </w:rPr>
        <w:t>a</w:t>
      </w:r>
      <w:r w:rsidRPr="005F0689">
        <w:rPr>
          <w:color w:val="auto"/>
        </w:rPr>
        <w:t xml:space="preserve"> kako bi pravodobno položile svoje isprave o ratifikaciji, odobrenju ili prihvaćanju </w:t>
      </w:r>
      <w:r>
        <w:rPr>
          <w:color w:val="auto"/>
        </w:rPr>
        <w:t>Sporazuma.</w:t>
      </w:r>
    </w:p>
    <w:p w14:paraId="33C1B7B9" w14:textId="77777777" w:rsidR="00DB5112" w:rsidRPr="005C4DFB" w:rsidRDefault="00DB5112" w:rsidP="00DB5112">
      <w:pPr>
        <w:ind w:firstLine="708"/>
        <w:jc w:val="center"/>
        <w:rPr>
          <w:b/>
        </w:rPr>
      </w:pPr>
    </w:p>
    <w:p w14:paraId="29B1F792" w14:textId="77777777" w:rsidR="00DB5112" w:rsidRPr="005C4DFB" w:rsidRDefault="00DB5112" w:rsidP="00DB5112">
      <w:pPr>
        <w:jc w:val="center"/>
        <w:rPr>
          <w:b/>
        </w:rPr>
      </w:pPr>
      <w:r w:rsidRPr="005C4DFB">
        <w:rPr>
          <w:b/>
        </w:rPr>
        <w:t>III.</w:t>
      </w:r>
    </w:p>
    <w:p w14:paraId="2B735AD5" w14:textId="77777777" w:rsidR="00DB5112" w:rsidRPr="005C4DFB" w:rsidRDefault="00DB5112" w:rsidP="00EB1217">
      <w:pPr>
        <w:jc w:val="both"/>
      </w:pPr>
    </w:p>
    <w:p w14:paraId="0370591A" w14:textId="405DF732" w:rsidR="00DB5112" w:rsidRDefault="00DB5112" w:rsidP="00DB5112">
      <w:pPr>
        <w:jc w:val="both"/>
      </w:pPr>
      <w:r w:rsidRPr="005C4DFB">
        <w:tab/>
        <w:t>Sklapanje</w:t>
      </w:r>
      <w:r>
        <w:t xml:space="preserve"> Sporazuma </w:t>
      </w:r>
      <w:r w:rsidRPr="005C4DFB">
        <w:t>predlaže se radi</w:t>
      </w:r>
      <w:r>
        <w:t xml:space="preserve"> pravne sigurnosti u pogledu sadašnjih te mogućih budućih arbitražnih postupaka unutar EU-a na temelju </w:t>
      </w:r>
      <w:r w:rsidR="00001033" w:rsidRPr="00055FB0">
        <w:rPr>
          <w:color w:val="000000"/>
        </w:rPr>
        <w:t>ECT-a</w:t>
      </w:r>
      <w:r w:rsidR="00001033">
        <w:t xml:space="preserve"> </w:t>
      </w:r>
      <w:r>
        <w:t>te potvrđivanja nespojivosti takvih arbitražnih postupaka s Ugovorima EU-a.</w:t>
      </w:r>
    </w:p>
    <w:p w14:paraId="0816E502" w14:textId="77777777" w:rsidR="00DB5112" w:rsidRPr="005C4DFB" w:rsidRDefault="00DB5112" w:rsidP="00DB5112">
      <w:pPr>
        <w:ind w:firstLine="708"/>
        <w:jc w:val="center"/>
        <w:rPr>
          <w:b/>
        </w:rPr>
      </w:pPr>
    </w:p>
    <w:p w14:paraId="30EC1700" w14:textId="77777777" w:rsidR="00A22B86" w:rsidRPr="006252B9" w:rsidRDefault="00A22B86" w:rsidP="00A22B86">
      <w:pPr>
        <w:jc w:val="center"/>
        <w:rPr>
          <w:b/>
        </w:rPr>
      </w:pPr>
      <w:r w:rsidRPr="005C4DFB">
        <w:rPr>
          <w:b/>
        </w:rPr>
        <w:t>IV.</w:t>
      </w:r>
    </w:p>
    <w:p w14:paraId="6C3B3702" w14:textId="77777777" w:rsidR="00A22B86" w:rsidRDefault="00A22B86" w:rsidP="00A22B86">
      <w:pPr>
        <w:pStyle w:val="NormalWeb"/>
        <w:spacing w:before="0" w:beforeAutospacing="0" w:after="0" w:afterAutospacing="0"/>
      </w:pPr>
      <w:r w:rsidRPr="005C4DFB">
        <w:tab/>
      </w:r>
    </w:p>
    <w:p w14:paraId="36BA4A07" w14:textId="77777777" w:rsidR="00A22B86" w:rsidRDefault="00A22B86" w:rsidP="00A22B86">
      <w:pPr>
        <w:pStyle w:val="NormalWeb"/>
        <w:spacing w:before="0" w:beforeAutospacing="0" w:after="0" w:afterAutospacing="0"/>
      </w:pPr>
      <w:r>
        <w:tab/>
        <w:t>Prihvaća se Nacrt sporazuma.</w:t>
      </w:r>
    </w:p>
    <w:p w14:paraId="23B6C397" w14:textId="77777777" w:rsidR="00A22B86" w:rsidRDefault="00A22B86" w:rsidP="00A22B86">
      <w:pPr>
        <w:jc w:val="both"/>
      </w:pPr>
      <w:r>
        <w:tab/>
      </w:r>
    </w:p>
    <w:p w14:paraId="357A318D" w14:textId="77777777" w:rsidR="00A22B86" w:rsidRPr="005C4DFB" w:rsidRDefault="00A22B86" w:rsidP="00A22B86">
      <w:pPr>
        <w:jc w:val="both"/>
      </w:pPr>
      <w:r>
        <w:tab/>
      </w:r>
      <w:r w:rsidRPr="005C4DFB">
        <w:t xml:space="preserve">Nacrt </w:t>
      </w:r>
      <w:r>
        <w:t>sporazuma</w:t>
      </w:r>
      <w:r w:rsidRPr="005C4DFB">
        <w:t xml:space="preserve"> iz stavka 1. ove točke sastavni je dio ove Odluke.</w:t>
      </w:r>
    </w:p>
    <w:p w14:paraId="2BCBC2D1" w14:textId="77777777" w:rsidR="00A22B86" w:rsidRPr="005C4DFB" w:rsidRDefault="00A22B86" w:rsidP="00A22B86">
      <w:pPr>
        <w:ind w:firstLine="708"/>
        <w:jc w:val="center"/>
        <w:rPr>
          <w:b/>
        </w:rPr>
      </w:pPr>
    </w:p>
    <w:p w14:paraId="058222DC" w14:textId="77777777" w:rsidR="00DB5112" w:rsidRPr="005C4DFB" w:rsidRDefault="00DB5112" w:rsidP="00DB5112">
      <w:pPr>
        <w:ind w:firstLine="708"/>
        <w:jc w:val="center"/>
        <w:rPr>
          <w:b/>
        </w:rPr>
      </w:pPr>
    </w:p>
    <w:p w14:paraId="6C801116" w14:textId="77777777" w:rsidR="00DB5112" w:rsidRPr="005C4DFB" w:rsidRDefault="00DB5112" w:rsidP="00DB5112">
      <w:pPr>
        <w:jc w:val="center"/>
        <w:rPr>
          <w:b/>
        </w:rPr>
      </w:pPr>
      <w:r w:rsidRPr="005C4DFB">
        <w:rPr>
          <w:b/>
        </w:rPr>
        <w:lastRenderedPageBreak/>
        <w:t>V.</w:t>
      </w:r>
    </w:p>
    <w:p w14:paraId="081C630D" w14:textId="77777777" w:rsidR="00DB5112" w:rsidRPr="005C4DFB" w:rsidRDefault="00DB5112" w:rsidP="00DB5112">
      <w:pPr>
        <w:ind w:firstLine="708"/>
        <w:jc w:val="center"/>
        <w:rPr>
          <w:b/>
        </w:rPr>
      </w:pPr>
    </w:p>
    <w:p w14:paraId="77380801" w14:textId="335177AA" w:rsidR="0030185C" w:rsidRPr="0030185C" w:rsidRDefault="00DB5112" w:rsidP="0030185C">
      <w:pPr>
        <w:jc w:val="both"/>
      </w:pPr>
      <w:r w:rsidRPr="005C4DFB">
        <w:tab/>
      </w:r>
      <w:r w:rsidR="0030185C" w:rsidRPr="0030185C">
        <w:t>Pregovori za sklapanje Sporazuma vođeni su u okviru Posebne skupine o Sporazumu inter</w:t>
      </w:r>
      <w:r w:rsidR="00234311">
        <w:t xml:space="preserve"> se</w:t>
      </w:r>
      <w:r w:rsidR="0030185C" w:rsidRPr="0030185C">
        <w:t xml:space="preserve">  o tumačenju Ugovora o Energetskoj povelji osnovane u okviru Europske komisije</w:t>
      </w:r>
      <w:r w:rsidR="00215FA7">
        <w:t>,</w:t>
      </w:r>
      <w:r w:rsidR="0030185C" w:rsidRPr="0030185C">
        <w:t xml:space="preserve"> te u tu svrhu nije potrebno osiguranje dodatnih sredstava u državnom proračunu Republike Hrvatske. </w:t>
      </w:r>
    </w:p>
    <w:p w14:paraId="3B97F611" w14:textId="77777777" w:rsidR="0030185C" w:rsidRPr="0030185C" w:rsidRDefault="0030185C" w:rsidP="0030185C">
      <w:pPr>
        <w:jc w:val="both"/>
      </w:pPr>
    </w:p>
    <w:p w14:paraId="029B4BB1" w14:textId="5507EF13" w:rsidR="002A3C2C" w:rsidRPr="002A3C2C" w:rsidRDefault="002A3C2C" w:rsidP="002A3C2C">
      <w:pPr>
        <w:ind w:firstLine="708"/>
        <w:jc w:val="both"/>
      </w:pPr>
      <w:r w:rsidRPr="00CA373C">
        <w:t>Ovlašćuje se izvanredna i opunomoćena veleposlanica Republike Hrvatske u svojstvu stalne predstavnice Republike Hrvatske pri Europskoj uniji i pri Europskoj zajednici za atomsku energiju, u ime Republike Hrvatske, parafira Sporazum.</w:t>
      </w:r>
    </w:p>
    <w:p w14:paraId="4E7BC2ED" w14:textId="77777777" w:rsidR="00DB5112" w:rsidRPr="00052C5D" w:rsidRDefault="00DB5112" w:rsidP="00C2519F">
      <w:pPr>
        <w:jc w:val="both"/>
        <w:rPr>
          <w:color w:val="FF0000"/>
        </w:rPr>
      </w:pPr>
    </w:p>
    <w:p w14:paraId="7CF1E605" w14:textId="77777777" w:rsidR="00DB5112" w:rsidRPr="005C4DFB" w:rsidRDefault="00DB5112" w:rsidP="00DB5112">
      <w:pPr>
        <w:jc w:val="both"/>
      </w:pPr>
    </w:p>
    <w:p w14:paraId="67124B8B" w14:textId="77777777" w:rsidR="00DB5112" w:rsidRPr="005C4DFB" w:rsidRDefault="00DB5112" w:rsidP="00DB5112">
      <w:pPr>
        <w:jc w:val="center"/>
        <w:rPr>
          <w:b/>
        </w:rPr>
      </w:pPr>
      <w:r w:rsidRPr="005C4DFB">
        <w:rPr>
          <w:b/>
        </w:rPr>
        <w:t>VI.</w:t>
      </w:r>
    </w:p>
    <w:p w14:paraId="43E90BE8" w14:textId="77777777" w:rsidR="00DB5112" w:rsidRPr="005C4DFB" w:rsidRDefault="00DB5112" w:rsidP="00DB5112">
      <w:pPr>
        <w:jc w:val="center"/>
        <w:rPr>
          <w:b/>
        </w:rPr>
      </w:pPr>
    </w:p>
    <w:p w14:paraId="5E7A9926" w14:textId="18963143" w:rsidR="00DB5112" w:rsidRDefault="00DB5112" w:rsidP="00DB5112">
      <w:pPr>
        <w:jc w:val="both"/>
      </w:pPr>
      <w:r w:rsidRPr="005C4DFB">
        <w:tab/>
      </w:r>
      <w:r w:rsidR="00392CD3" w:rsidRPr="00392CD3">
        <w:t>Ovlašćuje se ministar gospodarstva da u ime Republike Hrvatske potpiše Sporazum</w:t>
      </w:r>
      <w:r w:rsidRPr="000A308F">
        <w:t>.</w:t>
      </w:r>
      <w:r>
        <w:t xml:space="preserve"> </w:t>
      </w:r>
    </w:p>
    <w:p w14:paraId="205226CA" w14:textId="77777777" w:rsidR="00DB5112" w:rsidRDefault="00DB5112" w:rsidP="00DB5112">
      <w:pPr>
        <w:jc w:val="both"/>
      </w:pPr>
    </w:p>
    <w:p w14:paraId="0AA6E103" w14:textId="77777777" w:rsidR="00DB5112" w:rsidRPr="005C4DFB" w:rsidRDefault="00DB5112" w:rsidP="00DB5112">
      <w:pPr>
        <w:ind w:firstLine="708"/>
        <w:jc w:val="both"/>
      </w:pPr>
      <w:r>
        <w:t>U slučaju njegove spriječenosti, ovlašćuje se veleposlanica Republike Hrvatske u svojstvu stalne predstavnice Republike Hrvatske pri Europskoj uniji i pri Europskoj zajednici za atomsku energiju da, u ime Republike Hrvatske, potpiše Sporazum</w:t>
      </w:r>
      <w:r w:rsidRPr="005C4DFB">
        <w:t>.</w:t>
      </w:r>
    </w:p>
    <w:p w14:paraId="3F12EA76" w14:textId="77777777" w:rsidR="00DB5112" w:rsidRPr="005C4DFB" w:rsidRDefault="00DB5112" w:rsidP="00DB5112">
      <w:pPr>
        <w:jc w:val="both"/>
      </w:pPr>
    </w:p>
    <w:p w14:paraId="613D02B3" w14:textId="77777777" w:rsidR="00C2519F" w:rsidRPr="005C4DFB" w:rsidRDefault="00C2519F" w:rsidP="00DB5112">
      <w:pPr>
        <w:jc w:val="both"/>
      </w:pPr>
    </w:p>
    <w:p w14:paraId="0D2854AA" w14:textId="77777777" w:rsidR="00DB5112" w:rsidRPr="005C4DFB" w:rsidRDefault="00DB5112" w:rsidP="00DB5112">
      <w:pPr>
        <w:jc w:val="center"/>
        <w:rPr>
          <w:b/>
        </w:rPr>
      </w:pPr>
      <w:r w:rsidRPr="005C4DFB">
        <w:rPr>
          <w:b/>
        </w:rPr>
        <w:t>VII.</w:t>
      </w:r>
    </w:p>
    <w:p w14:paraId="5F44C816" w14:textId="77777777" w:rsidR="00DB5112" w:rsidRPr="005C4DFB" w:rsidRDefault="00DB5112" w:rsidP="00DB5112">
      <w:pPr>
        <w:jc w:val="both"/>
        <w:rPr>
          <w:b/>
        </w:rPr>
      </w:pPr>
    </w:p>
    <w:p w14:paraId="6CBCD506" w14:textId="77777777" w:rsidR="00DB5112" w:rsidRPr="005C4DFB" w:rsidRDefault="00DB5112" w:rsidP="00DB5112">
      <w:pPr>
        <w:jc w:val="both"/>
      </w:pPr>
      <w:r w:rsidRPr="005C4DFB">
        <w:tab/>
        <w:t xml:space="preserve">Izvršavanje </w:t>
      </w:r>
      <w:r>
        <w:t>Sporazuma</w:t>
      </w:r>
      <w:r w:rsidRPr="005C4DFB">
        <w:t xml:space="preserve"> neće zahtijevati dodatna financijska sredstva iz državnog proračuna Republike Hrvatske.</w:t>
      </w:r>
    </w:p>
    <w:p w14:paraId="234529A3" w14:textId="77777777" w:rsidR="00DB5112" w:rsidRPr="005C4DFB" w:rsidRDefault="00DB5112" w:rsidP="00DB5112">
      <w:pPr>
        <w:rPr>
          <w:b/>
        </w:rPr>
      </w:pPr>
      <w:r w:rsidRPr="005C4DFB">
        <w:tab/>
      </w:r>
    </w:p>
    <w:p w14:paraId="2F5B1FC4" w14:textId="77777777" w:rsidR="00DB5112" w:rsidRPr="005C4DFB" w:rsidRDefault="00DB5112" w:rsidP="00DB5112">
      <w:pPr>
        <w:rPr>
          <w:b/>
        </w:rPr>
      </w:pPr>
    </w:p>
    <w:p w14:paraId="55DE7BF7" w14:textId="77777777" w:rsidR="00DB5112" w:rsidRPr="005C4DFB" w:rsidRDefault="00DB5112" w:rsidP="00DB5112">
      <w:pPr>
        <w:jc w:val="center"/>
        <w:rPr>
          <w:b/>
        </w:rPr>
      </w:pPr>
      <w:r w:rsidRPr="005C4DFB">
        <w:rPr>
          <w:b/>
        </w:rPr>
        <w:t>VIII.</w:t>
      </w:r>
    </w:p>
    <w:p w14:paraId="5346A3CC" w14:textId="77777777" w:rsidR="00DB5112" w:rsidRPr="005C4DFB" w:rsidRDefault="00DB5112" w:rsidP="00DB5112">
      <w:pPr>
        <w:jc w:val="center"/>
        <w:rPr>
          <w:b/>
        </w:rPr>
      </w:pPr>
    </w:p>
    <w:p w14:paraId="5806A69E" w14:textId="1EA1F7B9" w:rsidR="00DB5112" w:rsidRPr="005C4DFB" w:rsidRDefault="00DB5112" w:rsidP="00DB5112">
      <w:pPr>
        <w:jc w:val="both"/>
      </w:pPr>
      <w:r w:rsidRPr="005C4DFB">
        <w:tab/>
      </w:r>
      <w:r>
        <w:t>Sporazum</w:t>
      </w:r>
      <w:r w:rsidRPr="005C4DFB">
        <w:t xml:space="preserve"> ne zahtijeva donošenje novih ili izmjenu postojećih zakona, </w:t>
      </w:r>
      <w:r w:rsidRPr="000A308F">
        <w:t>ali podliježe</w:t>
      </w:r>
      <w:r w:rsidRPr="005C4DFB">
        <w:t xml:space="preserve"> potvrđivanju </w:t>
      </w:r>
      <w:r w:rsidR="00BE0046">
        <w:t>sukladno</w:t>
      </w:r>
      <w:r w:rsidRPr="005C4DFB">
        <w:t xml:space="preserve"> članku 18. Zakona o sklapanju i izvršavanju međunarodnih ugovora. </w:t>
      </w:r>
    </w:p>
    <w:p w14:paraId="1232EF9E" w14:textId="77777777" w:rsidR="00DB5112" w:rsidRPr="005C4DFB" w:rsidRDefault="00DB5112" w:rsidP="00DB5112">
      <w:pPr>
        <w:jc w:val="both"/>
      </w:pPr>
    </w:p>
    <w:p w14:paraId="471F294F" w14:textId="77777777" w:rsidR="00DB5112" w:rsidRPr="005C4DFB" w:rsidRDefault="00DB5112" w:rsidP="00DB5112">
      <w:pPr>
        <w:jc w:val="both"/>
      </w:pPr>
    </w:p>
    <w:p w14:paraId="11809C49" w14:textId="77777777" w:rsidR="00DB5112" w:rsidRPr="005C4DFB" w:rsidRDefault="00DB5112" w:rsidP="00DB5112">
      <w:pPr>
        <w:jc w:val="both"/>
        <w:rPr>
          <w:b/>
          <w:bCs/>
        </w:rPr>
      </w:pPr>
    </w:p>
    <w:p w14:paraId="0DF8552B" w14:textId="77777777" w:rsidR="00DB5112" w:rsidRPr="005C4DFB" w:rsidRDefault="00DB5112" w:rsidP="00DB5112">
      <w:pPr>
        <w:jc w:val="both"/>
      </w:pPr>
      <w:r w:rsidRPr="005C4DFB">
        <w:t>Klasa:</w:t>
      </w:r>
    </w:p>
    <w:p w14:paraId="0AE81263" w14:textId="77777777" w:rsidR="00DB5112" w:rsidRPr="005C4DFB" w:rsidRDefault="00DB5112" w:rsidP="00DB5112">
      <w:pPr>
        <w:jc w:val="both"/>
      </w:pPr>
      <w:r w:rsidRPr="005C4DFB">
        <w:t>Ur.broj:</w:t>
      </w:r>
    </w:p>
    <w:p w14:paraId="0416298C" w14:textId="77777777" w:rsidR="00DB5112" w:rsidRPr="005C4DFB" w:rsidRDefault="00DB5112" w:rsidP="00DB5112">
      <w:pPr>
        <w:jc w:val="both"/>
      </w:pPr>
      <w:r w:rsidRPr="005C4DFB">
        <w:t>Zagreb,</w:t>
      </w:r>
    </w:p>
    <w:p w14:paraId="6144A192" w14:textId="77777777" w:rsidR="00DB5112" w:rsidRPr="005C4DFB" w:rsidRDefault="00DB5112" w:rsidP="00DB5112">
      <w:pPr>
        <w:jc w:val="both"/>
      </w:pPr>
    </w:p>
    <w:p w14:paraId="20F74358" w14:textId="77777777" w:rsidR="00DB5112" w:rsidRPr="005C4DFB" w:rsidRDefault="00DB5112" w:rsidP="00DB5112">
      <w:pPr>
        <w:jc w:val="both"/>
      </w:pPr>
    </w:p>
    <w:p w14:paraId="48DF50A0" w14:textId="77777777" w:rsidR="00DB5112" w:rsidRPr="005C4DFB" w:rsidRDefault="00DB5112" w:rsidP="00DB5112">
      <w:pPr>
        <w:jc w:val="both"/>
      </w:pPr>
    </w:p>
    <w:p w14:paraId="3A24D2CE" w14:textId="77777777" w:rsidR="00DB5112" w:rsidRPr="005C4DFB" w:rsidRDefault="00DB5112" w:rsidP="00DB5112">
      <w:pPr>
        <w:jc w:val="center"/>
        <w:rPr>
          <w:b/>
        </w:rPr>
      </w:pPr>
      <w:r w:rsidRPr="005C4DFB">
        <w:tab/>
      </w:r>
      <w:r w:rsidRPr="005C4DFB">
        <w:tab/>
      </w:r>
      <w:r w:rsidRPr="005C4DFB">
        <w:tab/>
      </w:r>
      <w:r w:rsidRPr="005C4DFB">
        <w:tab/>
      </w:r>
      <w:r w:rsidRPr="005C4DFB">
        <w:tab/>
      </w:r>
      <w:r w:rsidRPr="005C4DFB">
        <w:tab/>
      </w:r>
      <w:r w:rsidRPr="005C4DFB">
        <w:tab/>
        <w:t xml:space="preserve"> </w:t>
      </w:r>
      <w:r w:rsidRPr="005C4DFB">
        <w:rPr>
          <w:b/>
        </w:rPr>
        <w:t>PREDSJEDNIK</w:t>
      </w:r>
    </w:p>
    <w:p w14:paraId="31B80A05" w14:textId="77777777" w:rsidR="00DB5112" w:rsidRPr="005C4DFB" w:rsidRDefault="00DB5112" w:rsidP="00DB5112">
      <w:pPr>
        <w:jc w:val="center"/>
        <w:rPr>
          <w:b/>
        </w:rPr>
      </w:pPr>
      <w:r w:rsidRPr="005C4DFB">
        <w:rPr>
          <w:b/>
        </w:rPr>
        <w:tab/>
      </w:r>
      <w:r w:rsidRPr="005C4DFB">
        <w:rPr>
          <w:b/>
        </w:rPr>
        <w:tab/>
      </w:r>
    </w:p>
    <w:p w14:paraId="7C652BD8" w14:textId="77777777" w:rsidR="00DB5112" w:rsidRPr="005C4DFB" w:rsidRDefault="00DB5112" w:rsidP="00DB5112">
      <w:pPr>
        <w:jc w:val="center"/>
        <w:rPr>
          <w:b/>
        </w:rPr>
      </w:pPr>
    </w:p>
    <w:p w14:paraId="504FE8FD" w14:textId="77777777" w:rsidR="00DB5112" w:rsidRPr="005C4DFB" w:rsidRDefault="00DB5112" w:rsidP="00DB5112">
      <w:pPr>
        <w:jc w:val="center"/>
        <w:rPr>
          <w:b/>
        </w:rPr>
      </w:pPr>
      <w:r w:rsidRPr="005C4DFB">
        <w:rPr>
          <w:b/>
        </w:rPr>
        <w:tab/>
      </w:r>
      <w:r w:rsidRPr="005C4DFB">
        <w:rPr>
          <w:b/>
        </w:rPr>
        <w:tab/>
      </w:r>
      <w:r w:rsidRPr="005C4DFB">
        <w:rPr>
          <w:b/>
        </w:rPr>
        <w:tab/>
      </w:r>
      <w:r w:rsidRPr="005C4DFB">
        <w:rPr>
          <w:b/>
        </w:rPr>
        <w:tab/>
      </w:r>
      <w:r w:rsidRPr="005C4DFB">
        <w:rPr>
          <w:b/>
        </w:rPr>
        <w:tab/>
      </w:r>
      <w:r w:rsidRPr="005C4DFB">
        <w:rPr>
          <w:b/>
        </w:rPr>
        <w:tab/>
        <w:t xml:space="preserve">               mr. sc. Andrej Plenković</w:t>
      </w:r>
      <w:r w:rsidRPr="005C4DFB">
        <w:br w:type="page"/>
      </w:r>
      <w:r w:rsidRPr="005C4DFB">
        <w:rPr>
          <w:b/>
        </w:rPr>
        <w:lastRenderedPageBreak/>
        <w:t>OBRAZLOŽENJE</w:t>
      </w:r>
    </w:p>
    <w:p w14:paraId="24AA24ED" w14:textId="77777777" w:rsidR="00DB5112" w:rsidRPr="005C4DFB" w:rsidRDefault="00DB5112" w:rsidP="00DB5112">
      <w:pPr>
        <w:jc w:val="center"/>
        <w:rPr>
          <w:b/>
          <w:u w:val="single"/>
        </w:rPr>
      </w:pPr>
    </w:p>
    <w:p w14:paraId="2E576AF8" w14:textId="77777777" w:rsidR="00DB5112" w:rsidRDefault="00DB5112" w:rsidP="00DB5112">
      <w:pPr>
        <w:pStyle w:val="Default"/>
        <w:spacing w:after="160"/>
        <w:ind w:right="11"/>
        <w:jc w:val="both"/>
        <w:rPr>
          <w:color w:val="auto"/>
        </w:rPr>
      </w:pPr>
      <w:bookmarkStart w:id="1" w:name="_Hlk167797891"/>
      <w:r>
        <w:rPr>
          <w:color w:val="auto"/>
        </w:rPr>
        <w:t>Ugovor o Energetskoj povelji (ECT)</w:t>
      </w:r>
      <w:r w:rsidRPr="005E3F98">
        <w:t xml:space="preserve"> </w:t>
      </w:r>
      <w:r w:rsidRPr="005E3F98">
        <w:rPr>
          <w:color w:val="auto"/>
        </w:rPr>
        <w:t xml:space="preserve">je </w:t>
      </w:r>
      <w:r>
        <w:rPr>
          <w:color w:val="auto"/>
        </w:rPr>
        <w:t xml:space="preserve">međunarodni ugovor </w:t>
      </w:r>
      <w:r w:rsidRPr="005E3F98">
        <w:rPr>
          <w:color w:val="auto"/>
        </w:rPr>
        <w:t>o trgovini i ulaganjima u energetski sektor s 53 ugovorne stranke, uključujući E</w:t>
      </w:r>
      <w:r>
        <w:rPr>
          <w:color w:val="auto"/>
        </w:rPr>
        <w:t>uropsku uniju</w:t>
      </w:r>
      <w:r w:rsidRPr="005E3F98">
        <w:rPr>
          <w:color w:val="auto"/>
        </w:rPr>
        <w:t xml:space="preserve">, EURATOM i 26 država članica EU-a. Potpisan je 1994. i na snazi </w:t>
      </w:r>
      <w:r>
        <w:rPr>
          <w:color w:val="auto"/>
        </w:rPr>
        <w:t xml:space="preserve">je </w:t>
      </w:r>
      <w:r w:rsidRPr="005E3F98">
        <w:rPr>
          <w:color w:val="auto"/>
        </w:rPr>
        <w:t>od 1998., a njime se utvrđuju pravila za trgovinu i provoz energetskih proizvoda, kao i odredbe o zaštiti ulaganja na području energetike.</w:t>
      </w:r>
      <w:r w:rsidRPr="00E92A82">
        <w:rPr>
          <w:color w:val="auto"/>
        </w:rPr>
        <w:t xml:space="preserve"> </w:t>
      </w:r>
    </w:p>
    <w:p w14:paraId="6AAF81E2" w14:textId="77777777" w:rsidR="00DB5112" w:rsidRDefault="00DB5112" w:rsidP="00DB5112">
      <w:pPr>
        <w:pStyle w:val="Default"/>
        <w:spacing w:after="160"/>
        <w:ind w:right="11"/>
        <w:jc w:val="both"/>
        <w:rPr>
          <w:color w:val="auto"/>
        </w:rPr>
      </w:pPr>
      <w:r w:rsidRPr="002650EF">
        <w:rPr>
          <w:color w:val="auto"/>
        </w:rPr>
        <w:t xml:space="preserve">Budući da od 1990-ih nije ažuriran, odredbe ECT-a prilično su zastarjele, </w:t>
      </w:r>
      <w:r>
        <w:rPr>
          <w:color w:val="auto"/>
        </w:rPr>
        <w:t xml:space="preserve">što je dovelo do toga da je ECT </w:t>
      </w:r>
      <w:r w:rsidRPr="004F48BE">
        <w:rPr>
          <w:color w:val="auto"/>
        </w:rPr>
        <w:t xml:space="preserve">postao jedna od najčešćih meta investicijskih arbitraža, osobito zadnjih desetak godina, </w:t>
      </w:r>
      <w:r>
        <w:rPr>
          <w:color w:val="auto"/>
        </w:rPr>
        <w:t>dok su</w:t>
      </w:r>
      <w:r w:rsidRPr="004F48BE">
        <w:rPr>
          <w:color w:val="auto"/>
        </w:rPr>
        <w:t xml:space="preserve"> pojedine DČ </w:t>
      </w:r>
      <w:r>
        <w:rPr>
          <w:color w:val="auto"/>
        </w:rPr>
        <w:t xml:space="preserve">postale </w:t>
      </w:r>
      <w:r w:rsidRPr="004F48BE">
        <w:rPr>
          <w:color w:val="auto"/>
        </w:rPr>
        <w:t xml:space="preserve">najčešće predmet tužbi i to </w:t>
      </w:r>
      <w:r w:rsidRPr="001B43C6">
        <w:rPr>
          <w:i/>
          <w:color w:val="auto"/>
        </w:rPr>
        <w:t>intra</w:t>
      </w:r>
      <w:r w:rsidRPr="004F48BE">
        <w:rPr>
          <w:color w:val="auto"/>
        </w:rPr>
        <w:t>-EU sporova</w:t>
      </w:r>
      <w:r w:rsidRPr="002650EF">
        <w:rPr>
          <w:color w:val="auto"/>
        </w:rPr>
        <w:t>.</w:t>
      </w:r>
      <w:r>
        <w:rPr>
          <w:color w:val="auto"/>
        </w:rPr>
        <w:t xml:space="preserve"> </w:t>
      </w:r>
    </w:p>
    <w:p w14:paraId="6A16BA7A" w14:textId="77777777" w:rsidR="00DB5112" w:rsidRDefault="00DB5112" w:rsidP="00DB5112">
      <w:pPr>
        <w:pStyle w:val="Default"/>
        <w:spacing w:after="160"/>
        <w:ind w:right="11"/>
        <w:jc w:val="both"/>
        <w:rPr>
          <w:color w:val="auto"/>
        </w:rPr>
      </w:pPr>
      <w:r>
        <w:rPr>
          <w:color w:val="auto"/>
        </w:rPr>
        <w:t>Slijedom toga i s</w:t>
      </w:r>
      <w:r w:rsidRPr="002650EF">
        <w:rPr>
          <w:color w:val="auto"/>
        </w:rPr>
        <w:t xml:space="preserve"> obzirom na sve veće nezadovoljstvo ugovornih stranaka i civilnog društva, u studenome 2018. </w:t>
      </w:r>
      <w:r>
        <w:rPr>
          <w:color w:val="auto"/>
        </w:rPr>
        <w:t xml:space="preserve">pokrenut je </w:t>
      </w:r>
      <w:r w:rsidRPr="002650EF">
        <w:rPr>
          <w:color w:val="auto"/>
        </w:rPr>
        <w:t>proces modernizacije</w:t>
      </w:r>
      <w:r>
        <w:rPr>
          <w:color w:val="auto"/>
        </w:rPr>
        <w:t xml:space="preserve"> ECT-a</w:t>
      </w:r>
      <w:r w:rsidRPr="002650EF">
        <w:rPr>
          <w:color w:val="auto"/>
        </w:rPr>
        <w:t xml:space="preserve"> usmjeren na </w:t>
      </w:r>
      <w:r>
        <w:rPr>
          <w:color w:val="auto"/>
        </w:rPr>
        <w:t>odredbe o standardima</w:t>
      </w:r>
      <w:r w:rsidRPr="002650EF">
        <w:rPr>
          <w:color w:val="auto"/>
        </w:rPr>
        <w:t xml:space="preserve"> zaštite ulaganja, kao i na ograničavanje zaštite fosilnih goriva i poticanje održivog razvoja.</w:t>
      </w:r>
      <w:r>
        <w:rPr>
          <w:color w:val="auto"/>
        </w:rPr>
        <w:t xml:space="preserve"> </w:t>
      </w:r>
    </w:p>
    <w:p w14:paraId="04FCD26F" w14:textId="24C2FC96" w:rsidR="00DB5112" w:rsidRPr="004A3CB2" w:rsidRDefault="00DB5112" w:rsidP="00DB5112">
      <w:pPr>
        <w:pStyle w:val="Default"/>
        <w:spacing w:after="160"/>
        <w:ind w:right="11"/>
        <w:jc w:val="both"/>
        <w:rPr>
          <w:color w:val="auto"/>
        </w:rPr>
      </w:pPr>
      <w:r>
        <w:rPr>
          <w:color w:val="auto"/>
        </w:rPr>
        <w:t>U</w:t>
      </w:r>
      <w:r w:rsidRPr="004A3CB2">
        <w:rPr>
          <w:color w:val="auto"/>
        </w:rPr>
        <w:t xml:space="preserve"> međuvremenu, neke od </w:t>
      </w:r>
      <w:r>
        <w:rPr>
          <w:color w:val="auto"/>
        </w:rPr>
        <w:t>država članica</w:t>
      </w:r>
      <w:r w:rsidRPr="004A3CB2">
        <w:rPr>
          <w:color w:val="auto"/>
        </w:rPr>
        <w:t xml:space="preserve"> su se povukle iz ECT-a (I</w:t>
      </w:r>
      <w:r>
        <w:rPr>
          <w:color w:val="auto"/>
        </w:rPr>
        <w:t>talija</w:t>
      </w:r>
      <w:r w:rsidRPr="004A3CB2">
        <w:rPr>
          <w:color w:val="auto"/>
        </w:rPr>
        <w:t xml:space="preserve"> </w:t>
      </w:r>
      <w:r>
        <w:rPr>
          <w:color w:val="auto"/>
        </w:rPr>
        <w:t xml:space="preserve">još </w:t>
      </w:r>
      <w:r w:rsidRPr="004A3CB2">
        <w:rPr>
          <w:color w:val="auto"/>
        </w:rPr>
        <w:t>2015.</w:t>
      </w:r>
      <w:r>
        <w:rPr>
          <w:color w:val="auto"/>
        </w:rPr>
        <w:t>,</w:t>
      </w:r>
      <w:r w:rsidRPr="004A3CB2">
        <w:t xml:space="preserve"> </w:t>
      </w:r>
      <w:r w:rsidRPr="004A3CB2">
        <w:rPr>
          <w:color w:val="auto"/>
        </w:rPr>
        <w:t>Francuska, Njemačka i Poljska</w:t>
      </w:r>
      <w:r>
        <w:rPr>
          <w:color w:val="auto"/>
        </w:rPr>
        <w:t xml:space="preserve"> 2023., a </w:t>
      </w:r>
      <w:r w:rsidRPr="004A3CB2">
        <w:rPr>
          <w:color w:val="auto"/>
        </w:rPr>
        <w:t xml:space="preserve">Luksemburg </w:t>
      </w:r>
      <w:r>
        <w:rPr>
          <w:color w:val="auto"/>
        </w:rPr>
        <w:t xml:space="preserve">će se povući </w:t>
      </w:r>
      <w:r w:rsidRPr="004A3CB2">
        <w:rPr>
          <w:color w:val="auto"/>
        </w:rPr>
        <w:t>do sredine 2024</w:t>
      </w:r>
      <w:r>
        <w:rPr>
          <w:color w:val="auto"/>
        </w:rPr>
        <w:t>.</w:t>
      </w:r>
      <w:r w:rsidRPr="004A3CB2">
        <w:rPr>
          <w:color w:val="auto"/>
        </w:rPr>
        <w:t xml:space="preserve">) </w:t>
      </w:r>
      <w:r>
        <w:rPr>
          <w:color w:val="auto"/>
        </w:rPr>
        <w:t xml:space="preserve">Osim toga, </w:t>
      </w:r>
      <w:r w:rsidRPr="004A3CB2">
        <w:rPr>
          <w:color w:val="auto"/>
        </w:rPr>
        <w:t>Nizozemska, Slovenija, Španjolska</w:t>
      </w:r>
      <w:r>
        <w:rPr>
          <w:color w:val="auto"/>
        </w:rPr>
        <w:t>,</w:t>
      </w:r>
      <w:r w:rsidRPr="004A3CB2">
        <w:rPr>
          <w:color w:val="auto"/>
        </w:rPr>
        <w:t xml:space="preserve"> Danska, Irska i Portugal najavil</w:t>
      </w:r>
      <w:r>
        <w:rPr>
          <w:color w:val="auto"/>
        </w:rPr>
        <w:t>e</w:t>
      </w:r>
      <w:r w:rsidRPr="004A3CB2">
        <w:rPr>
          <w:color w:val="auto"/>
        </w:rPr>
        <w:t xml:space="preserve"> su svoju namjeru jednostranog </w:t>
      </w:r>
      <w:r w:rsidR="00392CD3">
        <w:rPr>
          <w:color w:val="auto"/>
        </w:rPr>
        <w:t>povlačenja</w:t>
      </w:r>
      <w:r>
        <w:rPr>
          <w:color w:val="auto"/>
        </w:rPr>
        <w:t xml:space="preserve">, a trenutno se u Vijeću vodi i rasprava o </w:t>
      </w:r>
      <w:r w:rsidR="00392CD3">
        <w:rPr>
          <w:color w:val="auto"/>
        </w:rPr>
        <w:t>povlačenju</w:t>
      </w:r>
      <w:r>
        <w:rPr>
          <w:color w:val="auto"/>
        </w:rPr>
        <w:t xml:space="preserve"> Europske unije i EURATOM-a iz ECT-a</w:t>
      </w:r>
      <w:r w:rsidRPr="004A3CB2">
        <w:rPr>
          <w:color w:val="auto"/>
        </w:rPr>
        <w:t xml:space="preserve"> Međutim, </w:t>
      </w:r>
      <w:r>
        <w:rPr>
          <w:color w:val="auto"/>
        </w:rPr>
        <w:t xml:space="preserve">unatoč povlačenju, </w:t>
      </w:r>
      <w:r w:rsidRPr="00B91C3A">
        <w:rPr>
          <w:color w:val="auto"/>
        </w:rPr>
        <w:t>klauzula o vremenskom ograničenju valjanosti</w:t>
      </w:r>
      <w:r w:rsidRPr="00B91C3A">
        <w:rPr>
          <w:i/>
          <w:color w:val="auto"/>
        </w:rPr>
        <w:t xml:space="preserve"> </w:t>
      </w:r>
      <w:r>
        <w:rPr>
          <w:color w:val="auto"/>
        </w:rPr>
        <w:t>ECT-a</w:t>
      </w:r>
      <w:r w:rsidRPr="004A3CB2">
        <w:rPr>
          <w:color w:val="auto"/>
        </w:rPr>
        <w:t xml:space="preserve"> primjenjuje </w:t>
      </w:r>
      <w:r>
        <w:rPr>
          <w:color w:val="auto"/>
        </w:rPr>
        <w:t xml:space="preserve">se još sljedećih </w:t>
      </w:r>
      <w:r w:rsidRPr="004A3CB2">
        <w:rPr>
          <w:color w:val="auto"/>
        </w:rPr>
        <w:t xml:space="preserve">20 godina nakon povlačenja. </w:t>
      </w:r>
    </w:p>
    <w:p w14:paraId="7221A651" w14:textId="77777777" w:rsidR="00DB5112" w:rsidRDefault="00DB5112" w:rsidP="00DB5112">
      <w:pPr>
        <w:pStyle w:val="Default"/>
        <w:spacing w:after="160"/>
        <w:ind w:right="11"/>
        <w:jc w:val="both"/>
        <w:rPr>
          <w:color w:val="auto"/>
        </w:rPr>
      </w:pPr>
      <w:r w:rsidRPr="004E7967">
        <w:rPr>
          <w:color w:val="auto"/>
        </w:rPr>
        <w:t>E</w:t>
      </w:r>
      <w:r>
        <w:rPr>
          <w:color w:val="auto"/>
        </w:rPr>
        <w:t>uropska unija,</w:t>
      </w:r>
      <w:r w:rsidRPr="004E7967">
        <w:rPr>
          <w:color w:val="auto"/>
        </w:rPr>
        <w:t xml:space="preserve"> </w:t>
      </w:r>
      <w:r w:rsidRPr="001B43C6">
        <w:rPr>
          <w:color w:val="auto"/>
        </w:rPr>
        <w:t xml:space="preserve">EURATOM </w:t>
      </w:r>
      <w:r w:rsidRPr="004E7967">
        <w:rPr>
          <w:color w:val="auto"/>
        </w:rPr>
        <w:t xml:space="preserve">i </w:t>
      </w:r>
      <w:r>
        <w:rPr>
          <w:color w:val="auto"/>
        </w:rPr>
        <w:t>države članice</w:t>
      </w:r>
      <w:r w:rsidRPr="004E7967">
        <w:rPr>
          <w:color w:val="auto"/>
        </w:rPr>
        <w:t xml:space="preserve"> </w:t>
      </w:r>
      <w:r>
        <w:rPr>
          <w:color w:val="auto"/>
        </w:rPr>
        <w:t>su od</w:t>
      </w:r>
      <w:r w:rsidRPr="004E7967">
        <w:rPr>
          <w:color w:val="auto"/>
        </w:rPr>
        <w:t xml:space="preserve">uvijek smatrali da se ECT u cijelosti ne primjenjuje unutar EU-a. Međutim, s obzirom na suprotno stajalište arbitražnih sudova, </w:t>
      </w:r>
      <w:r>
        <w:rPr>
          <w:color w:val="auto"/>
        </w:rPr>
        <w:t xml:space="preserve">te </w:t>
      </w:r>
      <w:r w:rsidRPr="00C73777">
        <w:rPr>
          <w:color w:val="auto"/>
        </w:rPr>
        <w:t xml:space="preserve">slijedom </w:t>
      </w:r>
      <w:r>
        <w:rPr>
          <w:color w:val="auto"/>
        </w:rPr>
        <w:t>dviju presuda</w:t>
      </w:r>
      <w:r w:rsidRPr="00C73777">
        <w:rPr>
          <w:color w:val="auto"/>
        </w:rPr>
        <w:t xml:space="preserve"> Suda EU-a u predmet</w:t>
      </w:r>
      <w:r>
        <w:rPr>
          <w:color w:val="auto"/>
        </w:rPr>
        <w:t xml:space="preserve">ima </w:t>
      </w:r>
      <w:r w:rsidRPr="00C73777">
        <w:rPr>
          <w:i/>
          <w:color w:val="auto"/>
        </w:rPr>
        <w:t>Achmea</w:t>
      </w:r>
      <w:r>
        <w:rPr>
          <w:color w:val="auto"/>
        </w:rPr>
        <w:t xml:space="preserve"> (2018.) i </w:t>
      </w:r>
      <w:r w:rsidRPr="00C73777">
        <w:rPr>
          <w:i/>
          <w:color w:val="auto"/>
        </w:rPr>
        <w:t>Komstroy</w:t>
      </w:r>
      <w:r>
        <w:rPr>
          <w:color w:val="auto"/>
        </w:rPr>
        <w:t xml:space="preserve"> (2021.), Europska unija, EURATOM i države članice su odlučili </w:t>
      </w:r>
      <w:r w:rsidRPr="004E7967">
        <w:rPr>
          <w:color w:val="auto"/>
        </w:rPr>
        <w:t xml:space="preserve">to pitanje pojasniti u </w:t>
      </w:r>
      <w:r>
        <w:rPr>
          <w:color w:val="auto"/>
        </w:rPr>
        <w:t xml:space="preserve">Sporazumu </w:t>
      </w:r>
      <w:r w:rsidRPr="00E1586F">
        <w:rPr>
          <w:color w:val="auto"/>
        </w:rPr>
        <w:t xml:space="preserve">o tumačenju ECT-a </w:t>
      </w:r>
      <w:r>
        <w:rPr>
          <w:color w:val="auto"/>
        </w:rPr>
        <w:t>i zajedničkoj izjavi Europske unije, EURATOM-a i država članica</w:t>
      </w:r>
      <w:r w:rsidRPr="00E1586F">
        <w:rPr>
          <w:color w:val="auto"/>
        </w:rPr>
        <w:t xml:space="preserve"> </w:t>
      </w:r>
      <w:r w:rsidRPr="004E7967">
        <w:rPr>
          <w:color w:val="auto"/>
        </w:rPr>
        <w:t>kako bi se otklonila svaka opasnost od proturječnosti između ECT-a i Ugovora EU-a.</w:t>
      </w:r>
    </w:p>
    <w:p w14:paraId="0FF661E5" w14:textId="77777777" w:rsidR="00DB5112" w:rsidRDefault="00DB5112" w:rsidP="00DB5112">
      <w:pPr>
        <w:pStyle w:val="Default"/>
        <w:spacing w:after="160"/>
        <w:ind w:right="11"/>
        <w:jc w:val="both"/>
        <w:rPr>
          <w:color w:val="auto"/>
        </w:rPr>
      </w:pPr>
      <w:r>
        <w:rPr>
          <w:color w:val="auto"/>
        </w:rPr>
        <w:t xml:space="preserve">Naime, </w:t>
      </w:r>
      <w:r w:rsidRPr="00E1586F">
        <w:rPr>
          <w:color w:val="auto"/>
        </w:rPr>
        <w:t>Sud</w:t>
      </w:r>
      <w:r>
        <w:rPr>
          <w:color w:val="auto"/>
        </w:rPr>
        <w:t xml:space="preserve"> EU-a je</w:t>
      </w:r>
      <w:r w:rsidRPr="00E1586F">
        <w:rPr>
          <w:color w:val="auto"/>
        </w:rPr>
        <w:t xml:space="preserve"> u presudi od 6. ožujka 2018., </w:t>
      </w:r>
      <w:r w:rsidRPr="00E1586F">
        <w:rPr>
          <w:i/>
          <w:color w:val="auto"/>
        </w:rPr>
        <w:t>Achmea, C-284/16 (EU:C:2018:158)</w:t>
      </w:r>
      <w:r w:rsidRPr="00E1586F">
        <w:rPr>
          <w:color w:val="auto"/>
        </w:rPr>
        <w:t xml:space="preserve">, presudio da </w:t>
      </w:r>
      <w:r>
        <w:rPr>
          <w:color w:val="auto"/>
        </w:rPr>
        <w:t>su odredbe</w:t>
      </w:r>
      <w:r w:rsidRPr="00E1586F">
        <w:rPr>
          <w:color w:val="auto"/>
        </w:rPr>
        <w:t xml:space="preserve"> o arbitraži između ulagača i države u međunarodnim ugovorima o ulaganjima među državama članicama Europske unije protivne Ugovorima EU-a i da se zbog te neusklađenosti ne mogu primjenjivati nakon datuma na koji je posljednja od stranaka bilateralnog ugovora o ulaganjima unutar EU-a postala država članica Europske unije.</w:t>
      </w:r>
    </w:p>
    <w:p w14:paraId="7A165A64" w14:textId="1E396EE1" w:rsidR="00DB5112" w:rsidRDefault="00DB5112" w:rsidP="00DB5112">
      <w:pPr>
        <w:pStyle w:val="Default"/>
        <w:spacing w:after="160"/>
        <w:ind w:right="11"/>
        <w:jc w:val="both"/>
        <w:rPr>
          <w:color w:val="auto"/>
        </w:rPr>
      </w:pPr>
      <w:r w:rsidRPr="000E39FA">
        <w:rPr>
          <w:color w:val="auto"/>
        </w:rPr>
        <w:t>Primjenjujući ista načela, u pre</w:t>
      </w:r>
      <w:r>
        <w:rPr>
          <w:color w:val="auto"/>
        </w:rPr>
        <w:t>sudi</w:t>
      </w:r>
      <w:r w:rsidRPr="000E39FA">
        <w:rPr>
          <w:color w:val="auto"/>
        </w:rPr>
        <w:t xml:space="preserve"> </w:t>
      </w:r>
      <w:r w:rsidRPr="00E1586F">
        <w:rPr>
          <w:i/>
          <w:color w:val="auto"/>
        </w:rPr>
        <w:t>Komstroy, C-741/19 (EU:C:2021:655, t. 66.)</w:t>
      </w:r>
      <w:r w:rsidRPr="00E1586F">
        <w:rPr>
          <w:color w:val="auto"/>
        </w:rPr>
        <w:t xml:space="preserve"> </w:t>
      </w:r>
      <w:r w:rsidRPr="00C73777">
        <w:rPr>
          <w:color w:val="auto"/>
        </w:rPr>
        <w:t xml:space="preserve">od 2. rujna 2021., </w:t>
      </w:r>
      <w:r w:rsidRPr="000E39FA">
        <w:rPr>
          <w:color w:val="auto"/>
        </w:rPr>
        <w:t xml:space="preserve">Sud EU-a odlučio je da se članak 26. stavak 2. točka (c) ECT-a mora tumačiti na način da se ne primjenjuje na sporove između države članice i ulagača iz druge države članice u vezi s ulaganjem koje je potonji izvršio u prvoj državi članici. </w:t>
      </w:r>
    </w:p>
    <w:p w14:paraId="4696A41E" w14:textId="77777777" w:rsidR="00DB5112" w:rsidRDefault="00DB5112" w:rsidP="00DB5112">
      <w:pPr>
        <w:pStyle w:val="Default"/>
        <w:spacing w:after="160"/>
        <w:ind w:right="11"/>
        <w:jc w:val="both"/>
        <w:rPr>
          <w:color w:val="auto"/>
        </w:rPr>
      </w:pPr>
      <w:r w:rsidRPr="00893858">
        <w:rPr>
          <w:color w:val="auto"/>
        </w:rPr>
        <w:t xml:space="preserve">Sud </w:t>
      </w:r>
      <w:r>
        <w:rPr>
          <w:color w:val="auto"/>
        </w:rPr>
        <w:t>EU-a je tim presudama</w:t>
      </w:r>
      <w:r w:rsidRPr="00893858">
        <w:rPr>
          <w:color w:val="auto"/>
        </w:rPr>
        <w:t xml:space="preserve"> na obvezujući i mjerodavan način potvrdio da arbitraža unutar EU-a na temelju članka 26. ECT-a nije spojiva s Ugovorima EU-a. Međutim, </w:t>
      </w:r>
      <w:r w:rsidRPr="00893858">
        <w:rPr>
          <w:color w:val="auto"/>
        </w:rPr>
        <w:lastRenderedPageBreak/>
        <w:t>arbitražni sudovi dosljedno i gotovo jednoglasno donose odluke prema kojima se članak 26</w:t>
      </w:r>
      <w:r>
        <w:rPr>
          <w:color w:val="auto"/>
        </w:rPr>
        <w:t>. ECT-a primjenjuje unutar EU-a iako se p</w:t>
      </w:r>
      <w:r w:rsidRPr="00893858">
        <w:rPr>
          <w:color w:val="auto"/>
        </w:rPr>
        <w:t>rema Sudu EU-a svaka takva arbitražna odluka mora sma</w:t>
      </w:r>
      <w:r>
        <w:rPr>
          <w:color w:val="auto"/>
        </w:rPr>
        <w:t>trati nespojivom s pravom EU-a i</w:t>
      </w:r>
      <w:r w:rsidRPr="00893858">
        <w:rPr>
          <w:color w:val="auto"/>
        </w:rPr>
        <w:t xml:space="preserve"> ne može proizv</w:t>
      </w:r>
      <w:r>
        <w:rPr>
          <w:color w:val="auto"/>
        </w:rPr>
        <w:t>oditi nikakav pravni učinak.</w:t>
      </w:r>
    </w:p>
    <w:p w14:paraId="1C22DB0F" w14:textId="77777777" w:rsidR="00DB5112" w:rsidRDefault="00DB5112" w:rsidP="00DB5112">
      <w:pPr>
        <w:pStyle w:val="Default"/>
        <w:spacing w:after="160"/>
        <w:ind w:right="11"/>
        <w:jc w:val="both"/>
        <w:rPr>
          <w:color w:val="auto"/>
        </w:rPr>
      </w:pPr>
      <w:r w:rsidRPr="000E39FA">
        <w:rPr>
          <w:color w:val="auto"/>
        </w:rPr>
        <w:t>Slijedom toga u studenom 202</w:t>
      </w:r>
      <w:r>
        <w:rPr>
          <w:color w:val="auto"/>
        </w:rPr>
        <w:t>2</w:t>
      </w:r>
      <w:r w:rsidRPr="000E39FA">
        <w:rPr>
          <w:color w:val="auto"/>
        </w:rPr>
        <w:t xml:space="preserve">. osnovana je </w:t>
      </w:r>
      <w:r w:rsidRPr="00B65206">
        <w:rPr>
          <w:rFonts w:eastAsia="Times New Roman"/>
        </w:rPr>
        <w:t>Posebn</w:t>
      </w:r>
      <w:r>
        <w:rPr>
          <w:rFonts w:eastAsia="Times New Roman"/>
        </w:rPr>
        <w:t>a</w:t>
      </w:r>
      <w:r w:rsidRPr="00B65206">
        <w:rPr>
          <w:rFonts w:eastAsia="Times New Roman"/>
        </w:rPr>
        <w:t xml:space="preserve"> skupin</w:t>
      </w:r>
      <w:r>
        <w:rPr>
          <w:rFonts w:eastAsia="Times New Roman"/>
        </w:rPr>
        <w:t>a</w:t>
      </w:r>
      <w:r w:rsidRPr="00B65206">
        <w:rPr>
          <w:rFonts w:eastAsia="Times New Roman"/>
        </w:rPr>
        <w:t xml:space="preserve"> o Sporazumu </w:t>
      </w:r>
      <w:r w:rsidRPr="00B65206">
        <w:rPr>
          <w:rFonts w:eastAsia="Times New Roman"/>
          <w:i/>
          <w:iCs/>
        </w:rPr>
        <w:t>inter se</w:t>
      </w:r>
      <w:r w:rsidRPr="00B65206">
        <w:rPr>
          <w:rFonts w:eastAsia="Times New Roman"/>
        </w:rPr>
        <w:t xml:space="preserve"> o tumačenju Ugovora o Energetskoj povelji</w:t>
      </w:r>
      <w:r>
        <w:t xml:space="preserve"> </w:t>
      </w:r>
      <w:r w:rsidRPr="000E39FA">
        <w:rPr>
          <w:color w:val="auto"/>
        </w:rPr>
        <w:t xml:space="preserve">s ciljem dogovora </w:t>
      </w:r>
      <w:r>
        <w:rPr>
          <w:color w:val="auto"/>
        </w:rPr>
        <w:t>oko teksta S</w:t>
      </w:r>
      <w:r w:rsidRPr="000E39FA">
        <w:rPr>
          <w:color w:val="auto"/>
        </w:rPr>
        <w:t xml:space="preserve">porazuma. Sporazumom </w:t>
      </w:r>
      <w:r>
        <w:rPr>
          <w:color w:val="auto"/>
        </w:rPr>
        <w:t>će se potvrditi</w:t>
      </w:r>
      <w:r w:rsidRPr="000E39FA">
        <w:rPr>
          <w:color w:val="auto"/>
        </w:rPr>
        <w:t xml:space="preserve"> da se ECT nikada nije primjenjivao, ne primjenjuje</w:t>
      </w:r>
      <w:r>
        <w:rPr>
          <w:color w:val="auto"/>
        </w:rPr>
        <w:t>,</w:t>
      </w:r>
      <w:r w:rsidRPr="000E39FA">
        <w:rPr>
          <w:color w:val="auto"/>
        </w:rPr>
        <w:t xml:space="preserve"> niti će se primjenjivati unutar EU-a, da ECT ne može služiti kao osnova za arbitražni postupak i da se klauzula o vremenskom ograničenju valjanosti ne primjenjuje unutar EU-a</w:t>
      </w:r>
      <w:r>
        <w:rPr>
          <w:color w:val="auto"/>
        </w:rPr>
        <w:t>. Također će se</w:t>
      </w:r>
      <w:r w:rsidRPr="000E39FA">
        <w:rPr>
          <w:color w:val="auto"/>
        </w:rPr>
        <w:t xml:space="preserve"> odrediti obveze </w:t>
      </w:r>
      <w:r>
        <w:rPr>
          <w:color w:val="auto"/>
        </w:rPr>
        <w:t>država članica</w:t>
      </w:r>
      <w:r w:rsidRPr="000E39FA">
        <w:rPr>
          <w:color w:val="auto"/>
        </w:rPr>
        <w:t xml:space="preserve"> u slučaju da su uključene u arbitražni postupak na temelju</w:t>
      </w:r>
      <w:r>
        <w:rPr>
          <w:color w:val="auto"/>
        </w:rPr>
        <w:t xml:space="preserve"> zahtjeva na temelju članka 26. ECT-a.</w:t>
      </w:r>
      <w:r w:rsidRPr="008C1E6E">
        <w:t xml:space="preserve"> </w:t>
      </w:r>
      <w:r w:rsidRPr="008C1E6E">
        <w:rPr>
          <w:color w:val="auto"/>
        </w:rPr>
        <w:t xml:space="preserve">S obzirom na retroaktivni učinak </w:t>
      </w:r>
      <w:r>
        <w:rPr>
          <w:color w:val="auto"/>
        </w:rPr>
        <w:t>S</w:t>
      </w:r>
      <w:r w:rsidRPr="008C1E6E">
        <w:rPr>
          <w:color w:val="auto"/>
        </w:rPr>
        <w:t>porazuma, on bi se primjenjivao i na sporove koji su u tijeku.</w:t>
      </w:r>
    </w:p>
    <w:p w14:paraId="003A7EDB" w14:textId="77777777" w:rsidR="00DB5112" w:rsidRPr="00F80A56" w:rsidRDefault="00DB5112" w:rsidP="00DB5112">
      <w:pPr>
        <w:pStyle w:val="Default"/>
        <w:spacing w:after="160"/>
        <w:ind w:right="11"/>
        <w:jc w:val="both"/>
        <w:rPr>
          <w:color w:val="auto"/>
        </w:rPr>
      </w:pPr>
      <w:r>
        <w:rPr>
          <w:color w:val="auto"/>
        </w:rPr>
        <w:t>Rasprave o tekstu Sporazuma završene su krajem 2023. te se sredinom lipnja 2024. planira njegovo parafiranje od strane</w:t>
      </w:r>
      <w:r w:rsidRPr="00F80A56">
        <w:rPr>
          <w:color w:val="auto"/>
        </w:rPr>
        <w:t xml:space="preserve"> </w:t>
      </w:r>
      <w:r>
        <w:rPr>
          <w:color w:val="auto"/>
        </w:rPr>
        <w:t>Europske unije,</w:t>
      </w:r>
      <w:r w:rsidRPr="004E7967">
        <w:rPr>
          <w:color w:val="auto"/>
        </w:rPr>
        <w:t xml:space="preserve"> </w:t>
      </w:r>
      <w:r w:rsidRPr="001B43C6">
        <w:rPr>
          <w:color w:val="auto"/>
        </w:rPr>
        <w:t>EURATOM</w:t>
      </w:r>
      <w:r>
        <w:rPr>
          <w:color w:val="auto"/>
        </w:rPr>
        <w:t>-a</w:t>
      </w:r>
      <w:r w:rsidRPr="001B43C6">
        <w:rPr>
          <w:color w:val="auto"/>
        </w:rPr>
        <w:t xml:space="preserve"> </w:t>
      </w:r>
      <w:r w:rsidRPr="004E7967">
        <w:rPr>
          <w:color w:val="auto"/>
        </w:rPr>
        <w:t xml:space="preserve">i </w:t>
      </w:r>
      <w:r>
        <w:rPr>
          <w:color w:val="auto"/>
        </w:rPr>
        <w:t xml:space="preserve">država članica čime će se </w:t>
      </w:r>
      <w:r w:rsidRPr="00F80A56">
        <w:rPr>
          <w:color w:val="auto"/>
        </w:rPr>
        <w:t xml:space="preserve">označiti </w:t>
      </w:r>
      <w:r w:rsidRPr="00F80A56">
        <w:t>kraj pregovora na tehničkoj razini</w:t>
      </w:r>
      <w:r>
        <w:t xml:space="preserve"> i potvrditi stabilnost teksta Sporazuma.</w:t>
      </w:r>
      <w:r w:rsidRPr="00D16F0F">
        <w:t xml:space="preserve"> </w:t>
      </w:r>
      <w:r w:rsidRPr="00A94C98">
        <w:t>Na temelju parafiranog Sporazuma E</w:t>
      </w:r>
      <w:r>
        <w:t xml:space="preserve">uropska komisija će </w:t>
      </w:r>
      <w:r w:rsidRPr="00A94C98">
        <w:t>pokrenuti postupak</w:t>
      </w:r>
      <w:r>
        <w:t xml:space="preserve"> u Vijeću</w:t>
      </w:r>
      <w:r w:rsidRPr="00A94C98">
        <w:t xml:space="preserve"> kako bi E</w:t>
      </w:r>
      <w:r>
        <w:t>uropska unija</w:t>
      </w:r>
      <w:r w:rsidRPr="00A94C98">
        <w:t xml:space="preserve"> i E</w:t>
      </w:r>
      <w:r>
        <w:t>URATOM</w:t>
      </w:r>
      <w:r w:rsidRPr="00A94C98">
        <w:t xml:space="preserve"> mogle postati stranke tog Sporazuma</w:t>
      </w:r>
      <w:r>
        <w:t xml:space="preserve"> </w:t>
      </w:r>
      <w:r w:rsidRPr="00A94C98">
        <w:t>te</w:t>
      </w:r>
      <w:r>
        <w:t xml:space="preserve"> kako bi se odlučilo</w:t>
      </w:r>
      <w:r w:rsidRPr="00A94C98">
        <w:t xml:space="preserve"> o pravnoj osnovi</w:t>
      </w:r>
      <w:r>
        <w:t xml:space="preserve"> Sporazuma</w:t>
      </w:r>
      <w:r w:rsidRPr="00A94C98">
        <w:t>.</w:t>
      </w:r>
    </w:p>
    <w:p w14:paraId="5F215812" w14:textId="77777777" w:rsidR="00DB5112" w:rsidRDefault="00DB5112" w:rsidP="00DB5112">
      <w:pPr>
        <w:pStyle w:val="Default"/>
        <w:spacing w:after="160"/>
        <w:ind w:right="11"/>
        <w:jc w:val="both"/>
        <w:rPr>
          <w:color w:val="auto"/>
        </w:rPr>
      </w:pPr>
      <w:r>
        <w:rPr>
          <w:color w:val="auto"/>
        </w:rPr>
        <w:t xml:space="preserve">Budući su pojedine države članice Europske unije izrazile zabrinutosti oko dugotrajnog procesa donošenja i ratifikacije Sporazuma, dogovoreno je potpisivanje </w:t>
      </w:r>
      <w:r w:rsidRPr="004405CF">
        <w:rPr>
          <w:i/>
          <w:iCs/>
          <w:color w:val="auto"/>
        </w:rPr>
        <w:t>Izjave o pravnim posljedicama presude Suda u predmetu Komstroy i zajednički dogovor o neprimjenjivosti članka 26. Ugovora o energetskoj povelji kao osnove za arbitražne postupke unutar Europske unije</w:t>
      </w:r>
      <w:r>
        <w:rPr>
          <w:color w:val="auto"/>
        </w:rPr>
        <w:t xml:space="preserve">, u istom sadržaju kao i Sporazum, za čije stupanje na snagu nije potreban </w:t>
      </w:r>
      <w:r w:rsidRPr="00D43486">
        <w:rPr>
          <w:color w:val="auto"/>
        </w:rPr>
        <w:t>formaln</w:t>
      </w:r>
      <w:r>
        <w:rPr>
          <w:color w:val="auto"/>
        </w:rPr>
        <w:t>i</w:t>
      </w:r>
      <w:r w:rsidRPr="00D43486">
        <w:rPr>
          <w:color w:val="auto"/>
        </w:rPr>
        <w:t xml:space="preserve"> postup</w:t>
      </w:r>
      <w:r>
        <w:rPr>
          <w:color w:val="auto"/>
        </w:rPr>
        <w:t>a</w:t>
      </w:r>
      <w:r w:rsidRPr="00D43486">
        <w:rPr>
          <w:color w:val="auto"/>
        </w:rPr>
        <w:t xml:space="preserve">k </w:t>
      </w:r>
      <w:r>
        <w:rPr>
          <w:color w:val="auto"/>
        </w:rPr>
        <w:t>potvrđivanja na nacionalnim razinama. Budući da Izjava kao instrument trenutno stupa na snagu i neposredno se primjenjuje, dogovoren je kombinirani pristup koji se sastoji od Izjave i Sporazuma, pri čemu će države članice istovremeno potpisati Izjavu i</w:t>
      </w:r>
      <w:r>
        <w:t xml:space="preserve"> parafirati Sporazum </w:t>
      </w:r>
      <w:r w:rsidRPr="005F0689">
        <w:rPr>
          <w:color w:val="auto"/>
        </w:rPr>
        <w:t xml:space="preserve">kao </w:t>
      </w:r>
      <w:r>
        <w:rPr>
          <w:color w:val="auto"/>
        </w:rPr>
        <w:t xml:space="preserve">potvrdu stabilnosti teksta Sporazuma, uz obvezu </w:t>
      </w:r>
      <w:r w:rsidRPr="005F0689">
        <w:rPr>
          <w:color w:val="auto"/>
        </w:rPr>
        <w:t>poduz</w:t>
      </w:r>
      <w:r>
        <w:rPr>
          <w:color w:val="auto"/>
        </w:rPr>
        <w:t>imanja</w:t>
      </w:r>
      <w:r w:rsidRPr="005F0689">
        <w:rPr>
          <w:color w:val="auto"/>
        </w:rPr>
        <w:t xml:space="preserve"> sv</w:t>
      </w:r>
      <w:r>
        <w:rPr>
          <w:color w:val="auto"/>
        </w:rPr>
        <w:t>ih</w:t>
      </w:r>
      <w:r w:rsidRPr="005F0689">
        <w:rPr>
          <w:color w:val="auto"/>
        </w:rPr>
        <w:t xml:space="preserve"> napor</w:t>
      </w:r>
      <w:r>
        <w:rPr>
          <w:color w:val="auto"/>
        </w:rPr>
        <w:t>a</w:t>
      </w:r>
      <w:r w:rsidRPr="005F0689">
        <w:rPr>
          <w:color w:val="auto"/>
        </w:rPr>
        <w:t xml:space="preserve"> kako bi pravodobno položile svoje isprave o ratifikaciji, odobrenju ili prihvaćanju tog </w:t>
      </w:r>
      <w:r>
        <w:rPr>
          <w:color w:val="auto"/>
        </w:rPr>
        <w:t>Sporazuma.</w:t>
      </w:r>
    </w:p>
    <w:p w14:paraId="2DE83795" w14:textId="77777777" w:rsidR="00770F9E" w:rsidRDefault="00DB5112" w:rsidP="00770F9E">
      <w:pPr>
        <w:pStyle w:val="xmsonormal"/>
        <w:shd w:val="clear" w:color="auto" w:fill="FFFFFF"/>
        <w:spacing w:before="0" w:beforeAutospacing="0" w:after="0" w:afterAutospacing="0"/>
        <w:ind w:right="11"/>
        <w:jc w:val="both"/>
      </w:pPr>
      <w:r>
        <w:t xml:space="preserve">Sporazumom će </w:t>
      </w:r>
      <w:r w:rsidRPr="00D653BE">
        <w:t>E</w:t>
      </w:r>
      <w:r>
        <w:t>uropska unija</w:t>
      </w:r>
      <w:r w:rsidRPr="00D653BE">
        <w:t xml:space="preserve">, EURATOM i </w:t>
      </w:r>
      <w:r>
        <w:t>države članice potvrditi d</w:t>
      </w:r>
      <w:r w:rsidRPr="00D653BE">
        <w:t xml:space="preserve">a dijele zajedničko razumijevanje o tumačenju i primjeni </w:t>
      </w:r>
      <w:r>
        <w:t>ECT-a</w:t>
      </w:r>
      <w:r w:rsidRPr="00D653BE">
        <w:t xml:space="preserve">, u skladu s kojim </w:t>
      </w:r>
      <w:r>
        <w:t xml:space="preserve">se </w:t>
      </w:r>
      <w:r w:rsidRPr="00EC58F3">
        <w:t xml:space="preserve">članak 26. tog ugovora ne primjenjuje kao osnova za arbitražne postupke unutar EU-a te da u tom pogledu članak 47. stavak 3. </w:t>
      </w:r>
      <w:r>
        <w:t>ECT-a</w:t>
      </w:r>
      <w:r w:rsidRPr="00EC58F3">
        <w:t xml:space="preserve"> ne proizvodi pravne učinke u odnosima unutar EU-a.</w:t>
      </w:r>
      <w:r w:rsidR="00770F9E">
        <w:t xml:space="preserve"> </w:t>
      </w:r>
    </w:p>
    <w:p w14:paraId="3502BEDA" w14:textId="77777777" w:rsidR="00770F9E" w:rsidRDefault="00770F9E" w:rsidP="00770F9E">
      <w:pPr>
        <w:pStyle w:val="xmsonormal"/>
        <w:shd w:val="clear" w:color="auto" w:fill="FFFFFF"/>
        <w:spacing w:before="0" w:beforeAutospacing="0" w:after="0" w:afterAutospacing="0"/>
        <w:ind w:right="11"/>
        <w:jc w:val="both"/>
      </w:pPr>
    </w:p>
    <w:p w14:paraId="37F1234D" w14:textId="77777777" w:rsidR="00DB5112" w:rsidRDefault="00DB5112" w:rsidP="00DB5112">
      <w:pPr>
        <w:spacing w:after="160"/>
        <w:jc w:val="both"/>
      </w:pPr>
      <w:r>
        <w:t>Odlukom se</w:t>
      </w:r>
      <w:r w:rsidRPr="00F934FC">
        <w:t xml:space="preserve"> prihvaća </w:t>
      </w:r>
      <w:r>
        <w:t>N</w:t>
      </w:r>
      <w:r w:rsidRPr="00F934FC">
        <w:t xml:space="preserve">acrt </w:t>
      </w:r>
      <w:r>
        <w:t>s</w:t>
      </w:r>
      <w:r w:rsidRPr="00F934FC">
        <w:t>porazuma</w:t>
      </w:r>
      <w:r>
        <w:t xml:space="preserve"> te se utvrđuje da je </w:t>
      </w:r>
      <w:r w:rsidRPr="00F934FC">
        <w:t>sastavni dio ove Odluke.</w:t>
      </w:r>
    </w:p>
    <w:p w14:paraId="2374FD43" w14:textId="2ED37BA5" w:rsidR="00DB5112" w:rsidRDefault="00DB5112" w:rsidP="00DB5112">
      <w:pPr>
        <w:spacing w:after="160"/>
        <w:jc w:val="both"/>
      </w:pPr>
      <w:r>
        <w:t xml:space="preserve">Ovlašćuje se </w:t>
      </w:r>
      <w:r w:rsidRPr="001D258F">
        <w:t>ministar</w:t>
      </w:r>
      <w:r>
        <w:t xml:space="preserve"> gospodarstva da, u ime Republike Hrvatske, potpiše Sporazum, a u slučaju njegove spriječenosti, </w:t>
      </w:r>
      <w:r w:rsidRPr="001D258F">
        <w:t>veleposlanica Republike Hrvatske u svojstvu stalne predstavnice Republike Hrvatske pri Europskoj uniji i pri Europskoj zajednici za atomsku energiju</w:t>
      </w:r>
      <w:r>
        <w:t xml:space="preserve">. </w:t>
      </w:r>
    </w:p>
    <w:p w14:paraId="5A24A8FD" w14:textId="77777777" w:rsidR="00DB5112" w:rsidRPr="005C4DFB" w:rsidRDefault="00DB5112" w:rsidP="00DB5112">
      <w:pPr>
        <w:spacing w:after="240"/>
        <w:jc w:val="both"/>
      </w:pPr>
      <w:r>
        <w:t>Sporazum</w:t>
      </w:r>
      <w:r w:rsidRPr="005C4DFB">
        <w:t xml:space="preserve"> ne zahtijeva donošenje novih ili izmjenu postojećih zakona, </w:t>
      </w:r>
      <w:r>
        <w:t>ali</w:t>
      </w:r>
      <w:r w:rsidRPr="005C4DFB">
        <w:t xml:space="preserve"> podliježe potvrđivanju po članku 18. Zakona o sklapanju i izvršavanju međunarodnih ugovora.</w:t>
      </w:r>
    </w:p>
    <w:p w14:paraId="4B73CDD9" w14:textId="77777777" w:rsidR="00DB5112" w:rsidRPr="005C4DFB" w:rsidRDefault="00DB5112" w:rsidP="00DB5112">
      <w:pPr>
        <w:jc w:val="both"/>
      </w:pPr>
      <w:r w:rsidRPr="005C4DFB">
        <w:lastRenderedPageBreak/>
        <w:t xml:space="preserve">Izvršavanje </w:t>
      </w:r>
      <w:r>
        <w:t>Sporazuma</w:t>
      </w:r>
      <w:r w:rsidRPr="005C4DFB">
        <w:t xml:space="preserve"> neće zahtijevati dodatna financijska sredstva iz državnog proračuna Republike Hrvatske.</w:t>
      </w:r>
    </w:p>
    <w:bookmarkEnd w:id="1"/>
    <w:p w14:paraId="19249485" w14:textId="77777777" w:rsidR="00DB5112" w:rsidRDefault="00DB5112" w:rsidP="00DB5112">
      <w:pPr>
        <w:spacing w:beforeLines="120" w:before="288" w:line="276" w:lineRule="auto"/>
        <w:contextualSpacing/>
      </w:pPr>
    </w:p>
    <w:sectPr w:rsidR="00DB5112" w:rsidSect="00A70681">
      <w:footerReference w:type="default" r:id="rId11"/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BD52B" w14:textId="77777777" w:rsidR="00783734" w:rsidRDefault="00783734" w:rsidP="0011560A">
      <w:r>
        <w:separator/>
      </w:r>
    </w:p>
  </w:endnote>
  <w:endnote w:type="continuationSeparator" w:id="0">
    <w:p w14:paraId="33DDF223" w14:textId="77777777" w:rsidR="00783734" w:rsidRDefault="0078373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D00F7" w14:textId="77777777" w:rsidR="00335C86" w:rsidRDefault="00335C86">
    <w:pPr>
      <w:pStyle w:val="Footer"/>
      <w:jc w:val="right"/>
    </w:pPr>
  </w:p>
  <w:p w14:paraId="329AAA9F" w14:textId="77777777" w:rsidR="00335C86" w:rsidRDefault="00335C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608DC" w14:textId="77777777" w:rsidR="00961207" w:rsidRPr="00CE78D1" w:rsidRDefault="00961207" w:rsidP="00961207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04EE95A6" w14:textId="77777777" w:rsidR="00473138" w:rsidRDefault="00473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9151485"/>
      <w:docPartObj>
        <w:docPartGallery w:val="Page Numbers (Bottom of Page)"/>
        <w:docPartUnique/>
      </w:docPartObj>
    </w:sdtPr>
    <w:sdtEndPr/>
    <w:sdtContent>
      <w:p w14:paraId="3B52FEAE" w14:textId="717D3A53" w:rsidR="00826615" w:rsidRDefault="0082661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42F">
          <w:rPr>
            <w:noProof/>
          </w:rPr>
          <w:t>3</w:t>
        </w:r>
        <w:r>
          <w:fldChar w:fldCharType="end"/>
        </w:r>
      </w:p>
    </w:sdtContent>
  </w:sdt>
  <w:p w14:paraId="7A0132AC" w14:textId="77777777" w:rsidR="00493B27" w:rsidRPr="00493B27" w:rsidRDefault="00493B27" w:rsidP="00493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3E1E3" w14:textId="77777777" w:rsidR="00783734" w:rsidRDefault="00783734" w:rsidP="0011560A">
      <w:r>
        <w:separator/>
      </w:r>
    </w:p>
  </w:footnote>
  <w:footnote w:type="continuationSeparator" w:id="0">
    <w:p w14:paraId="5EA9ADE8" w14:textId="77777777" w:rsidR="00783734" w:rsidRDefault="00783734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2984"/>
    <w:multiLevelType w:val="hybridMultilevel"/>
    <w:tmpl w:val="FCE2FDC4"/>
    <w:lvl w:ilvl="0" w:tplc="05A021B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C5CCF"/>
    <w:multiLevelType w:val="hybridMultilevel"/>
    <w:tmpl w:val="7BE0A898"/>
    <w:lvl w:ilvl="0" w:tplc="583C868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E5BF7"/>
    <w:multiLevelType w:val="hybridMultilevel"/>
    <w:tmpl w:val="DC149B42"/>
    <w:lvl w:ilvl="0" w:tplc="258A6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3148C"/>
    <w:multiLevelType w:val="hybridMultilevel"/>
    <w:tmpl w:val="DD5830C0"/>
    <w:lvl w:ilvl="0" w:tplc="258A6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E5BA4"/>
    <w:multiLevelType w:val="hybridMultilevel"/>
    <w:tmpl w:val="4F7CCAE6"/>
    <w:lvl w:ilvl="0" w:tplc="583C868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15DDB"/>
    <w:multiLevelType w:val="hybridMultilevel"/>
    <w:tmpl w:val="D4149500"/>
    <w:lvl w:ilvl="0" w:tplc="258A6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3D77"/>
    <w:multiLevelType w:val="hybridMultilevel"/>
    <w:tmpl w:val="3252DFEA"/>
    <w:lvl w:ilvl="0" w:tplc="258A6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114AA"/>
    <w:multiLevelType w:val="hybridMultilevel"/>
    <w:tmpl w:val="BFF23FB4"/>
    <w:lvl w:ilvl="0" w:tplc="258A6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9399E"/>
    <w:multiLevelType w:val="hybridMultilevel"/>
    <w:tmpl w:val="3C9A2E90"/>
    <w:lvl w:ilvl="0" w:tplc="258A6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C12BE"/>
    <w:multiLevelType w:val="hybridMultilevel"/>
    <w:tmpl w:val="F8A0AC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66B7F"/>
    <w:multiLevelType w:val="hybridMultilevel"/>
    <w:tmpl w:val="C6F058E0"/>
    <w:lvl w:ilvl="0" w:tplc="3AFAE4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D04BC"/>
    <w:multiLevelType w:val="hybridMultilevel"/>
    <w:tmpl w:val="6360ADF0"/>
    <w:lvl w:ilvl="0" w:tplc="5D2491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1033"/>
    <w:rsid w:val="00027661"/>
    <w:rsid w:val="000350D9"/>
    <w:rsid w:val="00052599"/>
    <w:rsid w:val="00053127"/>
    <w:rsid w:val="00057310"/>
    <w:rsid w:val="00063520"/>
    <w:rsid w:val="00071DF2"/>
    <w:rsid w:val="00075602"/>
    <w:rsid w:val="00086A6C"/>
    <w:rsid w:val="000941B7"/>
    <w:rsid w:val="000A1D60"/>
    <w:rsid w:val="000A3A3B"/>
    <w:rsid w:val="000B6B91"/>
    <w:rsid w:val="000D1A50"/>
    <w:rsid w:val="00100680"/>
    <w:rsid w:val="001015C6"/>
    <w:rsid w:val="00101795"/>
    <w:rsid w:val="00105E9A"/>
    <w:rsid w:val="00110E6C"/>
    <w:rsid w:val="0011560A"/>
    <w:rsid w:val="00135F1A"/>
    <w:rsid w:val="00146B79"/>
    <w:rsid w:val="00147DE9"/>
    <w:rsid w:val="00170226"/>
    <w:rsid w:val="001741AA"/>
    <w:rsid w:val="0017570F"/>
    <w:rsid w:val="00176561"/>
    <w:rsid w:val="00180506"/>
    <w:rsid w:val="001917B2"/>
    <w:rsid w:val="001A13E7"/>
    <w:rsid w:val="001A3679"/>
    <w:rsid w:val="001B7A97"/>
    <w:rsid w:val="001D2D94"/>
    <w:rsid w:val="001E7218"/>
    <w:rsid w:val="00204F9E"/>
    <w:rsid w:val="00207CB5"/>
    <w:rsid w:val="00215D16"/>
    <w:rsid w:val="00215FA7"/>
    <w:rsid w:val="002179F8"/>
    <w:rsid w:val="00220956"/>
    <w:rsid w:val="0022786D"/>
    <w:rsid w:val="00234311"/>
    <w:rsid w:val="0023763F"/>
    <w:rsid w:val="00246033"/>
    <w:rsid w:val="002542AB"/>
    <w:rsid w:val="00261DAA"/>
    <w:rsid w:val="0028608D"/>
    <w:rsid w:val="0029163B"/>
    <w:rsid w:val="00294480"/>
    <w:rsid w:val="002A1D77"/>
    <w:rsid w:val="002A3C2C"/>
    <w:rsid w:val="002B107A"/>
    <w:rsid w:val="002B1ACF"/>
    <w:rsid w:val="002D1256"/>
    <w:rsid w:val="002D6C51"/>
    <w:rsid w:val="002D7C91"/>
    <w:rsid w:val="002E2301"/>
    <w:rsid w:val="0030185C"/>
    <w:rsid w:val="003033E4"/>
    <w:rsid w:val="003034BD"/>
    <w:rsid w:val="00304232"/>
    <w:rsid w:val="00323C77"/>
    <w:rsid w:val="00334B52"/>
    <w:rsid w:val="00335C86"/>
    <w:rsid w:val="00336EE7"/>
    <w:rsid w:val="0034351C"/>
    <w:rsid w:val="0034791C"/>
    <w:rsid w:val="00371D7E"/>
    <w:rsid w:val="00380D5F"/>
    <w:rsid w:val="00381F04"/>
    <w:rsid w:val="0038426B"/>
    <w:rsid w:val="003917A7"/>
    <w:rsid w:val="00392396"/>
    <w:rsid w:val="003929F5"/>
    <w:rsid w:val="00392CD3"/>
    <w:rsid w:val="003A2F05"/>
    <w:rsid w:val="003C02DE"/>
    <w:rsid w:val="003C09D8"/>
    <w:rsid w:val="003D47D1"/>
    <w:rsid w:val="003D5BA7"/>
    <w:rsid w:val="003E316E"/>
    <w:rsid w:val="003F1628"/>
    <w:rsid w:val="003F5623"/>
    <w:rsid w:val="004003A6"/>
    <w:rsid w:val="004039BD"/>
    <w:rsid w:val="0040459A"/>
    <w:rsid w:val="00433657"/>
    <w:rsid w:val="00440D6D"/>
    <w:rsid w:val="00442367"/>
    <w:rsid w:val="00460540"/>
    <w:rsid w:val="00461188"/>
    <w:rsid w:val="00473138"/>
    <w:rsid w:val="00477698"/>
    <w:rsid w:val="00493B27"/>
    <w:rsid w:val="004A776B"/>
    <w:rsid w:val="004B7296"/>
    <w:rsid w:val="004C1375"/>
    <w:rsid w:val="004C1D95"/>
    <w:rsid w:val="004C2E76"/>
    <w:rsid w:val="004C5354"/>
    <w:rsid w:val="004E1300"/>
    <w:rsid w:val="004E4E34"/>
    <w:rsid w:val="00500C5E"/>
    <w:rsid w:val="00500E70"/>
    <w:rsid w:val="00504248"/>
    <w:rsid w:val="00506A3F"/>
    <w:rsid w:val="005146D6"/>
    <w:rsid w:val="00535E09"/>
    <w:rsid w:val="0055443A"/>
    <w:rsid w:val="005578B6"/>
    <w:rsid w:val="00562C8C"/>
    <w:rsid w:val="0056365A"/>
    <w:rsid w:val="00571F6C"/>
    <w:rsid w:val="00571F87"/>
    <w:rsid w:val="005861F2"/>
    <w:rsid w:val="005906BB"/>
    <w:rsid w:val="00597090"/>
    <w:rsid w:val="005B313E"/>
    <w:rsid w:val="005C2159"/>
    <w:rsid w:val="005C34EB"/>
    <w:rsid w:val="005C3A4C"/>
    <w:rsid w:val="005D7417"/>
    <w:rsid w:val="005E7CAB"/>
    <w:rsid w:val="005F27A1"/>
    <w:rsid w:val="005F4727"/>
    <w:rsid w:val="006252B9"/>
    <w:rsid w:val="00633454"/>
    <w:rsid w:val="00634EA2"/>
    <w:rsid w:val="006370BD"/>
    <w:rsid w:val="00652604"/>
    <w:rsid w:val="0066110E"/>
    <w:rsid w:val="00672872"/>
    <w:rsid w:val="00675B44"/>
    <w:rsid w:val="0068013E"/>
    <w:rsid w:val="0068772B"/>
    <w:rsid w:val="00693A4D"/>
    <w:rsid w:val="00694D87"/>
    <w:rsid w:val="006A5EA2"/>
    <w:rsid w:val="006B7800"/>
    <w:rsid w:val="006C0CC3"/>
    <w:rsid w:val="006D0485"/>
    <w:rsid w:val="006E14A9"/>
    <w:rsid w:val="006E2262"/>
    <w:rsid w:val="006E611E"/>
    <w:rsid w:val="007010C7"/>
    <w:rsid w:val="00726165"/>
    <w:rsid w:val="00731AC4"/>
    <w:rsid w:val="007638D8"/>
    <w:rsid w:val="00770F9E"/>
    <w:rsid w:val="00777CAA"/>
    <w:rsid w:val="00783734"/>
    <w:rsid w:val="0078648A"/>
    <w:rsid w:val="007A1768"/>
    <w:rsid w:val="007A1881"/>
    <w:rsid w:val="007A3A20"/>
    <w:rsid w:val="007B24C1"/>
    <w:rsid w:val="007B7097"/>
    <w:rsid w:val="007C5115"/>
    <w:rsid w:val="007C609E"/>
    <w:rsid w:val="007E3965"/>
    <w:rsid w:val="007F3456"/>
    <w:rsid w:val="0081264A"/>
    <w:rsid w:val="008137B5"/>
    <w:rsid w:val="008168E9"/>
    <w:rsid w:val="00826615"/>
    <w:rsid w:val="00826C5B"/>
    <w:rsid w:val="00832D82"/>
    <w:rsid w:val="00833808"/>
    <w:rsid w:val="008353A1"/>
    <w:rsid w:val="008365FD"/>
    <w:rsid w:val="00864949"/>
    <w:rsid w:val="00881BBB"/>
    <w:rsid w:val="008838D5"/>
    <w:rsid w:val="0089283D"/>
    <w:rsid w:val="0089393E"/>
    <w:rsid w:val="008A71C7"/>
    <w:rsid w:val="008C0768"/>
    <w:rsid w:val="008C1D0A"/>
    <w:rsid w:val="008C2059"/>
    <w:rsid w:val="008D1E25"/>
    <w:rsid w:val="008D40E7"/>
    <w:rsid w:val="008E6324"/>
    <w:rsid w:val="008F0DD4"/>
    <w:rsid w:val="0090200F"/>
    <w:rsid w:val="009046C2"/>
    <w:rsid w:val="009047E4"/>
    <w:rsid w:val="0091107A"/>
    <w:rsid w:val="009126B3"/>
    <w:rsid w:val="009152C4"/>
    <w:rsid w:val="00922703"/>
    <w:rsid w:val="0095079B"/>
    <w:rsid w:val="00953BA1"/>
    <w:rsid w:val="00954D08"/>
    <w:rsid w:val="00961207"/>
    <w:rsid w:val="0096268E"/>
    <w:rsid w:val="00972FDE"/>
    <w:rsid w:val="0097309B"/>
    <w:rsid w:val="009930CA"/>
    <w:rsid w:val="009A6C6B"/>
    <w:rsid w:val="009A794D"/>
    <w:rsid w:val="009C33E1"/>
    <w:rsid w:val="009C3467"/>
    <w:rsid w:val="009C7815"/>
    <w:rsid w:val="009D2D73"/>
    <w:rsid w:val="00A12B87"/>
    <w:rsid w:val="00A15F08"/>
    <w:rsid w:val="00A175E9"/>
    <w:rsid w:val="00A21819"/>
    <w:rsid w:val="00A22B86"/>
    <w:rsid w:val="00A45CF4"/>
    <w:rsid w:val="00A52A71"/>
    <w:rsid w:val="00A573DC"/>
    <w:rsid w:val="00A6339A"/>
    <w:rsid w:val="00A63E40"/>
    <w:rsid w:val="00A70681"/>
    <w:rsid w:val="00A725A4"/>
    <w:rsid w:val="00A83290"/>
    <w:rsid w:val="00A91937"/>
    <w:rsid w:val="00AA3221"/>
    <w:rsid w:val="00AD2F06"/>
    <w:rsid w:val="00AD4D7C"/>
    <w:rsid w:val="00AE59DF"/>
    <w:rsid w:val="00B24A8B"/>
    <w:rsid w:val="00B24E0E"/>
    <w:rsid w:val="00B32578"/>
    <w:rsid w:val="00B42E00"/>
    <w:rsid w:val="00B462AB"/>
    <w:rsid w:val="00B57187"/>
    <w:rsid w:val="00B706F8"/>
    <w:rsid w:val="00B74021"/>
    <w:rsid w:val="00B80FB2"/>
    <w:rsid w:val="00B817AE"/>
    <w:rsid w:val="00B908C2"/>
    <w:rsid w:val="00BA28CD"/>
    <w:rsid w:val="00BA72BF"/>
    <w:rsid w:val="00BB728E"/>
    <w:rsid w:val="00BD3621"/>
    <w:rsid w:val="00BE0046"/>
    <w:rsid w:val="00C129F8"/>
    <w:rsid w:val="00C14698"/>
    <w:rsid w:val="00C221AD"/>
    <w:rsid w:val="00C24B14"/>
    <w:rsid w:val="00C2519F"/>
    <w:rsid w:val="00C26653"/>
    <w:rsid w:val="00C27D67"/>
    <w:rsid w:val="00C337A4"/>
    <w:rsid w:val="00C344DB"/>
    <w:rsid w:val="00C40812"/>
    <w:rsid w:val="00C44327"/>
    <w:rsid w:val="00C807E8"/>
    <w:rsid w:val="00C969CC"/>
    <w:rsid w:val="00CA373C"/>
    <w:rsid w:val="00CA4F84"/>
    <w:rsid w:val="00CA5F53"/>
    <w:rsid w:val="00CC79D2"/>
    <w:rsid w:val="00CD1639"/>
    <w:rsid w:val="00CD3EFA"/>
    <w:rsid w:val="00CE3D00"/>
    <w:rsid w:val="00CE78D1"/>
    <w:rsid w:val="00CF7BB4"/>
    <w:rsid w:val="00CF7EEC"/>
    <w:rsid w:val="00D07290"/>
    <w:rsid w:val="00D1127C"/>
    <w:rsid w:val="00D11990"/>
    <w:rsid w:val="00D14240"/>
    <w:rsid w:val="00D150FB"/>
    <w:rsid w:val="00D1614C"/>
    <w:rsid w:val="00D21526"/>
    <w:rsid w:val="00D62C4D"/>
    <w:rsid w:val="00D64462"/>
    <w:rsid w:val="00D704AD"/>
    <w:rsid w:val="00D73295"/>
    <w:rsid w:val="00D8016C"/>
    <w:rsid w:val="00D91224"/>
    <w:rsid w:val="00D92A3D"/>
    <w:rsid w:val="00DB0A6B"/>
    <w:rsid w:val="00DB28EB"/>
    <w:rsid w:val="00DB5112"/>
    <w:rsid w:val="00DB6366"/>
    <w:rsid w:val="00E0098A"/>
    <w:rsid w:val="00E25569"/>
    <w:rsid w:val="00E322B8"/>
    <w:rsid w:val="00E46666"/>
    <w:rsid w:val="00E511E9"/>
    <w:rsid w:val="00E601A2"/>
    <w:rsid w:val="00E6380D"/>
    <w:rsid w:val="00E72597"/>
    <w:rsid w:val="00E74BBE"/>
    <w:rsid w:val="00E74C3B"/>
    <w:rsid w:val="00E77198"/>
    <w:rsid w:val="00E83E23"/>
    <w:rsid w:val="00E94524"/>
    <w:rsid w:val="00E9518E"/>
    <w:rsid w:val="00EA342F"/>
    <w:rsid w:val="00EA3AD1"/>
    <w:rsid w:val="00EB1217"/>
    <w:rsid w:val="00EB1248"/>
    <w:rsid w:val="00EC0183"/>
    <w:rsid w:val="00EC08EF"/>
    <w:rsid w:val="00ED236E"/>
    <w:rsid w:val="00ED7490"/>
    <w:rsid w:val="00EE03CA"/>
    <w:rsid w:val="00EE7199"/>
    <w:rsid w:val="00EF2AAF"/>
    <w:rsid w:val="00F3220D"/>
    <w:rsid w:val="00F3602F"/>
    <w:rsid w:val="00F64417"/>
    <w:rsid w:val="00F72055"/>
    <w:rsid w:val="00F764AD"/>
    <w:rsid w:val="00F77A8E"/>
    <w:rsid w:val="00F95A2D"/>
    <w:rsid w:val="00F978E2"/>
    <w:rsid w:val="00F97BA9"/>
    <w:rsid w:val="00FA4E25"/>
    <w:rsid w:val="00FA6BEA"/>
    <w:rsid w:val="00FB2A03"/>
    <w:rsid w:val="00FB7D1F"/>
    <w:rsid w:val="00FC1E56"/>
    <w:rsid w:val="00FC5140"/>
    <w:rsid w:val="00FC7C1D"/>
    <w:rsid w:val="00FD69F5"/>
    <w:rsid w:val="00FD7757"/>
    <w:rsid w:val="00FD7F94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1B6C5C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39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605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46054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oSpacing">
    <w:name w:val="No Spacing"/>
    <w:uiPriority w:val="1"/>
    <w:qFormat/>
    <w:rsid w:val="004605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6054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605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ezproreda1">
    <w:name w:val="Bez proreda1"/>
    <w:rsid w:val="00460540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6054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0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5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540"/>
    <w:rPr>
      <w:b/>
      <w:bCs/>
    </w:rPr>
  </w:style>
  <w:style w:type="paragraph" w:styleId="Revision">
    <w:name w:val="Revision"/>
    <w:hidden/>
    <w:uiPriority w:val="99"/>
    <w:semiHidden/>
    <w:rsid w:val="00460540"/>
  </w:style>
  <w:style w:type="character" w:customStyle="1" w:styleId="pt-zadanifontodlomka-000003">
    <w:name w:val="pt-zadanifontodlomka-000003"/>
    <w:basedOn w:val="DefaultParagraphFont"/>
    <w:rsid w:val="00460540"/>
  </w:style>
  <w:style w:type="paragraph" w:customStyle="1" w:styleId="box458625">
    <w:name w:val="box_458625"/>
    <w:basedOn w:val="Normal"/>
    <w:rsid w:val="0046054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60540"/>
    <w:rPr>
      <w:color w:val="0000FF"/>
      <w:u w:val="single"/>
    </w:rPr>
  </w:style>
  <w:style w:type="numbering" w:customStyle="1" w:styleId="Bezpopisa1">
    <w:name w:val="Bez popisa1"/>
    <w:next w:val="NoList"/>
    <w:uiPriority w:val="99"/>
    <w:semiHidden/>
    <w:unhideWhenUsed/>
    <w:rsid w:val="005D7417"/>
  </w:style>
  <w:style w:type="numbering" w:customStyle="1" w:styleId="Bezpopisa2">
    <w:name w:val="Bez popisa2"/>
    <w:next w:val="NoList"/>
    <w:uiPriority w:val="99"/>
    <w:semiHidden/>
    <w:unhideWhenUsed/>
    <w:rsid w:val="00D64462"/>
  </w:style>
  <w:style w:type="numbering" w:customStyle="1" w:styleId="Bezpopisa3">
    <w:name w:val="Bez popisa3"/>
    <w:next w:val="NoList"/>
    <w:uiPriority w:val="99"/>
    <w:semiHidden/>
    <w:unhideWhenUsed/>
    <w:rsid w:val="007C5115"/>
  </w:style>
  <w:style w:type="character" w:customStyle="1" w:styleId="Heading1Char">
    <w:name w:val="Heading 1 Char"/>
    <w:basedOn w:val="DefaultParagraphFont"/>
    <w:link w:val="Heading1"/>
    <w:rsid w:val="008939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-9-8">
    <w:name w:val="t-9-8"/>
    <w:basedOn w:val="Normal"/>
    <w:rsid w:val="0089393E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770F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A91F2-9796-4CE5-B988-D3C30295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1766</Words>
  <Characters>10068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Larisa Petrić</cp:lastModifiedBy>
  <cp:revision>9</cp:revision>
  <cp:lastPrinted>2024-06-11T08:45:00Z</cp:lastPrinted>
  <dcterms:created xsi:type="dcterms:W3CDTF">2024-06-18T09:10:00Z</dcterms:created>
  <dcterms:modified xsi:type="dcterms:W3CDTF">2024-06-20T07:56:00Z</dcterms:modified>
</cp:coreProperties>
</file>