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CDF8D" w14:textId="77777777" w:rsidR="00F274C4" w:rsidRPr="00F274C4" w:rsidRDefault="00F274C4" w:rsidP="00F2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78F85F" w14:textId="77777777" w:rsidR="00F274C4" w:rsidRPr="00F274C4" w:rsidRDefault="00F274C4" w:rsidP="00F27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421487D" wp14:editId="0BE69D8F">
            <wp:extent cx="504825" cy="685800"/>
            <wp:effectExtent l="0" t="0" r="9525" b="0"/>
            <wp:docPr id="1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0750" w14:textId="77777777" w:rsidR="00F274C4" w:rsidRPr="00F274C4" w:rsidRDefault="00F274C4" w:rsidP="00F274C4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126E67C0" w14:textId="098A643A" w:rsidR="00F274C4" w:rsidRPr="00F274C4" w:rsidRDefault="00F274C4" w:rsidP="00F27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643E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 listopada </w:t>
      </w:r>
      <w:bookmarkStart w:id="0" w:name="_GoBack"/>
      <w:bookmarkEnd w:id="0"/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</w:p>
    <w:p w14:paraId="308EE281" w14:textId="77777777" w:rsidR="00F274C4" w:rsidRPr="00F274C4" w:rsidRDefault="00F274C4" w:rsidP="00F27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9439B7" w14:textId="77777777" w:rsidR="00F274C4" w:rsidRPr="00F274C4" w:rsidRDefault="00F274C4" w:rsidP="00F27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770CED" w14:textId="77777777" w:rsidR="00F274C4" w:rsidRPr="00F274C4" w:rsidRDefault="00F274C4" w:rsidP="00F27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7CC37" w14:textId="77777777" w:rsidR="00F274C4" w:rsidRPr="00F274C4" w:rsidRDefault="00F274C4" w:rsidP="00F27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A25E61" w14:textId="77777777" w:rsidR="00F274C4" w:rsidRPr="00F274C4" w:rsidRDefault="00F274C4" w:rsidP="00F27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0B8793" w14:textId="77777777" w:rsidR="00F274C4" w:rsidRPr="00F274C4" w:rsidRDefault="00F274C4" w:rsidP="00F27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5D1886" w14:textId="77777777" w:rsidR="00F274C4" w:rsidRPr="00F274C4" w:rsidRDefault="00F274C4" w:rsidP="00F27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2ABEB" w14:textId="77777777" w:rsidR="00F274C4" w:rsidRPr="00F274C4" w:rsidRDefault="00F274C4" w:rsidP="00F27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0A04AD" w14:textId="7063217B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 w:rsidR="00892E46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F274C4" w:rsidRPr="00F274C4" w14:paraId="295A56D9" w14:textId="77777777" w:rsidTr="007E0D12">
        <w:tc>
          <w:tcPr>
            <w:tcW w:w="1951" w:type="dxa"/>
            <w:hideMark/>
          </w:tcPr>
          <w:p w14:paraId="0862446E" w14:textId="77777777" w:rsidR="00F274C4" w:rsidRPr="00F274C4" w:rsidRDefault="00F274C4" w:rsidP="00F274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7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274C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F27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hideMark/>
          </w:tcPr>
          <w:p w14:paraId="3CE7F2CC" w14:textId="2ED96F96" w:rsidR="00F274C4" w:rsidRPr="00F274C4" w:rsidRDefault="00F274C4" w:rsidP="00F27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7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Ministarstvo </w:t>
            </w:r>
            <w:r w:rsidR="00C03212" w:rsidRPr="00F27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pravosuđa</w:t>
            </w:r>
            <w:r w:rsidRPr="00F27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uprave i digitalne transformacije</w:t>
            </w:r>
          </w:p>
        </w:tc>
      </w:tr>
    </w:tbl>
    <w:p w14:paraId="09C29B67" w14:textId="2608513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 w:rsidR="00892E46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F274C4" w:rsidRPr="00F274C4" w14:paraId="25D32FC6" w14:textId="77777777" w:rsidTr="007E0D12">
        <w:tc>
          <w:tcPr>
            <w:tcW w:w="1951" w:type="dxa"/>
            <w:hideMark/>
          </w:tcPr>
          <w:p w14:paraId="09D0665C" w14:textId="77777777" w:rsidR="00F274C4" w:rsidRPr="00F274C4" w:rsidRDefault="00F274C4" w:rsidP="00F274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74C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F27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</w:tcPr>
          <w:p w14:paraId="050E97C5" w14:textId="0A88BC4A" w:rsidR="00F274C4" w:rsidRPr="00F274C4" w:rsidRDefault="00F274C4" w:rsidP="00F27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7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Prijedlog amandmana </w:t>
            </w:r>
            <w:r w:rsidRPr="00F274C4">
              <w:rPr>
                <w:rFonts w:ascii="Times New Roman" w:eastAsia="Calibri" w:hAnsi="Times New Roman" w:cs="Times New Roman"/>
                <w:sz w:val="24"/>
                <w:szCs w:val="24"/>
              </w:rPr>
              <w:t>Vlade Republike Hrvatske na Konačni prijedlog zakona o izmjenama i dopunama Zakona o zemljišnim knjigama</w:t>
            </w:r>
          </w:p>
          <w:p w14:paraId="1BE11AF0" w14:textId="77777777" w:rsidR="00F274C4" w:rsidRPr="00F274C4" w:rsidRDefault="00F274C4" w:rsidP="00F27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1DC7674" w14:textId="33468967" w:rsidR="00F274C4" w:rsidRPr="00F274C4" w:rsidRDefault="00892E46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14:paraId="71B90A77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D37EA0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ADA2A7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45DB67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FEC620" w14:textId="4B468A6C" w:rsidR="00F274C4" w:rsidRDefault="00F274C4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391D36" w14:textId="6622817F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CEE018" w14:textId="1F77D555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3FE4D6" w14:textId="553AC01B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E8A7E5" w14:textId="7D7DDF18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E492EE" w14:textId="3BE58E00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857229" w14:textId="4A7978C5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1AEA5F" w14:textId="709DF8F4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649C8D" w14:textId="69D6CD6C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93A057" w14:textId="6A7B3053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F9D0C6" w14:textId="14CAEFA2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EC2D0C" w14:textId="77777777" w:rsidR="003B1303" w:rsidRDefault="003B1303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F1A0E1" w14:textId="77777777" w:rsidR="00892E46" w:rsidRDefault="00892E46" w:rsidP="00F274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42F928" w14:textId="0CCA56BB" w:rsidR="00F274C4" w:rsidRPr="00892E46" w:rsidRDefault="00F274C4" w:rsidP="00892E4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5D33E6" w14:textId="77777777" w:rsidR="00F274C4" w:rsidRPr="00F274C4" w:rsidRDefault="00F274C4" w:rsidP="00F274C4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4"/>
          <w:lang w:val="en-US"/>
        </w:rPr>
      </w:pPr>
      <w:r w:rsidRPr="00F274C4">
        <w:rPr>
          <w:rFonts w:ascii="Times New Roman" w:eastAsia="Times New Roman" w:hAnsi="Times New Roman" w:cs="Times New Roman"/>
          <w:color w:val="404040"/>
          <w:spacing w:val="20"/>
          <w:sz w:val="20"/>
          <w:szCs w:val="24"/>
          <w:lang w:val="en-US"/>
        </w:rPr>
        <w:t>Banski dvori | Trg Sv. Marka 2 | 10000 Zagreb | tel. 01 4569 222 | vlada.gov.hr</w:t>
      </w:r>
    </w:p>
    <w:p w14:paraId="569CB327" w14:textId="496DF769" w:rsidR="00F274C4" w:rsidRDefault="00F274C4" w:rsidP="00F274C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B948D2" w14:textId="512B5351" w:rsidR="00892E46" w:rsidRDefault="00892E4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62818A8" w14:textId="77777777" w:rsidR="00892E46" w:rsidRPr="00F274C4" w:rsidRDefault="00892E46" w:rsidP="00892E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91CCA3" w14:textId="77777777" w:rsidR="00F274C4" w:rsidRPr="00F274C4" w:rsidRDefault="00F274C4" w:rsidP="00F274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647183" w14:textId="1BF3C671" w:rsidR="00F274C4" w:rsidRDefault="00EA2FC5" w:rsidP="00EA2FC5">
      <w:pPr>
        <w:spacing w:after="0" w:line="276" w:lineRule="auto"/>
        <w:ind w:left="708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PRIJEDLOG</w:t>
      </w:r>
    </w:p>
    <w:p w14:paraId="025CC782" w14:textId="77777777" w:rsidR="00EA2FC5" w:rsidRDefault="00EA2FC5" w:rsidP="00F274C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63A8CC" w14:textId="72109CD0" w:rsidR="00F274C4" w:rsidRPr="00F274C4" w:rsidRDefault="00EA2FC5" w:rsidP="00F274C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274C4">
        <w:rPr>
          <w:rFonts w:ascii="Times New Roman" w:eastAsia="Calibri" w:hAnsi="Times New Roman" w:cs="Times New Roman"/>
          <w:bCs/>
          <w:sz w:val="24"/>
          <w:szCs w:val="24"/>
        </w:rPr>
        <w:t>KLASA:</w:t>
      </w:r>
    </w:p>
    <w:p w14:paraId="4A4F7DD7" w14:textId="562307CD" w:rsidR="00F274C4" w:rsidRPr="00F274C4" w:rsidRDefault="00EA2FC5" w:rsidP="00F274C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274C4">
        <w:rPr>
          <w:rFonts w:ascii="Times New Roman" w:eastAsia="Calibri" w:hAnsi="Times New Roman" w:cs="Times New Roman"/>
          <w:bCs/>
          <w:sz w:val="24"/>
          <w:szCs w:val="24"/>
        </w:rPr>
        <w:t>URBROJ:</w:t>
      </w:r>
    </w:p>
    <w:p w14:paraId="669B71E0" w14:textId="3C5E8817" w:rsidR="00F274C4" w:rsidRDefault="00F274C4" w:rsidP="00F274C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97A73D" w14:textId="77777777" w:rsidR="00EA2FC5" w:rsidRPr="00F274C4" w:rsidRDefault="00EA2FC5" w:rsidP="00F274C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6C973B" w14:textId="77777777" w:rsidR="00F274C4" w:rsidRPr="00F274C4" w:rsidRDefault="00F274C4" w:rsidP="00F274C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274C4">
        <w:rPr>
          <w:rFonts w:ascii="Times New Roman" w:eastAsia="Calibri" w:hAnsi="Times New Roman" w:cs="Times New Roman"/>
          <w:bCs/>
          <w:sz w:val="24"/>
          <w:szCs w:val="24"/>
        </w:rPr>
        <w:t xml:space="preserve">Zagreb, </w:t>
      </w:r>
      <w:r w:rsidRPr="00F274C4">
        <w:rPr>
          <w:rFonts w:ascii="Times New Roman" w:eastAsia="Calibri" w:hAnsi="Times New Roman" w:cs="Times New Roman"/>
          <w:bCs/>
          <w:sz w:val="24"/>
          <w:szCs w:val="24"/>
        </w:rPr>
        <w:tab/>
        <w:t>2024.</w:t>
      </w:r>
    </w:p>
    <w:p w14:paraId="6DA7C9CA" w14:textId="01F78137" w:rsidR="00F274C4" w:rsidRDefault="00F274C4" w:rsidP="00F274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24DB59" w14:textId="77777777" w:rsidR="00EA2FC5" w:rsidRPr="00F274C4" w:rsidRDefault="00EA2FC5" w:rsidP="00F274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F5409E" w14:textId="77777777" w:rsidR="00F274C4" w:rsidRPr="00F274C4" w:rsidRDefault="00F274C4" w:rsidP="00F274C4">
      <w:pPr>
        <w:spacing w:after="0" w:line="276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F274C4">
        <w:rPr>
          <w:rFonts w:ascii="Times New Roman" w:eastAsia="Calibri" w:hAnsi="Times New Roman" w:cs="Times New Roman"/>
          <w:b/>
          <w:sz w:val="24"/>
          <w:szCs w:val="24"/>
        </w:rPr>
        <w:t>PREDSJEDNIKU HRVATSKOGA SABORA</w:t>
      </w:r>
    </w:p>
    <w:p w14:paraId="20DFF8E3" w14:textId="77777777" w:rsidR="003B1303" w:rsidRPr="00F274C4" w:rsidRDefault="003B1303" w:rsidP="00F274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D796EF" w14:textId="77777777" w:rsidR="00F274C4" w:rsidRPr="00F274C4" w:rsidRDefault="00F274C4" w:rsidP="00F274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C60957" w14:textId="77777777" w:rsidR="00F274C4" w:rsidRPr="00F274C4" w:rsidRDefault="00F274C4" w:rsidP="00F274C4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4C4">
        <w:rPr>
          <w:rFonts w:ascii="Times New Roman" w:eastAsia="Calibri" w:hAnsi="Times New Roman" w:cs="Times New Roman"/>
          <w:sz w:val="24"/>
          <w:szCs w:val="24"/>
        </w:rPr>
        <w:t xml:space="preserve">Predmet: </w:t>
      </w:r>
      <w:r w:rsidRPr="00F274C4">
        <w:rPr>
          <w:rFonts w:ascii="Times New Roman" w:eastAsia="Calibri" w:hAnsi="Times New Roman" w:cs="Times New Roman"/>
          <w:sz w:val="24"/>
          <w:szCs w:val="24"/>
        </w:rPr>
        <w:tab/>
        <w:t xml:space="preserve">Konačni prijedlog zakona o izmjenama i dopunama Zakona o zemljišnim knjigama  </w:t>
      </w:r>
    </w:p>
    <w:p w14:paraId="3461497D" w14:textId="1F29C475" w:rsidR="00F274C4" w:rsidRPr="00F274C4" w:rsidRDefault="008A6219" w:rsidP="008A6219">
      <w:pPr>
        <w:spacing w:after="0" w:line="240" w:lineRule="auto"/>
        <w:ind w:left="1410" w:hanging="7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274C4" w:rsidRPr="00F274C4">
        <w:rPr>
          <w:rFonts w:ascii="Times New Roman" w:eastAsia="Calibri" w:hAnsi="Times New Roman" w:cs="Times New Roman"/>
          <w:sz w:val="24"/>
          <w:szCs w:val="24"/>
        </w:rPr>
        <w:t>- amandmani Vlade</w:t>
      </w:r>
    </w:p>
    <w:p w14:paraId="134D160E" w14:textId="77777777" w:rsidR="00F274C4" w:rsidRPr="00F274C4" w:rsidRDefault="00F274C4" w:rsidP="00F274C4">
      <w:pPr>
        <w:spacing w:after="0" w:line="240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</w:p>
    <w:p w14:paraId="0F53E22B" w14:textId="77777777" w:rsidR="00F274C4" w:rsidRPr="00F274C4" w:rsidRDefault="00F274C4" w:rsidP="003B13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4C4">
        <w:rPr>
          <w:rFonts w:ascii="Times New Roman" w:eastAsia="Calibri" w:hAnsi="Times New Roman" w:cs="Times New Roman"/>
          <w:sz w:val="24"/>
          <w:szCs w:val="24"/>
        </w:rPr>
        <w:t>Na temelju članka 85. Ustava Republike Hrvatske („Narodne novine“, br. 56/90., 135/97., 8/98., 113/00., 124/00., 28/01., 41/01., 55/01., 76/10., 85/10. i 5/14.) i članka 196. Poslovnika Hrvatskoga sabora („Narodne novine“, br. 81/13., 113/16., 69/17., 29/18. 53/20., 119/20., 123/20. i 86/23.), Vlada Republike Hrvatske na Konačni prijedlog zakona o izmjenama i dopunama Zakona o zemljišnim knjigama podnosi sljedeće</w:t>
      </w:r>
    </w:p>
    <w:p w14:paraId="00139F1F" w14:textId="22D7BBC4" w:rsidR="00EA2FC5" w:rsidRDefault="00EA2FC5" w:rsidP="00F2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4B1516" w14:textId="77777777" w:rsidR="00892E46" w:rsidRPr="00F274C4" w:rsidRDefault="00892E46" w:rsidP="00F2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76048" w14:textId="77777777" w:rsidR="00F274C4" w:rsidRPr="00F274C4" w:rsidRDefault="00F274C4" w:rsidP="00F274C4">
      <w:pPr>
        <w:tabs>
          <w:tab w:val="center" w:pos="451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C4">
        <w:rPr>
          <w:rFonts w:ascii="Times New Roman" w:eastAsia="Calibri" w:hAnsi="Times New Roman" w:cs="Times New Roman"/>
          <w:sz w:val="24"/>
          <w:szCs w:val="24"/>
        </w:rPr>
        <w:tab/>
      </w:r>
      <w:r w:rsidRPr="00F274C4">
        <w:rPr>
          <w:rFonts w:ascii="Times New Roman" w:eastAsia="Times New Roman" w:hAnsi="Times New Roman" w:cs="Times New Roman"/>
          <w:b/>
          <w:sz w:val="24"/>
          <w:szCs w:val="24"/>
        </w:rPr>
        <w:t>A M A N D M A N E</w:t>
      </w:r>
    </w:p>
    <w:p w14:paraId="31C6A286" w14:textId="77777777" w:rsidR="00EA2FC5" w:rsidRPr="00F274C4" w:rsidRDefault="00EA2FC5" w:rsidP="00892E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648FD8" w14:textId="77777777" w:rsidR="00F274C4" w:rsidRPr="00F274C4" w:rsidRDefault="00F274C4" w:rsidP="00F274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74C4">
        <w:rPr>
          <w:rFonts w:ascii="Times New Roman" w:eastAsia="Calibri" w:hAnsi="Times New Roman" w:cs="Times New Roman"/>
          <w:b/>
          <w:bCs/>
          <w:sz w:val="24"/>
          <w:szCs w:val="24"/>
        </w:rPr>
        <w:t>Amandman I.</w:t>
      </w:r>
    </w:p>
    <w:p w14:paraId="2EEF40F7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C01FF" w14:textId="77777777" w:rsidR="00F274C4" w:rsidRPr="00F274C4" w:rsidRDefault="00F274C4" w:rsidP="00F274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4C4">
        <w:rPr>
          <w:rFonts w:ascii="Times New Roman" w:eastAsia="Calibri" w:hAnsi="Times New Roman" w:cs="Times New Roman"/>
          <w:sz w:val="24"/>
          <w:szCs w:val="24"/>
        </w:rPr>
        <w:t>Članak 12. mijenja se i glasi:</w:t>
      </w:r>
    </w:p>
    <w:p w14:paraId="1B056B4E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F256BE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Calibri" w:hAnsi="Times New Roman" w:cs="Times New Roman"/>
          <w:sz w:val="24"/>
          <w:szCs w:val="24"/>
        </w:rPr>
        <w:t>„</w:t>
      </w: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125. mijenja se i glasi:</w:t>
      </w:r>
    </w:p>
    <w:p w14:paraId="20F694D6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8991B" w14:textId="6CE0170F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Stručnom ispitu za ovlaštenog zemljišnoknjižnog referenta može pristupiti službenik koji ima završenu razinu obrazovanja 7.1 </w:t>
      </w:r>
      <w:proofErr w:type="spellStart"/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sv</w:t>
      </w:r>
      <w:proofErr w:type="spellEnd"/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7.1 st Hrvatskog kvalifikacijskog okvira (dalje u tekstu: HKO) i najmanje jednu godinu radnog iskustva na zemljišnoknjižnim poslovima </w:t>
      </w:r>
      <w:r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>u istoj razini obrazovanja.</w:t>
      </w:r>
    </w:p>
    <w:p w14:paraId="7AD65F98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1E52AB" w14:textId="54FDD402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Stručnom ispitu za ovlaštenog zemljišnoknjižnog referenta može pristupiti </w:t>
      </w:r>
      <w:bookmarkStart w:id="1" w:name="_Hlk177476377"/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službenik koji ima završenu razinu obrazovanja 6. </w:t>
      </w:r>
      <w:proofErr w:type="spellStart"/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sv</w:t>
      </w:r>
      <w:proofErr w:type="spellEnd"/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6. st HKO </w:t>
      </w:r>
      <w:bookmarkEnd w:id="1"/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i najmanje tri godine radnog iskustva na zemljišnoknjižnim poslovima.</w:t>
      </w:r>
    </w:p>
    <w:p w14:paraId="5F5614C1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671785" w14:textId="77333802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(3) Službenik pristup</w:t>
      </w:r>
      <w:r w:rsid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polaganju stručnom ispitu za ovlaštenog zemljišnoknjižnog referenta u roku od godine dana od stjecanja uvjeta iz stavaka 1. i 2. ovoga članka. </w:t>
      </w:r>
    </w:p>
    <w:p w14:paraId="01FDEFE9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E95FAA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(4) Stručni ispit iz stavaka 1. i 2. ovoga članka polaže se kod ministarstva nadležnog za poslove pravosuđa.</w:t>
      </w:r>
    </w:p>
    <w:p w14:paraId="6507C211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ACF7AE" w14:textId="48F5D44B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(5) Program i način polaganja stručnog ispita iz stavka 1. i 2. ovoga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uredit</w:t>
      </w: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pravilnikom koji donosi ministar nadležan za poslove pravosuđa.“.</w:t>
      </w:r>
    </w:p>
    <w:p w14:paraId="07A6C640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0386E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EC159" w14:textId="77777777" w:rsidR="00F274C4" w:rsidRPr="00F274C4" w:rsidRDefault="00F274C4" w:rsidP="00F274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4C4">
        <w:rPr>
          <w:rFonts w:ascii="Times New Roman" w:eastAsia="Calibri" w:hAnsi="Times New Roman" w:cs="Times New Roman"/>
          <w:sz w:val="24"/>
          <w:szCs w:val="24"/>
        </w:rPr>
        <w:t>Obrazloženje:</w:t>
      </w:r>
    </w:p>
    <w:p w14:paraId="22EC666D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EF3F76" w14:textId="4E4FB164" w:rsidR="003D40F4" w:rsidRDefault="00F274C4" w:rsidP="008563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76501745"/>
      <w:r w:rsidRPr="00F274C4">
        <w:rPr>
          <w:rFonts w:ascii="Times New Roman" w:eastAsia="Calibri" w:hAnsi="Times New Roman" w:cs="Times New Roman"/>
          <w:sz w:val="24"/>
          <w:szCs w:val="24"/>
        </w:rPr>
        <w:t>Predlaže se izmijeniti članak 12. Konačnog prijedloga zakona o izmjenama i dopunama Zakona o zemljišnim knjigama</w:t>
      </w:r>
      <w:bookmarkEnd w:id="2"/>
      <w:r w:rsidRPr="00F274C4">
        <w:rPr>
          <w:rFonts w:ascii="Times New Roman" w:eastAsia="Calibri" w:hAnsi="Times New Roman" w:cs="Times New Roman"/>
          <w:sz w:val="24"/>
          <w:szCs w:val="24"/>
        </w:rPr>
        <w:t xml:space="preserve"> kojim se mijenja članak 125. Zakona o zemljišnim knjigama </w:t>
      </w:r>
      <w:r w:rsidR="006117A0">
        <w:rPr>
          <w:rFonts w:ascii="Times New Roman" w:eastAsia="Calibri" w:hAnsi="Times New Roman" w:cs="Times New Roman"/>
          <w:sz w:val="24"/>
          <w:szCs w:val="24"/>
        </w:rPr>
        <w:t>na</w:t>
      </w:r>
      <w:r w:rsidRPr="00F27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7A0">
        <w:rPr>
          <w:rFonts w:ascii="Times New Roman" w:eastAsia="Calibri" w:hAnsi="Times New Roman" w:cs="Times New Roman"/>
          <w:sz w:val="24"/>
          <w:szCs w:val="24"/>
        </w:rPr>
        <w:t>način da se za potrebne formalne uvjete</w:t>
      </w:r>
      <w:r w:rsidR="006117A0" w:rsidRPr="006221E2">
        <w:rPr>
          <w:rFonts w:ascii="Times New Roman" w:eastAsia="Calibri" w:hAnsi="Times New Roman" w:cs="Times New Roman"/>
          <w:sz w:val="24"/>
          <w:szCs w:val="24"/>
        </w:rPr>
        <w:t xml:space="preserve"> za polaganje stručnog ispita za ovlaštenog </w:t>
      </w:r>
      <w:r w:rsidR="006117A0" w:rsidRPr="00F274C4">
        <w:rPr>
          <w:rFonts w:ascii="Times New Roman" w:eastAsia="Calibri" w:hAnsi="Times New Roman" w:cs="Times New Roman"/>
          <w:sz w:val="24"/>
          <w:szCs w:val="24"/>
        </w:rPr>
        <w:t>zemljišnoknjižn</w:t>
      </w:r>
      <w:r w:rsidR="006117A0">
        <w:rPr>
          <w:rFonts w:ascii="Times New Roman" w:eastAsia="Calibri" w:hAnsi="Times New Roman" w:cs="Times New Roman"/>
          <w:sz w:val="24"/>
          <w:szCs w:val="24"/>
        </w:rPr>
        <w:t>og</w:t>
      </w:r>
      <w:r w:rsidR="006117A0" w:rsidRPr="00F274C4">
        <w:rPr>
          <w:rFonts w:ascii="Times New Roman" w:eastAsia="Calibri" w:hAnsi="Times New Roman" w:cs="Times New Roman"/>
          <w:sz w:val="24"/>
          <w:szCs w:val="24"/>
        </w:rPr>
        <w:t xml:space="preserve"> referen</w:t>
      </w:r>
      <w:r w:rsidR="006117A0">
        <w:rPr>
          <w:rFonts w:ascii="Times New Roman" w:eastAsia="Calibri" w:hAnsi="Times New Roman" w:cs="Times New Roman"/>
          <w:sz w:val="24"/>
          <w:szCs w:val="24"/>
        </w:rPr>
        <w:t>ta propisuje potrebna viša razina kvalifikacije od dosadašnje</w:t>
      </w:r>
      <w:r w:rsidR="002534E7">
        <w:rPr>
          <w:rFonts w:ascii="Times New Roman" w:eastAsia="Calibri" w:hAnsi="Times New Roman" w:cs="Times New Roman"/>
          <w:sz w:val="24"/>
          <w:szCs w:val="24"/>
        </w:rPr>
        <w:t xml:space="preserve"> (stručnom ispitu moći </w:t>
      </w:r>
      <w:r w:rsidR="002C4726"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="002534E7">
        <w:rPr>
          <w:rFonts w:ascii="Times New Roman" w:eastAsia="Calibri" w:hAnsi="Times New Roman" w:cs="Times New Roman"/>
          <w:sz w:val="24"/>
          <w:szCs w:val="24"/>
        </w:rPr>
        <w:t xml:space="preserve">pristupiti službenik s višom i visokom stručnom spremom odnosno </w:t>
      </w:r>
      <w:r w:rsidR="002534E7"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službenik koji ima završenu razinu obrazovanja 6. </w:t>
      </w:r>
      <w:proofErr w:type="spellStart"/>
      <w:r w:rsidR="002534E7"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sv</w:t>
      </w:r>
      <w:proofErr w:type="spellEnd"/>
      <w:r w:rsidR="002534E7"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6. st HKO</w:t>
      </w:r>
      <w:r w:rsidR="00253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-a ili </w:t>
      </w:r>
      <w:r w:rsidR="002534E7"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7.1 </w:t>
      </w:r>
      <w:proofErr w:type="spellStart"/>
      <w:r w:rsidR="002534E7"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sv</w:t>
      </w:r>
      <w:proofErr w:type="spellEnd"/>
      <w:r w:rsidR="002534E7"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7.1 st</w:t>
      </w:r>
      <w:r w:rsidR="00253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HKO-a</w:t>
      </w:r>
      <w:r w:rsidR="00DA12B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2534E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117A0" w:rsidRPr="00DA12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117A0">
        <w:rPr>
          <w:rFonts w:ascii="Times New Roman" w:eastAsia="Calibri" w:hAnsi="Times New Roman" w:cs="Times New Roman"/>
          <w:sz w:val="24"/>
          <w:szCs w:val="24"/>
        </w:rPr>
        <w:t>a sve radi potrebe za visoko obrazovanim kadrom za rad na sve složenijim zemljišnoknjižnim poslovima</w:t>
      </w:r>
      <w:r w:rsidR="002534E7">
        <w:rPr>
          <w:rFonts w:ascii="Times New Roman" w:eastAsia="Calibri" w:hAnsi="Times New Roman" w:cs="Times New Roman"/>
          <w:sz w:val="24"/>
          <w:szCs w:val="24"/>
        </w:rPr>
        <w:t>.</w:t>
      </w:r>
      <w:r w:rsidR="006117A0">
        <w:rPr>
          <w:rFonts w:ascii="Times New Roman" w:eastAsia="Calibri" w:hAnsi="Times New Roman" w:cs="Times New Roman"/>
          <w:sz w:val="24"/>
          <w:szCs w:val="24"/>
        </w:rPr>
        <w:t xml:space="preserve"> Po položenom stručnom ispitu službenici će se moći rasporediti </w:t>
      </w:r>
      <w:r w:rsidR="006117A0" w:rsidRPr="00F274C4">
        <w:rPr>
          <w:rFonts w:ascii="Times New Roman" w:eastAsia="Calibri" w:hAnsi="Times New Roman" w:cs="Times New Roman"/>
          <w:sz w:val="24"/>
          <w:szCs w:val="24"/>
        </w:rPr>
        <w:t>na radna mjesta koja su propisana Uredbom o nazivima radnih mjesta, uvjetima za raspored i koeficijentima za obračun plaće u državnoj službi („Narodne novine“, broj 22/24.)</w:t>
      </w:r>
      <w:r w:rsidR="006117A0">
        <w:rPr>
          <w:rFonts w:ascii="Times New Roman" w:eastAsia="Calibri" w:hAnsi="Times New Roman" w:cs="Times New Roman"/>
          <w:sz w:val="24"/>
          <w:szCs w:val="24"/>
        </w:rPr>
        <w:t>.</w:t>
      </w:r>
      <w:r w:rsidR="002534E7">
        <w:rPr>
          <w:rFonts w:ascii="Times New Roman" w:eastAsia="Calibri" w:hAnsi="Times New Roman" w:cs="Times New Roman"/>
          <w:sz w:val="24"/>
          <w:szCs w:val="24"/>
        </w:rPr>
        <w:t xml:space="preserve"> Također, iz odredbe se briše uvjet </w:t>
      </w:r>
      <w:r w:rsidR="002C4726">
        <w:rPr>
          <w:rFonts w:ascii="Times New Roman" w:eastAsia="Calibri" w:hAnsi="Times New Roman" w:cs="Times New Roman"/>
          <w:sz w:val="24"/>
          <w:szCs w:val="24"/>
        </w:rPr>
        <w:t xml:space="preserve">da stručnom ispitu može pristupiti samo službenik s određenom </w:t>
      </w:r>
      <w:r w:rsidR="002534E7">
        <w:rPr>
          <w:rFonts w:ascii="Times New Roman" w:eastAsia="Calibri" w:hAnsi="Times New Roman" w:cs="Times New Roman"/>
          <w:sz w:val="24"/>
          <w:szCs w:val="24"/>
        </w:rPr>
        <w:t>struk</w:t>
      </w:r>
      <w:r w:rsidR="002C4726">
        <w:rPr>
          <w:rFonts w:ascii="Times New Roman" w:eastAsia="Calibri" w:hAnsi="Times New Roman" w:cs="Times New Roman"/>
          <w:sz w:val="24"/>
          <w:szCs w:val="24"/>
        </w:rPr>
        <w:t>om</w:t>
      </w:r>
      <w:r w:rsidR="00253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726">
        <w:rPr>
          <w:rFonts w:ascii="Times New Roman" w:eastAsia="Calibri" w:hAnsi="Times New Roman" w:cs="Times New Roman"/>
          <w:sz w:val="24"/>
          <w:szCs w:val="24"/>
        </w:rPr>
        <w:t xml:space="preserve">(područje </w:t>
      </w:r>
      <w:r w:rsidR="002534E7">
        <w:rPr>
          <w:rFonts w:ascii="Times New Roman" w:eastAsia="Calibri" w:hAnsi="Times New Roman" w:cs="Times New Roman"/>
          <w:sz w:val="24"/>
          <w:szCs w:val="24"/>
        </w:rPr>
        <w:t>javn</w:t>
      </w:r>
      <w:r w:rsidR="002C4726">
        <w:rPr>
          <w:rFonts w:ascii="Times New Roman" w:eastAsia="Calibri" w:hAnsi="Times New Roman" w:cs="Times New Roman"/>
          <w:sz w:val="24"/>
          <w:szCs w:val="24"/>
        </w:rPr>
        <w:t>e</w:t>
      </w:r>
      <w:r w:rsidR="002534E7">
        <w:rPr>
          <w:rFonts w:ascii="Times New Roman" w:eastAsia="Calibri" w:hAnsi="Times New Roman" w:cs="Times New Roman"/>
          <w:sz w:val="24"/>
          <w:szCs w:val="24"/>
        </w:rPr>
        <w:t xml:space="preserve"> uprav</w:t>
      </w:r>
      <w:r w:rsidR="002C4726">
        <w:rPr>
          <w:rFonts w:ascii="Times New Roman" w:eastAsia="Calibri" w:hAnsi="Times New Roman" w:cs="Times New Roman"/>
          <w:sz w:val="24"/>
          <w:szCs w:val="24"/>
        </w:rPr>
        <w:t>e)</w:t>
      </w:r>
      <w:r w:rsidR="002534E7">
        <w:rPr>
          <w:rFonts w:ascii="Times New Roman" w:eastAsia="Calibri" w:hAnsi="Times New Roman" w:cs="Times New Roman"/>
          <w:sz w:val="24"/>
          <w:szCs w:val="24"/>
        </w:rPr>
        <w:t xml:space="preserve"> koji je propisan važećim Zakonom o zemljišnim knjigama, </w:t>
      </w:r>
      <w:r w:rsidR="002C4726">
        <w:rPr>
          <w:rFonts w:ascii="Times New Roman" w:eastAsia="Calibri" w:hAnsi="Times New Roman" w:cs="Times New Roman"/>
          <w:sz w:val="24"/>
          <w:szCs w:val="24"/>
        </w:rPr>
        <w:t xml:space="preserve">jer takav uvjet ograničava broj službenika koji može pristupiti stručnom ispitu za ovlaštenog zemljišnoknjižnog referenta, što je suprotno tendenciji povećanja broja službenika s položenim stručnim ispitom radi podizanja kvalitete rada službenika na zemljišnoknjižnim predmetima. </w:t>
      </w:r>
    </w:p>
    <w:p w14:paraId="1A19E8E7" w14:textId="77777777" w:rsidR="006117A0" w:rsidRDefault="006117A0" w:rsidP="003D4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EB1CB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8786F9" w14:textId="77777777" w:rsidR="00F274C4" w:rsidRPr="00F274C4" w:rsidRDefault="00F274C4" w:rsidP="00F274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74C4">
        <w:rPr>
          <w:rFonts w:ascii="Times New Roman" w:eastAsia="Calibri" w:hAnsi="Times New Roman" w:cs="Times New Roman"/>
          <w:b/>
          <w:bCs/>
          <w:sz w:val="24"/>
          <w:szCs w:val="24"/>
        </w:rPr>
        <w:t>Amandman II.</w:t>
      </w:r>
    </w:p>
    <w:p w14:paraId="2951CA36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74598" w14:textId="77777777" w:rsidR="00F274C4" w:rsidRPr="00F274C4" w:rsidRDefault="00F274C4" w:rsidP="00F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4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>„Članak 49. mijenja se i glasi:</w:t>
      </w:r>
    </w:p>
    <w:p w14:paraId="33DA02DE" w14:textId="77777777" w:rsidR="00FC106F" w:rsidRDefault="00FC106F" w:rsidP="00FC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DF81A8" w14:textId="6082A38E" w:rsidR="00AA68D1" w:rsidRDefault="00FC106F" w:rsidP="00FC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F274C4"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Stručnom ispitu za ovlaštenog zemljišnoknjižnog referenta mogu pristupiti i službenici koji </w:t>
      </w:r>
      <w:r w:rsidR="00AA68D1"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F274C4"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68D1"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 stupanja na snagu ovoga Zakona zatečeni na radnom mjestu zemljišnoknjižnog referenta</w:t>
      </w:r>
      <w:r w:rsidR="008279A9"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A68D1"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nakon položenog stručnog ispita za ovlaštenog zemljišnoknjižnog referenta mogu biti raspoređeni na radno mjesto ovlaštenog zemljišnoknjižnog referenta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III. vrste </w:t>
      </w:r>
      <w:r w:rsidR="00AA68D1"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>neovisno o uvjetima utvrđenim za to radno mjesto u propisima koji se odnose na državne službenike.</w:t>
      </w:r>
    </w:p>
    <w:p w14:paraId="387AF2CD" w14:textId="46C928A8" w:rsidR="00FC106F" w:rsidRDefault="00FC106F" w:rsidP="00FC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3C952" w14:textId="606A4B33" w:rsidR="00FC106F" w:rsidRPr="00FC106F" w:rsidRDefault="00FC106F" w:rsidP="00FC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Stručnom ispitu za ovlaštenog zemljišnoknjižnog referenta mogu pristupiti i službenici koji su na dan stupanja na snagu ovoga Zakona zatečeni na radnom mjestu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višeg </w:t>
      </w:r>
      <w:r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zemljišnoknjižnog referenta, te nakon položenog stručnog ispita za ovlaštenog zemljišnoknjižnog referenta mogu biti raspoređeni na radno mjesto ovlaštenog zemljišnoknjižnog referenta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vrste </w:t>
      </w:r>
      <w:r w:rsidRPr="00FC106F">
        <w:rPr>
          <w:rFonts w:ascii="Times New Roman" w:eastAsia="Times New Roman" w:hAnsi="Times New Roman" w:cs="Times New Roman"/>
          <w:sz w:val="24"/>
          <w:szCs w:val="24"/>
          <w:lang w:eastAsia="hr-HR"/>
        </w:rPr>
        <w:t>neovisno o uvjetima utvrđenim za to radno mjesto u propisima koji se odnose na državne službenike.</w:t>
      </w:r>
      <w:r w:rsidR="00FA3878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6F914FB3" w14:textId="77777777" w:rsidR="00F274C4" w:rsidRPr="00F274C4" w:rsidRDefault="00F274C4" w:rsidP="00F274C4">
      <w:pPr>
        <w:widowControl w:val="0"/>
        <w:tabs>
          <w:tab w:val="left" w:pos="-7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B70BA" w14:textId="77777777" w:rsidR="00F274C4" w:rsidRPr="00F274C4" w:rsidRDefault="00F274C4" w:rsidP="00F274C4">
      <w:pPr>
        <w:widowControl w:val="0"/>
        <w:tabs>
          <w:tab w:val="left" w:pos="-7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74C4">
        <w:rPr>
          <w:rFonts w:ascii="Times New Roman" w:eastAsia="Times New Roman" w:hAnsi="Times New Roman" w:cs="Times New Roman"/>
          <w:sz w:val="24"/>
          <w:szCs w:val="24"/>
        </w:rPr>
        <w:t>Obrazloženje:</w:t>
      </w:r>
    </w:p>
    <w:p w14:paraId="30105C39" w14:textId="77777777" w:rsidR="00F274C4" w:rsidRPr="00F274C4" w:rsidRDefault="00F274C4" w:rsidP="00F274C4">
      <w:pPr>
        <w:widowControl w:val="0"/>
        <w:tabs>
          <w:tab w:val="left" w:pos="-720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EC993" w14:textId="77777777" w:rsidR="00F274C4" w:rsidRPr="00F274C4" w:rsidRDefault="00F274C4" w:rsidP="00F274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4C4">
        <w:rPr>
          <w:rFonts w:ascii="Times New Roman" w:eastAsia="Calibri" w:hAnsi="Times New Roman" w:cs="Times New Roman"/>
          <w:sz w:val="24"/>
          <w:szCs w:val="24"/>
        </w:rPr>
        <w:t xml:space="preserve">Predlaže se izmijeniti članak 49. Konačnog prijedloga zakona o izmjenama i dopunama Zakona o zemljišnim knjigama radi zadržavanja postojećeg kadra na općinskim sudovima i to zemljišnoknjižnim odjelima. U Republici Hrvatskoj zemljišnoknjižni predmeti rješavaju se na 30 općinskih sudova u kojima djeluju 62 stalne službe sa 109 zemljišnoknjižnih odjela. U 109 zemljišnoknjižnih odjela zaposleno je bilo na dan 31.12.2023. 774 zemljišnoknjižnih službenika. Prema dodijeljenom ovlaštenju za samostalnu izradu odluka u zemljišnoknjižnim predmetima, 68,22% zemljišnoknjižnih službenika je ovlašteno samostalno izrađivati odluke u zemljišnoknjižnim predmetima (odnosno imaju položen stručni ispit za ovlaštenog zemljišnoknjižnog referenta dok 31,78% čine zemljišnoknjižni službenici bez posebnog </w:t>
      </w:r>
      <w:r w:rsidRPr="00F274C4">
        <w:rPr>
          <w:rFonts w:ascii="Times New Roman" w:eastAsia="Calibri" w:hAnsi="Times New Roman" w:cs="Times New Roman"/>
          <w:sz w:val="24"/>
          <w:szCs w:val="24"/>
        </w:rPr>
        <w:lastRenderedPageBreak/>
        <w:t>ovlaštenja (prema podacima Godišnjeg</w:t>
      </w:r>
      <w:r w:rsidRPr="00F27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274C4">
        <w:rPr>
          <w:rFonts w:ascii="Times New Roman" w:eastAsia="Calibri" w:hAnsi="Times New Roman" w:cs="Times New Roman"/>
          <w:sz w:val="24"/>
          <w:szCs w:val="24"/>
        </w:rPr>
        <w:t>izvješća o zemljišnoknjižnim predmetima općinskih sudova u Republici Hrvatskoj za 2023. godinu). Godišnje se zaprima iznimno velik broj zemljišnoknjižnih predmeta pa je tako u 2023. godini zaprimljeno  575.462 zemljišnoknjižnih predmeta, u 2022. godini 616.408 zemljišnoknjižnih predmeta. Rješavanje navedenih predmeta je od strateškog značaja obzirom se rješavaju imovinskopravni odnosi te se povećava kvaliteta podataka u zemljišnim knjigama što u konačnici dovodi do veće pravne sigurnosti, ostvarivanje   preduvjeta za bolju investicijsku klimu i dobivanja zajmova odnosno značajni su za gospodarski razvoj Republike Hrvatske. Dodatno se predlaže uskladiti odredbu i s odredbama Uredbe o nazivima radnih mjesta, uvjetima za raspored i koeficijentima za obračun plaće u državnoj službi („Narodne novine“, broj 22/24.) radi mogućnosti rasporeda na radna mjesta ovlaštenih zemljišnoknjižnih referenata kao i potrebnih kvalifikacija mjesta da bi se zatečeni službenici po položenom stručnom ispitu mogli rasporediti na radna mjesta, a sve sukladno č</w:t>
      </w:r>
      <w:r w:rsidRPr="00F274C4">
        <w:rPr>
          <w:rFonts w:ascii="Times New Roman" w:eastAsia="Times New Roman" w:hAnsi="Times New Roman" w:cs="Times New Roman"/>
          <w:sz w:val="24"/>
          <w:szCs w:val="24"/>
        </w:rPr>
        <w:t>anku 42. Zakonu o državnim službenicima („Narodne novine“, broj 155/23.) prema kojoj rješenjem čelnik tijela odlučuje o prijmu u državnu službu, rasporedu na radno mjesto, premještaju, napredovanju, plaći, produženju roka za polaganje državnog ispita, stavljanju na raspolaganje te prestanku državne službe.</w:t>
      </w:r>
    </w:p>
    <w:p w14:paraId="12780890" w14:textId="77777777" w:rsidR="00F274C4" w:rsidRPr="00F274C4" w:rsidRDefault="00F274C4" w:rsidP="00F27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D2F0B" w14:textId="77777777" w:rsidR="00F274C4" w:rsidRPr="00F274C4" w:rsidRDefault="00F274C4" w:rsidP="00F274C4">
      <w:pPr>
        <w:widowControl w:val="0"/>
        <w:tabs>
          <w:tab w:val="left" w:pos="-720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26B5A" w14:textId="77777777" w:rsidR="00F274C4" w:rsidRPr="00F274C4" w:rsidRDefault="00F274C4" w:rsidP="00F274C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4D1191" w14:textId="77777777" w:rsidR="00F274C4" w:rsidRPr="00EA2FC5" w:rsidRDefault="00F274C4" w:rsidP="00F274C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2FC5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4D2A2EEC" w14:textId="77777777" w:rsidR="00F274C4" w:rsidRPr="00F274C4" w:rsidRDefault="00F274C4" w:rsidP="00EA2F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56EDF2" w14:textId="77777777" w:rsidR="00F274C4" w:rsidRPr="00F274C4" w:rsidRDefault="00F274C4" w:rsidP="00F274C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74C4">
        <w:rPr>
          <w:rFonts w:ascii="Times New Roman" w:eastAsia="Calibri" w:hAnsi="Times New Roman" w:cs="Times New Roman"/>
          <w:sz w:val="24"/>
          <w:szCs w:val="24"/>
        </w:rPr>
        <w:t>mr. sc. Andrej Plenković</w:t>
      </w:r>
    </w:p>
    <w:p w14:paraId="6E570082" w14:textId="149303F2" w:rsidR="005151AA" w:rsidRDefault="005151AA"/>
    <w:sectPr w:rsidR="0051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373CA"/>
    <w:multiLevelType w:val="hybridMultilevel"/>
    <w:tmpl w:val="A1B4E71E"/>
    <w:lvl w:ilvl="0" w:tplc="A2B6B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C4"/>
    <w:rsid w:val="002534E7"/>
    <w:rsid w:val="002C4726"/>
    <w:rsid w:val="003B1303"/>
    <w:rsid w:val="003D40F4"/>
    <w:rsid w:val="005151AA"/>
    <w:rsid w:val="006117A0"/>
    <w:rsid w:val="006221E2"/>
    <w:rsid w:val="00643E8E"/>
    <w:rsid w:val="006B31D0"/>
    <w:rsid w:val="008279A9"/>
    <w:rsid w:val="00856394"/>
    <w:rsid w:val="00892E46"/>
    <w:rsid w:val="008A6219"/>
    <w:rsid w:val="008B25B9"/>
    <w:rsid w:val="009D15A5"/>
    <w:rsid w:val="00AA68D1"/>
    <w:rsid w:val="00C03212"/>
    <w:rsid w:val="00D92437"/>
    <w:rsid w:val="00DA12B4"/>
    <w:rsid w:val="00E55DEE"/>
    <w:rsid w:val="00EA2FC5"/>
    <w:rsid w:val="00F21801"/>
    <w:rsid w:val="00F274C4"/>
    <w:rsid w:val="00FA3878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33A8"/>
  <w15:chartTrackingRefBased/>
  <w15:docId w15:val="{53F71EA0-3A01-48B2-AA20-388D3656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5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AZJMDCZ6QSYZ-886166611-4386</_dlc_DocId>
    <_dlc_DocIdUrl xmlns="a494813a-d0d8-4dad-94cb-0d196f36ba15">
      <Url>https://ekoordinacije.vlada.hr/unutarnja-ljudska/_layouts/15/DocIdRedir.aspx?ID=AZJMDCZ6QSYZ-886166611-4386</Url>
      <Description>AZJMDCZ6QSYZ-886166611-4386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8C34-9BAA-426A-BA8F-F59828586A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EE2272-CCEF-4891-A6B2-1682BC0AB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695AF-6E15-43B6-B502-5A8CBC89CDD1}">
  <ds:schemaRefs>
    <ds:schemaRef ds:uri="a494813a-d0d8-4dad-94cb-0d196f36ba1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A1AF42E-D8C0-4765-BE8E-F6BF8F6E8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92DFC9-5E38-45E0-959A-D5CB8A19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Sobota</dc:creator>
  <cp:keywords/>
  <dc:description/>
  <cp:lastModifiedBy>Mladen Duvnjak</cp:lastModifiedBy>
  <cp:revision>10</cp:revision>
  <cp:lastPrinted>2024-09-18T05:24:00Z</cp:lastPrinted>
  <dcterms:created xsi:type="dcterms:W3CDTF">2024-09-18T05:25:00Z</dcterms:created>
  <dcterms:modified xsi:type="dcterms:W3CDTF">2024-09-26T13:16:00Z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7ce74263-9e85-45e2-9cb9-0f5cb709c196</vt:lpwstr>
  </property>
</Properties>
</file>