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35B3" w14:textId="61B83D09" w:rsidR="00977D28" w:rsidRDefault="00977D28" w:rsidP="00977D28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eastAsia="en-US"/>
        </w:rPr>
      </w:pPr>
    </w:p>
    <w:p w14:paraId="740A6A6B" w14:textId="72117F89" w:rsidR="00977D28" w:rsidRDefault="00977D28" w:rsidP="00977D28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eastAsia="en-US"/>
        </w:rPr>
      </w:pPr>
    </w:p>
    <w:p w14:paraId="2456ADBF" w14:textId="77777777" w:rsidR="00977D28" w:rsidRPr="00977D28" w:rsidRDefault="00977D28" w:rsidP="00977D28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eastAsia="en-US"/>
        </w:rPr>
      </w:pPr>
    </w:p>
    <w:p w14:paraId="4B2EED7E" w14:textId="77777777" w:rsidR="00977D28" w:rsidRDefault="00977D28" w:rsidP="00977D28">
      <w:pPr>
        <w:ind w:firstLine="709"/>
        <w:jc w:val="both"/>
        <w:rPr>
          <w:rFonts w:eastAsia="Calibri"/>
          <w:b/>
          <w:lang w:eastAsia="en-US"/>
        </w:rPr>
      </w:pPr>
    </w:p>
    <w:p w14:paraId="6259CFF7" w14:textId="77777777" w:rsidR="00977D28" w:rsidRPr="00C101CA" w:rsidRDefault="00977D28" w:rsidP="00977D28">
      <w:pPr>
        <w:ind w:firstLine="709"/>
        <w:jc w:val="both"/>
        <w:rPr>
          <w:rFonts w:eastAsia="Calibri"/>
          <w:b/>
          <w:lang w:eastAsia="en-US"/>
        </w:rPr>
      </w:pPr>
    </w:p>
    <w:p w14:paraId="2A8C24BA" w14:textId="77777777" w:rsidR="00977D28" w:rsidRDefault="00977D28" w:rsidP="00977D28">
      <w:pPr>
        <w:ind w:firstLine="708"/>
        <w:jc w:val="both"/>
        <w:rPr>
          <w:b/>
        </w:rPr>
      </w:pPr>
    </w:p>
    <w:p w14:paraId="5D69BFEC" w14:textId="77777777" w:rsidR="00977D28" w:rsidRDefault="00977D28" w:rsidP="00977D28">
      <w:pPr>
        <w:ind w:firstLine="708"/>
        <w:jc w:val="both"/>
        <w:rPr>
          <w:b/>
        </w:rPr>
      </w:pPr>
    </w:p>
    <w:p w14:paraId="3CF49E18" w14:textId="77777777" w:rsidR="00977D28" w:rsidRDefault="00977D28" w:rsidP="00977D28">
      <w:pPr>
        <w:jc w:val="center"/>
        <w:rPr>
          <w:rFonts w:ascii="Calibri" w:eastAsia="Calibri" w:hAnsi="Calibri"/>
          <w:noProof/>
          <w:sz w:val="22"/>
          <w:szCs w:val="22"/>
          <w:lang w:eastAsia="en-US"/>
        </w:rPr>
      </w:pPr>
      <w:r>
        <w:tab/>
      </w:r>
      <w:r>
        <w:rPr>
          <w:noProof/>
        </w:rPr>
        <w:drawing>
          <wp:inline distT="0" distB="0" distL="0" distR="0" wp14:anchorId="7BCB66B4" wp14:editId="15112300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1E500" w14:textId="77777777" w:rsidR="00977D28" w:rsidRDefault="00977D28" w:rsidP="00977D28">
      <w:pPr>
        <w:spacing w:before="60" w:after="1680"/>
        <w:jc w:val="center"/>
      </w:pPr>
      <w:r>
        <w:rPr>
          <w:sz w:val="28"/>
        </w:rPr>
        <w:t>VLADA REPUBLIKE HRVATSKE</w:t>
      </w:r>
    </w:p>
    <w:p w14:paraId="399AE227" w14:textId="77777777" w:rsidR="00977D28" w:rsidRDefault="00977D28" w:rsidP="00977D28">
      <w:pPr>
        <w:spacing w:after="2400"/>
        <w:jc w:val="right"/>
        <w:sectPr w:rsidR="00977D28">
          <w:pgSz w:w="11906" w:h="16838"/>
          <w:pgMar w:top="993" w:right="1417" w:bottom="1417" w:left="1417" w:header="709" w:footer="658" w:gutter="0"/>
          <w:cols w:space="720"/>
        </w:sectPr>
      </w:pPr>
      <w:r>
        <w:t>Zagreb, 3. listopada 2024.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977D28" w14:paraId="1B034BB3" w14:textId="77777777" w:rsidTr="00D7770C">
        <w:trPr>
          <w:trHeight w:val="60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E2D201" w14:textId="77777777" w:rsidR="00977D28" w:rsidRDefault="00977D28" w:rsidP="00D7770C">
            <w:pPr>
              <w:widowControl w:val="0"/>
              <w:autoSpaceDE w:val="0"/>
              <w:autoSpaceDN w:val="0"/>
              <w:spacing w:line="360" w:lineRule="auto"/>
            </w:pPr>
            <w:r>
              <w:rPr>
                <w:b/>
                <w:smallCaps/>
              </w:rPr>
              <w:t>Predlagatelj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9F300D" w14:textId="77777777" w:rsidR="00977D28" w:rsidRDefault="00977D28" w:rsidP="00D7770C">
            <w:pPr>
              <w:widowControl w:val="0"/>
              <w:autoSpaceDE w:val="0"/>
              <w:autoSpaceDN w:val="0"/>
              <w:spacing w:line="360" w:lineRule="auto"/>
            </w:pPr>
            <w:r>
              <w:t>Ministarstvo obrane</w:t>
            </w:r>
          </w:p>
        </w:tc>
      </w:tr>
      <w:tr w:rsidR="00977D28" w14:paraId="1A6B512A" w14:textId="77777777" w:rsidTr="00D7770C">
        <w:trPr>
          <w:trHeight w:val="193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BD7DC" w14:textId="77777777" w:rsidR="00977D28" w:rsidRDefault="00977D28" w:rsidP="00D7770C">
            <w:pPr>
              <w:spacing w:line="360" w:lineRule="auto"/>
            </w:pPr>
            <w:r>
              <w:rPr>
                <w:b/>
                <w:smallCaps/>
              </w:rPr>
              <w:t>Predmet</w:t>
            </w:r>
            <w:r>
              <w:rPr>
                <w:b/>
              </w:rPr>
              <w:t xml:space="preserve">: </w:t>
            </w:r>
          </w:p>
          <w:p w14:paraId="7214F7D9" w14:textId="77777777" w:rsidR="00977D28" w:rsidRDefault="00977D28" w:rsidP="00D7770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6DC955" w14:textId="1C091B36" w:rsidR="00CC2087" w:rsidRPr="00CC2087" w:rsidRDefault="00CC2087" w:rsidP="00CC20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N</w:t>
            </w:r>
            <w:r w:rsidRPr="00CC2087">
              <w:rPr>
                <w:rFonts w:eastAsia="Calibri"/>
                <w:bCs/>
                <w:color w:val="000000"/>
                <w:lang w:eastAsia="en-US"/>
              </w:rPr>
              <w:t>acrt prijedloga odl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uke o prelasku granice Republike Hrvatske </w:t>
            </w:r>
            <w:r w:rsidR="009566D4">
              <w:rPr>
                <w:rFonts w:eastAsia="Calibri"/>
                <w:bCs/>
                <w:color w:val="000000"/>
                <w:lang w:eastAsia="en-US"/>
              </w:rPr>
              <w:t>o</w:t>
            </w:r>
            <w:r>
              <w:rPr>
                <w:rFonts w:eastAsia="Calibri"/>
                <w:bCs/>
                <w:color w:val="000000"/>
                <w:lang w:eastAsia="en-US"/>
              </w:rPr>
              <w:t>ružanih snaga država članica Europske unije i O</w:t>
            </w:r>
            <w:r w:rsidRPr="00CC2087">
              <w:rPr>
                <w:rFonts w:eastAsia="Calibri"/>
                <w:bCs/>
                <w:color w:val="000000"/>
                <w:lang w:eastAsia="en-US"/>
              </w:rPr>
              <w:t xml:space="preserve">ružanih snaga </w:t>
            </w:r>
            <w:r w:rsidR="002C386A">
              <w:rPr>
                <w:rFonts w:eastAsia="Calibri"/>
                <w:bCs/>
                <w:color w:val="000000"/>
                <w:lang w:eastAsia="en-US"/>
              </w:rPr>
              <w:t>R</w:t>
            </w:r>
            <w:r w:rsidRPr="00CC2087">
              <w:rPr>
                <w:rFonts w:eastAsia="Calibri"/>
                <w:bCs/>
                <w:color w:val="000000"/>
                <w:lang w:eastAsia="en-US"/>
              </w:rPr>
              <w:t xml:space="preserve">epublike </w:t>
            </w:r>
            <w:r w:rsidR="002C386A">
              <w:rPr>
                <w:rFonts w:eastAsia="Calibri"/>
                <w:bCs/>
                <w:color w:val="000000"/>
                <w:lang w:eastAsia="en-US"/>
              </w:rPr>
              <w:t>H</w:t>
            </w:r>
            <w:r w:rsidRPr="00CC2087">
              <w:rPr>
                <w:rFonts w:eastAsia="Calibri"/>
                <w:bCs/>
                <w:color w:val="000000"/>
                <w:lang w:eastAsia="en-US"/>
              </w:rPr>
              <w:t xml:space="preserve">rvatske angažiranih u okviru </w:t>
            </w:r>
            <w:r w:rsidR="002C386A">
              <w:rPr>
                <w:rFonts w:eastAsia="Calibri"/>
                <w:bCs/>
                <w:color w:val="000000"/>
                <w:lang w:eastAsia="en-US"/>
              </w:rPr>
              <w:t>K</w:t>
            </w:r>
            <w:r w:rsidRPr="00CC2087">
              <w:rPr>
                <w:rFonts w:eastAsia="Calibri"/>
                <w:bCs/>
                <w:color w:val="000000"/>
                <w:lang w:eastAsia="en-US"/>
              </w:rPr>
              <w:t>ap</w:t>
            </w:r>
            <w:r>
              <w:rPr>
                <w:rFonts w:eastAsia="Calibri"/>
                <w:bCs/>
                <w:color w:val="000000"/>
                <w:lang w:eastAsia="en-US"/>
              </w:rPr>
              <w:t>aciteta za brzo raspoređivanje E</w:t>
            </w:r>
            <w:r w:rsidRPr="00CC2087">
              <w:rPr>
                <w:rFonts w:eastAsia="Calibri"/>
                <w:bCs/>
                <w:color w:val="000000"/>
                <w:lang w:eastAsia="en-US"/>
              </w:rPr>
              <w:t>uropske unije u 2025. i 2026. godini</w:t>
            </w:r>
          </w:p>
          <w:p w14:paraId="1040A0F3" w14:textId="5AC554E1" w:rsidR="00977D28" w:rsidRDefault="00977D28" w:rsidP="00977D28">
            <w:pPr>
              <w:jc w:val="both"/>
            </w:pPr>
            <w:r>
              <w:t xml:space="preserve"> </w:t>
            </w:r>
          </w:p>
        </w:tc>
      </w:tr>
      <w:tr w:rsidR="00977D28" w14:paraId="6ACC5CE2" w14:textId="77777777" w:rsidTr="00D7770C">
        <w:trPr>
          <w:trHeight w:val="193"/>
        </w:trPr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5654B" w14:textId="77777777" w:rsidR="00977D28" w:rsidRDefault="00977D28" w:rsidP="00D7770C">
            <w:pPr>
              <w:spacing w:line="360" w:lineRule="auto"/>
              <w:rPr>
                <w:b/>
                <w:smallCaps/>
                <w:noProof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BA818" w14:textId="77777777" w:rsidR="00977D28" w:rsidRDefault="00977D28" w:rsidP="00D7770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14:paraId="3D1444D6" w14:textId="77777777" w:rsidR="00977D28" w:rsidRDefault="00977D28" w:rsidP="00977D28">
      <w:pPr>
        <w:rPr>
          <w:rFonts w:eastAsia="Calibri"/>
        </w:rPr>
      </w:pPr>
    </w:p>
    <w:p w14:paraId="4DA18D99" w14:textId="77777777" w:rsidR="00977D28" w:rsidRDefault="00977D28" w:rsidP="00977D28"/>
    <w:p w14:paraId="49C207D7" w14:textId="77777777" w:rsidR="00977D28" w:rsidRDefault="00977D28" w:rsidP="00977D28"/>
    <w:p w14:paraId="33B3941B" w14:textId="77777777" w:rsidR="00977D28" w:rsidRDefault="00977D28" w:rsidP="00977D28"/>
    <w:p w14:paraId="0B4590DA" w14:textId="77777777" w:rsidR="00977D28" w:rsidRDefault="00977D28" w:rsidP="00977D28"/>
    <w:p w14:paraId="06D2A1CA" w14:textId="77777777" w:rsidR="00977D28" w:rsidRDefault="00977D28" w:rsidP="00977D28"/>
    <w:p w14:paraId="59956466" w14:textId="77777777" w:rsidR="00977D28" w:rsidRDefault="00977D28" w:rsidP="00977D28"/>
    <w:p w14:paraId="533988BA" w14:textId="77777777" w:rsidR="00977D28" w:rsidRDefault="00977D28" w:rsidP="00977D28"/>
    <w:p w14:paraId="613F2215" w14:textId="77777777" w:rsidR="00977D28" w:rsidRDefault="00977D28" w:rsidP="00977D28"/>
    <w:p w14:paraId="4E0B69A7" w14:textId="77777777" w:rsidR="00977D28" w:rsidRDefault="00977D28" w:rsidP="00977D28"/>
    <w:p w14:paraId="26E10655" w14:textId="77777777" w:rsidR="00977D28" w:rsidRDefault="00977D28" w:rsidP="00977D28"/>
    <w:p w14:paraId="21BCBC7A" w14:textId="77777777" w:rsidR="00977D28" w:rsidRDefault="00977D28" w:rsidP="00977D28"/>
    <w:p w14:paraId="609766BD" w14:textId="77777777" w:rsidR="00977D28" w:rsidRDefault="00977D28" w:rsidP="00977D28"/>
    <w:p w14:paraId="2B4D595F" w14:textId="77777777" w:rsidR="00977D28" w:rsidRDefault="00977D28" w:rsidP="00977D28"/>
    <w:p w14:paraId="516A5CE4" w14:textId="77777777" w:rsidR="00977D28" w:rsidRDefault="00977D28" w:rsidP="00977D28">
      <w:pPr>
        <w:rPr>
          <w:rFonts w:ascii="Calibri" w:hAnsi="Calibri"/>
        </w:rPr>
      </w:pPr>
    </w:p>
    <w:p w14:paraId="787A6653" w14:textId="77777777" w:rsidR="00977D28" w:rsidRDefault="00977D28" w:rsidP="00977D28">
      <w:pPr>
        <w:pBdr>
          <w:top w:val="single" w:sz="4" w:space="1" w:color="404040"/>
        </w:pBdr>
        <w:tabs>
          <w:tab w:val="center" w:pos="4536"/>
          <w:tab w:val="right" w:pos="9072"/>
        </w:tabs>
        <w:rPr>
          <w:b/>
          <w:i/>
          <w:color w:val="404040"/>
          <w:spacing w:val="20"/>
          <w:sz w:val="20"/>
          <w:lang w:val="en-US"/>
        </w:rPr>
      </w:pPr>
      <w:r>
        <w:t xml:space="preserve">        </w:t>
      </w:r>
      <w:r>
        <w:rPr>
          <w:color w:val="404040"/>
          <w:spacing w:val="20"/>
          <w:sz w:val="20"/>
        </w:rPr>
        <w:t>Banski dvori | Trg Sv. Marka 2  | 10000 Zagreb | tel. 01 4569 222 | vlada.gov.hr</w:t>
      </w:r>
    </w:p>
    <w:p w14:paraId="0AB473A5" w14:textId="77777777" w:rsidR="00977D28" w:rsidRDefault="00977D28" w:rsidP="00977D28">
      <w:pPr>
        <w:rPr>
          <w:b/>
          <w:i/>
          <w:color w:val="404040"/>
          <w:spacing w:val="20"/>
          <w:sz w:val="20"/>
        </w:rPr>
        <w:sectPr w:rsidR="00977D28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</w:p>
    <w:p w14:paraId="47C52D39" w14:textId="77777777" w:rsidR="00977D28" w:rsidRDefault="00977D28" w:rsidP="00977D28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</w:p>
    <w:p w14:paraId="7264CAF5" w14:textId="77777777" w:rsidR="00977D28" w:rsidRDefault="00977D28" w:rsidP="00977D28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</w:p>
    <w:p w14:paraId="1FCAFE62" w14:textId="77777777" w:rsidR="00977D28" w:rsidRDefault="00977D28" w:rsidP="00977D28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VLADA REPUBLIKE HRVATSKE</w:t>
      </w:r>
    </w:p>
    <w:p w14:paraId="498DC64D" w14:textId="77777777" w:rsidR="00977D28" w:rsidRDefault="00977D28" w:rsidP="00977D28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</w:p>
    <w:p w14:paraId="5EFD4380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351362F0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43C75812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518A7DEF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490E1A08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3D098770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319DA80F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08450F29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5C6344DA" w14:textId="77777777" w:rsidR="00977D28" w:rsidRDefault="00977D28" w:rsidP="00977D28">
      <w:pPr>
        <w:autoSpaceDE w:val="0"/>
        <w:autoSpaceDN w:val="0"/>
        <w:adjustRightInd w:val="0"/>
        <w:rPr>
          <w:b/>
        </w:rPr>
      </w:pPr>
    </w:p>
    <w:p w14:paraId="6755386F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4B62E0FA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2B5DAAD1" w14:textId="77777777" w:rsidR="00977D28" w:rsidRDefault="00977D28" w:rsidP="00977D28">
      <w:pPr>
        <w:autoSpaceDE w:val="0"/>
        <w:autoSpaceDN w:val="0"/>
        <w:adjustRightInd w:val="0"/>
        <w:rPr>
          <w:b/>
        </w:rPr>
      </w:pPr>
    </w:p>
    <w:p w14:paraId="436EDF27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62F650F9" w14:textId="77777777" w:rsidR="00CC2087" w:rsidRPr="005E6CEB" w:rsidRDefault="00CC2087" w:rsidP="00CC2087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NACRT </w:t>
      </w:r>
      <w:r w:rsidRPr="005E6CEB">
        <w:rPr>
          <w:rFonts w:eastAsia="Calibri"/>
          <w:b/>
          <w:bCs/>
          <w:color w:val="000000"/>
          <w:lang w:eastAsia="en-US"/>
        </w:rPr>
        <w:t>PRIJEDLOG</w:t>
      </w:r>
      <w:r>
        <w:rPr>
          <w:rFonts w:eastAsia="Calibri"/>
          <w:b/>
          <w:bCs/>
          <w:color w:val="000000"/>
          <w:lang w:eastAsia="en-US"/>
        </w:rPr>
        <w:t>A</w:t>
      </w:r>
      <w:r w:rsidRPr="005E6CEB">
        <w:rPr>
          <w:rFonts w:eastAsia="Calibri"/>
          <w:b/>
          <w:bCs/>
          <w:color w:val="000000"/>
          <w:lang w:eastAsia="en-US"/>
        </w:rPr>
        <w:t xml:space="preserve"> ODLUKE O </w:t>
      </w:r>
      <w:r>
        <w:rPr>
          <w:rFonts w:eastAsia="Calibri"/>
          <w:b/>
          <w:bCs/>
          <w:color w:val="000000"/>
          <w:lang w:eastAsia="en-US"/>
        </w:rPr>
        <w:t>PRELASKU GRANICE REPUBLIKE HRVATSKE ORUŽANIH SNAGA DRŽAVA ČLANICA EUROPSKE UNIJE I ORUŽANIH SNAGA REPUBLIKE HRVATSKE ANGAŽIRANIH U OKVIRU KAPACITETA ZA BRZO RASPOREĐIVANJE EUROPSKE UNIJE U 2025. I 2026. GODINI</w:t>
      </w:r>
    </w:p>
    <w:p w14:paraId="67104715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7683E8E3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3D8A3AC2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7AFD0CB3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58DD2244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367872A1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45D261DB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3300E075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43AFB06F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46107A8D" w14:textId="77777777" w:rsidR="00977D28" w:rsidRDefault="00977D28" w:rsidP="00977D28">
      <w:pPr>
        <w:autoSpaceDE w:val="0"/>
        <w:autoSpaceDN w:val="0"/>
        <w:adjustRightInd w:val="0"/>
        <w:rPr>
          <w:b/>
        </w:rPr>
      </w:pPr>
    </w:p>
    <w:p w14:paraId="013A401A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32B9E6DC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20DA4F5B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72231555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46F65A13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73EA5441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7FAF3B25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007CEC43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53807685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024F9E4B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4378573F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7AB7E7F9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7C4B355D" w14:textId="77777777" w:rsidR="00977D28" w:rsidRDefault="00977D28" w:rsidP="00977D28">
      <w:pPr>
        <w:autoSpaceDE w:val="0"/>
        <w:autoSpaceDN w:val="0"/>
        <w:adjustRightInd w:val="0"/>
        <w:jc w:val="center"/>
        <w:rPr>
          <w:b/>
        </w:rPr>
      </w:pPr>
    </w:p>
    <w:p w14:paraId="6C4B1F01" w14:textId="77777777" w:rsidR="00977D28" w:rsidRDefault="00977D28" w:rsidP="00977D28">
      <w:pPr>
        <w:autoSpaceDE w:val="0"/>
        <w:autoSpaceDN w:val="0"/>
        <w:adjustRightInd w:val="0"/>
        <w:ind w:left="3540" w:firstLine="708"/>
        <w:jc w:val="both"/>
        <w:rPr>
          <w:b/>
          <w:bCs/>
        </w:rPr>
      </w:pPr>
      <w:r>
        <w:rPr>
          <w:bCs/>
        </w:rPr>
        <w:t>Zagreb, listopad 2024.</w:t>
      </w:r>
    </w:p>
    <w:p w14:paraId="2F7D8CF9" w14:textId="2F0340E2" w:rsidR="00977D28" w:rsidRDefault="00977D28">
      <w:pPr>
        <w:rPr>
          <w:rFonts w:eastAsia="Calibri"/>
          <w:b/>
          <w:bCs/>
          <w:color w:val="000000"/>
          <w:lang w:eastAsia="en-US"/>
        </w:rPr>
      </w:pPr>
    </w:p>
    <w:p w14:paraId="30CE356D" w14:textId="4091ABED" w:rsidR="00B472BA" w:rsidRPr="005E6CEB" w:rsidRDefault="0088627F" w:rsidP="00AB763D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NACRT </w:t>
      </w:r>
      <w:r w:rsidR="00B472BA" w:rsidRPr="005E6CEB">
        <w:rPr>
          <w:rFonts w:eastAsia="Calibri"/>
          <w:b/>
          <w:bCs/>
          <w:color w:val="000000"/>
          <w:lang w:eastAsia="en-US"/>
        </w:rPr>
        <w:t>PRIJEDLOG</w:t>
      </w:r>
      <w:r>
        <w:rPr>
          <w:rFonts w:eastAsia="Calibri"/>
          <w:b/>
          <w:bCs/>
          <w:color w:val="000000"/>
          <w:lang w:eastAsia="en-US"/>
        </w:rPr>
        <w:t>A</w:t>
      </w:r>
      <w:r w:rsidR="00B472BA" w:rsidRPr="005E6CEB">
        <w:rPr>
          <w:rFonts w:eastAsia="Calibri"/>
          <w:b/>
          <w:bCs/>
          <w:color w:val="000000"/>
          <w:lang w:eastAsia="en-US"/>
        </w:rPr>
        <w:t xml:space="preserve"> ODLUKE O </w:t>
      </w:r>
      <w:r w:rsidR="00B472BA">
        <w:rPr>
          <w:rFonts w:eastAsia="Calibri"/>
          <w:b/>
          <w:bCs/>
          <w:color w:val="000000"/>
          <w:lang w:eastAsia="en-US"/>
        </w:rPr>
        <w:t>PRELASKU GRANICE REPUBLIKE HRVATSKE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 w:rsidR="00B472BA">
        <w:rPr>
          <w:rFonts w:eastAsia="Calibri"/>
          <w:b/>
          <w:bCs/>
          <w:color w:val="000000"/>
          <w:lang w:eastAsia="en-US"/>
        </w:rPr>
        <w:t xml:space="preserve">ORUŽANIH SNAGA DRŽAVA ČLANICA </w:t>
      </w:r>
      <w:r w:rsidR="003376CF">
        <w:rPr>
          <w:rFonts w:eastAsia="Calibri"/>
          <w:b/>
          <w:bCs/>
          <w:color w:val="000000"/>
          <w:lang w:eastAsia="en-US"/>
        </w:rPr>
        <w:t>EUROPSKE UNIJE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 w:rsidR="00B472BA">
        <w:rPr>
          <w:rFonts w:eastAsia="Calibri"/>
          <w:b/>
          <w:bCs/>
          <w:color w:val="000000"/>
          <w:lang w:eastAsia="en-US"/>
        </w:rPr>
        <w:t>I ORUŽANIH SNAGA REPUBLIKE</w:t>
      </w:r>
      <w:r w:rsidR="003376CF">
        <w:rPr>
          <w:rFonts w:eastAsia="Calibri"/>
          <w:b/>
          <w:bCs/>
          <w:color w:val="000000"/>
          <w:lang w:eastAsia="en-US"/>
        </w:rPr>
        <w:t xml:space="preserve"> </w:t>
      </w:r>
      <w:r w:rsidR="00B472BA">
        <w:rPr>
          <w:rFonts w:eastAsia="Calibri"/>
          <w:b/>
          <w:bCs/>
          <w:color w:val="000000"/>
          <w:lang w:eastAsia="en-US"/>
        </w:rPr>
        <w:t>HRVATSKE ANGAŽIRANIH U OKVIRU KAPACITETA ZA BRZO</w:t>
      </w:r>
      <w:r w:rsidR="00D401F7">
        <w:rPr>
          <w:rFonts w:eastAsia="Calibri"/>
          <w:b/>
          <w:bCs/>
          <w:color w:val="000000"/>
          <w:lang w:eastAsia="en-US"/>
        </w:rPr>
        <w:t xml:space="preserve"> RASPOREĐIVANJE EUROPSKE UNIJE</w:t>
      </w:r>
      <w:r w:rsidR="008278D3">
        <w:rPr>
          <w:rFonts w:eastAsia="Calibri"/>
          <w:b/>
          <w:bCs/>
          <w:color w:val="000000"/>
          <w:lang w:eastAsia="en-US"/>
        </w:rPr>
        <w:t xml:space="preserve"> U 2025. I 2026. GODINI</w:t>
      </w:r>
    </w:p>
    <w:p w14:paraId="71E45563" w14:textId="77777777" w:rsidR="001C302F" w:rsidRDefault="001C302F" w:rsidP="00B472BA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</w:p>
    <w:p w14:paraId="7B78325B" w14:textId="39B9DD94" w:rsidR="001C302F" w:rsidRPr="006A4065" w:rsidRDefault="0088627F" w:rsidP="0088627F">
      <w:pPr>
        <w:autoSpaceDE w:val="0"/>
        <w:autoSpaceDN w:val="0"/>
        <w:adjustRightInd w:val="0"/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t>I.</w:t>
      </w:r>
      <w:r>
        <w:rPr>
          <w:b/>
          <w:bCs/>
          <w:color w:val="000000"/>
        </w:rPr>
        <w:tab/>
      </w:r>
      <w:r w:rsidR="001C302F" w:rsidRPr="006A4065">
        <w:rPr>
          <w:b/>
          <w:bCs/>
          <w:color w:val="000000"/>
        </w:rPr>
        <w:t>USTAVNA OSNOVA</w:t>
      </w:r>
      <w:r w:rsidR="00F03092" w:rsidRPr="006A4065">
        <w:rPr>
          <w:b/>
          <w:bCs/>
          <w:color w:val="000000"/>
        </w:rPr>
        <w:t xml:space="preserve"> ZA DONOŠENJE ODLUKE</w:t>
      </w:r>
    </w:p>
    <w:p w14:paraId="4D30B476" w14:textId="77777777" w:rsidR="00050A7A" w:rsidRPr="005E6CEB" w:rsidRDefault="00050A7A" w:rsidP="0092382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6087DFD1" w14:textId="6D846DC4" w:rsidR="008B38B7" w:rsidRPr="005E6CEB" w:rsidRDefault="00EC3462" w:rsidP="0026459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6CEB">
        <w:rPr>
          <w:color w:val="000000"/>
        </w:rPr>
        <w:t>Na temelju članka 7. stav</w:t>
      </w:r>
      <w:r w:rsidR="008278D3">
        <w:rPr>
          <w:color w:val="000000"/>
        </w:rPr>
        <w:t>a</w:t>
      </w:r>
      <w:r w:rsidRPr="005E6CEB">
        <w:rPr>
          <w:color w:val="000000"/>
        </w:rPr>
        <w:t xml:space="preserve">ka </w:t>
      </w:r>
      <w:r w:rsidR="008278D3">
        <w:rPr>
          <w:color w:val="000000"/>
        </w:rPr>
        <w:t xml:space="preserve">3. i </w:t>
      </w:r>
      <w:r w:rsidRPr="005E6CEB">
        <w:rPr>
          <w:color w:val="000000"/>
        </w:rPr>
        <w:t>5. Ustava Republike Hrvatske (Narodne novine, br. 85/10 – pročišćeni tekst i 5/14 – Odluka Ustavnog suda Republike Hrvatske</w:t>
      </w:r>
      <w:r w:rsidR="00D92A30">
        <w:rPr>
          <w:color w:val="000000"/>
        </w:rPr>
        <w:t xml:space="preserve">) </w:t>
      </w:r>
      <w:r w:rsidRPr="005E6CEB">
        <w:rPr>
          <w:color w:val="000000"/>
        </w:rPr>
        <w:t>pokreće se postupak za d</w:t>
      </w:r>
      <w:r w:rsidR="00F03092">
        <w:rPr>
          <w:color w:val="000000"/>
        </w:rPr>
        <w:t xml:space="preserve">onošenje Odluke o </w:t>
      </w:r>
      <w:r w:rsidR="0026459A" w:rsidRPr="0026459A">
        <w:rPr>
          <w:color w:val="000000"/>
        </w:rPr>
        <w:t xml:space="preserve">prelasku granice </w:t>
      </w:r>
      <w:r w:rsidR="0026459A">
        <w:rPr>
          <w:color w:val="000000"/>
        </w:rPr>
        <w:t>R</w:t>
      </w:r>
      <w:r w:rsidR="0026459A" w:rsidRPr="0026459A">
        <w:rPr>
          <w:color w:val="000000"/>
        </w:rPr>
        <w:t xml:space="preserve">epublike </w:t>
      </w:r>
      <w:r w:rsidR="0026459A">
        <w:rPr>
          <w:color w:val="000000"/>
        </w:rPr>
        <w:t>H</w:t>
      </w:r>
      <w:r w:rsidR="0026459A" w:rsidRPr="0026459A">
        <w:rPr>
          <w:color w:val="000000"/>
        </w:rPr>
        <w:t>rvatske</w:t>
      </w:r>
      <w:r w:rsidR="0026459A">
        <w:rPr>
          <w:color w:val="000000"/>
        </w:rPr>
        <w:t xml:space="preserve"> </w:t>
      </w:r>
      <w:r w:rsidR="0026459A" w:rsidRPr="0026459A">
        <w:rPr>
          <w:color w:val="000000"/>
        </w:rPr>
        <w:t xml:space="preserve">oružanih snaga država članica </w:t>
      </w:r>
      <w:r w:rsidR="002478B4">
        <w:rPr>
          <w:color w:val="000000"/>
        </w:rPr>
        <w:t>Europske unije</w:t>
      </w:r>
      <w:r w:rsidR="0026459A" w:rsidRPr="0026459A">
        <w:rPr>
          <w:color w:val="000000"/>
        </w:rPr>
        <w:t xml:space="preserve"> i </w:t>
      </w:r>
      <w:r w:rsidR="002478B4">
        <w:rPr>
          <w:color w:val="000000"/>
        </w:rPr>
        <w:t>O</w:t>
      </w:r>
      <w:r w:rsidR="0026459A" w:rsidRPr="0026459A">
        <w:rPr>
          <w:color w:val="000000"/>
        </w:rPr>
        <w:t xml:space="preserve">ružanih snaga </w:t>
      </w:r>
      <w:r w:rsidR="0026459A">
        <w:rPr>
          <w:color w:val="000000"/>
        </w:rPr>
        <w:t>R</w:t>
      </w:r>
      <w:r w:rsidR="0026459A" w:rsidRPr="0026459A">
        <w:rPr>
          <w:color w:val="000000"/>
        </w:rPr>
        <w:t>epublike</w:t>
      </w:r>
      <w:r w:rsidR="0026459A">
        <w:rPr>
          <w:color w:val="000000"/>
        </w:rPr>
        <w:t xml:space="preserve"> H</w:t>
      </w:r>
      <w:r w:rsidR="0026459A" w:rsidRPr="0026459A">
        <w:rPr>
          <w:color w:val="000000"/>
        </w:rPr>
        <w:t xml:space="preserve">rvatske angažiranih u okviru </w:t>
      </w:r>
      <w:r w:rsidR="00B472BA">
        <w:rPr>
          <w:color w:val="000000"/>
        </w:rPr>
        <w:t>Kapaciteta za brzo raspoređivanje</w:t>
      </w:r>
      <w:r w:rsidR="00C67555">
        <w:rPr>
          <w:color w:val="000000"/>
        </w:rPr>
        <w:t xml:space="preserve"> Europske unije </w:t>
      </w:r>
      <w:r w:rsidR="008278D3">
        <w:rPr>
          <w:color w:val="000000"/>
        </w:rPr>
        <w:t xml:space="preserve">u 2025. i 2026. godini </w:t>
      </w:r>
      <w:r w:rsidRPr="005E6CEB">
        <w:rPr>
          <w:color w:val="000000"/>
        </w:rPr>
        <w:t>(u daljnjem tekstu Odluka).</w:t>
      </w:r>
    </w:p>
    <w:p w14:paraId="57A243AB" w14:textId="77777777" w:rsidR="00050A7A" w:rsidRPr="005E6CEB" w:rsidRDefault="00050A7A" w:rsidP="000122FF">
      <w:pPr>
        <w:autoSpaceDE w:val="0"/>
        <w:autoSpaceDN w:val="0"/>
        <w:adjustRightInd w:val="0"/>
        <w:jc w:val="both"/>
        <w:rPr>
          <w:color w:val="000000"/>
        </w:rPr>
      </w:pPr>
    </w:p>
    <w:p w14:paraId="070AE2CC" w14:textId="77777777" w:rsidR="001C302F" w:rsidRPr="005E6CEB" w:rsidRDefault="0088627F" w:rsidP="0088627F">
      <w:pPr>
        <w:autoSpaceDE w:val="0"/>
        <w:autoSpaceDN w:val="0"/>
        <w:adjustRightInd w:val="0"/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t>II.</w:t>
      </w:r>
      <w:r>
        <w:rPr>
          <w:b/>
          <w:bCs/>
          <w:color w:val="000000"/>
        </w:rPr>
        <w:tab/>
      </w:r>
      <w:r w:rsidR="001C302F" w:rsidRPr="005E6CEB">
        <w:rPr>
          <w:b/>
          <w:bCs/>
          <w:color w:val="000000"/>
        </w:rPr>
        <w:t>OCJENA DOSADAŠNJEG STANJA</w:t>
      </w:r>
    </w:p>
    <w:p w14:paraId="47AB6042" w14:textId="77777777" w:rsidR="009C242A" w:rsidRPr="005E6CEB" w:rsidRDefault="009C242A" w:rsidP="0026459A">
      <w:pPr>
        <w:ind w:firstLine="709"/>
        <w:jc w:val="both"/>
        <w:rPr>
          <w:color w:val="000000"/>
        </w:rPr>
      </w:pPr>
    </w:p>
    <w:p w14:paraId="1498AE01" w14:textId="567B11A2" w:rsidR="00C67555" w:rsidRDefault="00C67555" w:rsidP="00BE5A9B">
      <w:pPr>
        <w:spacing w:after="120"/>
        <w:ind w:firstLine="709"/>
        <w:jc w:val="both"/>
      </w:pPr>
      <w:r>
        <w:t xml:space="preserve">Kao vjerodostojan i sposoban </w:t>
      </w:r>
      <w:r w:rsidR="00B53F64">
        <w:t>pružatelj sigurnosti u međunarodnom okružju</w:t>
      </w:r>
      <w:r>
        <w:t xml:space="preserve">, </w:t>
      </w:r>
      <w:r w:rsidR="002478B4">
        <w:t>Europska unija</w:t>
      </w:r>
      <w:r>
        <w:t xml:space="preserve"> mora </w:t>
      </w:r>
      <w:r w:rsidR="00D45E11">
        <w:t xml:space="preserve">imati sposobnosti za </w:t>
      </w:r>
      <w:r>
        <w:t>brzo, snažno i učinkovito reagira</w:t>
      </w:r>
      <w:r w:rsidR="00D45E11">
        <w:t>nje</w:t>
      </w:r>
      <w:r>
        <w:t xml:space="preserve"> na </w:t>
      </w:r>
      <w:r w:rsidR="00B53F64">
        <w:t>krize</w:t>
      </w:r>
      <w:r>
        <w:t xml:space="preserve">. U tu svrhu, </w:t>
      </w:r>
      <w:r w:rsidR="00716B34">
        <w:t xml:space="preserve">u  skladu s </w:t>
      </w:r>
      <w:r>
        <w:t>odredbama</w:t>
      </w:r>
      <w:r w:rsidR="00DA2411">
        <w:t xml:space="preserve"> Strateškog</w:t>
      </w:r>
      <w:r>
        <w:t xml:space="preserve"> </w:t>
      </w:r>
      <w:r w:rsidR="00DA2411">
        <w:t>k</w:t>
      </w:r>
      <w:r>
        <w:t xml:space="preserve">ompasa </w:t>
      </w:r>
      <w:r w:rsidR="002478B4">
        <w:t>Europske unije</w:t>
      </w:r>
      <w:r w:rsidR="004F2488">
        <w:t xml:space="preserve"> koj</w:t>
      </w:r>
      <w:r w:rsidR="00716B34">
        <w:t>i</w:t>
      </w:r>
      <w:r w:rsidR="004F2488">
        <w:t xml:space="preserve"> je Vijeće za vanjske poslove </w:t>
      </w:r>
      <w:r w:rsidR="008278D3">
        <w:t xml:space="preserve">Europske unije </w:t>
      </w:r>
      <w:r w:rsidR="004F2488">
        <w:t xml:space="preserve">usvojilo 22. ožujka 2022. te Europsko vijeće potvrdilo </w:t>
      </w:r>
      <w:r w:rsidR="00216A3B">
        <w:t>25. ožujka 2022.</w:t>
      </w:r>
      <w:r w:rsidR="004F2488">
        <w:t xml:space="preserve"> </w:t>
      </w:r>
      <w:r w:rsidR="001C42D1">
        <w:t xml:space="preserve">odobren je razvoj </w:t>
      </w:r>
      <w:r w:rsidR="006C0205">
        <w:t xml:space="preserve"> Kapacitet</w:t>
      </w:r>
      <w:r w:rsidR="001C42D1">
        <w:t>a</w:t>
      </w:r>
      <w:r w:rsidR="006C0205">
        <w:t xml:space="preserve"> za brzo</w:t>
      </w:r>
      <w:r w:rsidR="00DE4361">
        <w:t xml:space="preserve"> </w:t>
      </w:r>
      <w:r w:rsidR="006C0205">
        <w:t xml:space="preserve">raspoređivanje </w:t>
      </w:r>
      <w:r w:rsidR="002478B4">
        <w:t>Europske unije</w:t>
      </w:r>
      <w:r w:rsidR="006C0205">
        <w:t xml:space="preserve"> (</w:t>
      </w:r>
      <w:r w:rsidR="006C0205" w:rsidRPr="00D401F7">
        <w:rPr>
          <w:i/>
        </w:rPr>
        <w:t>EU</w:t>
      </w:r>
      <w:r w:rsidRPr="00D401F7">
        <w:rPr>
          <w:i/>
        </w:rPr>
        <w:t xml:space="preserve"> Rapid Deployment Capacity – </w:t>
      </w:r>
      <w:r w:rsidR="006C0205" w:rsidRPr="00D401F7">
        <w:rPr>
          <w:i/>
        </w:rPr>
        <w:t>RDC</w:t>
      </w:r>
      <w:r w:rsidR="006C0205" w:rsidRPr="006C0205">
        <w:t>)</w:t>
      </w:r>
      <w:r>
        <w:t>, kao robus</w:t>
      </w:r>
      <w:r w:rsidR="001C42D1">
        <w:t>nog</w:t>
      </w:r>
      <w:r>
        <w:t>, fleksibil</w:t>
      </w:r>
      <w:r w:rsidR="001C42D1">
        <w:t>nog</w:t>
      </w:r>
      <w:r>
        <w:t xml:space="preserve"> i </w:t>
      </w:r>
      <w:r w:rsidR="00B50522">
        <w:t>modular</w:t>
      </w:r>
      <w:r w:rsidR="001C42D1">
        <w:t>nog</w:t>
      </w:r>
      <w:r w:rsidR="00B50522">
        <w:t xml:space="preserve"> </w:t>
      </w:r>
      <w:r w:rsidR="00216A3B">
        <w:t>okvir</w:t>
      </w:r>
      <w:r w:rsidR="001C42D1">
        <w:t>a</w:t>
      </w:r>
      <w:r>
        <w:t xml:space="preserve"> </w:t>
      </w:r>
      <w:r w:rsidR="002478B4">
        <w:t>za</w:t>
      </w:r>
      <w:r>
        <w:t xml:space="preserve"> </w:t>
      </w:r>
      <w:r w:rsidR="004F2488">
        <w:t>pružanje brzog odgovora na krize</w:t>
      </w:r>
      <w:r w:rsidR="002F5E3E">
        <w:t xml:space="preserve"> izvan teritorija</w:t>
      </w:r>
      <w:r w:rsidR="00216A3B">
        <w:t xml:space="preserve"> država članica Europske unije</w:t>
      </w:r>
      <w:r w:rsidR="002F5E3E">
        <w:t>.</w:t>
      </w:r>
    </w:p>
    <w:p w14:paraId="405810AA" w14:textId="10CA48F2" w:rsidR="00C67555" w:rsidRPr="00C301CA" w:rsidRDefault="008278D3" w:rsidP="00C301CA">
      <w:pPr>
        <w:spacing w:after="120"/>
        <w:ind w:firstLine="709"/>
        <w:jc w:val="both"/>
      </w:pPr>
      <w:r>
        <w:t>S</w:t>
      </w:r>
      <w:r w:rsidR="00C67555">
        <w:t xml:space="preserve">nage brzog djelovanja </w:t>
      </w:r>
      <w:r w:rsidR="002B1EB2">
        <w:t xml:space="preserve">ukupne veličine </w:t>
      </w:r>
      <w:r w:rsidR="00C67555">
        <w:t>do 5000</w:t>
      </w:r>
      <w:r w:rsidR="00C67555" w:rsidRPr="00C301CA">
        <w:rPr>
          <w:b/>
          <w:color w:val="FF0000"/>
        </w:rPr>
        <w:t xml:space="preserve"> </w:t>
      </w:r>
      <w:r w:rsidR="00AD47BA" w:rsidRPr="00AD47BA">
        <w:t>pripadnika</w:t>
      </w:r>
      <w:r w:rsidR="00D4677A" w:rsidRPr="00D45E11">
        <w:rPr>
          <w:b/>
        </w:rPr>
        <w:t xml:space="preserve"> </w:t>
      </w:r>
      <w:r w:rsidR="00C67555">
        <w:t>temelj</w:t>
      </w:r>
      <w:r w:rsidR="006C0205">
        <w:t>e</w:t>
      </w:r>
      <w:r w:rsidR="00C67555">
        <w:t xml:space="preserve"> </w:t>
      </w:r>
      <w:r>
        <w:t xml:space="preserve">se </w:t>
      </w:r>
      <w:r w:rsidR="00C67555">
        <w:t xml:space="preserve">na </w:t>
      </w:r>
      <w:r w:rsidR="00752709">
        <w:t>revidiranom konceptu</w:t>
      </w:r>
      <w:r w:rsidR="006C0205" w:rsidRPr="006C0205">
        <w:t xml:space="preserve"> </w:t>
      </w:r>
      <w:r>
        <w:t>b</w:t>
      </w:r>
      <w:r w:rsidR="006C0205" w:rsidRPr="006C0205">
        <w:t>orben</w:t>
      </w:r>
      <w:r w:rsidR="00752709">
        <w:t>ih</w:t>
      </w:r>
      <w:r w:rsidR="006C0205" w:rsidRPr="006C0205">
        <w:t xml:space="preserve"> skupin</w:t>
      </w:r>
      <w:r w:rsidR="00752709">
        <w:t>a</w:t>
      </w:r>
      <w:r w:rsidR="002B1EB2">
        <w:t xml:space="preserve"> EU-a</w:t>
      </w:r>
      <w:r w:rsidR="006C0205" w:rsidRPr="006C0205">
        <w:t xml:space="preserve"> </w:t>
      </w:r>
      <w:r w:rsidR="00C67555">
        <w:t>(</w:t>
      </w:r>
      <w:r w:rsidR="00C67555" w:rsidRPr="00D401F7">
        <w:rPr>
          <w:i/>
        </w:rPr>
        <w:t>EUBG</w:t>
      </w:r>
      <w:r w:rsidR="00C301CA">
        <w:rPr>
          <w:i/>
        </w:rPr>
        <w:t xml:space="preserve"> –</w:t>
      </w:r>
      <w:r w:rsidR="00C67555" w:rsidRPr="00D401F7">
        <w:rPr>
          <w:i/>
        </w:rPr>
        <w:t xml:space="preserve"> E</w:t>
      </w:r>
      <w:r w:rsidR="0059784F" w:rsidRPr="00D401F7">
        <w:rPr>
          <w:i/>
        </w:rPr>
        <w:t xml:space="preserve">uropean </w:t>
      </w:r>
      <w:r w:rsidR="00C67555" w:rsidRPr="00D401F7">
        <w:rPr>
          <w:i/>
        </w:rPr>
        <w:t>U</w:t>
      </w:r>
      <w:r w:rsidR="0059784F" w:rsidRPr="00D401F7">
        <w:rPr>
          <w:i/>
        </w:rPr>
        <w:t>nion</w:t>
      </w:r>
      <w:r w:rsidR="00C67555" w:rsidRPr="00D401F7">
        <w:rPr>
          <w:i/>
        </w:rPr>
        <w:t xml:space="preserve"> Battle Groups</w:t>
      </w:r>
      <w:r w:rsidR="00C67555">
        <w:t>)</w:t>
      </w:r>
      <w:r w:rsidR="00294172">
        <w:t>,</w:t>
      </w:r>
      <w:r w:rsidR="00752709">
        <w:t xml:space="preserve"> </w:t>
      </w:r>
      <w:r w:rsidR="00294172">
        <w:t>odnosno</w:t>
      </w:r>
      <w:r w:rsidR="00752709">
        <w:t xml:space="preserve"> na jezgri od dvije </w:t>
      </w:r>
      <w:r>
        <w:t>b</w:t>
      </w:r>
      <w:r w:rsidR="00752709">
        <w:t>orbene skupine</w:t>
      </w:r>
      <w:r w:rsidR="00C67555">
        <w:t xml:space="preserve"> </w:t>
      </w:r>
      <w:r w:rsidR="006C0205">
        <w:t>s</w:t>
      </w:r>
      <w:r w:rsidR="006C0205" w:rsidRPr="006C0205">
        <w:t xml:space="preserve"> </w:t>
      </w:r>
      <w:r w:rsidR="00412959" w:rsidRPr="00412959">
        <w:t>različitim razinama opera</w:t>
      </w:r>
      <w:r w:rsidR="00D401F7">
        <w:t xml:space="preserve">tivne spremnosti za upućivanje </w:t>
      </w:r>
      <w:r w:rsidR="004C75A6">
        <w:t>(</w:t>
      </w:r>
      <w:r w:rsidR="00412959" w:rsidRPr="00412959">
        <w:t xml:space="preserve">prva do 20 dana nakon odluke </w:t>
      </w:r>
      <w:r w:rsidR="002B1EB2">
        <w:t>Vijeća Europske unije</w:t>
      </w:r>
      <w:r w:rsidR="00412959" w:rsidRPr="00412959">
        <w:t xml:space="preserve"> o upućivanju,</w:t>
      </w:r>
      <w:r w:rsidR="00D401F7">
        <w:t xml:space="preserve"> a</w:t>
      </w:r>
      <w:r w:rsidR="00412959" w:rsidRPr="00412959">
        <w:t xml:space="preserve"> druga do </w:t>
      </w:r>
      <w:r w:rsidR="002478B4">
        <w:t>pet</w:t>
      </w:r>
      <w:r w:rsidR="00412959" w:rsidRPr="00412959">
        <w:t xml:space="preserve"> </w:t>
      </w:r>
      <w:r w:rsidR="00412959" w:rsidRPr="00412959">
        <w:lastRenderedPageBreak/>
        <w:t>dana</w:t>
      </w:r>
      <w:r w:rsidR="00D401F7">
        <w:t xml:space="preserve"> nakon </w:t>
      </w:r>
      <w:r>
        <w:t xml:space="preserve">njezine </w:t>
      </w:r>
      <w:r w:rsidR="00D401F7">
        <w:t>odluke</w:t>
      </w:r>
      <w:r w:rsidR="004C75A6">
        <w:t>) te</w:t>
      </w:r>
      <w:r w:rsidR="00D4677A">
        <w:t xml:space="preserve"> </w:t>
      </w:r>
      <w:r w:rsidR="00C67555">
        <w:t>dodatnim nacionalnim modulima</w:t>
      </w:r>
      <w:r w:rsidR="003376CF">
        <w:t>,</w:t>
      </w:r>
      <w:r w:rsidR="00C67555">
        <w:t xml:space="preserve"> </w:t>
      </w:r>
      <w:r w:rsidR="004C75A6">
        <w:t>kojima se</w:t>
      </w:r>
      <w:r w:rsidR="00C67555">
        <w:t xml:space="preserve"> </w:t>
      </w:r>
      <w:r w:rsidR="00183147">
        <w:t>u skladu sa</w:t>
      </w:r>
      <w:r w:rsidR="00C67555">
        <w:t xml:space="preserve"> specifičnim zahtjevima za</w:t>
      </w:r>
      <w:r w:rsidR="004C75A6">
        <w:t xml:space="preserve"> provedbu</w:t>
      </w:r>
      <w:r w:rsidR="00C67555">
        <w:t xml:space="preserve"> pojed</w:t>
      </w:r>
      <w:r w:rsidR="00D4677A">
        <w:t>i</w:t>
      </w:r>
      <w:r w:rsidR="00C67555">
        <w:t>n</w:t>
      </w:r>
      <w:r w:rsidR="00B327B1">
        <w:t>og</w:t>
      </w:r>
      <w:r w:rsidR="00C67555">
        <w:t xml:space="preserve"> </w:t>
      </w:r>
      <w:r w:rsidR="00B327B1">
        <w:t xml:space="preserve">tipa </w:t>
      </w:r>
      <w:r w:rsidR="00C67555">
        <w:t>misije ili operacije uključ</w:t>
      </w:r>
      <w:r w:rsidR="00B327B1">
        <w:t>uju</w:t>
      </w:r>
      <w:r w:rsidR="00E63B18">
        <w:t xml:space="preserve"> </w:t>
      </w:r>
      <w:r w:rsidR="00B327B1">
        <w:t xml:space="preserve">potrebne </w:t>
      </w:r>
      <w:r w:rsidR="00BE5A9B">
        <w:t>dodatne snage i</w:t>
      </w:r>
      <w:r w:rsidR="00C67555">
        <w:t xml:space="preserve"> sposobnosti</w:t>
      </w:r>
      <w:r w:rsidR="00B327B1">
        <w:t>.</w:t>
      </w:r>
      <w:r w:rsidR="00BE5A9B">
        <w:t xml:space="preserve"> </w:t>
      </w:r>
    </w:p>
    <w:p w14:paraId="76ED8CF7" w14:textId="7CCF64EA" w:rsidR="001C42D1" w:rsidRDefault="00145DF4" w:rsidP="004D58AF">
      <w:pPr>
        <w:spacing w:after="120"/>
        <w:ind w:firstLine="709"/>
        <w:jc w:val="both"/>
      </w:pPr>
      <w:r w:rsidRPr="00F93DC1">
        <w:t>Kapacitet za brzo raspoređivanje</w:t>
      </w:r>
      <w:r w:rsidRPr="00D4677A">
        <w:rPr>
          <w:b/>
        </w:rPr>
        <w:t xml:space="preserve"> </w:t>
      </w:r>
      <w:r w:rsidR="00BE5A9B" w:rsidRPr="00BE5A9B">
        <w:t xml:space="preserve">predviđen </w:t>
      </w:r>
      <w:r w:rsidR="00345856">
        <w:t xml:space="preserve">je </w:t>
      </w:r>
      <w:r w:rsidR="00BE5A9B" w:rsidRPr="00BE5A9B">
        <w:t xml:space="preserve">za provedbu </w:t>
      </w:r>
      <w:r w:rsidR="002478B4">
        <w:t>pet</w:t>
      </w:r>
      <w:r w:rsidR="00BE5A9B" w:rsidRPr="00BE5A9B">
        <w:t xml:space="preserve"> </w:t>
      </w:r>
      <w:r w:rsidR="008278D3">
        <w:t xml:space="preserve">oblika </w:t>
      </w:r>
      <w:r w:rsidR="00BE5A9B" w:rsidRPr="00BE5A9B">
        <w:t>operacija</w:t>
      </w:r>
      <w:r w:rsidR="00AD47BA">
        <w:t xml:space="preserve"> </w:t>
      </w:r>
      <w:r w:rsidR="00142594">
        <w:t xml:space="preserve"> temeljenih na operativnim scenarijima </w:t>
      </w:r>
      <w:r w:rsidR="00CF3AB9">
        <w:t>odobrenima</w:t>
      </w:r>
      <w:r w:rsidR="00142594">
        <w:t xml:space="preserve"> od Vijeća </w:t>
      </w:r>
      <w:r w:rsidR="00AD47BA">
        <w:t>Europske unije</w:t>
      </w:r>
      <w:r w:rsidR="00142594">
        <w:t>:</w:t>
      </w:r>
      <w:r w:rsidR="00142594" w:rsidRPr="00BE5A9B">
        <w:t xml:space="preserve"> </w:t>
      </w:r>
      <w:r w:rsidR="00BE5A9B" w:rsidRPr="00BE5A9B">
        <w:t>spaš</w:t>
      </w:r>
      <w:r w:rsidR="00BE5A9B">
        <w:t>ava</w:t>
      </w:r>
      <w:r w:rsidR="00D401F7">
        <w:t>nja i evakuacije</w:t>
      </w:r>
      <w:r w:rsidR="00BE5A9B">
        <w:t>,</w:t>
      </w:r>
      <w:r w:rsidR="00D401F7">
        <w:t xml:space="preserve"> inicijalne faze stabilizacije</w:t>
      </w:r>
      <w:r w:rsidR="00BE5A9B">
        <w:t>,</w:t>
      </w:r>
      <w:r w:rsidR="00BE5A9B" w:rsidRPr="00BE5A9B">
        <w:t xml:space="preserve"> potpore humanitarnim operacijama i pružanja pomoći u katastrofama</w:t>
      </w:r>
      <w:r w:rsidR="00BE5A9B">
        <w:t>,</w:t>
      </w:r>
      <w:r w:rsidR="00D401F7">
        <w:t xml:space="preserve"> nametanja mira</w:t>
      </w:r>
      <w:r w:rsidR="00BE5A9B">
        <w:t xml:space="preserve"> te </w:t>
      </w:r>
      <w:r w:rsidR="00D401F7">
        <w:t>prevencije sukoba</w:t>
      </w:r>
      <w:r w:rsidR="00CF3AB9">
        <w:t xml:space="preserve"> i izgradnje kapaciteta</w:t>
      </w:r>
      <w:r w:rsidR="00BE5A9B" w:rsidRPr="00BE5A9B">
        <w:t>.</w:t>
      </w:r>
      <w:r w:rsidR="004D58AF">
        <w:t xml:space="preserve"> </w:t>
      </w:r>
      <w:r w:rsidR="001C42D1">
        <w:t>Dostizanje pune operativne spremnosti</w:t>
      </w:r>
      <w:r w:rsidR="001C42D1" w:rsidRPr="001C42D1">
        <w:rPr>
          <w:b/>
        </w:rPr>
        <w:t xml:space="preserve"> </w:t>
      </w:r>
      <w:r w:rsidR="001C42D1" w:rsidRPr="001C42D1">
        <w:t>Kapaciteta za brzo raspoređivanje</w:t>
      </w:r>
      <w:r w:rsidR="001C42D1">
        <w:t xml:space="preserve"> predviđen</w:t>
      </w:r>
      <w:r w:rsidR="00345856">
        <w:t>o</w:t>
      </w:r>
      <w:r w:rsidR="001C42D1">
        <w:t xml:space="preserve"> je u 2025. godini. </w:t>
      </w:r>
    </w:p>
    <w:p w14:paraId="2AC1F508" w14:textId="0D4E2662" w:rsidR="0088627F" w:rsidRDefault="0088627F" w:rsidP="0088627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6DE1FF48" w14:textId="77777777" w:rsidR="001C302F" w:rsidRPr="0088627F" w:rsidRDefault="0088627F" w:rsidP="0088627F">
      <w:pPr>
        <w:ind w:firstLine="708"/>
        <w:jc w:val="both"/>
      </w:pPr>
      <w:r>
        <w:rPr>
          <w:b/>
          <w:bCs/>
          <w:color w:val="000000"/>
        </w:rPr>
        <w:t>III.</w:t>
      </w:r>
      <w:r>
        <w:t xml:space="preserve">        </w:t>
      </w:r>
      <w:r w:rsidR="001C302F" w:rsidRPr="005E6CEB">
        <w:rPr>
          <w:b/>
          <w:bCs/>
          <w:color w:val="000000"/>
        </w:rPr>
        <w:t>RAZLOZI I CILJEVI DONOŠENJA ODLUKE</w:t>
      </w:r>
    </w:p>
    <w:p w14:paraId="120B6306" w14:textId="77777777" w:rsidR="001C302F" w:rsidRPr="005E6CEB" w:rsidRDefault="001C302F" w:rsidP="000122FF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59E28604" w14:textId="1A9D486B" w:rsidR="0094181D" w:rsidRDefault="0094181D" w:rsidP="0094181D">
      <w:pPr>
        <w:spacing w:after="120"/>
        <w:ind w:firstLine="709"/>
        <w:jc w:val="both"/>
      </w:pPr>
      <w:r>
        <w:t xml:space="preserve">Pogoršanje </w:t>
      </w:r>
      <w:r w:rsidR="002478B4">
        <w:t xml:space="preserve">situacije u okviru europske </w:t>
      </w:r>
      <w:r>
        <w:t xml:space="preserve">sigurnosne arhitekture </w:t>
      </w:r>
      <w:r w:rsidR="00D401F7">
        <w:t xml:space="preserve">te </w:t>
      </w:r>
      <w:r w:rsidR="0002066A">
        <w:t>posljedično potencijalno</w:t>
      </w:r>
      <w:r w:rsidR="00D401F7">
        <w:t xml:space="preserve"> </w:t>
      </w:r>
      <w:r w:rsidR="0002066A">
        <w:t>širenje</w:t>
      </w:r>
      <w:r w:rsidR="00D401F7">
        <w:t xml:space="preserve"> nestabilnosti</w:t>
      </w:r>
      <w:r w:rsidR="008439F7">
        <w:t>, uključujući i</w:t>
      </w:r>
      <w:r w:rsidR="00D401F7">
        <w:t xml:space="preserve"> neposredno susjedstv</w:t>
      </w:r>
      <w:r w:rsidR="008439F7">
        <w:t>o</w:t>
      </w:r>
      <w:r w:rsidR="00D401F7">
        <w:t xml:space="preserve"> Republike Hrvatske</w:t>
      </w:r>
      <w:r w:rsidR="008439F7">
        <w:t>,</w:t>
      </w:r>
      <w:r>
        <w:t xml:space="preserve"> naglašavaju potrebu za jačanjem sigurnosti i obrane </w:t>
      </w:r>
      <w:r w:rsidR="002478B4">
        <w:t>Europske unije</w:t>
      </w:r>
      <w:r>
        <w:t xml:space="preserve">. Kako bi se </w:t>
      </w:r>
      <w:r w:rsidR="001C42D1">
        <w:t>Europska u</w:t>
      </w:r>
      <w:r w:rsidR="002478B4">
        <w:t>nija</w:t>
      </w:r>
      <w:r>
        <w:t xml:space="preserve"> i države članice u okvirima zajedničkog</w:t>
      </w:r>
      <w:r w:rsidR="00345856">
        <w:t>a</w:t>
      </w:r>
      <w:r>
        <w:t xml:space="preserve"> strateškog smjera djelovanja suočile sa širokim rasponom prijetnji i izazova, potrebno je ojačati sposobnost djelovanja.</w:t>
      </w:r>
    </w:p>
    <w:p w14:paraId="1D434906" w14:textId="1EEFE480" w:rsidR="00700798" w:rsidRDefault="0094181D" w:rsidP="0094181D">
      <w:pPr>
        <w:spacing w:after="120"/>
        <w:ind w:firstLine="709"/>
        <w:jc w:val="both"/>
      </w:pPr>
      <w:r>
        <w:t xml:space="preserve">Strateškim kompasom </w:t>
      </w:r>
      <w:r w:rsidR="002478B4">
        <w:t>Europska unija</w:t>
      </w:r>
      <w:r>
        <w:t xml:space="preserve"> postavi</w:t>
      </w:r>
      <w:r w:rsidR="002478B4">
        <w:t>la</w:t>
      </w:r>
      <w:r>
        <w:t xml:space="preserve"> </w:t>
      </w:r>
      <w:r w:rsidR="00700798">
        <w:t xml:space="preserve">je </w:t>
      </w:r>
      <w:r>
        <w:t>ambiciju da bude jač</w:t>
      </w:r>
      <w:r w:rsidR="002478B4">
        <w:t>a</w:t>
      </w:r>
      <w:r>
        <w:t xml:space="preserve"> i sposobnij</w:t>
      </w:r>
      <w:r w:rsidR="002478B4">
        <w:t>a</w:t>
      </w:r>
      <w:r>
        <w:t xml:space="preserve"> </w:t>
      </w:r>
      <w:r w:rsidR="002478B4">
        <w:t xml:space="preserve">kao </w:t>
      </w:r>
      <w:r>
        <w:t>pružatelj sigurnosti u svo</w:t>
      </w:r>
      <w:r w:rsidR="00700798">
        <w:t>je</w:t>
      </w:r>
      <w:r>
        <w:t xml:space="preserve">m susjedstvu i šire. </w:t>
      </w:r>
    </w:p>
    <w:p w14:paraId="623C2111" w14:textId="741DBBBE" w:rsidR="0088627F" w:rsidRDefault="002478B4" w:rsidP="0094181D">
      <w:pPr>
        <w:spacing w:after="120"/>
        <w:ind w:firstLine="709"/>
        <w:jc w:val="both"/>
      </w:pPr>
      <w:r>
        <w:t>Unija</w:t>
      </w:r>
      <w:r w:rsidR="0094181D">
        <w:t xml:space="preserve"> mora biti u stanju zaštititi svoje građane i pridonijeti međunarodnom miru i sigurnosti tako što će moći brzo, snažno i učinkovito reagirati na sukobe i krize izvan svojih granica.</w:t>
      </w:r>
      <w:r w:rsidR="00E459B8">
        <w:t xml:space="preserve"> </w:t>
      </w:r>
      <w:r>
        <w:t>To</w:t>
      </w:r>
      <w:r w:rsidR="0094181D">
        <w:t xml:space="preserve"> </w:t>
      </w:r>
      <w:r>
        <w:t xml:space="preserve">će </w:t>
      </w:r>
      <w:r w:rsidR="0094181D">
        <w:t>pozitivno pri</w:t>
      </w:r>
      <w:r w:rsidR="00700798">
        <w:t>do</w:t>
      </w:r>
      <w:r w:rsidR="0094181D">
        <w:t>nijeti globalnoj i transatlantskoj sigurnosti te komplementarn</w:t>
      </w:r>
      <w:r>
        <w:t>osti s</w:t>
      </w:r>
      <w:r w:rsidR="0094181D">
        <w:t xml:space="preserve"> NATO-</w:t>
      </w:r>
      <w:r>
        <w:t>om</w:t>
      </w:r>
      <w:r w:rsidR="00731B8F">
        <w:t>,</w:t>
      </w:r>
      <w:r w:rsidR="0094181D">
        <w:t xml:space="preserve"> koji ostaje temelj kolektivne obrane za svoje članice.</w:t>
      </w:r>
      <w:r w:rsidR="00E459B8">
        <w:t xml:space="preserve"> </w:t>
      </w:r>
    </w:p>
    <w:p w14:paraId="37CD6C4F" w14:textId="550FF2E8" w:rsidR="00DA2411" w:rsidRDefault="00DA2411" w:rsidP="00C301CA">
      <w:pPr>
        <w:spacing w:after="120"/>
        <w:ind w:firstLine="709"/>
        <w:jc w:val="both"/>
      </w:pPr>
      <w:r>
        <w:t xml:space="preserve">Borbene skupine Europske unije i slijedni koncept RDC </w:t>
      </w:r>
      <w:r w:rsidR="00C301CA">
        <w:t>–</w:t>
      </w:r>
      <w:r>
        <w:t xml:space="preserve"> </w:t>
      </w:r>
      <w:r w:rsidR="00DE4361">
        <w:t>K</w:t>
      </w:r>
      <w:r>
        <w:t>apacitet za brzo raspoređivanje, operativni su kapacitet za djelova</w:t>
      </w:r>
      <w:r w:rsidR="00190AE0">
        <w:t>n</w:t>
      </w:r>
      <w:r>
        <w:t>je Euro</w:t>
      </w:r>
      <w:r w:rsidR="00190AE0">
        <w:t>p</w:t>
      </w:r>
      <w:r>
        <w:t>ske unije u upravljanju krizama koje prijete sigurnosti i stabi</w:t>
      </w:r>
      <w:r w:rsidR="00190AE0">
        <w:t>l</w:t>
      </w:r>
      <w:r>
        <w:t>nosti Europe.</w:t>
      </w:r>
    </w:p>
    <w:p w14:paraId="5EC0D216" w14:textId="4335D9D2" w:rsidR="00A74690" w:rsidRDefault="00432F09" w:rsidP="00734AED">
      <w:pPr>
        <w:spacing w:after="120"/>
        <w:ind w:firstLine="709"/>
        <w:jc w:val="both"/>
      </w:pPr>
      <w:r>
        <w:t>Jedan od kritičnih elemenata učinkovitog odvraćanja i obrane je pravovremena raspoloživost</w:t>
      </w:r>
      <w:r w:rsidR="009D691A">
        <w:t xml:space="preserve"> primjerenih</w:t>
      </w:r>
      <w:r>
        <w:t xml:space="preserve"> s</w:t>
      </w:r>
      <w:r w:rsidR="008E3D28">
        <w:t>naga u području njihov</w:t>
      </w:r>
      <w:r w:rsidR="00700798">
        <w:t>a</w:t>
      </w:r>
      <w:r w:rsidR="008E3D28">
        <w:t xml:space="preserve"> angažiranja.</w:t>
      </w:r>
      <w:r w:rsidR="00412959">
        <w:t xml:space="preserve"> </w:t>
      </w:r>
      <w:r w:rsidR="00412959" w:rsidRPr="00412959">
        <w:t xml:space="preserve">RDC postavlja veće zahtjeve pred države članice nego </w:t>
      </w:r>
      <w:r w:rsidR="00700798">
        <w:t>b</w:t>
      </w:r>
      <w:r w:rsidR="002478B4">
        <w:t>orbene skupine</w:t>
      </w:r>
      <w:r w:rsidR="00412959" w:rsidRPr="00412959">
        <w:t xml:space="preserve">. Modularnost RDC-a znači da oružane snage država članica </w:t>
      </w:r>
      <w:r w:rsidR="002478B4">
        <w:t>Europske unije</w:t>
      </w:r>
      <w:r w:rsidR="00412959" w:rsidRPr="00412959">
        <w:t xml:space="preserve"> </w:t>
      </w:r>
      <w:r w:rsidR="00412959" w:rsidRPr="00412959">
        <w:lastRenderedPageBreak/>
        <w:t>moraju biti dovoljno fleksibilne da razmjeste zračnu, pomorsku ili kopnenu</w:t>
      </w:r>
      <w:r w:rsidR="00D401F7" w:rsidRPr="00D401F7">
        <w:t xml:space="preserve"> </w:t>
      </w:r>
      <w:r w:rsidR="00D401F7" w:rsidRPr="00412959">
        <w:t>komponentu</w:t>
      </w:r>
      <w:r w:rsidR="00412959" w:rsidRPr="00412959">
        <w:t xml:space="preserve"> prilagođenu specifičnoj operaciji</w:t>
      </w:r>
      <w:r w:rsidR="00B50522">
        <w:t xml:space="preserve"> i teritoriju</w:t>
      </w:r>
      <w:r w:rsidR="00412959" w:rsidRPr="00412959">
        <w:t xml:space="preserve">. </w:t>
      </w:r>
    </w:p>
    <w:p w14:paraId="26488975" w14:textId="227B7573" w:rsidR="008E3D28" w:rsidRDefault="002478B4" w:rsidP="008E3D28">
      <w:pPr>
        <w:spacing w:after="120"/>
        <w:ind w:firstLine="709"/>
        <w:jc w:val="both"/>
      </w:pPr>
      <w:r>
        <w:t xml:space="preserve">S obzirom </w:t>
      </w:r>
      <w:r w:rsidR="00700798">
        <w:t xml:space="preserve">na to </w:t>
      </w:r>
      <w:r>
        <w:t>da m</w:t>
      </w:r>
      <w:r w:rsidR="008E3D28">
        <w:t xml:space="preserve">irnodopske procedure za odobrenje prelaska državne granice </w:t>
      </w:r>
      <w:r>
        <w:t>mogu biti vre</w:t>
      </w:r>
      <w:r w:rsidR="00367C88">
        <w:t xml:space="preserve">menski dugotrajne, a </w:t>
      </w:r>
      <w:r w:rsidR="008E3D28">
        <w:t xml:space="preserve">da se </w:t>
      </w:r>
      <w:r w:rsidR="007E685B">
        <w:t xml:space="preserve">kod </w:t>
      </w:r>
      <w:r w:rsidR="002E09F7">
        <w:t>RDC-a</w:t>
      </w:r>
      <w:r w:rsidR="007E685B">
        <w:t xml:space="preserve"> </w:t>
      </w:r>
      <w:r w:rsidR="008E3D28">
        <w:t xml:space="preserve">radi o snagama visoke spremnosti, potrebno je </w:t>
      </w:r>
      <w:r w:rsidR="001C42D1">
        <w:t xml:space="preserve">pravovremeno </w:t>
      </w:r>
      <w:r w:rsidR="008E3D28">
        <w:t>donijeti odluku o odobravanju prelaska granice Republike Hrvatske</w:t>
      </w:r>
      <w:r w:rsidR="00916A7A">
        <w:t xml:space="preserve"> </w:t>
      </w:r>
      <w:r w:rsidR="002F5E3E" w:rsidRPr="004A7CC8">
        <w:rPr>
          <w:color w:val="000000"/>
          <w:lang w:bidi="ta-IN"/>
        </w:rPr>
        <w:t xml:space="preserve">dijelovima </w:t>
      </w:r>
      <w:r w:rsidR="002F5E3E">
        <w:rPr>
          <w:color w:val="000000"/>
          <w:lang w:bidi="ta-IN"/>
        </w:rPr>
        <w:t xml:space="preserve">oružanih </w:t>
      </w:r>
      <w:r w:rsidR="002F5E3E" w:rsidRPr="004A7CC8">
        <w:rPr>
          <w:color w:val="000000"/>
          <w:lang w:bidi="ta-IN"/>
        </w:rPr>
        <w:t>snaga</w:t>
      </w:r>
      <w:r w:rsidR="002F5E3E">
        <w:rPr>
          <w:color w:val="000000"/>
          <w:lang w:bidi="ta-IN"/>
        </w:rPr>
        <w:t xml:space="preserve"> država članica Europske unije</w:t>
      </w:r>
      <w:r w:rsidR="002F5E3E" w:rsidRPr="004A7CC8">
        <w:rPr>
          <w:color w:val="000000"/>
          <w:lang w:bidi="ta-IN"/>
        </w:rPr>
        <w:t xml:space="preserve"> </w:t>
      </w:r>
      <w:r w:rsidR="002F5E3E">
        <w:rPr>
          <w:color w:val="000000"/>
          <w:lang w:bidi="ta-IN"/>
        </w:rPr>
        <w:t>u sklopu RDC-a</w:t>
      </w:r>
      <w:r w:rsidR="008E3D28">
        <w:t>, kako bi se</w:t>
      </w:r>
      <w:r w:rsidR="001C42D1">
        <w:t xml:space="preserve"> </w:t>
      </w:r>
      <w:r w:rsidR="008E3D28">
        <w:t xml:space="preserve">omogućilo </w:t>
      </w:r>
      <w:r w:rsidR="001C42D1">
        <w:t xml:space="preserve">i </w:t>
      </w:r>
      <w:r w:rsidR="008E3D28">
        <w:t>pravovremeno osiguralo raspoređivanje snaga.</w:t>
      </w:r>
      <w:r w:rsidR="002E09F7">
        <w:t xml:space="preserve"> </w:t>
      </w:r>
    </w:p>
    <w:p w14:paraId="47CE23D2" w14:textId="6EA586E6" w:rsidR="007E685B" w:rsidRPr="00E63B18" w:rsidRDefault="007E685B" w:rsidP="007E685B">
      <w:pPr>
        <w:spacing w:after="120"/>
        <w:ind w:firstLine="709"/>
        <w:jc w:val="both"/>
      </w:pPr>
      <w:r w:rsidRPr="00E63B18">
        <w:t xml:space="preserve">Isto tako, potrebno </w:t>
      </w:r>
      <w:r w:rsidR="00E63B18">
        <w:t xml:space="preserve">je </w:t>
      </w:r>
      <w:r w:rsidR="001C42D1" w:rsidRPr="00E63B18">
        <w:t xml:space="preserve">pravovremeno </w:t>
      </w:r>
      <w:r w:rsidRPr="00E63B18">
        <w:t xml:space="preserve">donijeti odluku za prelazak granice dijela Oružanih snaga Republike Hrvatske deklariranih u </w:t>
      </w:r>
      <w:r w:rsidR="00D401F7" w:rsidRPr="00E63B18">
        <w:t>RDC</w:t>
      </w:r>
      <w:r w:rsidR="00E1405D" w:rsidRPr="00E63B18">
        <w:t>,</w:t>
      </w:r>
      <w:r w:rsidRPr="00E63B18">
        <w:t xml:space="preserve"> </w:t>
      </w:r>
      <w:r w:rsidR="001C42D1" w:rsidRPr="00E63B18">
        <w:t xml:space="preserve">uvažavajući potrebu </w:t>
      </w:r>
      <w:r w:rsidRPr="00E63B18">
        <w:t xml:space="preserve">njihova brzog angažiranja od nadležnih tijela i zapovjedništava </w:t>
      </w:r>
      <w:r w:rsidR="00367C88" w:rsidRPr="00E63B18">
        <w:t>Europske unije</w:t>
      </w:r>
      <w:r w:rsidRPr="00E63B18">
        <w:t>, za vrijeme dok su te snage u predviđenom statusu spremnosti za djelovanje.</w:t>
      </w:r>
      <w:r w:rsidR="008825AF" w:rsidRPr="00E63B18">
        <w:t xml:space="preserve"> U tom kontekstu, Republika Hrvatska je deklarirala snage za sudjelovanje u Borbenoj skupini E</w:t>
      </w:r>
      <w:r w:rsidR="00541A2A">
        <w:t>uropske unije</w:t>
      </w:r>
      <w:r w:rsidR="008825AF" w:rsidRPr="00E63B18">
        <w:t xml:space="preserve"> u 2025.</w:t>
      </w:r>
      <w:r w:rsidR="00541A2A">
        <w:t xml:space="preserve"> godini</w:t>
      </w:r>
      <w:r w:rsidR="008825AF" w:rsidRPr="00E63B18">
        <w:t xml:space="preserve"> pod vodstvom Savezne Republike Njemačke koja je će biti sastavnica Kapaciteta za brzo raspoređivanje Europske unije. </w:t>
      </w:r>
    </w:p>
    <w:p w14:paraId="4A4112B8" w14:textId="09470769" w:rsidR="007E685B" w:rsidRDefault="007E685B" w:rsidP="007E685B">
      <w:pPr>
        <w:spacing w:after="120"/>
        <w:ind w:firstLine="709"/>
        <w:jc w:val="both"/>
      </w:pPr>
      <w:r w:rsidRPr="00E63B18">
        <w:t xml:space="preserve">Stoga </w:t>
      </w:r>
      <w:r w:rsidR="00DE4361" w:rsidRPr="00E63B18">
        <w:t>se predlaže donošenje</w:t>
      </w:r>
      <w:r w:rsidRPr="00E63B18">
        <w:t xml:space="preserve"> Odluk</w:t>
      </w:r>
      <w:r w:rsidR="00DE4361" w:rsidRPr="00E63B18">
        <w:t>e</w:t>
      </w:r>
      <w:r w:rsidRPr="00E63B18">
        <w:t xml:space="preserve"> o prelasku granice Republike Hrvatske oružanih snaga država članica </w:t>
      </w:r>
      <w:r w:rsidR="00367C88" w:rsidRPr="00E63B18">
        <w:t>Europske unije</w:t>
      </w:r>
      <w:r w:rsidRPr="00E63B18">
        <w:t xml:space="preserve"> i Oružanih snaga Republike Hrvatske angažiranih u okviru </w:t>
      </w:r>
      <w:r w:rsidR="00D401F7" w:rsidRPr="00E63B18">
        <w:t xml:space="preserve">Kapaciteta za brzo raspoređivanje </w:t>
      </w:r>
      <w:r w:rsidR="00367C88" w:rsidRPr="00E63B18">
        <w:t>Europske unije</w:t>
      </w:r>
      <w:r w:rsidR="00D401F7" w:rsidRPr="00E63B18">
        <w:t>,</w:t>
      </w:r>
      <w:r w:rsidRPr="00E63B18">
        <w:t xml:space="preserve"> </w:t>
      </w:r>
      <w:r w:rsidR="00731B8F" w:rsidRPr="00E63B18">
        <w:t xml:space="preserve">čime bi se </w:t>
      </w:r>
      <w:r w:rsidRPr="00E63B18">
        <w:t>omogući</w:t>
      </w:r>
      <w:r w:rsidR="00731B8F" w:rsidRPr="00E63B18">
        <w:t>la</w:t>
      </w:r>
      <w:r w:rsidRPr="00E63B18">
        <w:t xml:space="preserve"> brza reakcija u situacijama iznenadne prijetnje po </w:t>
      </w:r>
      <w:r w:rsidR="002E09F7" w:rsidRPr="00E63B18">
        <w:t>sigurnost i stabilnost Unije</w:t>
      </w:r>
      <w:r w:rsidRPr="00E63B18">
        <w:t>.</w:t>
      </w:r>
    </w:p>
    <w:p w14:paraId="3D77F81B" w14:textId="5F350563" w:rsidR="007E685B" w:rsidRDefault="000106E8" w:rsidP="000106E8">
      <w:pPr>
        <w:spacing w:after="120"/>
        <w:ind w:firstLine="709"/>
        <w:jc w:val="both"/>
      </w:pPr>
      <w:r>
        <w:t xml:space="preserve">Usvajanjem ove </w:t>
      </w:r>
      <w:r w:rsidR="00541A2A">
        <w:t>o</w:t>
      </w:r>
      <w:r>
        <w:t xml:space="preserve">dluke Republika Hrvatska </w:t>
      </w:r>
      <w:r w:rsidR="00367C88">
        <w:t>usklađuje</w:t>
      </w:r>
      <w:r>
        <w:t xml:space="preserve"> svoje postupke s</w:t>
      </w:r>
      <w:r w:rsidR="00D3056E">
        <w:t>a</w:t>
      </w:r>
      <w:r>
        <w:t xml:space="preserve"> zahtjevima </w:t>
      </w:r>
      <w:r w:rsidR="00D3056E">
        <w:t>za povećanjem raspoloživosti snaga</w:t>
      </w:r>
      <w:r w:rsidR="002E09F7">
        <w:t xml:space="preserve"> na razini Europske unije</w:t>
      </w:r>
      <w:r w:rsidR="00D3056E">
        <w:t xml:space="preserve"> koje mogu biti uporabljene kao brzi odgovor na različite sigurnosne izazove </w:t>
      </w:r>
      <w:r w:rsidR="002E09F7">
        <w:t>sigurnosti i stabilnosti Europe</w:t>
      </w:r>
      <w:r w:rsidR="00D3056E">
        <w:t xml:space="preserve">. </w:t>
      </w:r>
    </w:p>
    <w:p w14:paraId="3E7606CA" w14:textId="3D600B42" w:rsidR="00367C88" w:rsidRPr="00C76D5E" w:rsidRDefault="00367C88" w:rsidP="003376CF">
      <w:pPr>
        <w:spacing w:after="120"/>
        <w:ind w:firstLine="709"/>
        <w:jc w:val="both"/>
      </w:pPr>
      <w:r w:rsidRPr="00F17D88">
        <w:t>Uporaba Oružanih snaga Republike Hrvatske u ratnom stanju nije predmet ove odluke</w:t>
      </w:r>
      <w:r w:rsidR="003376CF" w:rsidRPr="00F17D88">
        <w:t>, u kojem slučaju</w:t>
      </w:r>
      <w:r w:rsidRPr="00F17D88">
        <w:t xml:space="preserve"> Hrvatski sabor odlučuje o uporabi raspoređenih dijelova Oružanih snaga Republike Hrvatske</w:t>
      </w:r>
      <w:r w:rsidR="00AB763D">
        <w:t>.</w:t>
      </w:r>
    </w:p>
    <w:p w14:paraId="50EF4B33" w14:textId="77777777" w:rsidR="0088627F" w:rsidRPr="00C76D5E" w:rsidRDefault="0088627F" w:rsidP="00AB763D">
      <w:pPr>
        <w:spacing w:after="120"/>
        <w:jc w:val="both"/>
      </w:pPr>
    </w:p>
    <w:p w14:paraId="581CD03D" w14:textId="240C758A" w:rsidR="009221A4" w:rsidRPr="00C76D5E" w:rsidRDefault="0088627F" w:rsidP="0088627F">
      <w:pPr>
        <w:autoSpaceDE w:val="0"/>
        <w:autoSpaceDN w:val="0"/>
        <w:adjustRightInd w:val="0"/>
        <w:rPr>
          <w:b/>
          <w:bCs/>
        </w:rPr>
      </w:pPr>
      <w:r w:rsidRPr="00C76D5E">
        <w:rPr>
          <w:b/>
          <w:bCs/>
        </w:rPr>
        <w:tab/>
        <w:t>IV.</w:t>
      </w:r>
      <w:r w:rsidRPr="00C76D5E">
        <w:rPr>
          <w:b/>
          <w:bCs/>
        </w:rPr>
        <w:tab/>
      </w:r>
      <w:r w:rsidR="001C302F" w:rsidRPr="00C76D5E">
        <w:rPr>
          <w:b/>
          <w:bCs/>
        </w:rPr>
        <w:t>POTREBNA FINANCIJSKA SREDSTVA</w:t>
      </w:r>
    </w:p>
    <w:p w14:paraId="646D9245" w14:textId="77777777" w:rsidR="009221A4" w:rsidRPr="00C76D5E" w:rsidRDefault="009221A4" w:rsidP="009221A4">
      <w:pPr>
        <w:autoSpaceDE w:val="0"/>
        <w:autoSpaceDN w:val="0"/>
        <w:adjustRightInd w:val="0"/>
        <w:ind w:left="708"/>
        <w:rPr>
          <w:b/>
          <w:bCs/>
        </w:rPr>
      </w:pPr>
    </w:p>
    <w:p w14:paraId="115C9EA5" w14:textId="00C0BF7F" w:rsidR="00C177EA" w:rsidRPr="00C76D5E" w:rsidRDefault="00C177EA" w:rsidP="007E685B">
      <w:pPr>
        <w:autoSpaceDE w:val="0"/>
        <w:autoSpaceDN w:val="0"/>
        <w:adjustRightInd w:val="0"/>
        <w:spacing w:after="120"/>
        <w:ind w:firstLine="709"/>
        <w:jc w:val="both"/>
      </w:pPr>
      <w:r w:rsidRPr="00C76D5E">
        <w:t>Potrebna sredstva za provedbu ove Odluke osigurana su na razdjelu i glavi Ministarstva obrane u Državnom proračunu za 2024. godinu i projekcijama za 2025. i 2026. godinu.</w:t>
      </w:r>
    </w:p>
    <w:p w14:paraId="08A92EF5" w14:textId="77777777" w:rsidR="008278D3" w:rsidRDefault="008278D3" w:rsidP="008278D3"/>
    <w:p w14:paraId="5D7B122B" w14:textId="77777777" w:rsidR="008278D3" w:rsidRDefault="008278D3" w:rsidP="008278D3"/>
    <w:p w14:paraId="3564D763" w14:textId="5308B967" w:rsidR="008278D3" w:rsidRDefault="008278D3" w:rsidP="008278D3"/>
    <w:p w14:paraId="453FA334" w14:textId="77777777" w:rsidR="008278D3" w:rsidRDefault="008278D3" w:rsidP="008278D3">
      <w:pPr>
        <w:autoSpaceDE w:val="0"/>
        <w:autoSpaceDN w:val="0"/>
        <w:adjustRightInd w:val="0"/>
        <w:ind w:firstLine="709"/>
        <w:jc w:val="both"/>
      </w:pPr>
      <w:r>
        <w:t xml:space="preserve">Na temelju </w:t>
      </w:r>
      <w:r>
        <w:rPr>
          <w:color w:val="231F20"/>
        </w:rPr>
        <w:t xml:space="preserve">članka 46. stavka 1. i </w:t>
      </w:r>
      <w:r>
        <w:t xml:space="preserve">članka 54. stavka 2. Zakona o obrani (Narodne novine, br. 73/13, 75/15, 27/16, 110/17 – Odluka Ustavnog suda Republike Hrvatske, 30/18, 70/19 i 155/23), </w:t>
      </w:r>
      <w:r>
        <w:rPr>
          <w:color w:val="231F20"/>
        </w:rPr>
        <w:t xml:space="preserve">a u vezi s člankom 7. stavcima 3. i 5. Ustava Republike Hrvatske, </w:t>
      </w:r>
      <w:r>
        <w:t>na prijedlog Vlade Republike Hrvatske i uz prethodnu suglasnost Predsjednika Republike Hrvatske, Hrvatski sabor na sjednici _______________ donio je</w:t>
      </w:r>
    </w:p>
    <w:p w14:paraId="3FB986AA" w14:textId="77777777" w:rsidR="00EC618B" w:rsidRDefault="00EC618B" w:rsidP="008278D3">
      <w:pPr>
        <w:autoSpaceDE w:val="0"/>
        <w:autoSpaceDN w:val="0"/>
        <w:adjustRightInd w:val="0"/>
        <w:jc w:val="both"/>
        <w:rPr>
          <w:b/>
          <w:bCs/>
        </w:rPr>
      </w:pPr>
    </w:p>
    <w:p w14:paraId="49BFEA01" w14:textId="77777777" w:rsidR="00644629" w:rsidRPr="00C76D5E" w:rsidRDefault="00644629" w:rsidP="000122FF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14:paraId="4B6FEBDE" w14:textId="77777777" w:rsidR="00E2531D" w:rsidRPr="00C76D5E" w:rsidRDefault="00E2531D" w:rsidP="00541A2A">
      <w:pPr>
        <w:autoSpaceDE w:val="0"/>
        <w:autoSpaceDN w:val="0"/>
        <w:adjustRightInd w:val="0"/>
        <w:jc w:val="center"/>
        <w:rPr>
          <w:b/>
          <w:bCs/>
        </w:rPr>
      </w:pPr>
      <w:r w:rsidRPr="00C76D5E">
        <w:rPr>
          <w:b/>
          <w:bCs/>
        </w:rPr>
        <w:t>O</w:t>
      </w:r>
      <w:r w:rsidR="004071ED" w:rsidRPr="00C76D5E">
        <w:rPr>
          <w:b/>
          <w:bCs/>
        </w:rPr>
        <w:t xml:space="preserve"> </w:t>
      </w:r>
      <w:r w:rsidRPr="00C76D5E">
        <w:rPr>
          <w:b/>
          <w:bCs/>
        </w:rPr>
        <w:t>D</w:t>
      </w:r>
      <w:r w:rsidR="004071ED" w:rsidRPr="00C76D5E">
        <w:rPr>
          <w:b/>
          <w:bCs/>
        </w:rPr>
        <w:t xml:space="preserve"> </w:t>
      </w:r>
      <w:r w:rsidRPr="00C76D5E">
        <w:rPr>
          <w:b/>
          <w:bCs/>
        </w:rPr>
        <w:t>L</w:t>
      </w:r>
      <w:r w:rsidR="004071ED" w:rsidRPr="00C76D5E">
        <w:rPr>
          <w:b/>
          <w:bCs/>
        </w:rPr>
        <w:t xml:space="preserve"> </w:t>
      </w:r>
      <w:r w:rsidRPr="00C76D5E">
        <w:rPr>
          <w:b/>
          <w:bCs/>
        </w:rPr>
        <w:t>U</w:t>
      </w:r>
      <w:r w:rsidR="004071ED" w:rsidRPr="00C76D5E">
        <w:rPr>
          <w:b/>
          <w:bCs/>
        </w:rPr>
        <w:t xml:space="preserve"> </w:t>
      </w:r>
      <w:r w:rsidRPr="00C76D5E">
        <w:rPr>
          <w:b/>
          <w:bCs/>
        </w:rPr>
        <w:t>K</w:t>
      </w:r>
      <w:r w:rsidR="004071ED" w:rsidRPr="00C76D5E">
        <w:rPr>
          <w:b/>
          <w:bCs/>
        </w:rPr>
        <w:t xml:space="preserve"> </w:t>
      </w:r>
      <w:r w:rsidRPr="00C76D5E">
        <w:rPr>
          <w:b/>
          <w:bCs/>
        </w:rPr>
        <w:t>U</w:t>
      </w:r>
    </w:p>
    <w:p w14:paraId="1FB881C3" w14:textId="77777777" w:rsidR="003F75D4" w:rsidRPr="00C76D5E" w:rsidRDefault="003F75D4" w:rsidP="000122FF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14:paraId="3DF1BE54" w14:textId="4F365164" w:rsidR="00644629" w:rsidRDefault="002C2C1E" w:rsidP="00541A2A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76D5E">
        <w:rPr>
          <w:b/>
          <w:bCs/>
        </w:rPr>
        <w:t>O PRELASKU GRANICE REPUBLIKE HRVATSKE ORUŽANIH SNAGA</w:t>
      </w:r>
      <w:r w:rsidR="00541A2A">
        <w:rPr>
          <w:b/>
          <w:bCs/>
        </w:rPr>
        <w:t xml:space="preserve"> </w:t>
      </w:r>
      <w:r w:rsidRPr="00C76D5E">
        <w:rPr>
          <w:b/>
          <w:bCs/>
        </w:rPr>
        <w:t xml:space="preserve">DRŽAVA ČLANICA </w:t>
      </w:r>
      <w:r w:rsidR="003376CF" w:rsidRPr="00C76D5E">
        <w:rPr>
          <w:b/>
          <w:bCs/>
        </w:rPr>
        <w:t>EUROPSKE UNIJE</w:t>
      </w:r>
      <w:r w:rsidRPr="00C76D5E">
        <w:rPr>
          <w:b/>
          <w:bCs/>
        </w:rPr>
        <w:t xml:space="preserve"> I ORUŽANIH SNAGA REPUBLIKE</w:t>
      </w:r>
      <w:r w:rsidR="00541A2A">
        <w:rPr>
          <w:b/>
          <w:bCs/>
        </w:rPr>
        <w:t xml:space="preserve"> </w:t>
      </w:r>
      <w:r w:rsidRPr="00C76D5E">
        <w:rPr>
          <w:b/>
          <w:bCs/>
        </w:rPr>
        <w:t>HRVATSKE</w:t>
      </w:r>
      <w:r w:rsidR="00541A2A">
        <w:rPr>
          <w:b/>
          <w:bCs/>
        </w:rPr>
        <w:t xml:space="preserve"> </w:t>
      </w:r>
      <w:r w:rsidRPr="00C76D5E">
        <w:rPr>
          <w:b/>
          <w:bCs/>
        </w:rPr>
        <w:t xml:space="preserve">ANGAŽIRANIH U OKVIRU </w:t>
      </w:r>
      <w:r w:rsidR="00D401F7" w:rsidRPr="00C76D5E">
        <w:rPr>
          <w:rFonts w:eastAsia="Calibri"/>
          <w:b/>
          <w:bCs/>
          <w:lang w:eastAsia="en-US"/>
        </w:rPr>
        <w:t>KAPACITETA ZA BRZO RASPOREĐIVANJE EUROPSKE UNIJE</w:t>
      </w:r>
      <w:r w:rsidR="00E8789A" w:rsidRPr="00E8789A">
        <w:t xml:space="preserve"> </w:t>
      </w:r>
      <w:r w:rsidR="00E8789A" w:rsidRPr="00E8789A">
        <w:rPr>
          <w:rFonts w:eastAsia="Calibri"/>
          <w:b/>
          <w:bCs/>
          <w:lang w:eastAsia="en-US"/>
        </w:rPr>
        <w:t>U 2025. I 2026. GODINI</w:t>
      </w:r>
    </w:p>
    <w:p w14:paraId="7E1F61BF" w14:textId="77777777" w:rsidR="00644629" w:rsidRPr="00C76D5E" w:rsidRDefault="00644629" w:rsidP="00541A2A">
      <w:pPr>
        <w:autoSpaceDE w:val="0"/>
        <w:autoSpaceDN w:val="0"/>
        <w:adjustRightInd w:val="0"/>
        <w:jc w:val="center"/>
        <w:rPr>
          <w:b/>
          <w:bCs/>
        </w:rPr>
      </w:pPr>
    </w:p>
    <w:p w14:paraId="09F959AB" w14:textId="77777777" w:rsidR="00644629" w:rsidRDefault="00644629" w:rsidP="00644629">
      <w:pPr>
        <w:autoSpaceDE w:val="0"/>
        <w:autoSpaceDN w:val="0"/>
        <w:adjustRightInd w:val="0"/>
        <w:jc w:val="center"/>
      </w:pPr>
    </w:p>
    <w:p w14:paraId="1144F0CA" w14:textId="77777777" w:rsidR="00E2531D" w:rsidRPr="00C76D5E" w:rsidRDefault="00E2531D" w:rsidP="00644629">
      <w:pPr>
        <w:pStyle w:val="NormalWeb"/>
        <w:spacing w:before="0" w:beforeAutospacing="0" w:after="0" w:afterAutospacing="0"/>
        <w:jc w:val="center"/>
        <w:rPr>
          <w:b/>
        </w:rPr>
      </w:pPr>
      <w:r w:rsidRPr="00C76D5E">
        <w:rPr>
          <w:b/>
        </w:rPr>
        <w:t>I.</w:t>
      </w:r>
    </w:p>
    <w:p w14:paraId="1CD6329A" w14:textId="0CB6F6D1" w:rsidR="00BE72F5" w:rsidRPr="00C76D5E" w:rsidRDefault="002C2C1E" w:rsidP="004A7CC8">
      <w:pPr>
        <w:spacing w:before="100" w:beforeAutospacing="1" w:after="100" w:afterAutospacing="1"/>
        <w:ind w:firstLine="708"/>
        <w:jc w:val="both"/>
        <w:rPr>
          <w:lang w:bidi="ta-IN"/>
        </w:rPr>
      </w:pPr>
      <w:r w:rsidRPr="00C76D5E">
        <w:rPr>
          <w:lang w:bidi="ta-IN"/>
        </w:rPr>
        <w:t>Odobrava se prelazak granice Republike Hrvatske dijelovima</w:t>
      </w:r>
      <w:r w:rsidR="00A2695C" w:rsidRPr="00C76D5E">
        <w:rPr>
          <w:lang w:bidi="ta-IN"/>
        </w:rPr>
        <w:t xml:space="preserve"> </w:t>
      </w:r>
      <w:r w:rsidR="00D401F7" w:rsidRPr="00C76D5E">
        <w:rPr>
          <w:lang w:bidi="ta-IN"/>
        </w:rPr>
        <w:t xml:space="preserve">oružanih </w:t>
      </w:r>
      <w:r w:rsidR="00A2695C" w:rsidRPr="00C76D5E">
        <w:rPr>
          <w:lang w:bidi="ta-IN"/>
        </w:rPr>
        <w:t>snaga</w:t>
      </w:r>
      <w:r w:rsidR="00F80F12" w:rsidRPr="00C76D5E">
        <w:rPr>
          <w:lang w:bidi="ta-IN"/>
        </w:rPr>
        <w:t xml:space="preserve"> država članica </w:t>
      </w:r>
      <w:r w:rsidR="003376CF" w:rsidRPr="00C76D5E">
        <w:rPr>
          <w:lang w:bidi="ta-IN"/>
        </w:rPr>
        <w:t>Europske unije</w:t>
      </w:r>
      <w:r w:rsidR="00A2695C" w:rsidRPr="00C76D5E">
        <w:rPr>
          <w:lang w:bidi="ta-IN"/>
        </w:rPr>
        <w:t xml:space="preserve"> </w:t>
      </w:r>
      <w:r w:rsidR="00C67555" w:rsidRPr="00C76D5E">
        <w:rPr>
          <w:lang w:bidi="ta-IN"/>
        </w:rPr>
        <w:t xml:space="preserve">u sklopu </w:t>
      </w:r>
      <w:r w:rsidR="00D401F7" w:rsidRPr="00C76D5E">
        <w:rPr>
          <w:lang w:bidi="ta-IN"/>
        </w:rPr>
        <w:t>Kapaciteta za brzo raspoređivanje</w:t>
      </w:r>
      <w:r w:rsidR="00C67555" w:rsidRPr="00C76D5E">
        <w:rPr>
          <w:lang w:bidi="ta-IN"/>
        </w:rPr>
        <w:t xml:space="preserve"> Europske unije</w:t>
      </w:r>
      <w:r w:rsidR="00234B59" w:rsidRPr="00C76D5E">
        <w:rPr>
          <w:lang w:bidi="ta-IN"/>
        </w:rPr>
        <w:t xml:space="preserve"> </w:t>
      </w:r>
      <w:r w:rsidRPr="00C76D5E">
        <w:rPr>
          <w:lang w:bidi="ta-IN"/>
        </w:rPr>
        <w:t xml:space="preserve">radi njihova </w:t>
      </w:r>
      <w:r w:rsidR="00C43DD7" w:rsidRPr="00C76D5E">
        <w:rPr>
          <w:lang w:bidi="ta-IN"/>
        </w:rPr>
        <w:t xml:space="preserve">prolaska ili </w:t>
      </w:r>
      <w:r w:rsidRPr="00C76D5E">
        <w:rPr>
          <w:lang w:bidi="ta-IN"/>
        </w:rPr>
        <w:t>raspoređivanja na teritoriju Republike Hrvatske</w:t>
      </w:r>
      <w:r w:rsidR="008278D3">
        <w:rPr>
          <w:lang w:bidi="ta-IN"/>
        </w:rPr>
        <w:t>,</w:t>
      </w:r>
      <w:r w:rsidRPr="00C76D5E">
        <w:rPr>
          <w:lang w:bidi="ta-IN"/>
        </w:rPr>
        <w:t xml:space="preserve"> u situacijama predviđenim međunarodnim ugovorom.</w:t>
      </w:r>
    </w:p>
    <w:p w14:paraId="606000C8" w14:textId="77777777" w:rsidR="00BE72F5" w:rsidRPr="00C76D5E" w:rsidRDefault="00BE72F5" w:rsidP="00290A22">
      <w:pPr>
        <w:spacing w:before="240" w:after="240"/>
        <w:jc w:val="center"/>
        <w:rPr>
          <w:lang w:bidi="ta-IN"/>
        </w:rPr>
      </w:pPr>
      <w:r w:rsidRPr="00C76D5E">
        <w:rPr>
          <w:b/>
          <w:lang w:bidi="ta-IN"/>
        </w:rPr>
        <w:t>II.</w:t>
      </w:r>
    </w:p>
    <w:p w14:paraId="5E0AD365" w14:textId="3296954C" w:rsidR="00F03092" w:rsidRDefault="002C2C1E" w:rsidP="00F03092">
      <w:pPr>
        <w:spacing w:before="100" w:beforeAutospacing="1" w:after="100" w:afterAutospacing="1"/>
        <w:ind w:firstLine="708"/>
        <w:jc w:val="both"/>
        <w:rPr>
          <w:lang w:bidi="ta-IN"/>
        </w:rPr>
      </w:pPr>
      <w:r w:rsidRPr="00F32357">
        <w:rPr>
          <w:lang w:bidi="ta-IN"/>
        </w:rPr>
        <w:t xml:space="preserve">Odobrava se prelazak granice Republike Hrvatske i </w:t>
      </w:r>
      <w:r w:rsidR="00F32357" w:rsidRPr="00F32357">
        <w:rPr>
          <w:lang w:bidi="ta-IN"/>
        </w:rPr>
        <w:t>raspoređivanje</w:t>
      </w:r>
      <w:r w:rsidRPr="00F32357">
        <w:rPr>
          <w:lang w:bidi="ta-IN"/>
        </w:rPr>
        <w:t xml:space="preserve"> dijelu Oružanih snaga Republike Hrvatske, deklariranih u </w:t>
      </w:r>
      <w:r w:rsidR="00D401F7" w:rsidRPr="00F32357">
        <w:rPr>
          <w:lang w:bidi="ta-IN"/>
        </w:rPr>
        <w:t>Kapacitet</w:t>
      </w:r>
      <w:r w:rsidR="00C43DD7" w:rsidRPr="00F32357">
        <w:rPr>
          <w:lang w:bidi="ta-IN"/>
        </w:rPr>
        <w:t xml:space="preserve"> za brzo raspoređivanje Europske unije</w:t>
      </w:r>
      <w:r w:rsidR="00A2695C" w:rsidRPr="00F32357">
        <w:rPr>
          <w:lang w:bidi="ta-IN"/>
        </w:rPr>
        <w:t xml:space="preserve">, u skladu </w:t>
      </w:r>
      <w:r w:rsidR="006758AA" w:rsidRPr="00F32357">
        <w:rPr>
          <w:lang w:bidi="ta-IN"/>
        </w:rPr>
        <w:t>s Zakonom o obrani</w:t>
      </w:r>
      <w:r w:rsidR="00F32357">
        <w:rPr>
          <w:lang w:bidi="ta-IN"/>
        </w:rPr>
        <w:t xml:space="preserve">, </w:t>
      </w:r>
      <w:r w:rsidR="00B81D94" w:rsidRPr="00F32357">
        <w:rPr>
          <w:lang w:bidi="ta-IN"/>
        </w:rPr>
        <w:t xml:space="preserve">odlukama Vijeća Europske unije i </w:t>
      </w:r>
      <w:r w:rsidR="00A2695C" w:rsidRPr="00F32357">
        <w:rPr>
          <w:lang w:bidi="ta-IN"/>
        </w:rPr>
        <w:t xml:space="preserve">zahtjevom nadležnih zapovjedništava </w:t>
      </w:r>
      <w:r w:rsidR="003376CF" w:rsidRPr="00F32357">
        <w:rPr>
          <w:lang w:bidi="ta-IN"/>
        </w:rPr>
        <w:t>Europske unije</w:t>
      </w:r>
      <w:r w:rsidR="00F03092" w:rsidRPr="00F32357">
        <w:rPr>
          <w:lang w:bidi="ta-IN"/>
        </w:rPr>
        <w:t>.</w:t>
      </w:r>
    </w:p>
    <w:p w14:paraId="605CA241" w14:textId="77777777" w:rsidR="00A2695C" w:rsidRPr="00C76D5E" w:rsidRDefault="00A2695C" w:rsidP="00A2695C">
      <w:pPr>
        <w:spacing w:before="100" w:beforeAutospacing="1" w:after="100" w:afterAutospacing="1"/>
        <w:jc w:val="center"/>
        <w:rPr>
          <w:b/>
          <w:lang w:bidi="ta-IN"/>
        </w:rPr>
      </w:pPr>
      <w:r w:rsidRPr="00C76D5E">
        <w:rPr>
          <w:b/>
          <w:lang w:bidi="ta-IN"/>
        </w:rPr>
        <w:t>III.</w:t>
      </w:r>
    </w:p>
    <w:p w14:paraId="5CC98C46" w14:textId="6C3435EA" w:rsidR="00A2695C" w:rsidRPr="00C76D5E" w:rsidRDefault="00A2695C" w:rsidP="00A2695C">
      <w:pPr>
        <w:spacing w:before="100" w:beforeAutospacing="1" w:after="100" w:afterAutospacing="1"/>
        <w:ind w:firstLine="708"/>
        <w:jc w:val="both"/>
        <w:rPr>
          <w:lang w:bidi="ta-IN"/>
        </w:rPr>
      </w:pPr>
      <w:r w:rsidRPr="00C76D5E">
        <w:t>Obvezuje se Vlada Republike Hrvatske da izvijesti Hrvatski sabor o provedbi ove Odluke.</w:t>
      </w:r>
    </w:p>
    <w:p w14:paraId="3B175284" w14:textId="77777777" w:rsidR="00BE72F5" w:rsidRPr="00C76D5E" w:rsidRDefault="004F0831" w:rsidP="000122FF">
      <w:pPr>
        <w:spacing w:before="100" w:beforeAutospacing="1" w:after="100" w:afterAutospacing="1"/>
        <w:jc w:val="center"/>
        <w:rPr>
          <w:b/>
          <w:lang w:bidi="ta-IN"/>
        </w:rPr>
      </w:pPr>
      <w:r w:rsidRPr="00C76D5E">
        <w:rPr>
          <w:b/>
          <w:lang w:bidi="ta-IN"/>
        </w:rPr>
        <w:lastRenderedPageBreak/>
        <w:t>I</w:t>
      </w:r>
      <w:r w:rsidR="00A2695C" w:rsidRPr="00C76D5E">
        <w:rPr>
          <w:b/>
          <w:lang w:bidi="ta-IN"/>
        </w:rPr>
        <w:t>V</w:t>
      </w:r>
      <w:r w:rsidR="00BE72F5" w:rsidRPr="00C76D5E">
        <w:rPr>
          <w:b/>
          <w:lang w:bidi="ta-IN"/>
        </w:rPr>
        <w:t>.</w:t>
      </w:r>
    </w:p>
    <w:p w14:paraId="08C559D0" w14:textId="25BA5B33" w:rsidR="00E95A4A" w:rsidRPr="00C76D5E" w:rsidRDefault="0087329E" w:rsidP="00290A22">
      <w:pPr>
        <w:spacing w:before="100" w:beforeAutospacing="1" w:after="100" w:afterAutospacing="1"/>
        <w:ind w:firstLine="708"/>
        <w:jc w:val="both"/>
      </w:pPr>
      <w:r w:rsidRPr="00C76D5E">
        <w:t>Ova Odluka stupa na snagu osmoga dana od dana objave u Narodnim novinama.</w:t>
      </w:r>
    </w:p>
    <w:tbl>
      <w:tblPr>
        <w:tblW w:w="9813" w:type="dxa"/>
        <w:tblLook w:val="01E0" w:firstRow="1" w:lastRow="1" w:firstColumn="1" w:lastColumn="1" w:noHBand="0" w:noVBand="0"/>
      </w:tblPr>
      <w:tblGrid>
        <w:gridCol w:w="3392"/>
        <w:gridCol w:w="2953"/>
        <w:gridCol w:w="3468"/>
      </w:tblGrid>
      <w:tr w:rsidR="00C76D5E" w:rsidRPr="00C76D5E" w14:paraId="67F613DE" w14:textId="77777777" w:rsidTr="003F75D4">
        <w:tc>
          <w:tcPr>
            <w:tcW w:w="3392" w:type="dxa"/>
            <w:shd w:val="clear" w:color="auto" w:fill="auto"/>
          </w:tcPr>
          <w:p w14:paraId="16133B76" w14:textId="77777777" w:rsidR="00BE72F5" w:rsidRPr="00C76D5E" w:rsidRDefault="00BE72F5" w:rsidP="000122FF">
            <w:pPr>
              <w:pStyle w:val="NormalWeb"/>
              <w:jc w:val="center"/>
              <w:rPr>
                <w:b/>
              </w:rPr>
            </w:pPr>
          </w:p>
        </w:tc>
        <w:tc>
          <w:tcPr>
            <w:tcW w:w="2953" w:type="dxa"/>
            <w:shd w:val="clear" w:color="auto" w:fill="auto"/>
          </w:tcPr>
          <w:p w14:paraId="7ADCC880" w14:textId="77777777" w:rsidR="00BE72F5" w:rsidRPr="00C76D5E" w:rsidRDefault="00BE72F5" w:rsidP="000122FF">
            <w:pPr>
              <w:jc w:val="center"/>
              <w:rPr>
                <w:b/>
              </w:rPr>
            </w:pPr>
          </w:p>
        </w:tc>
        <w:tc>
          <w:tcPr>
            <w:tcW w:w="3468" w:type="dxa"/>
            <w:shd w:val="clear" w:color="auto" w:fill="auto"/>
          </w:tcPr>
          <w:p w14:paraId="0304BDE8" w14:textId="77777777" w:rsidR="00E95A4A" w:rsidRPr="00C76D5E" w:rsidRDefault="00E95A4A" w:rsidP="000122FF">
            <w:pPr>
              <w:pStyle w:val="NormalWeb"/>
              <w:jc w:val="center"/>
              <w:rPr>
                <w:b/>
              </w:rPr>
            </w:pPr>
          </w:p>
        </w:tc>
      </w:tr>
      <w:tr w:rsidR="00C76D5E" w:rsidRPr="00C76D5E" w14:paraId="5F72ABAD" w14:textId="77777777" w:rsidTr="00E8789A">
        <w:trPr>
          <w:trHeight w:val="1113"/>
        </w:trPr>
        <w:tc>
          <w:tcPr>
            <w:tcW w:w="3392" w:type="dxa"/>
            <w:shd w:val="clear" w:color="auto" w:fill="auto"/>
          </w:tcPr>
          <w:p w14:paraId="66651A65" w14:textId="313F3F2E" w:rsidR="0087329E" w:rsidRPr="00C76D5E" w:rsidRDefault="00E8789A" w:rsidP="000122FF">
            <w:r w:rsidRPr="00C76D5E">
              <w:t>KLASA:</w:t>
            </w:r>
          </w:p>
          <w:p w14:paraId="0BA604D0" w14:textId="1CC3F097" w:rsidR="00BE72F5" w:rsidRPr="00C76D5E" w:rsidRDefault="0087329E" w:rsidP="008278D3">
            <w:r w:rsidRPr="00C76D5E">
              <w:t>Zagreb</w:t>
            </w:r>
          </w:p>
        </w:tc>
        <w:tc>
          <w:tcPr>
            <w:tcW w:w="2953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001"/>
              <w:gridCol w:w="303"/>
            </w:tblGrid>
            <w:tr w:rsidR="00C76D5E" w:rsidRPr="00C76D5E" w14:paraId="06A98285" w14:textId="77777777" w:rsidTr="003F75D4">
              <w:tc>
                <w:tcPr>
                  <w:tcW w:w="2001" w:type="dxa"/>
                  <w:shd w:val="clear" w:color="auto" w:fill="auto"/>
                </w:tcPr>
                <w:p w14:paraId="31F1FAF3" w14:textId="174E613F" w:rsidR="003F75D4" w:rsidRPr="00C76D5E" w:rsidRDefault="003F75D4" w:rsidP="00E8789A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14:paraId="2B3506FC" w14:textId="77777777" w:rsidR="003F75D4" w:rsidRPr="00C76D5E" w:rsidRDefault="003F75D4" w:rsidP="000122FF">
                  <w:pPr>
                    <w:pStyle w:val="NormalWeb"/>
                    <w:jc w:val="center"/>
                    <w:rPr>
                      <w:b/>
                    </w:rPr>
                  </w:pPr>
                </w:p>
                <w:p w14:paraId="2C59A8B2" w14:textId="77777777" w:rsidR="003F75D4" w:rsidRPr="00C76D5E" w:rsidRDefault="003F75D4" w:rsidP="000122FF">
                  <w:pPr>
                    <w:pStyle w:val="NormalWeb"/>
                    <w:jc w:val="center"/>
                    <w:rPr>
                      <w:b/>
                    </w:rPr>
                  </w:pPr>
                </w:p>
              </w:tc>
            </w:tr>
          </w:tbl>
          <w:p w14:paraId="3000D13B" w14:textId="77777777" w:rsidR="00BE72F5" w:rsidRPr="00C76D5E" w:rsidRDefault="003F75D4" w:rsidP="000122FF">
            <w:pPr>
              <w:pStyle w:val="NormalWeb"/>
              <w:rPr>
                <w:b/>
              </w:rPr>
            </w:pPr>
            <w:r w:rsidRPr="00C76D5E">
              <w:rPr>
                <w:b/>
              </w:rPr>
              <w:t xml:space="preserve">HRVATSKI SABOR </w:t>
            </w:r>
          </w:p>
        </w:tc>
        <w:tc>
          <w:tcPr>
            <w:tcW w:w="3468" w:type="dxa"/>
            <w:shd w:val="clear" w:color="auto" w:fill="auto"/>
          </w:tcPr>
          <w:p w14:paraId="2A677EA8" w14:textId="77777777" w:rsidR="00BE72F5" w:rsidRPr="00C76D5E" w:rsidRDefault="00BE72F5" w:rsidP="000122FF">
            <w:pPr>
              <w:pStyle w:val="NormalWeb"/>
              <w:rPr>
                <w:b/>
              </w:rPr>
            </w:pPr>
          </w:p>
        </w:tc>
      </w:tr>
      <w:tr w:rsidR="005F6F67" w:rsidRPr="00C76D5E" w14:paraId="6B70B599" w14:textId="77777777" w:rsidTr="003F75D4">
        <w:tc>
          <w:tcPr>
            <w:tcW w:w="3392" w:type="dxa"/>
            <w:shd w:val="clear" w:color="auto" w:fill="auto"/>
          </w:tcPr>
          <w:p w14:paraId="4D30F1F9" w14:textId="77777777" w:rsidR="00BE72F5" w:rsidRPr="00C76D5E" w:rsidRDefault="00BE72F5" w:rsidP="000122FF">
            <w:pPr>
              <w:pStyle w:val="NormalWeb"/>
              <w:jc w:val="center"/>
              <w:rPr>
                <w:b/>
              </w:rPr>
            </w:pPr>
          </w:p>
        </w:tc>
        <w:tc>
          <w:tcPr>
            <w:tcW w:w="2953" w:type="dxa"/>
            <w:shd w:val="clear" w:color="auto" w:fill="auto"/>
          </w:tcPr>
          <w:p w14:paraId="69BFCD66" w14:textId="77777777" w:rsidR="00BE72F5" w:rsidRPr="00C76D5E" w:rsidRDefault="00BE72F5" w:rsidP="000122FF">
            <w:pPr>
              <w:pStyle w:val="NormalWeb"/>
              <w:jc w:val="center"/>
              <w:rPr>
                <w:b/>
              </w:rPr>
            </w:pPr>
          </w:p>
        </w:tc>
        <w:tc>
          <w:tcPr>
            <w:tcW w:w="3468" w:type="dxa"/>
            <w:shd w:val="clear" w:color="auto" w:fill="auto"/>
          </w:tcPr>
          <w:p w14:paraId="7E37AA20" w14:textId="77777777" w:rsidR="0087329E" w:rsidRPr="00C76D5E" w:rsidRDefault="00BE72F5" w:rsidP="000122FF">
            <w:pPr>
              <w:pStyle w:val="NormalWeb"/>
              <w:spacing w:before="0" w:beforeAutospacing="0" w:after="0" w:afterAutospacing="0"/>
              <w:jc w:val="center"/>
            </w:pPr>
            <w:r w:rsidRPr="00C76D5E">
              <w:t xml:space="preserve">Predsjednik </w:t>
            </w:r>
          </w:p>
          <w:p w14:paraId="3886994B" w14:textId="77777777" w:rsidR="0087329E" w:rsidRPr="00C76D5E" w:rsidRDefault="00BE72F5" w:rsidP="000122FF">
            <w:pPr>
              <w:pStyle w:val="NormalWeb"/>
              <w:spacing w:before="0" w:beforeAutospacing="0" w:after="0" w:afterAutospacing="0"/>
              <w:jc w:val="center"/>
            </w:pPr>
            <w:r w:rsidRPr="00C76D5E">
              <w:t xml:space="preserve">Hrvatskoga sabora </w:t>
            </w:r>
          </w:p>
          <w:p w14:paraId="1EB39BE7" w14:textId="77777777" w:rsidR="00BE72F5" w:rsidRPr="00C76D5E" w:rsidRDefault="004C07FB" w:rsidP="00D86975">
            <w:pPr>
              <w:pStyle w:val="NormalWeb"/>
              <w:spacing w:before="0" w:beforeAutospacing="0" w:after="0" w:afterAutospacing="0"/>
              <w:jc w:val="center"/>
            </w:pPr>
            <w:r w:rsidRPr="00C76D5E">
              <w:t>Gordan Jandroković</w:t>
            </w:r>
            <w:r w:rsidR="00D86975" w:rsidRPr="00C76D5E">
              <w:t xml:space="preserve"> </w:t>
            </w:r>
            <w:r w:rsidR="00BE72F5" w:rsidRPr="00C76D5E">
              <w:br/>
            </w:r>
          </w:p>
        </w:tc>
      </w:tr>
    </w:tbl>
    <w:p w14:paraId="014DCED5" w14:textId="77777777" w:rsidR="00163CB7" w:rsidRPr="00C76D5E" w:rsidRDefault="001C302F" w:rsidP="00E8789A">
      <w:pPr>
        <w:jc w:val="center"/>
        <w:rPr>
          <w:rFonts w:eastAsia="Calibri"/>
          <w:b/>
          <w:lang w:eastAsia="en-US"/>
        </w:rPr>
      </w:pPr>
      <w:r w:rsidRPr="00C76D5E">
        <w:rPr>
          <w:rFonts w:eastAsia="Calibri"/>
          <w:b/>
          <w:lang w:eastAsia="en-US"/>
        </w:rPr>
        <w:t>O B R A Z L O Ž E N</w:t>
      </w:r>
      <w:r w:rsidR="00992A01" w:rsidRPr="00C76D5E">
        <w:rPr>
          <w:rFonts w:eastAsia="Calibri"/>
          <w:b/>
          <w:lang w:eastAsia="en-US"/>
        </w:rPr>
        <w:t xml:space="preserve"> </w:t>
      </w:r>
      <w:r w:rsidRPr="00C76D5E">
        <w:rPr>
          <w:rFonts w:eastAsia="Calibri"/>
          <w:b/>
          <w:lang w:eastAsia="en-US"/>
        </w:rPr>
        <w:t>J E</w:t>
      </w:r>
    </w:p>
    <w:p w14:paraId="21046379" w14:textId="77777777" w:rsidR="00163CB7" w:rsidRPr="00C76D5E" w:rsidRDefault="00163CB7" w:rsidP="000122FF">
      <w:pPr>
        <w:autoSpaceDE w:val="0"/>
        <w:autoSpaceDN w:val="0"/>
        <w:adjustRightInd w:val="0"/>
        <w:rPr>
          <w:b/>
          <w:bCs/>
        </w:rPr>
      </w:pPr>
    </w:p>
    <w:p w14:paraId="4068E53C" w14:textId="23F1A168" w:rsidR="008561E5" w:rsidRPr="00C76D5E" w:rsidRDefault="00C301CA" w:rsidP="000122FF">
      <w:pPr>
        <w:pStyle w:val="t-9-8"/>
        <w:jc w:val="both"/>
        <w:rPr>
          <w:rFonts w:eastAsia="Times New Roman"/>
          <w:lang w:eastAsia="hr-HR" w:bidi="ta-IN"/>
        </w:rPr>
      </w:pPr>
      <w:r w:rsidRPr="00C76D5E">
        <w:rPr>
          <w:b/>
          <w:bCs/>
        </w:rPr>
        <w:t xml:space="preserve"> </w:t>
      </w:r>
      <w:r w:rsidRPr="00C76D5E">
        <w:rPr>
          <w:b/>
          <w:bCs/>
        </w:rPr>
        <w:tab/>
      </w:r>
      <w:r w:rsidR="00CD7394" w:rsidRPr="00C76D5E">
        <w:rPr>
          <w:b/>
          <w:bCs/>
        </w:rPr>
        <w:t>Točkom</w:t>
      </w:r>
      <w:r w:rsidR="001C302F" w:rsidRPr="00C76D5E">
        <w:rPr>
          <w:b/>
          <w:bCs/>
        </w:rPr>
        <w:t xml:space="preserve"> I. </w:t>
      </w:r>
      <w:r w:rsidR="003F75D4" w:rsidRPr="00C76D5E">
        <w:rPr>
          <w:b/>
          <w:bCs/>
        </w:rPr>
        <w:t xml:space="preserve"> </w:t>
      </w:r>
      <w:r w:rsidR="00E00518" w:rsidRPr="00C76D5E">
        <w:rPr>
          <w:bCs/>
        </w:rPr>
        <w:t>o</w:t>
      </w:r>
      <w:r w:rsidR="00BB5395" w:rsidRPr="00C76D5E">
        <w:t xml:space="preserve">dređuje se da Hrvatski sabor donosi </w:t>
      </w:r>
      <w:r w:rsidR="00A2695C" w:rsidRPr="00C76D5E">
        <w:t xml:space="preserve">odluku kojom se odobrava prelazak granice Republike Hrvatske dijelovima </w:t>
      </w:r>
      <w:r w:rsidR="00C43DD7" w:rsidRPr="00C76D5E">
        <w:t>oružanih</w:t>
      </w:r>
      <w:r w:rsidR="00CF4196" w:rsidRPr="00C76D5E">
        <w:t xml:space="preserve"> snaga</w:t>
      </w:r>
      <w:r w:rsidR="00C43DD7" w:rsidRPr="00C76D5E">
        <w:t xml:space="preserve"> država članica Europske unije</w:t>
      </w:r>
      <w:r w:rsidR="00CF4196" w:rsidRPr="00C76D5E">
        <w:t xml:space="preserve"> </w:t>
      </w:r>
      <w:r w:rsidR="00C67555" w:rsidRPr="00C76D5E">
        <w:t xml:space="preserve">u sklopu </w:t>
      </w:r>
      <w:r w:rsidR="00C43DD7" w:rsidRPr="00C76D5E">
        <w:t>Kapaciteta za brzo razmještanje</w:t>
      </w:r>
      <w:r w:rsidR="00C67555" w:rsidRPr="00C76D5E">
        <w:t xml:space="preserve"> Europske unije</w:t>
      </w:r>
      <w:r w:rsidR="00234B59" w:rsidRPr="00C76D5E">
        <w:t xml:space="preserve"> </w:t>
      </w:r>
      <w:r w:rsidR="00234B59" w:rsidRPr="00C76D5E">
        <w:rPr>
          <w:lang w:bidi="ta-IN"/>
        </w:rPr>
        <w:t xml:space="preserve">u 2025. i 2026. </w:t>
      </w:r>
      <w:r w:rsidR="00CF4196" w:rsidRPr="00C76D5E">
        <w:t>radi njihova</w:t>
      </w:r>
      <w:r w:rsidR="00C43DD7" w:rsidRPr="00C76D5E">
        <w:t xml:space="preserve"> prolaska ili</w:t>
      </w:r>
      <w:r w:rsidR="00CF4196" w:rsidRPr="00C76D5E">
        <w:t xml:space="preserve"> raspoređivanja na teritoriju Republike Hrvatske</w:t>
      </w:r>
      <w:r w:rsidR="008278D3">
        <w:t>,</w:t>
      </w:r>
      <w:r w:rsidR="00CF4196" w:rsidRPr="00C76D5E">
        <w:t xml:space="preserve"> u situacijama predviđenim međunarodnim ugovorom</w:t>
      </w:r>
      <w:r w:rsidR="004B156A" w:rsidRPr="00C76D5E">
        <w:rPr>
          <w:rFonts w:eastAsia="Times New Roman"/>
          <w:lang w:eastAsia="hr-HR" w:bidi="ta-IN"/>
        </w:rPr>
        <w:t>.</w:t>
      </w:r>
    </w:p>
    <w:p w14:paraId="132F10B2" w14:textId="223F58DB" w:rsidR="00E95A4A" w:rsidRPr="00C76D5E" w:rsidRDefault="000116C9" w:rsidP="00C301CA">
      <w:pPr>
        <w:pStyle w:val="t-9-8"/>
        <w:ind w:firstLine="708"/>
        <w:jc w:val="both"/>
        <w:rPr>
          <w:lang w:bidi="ta-IN"/>
        </w:rPr>
      </w:pPr>
      <w:r w:rsidRPr="00F32357">
        <w:rPr>
          <w:b/>
        </w:rPr>
        <w:t>Točkom</w:t>
      </w:r>
      <w:r w:rsidRPr="00F32357">
        <w:t xml:space="preserve"> </w:t>
      </w:r>
      <w:r w:rsidRPr="00F32357">
        <w:rPr>
          <w:b/>
          <w:bCs/>
        </w:rPr>
        <w:t>II.</w:t>
      </w:r>
      <w:r w:rsidR="00F03092" w:rsidRPr="00F32357">
        <w:rPr>
          <w:b/>
          <w:bCs/>
        </w:rPr>
        <w:t xml:space="preserve"> </w:t>
      </w:r>
      <w:r w:rsidR="00CF4196" w:rsidRPr="00F32357">
        <w:rPr>
          <w:bCs/>
          <w:lang w:bidi="ta-IN"/>
        </w:rPr>
        <w:t>o</w:t>
      </w:r>
      <w:r w:rsidR="00CF4196" w:rsidRPr="00F32357">
        <w:rPr>
          <w:lang w:bidi="ta-IN"/>
        </w:rPr>
        <w:t xml:space="preserve">dređuje se da Hrvatski sabor donosi odluku kojom se odobrava prelazak granice Republike Hrvatske i </w:t>
      </w:r>
      <w:r w:rsidR="00F32357">
        <w:rPr>
          <w:lang w:bidi="ta-IN"/>
        </w:rPr>
        <w:t>raspoređivanje</w:t>
      </w:r>
      <w:r w:rsidR="00CF4196" w:rsidRPr="00F32357">
        <w:rPr>
          <w:lang w:bidi="ta-IN"/>
        </w:rPr>
        <w:t xml:space="preserve"> dijelu Oružanih snaga Republike Hrvatske</w:t>
      </w:r>
      <w:r w:rsidR="00234B59" w:rsidRPr="00F32357">
        <w:rPr>
          <w:lang w:bidi="ta-IN"/>
        </w:rPr>
        <w:t xml:space="preserve"> u 2025. i 2026. godini</w:t>
      </w:r>
      <w:r w:rsidR="00CF4196" w:rsidRPr="00F32357">
        <w:rPr>
          <w:lang w:bidi="ta-IN"/>
        </w:rPr>
        <w:t xml:space="preserve">, deklariranih u </w:t>
      </w:r>
      <w:r w:rsidR="00C43DD7" w:rsidRPr="00F32357">
        <w:rPr>
          <w:lang w:bidi="ta-IN"/>
        </w:rPr>
        <w:t>Kapacitetu za brzo raspoređivanje</w:t>
      </w:r>
      <w:r w:rsidR="00C67555" w:rsidRPr="00F32357">
        <w:rPr>
          <w:lang w:bidi="ta-IN"/>
        </w:rPr>
        <w:t xml:space="preserve"> Europske unije</w:t>
      </w:r>
      <w:r w:rsidR="00CF4196" w:rsidRPr="00F32357">
        <w:rPr>
          <w:lang w:bidi="ta-IN"/>
        </w:rPr>
        <w:t xml:space="preserve">, u skladu </w:t>
      </w:r>
      <w:r w:rsidR="006758AA" w:rsidRPr="00F32357">
        <w:rPr>
          <w:lang w:bidi="ta-IN"/>
        </w:rPr>
        <w:t>sa Zakonom o obrani</w:t>
      </w:r>
      <w:r w:rsidR="00F32357">
        <w:rPr>
          <w:lang w:bidi="ta-IN"/>
        </w:rPr>
        <w:t xml:space="preserve">, </w:t>
      </w:r>
      <w:r w:rsidR="00A23929" w:rsidRPr="00F32357">
        <w:rPr>
          <w:lang w:bidi="ta-IN"/>
        </w:rPr>
        <w:t>odlukama Vijeća Europske unije i</w:t>
      </w:r>
      <w:r w:rsidR="00CF4196" w:rsidRPr="00F32357">
        <w:rPr>
          <w:lang w:bidi="ta-IN"/>
        </w:rPr>
        <w:t xml:space="preserve"> zahtjevom nadležnih zapovjedništava </w:t>
      </w:r>
      <w:r w:rsidR="003376CF" w:rsidRPr="00F32357">
        <w:rPr>
          <w:lang w:bidi="ta-IN"/>
        </w:rPr>
        <w:t>Europske unije</w:t>
      </w:r>
      <w:r w:rsidR="004A7CC8" w:rsidRPr="00F32357">
        <w:rPr>
          <w:lang w:bidi="ta-IN"/>
        </w:rPr>
        <w:t>.</w:t>
      </w:r>
    </w:p>
    <w:p w14:paraId="0FA02906" w14:textId="7D1E61CB" w:rsidR="00CF4196" w:rsidRPr="00C76D5E" w:rsidRDefault="00CF4196" w:rsidP="00C301CA">
      <w:pPr>
        <w:pStyle w:val="t-9-8"/>
        <w:ind w:firstLine="708"/>
        <w:jc w:val="both"/>
        <w:rPr>
          <w:rFonts w:eastAsia="Times New Roman"/>
          <w:lang w:eastAsia="hr-HR" w:bidi="ta-IN"/>
        </w:rPr>
      </w:pPr>
      <w:r w:rsidRPr="00C76D5E">
        <w:rPr>
          <w:rFonts w:eastAsia="Times New Roman"/>
          <w:b/>
          <w:lang w:eastAsia="hr-HR" w:bidi="ta-IN"/>
        </w:rPr>
        <w:t>Točkom III.</w:t>
      </w:r>
      <w:r w:rsidRPr="00C76D5E">
        <w:rPr>
          <w:rFonts w:eastAsia="Times New Roman"/>
          <w:lang w:eastAsia="hr-HR" w:bidi="ta-IN"/>
        </w:rPr>
        <w:t xml:space="preserve">  obvezuje se Vlada Republike Hrvatske da </w:t>
      </w:r>
      <w:bookmarkStart w:id="0" w:name="_GoBack"/>
      <w:bookmarkEnd w:id="0"/>
      <w:r w:rsidRPr="00C76D5E">
        <w:rPr>
          <w:rFonts w:eastAsia="Times New Roman"/>
          <w:lang w:eastAsia="hr-HR" w:bidi="ta-IN"/>
        </w:rPr>
        <w:t>izvijesti Hrvatski sabor o provedbi ove Odluke.</w:t>
      </w:r>
    </w:p>
    <w:p w14:paraId="0E52930A" w14:textId="77777777" w:rsidR="005655EF" w:rsidRPr="00C76D5E" w:rsidRDefault="00E95A4A" w:rsidP="00C301CA">
      <w:pPr>
        <w:autoSpaceDE w:val="0"/>
        <w:autoSpaceDN w:val="0"/>
        <w:adjustRightInd w:val="0"/>
        <w:ind w:firstLine="708"/>
        <w:jc w:val="both"/>
      </w:pPr>
      <w:r w:rsidRPr="00C76D5E">
        <w:rPr>
          <w:b/>
        </w:rPr>
        <w:t>Točkom I</w:t>
      </w:r>
      <w:r w:rsidR="00CF4196" w:rsidRPr="00C76D5E">
        <w:rPr>
          <w:b/>
        </w:rPr>
        <w:t>V</w:t>
      </w:r>
      <w:r w:rsidRPr="00C76D5E">
        <w:rPr>
          <w:b/>
        </w:rPr>
        <w:t>.</w:t>
      </w:r>
      <w:r w:rsidRPr="00C76D5E">
        <w:t xml:space="preserve"> </w:t>
      </w:r>
      <w:r w:rsidR="00F1338D" w:rsidRPr="00C76D5E">
        <w:t xml:space="preserve"> određuje </w:t>
      </w:r>
      <w:r w:rsidR="00E00518" w:rsidRPr="00C76D5E">
        <w:t xml:space="preserve">se stupanje na snagu </w:t>
      </w:r>
      <w:r w:rsidR="00D86975" w:rsidRPr="00C76D5E">
        <w:t xml:space="preserve">ove </w:t>
      </w:r>
      <w:r w:rsidR="00E00518" w:rsidRPr="00C76D5E">
        <w:t>Odluke.</w:t>
      </w:r>
    </w:p>
    <w:p w14:paraId="10DFA188" w14:textId="77777777" w:rsidR="006648F8" w:rsidRPr="00C76D5E" w:rsidRDefault="006648F8" w:rsidP="001A0653">
      <w:pPr>
        <w:pStyle w:val="klasa2"/>
        <w:spacing w:before="0" w:beforeAutospacing="0" w:after="0" w:afterAutospacing="0"/>
        <w:jc w:val="both"/>
      </w:pPr>
    </w:p>
    <w:p w14:paraId="6E44890A" w14:textId="77777777" w:rsidR="001A0653" w:rsidRPr="00C76D5E" w:rsidRDefault="001A0653" w:rsidP="001A0653">
      <w:pPr>
        <w:pStyle w:val="klasa2"/>
        <w:spacing w:before="0" w:beforeAutospacing="0" w:after="0" w:afterAutospacing="0"/>
        <w:jc w:val="both"/>
      </w:pPr>
    </w:p>
    <w:p w14:paraId="564A2C08" w14:textId="77777777" w:rsidR="001A0653" w:rsidRPr="00C76D5E" w:rsidRDefault="001A0653" w:rsidP="001A0653">
      <w:pPr>
        <w:pStyle w:val="klasa2"/>
        <w:spacing w:before="0" w:beforeAutospacing="0" w:after="0" w:afterAutospacing="0"/>
        <w:jc w:val="both"/>
      </w:pPr>
    </w:p>
    <w:p w14:paraId="76882238" w14:textId="77777777" w:rsidR="004A7CC8" w:rsidRPr="00C76D5E" w:rsidRDefault="004A7CC8" w:rsidP="001A0653">
      <w:pPr>
        <w:pStyle w:val="klasa2"/>
        <w:spacing w:before="0" w:beforeAutospacing="0" w:after="0" w:afterAutospacing="0"/>
        <w:jc w:val="both"/>
      </w:pPr>
    </w:p>
    <w:p w14:paraId="5F95AD16" w14:textId="77777777" w:rsidR="004A7CC8" w:rsidRPr="00C76D5E" w:rsidRDefault="004A7CC8" w:rsidP="001A0653">
      <w:pPr>
        <w:pStyle w:val="klasa2"/>
        <w:spacing w:before="0" w:beforeAutospacing="0" w:after="0" w:afterAutospacing="0"/>
        <w:jc w:val="both"/>
      </w:pPr>
    </w:p>
    <w:p w14:paraId="0C1E10D1" w14:textId="77777777" w:rsidR="004A7CC8" w:rsidRPr="00C76D5E" w:rsidRDefault="004A7CC8" w:rsidP="001A0653">
      <w:pPr>
        <w:pStyle w:val="klasa2"/>
        <w:spacing w:before="0" w:beforeAutospacing="0" w:after="0" w:afterAutospacing="0"/>
        <w:jc w:val="both"/>
      </w:pPr>
    </w:p>
    <w:p w14:paraId="7877E402" w14:textId="77777777" w:rsidR="006648F8" w:rsidRPr="00C76D5E" w:rsidRDefault="006648F8" w:rsidP="000122FF">
      <w:pPr>
        <w:autoSpaceDE w:val="0"/>
        <w:autoSpaceDN w:val="0"/>
        <w:adjustRightInd w:val="0"/>
        <w:jc w:val="both"/>
      </w:pPr>
    </w:p>
    <w:sectPr w:rsidR="006648F8" w:rsidRPr="00C76D5E" w:rsidSect="00A268F7">
      <w:footerReference w:type="even" r:id="rId9"/>
      <w:footerReference w:type="default" r:id="rId10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0339C" w14:textId="77777777" w:rsidR="00EF5726" w:rsidRDefault="00EF5726">
      <w:r>
        <w:separator/>
      </w:r>
    </w:p>
  </w:endnote>
  <w:endnote w:type="continuationSeparator" w:id="0">
    <w:p w14:paraId="50D4C006" w14:textId="77777777" w:rsidR="00EF5726" w:rsidRDefault="00EF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1C31D" w14:textId="77777777" w:rsidR="00145DF4" w:rsidRDefault="00145DF4" w:rsidP="006E42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36E7BB" w14:textId="77777777" w:rsidR="00145DF4" w:rsidRDefault="00145DF4" w:rsidP="008D1E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768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72757" w14:textId="43E79E2E" w:rsidR="00145DF4" w:rsidRDefault="00145D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4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4D37BB" w14:textId="77777777" w:rsidR="00145DF4" w:rsidRDefault="00145DF4" w:rsidP="008D1E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A2716" w14:textId="77777777" w:rsidR="00EF5726" w:rsidRDefault="00EF5726">
      <w:r>
        <w:separator/>
      </w:r>
    </w:p>
  </w:footnote>
  <w:footnote w:type="continuationSeparator" w:id="0">
    <w:p w14:paraId="1BB2E2B9" w14:textId="77777777" w:rsidR="00EF5726" w:rsidRDefault="00EF5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A9A"/>
    <w:multiLevelType w:val="hybridMultilevel"/>
    <w:tmpl w:val="D71005E4"/>
    <w:lvl w:ilvl="0" w:tplc="FB3490C2">
      <w:start w:val="1"/>
      <w:numFmt w:val="upperRoman"/>
      <w:lvlText w:val="%1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98A2B9F"/>
    <w:multiLevelType w:val="hybridMultilevel"/>
    <w:tmpl w:val="5FDAAF4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CA23CA"/>
    <w:multiLevelType w:val="hybridMultilevel"/>
    <w:tmpl w:val="62FAAC22"/>
    <w:lvl w:ilvl="0" w:tplc="2FE49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B88B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A4E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0CD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589E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34B4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D28B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6A17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0A1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8B5321"/>
    <w:multiLevelType w:val="hybridMultilevel"/>
    <w:tmpl w:val="C8A4E84C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21543C4"/>
    <w:multiLevelType w:val="hybridMultilevel"/>
    <w:tmpl w:val="F7D0A6C0"/>
    <w:lvl w:ilvl="0" w:tplc="C5A29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1AD9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8CC2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088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84FA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AA6D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072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C044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EC2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19A2DEB"/>
    <w:multiLevelType w:val="hybridMultilevel"/>
    <w:tmpl w:val="2CDC7FA2"/>
    <w:lvl w:ilvl="0" w:tplc="658AFAD4">
      <w:start w:val="1"/>
      <w:numFmt w:val="bullet"/>
      <w:lvlText w:val="-"/>
      <w:lvlJc w:val="left"/>
      <w:pPr>
        <w:ind w:left="1068" w:hanging="360"/>
      </w:pPr>
      <w:rPr>
        <w:rFonts w:ascii="Minion Pro" w:eastAsia="Times New Roman" w:hAnsi="Minion Pro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3063A29"/>
    <w:multiLevelType w:val="hybridMultilevel"/>
    <w:tmpl w:val="BFEA18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734B3D"/>
    <w:multiLevelType w:val="hybridMultilevel"/>
    <w:tmpl w:val="72B06B4C"/>
    <w:lvl w:ilvl="0" w:tplc="041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EE65C7E"/>
    <w:multiLevelType w:val="hybridMultilevel"/>
    <w:tmpl w:val="0CC8A2D0"/>
    <w:lvl w:ilvl="0" w:tplc="F2B49EF8">
      <w:start w:val="2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9" w15:restartNumberingAfterBreak="0">
    <w:nsid w:val="5F52251A"/>
    <w:multiLevelType w:val="hybridMultilevel"/>
    <w:tmpl w:val="064830E6"/>
    <w:lvl w:ilvl="0" w:tplc="5F72F4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EC65C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3856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4EB4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0C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601E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4C3B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2D9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3214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A0E6A52"/>
    <w:multiLevelType w:val="hybridMultilevel"/>
    <w:tmpl w:val="DBECA836"/>
    <w:lvl w:ilvl="0" w:tplc="4F04B492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7DA1514C"/>
    <w:multiLevelType w:val="hybridMultilevel"/>
    <w:tmpl w:val="3C98F9B0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E67779A"/>
    <w:multiLevelType w:val="multilevel"/>
    <w:tmpl w:val="064830E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2F"/>
    <w:rsid w:val="000052CF"/>
    <w:rsid w:val="000106E8"/>
    <w:rsid w:val="00011605"/>
    <w:rsid w:val="000116C9"/>
    <w:rsid w:val="00011B20"/>
    <w:rsid w:val="000122FF"/>
    <w:rsid w:val="000147E8"/>
    <w:rsid w:val="0001537E"/>
    <w:rsid w:val="00016F9D"/>
    <w:rsid w:val="00017DD9"/>
    <w:rsid w:val="0002066A"/>
    <w:rsid w:val="00020773"/>
    <w:rsid w:val="000209D8"/>
    <w:rsid w:val="000211B6"/>
    <w:rsid w:val="000234DC"/>
    <w:rsid w:val="00026444"/>
    <w:rsid w:val="00027065"/>
    <w:rsid w:val="00032A7D"/>
    <w:rsid w:val="00034987"/>
    <w:rsid w:val="00041483"/>
    <w:rsid w:val="00042316"/>
    <w:rsid w:val="00050A7A"/>
    <w:rsid w:val="00052A45"/>
    <w:rsid w:val="00053D73"/>
    <w:rsid w:val="000563D0"/>
    <w:rsid w:val="000564C9"/>
    <w:rsid w:val="00065BF3"/>
    <w:rsid w:val="000675E8"/>
    <w:rsid w:val="000707C9"/>
    <w:rsid w:val="00070BA6"/>
    <w:rsid w:val="00076C36"/>
    <w:rsid w:val="000806A9"/>
    <w:rsid w:val="00080981"/>
    <w:rsid w:val="00090290"/>
    <w:rsid w:val="0009061E"/>
    <w:rsid w:val="000939B3"/>
    <w:rsid w:val="00094364"/>
    <w:rsid w:val="00096913"/>
    <w:rsid w:val="00097016"/>
    <w:rsid w:val="00097376"/>
    <w:rsid w:val="000A0BC3"/>
    <w:rsid w:val="000A60FA"/>
    <w:rsid w:val="000B0397"/>
    <w:rsid w:val="000B333D"/>
    <w:rsid w:val="000B4161"/>
    <w:rsid w:val="000B6F3B"/>
    <w:rsid w:val="000C06FF"/>
    <w:rsid w:val="000C382D"/>
    <w:rsid w:val="000C538A"/>
    <w:rsid w:val="000C7739"/>
    <w:rsid w:val="000C7C25"/>
    <w:rsid w:val="000D047F"/>
    <w:rsid w:val="000D0DED"/>
    <w:rsid w:val="000D1D0D"/>
    <w:rsid w:val="000D2948"/>
    <w:rsid w:val="000D619B"/>
    <w:rsid w:val="000D62B1"/>
    <w:rsid w:val="000D6ECF"/>
    <w:rsid w:val="000D7BAA"/>
    <w:rsid w:val="000F09CB"/>
    <w:rsid w:val="000F1831"/>
    <w:rsid w:val="000F3341"/>
    <w:rsid w:val="000F35AB"/>
    <w:rsid w:val="000F5CD3"/>
    <w:rsid w:val="0010380E"/>
    <w:rsid w:val="00104C46"/>
    <w:rsid w:val="0010746B"/>
    <w:rsid w:val="00113DEC"/>
    <w:rsid w:val="00113E6B"/>
    <w:rsid w:val="00116E57"/>
    <w:rsid w:val="00120E8C"/>
    <w:rsid w:val="0012283A"/>
    <w:rsid w:val="00126646"/>
    <w:rsid w:val="00131B21"/>
    <w:rsid w:val="0013403A"/>
    <w:rsid w:val="00135A49"/>
    <w:rsid w:val="0013650B"/>
    <w:rsid w:val="0013781C"/>
    <w:rsid w:val="00137FA8"/>
    <w:rsid w:val="00140270"/>
    <w:rsid w:val="0014100D"/>
    <w:rsid w:val="001424BA"/>
    <w:rsid w:val="00142594"/>
    <w:rsid w:val="00142F56"/>
    <w:rsid w:val="00145DF4"/>
    <w:rsid w:val="00146B48"/>
    <w:rsid w:val="00147666"/>
    <w:rsid w:val="00151145"/>
    <w:rsid w:val="00154EFF"/>
    <w:rsid w:val="00157705"/>
    <w:rsid w:val="001621FB"/>
    <w:rsid w:val="00163CB7"/>
    <w:rsid w:val="001655AD"/>
    <w:rsid w:val="001666ED"/>
    <w:rsid w:val="00175776"/>
    <w:rsid w:val="001804DA"/>
    <w:rsid w:val="00180894"/>
    <w:rsid w:val="00180D2F"/>
    <w:rsid w:val="00181587"/>
    <w:rsid w:val="00183147"/>
    <w:rsid w:val="00184206"/>
    <w:rsid w:val="00187462"/>
    <w:rsid w:val="00190AE0"/>
    <w:rsid w:val="00190AE6"/>
    <w:rsid w:val="001925B3"/>
    <w:rsid w:val="001934DB"/>
    <w:rsid w:val="00193FC1"/>
    <w:rsid w:val="001A0653"/>
    <w:rsid w:val="001A276D"/>
    <w:rsid w:val="001A331C"/>
    <w:rsid w:val="001A365F"/>
    <w:rsid w:val="001A38C8"/>
    <w:rsid w:val="001A65BF"/>
    <w:rsid w:val="001B1E0C"/>
    <w:rsid w:val="001B4EA1"/>
    <w:rsid w:val="001B692B"/>
    <w:rsid w:val="001C209B"/>
    <w:rsid w:val="001C302F"/>
    <w:rsid w:val="001C3D78"/>
    <w:rsid w:val="001C42D1"/>
    <w:rsid w:val="001C5B87"/>
    <w:rsid w:val="001C64AA"/>
    <w:rsid w:val="001C6E1E"/>
    <w:rsid w:val="001E0B2E"/>
    <w:rsid w:val="001E1933"/>
    <w:rsid w:val="001E2AC9"/>
    <w:rsid w:val="001E31B4"/>
    <w:rsid w:val="001E3C16"/>
    <w:rsid w:val="001E660A"/>
    <w:rsid w:val="001F11D6"/>
    <w:rsid w:val="001F216D"/>
    <w:rsid w:val="001F7E46"/>
    <w:rsid w:val="0020149F"/>
    <w:rsid w:val="00203DA8"/>
    <w:rsid w:val="00204536"/>
    <w:rsid w:val="002108AC"/>
    <w:rsid w:val="00211917"/>
    <w:rsid w:val="00212DD6"/>
    <w:rsid w:val="0021460F"/>
    <w:rsid w:val="002152E3"/>
    <w:rsid w:val="00216113"/>
    <w:rsid w:val="00216A3B"/>
    <w:rsid w:val="00217FCF"/>
    <w:rsid w:val="002244AD"/>
    <w:rsid w:val="00226234"/>
    <w:rsid w:val="002315EC"/>
    <w:rsid w:val="00234A0C"/>
    <w:rsid w:val="00234B59"/>
    <w:rsid w:val="00234ED2"/>
    <w:rsid w:val="00235A12"/>
    <w:rsid w:val="0024062B"/>
    <w:rsid w:val="00241C06"/>
    <w:rsid w:val="0024245C"/>
    <w:rsid w:val="002475C6"/>
    <w:rsid w:val="002478B4"/>
    <w:rsid w:val="002506FE"/>
    <w:rsid w:val="00250A18"/>
    <w:rsid w:val="00250E8C"/>
    <w:rsid w:val="00251ACC"/>
    <w:rsid w:val="00251F6A"/>
    <w:rsid w:val="002520AD"/>
    <w:rsid w:val="00252155"/>
    <w:rsid w:val="002564EF"/>
    <w:rsid w:val="00257B9E"/>
    <w:rsid w:val="00257E84"/>
    <w:rsid w:val="0026459A"/>
    <w:rsid w:val="00267A79"/>
    <w:rsid w:val="00271768"/>
    <w:rsid w:val="00273A04"/>
    <w:rsid w:val="002763A3"/>
    <w:rsid w:val="002835D8"/>
    <w:rsid w:val="00284DA5"/>
    <w:rsid w:val="00286F5C"/>
    <w:rsid w:val="00287C91"/>
    <w:rsid w:val="00290A22"/>
    <w:rsid w:val="00294172"/>
    <w:rsid w:val="00297DE6"/>
    <w:rsid w:val="002A2FEF"/>
    <w:rsid w:val="002A353D"/>
    <w:rsid w:val="002A5604"/>
    <w:rsid w:val="002B1EB2"/>
    <w:rsid w:val="002B2E92"/>
    <w:rsid w:val="002C0836"/>
    <w:rsid w:val="002C128B"/>
    <w:rsid w:val="002C2A50"/>
    <w:rsid w:val="002C2C1E"/>
    <w:rsid w:val="002C346F"/>
    <w:rsid w:val="002C386A"/>
    <w:rsid w:val="002D0E4C"/>
    <w:rsid w:val="002D2FA0"/>
    <w:rsid w:val="002D4DA2"/>
    <w:rsid w:val="002D581F"/>
    <w:rsid w:val="002D6964"/>
    <w:rsid w:val="002D7B28"/>
    <w:rsid w:val="002E09F7"/>
    <w:rsid w:val="002E2CCE"/>
    <w:rsid w:val="002E3F58"/>
    <w:rsid w:val="002F4DCB"/>
    <w:rsid w:val="002F5E3E"/>
    <w:rsid w:val="002F72F5"/>
    <w:rsid w:val="003011A1"/>
    <w:rsid w:val="003019AA"/>
    <w:rsid w:val="0030625E"/>
    <w:rsid w:val="00307397"/>
    <w:rsid w:val="00310D72"/>
    <w:rsid w:val="00313EA8"/>
    <w:rsid w:val="00314994"/>
    <w:rsid w:val="00317FFB"/>
    <w:rsid w:val="00324639"/>
    <w:rsid w:val="00325A75"/>
    <w:rsid w:val="00325D71"/>
    <w:rsid w:val="00331973"/>
    <w:rsid w:val="0033725F"/>
    <w:rsid w:val="003376CF"/>
    <w:rsid w:val="00341434"/>
    <w:rsid w:val="00345856"/>
    <w:rsid w:val="00351CC0"/>
    <w:rsid w:val="0036485E"/>
    <w:rsid w:val="00364DC7"/>
    <w:rsid w:val="0036627F"/>
    <w:rsid w:val="00367C88"/>
    <w:rsid w:val="00370529"/>
    <w:rsid w:val="00375852"/>
    <w:rsid w:val="0037636B"/>
    <w:rsid w:val="0038331A"/>
    <w:rsid w:val="00385041"/>
    <w:rsid w:val="00385F4C"/>
    <w:rsid w:val="003873AE"/>
    <w:rsid w:val="00393A28"/>
    <w:rsid w:val="00393FC5"/>
    <w:rsid w:val="00394EF3"/>
    <w:rsid w:val="003A375A"/>
    <w:rsid w:val="003A427C"/>
    <w:rsid w:val="003A66DB"/>
    <w:rsid w:val="003B0959"/>
    <w:rsid w:val="003B42D1"/>
    <w:rsid w:val="003B4C27"/>
    <w:rsid w:val="003B4D27"/>
    <w:rsid w:val="003B6391"/>
    <w:rsid w:val="003B7463"/>
    <w:rsid w:val="003C6EE5"/>
    <w:rsid w:val="003D0F91"/>
    <w:rsid w:val="003D523D"/>
    <w:rsid w:val="003D540D"/>
    <w:rsid w:val="003D7698"/>
    <w:rsid w:val="003E0ED5"/>
    <w:rsid w:val="003E3BF6"/>
    <w:rsid w:val="003E46C5"/>
    <w:rsid w:val="003E765D"/>
    <w:rsid w:val="003F06CF"/>
    <w:rsid w:val="003F118E"/>
    <w:rsid w:val="003F6955"/>
    <w:rsid w:val="003F75D4"/>
    <w:rsid w:val="003F769F"/>
    <w:rsid w:val="004005CE"/>
    <w:rsid w:val="00400648"/>
    <w:rsid w:val="00400CF4"/>
    <w:rsid w:val="0040120F"/>
    <w:rsid w:val="004031D5"/>
    <w:rsid w:val="00403D48"/>
    <w:rsid w:val="00404E11"/>
    <w:rsid w:val="00405283"/>
    <w:rsid w:val="004056EA"/>
    <w:rsid w:val="004071ED"/>
    <w:rsid w:val="00412959"/>
    <w:rsid w:val="00420645"/>
    <w:rsid w:val="00421A55"/>
    <w:rsid w:val="00426567"/>
    <w:rsid w:val="00432F09"/>
    <w:rsid w:val="00442959"/>
    <w:rsid w:val="00445110"/>
    <w:rsid w:val="00445725"/>
    <w:rsid w:val="00445BB1"/>
    <w:rsid w:val="00445E94"/>
    <w:rsid w:val="00453E70"/>
    <w:rsid w:val="00456593"/>
    <w:rsid w:val="004601C7"/>
    <w:rsid w:val="004626E2"/>
    <w:rsid w:val="0046323F"/>
    <w:rsid w:val="004649F0"/>
    <w:rsid w:val="00465ACE"/>
    <w:rsid w:val="00466463"/>
    <w:rsid w:val="00466C70"/>
    <w:rsid w:val="004708E6"/>
    <w:rsid w:val="00473C88"/>
    <w:rsid w:val="00474573"/>
    <w:rsid w:val="00486792"/>
    <w:rsid w:val="00486FAF"/>
    <w:rsid w:val="00487C3C"/>
    <w:rsid w:val="004915B6"/>
    <w:rsid w:val="00493D27"/>
    <w:rsid w:val="004968D8"/>
    <w:rsid w:val="004A18BD"/>
    <w:rsid w:val="004A339A"/>
    <w:rsid w:val="004A7583"/>
    <w:rsid w:val="004A7733"/>
    <w:rsid w:val="004A79D4"/>
    <w:rsid w:val="004A7CC8"/>
    <w:rsid w:val="004B156A"/>
    <w:rsid w:val="004B78CC"/>
    <w:rsid w:val="004C07FB"/>
    <w:rsid w:val="004C1AA1"/>
    <w:rsid w:val="004C2551"/>
    <w:rsid w:val="004C285A"/>
    <w:rsid w:val="004C5137"/>
    <w:rsid w:val="004C75A6"/>
    <w:rsid w:val="004D1BBB"/>
    <w:rsid w:val="004D5206"/>
    <w:rsid w:val="004D58AF"/>
    <w:rsid w:val="004E01AB"/>
    <w:rsid w:val="004E0CD6"/>
    <w:rsid w:val="004E1115"/>
    <w:rsid w:val="004E2777"/>
    <w:rsid w:val="004E6424"/>
    <w:rsid w:val="004E74A0"/>
    <w:rsid w:val="004F0831"/>
    <w:rsid w:val="004F2488"/>
    <w:rsid w:val="004F4A27"/>
    <w:rsid w:val="004F5A25"/>
    <w:rsid w:val="004F6BBB"/>
    <w:rsid w:val="00500940"/>
    <w:rsid w:val="00503403"/>
    <w:rsid w:val="00507097"/>
    <w:rsid w:val="00507914"/>
    <w:rsid w:val="00514708"/>
    <w:rsid w:val="00515805"/>
    <w:rsid w:val="005158A3"/>
    <w:rsid w:val="005204C6"/>
    <w:rsid w:val="00520FF5"/>
    <w:rsid w:val="005215EB"/>
    <w:rsid w:val="00521C9A"/>
    <w:rsid w:val="005254C9"/>
    <w:rsid w:val="00525D6A"/>
    <w:rsid w:val="00536FFD"/>
    <w:rsid w:val="0054140F"/>
    <w:rsid w:val="00541A2A"/>
    <w:rsid w:val="005437F4"/>
    <w:rsid w:val="005500E4"/>
    <w:rsid w:val="00550709"/>
    <w:rsid w:val="0055095F"/>
    <w:rsid w:val="005519AC"/>
    <w:rsid w:val="00551AE1"/>
    <w:rsid w:val="005613DB"/>
    <w:rsid w:val="00561737"/>
    <w:rsid w:val="00563A49"/>
    <w:rsid w:val="00563BC7"/>
    <w:rsid w:val="005655EF"/>
    <w:rsid w:val="00565620"/>
    <w:rsid w:val="00566F1E"/>
    <w:rsid w:val="0057183A"/>
    <w:rsid w:val="0057239B"/>
    <w:rsid w:val="00577221"/>
    <w:rsid w:val="005777B5"/>
    <w:rsid w:val="00581143"/>
    <w:rsid w:val="00581539"/>
    <w:rsid w:val="005829D7"/>
    <w:rsid w:val="00585964"/>
    <w:rsid w:val="0058694A"/>
    <w:rsid w:val="005869AA"/>
    <w:rsid w:val="00587229"/>
    <w:rsid w:val="0059018F"/>
    <w:rsid w:val="00591698"/>
    <w:rsid w:val="0059784F"/>
    <w:rsid w:val="005A0BB3"/>
    <w:rsid w:val="005A2207"/>
    <w:rsid w:val="005A563C"/>
    <w:rsid w:val="005B1020"/>
    <w:rsid w:val="005B20F0"/>
    <w:rsid w:val="005B3E79"/>
    <w:rsid w:val="005C29B6"/>
    <w:rsid w:val="005C3BA8"/>
    <w:rsid w:val="005C56BE"/>
    <w:rsid w:val="005C59F1"/>
    <w:rsid w:val="005C5B1C"/>
    <w:rsid w:val="005C7221"/>
    <w:rsid w:val="005D0069"/>
    <w:rsid w:val="005D009F"/>
    <w:rsid w:val="005D7AFE"/>
    <w:rsid w:val="005D7DCF"/>
    <w:rsid w:val="005E32AD"/>
    <w:rsid w:val="005E4FEA"/>
    <w:rsid w:val="005E5880"/>
    <w:rsid w:val="005E6CEB"/>
    <w:rsid w:val="005E6F99"/>
    <w:rsid w:val="005E7D27"/>
    <w:rsid w:val="005F3C48"/>
    <w:rsid w:val="005F4BD8"/>
    <w:rsid w:val="005F6F67"/>
    <w:rsid w:val="00600283"/>
    <w:rsid w:val="0060255B"/>
    <w:rsid w:val="00603861"/>
    <w:rsid w:val="00605DE9"/>
    <w:rsid w:val="0060655A"/>
    <w:rsid w:val="00607043"/>
    <w:rsid w:val="0061159F"/>
    <w:rsid w:val="0061272C"/>
    <w:rsid w:val="0061584C"/>
    <w:rsid w:val="00617AA7"/>
    <w:rsid w:val="00622221"/>
    <w:rsid w:val="00624555"/>
    <w:rsid w:val="00624771"/>
    <w:rsid w:val="00625303"/>
    <w:rsid w:val="006259C6"/>
    <w:rsid w:val="00626D8E"/>
    <w:rsid w:val="00627D97"/>
    <w:rsid w:val="00632750"/>
    <w:rsid w:val="00636146"/>
    <w:rsid w:val="00636256"/>
    <w:rsid w:val="006366A3"/>
    <w:rsid w:val="006428B4"/>
    <w:rsid w:val="00643102"/>
    <w:rsid w:val="00643DC7"/>
    <w:rsid w:val="00644629"/>
    <w:rsid w:val="00647BC2"/>
    <w:rsid w:val="00654B6E"/>
    <w:rsid w:val="006564A2"/>
    <w:rsid w:val="00657BFB"/>
    <w:rsid w:val="00663368"/>
    <w:rsid w:val="006648F8"/>
    <w:rsid w:val="00664A72"/>
    <w:rsid w:val="00670023"/>
    <w:rsid w:val="00671431"/>
    <w:rsid w:val="00673B7C"/>
    <w:rsid w:val="006758AA"/>
    <w:rsid w:val="00677716"/>
    <w:rsid w:val="00681267"/>
    <w:rsid w:val="0068155A"/>
    <w:rsid w:val="00695348"/>
    <w:rsid w:val="006A01E7"/>
    <w:rsid w:val="006A0713"/>
    <w:rsid w:val="006A0FAD"/>
    <w:rsid w:val="006A4065"/>
    <w:rsid w:val="006A7BD7"/>
    <w:rsid w:val="006B0332"/>
    <w:rsid w:val="006B0C65"/>
    <w:rsid w:val="006B1577"/>
    <w:rsid w:val="006B2D56"/>
    <w:rsid w:val="006B4B60"/>
    <w:rsid w:val="006B4F50"/>
    <w:rsid w:val="006B71A4"/>
    <w:rsid w:val="006C0205"/>
    <w:rsid w:val="006C2DF2"/>
    <w:rsid w:val="006C5560"/>
    <w:rsid w:val="006C7AF4"/>
    <w:rsid w:val="006D338C"/>
    <w:rsid w:val="006D40A1"/>
    <w:rsid w:val="006D51B6"/>
    <w:rsid w:val="006D68DF"/>
    <w:rsid w:val="006E1BDE"/>
    <w:rsid w:val="006E4227"/>
    <w:rsid w:val="006E53D2"/>
    <w:rsid w:val="006E5435"/>
    <w:rsid w:val="006E6107"/>
    <w:rsid w:val="00700798"/>
    <w:rsid w:val="00702EAC"/>
    <w:rsid w:val="00712283"/>
    <w:rsid w:val="007122E2"/>
    <w:rsid w:val="007161B4"/>
    <w:rsid w:val="00716566"/>
    <w:rsid w:val="00716B34"/>
    <w:rsid w:val="007171F7"/>
    <w:rsid w:val="00717EF8"/>
    <w:rsid w:val="0072053C"/>
    <w:rsid w:val="00723C50"/>
    <w:rsid w:val="007277A0"/>
    <w:rsid w:val="00727AAD"/>
    <w:rsid w:val="00731B8F"/>
    <w:rsid w:val="007333B8"/>
    <w:rsid w:val="007335BF"/>
    <w:rsid w:val="00734AED"/>
    <w:rsid w:val="00734F19"/>
    <w:rsid w:val="0074165A"/>
    <w:rsid w:val="0074754E"/>
    <w:rsid w:val="00750F29"/>
    <w:rsid w:val="007517C8"/>
    <w:rsid w:val="00752709"/>
    <w:rsid w:val="00756061"/>
    <w:rsid w:val="00765FD9"/>
    <w:rsid w:val="007673CC"/>
    <w:rsid w:val="007709B6"/>
    <w:rsid w:val="00771DC4"/>
    <w:rsid w:val="007738B5"/>
    <w:rsid w:val="00773F90"/>
    <w:rsid w:val="007746F1"/>
    <w:rsid w:val="007763ED"/>
    <w:rsid w:val="00783BA5"/>
    <w:rsid w:val="00787DF5"/>
    <w:rsid w:val="00790B01"/>
    <w:rsid w:val="007922F6"/>
    <w:rsid w:val="00795601"/>
    <w:rsid w:val="007A0310"/>
    <w:rsid w:val="007A06B8"/>
    <w:rsid w:val="007A0B78"/>
    <w:rsid w:val="007A3D7A"/>
    <w:rsid w:val="007A7083"/>
    <w:rsid w:val="007A71EC"/>
    <w:rsid w:val="007A7EBE"/>
    <w:rsid w:val="007B2647"/>
    <w:rsid w:val="007C7444"/>
    <w:rsid w:val="007D049C"/>
    <w:rsid w:val="007D3CC2"/>
    <w:rsid w:val="007D3EBD"/>
    <w:rsid w:val="007D5818"/>
    <w:rsid w:val="007D5B82"/>
    <w:rsid w:val="007D6271"/>
    <w:rsid w:val="007D7697"/>
    <w:rsid w:val="007E0034"/>
    <w:rsid w:val="007E14A5"/>
    <w:rsid w:val="007E57CB"/>
    <w:rsid w:val="007E685B"/>
    <w:rsid w:val="007E76E0"/>
    <w:rsid w:val="007F2497"/>
    <w:rsid w:val="007F2958"/>
    <w:rsid w:val="007F34AA"/>
    <w:rsid w:val="007F4CE0"/>
    <w:rsid w:val="007F673E"/>
    <w:rsid w:val="007F7331"/>
    <w:rsid w:val="0080056A"/>
    <w:rsid w:val="00801ADB"/>
    <w:rsid w:val="00803C3E"/>
    <w:rsid w:val="00806717"/>
    <w:rsid w:val="00810F84"/>
    <w:rsid w:val="008123C9"/>
    <w:rsid w:val="00815F72"/>
    <w:rsid w:val="00825B4A"/>
    <w:rsid w:val="008271F5"/>
    <w:rsid w:val="008278D3"/>
    <w:rsid w:val="00833207"/>
    <w:rsid w:val="00837A8D"/>
    <w:rsid w:val="00840A38"/>
    <w:rsid w:val="00841328"/>
    <w:rsid w:val="008439F7"/>
    <w:rsid w:val="008452D5"/>
    <w:rsid w:val="008454F1"/>
    <w:rsid w:val="0085169E"/>
    <w:rsid w:val="00851754"/>
    <w:rsid w:val="00852500"/>
    <w:rsid w:val="0085433F"/>
    <w:rsid w:val="008561E5"/>
    <w:rsid w:val="00856EB9"/>
    <w:rsid w:val="00857FFA"/>
    <w:rsid w:val="0087329E"/>
    <w:rsid w:val="00877174"/>
    <w:rsid w:val="008825AF"/>
    <w:rsid w:val="00883EAD"/>
    <w:rsid w:val="0088627F"/>
    <w:rsid w:val="00891CD8"/>
    <w:rsid w:val="008969B8"/>
    <w:rsid w:val="008A6FFA"/>
    <w:rsid w:val="008B0F7A"/>
    <w:rsid w:val="008B38B7"/>
    <w:rsid w:val="008C0A76"/>
    <w:rsid w:val="008C4224"/>
    <w:rsid w:val="008C615C"/>
    <w:rsid w:val="008D1EC5"/>
    <w:rsid w:val="008D38EA"/>
    <w:rsid w:val="008D4A42"/>
    <w:rsid w:val="008D5651"/>
    <w:rsid w:val="008E1A7B"/>
    <w:rsid w:val="008E1F96"/>
    <w:rsid w:val="008E3D28"/>
    <w:rsid w:val="008F3ED6"/>
    <w:rsid w:val="008F5C16"/>
    <w:rsid w:val="00900463"/>
    <w:rsid w:val="0090070F"/>
    <w:rsid w:val="009010E3"/>
    <w:rsid w:val="0090269F"/>
    <w:rsid w:val="009044C2"/>
    <w:rsid w:val="00906805"/>
    <w:rsid w:val="009069B0"/>
    <w:rsid w:val="00913B5C"/>
    <w:rsid w:val="00915525"/>
    <w:rsid w:val="009155A5"/>
    <w:rsid w:val="00916A7A"/>
    <w:rsid w:val="009221A4"/>
    <w:rsid w:val="00922932"/>
    <w:rsid w:val="00922A33"/>
    <w:rsid w:val="00923824"/>
    <w:rsid w:val="009256E9"/>
    <w:rsid w:val="00926CDD"/>
    <w:rsid w:val="0092773D"/>
    <w:rsid w:val="0092784E"/>
    <w:rsid w:val="00930E5E"/>
    <w:rsid w:val="009317D7"/>
    <w:rsid w:val="00935817"/>
    <w:rsid w:val="009368BA"/>
    <w:rsid w:val="0094181D"/>
    <w:rsid w:val="00950512"/>
    <w:rsid w:val="00950A6A"/>
    <w:rsid w:val="00951BDD"/>
    <w:rsid w:val="00955A99"/>
    <w:rsid w:val="009563FD"/>
    <w:rsid w:val="009566D4"/>
    <w:rsid w:val="00962F63"/>
    <w:rsid w:val="0096339E"/>
    <w:rsid w:val="00967FC5"/>
    <w:rsid w:val="009706A0"/>
    <w:rsid w:val="00971AA0"/>
    <w:rsid w:val="00977D28"/>
    <w:rsid w:val="00986E9B"/>
    <w:rsid w:val="00987119"/>
    <w:rsid w:val="00987C08"/>
    <w:rsid w:val="00991EB2"/>
    <w:rsid w:val="00992A01"/>
    <w:rsid w:val="009946F8"/>
    <w:rsid w:val="00994D5B"/>
    <w:rsid w:val="009969E9"/>
    <w:rsid w:val="009A6FE8"/>
    <w:rsid w:val="009B0336"/>
    <w:rsid w:val="009B3818"/>
    <w:rsid w:val="009B3934"/>
    <w:rsid w:val="009B5F21"/>
    <w:rsid w:val="009B6A1D"/>
    <w:rsid w:val="009C0272"/>
    <w:rsid w:val="009C1DFD"/>
    <w:rsid w:val="009C242A"/>
    <w:rsid w:val="009C5204"/>
    <w:rsid w:val="009C5205"/>
    <w:rsid w:val="009C5482"/>
    <w:rsid w:val="009C57E4"/>
    <w:rsid w:val="009C6CD6"/>
    <w:rsid w:val="009C7DAD"/>
    <w:rsid w:val="009D2A3C"/>
    <w:rsid w:val="009D45D9"/>
    <w:rsid w:val="009D574E"/>
    <w:rsid w:val="009D5A98"/>
    <w:rsid w:val="009D691A"/>
    <w:rsid w:val="009E7C0C"/>
    <w:rsid w:val="009F0EA9"/>
    <w:rsid w:val="00A00B17"/>
    <w:rsid w:val="00A00DAB"/>
    <w:rsid w:val="00A00E10"/>
    <w:rsid w:val="00A01279"/>
    <w:rsid w:val="00A024D7"/>
    <w:rsid w:val="00A07502"/>
    <w:rsid w:val="00A102C3"/>
    <w:rsid w:val="00A1253A"/>
    <w:rsid w:val="00A21C80"/>
    <w:rsid w:val="00A228BE"/>
    <w:rsid w:val="00A22F7B"/>
    <w:rsid w:val="00A23929"/>
    <w:rsid w:val="00A23A4E"/>
    <w:rsid w:val="00A2406B"/>
    <w:rsid w:val="00A265DC"/>
    <w:rsid w:val="00A268F7"/>
    <w:rsid w:val="00A2695C"/>
    <w:rsid w:val="00A306E5"/>
    <w:rsid w:val="00A35BFF"/>
    <w:rsid w:val="00A35E37"/>
    <w:rsid w:val="00A368DE"/>
    <w:rsid w:val="00A37E97"/>
    <w:rsid w:val="00A468D7"/>
    <w:rsid w:val="00A47402"/>
    <w:rsid w:val="00A52148"/>
    <w:rsid w:val="00A52CA6"/>
    <w:rsid w:val="00A531A5"/>
    <w:rsid w:val="00A6016A"/>
    <w:rsid w:val="00A6450F"/>
    <w:rsid w:val="00A6772F"/>
    <w:rsid w:val="00A73D20"/>
    <w:rsid w:val="00A74222"/>
    <w:rsid w:val="00A74690"/>
    <w:rsid w:val="00A82B38"/>
    <w:rsid w:val="00A83D6E"/>
    <w:rsid w:val="00A849AB"/>
    <w:rsid w:val="00A853D6"/>
    <w:rsid w:val="00A87904"/>
    <w:rsid w:val="00A902B4"/>
    <w:rsid w:val="00A91526"/>
    <w:rsid w:val="00A918FA"/>
    <w:rsid w:val="00A92120"/>
    <w:rsid w:val="00A9259D"/>
    <w:rsid w:val="00A93CFF"/>
    <w:rsid w:val="00A9549A"/>
    <w:rsid w:val="00AA3053"/>
    <w:rsid w:val="00AA351A"/>
    <w:rsid w:val="00AB28BF"/>
    <w:rsid w:val="00AB4D67"/>
    <w:rsid w:val="00AB5166"/>
    <w:rsid w:val="00AB64F0"/>
    <w:rsid w:val="00AB763D"/>
    <w:rsid w:val="00AC0AF2"/>
    <w:rsid w:val="00AC0D19"/>
    <w:rsid w:val="00AC143E"/>
    <w:rsid w:val="00AC53CB"/>
    <w:rsid w:val="00AC5BCA"/>
    <w:rsid w:val="00AC6FE6"/>
    <w:rsid w:val="00AD220D"/>
    <w:rsid w:val="00AD46DF"/>
    <w:rsid w:val="00AD47BA"/>
    <w:rsid w:val="00AE1236"/>
    <w:rsid w:val="00AE14C2"/>
    <w:rsid w:val="00AE207B"/>
    <w:rsid w:val="00AE39D3"/>
    <w:rsid w:val="00AF056C"/>
    <w:rsid w:val="00AF0607"/>
    <w:rsid w:val="00AF4F2B"/>
    <w:rsid w:val="00AF75C4"/>
    <w:rsid w:val="00AF7658"/>
    <w:rsid w:val="00B02536"/>
    <w:rsid w:val="00B036E1"/>
    <w:rsid w:val="00B0539C"/>
    <w:rsid w:val="00B05B8E"/>
    <w:rsid w:val="00B075AF"/>
    <w:rsid w:val="00B106DD"/>
    <w:rsid w:val="00B15F0E"/>
    <w:rsid w:val="00B16D27"/>
    <w:rsid w:val="00B23B8A"/>
    <w:rsid w:val="00B24269"/>
    <w:rsid w:val="00B327B1"/>
    <w:rsid w:val="00B32EC1"/>
    <w:rsid w:val="00B34530"/>
    <w:rsid w:val="00B362A7"/>
    <w:rsid w:val="00B37DBF"/>
    <w:rsid w:val="00B464C5"/>
    <w:rsid w:val="00B472BA"/>
    <w:rsid w:val="00B50522"/>
    <w:rsid w:val="00B51E39"/>
    <w:rsid w:val="00B53F64"/>
    <w:rsid w:val="00B55267"/>
    <w:rsid w:val="00B56D97"/>
    <w:rsid w:val="00B57FD5"/>
    <w:rsid w:val="00B66A61"/>
    <w:rsid w:val="00B674CA"/>
    <w:rsid w:val="00B75B97"/>
    <w:rsid w:val="00B77BE8"/>
    <w:rsid w:val="00B81D94"/>
    <w:rsid w:val="00B83A3C"/>
    <w:rsid w:val="00B845F9"/>
    <w:rsid w:val="00BA336A"/>
    <w:rsid w:val="00BA5EA4"/>
    <w:rsid w:val="00BB1FEC"/>
    <w:rsid w:val="00BB4311"/>
    <w:rsid w:val="00BB5395"/>
    <w:rsid w:val="00BB5856"/>
    <w:rsid w:val="00BB6F01"/>
    <w:rsid w:val="00BC0879"/>
    <w:rsid w:val="00BC303D"/>
    <w:rsid w:val="00BC386C"/>
    <w:rsid w:val="00BC3D9B"/>
    <w:rsid w:val="00BC44A4"/>
    <w:rsid w:val="00BE074E"/>
    <w:rsid w:val="00BE2092"/>
    <w:rsid w:val="00BE2A95"/>
    <w:rsid w:val="00BE3570"/>
    <w:rsid w:val="00BE5A9B"/>
    <w:rsid w:val="00BE6C87"/>
    <w:rsid w:val="00BE72F5"/>
    <w:rsid w:val="00BF2B71"/>
    <w:rsid w:val="00BF4D84"/>
    <w:rsid w:val="00BF62E5"/>
    <w:rsid w:val="00C0031B"/>
    <w:rsid w:val="00C004EC"/>
    <w:rsid w:val="00C075AA"/>
    <w:rsid w:val="00C07ED7"/>
    <w:rsid w:val="00C12923"/>
    <w:rsid w:val="00C130A9"/>
    <w:rsid w:val="00C177EA"/>
    <w:rsid w:val="00C202D0"/>
    <w:rsid w:val="00C24C8A"/>
    <w:rsid w:val="00C270AA"/>
    <w:rsid w:val="00C301CA"/>
    <w:rsid w:val="00C30C3E"/>
    <w:rsid w:val="00C32DA1"/>
    <w:rsid w:val="00C368EE"/>
    <w:rsid w:val="00C43DD7"/>
    <w:rsid w:val="00C440B7"/>
    <w:rsid w:val="00C4600F"/>
    <w:rsid w:val="00C477A4"/>
    <w:rsid w:val="00C5254A"/>
    <w:rsid w:val="00C5457C"/>
    <w:rsid w:val="00C5493D"/>
    <w:rsid w:val="00C549FD"/>
    <w:rsid w:val="00C623FD"/>
    <w:rsid w:val="00C63FB5"/>
    <w:rsid w:val="00C64CD6"/>
    <w:rsid w:val="00C67555"/>
    <w:rsid w:val="00C72D8F"/>
    <w:rsid w:val="00C756CA"/>
    <w:rsid w:val="00C75937"/>
    <w:rsid w:val="00C76D5E"/>
    <w:rsid w:val="00C82702"/>
    <w:rsid w:val="00C83752"/>
    <w:rsid w:val="00C86B17"/>
    <w:rsid w:val="00C91683"/>
    <w:rsid w:val="00C9433F"/>
    <w:rsid w:val="00C96697"/>
    <w:rsid w:val="00C97FDF"/>
    <w:rsid w:val="00CA1E1C"/>
    <w:rsid w:val="00CA2A5F"/>
    <w:rsid w:val="00CA3FB6"/>
    <w:rsid w:val="00CB66AC"/>
    <w:rsid w:val="00CB7665"/>
    <w:rsid w:val="00CB7688"/>
    <w:rsid w:val="00CC13EF"/>
    <w:rsid w:val="00CC1C40"/>
    <w:rsid w:val="00CC2087"/>
    <w:rsid w:val="00CC3917"/>
    <w:rsid w:val="00CC3C8B"/>
    <w:rsid w:val="00CC740D"/>
    <w:rsid w:val="00CD0B0D"/>
    <w:rsid w:val="00CD36EC"/>
    <w:rsid w:val="00CD7394"/>
    <w:rsid w:val="00CE015D"/>
    <w:rsid w:val="00CE5477"/>
    <w:rsid w:val="00CE5D8F"/>
    <w:rsid w:val="00CE67F4"/>
    <w:rsid w:val="00CF000B"/>
    <w:rsid w:val="00CF1728"/>
    <w:rsid w:val="00CF1CA5"/>
    <w:rsid w:val="00CF3AB9"/>
    <w:rsid w:val="00CF4196"/>
    <w:rsid w:val="00CF60C6"/>
    <w:rsid w:val="00CF6B10"/>
    <w:rsid w:val="00D0053C"/>
    <w:rsid w:val="00D01774"/>
    <w:rsid w:val="00D22062"/>
    <w:rsid w:val="00D3056E"/>
    <w:rsid w:val="00D3267E"/>
    <w:rsid w:val="00D401F7"/>
    <w:rsid w:val="00D447FC"/>
    <w:rsid w:val="00D45A1E"/>
    <w:rsid w:val="00D45E11"/>
    <w:rsid w:val="00D4677A"/>
    <w:rsid w:val="00D47A73"/>
    <w:rsid w:val="00D47F79"/>
    <w:rsid w:val="00D50E1F"/>
    <w:rsid w:val="00D51C18"/>
    <w:rsid w:val="00D56182"/>
    <w:rsid w:val="00D569AD"/>
    <w:rsid w:val="00D611BB"/>
    <w:rsid w:val="00D62EAD"/>
    <w:rsid w:val="00D64F39"/>
    <w:rsid w:val="00D66F72"/>
    <w:rsid w:val="00D673E5"/>
    <w:rsid w:val="00D71671"/>
    <w:rsid w:val="00D72800"/>
    <w:rsid w:val="00D7748D"/>
    <w:rsid w:val="00D77B0B"/>
    <w:rsid w:val="00D845C5"/>
    <w:rsid w:val="00D857E0"/>
    <w:rsid w:val="00D85A08"/>
    <w:rsid w:val="00D85D01"/>
    <w:rsid w:val="00D86558"/>
    <w:rsid w:val="00D86975"/>
    <w:rsid w:val="00D869E5"/>
    <w:rsid w:val="00D9132E"/>
    <w:rsid w:val="00D92A30"/>
    <w:rsid w:val="00D92A3F"/>
    <w:rsid w:val="00D9304A"/>
    <w:rsid w:val="00D93823"/>
    <w:rsid w:val="00D96041"/>
    <w:rsid w:val="00D960ED"/>
    <w:rsid w:val="00D964C6"/>
    <w:rsid w:val="00DA00D0"/>
    <w:rsid w:val="00DA2411"/>
    <w:rsid w:val="00DA535B"/>
    <w:rsid w:val="00DB1A36"/>
    <w:rsid w:val="00DB1C6A"/>
    <w:rsid w:val="00DB2B7B"/>
    <w:rsid w:val="00DB5FEA"/>
    <w:rsid w:val="00DC0994"/>
    <w:rsid w:val="00DC24F9"/>
    <w:rsid w:val="00DC59C1"/>
    <w:rsid w:val="00DE322B"/>
    <w:rsid w:val="00DE378F"/>
    <w:rsid w:val="00DE4361"/>
    <w:rsid w:val="00DE5527"/>
    <w:rsid w:val="00DF6600"/>
    <w:rsid w:val="00E00518"/>
    <w:rsid w:val="00E0061B"/>
    <w:rsid w:val="00E03C3C"/>
    <w:rsid w:val="00E04419"/>
    <w:rsid w:val="00E067E8"/>
    <w:rsid w:val="00E0691C"/>
    <w:rsid w:val="00E1405D"/>
    <w:rsid w:val="00E141DD"/>
    <w:rsid w:val="00E20603"/>
    <w:rsid w:val="00E21584"/>
    <w:rsid w:val="00E238E2"/>
    <w:rsid w:val="00E23EEC"/>
    <w:rsid w:val="00E2531D"/>
    <w:rsid w:val="00E2658C"/>
    <w:rsid w:val="00E319CE"/>
    <w:rsid w:val="00E31E1B"/>
    <w:rsid w:val="00E328C8"/>
    <w:rsid w:val="00E339D7"/>
    <w:rsid w:val="00E3505F"/>
    <w:rsid w:val="00E40D8C"/>
    <w:rsid w:val="00E44A0D"/>
    <w:rsid w:val="00E459B8"/>
    <w:rsid w:val="00E470DE"/>
    <w:rsid w:val="00E518EB"/>
    <w:rsid w:val="00E51BF4"/>
    <w:rsid w:val="00E523A5"/>
    <w:rsid w:val="00E52F5F"/>
    <w:rsid w:val="00E54FFF"/>
    <w:rsid w:val="00E55314"/>
    <w:rsid w:val="00E572E9"/>
    <w:rsid w:val="00E60CCD"/>
    <w:rsid w:val="00E63B18"/>
    <w:rsid w:val="00E63EC4"/>
    <w:rsid w:val="00E64DB2"/>
    <w:rsid w:val="00E77A88"/>
    <w:rsid w:val="00E85CFE"/>
    <w:rsid w:val="00E8789A"/>
    <w:rsid w:val="00E909A5"/>
    <w:rsid w:val="00E90A28"/>
    <w:rsid w:val="00E91071"/>
    <w:rsid w:val="00E91528"/>
    <w:rsid w:val="00E9258F"/>
    <w:rsid w:val="00E9329F"/>
    <w:rsid w:val="00E95A4A"/>
    <w:rsid w:val="00EA272E"/>
    <w:rsid w:val="00EA30E4"/>
    <w:rsid w:val="00EA376E"/>
    <w:rsid w:val="00EA5140"/>
    <w:rsid w:val="00EA584C"/>
    <w:rsid w:val="00EA6F41"/>
    <w:rsid w:val="00EB6029"/>
    <w:rsid w:val="00EC0249"/>
    <w:rsid w:val="00EC18F2"/>
    <w:rsid w:val="00EC3462"/>
    <w:rsid w:val="00EC618B"/>
    <w:rsid w:val="00EC6C6A"/>
    <w:rsid w:val="00ED25D7"/>
    <w:rsid w:val="00ED51F9"/>
    <w:rsid w:val="00ED621E"/>
    <w:rsid w:val="00EE0DA5"/>
    <w:rsid w:val="00EE2775"/>
    <w:rsid w:val="00EE5E58"/>
    <w:rsid w:val="00EE6BBB"/>
    <w:rsid w:val="00EE7320"/>
    <w:rsid w:val="00EE756E"/>
    <w:rsid w:val="00EF5726"/>
    <w:rsid w:val="00EF7671"/>
    <w:rsid w:val="00F01AD7"/>
    <w:rsid w:val="00F02CB6"/>
    <w:rsid w:val="00F03092"/>
    <w:rsid w:val="00F03231"/>
    <w:rsid w:val="00F06557"/>
    <w:rsid w:val="00F11E1A"/>
    <w:rsid w:val="00F12B36"/>
    <w:rsid w:val="00F1338D"/>
    <w:rsid w:val="00F17D88"/>
    <w:rsid w:val="00F20207"/>
    <w:rsid w:val="00F23356"/>
    <w:rsid w:val="00F311DC"/>
    <w:rsid w:val="00F31A1B"/>
    <w:rsid w:val="00F32357"/>
    <w:rsid w:val="00F35027"/>
    <w:rsid w:val="00F35A17"/>
    <w:rsid w:val="00F367AA"/>
    <w:rsid w:val="00F42F11"/>
    <w:rsid w:val="00F439FA"/>
    <w:rsid w:val="00F45766"/>
    <w:rsid w:val="00F54523"/>
    <w:rsid w:val="00F55C88"/>
    <w:rsid w:val="00F61B09"/>
    <w:rsid w:val="00F634E9"/>
    <w:rsid w:val="00F6487E"/>
    <w:rsid w:val="00F64E2C"/>
    <w:rsid w:val="00F66FC1"/>
    <w:rsid w:val="00F674DB"/>
    <w:rsid w:val="00F7051E"/>
    <w:rsid w:val="00F73B3C"/>
    <w:rsid w:val="00F74E61"/>
    <w:rsid w:val="00F7594F"/>
    <w:rsid w:val="00F75A27"/>
    <w:rsid w:val="00F767F2"/>
    <w:rsid w:val="00F77017"/>
    <w:rsid w:val="00F80F12"/>
    <w:rsid w:val="00F84B13"/>
    <w:rsid w:val="00F85923"/>
    <w:rsid w:val="00F872F8"/>
    <w:rsid w:val="00F87541"/>
    <w:rsid w:val="00F87AE3"/>
    <w:rsid w:val="00F9180D"/>
    <w:rsid w:val="00F93217"/>
    <w:rsid w:val="00F93266"/>
    <w:rsid w:val="00F93C10"/>
    <w:rsid w:val="00F93DC1"/>
    <w:rsid w:val="00F95E65"/>
    <w:rsid w:val="00F9787D"/>
    <w:rsid w:val="00FA1185"/>
    <w:rsid w:val="00FA20BB"/>
    <w:rsid w:val="00FA3408"/>
    <w:rsid w:val="00FA34FC"/>
    <w:rsid w:val="00FA573D"/>
    <w:rsid w:val="00FB1363"/>
    <w:rsid w:val="00FB40B4"/>
    <w:rsid w:val="00FC236C"/>
    <w:rsid w:val="00FC29EF"/>
    <w:rsid w:val="00FC5359"/>
    <w:rsid w:val="00FC638F"/>
    <w:rsid w:val="00FD13C8"/>
    <w:rsid w:val="00FD50C7"/>
    <w:rsid w:val="00FE42CC"/>
    <w:rsid w:val="00FE4887"/>
    <w:rsid w:val="00FE49C5"/>
    <w:rsid w:val="00FE4E95"/>
    <w:rsid w:val="00FE60B8"/>
    <w:rsid w:val="00FE615A"/>
    <w:rsid w:val="00FF02DB"/>
    <w:rsid w:val="00FF0D2C"/>
    <w:rsid w:val="00FF2C14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AE43C"/>
  <w15:docId w15:val="{EC25023D-816F-4AD6-8EF5-64A5C315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253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E253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E253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D64F39"/>
    <w:pPr>
      <w:spacing w:after="192"/>
    </w:pPr>
    <w:rPr>
      <w:rFonts w:ascii="Trebuchet MS" w:hAnsi="Trebuchet MS"/>
      <w:color w:val="000000"/>
      <w:sz w:val="22"/>
      <w:szCs w:val="22"/>
      <w:lang w:val="en-GB" w:eastAsia="en-US"/>
    </w:rPr>
  </w:style>
  <w:style w:type="paragraph" w:styleId="BalloonText">
    <w:name w:val="Balloon Text"/>
    <w:basedOn w:val="Normal"/>
    <w:semiHidden/>
    <w:rsid w:val="000C538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D1E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D1EC5"/>
  </w:style>
  <w:style w:type="paragraph" w:styleId="NormalWeb">
    <w:name w:val="Normal (Web)"/>
    <w:basedOn w:val="Normal"/>
    <w:uiPriority w:val="99"/>
    <w:rsid w:val="00E2531D"/>
    <w:pPr>
      <w:spacing w:before="100" w:beforeAutospacing="1" w:after="100" w:afterAutospacing="1"/>
    </w:pPr>
  </w:style>
  <w:style w:type="paragraph" w:customStyle="1" w:styleId="Default">
    <w:name w:val="Default"/>
    <w:rsid w:val="006428B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428B4"/>
    <w:rPr>
      <w:color w:val="000000"/>
      <w:sz w:val="20"/>
      <w:szCs w:val="20"/>
    </w:rPr>
  </w:style>
  <w:style w:type="character" w:customStyle="1" w:styleId="FootnoteTextChar">
    <w:name w:val="Footnote Text Char"/>
    <w:link w:val="FootnoteText"/>
    <w:semiHidden/>
    <w:rsid w:val="006428B4"/>
    <w:rPr>
      <w:color w:val="000000"/>
      <w:lang w:val="hr-HR" w:eastAsia="hr-HR" w:bidi="ar-SA"/>
    </w:rPr>
  </w:style>
  <w:style w:type="character" w:styleId="FootnoteReference">
    <w:name w:val="footnote reference"/>
    <w:semiHidden/>
    <w:rsid w:val="006428B4"/>
    <w:rPr>
      <w:rFonts w:cs="Times New Roman"/>
      <w:vertAlign w:val="superscript"/>
    </w:rPr>
  </w:style>
  <w:style w:type="character" w:styleId="Strong">
    <w:name w:val="Strong"/>
    <w:uiPriority w:val="22"/>
    <w:qFormat/>
    <w:rsid w:val="005C7221"/>
    <w:rPr>
      <w:b/>
      <w:bCs/>
    </w:rPr>
  </w:style>
  <w:style w:type="character" w:styleId="Hyperlink">
    <w:name w:val="Hyperlink"/>
    <w:uiPriority w:val="99"/>
    <w:unhideWhenUsed/>
    <w:rsid w:val="005C7221"/>
    <w:rPr>
      <w:color w:val="0000FF"/>
      <w:u w:val="single"/>
    </w:rPr>
  </w:style>
  <w:style w:type="paragraph" w:customStyle="1" w:styleId="t-9-8">
    <w:name w:val="t-9-8"/>
    <w:basedOn w:val="Normal"/>
    <w:rsid w:val="00D447FC"/>
    <w:pPr>
      <w:spacing w:before="100" w:beforeAutospacing="1" w:after="100" w:afterAutospacing="1"/>
    </w:pPr>
    <w:rPr>
      <w:rFonts w:eastAsia="MS Mincho"/>
      <w:lang w:eastAsia="ja-JP"/>
    </w:rPr>
  </w:style>
  <w:style w:type="character" w:styleId="CommentReference">
    <w:name w:val="annotation reference"/>
    <w:semiHidden/>
    <w:rsid w:val="00426567"/>
    <w:rPr>
      <w:sz w:val="16"/>
      <w:szCs w:val="16"/>
    </w:rPr>
  </w:style>
  <w:style w:type="paragraph" w:styleId="CommentText">
    <w:name w:val="annotation text"/>
    <w:basedOn w:val="Normal"/>
    <w:semiHidden/>
    <w:rsid w:val="0042656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26567"/>
    <w:rPr>
      <w:b/>
      <w:bCs/>
    </w:rPr>
  </w:style>
  <w:style w:type="paragraph" w:customStyle="1" w:styleId="clanak">
    <w:name w:val="clanak"/>
    <w:basedOn w:val="Normal"/>
    <w:rsid w:val="00BE72F5"/>
    <w:pPr>
      <w:spacing w:before="100" w:beforeAutospacing="1" w:after="100" w:afterAutospacing="1"/>
      <w:jc w:val="center"/>
    </w:pPr>
    <w:rPr>
      <w:lang w:bidi="ta-IN"/>
    </w:rPr>
  </w:style>
  <w:style w:type="table" w:styleId="TableGrid">
    <w:name w:val="Table Grid"/>
    <w:basedOn w:val="TableNormal"/>
    <w:rsid w:val="00BE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link w:val="NormalChar"/>
    <w:rsid w:val="00930E5E"/>
    <w:pPr>
      <w:widowControl w:val="0"/>
      <w:autoSpaceDE w:val="0"/>
      <w:autoSpaceDN w:val="0"/>
      <w:adjustRightInd w:val="0"/>
    </w:pPr>
    <w:rPr>
      <w:rFonts w:ascii="Arial" w:hAnsi="Arial" w:cs="Arial"/>
      <w:lang w:val="de-DE" w:eastAsia="de-DE"/>
    </w:rPr>
  </w:style>
  <w:style w:type="character" w:customStyle="1" w:styleId="NormalChar">
    <w:name w:val="[Normal] Char"/>
    <w:link w:val="Normal0"/>
    <w:rsid w:val="00930E5E"/>
    <w:rPr>
      <w:rFonts w:ascii="Arial" w:hAnsi="Arial" w:cs="Arial"/>
      <w:lang w:val="de-DE" w:eastAsia="de-DE" w:bidi="ar-SA"/>
    </w:rPr>
  </w:style>
  <w:style w:type="character" w:customStyle="1" w:styleId="h14">
    <w:name w:val="h14"/>
    <w:rsid w:val="00930E5E"/>
    <w:rPr>
      <w:b/>
      <w:bCs/>
      <w:vanish w:val="0"/>
      <w:webHidden w:val="0"/>
      <w:sz w:val="18"/>
      <w:szCs w:val="18"/>
      <w:specVanish w:val="0"/>
    </w:rPr>
  </w:style>
  <w:style w:type="paragraph" w:customStyle="1" w:styleId="Char">
    <w:name w:val="Char"/>
    <w:basedOn w:val="Normal"/>
    <w:rsid w:val="002520A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qFormat/>
    <w:rsid w:val="00466C70"/>
    <w:pPr>
      <w:ind w:left="708"/>
    </w:pPr>
  </w:style>
  <w:style w:type="paragraph" w:customStyle="1" w:styleId="tb-na16">
    <w:name w:val="tb-na16"/>
    <w:basedOn w:val="Normal"/>
    <w:rsid w:val="00AC53C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050A7A"/>
    <w:pPr>
      <w:jc w:val="center"/>
    </w:pPr>
    <w:rPr>
      <w:rFonts w:ascii="Arial" w:hAnsi="Arial" w:cs="Arial"/>
      <w:b/>
      <w:bCs/>
      <w:iCs/>
      <w:lang w:eastAsia="en-US"/>
    </w:rPr>
  </w:style>
  <w:style w:type="character" w:customStyle="1" w:styleId="BodyTextChar">
    <w:name w:val="Body Text Char"/>
    <w:link w:val="BodyText"/>
    <w:rsid w:val="00050A7A"/>
    <w:rPr>
      <w:rFonts w:ascii="Arial" w:hAnsi="Arial" w:cs="Arial"/>
      <w:b/>
      <w:bCs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5B3E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3E79"/>
    <w:rPr>
      <w:sz w:val="24"/>
      <w:szCs w:val="24"/>
      <w:lang w:val="hr-HR" w:eastAsia="hr-HR"/>
    </w:rPr>
  </w:style>
  <w:style w:type="character" w:customStyle="1" w:styleId="FooterChar">
    <w:name w:val="Footer Char"/>
    <w:link w:val="Footer"/>
    <w:uiPriority w:val="99"/>
    <w:rsid w:val="00BC44A4"/>
    <w:rPr>
      <w:sz w:val="24"/>
      <w:szCs w:val="24"/>
    </w:rPr>
  </w:style>
  <w:style w:type="paragraph" w:customStyle="1" w:styleId="klasa2">
    <w:name w:val="klasa2"/>
    <w:basedOn w:val="Normal"/>
    <w:uiPriority w:val="99"/>
    <w:rsid w:val="006648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C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554">
              <w:marLeft w:val="0"/>
              <w:marRight w:val="0"/>
              <w:marTop w:val="25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6184">
              <w:marLeft w:val="0"/>
              <w:marRight w:val="0"/>
              <w:marTop w:val="4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3293A-1BB0-4B84-840C-D07DA9FE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1342</Words>
  <Characters>7652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PRIJEDLOG ODLUKE O SUDJELOVANJU</vt:lpstr>
      <vt:lpstr>PRIJEDLOG ODLUKE O SUDJELOVANJU</vt:lpstr>
    </vt:vector>
  </TitlesOfParts>
  <Company>RH - TDU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ODLUKE O SUDJELOVANJU</dc:title>
  <dc:creator>Davor Pohovski</dc:creator>
  <cp:lastModifiedBy>Nina Ban Glasnović</cp:lastModifiedBy>
  <cp:revision>7</cp:revision>
  <cp:lastPrinted>2020-10-02T08:54:00Z</cp:lastPrinted>
  <dcterms:created xsi:type="dcterms:W3CDTF">2024-10-03T07:49:00Z</dcterms:created>
  <dcterms:modified xsi:type="dcterms:W3CDTF">2024-10-03T10:27:00Z</dcterms:modified>
</cp:coreProperties>
</file>