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02F57" w14:textId="77777777" w:rsidR="00473846" w:rsidRDefault="00473846" w:rsidP="004C02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631DA5B" w14:textId="77777777" w:rsidR="00473846" w:rsidRDefault="00473846" w:rsidP="004C02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5D75BB4" w14:textId="77777777" w:rsidR="00473846" w:rsidRDefault="00473846" w:rsidP="004C02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8E8D5D6" w14:textId="6A2A987D" w:rsidR="00473846" w:rsidRPr="00473846" w:rsidRDefault="00473846" w:rsidP="00473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7606CCD" w14:textId="77777777" w:rsidR="00473846" w:rsidRPr="00473846" w:rsidRDefault="00473846" w:rsidP="00473846">
      <w:pPr>
        <w:spacing w:after="0" w:line="240" w:lineRule="auto"/>
        <w:jc w:val="center"/>
        <w:rPr>
          <w:noProof/>
        </w:rPr>
      </w:pPr>
      <w:r w:rsidRPr="00473846">
        <w:rPr>
          <w:noProof/>
          <w:lang w:eastAsia="hr-HR"/>
        </w:rPr>
        <w:drawing>
          <wp:inline distT="0" distB="0" distL="0" distR="0" wp14:anchorId="2FCBBBEE" wp14:editId="35F5618B">
            <wp:extent cx="508000" cy="6858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ACA30" w14:textId="77777777" w:rsidR="00473846" w:rsidRPr="0064450D" w:rsidRDefault="00473846" w:rsidP="00473846">
      <w:pPr>
        <w:spacing w:before="60" w:after="1680"/>
        <w:jc w:val="center"/>
        <w:rPr>
          <w:rFonts w:ascii="Times New Roman" w:hAnsi="Times New Roman"/>
          <w:noProof/>
          <w:sz w:val="24"/>
          <w:szCs w:val="24"/>
        </w:rPr>
      </w:pPr>
      <w:r w:rsidRPr="00473846">
        <w:rPr>
          <w:rFonts w:ascii="Times New Roman" w:hAnsi="Times New Roman"/>
          <w:noProof/>
          <w:sz w:val="28"/>
        </w:rPr>
        <w:t>VLADA REPUBLIKE HRVATSKE</w:t>
      </w:r>
    </w:p>
    <w:p w14:paraId="3F6B8BD9" w14:textId="77777777" w:rsidR="00473846" w:rsidRPr="0064450D" w:rsidRDefault="00473846" w:rsidP="00473846">
      <w:pPr>
        <w:spacing w:after="2400"/>
        <w:jc w:val="right"/>
        <w:rPr>
          <w:rFonts w:ascii="Times New Roman" w:hAnsi="Times New Roman"/>
          <w:noProof/>
          <w:sz w:val="24"/>
          <w:szCs w:val="24"/>
        </w:rPr>
      </w:pPr>
      <w:bookmarkStart w:id="0" w:name="_GoBack"/>
      <w:bookmarkEnd w:id="0"/>
      <w:r w:rsidRPr="0064450D">
        <w:rPr>
          <w:rFonts w:ascii="Times New Roman" w:hAnsi="Times New Roman"/>
          <w:noProof/>
          <w:sz w:val="24"/>
          <w:szCs w:val="24"/>
        </w:rPr>
        <w:t>Zagreb, 3. listopada 2024.</w:t>
      </w:r>
    </w:p>
    <w:p w14:paraId="1BE0D9B4" w14:textId="77777777" w:rsidR="00473846" w:rsidRPr="0064450D" w:rsidRDefault="00473846" w:rsidP="00473846">
      <w:pPr>
        <w:spacing w:line="360" w:lineRule="auto"/>
        <w:rPr>
          <w:rFonts w:ascii="Times New Roman" w:hAnsi="Times New Roman"/>
          <w:noProof/>
          <w:sz w:val="24"/>
          <w:szCs w:val="24"/>
        </w:rPr>
      </w:pPr>
    </w:p>
    <w:p w14:paraId="1C0C8803" w14:textId="77777777" w:rsidR="00473846" w:rsidRPr="0064450D" w:rsidRDefault="00473846" w:rsidP="00473846">
      <w:pPr>
        <w:spacing w:after="0" w:line="360" w:lineRule="auto"/>
        <w:rPr>
          <w:rFonts w:ascii="Times New Roman" w:hAnsi="Times New Roman"/>
          <w:noProof/>
          <w:sz w:val="24"/>
          <w:szCs w:val="24"/>
        </w:rPr>
        <w:sectPr w:rsidR="00473846" w:rsidRPr="0064450D">
          <w:pgSz w:w="11906" w:h="16838"/>
          <w:pgMar w:top="993" w:right="1417" w:bottom="1417" w:left="1417" w:header="709" w:footer="658" w:gutter="0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473846" w:rsidRPr="0064450D" w14:paraId="284CE591" w14:textId="77777777" w:rsidTr="00004AE8">
        <w:trPr>
          <w:trHeight w:val="6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7CAA8B8" w14:textId="77777777" w:rsidR="00473846" w:rsidRPr="0064450D" w:rsidRDefault="00473846" w:rsidP="0047384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4450D">
              <w:rPr>
                <w:rFonts w:ascii="Times New Roman" w:hAnsi="Times New Roman"/>
                <w:b/>
                <w:smallCaps/>
                <w:noProof/>
                <w:sz w:val="24"/>
                <w:szCs w:val="24"/>
              </w:rPr>
              <w:t>Predlagatelj</w:t>
            </w:r>
            <w:r w:rsidRPr="0064450D">
              <w:rPr>
                <w:rFonts w:ascii="Times New Roman" w:hAnsi="Times New Roman"/>
                <w:b/>
                <w:noProof/>
                <w:sz w:val="24"/>
                <w:szCs w:val="24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4B75537" w14:textId="77777777" w:rsidR="00473846" w:rsidRPr="0064450D" w:rsidRDefault="00473846" w:rsidP="0047384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4450D">
              <w:rPr>
                <w:rFonts w:ascii="Times New Roman" w:hAnsi="Times New Roman"/>
                <w:noProof/>
                <w:sz w:val="24"/>
                <w:szCs w:val="24"/>
              </w:rPr>
              <w:t>Ministarstvo obrane</w:t>
            </w:r>
          </w:p>
        </w:tc>
      </w:tr>
      <w:tr w:rsidR="00473846" w:rsidRPr="00473846" w14:paraId="0B0FBA51" w14:textId="77777777" w:rsidTr="00004AE8">
        <w:trPr>
          <w:trHeight w:val="193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290FA333" w14:textId="77777777" w:rsidR="00473846" w:rsidRPr="00473846" w:rsidRDefault="00473846" w:rsidP="00473846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73846">
              <w:rPr>
                <w:rFonts w:ascii="Times New Roman" w:hAnsi="Times New Roman"/>
                <w:b/>
                <w:smallCaps/>
                <w:noProof/>
              </w:rPr>
              <w:t>Predmet</w:t>
            </w:r>
            <w:r w:rsidRPr="00473846">
              <w:rPr>
                <w:rFonts w:ascii="Times New Roman" w:hAnsi="Times New Roman"/>
                <w:b/>
                <w:noProof/>
              </w:rPr>
              <w:t xml:space="preserve">: </w:t>
            </w:r>
          </w:p>
          <w:p w14:paraId="57F4A5DB" w14:textId="77777777" w:rsidR="00473846" w:rsidRPr="00473846" w:rsidRDefault="00473846" w:rsidP="0047384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F8BA397" w14:textId="10DE3062" w:rsidR="00473846" w:rsidRPr="00473846" w:rsidRDefault="00473846" w:rsidP="004738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N</w:t>
            </w:r>
            <w:r w:rsidRPr="00473846">
              <w:rPr>
                <w:rFonts w:ascii="Times New Roman" w:hAnsi="Times New Roman"/>
                <w:noProof/>
                <w:sz w:val="24"/>
                <w:szCs w:val="24"/>
              </w:rPr>
              <w:t xml:space="preserve">acrt prijedloga odluke o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sudjelovanju Oružanih snaga R</w:t>
            </w:r>
            <w:r w:rsidRPr="00473846">
              <w:rPr>
                <w:rFonts w:ascii="Times New Roman" w:hAnsi="Times New Roman"/>
                <w:noProof/>
                <w:sz w:val="24"/>
                <w:szCs w:val="24"/>
              </w:rPr>
              <w:t xml:space="preserve">epublike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Hrvatske u sklopu aktivnosti NATO</w:t>
            </w:r>
            <w:r w:rsidRPr="00473846">
              <w:rPr>
                <w:rFonts w:ascii="Times New Roman" w:hAnsi="Times New Roman"/>
                <w:noProof/>
                <w:sz w:val="24"/>
                <w:szCs w:val="24"/>
              </w:rPr>
              <w:t xml:space="preserve"> prednjih kopnenih snaga</w:t>
            </w:r>
          </w:p>
        </w:tc>
      </w:tr>
      <w:tr w:rsidR="00473846" w:rsidRPr="00473846" w14:paraId="194CCB66" w14:textId="77777777" w:rsidTr="00004AE8">
        <w:trPr>
          <w:trHeight w:val="193"/>
        </w:trPr>
        <w:tc>
          <w:tcPr>
            <w:tcW w:w="1951" w:type="dxa"/>
            <w:tcBorders>
              <w:top w:val="single" w:sz="4" w:space="0" w:color="auto"/>
            </w:tcBorders>
          </w:tcPr>
          <w:p w14:paraId="756B5C76" w14:textId="77777777" w:rsidR="00473846" w:rsidRPr="00473846" w:rsidRDefault="00473846" w:rsidP="00473846">
            <w:pPr>
              <w:spacing w:line="360" w:lineRule="auto"/>
              <w:rPr>
                <w:rFonts w:ascii="Times New Roman" w:hAnsi="Times New Roman"/>
                <w:b/>
                <w:smallCaps/>
                <w:noProof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32C70D0F" w14:textId="77777777" w:rsidR="00473846" w:rsidRPr="00473846" w:rsidRDefault="00473846" w:rsidP="0047384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noProof/>
              </w:rPr>
            </w:pPr>
          </w:p>
        </w:tc>
      </w:tr>
    </w:tbl>
    <w:p w14:paraId="3223BE74" w14:textId="77777777" w:rsidR="00473846" w:rsidRPr="00473846" w:rsidRDefault="00473846" w:rsidP="00473846">
      <w:pPr>
        <w:rPr>
          <w:rFonts w:ascii="Times New Roman" w:hAnsi="Times New Roman"/>
          <w:noProof/>
          <w:sz w:val="24"/>
          <w:szCs w:val="24"/>
          <w:lang w:eastAsia="hr-HR"/>
        </w:rPr>
      </w:pPr>
    </w:p>
    <w:p w14:paraId="204E3D09" w14:textId="77777777" w:rsidR="00473846" w:rsidRPr="00473846" w:rsidRDefault="00473846" w:rsidP="00473846">
      <w:pPr>
        <w:rPr>
          <w:rFonts w:ascii="Times New Roman" w:hAnsi="Times New Roman"/>
          <w:noProof/>
        </w:rPr>
      </w:pPr>
    </w:p>
    <w:p w14:paraId="74885463" w14:textId="77777777" w:rsidR="00473846" w:rsidRPr="00473846" w:rsidRDefault="00473846" w:rsidP="00473846">
      <w:pPr>
        <w:rPr>
          <w:rFonts w:ascii="Times New Roman" w:hAnsi="Times New Roman"/>
          <w:noProof/>
        </w:rPr>
      </w:pPr>
    </w:p>
    <w:p w14:paraId="2D1A5D2A" w14:textId="77777777" w:rsidR="00473846" w:rsidRPr="00473846" w:rsidRDefault="00473846" w:rsidP="00473846">
      <w:pPr>
        <w:rPr>
          <w:rFonts w:ascii="Times New Roman" w:hAnsi="Times New Roman"/>
          <w:noProof/>
        </w:rPr>
      </w:pPr>
    </w:p>
    <w:p w14:paraId="6774F031" w14:textId="77777777" w:rsidR="00473846" w:rsidRPr="00473846" w:rsidRDefault="00473846" w:rsidP="00473846">
      <w:pPr>
        <w:rPr>
          <w:rFonts w:ascii="Times New Roman" w:hAnsi="Times New Roman"/>
          <w:noProof/>
        </w:rPr>
      </w:pPr>
    </w:p>
    <w:p w14:paraId="0C2F8323" w14:textId="77777777" w:rsidR="00473846" w:rsidRPr="00473846" w:rsidRDefault="00473846" w:rsidP="00473846">
      <w:pPr>
        <w:rPr>
          <w:rFonts w:ascii="Times New Roman" w:hAnsi="Times New Roman"/>
          <w:noProof/>
        </w:rPr>
      </w:pPr>
    </w:p>
    <w:p w14:paraId="15C68872" w14:textId="77777777" w:rsidR="00473846" w:rsidRPr="00473846" w:rsidRDefault="00473846" w:rsidP="00473846">
      <w:pPr>
        <w:rPr>
          <w:rFonts w:ascii="Times New Roman" w:hAnsi="Times New Roman"/>
          <w:noProof/>
        </w:rPr>
      </w:pPr>
    </w:p>
    <w:p w14:paraId="7C6D2FC3" w14:textId="77777777" w:rsidR="00473846" w:rsidRPr="00473846" w:rsidRDefault="00473846" w:rsidP="00473846">
      <w:pPr>
        <w:rPr>
          <w:noProof/>
        </w:rPr>
      </w:pPr>
    </w:p>
    <w:p w14:paraId="03CE4E72" w14:textId="77777777" w:rsidR="00473846" w:rsidRPr="00473846" w:rsidRDefault="00473846" w:rsidP="00473846">
      <w:pPr>
        <w:pBdr>
          <w:top w:val="single" w:sz="4" w:space="1" w:color="404040"/>
        </w:pBdr>
        <w:tabs>
          <w:tab w:val="center" w:pos="4536"/>
          <w:tab w:val="right" w:pos="9072"/>
        </w:tabs>
        <w:rPr>
          <w:rFonts w:ascii="Times New Roman" w:hAnsi="Times New Roman"/>
          <w:b/>
          <w:i/>
          <w:noProof/>
          <w:color w:val="404040"/>
          <w:spacing w:val="20"/>
          <w:sz w:val="20"/>
        </w:rPr>
        <w:sectPr w:rsidR="00473846" w:rsidRPr="00473846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  <w:r w:rsidRPr="00473846">
        <w:rPr>
          <w:rFonts w:ascii="Times New Roman" w:hAnsi="Times New Roman"/>
          <w:noProof/>
        </w:rPr>
        <w:t xml:space="preserve">        </w:t>
      </w:r>
      <w:r w:rsidRPr="00473846">
        <w:rPr>
          <w:rFonts w:ascii="Times New Roman" w:hAnsi="Times New Roman"/>
          <w:noProof/>
          <w:color w:val="404040"/>
          <w:spacing w:val="20"/>
          <w:sz w:val="20"/>
        </w:rPr>
        <w:t>Banski dvori | Trg Sv. Marka 2  | 10000 Zagreb | tel. 01 4569 222 | vlada.gov.hr</w:t>
      </w:r>
    </w:p>
    <w:p w14:paraId="1CA40F9B" w14:textId="77777777" w:rsidR="00473846" w:rsidRPr="00473846" w:rsidRDefault="00473846" w:rsidP="0047384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7384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VLADA REPUBLIKE HRVATSKE</w:t>
      </w:r>
    </w:p>
    <w:p w14:paraId="5CF77CE2" w14:textId="77777777" w:rsidR="00473846" w:rsidRPr="00473846" w:rsidRDefault="00473846" w:rsidP="0047384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D7EC032" w14:textId="77777777" w:rsidR="00473846" w:rsidRPr="00473846" w:rsidRDefault="00473846" w:rsidP="00473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2A00CB1" w14:textId="77777777" w:rsidR="00473846" w:rsidRPr="00473846" w:rsidRDefault="00473846" w:rsidP="00473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113A390" w14:textId="77777777" w:rsidR="00473846" w:rsidRPr="00473846" w:rsidRDefault="00473846" w:rsidP="00473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976AD2C" w14:textId="77777777" w:rsidR="00473846" w:rsidRPr="00473846" w:rsidRDefault="00473846" w:rsidP="00473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8DE2D26" w14:textId="77777777" w:rsidR="00473846" w:rsidRPr="00473846" w:rsidRDefault="00473846" w:rsidP="00473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E770589" w14:textId="77777777" w:rsidR="00473846" w:rsidRPr="00473846" w:rsidRDefault="00473846" w:rsidP="00473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71C46FD" w14:textId="77777777" w:rsidR="00473846" w:rsidRPr="00473846" w:rsidRDefault="00473846" w:rsidP="00473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2DC393E" w14:textId="77777777" w:rsidR="00473846" w:rsidRPr="00473846" w:rsidRDefault="00473846" w:rsidP="00473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58CD77D" w14:textId="77777777" w:rsidR="00473846" w:rsidRPr="00473846" w:rsidRDefault="00473846" w:rsidP="00473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733B9B0" w14:textId="77777777" w:rsidR="00473846" w:rsidRPr="00473846" w:rsidRDefault="00473846" w:rsidP="00473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66788A0" w14:textId="77777777" w:rsidR="00473846" w:rsidRPr="00473846" w:rsidRDefault="00473846" w:rsidP="00473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CF14D5A" w14:textId="77777777" w:rsidR="00473846" w:rsidRPr="00473846" w:rsidRDefault="00473846" w:rsidP="00473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0312667" w14:textId="77777777" w:rsidR="00473846" w:rsidRPr="00473846" w:rsidRDefault="00473846" w:rsidP="004738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89AF372" w14:textId="77777777" w:rsidR="00473846" w:rsidRPr="00473846" w:rsidRDefault="00473846" w:rsidP="00473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11BCDD7" w14:textId="77777777" w:rsidR="00473846" w:rsidRPr="00473846" w:rsidRDefault="00473846" w:rsidP="00473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73846">
        <w:rPr>
          <w:rFonts w:ascii="Times New Roman" w:eastAsia="Calibri" w:hAnsi="Times New Roman" w:cs="Times New Roman"/>
          <w:b/>
          <w:bCs/>
          <w:sz w:val="24"/>
          <w:szCs w:val="24"/>
        </w:rPr>
        <w:t>NACRT PRIJEDLOGA ODLUKE O SUDJELOVANJU ORUŽANIH SNAGA REPUBLIKE HRVATSKE U SKLOPU AKTIVNOSTI NATO PREDNJIH KOPNENIH SNAGA</w:t>
      </w:r>
    </w:p>
    <w:p w14:paraId="6489D1F5" w14:textId="77777777" w:rsidR="00473846" w:rsidRPr="00473846" w:rsidRDefault="00473846" w:rsidP="00473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6487EF8" w14:textId="77777777" w:rsidR="00473846" w:rsidRPr="00473846" w:rsidRDefault="00473846" w:rsidP="00473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63BB733" w14:textId="77777777" w:rsidR="00473846" w:rsidRPr="00473846" w:rsidRDefault="00473846" w:rsidP="00473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BF007D3" w14:textId="77777777" w:rsidR="00473846" w:rsidRPr="00473846" w:rsidRDefault="00473846" w:rsidP="00473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26923DC" w14:textId="77777777" w:rsidR="00473846" w:rsidRPr="00473846" w:rsidRDefault="00473846" w:rsidP="00473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69192A7" w14:textId="77777777" w:rsidR="00473846" w:rsidRPr="00473846" w:rsidRDefault="00473846" w:rsidP="00473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9B3E184" w14:textId="77777777" w:rsidR="00473846" w:rsidRPr="00473846" w:rsidRDefault="00473846" w:rsidP="00473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4DF5E6A" w14:textId="77777777" w:rsidR="00473846" w:rsidRPr="00473846" w:rsidRDefault="00473846" w:rsidP="00473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8360410" w14:textId="77777777" w:rsidR="00473846" w:rsidRPr="00473846" w:rsidRDefault="00473846" w:rsidP="00473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B46C7CE" w14:textId="77777777" w:rsidR="00473846" w:rsidRPr="00473846" w:rsidRDefault="00473846" w:rsidP="00473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56C1C8D" w14:textId="77777777" w:rsidR="00473846" w:rsidRPr="00473846" w:rsidRDefault="00473846" w:rsidP="00473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F902AA8" w14:textId="77777777" w:rsidR="00473846" w:rsidRPr="00473846" w:rsidRDefault="00473846" w:rsidP="00473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8C15C47" w14:textId="77777777" w:rsidR="00473846" w:rsidRPr="00473846" w:rsidRDefault="00473846" w:rsidP="00473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CFDE357" w14:textId="77777777" w:rsidR="00473846" w:rsidRPr="00473846" w:rsidRDefault="00473846" w:rsidP="00473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3074864" w14:textId="77777777" w:rsidR="00473846" w:rsidRPr="00473846" w:rsidRDefault="00473846" w:rsidP="00473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970D841" w14:textId="77777777" w:rsidR="00473846" w:rsidRPr="00473846" w:rsidRDefault="00473846" w:rsidP="00473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9250ABD" w14:textId="77777777" w:rsidR="00473846" w:rsidRPr="00473846" w:rsidRDefault="00473846" w:rsidP="00473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D19A5F6" w14:textId="77777777" w:rsidR="00473846" w:rsidRPr="00473846" w:rsidRDefault="00473846" w:rsidP="00473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C00BC24" w14:textId="77777777" w:rsidR="00473846" w:rsidRPr="00473846" w:rsidRDefault="00473846" w:rsidP="00473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33E689A" w14:textId="77777777" w:rsidR="00473846" w:rsidRPr="00473846" w:rsidRDefault="00473846" w:rsidP="00473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C3FA646" w14:textId="77777777" w:rsidR="00473846" w:rsidRPr="00473846" w:rsidRDefault="00473846" w:rsidP="00473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0DAAC77" w14:textId="77777777" w:rsidR="00473846" w:rsidRPr="00473846" w:rsidRDefault="00473846" w:rsidP="00473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0170D53" w14:textId="77777777" w:rsidR="00473846" w:rsidRPr="00473846" w:rsidRDefault="00473846" w:rsidP="00473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F66F68D" w14:textId="77777777" w:rsidR="00473846" w:rsidRPr="00473846" w:rsidRDefault="00473846" w:rsidP="00473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C0D716A" w14:textId="77777777" w:rsidR="00473846" w:rsidRPr="00473846" w:rsidRDefault="00473846" w:rsidP="00473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C4C275" w14:textId="77777777" w:rsidR="00473846" w:rsidRPr="00473846" w:rsidRDefault="00473846" w:rsidP="004738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964B8E8" w14:textId="77777777" w:rsidR="00473846" w:rsidRPr="00473846" w:rsidRDefault="00473846" w:rsidP="00473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8164ACF" w14:textId="77777777" w:rsidR="00473846" w:rsidRPr="00473846" w:rsidRDefault="00473846" w:rsidP="00473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A40DFB0" w14:textId="77777777" w:rsidR="00473846" w:rsidRPr="00473846" w:rsidRDefault="00473846" w:rsidP="00473846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7384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Zagreb, listopad 2024.</w:t>
      </w:r>
    </w:p>
    <w:p w14:paraId="75D21968" w14:textId="77777777" w:rsidR="00473846" w:rsidRPr="00473846" w:rsidRDefault="00473846" w:rsidP="004738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EF14AA9" w14:textId="3CC1B17A" w:rsidR="00881847" w:rsidRPr="00F15E91" w:rsidRDefault="009800F7" w:rsidP="00473846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NACRT </w:t>
      </w:r>
      <w:r w:rsidR="007762BC" w:rsidRPr="008E2B2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PRIJEDLOG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7762BC" w:rsidRPr="008E2B2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ODLUKE</w:t>
      </w:r>
      <w:r w:rsidR="00881847" w:rsidRPr="008E2B2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 SUDJELOVANJU ORUŽANIH SNAGA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881847" w:rsidRPr="008E2B2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REPUBLIKE HRVATSKE U SKLOPU AKTIVNOSTI </w:t>
      </w:r>
      <w:r w:rsidR="009C20E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NATO PREDNJIH KOPNENIH SNAGA</w:t>
      </w:r>
    </w:p>
    <w:p w14:paraId="79CA117A" w14:textId="77777777" w:rsidR="00EC59B3" w:rsidRDefault="00F15E91" w:rsidP="007217B1">
      <w:pPr>
        <w:spacing w:line="240" w:lineRule="auto"/>
        <w:rPr>
          <w:rFonts w:eastAsia="Calibri"/>
          <w:b/>
          <w:color w:val="000000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580D7E96" w14:textId="77777777" w:rsidR="00EC59B3" w:rsidRDefault="00EC59B3" w:rsidP="007217B1">
      <w:pPr>
        <w:pStyle w:val="Naslov1"/>
        <w:keepNext/>
        <w:autoSpaceDE w:val="0"/>
        <w:autoSpaceDN w:val="0"/>
        <w:adjustRightInd w:val="0"/>
        <w:spacing w:before="0" w:beforeAutospacing="0" w:after="0" w:afterAutospacing="0"/>
        <w:rPr>
          <w:color w:val="000000"/>
          <w:kern w:val="0"/>
          <w:sz w:val="24"/>
          <w:szCs w:val="24"/>
          <w:lang w:eastAsia="en-US"/>
        </w:rPr>
      </w:pPr>
      <w:r>
        <w:rPr>
          <w:color w:val="000000"/>
          <w:kern w:val="0"/>
          <w:sz w:val="24"/>
          <w:szCs w:val="24"/>
          <w:lang w:eastAsia="en-US"/>
        </w:rPr>
        <w:tab/>
        <w:t xml:space="preserve">I. </w:t>
      </w:r>
      <w:r>
        <w:rPr>
          <w:color w:val="000000"/>
          <w:kern w:val="0"/>
          <w:sz w:val="24"/>
          <w:szCs w:val="24"/>
          <w:lang w:eastAsia="en-US"/>
        </w:rPr>
        <w:tab/>
        <w:t>USTAVNA OSNOVA ZA DONOŠENJE ODLUKE</w:t>
      </w:r>
    </w:p>
    <w:p w14:paraId="18BE37B5" w14:textId="77777777" w:rsidR="009800F7" w:rsidRPr="008E2B2C" w:rsidRDefault="009800F7" w:rsidP="007217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6C51FC1" w14:textId="17F59A10" w:rsidR="00541CA8" w:rsidRPr="00972B75" w:rsidRDefault="00F15E91" w:rsidP="00972B75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5E91">
        <w:rPr>
          <w:rFonts w:ascii="Times New Roman" w:hAnsi="Times New Roman" w:cs="Times New Roman"/>
          <w:sz w:val="24"/>
          <w:szCs w:val="24"/>
        </w:rPr>
        <w:t>Na temelju članka 7. stavka 5. Ustava Republike Hrvatske (Narodne novine, br. 85/10 – pročišćeni tekst i 5/14 – Odluka Ustavnog suda Republike Hrvatske)</w:t>
      </w:r>
      <w:r>
        <w:t xml:space="preserve"> </w:t>
      </w:r>
      <w:r w:rsidR="00A76BFF" w:rsidRPr="008E2B2C">
        <w:rPr>
          <w:rFonts w:ascii="Times New Roman" w:eastAsia="Times New Roman" w:hAnsi="Times New Roman" w:cs="Times New Roman"/>
          <w:sz w:val="24"/>
          <w:szCs w:val="24"/>
          <w:lang w:eastAsia="hr-HR"/>
        </w:rPr>
        <w:t>pokreće se postupak za donošenje Odluke o sudjelovanju Oružanih snaga Republike Hrvatske u s</w:t>
      </w:r>
      <w:r w:rsidR="00881847" w:rsidRPr="008E2B2C">
        <w:rPr>
          <w:rFonts w:ascii="Times New Roman" w:eastAsia="Times New Roman" w:hAnsi="Times New Roman" w:cs="Times New Roman"/>
          <w:sz w:val="24"/>
          <w:szCs w:val="24"/>
          <w:lang w:eastAsia="hr-HR"/>
        </w:rPr>
        <w:t>klopu aktivnosti</w:t>
      </w:r>
      <w:r w:rsidR="00FC052C" w:rsidRPr="008E2B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9103E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>NATO</w:t>
      </w:r>
      <w:r w:rsidR="000910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prednjih kopnenih snaga</w:t>
      </w:r>
      <w:r w:rsidR="0009103E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76BFF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294EC8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Republici Poljskoj</w:t>
      </w:r>
      <w:r w:rsidR="000910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Republici Litvi, </w:t>
      </w:r>
      <w:r w:rsidR="00BC2C6A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>Mađarskoj i Republici Bugarskoj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(u daljnjem tekstu</w:t>
      </w:r>
      <w:r w:rsidR="00A76BFF" w:rsidRPr="008E2B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Odluka)</w:t>
      </w:r>
      <w:r w:rsidR="007C1D2D" w:rsidRPr="008E2B2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35FF6BF" w14:textId="77777777" w:rsidR="00F15E91" w:rsidRPr="008E2B2C" w:rsidRDefault="00F15E91" w:rsidP="007217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389C9BD" w14:textId="77777777" w:rsidR="00541CA8" w:rsidRDefault="00F15E91" w:rsidP="007217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II.   </w:t>
      </w:r>
      <w:r w:rsidR="00541CA8" w:rsidRPr="008E2B2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OCJENA DOSADAŠNJEG STANJA</w:t>
      </w:r>
    </w:p>
    <w:p w14:paraId="380D3506" w14:textId="77777777" w:rsidR="00F15E91" w:rsidRDefault="00F15E91" w:rsidP="007217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29E990F" w14:textId="072AE43F" w:rsidR="00882CFC" w:rsidRDefault="00591B6E" w:rsidP="00972B75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 xml:space="preserve">Zbog </w:t>
      </w:r>
      <w:r w:rsidR="00882CFC">
        <w:rPr>
          <w:rStyle w:val="fontstyle01"/>
          <w:color w:val="auto"/>
        </w:rPr>
        <w:t xml:space="preserve">ruske okupacije </w:t>
      </w:r>
      <w:r w:rsidR="002A0CD7">
        <w:rPr>
          <w:rStyle w:val="fontstyle01"/>
          <w:color w:val="auto"/>
        </w:rPr>
        <w:t xml:space="preserve">dijela </w:t>
      </w:r>
      <w:r w:rsidR="00882CFC">
        <w:rPr>
          <w:rStyle w:val="fontstyle01"/>
          <w:color w:val="auto"/>
        </w:rPr>
        <w:t>teritorija Ukrajine 2014</w:t>
      </w:r>
      <w:r>
        <w:rPr>
          <w:rStyle w:val="fontstyle01"/>
          <w:color w:val="auto"/>
        </w:rPr>
        <w:t>.</w:t>
      </w:r>
      <w:r w:rsidR="00882CFC">
        <w:rPr>
          <w:rStyle w:val="fontstyle01"/>
          <w:color w:val="auto"/>
        </w:rPr>
        <w:t xml:space="preserve"> </w:t>
      </w:r>
      <w:r w:rsidR="00A61F4A">
        <w:rPr>
          <w:rStyle w:val="fontstyle01"/>
          <w:color w:val="auto"/>
        </w:rPr>
        <w:t>g</w:t>
      </w:r>
      <w:r w:rsidR="00882CFC">
        <w:rPr>
          <w:rStyle w:val="fontstyle01"/>
          <w:color w:val="auto"/>
        </w:rPr>
        <w:t>odine</w:t>
      </w:r>
      <w:r>
        <w:rPr>
          <w:rStyle w:val="fontstyle01"/>
          <w:color w:val="auto"/>
        </w:rPr>
        <w:t xml:space="preserve"> i</w:t>
      </w:r>
      <w:r w:rsidR="00882CFC">
        <w:rPr>
          <w:rStyle w:val="fontstyle01"/>
          <w:color w:val="auto"/>
        </w:rPr>
        <w:t xml:space="preserve"> sveobuhvatne invazije Rusije na Ukrajinu 2022. godine,</w:t>
      </w:r>
      <w:r w:rsidR="00D55942">
        <w:rPr>
          <w:rStyle w:val="fontstyle01"/>
          <w:color w:val="auto"/>
        </w:rPr>
        <w:t xml:space="preserve"> o</w:t>
      </w:r>
      <w:r w:rsidR="00882CFC">
        <w:rPr>
          <w:rStyle w:val="fontstyle01"/>
          <w:color w:val="auto"/>
        </w:rPr>
        <w:t>kružje</w:t>
      </w:r>
      <w:r w:rsidR="00D55942">
        <w:rPr>
          <w:rStyle w:val="fontstyle01"/>
          <w:color w:val="auto"/>
        </w:rPr>
        <w:t xml:space="preserve"> </w:t>
      </w:r>
      <w:r w:rsidR="00882CFC">
        <w:rPr>
          <w:rStyle w:val="fontstyle01"/>
          <w:color w:val="auto"/>
        </w:rPr>
        <w:t>NATO-a nesigurnije je nego ikada u posljednja tri desetljeća.</w:t>
      </w:r>
      <w:r w:rsidR="002A0CD7">
        <w:rPr>
          <w:rStyle w:val="fontstyle01"/>
          <w:color w:val="auto"/>
        </w:rPr>
        <w:t xml:space="preserve"> </w:t>
      </w:r>
      <w:r w:rsidR="00882CFC">
        <w:rPr>
          <w:rStyle w:val="fontstyle01"/>
          <w:color w:val="auto"/>
        </w:rPr>
        <w:t>Strateški koncept NATO-a usvojen na samitu u Madridu 2022. godine</w:t>
      </w:r>
      <w:r w:rsidR="002A0CD7">
        <w:rPr>
          <w:rStyle w:val="fontstyle01"/>
          <w:color w:val="auto"/>
        </w:rPr>
        <w:t xml:space="preserve"> istaknuo je kako euroatlantskim područjem ne vlada mir</w:t>
      </w:r>
      <w:r w:rsidR="004E0AF0">
        <w:rPr>
          <w:rStyle w:val="fontstyle01"/>
          <w:color w:val="auto"/>
        </w:rPr>
        <w:t xml:space="preserve"> i </w:t>
      </w:r>
      <w:r w:rsidR="002A0CD7">
        <w:rPr>
          <w:rStyle w:val="fontstyle01"/>
          <w:color w:val="auto"/>
        </w:rPr>
        <w:t xml:space="preserve">kako ne možemo odbaciti mogućnost napada na suverenitet i teritorijalni integritet saveznica. </w:t>
      </w:r>
      <w:r w:rsidR="00882CFC">
        <w:rPr>
          <w:rStyle w:val="fontstyle01"/>
          <w:color w:val="auto"/>
        </w:rPr>
        <w:t xml:space="preserve"> </w:t>
      </w:r>
    </w:p>
    <w:p w14:paraId="61B3111B" w14:textId="16467096" w:rsidR="00F15E91" w:rsidRPr="00961D21" w:rsidRDefault="00F15E91" w:rsidP="0093795C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Style w:val="fontstyle01"/>
          <w:color w:val="auto"/>
        </w:rPr>
      </w:pPr>
      <w:r w:rsidRPr="00961D21">
        <w:rPr>
          <w:rStyle w:val="fontstyle01"/>
          <w:color w:val="auto"/>
        </w:rPr>
        <w:t>Članice NATO-a su nakon s</w:t>
      </w:r>
      <w:r w:rsidR="006F1B37">
        <w:rPr>
          <w:rStyle w:val="fontstyle01"/>
          <w:color w:val="auto"/>
        </w:rPr>
        <w:t>amita</w:t>
      </w:r>
      <w:r w:rsidRPr="00961D21">
        <w:rPr>
          <w:rStyle w:val="fontstyle01"/>
          <w:color w:val="auto"/>
        </w:rPr>
        <w:t xml:space="preserve"> u Walesu</w:t>
      </w:r>
      <w:r w:rsidR="0045159C">
        <w:rPr>
          <w:rStyle w:val="fontstyle01"/>
          <w:color w:val="auto"/>
        </w:rPr>
        <w:t xml:space="preserve"> 2014. godine</w:t>
      </w:r>
      <w:r w:rsidRPr="00961D21">
        <w:rPr>
          <w:rStyle w:val="fontstyle01"/>
          <w:color w:val="auto"/>
        </w:rPr>
        <w:t xml:space="preserve"> započele s implementacijom odluka kojima je pokrenut sveobuhvatan proces osnaživanja kolektivne obrane radi stvaranja novih i jačanja postojećih operativnih sposobnosti NATO-a. Taj proces uključivao je značajne promjene u NATO postavu snaga te je ujedno potaknuo dugoročnu transformaciju </w:t>
      </w:r>
      <w:r>
        <w:rPr>
          <w:rStyle w:val="fontstyle01"/>
          <w:color w:val="auto"/>
        </w:rPr>
        <w:t>NATO-a kroz vojne, političke i organizacijske</w:t>
      </w:r>
      <w:r w:rsidRPr="00961D21">
        <w:rPr>
          <w:rStyle w:val="fontstyle01"/>
          <w:color w:val="auto"/>
        </w:rPr>
        <w:t xml:space="preserve"> komponente Saveza.</w:t>
      </w:r>
    </w:p>
    <w:p w14:paraId="0D2C7C4C" w14:textId="13830494" w:rsidR="00F15E91" w:rsidRPr="00961D21" w:rsidRDefault="00F15E91" w:rsidP="0093795C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Style w:val="fontstyle01"/>
          <w:color w:val="auto"/>
        </w:rPr>
      </w:pPr>
      <w:r w:rsidRPr="00961D21">
        <w:rPr>
          <w:rStyle w:val="fontstyle01"/>
          <w:color w:val="auto"/>
        </w:rPr>
        <w:t>Dodatno, na NATO s</w:t>
      </w:r>
      <w:r w:rsidR="006F1B37">
        <w:rPr>
          <w:rStyle w:val="fontstyle01"/>
          <w:color w:val="auto"/>
        </w:rPr>
        <w:t>amitu</w:t>
      </w:r>
      <w:r w:rsidRPr="00961D21">
        <w:rPr>
          <w:rStyle w:val="fontstyle01"/>
          <w:color w:val="auto"/>
        </w:rPr>
        <w:t xml:space="preserve"> u Varšavi 2016. godine zbog ugroza za koje je procijenjeno da imaju dugoročna obilježja, države članice Saveza odlučile su djelovati u dva </w:t>
      </w:r>
      <w:r w:rsidR="00A61F4A">
        <w:rPr>
          <w:rStyle w:val="fontstyle01"/>
          <w:color w:val="auto"/>
        </w:rPr>
        <w:t>glavna</w:t>
      </w:r>
      <w:r w:rsidR="00A61F4A" w:rsidRPr="00961D21">
        <w:rPr>
          <w:rStyle w:val="fontstyle01"/>
          <w:color w:val="auto"/>
        </w:rPr>
        <w:t xml:space="preserve"> </w:t>
      </w:r>
      <w:r w:rsidRPr="00961D21">
        <w:rPr>
          <w:rStyle w:val="fontstyle01"/>
          <w:color w:val="auto"/>
        </w:rPr>
        <w:t xml:space="preserve">smjera. Prvi smjer bio je dodatno jačanje kolektivnog odvraćanja i obrane </w:t>
      </w:r>
      <w:r>
        <w:rPr>
          <w:rStyle w:val="fontstyle01"/>
          <w:color w:val="auto"/>
        </w:rPr>
        <w:t xml:space="preserve"> uspostavom</w:t>
      </w:r>
      <w:r w:rsidRPr="00961D21">
        <w:rPr>
          <w:rStyle w:val="fontstyle01"/>
          <w:color w:val="auto"/>
        </w:rPr>
        <w:t xml:space="preserve"> multinacionalnih borbe</w:t>
      </w:r>
      <w:r>
        <w:rPr>
          <w:rStyle w:val="fontstyle01"/>
          <w:color w:val="auto"/>
        </w:rPr>
        <w:t xml:space="preserve">nih skupina NATO-a pod nazivom aktivnosti ojačane </w:t>
      </w:r>
      <w:r w:rsidR="00D55942">
        <w:rPr>
          <w:rStyle w:val="fontstyle01"/>
          <w:color w:val="auto"/>
        </w:rPr>
        <w:t xml:space="preserve">prednje </w:t>
      </w:r>
      <w:r>
        <w:rPr>
          <w:rStyle w:val="fontstyle01"/>
          <w:color w:val="auto"/>
        </w:rPr>
        <w:t>prisutnosti</w:t>
      </w:r>
      <w:r w:rsidRPr="00961D21">
        <w:rPr>
          <w:rStyle w:val="fontstyle01"/>
          <w:color w:val="auto"/>
        </w:rPr>
        <w:t xml:space="preserve"> (</w:t>
      </w:r>
      <w:r w:rsidRPr="00961D21">
        <w:rPr>
          <w:rStyle w:val="fontstyle01"/>
          <w:i/>
          <w:color w:val="auto"/>
        </w:rPr>
        <w:t>enhanced Forward Presence – eFP</w:t>
      </w:r>
      <w:r w:rsidRPr="00961D21">
        <w:rPr>
          <w:rStyle w:val="fontstyle01"/>
          <w:color w:val="auto"/>
        </w:rPr>
        <w:t xml:space="preserve">) na </w:t>
      </w:r>
      <w:r w:rsidR="00091B82">
        <w:rPr>
          <w:rStyle w:val="fontstyle01"/>
          <w:color w:val="auto"/>
        </w:rPr>
        <w:t>teritoriju</w:t>
      </w:r>
      <w:r w:rsidRPr="00961D21">
        <w:rPr>
          <w:rStyle w:val="fontstyle01"/>
          <w:color w:val="auto"/>
        </w:rPr>
        <w:t xml:space="preserve"> država članica NATO-a na sjeveroistoku Europe </w:t>
      </w:r>
      <w:r>
        <w:rPr>
          <w:rStyle w:val="fontstyle01"/>
          <w:color w:val="auto"/>
        </w:rPr>
        <w:t>–</w:t>
      </w:r>
      <w:r w:rsidRPr="00961D21">
        <w:rPr>
          <w:rStyle w:val="fontstyle01"/>
          <w:color w:val="auto"/>
        </w:rPr>
        <w:t xml:space="preserve"> </w:t>
      </w:r>
      <w:r>
        <w:rPr>
          <w:rStyle w:val="fontstyle01"/>
          <w:color w:val="auto"/>
        </w:rPr>
        <w:t xml:space="preserve">Republike </w:t>
      </w:r>
      <w:r w:rsidRPr="00961D21">
        <w:rPr>
          <w:rStyle w:val="fontstyle01"/>
          <w:color w:val="auto"/>
        </w:rPr>
        <w:t xml:space="preserve">Poljske, </w:t>
      </w:r>
      <w:r>
        <w:rPr>
          <w:rStyle w:val="fontstyle01"/>
          <w:color w:val="auto"/>
        </w:rPr>
        <w:t xml:space="preserve">Republike </w:t>
      </w:r>
      <w:r w:rsidRPr="00961D21">
        <w:rPr>
          <w:rStyle w:val="fontstyle01"/>
          <w:color w:val="auto"/>
        </w:rPr>
        <w:t xml:space="preserve">Litve, </w:t>
      </w:r>
      <w:r>
        <w:rPr>
          <w:rStyle w:val="fontstyle01"/>
          <w:color w:val="auto"/>
        </w:rPr>
        <w:t xml:space="preserve">Republike </w:t>
      </w:r>
      <w:r w:rsidRPr="00961D21">
        <w:rPr>
          <w:rStyle w:val="fontstyle01"/>
          <w:color w:val="auto"/>
        </w:rPr>
        <w:t xml:space="preserve">Latvije i </w:t>
      </w:r>
      <w:r>
        <w:rPr>
          <w:rStyle w:val="fontstyle01"/>
          <w:color w:val="auto"/>
        </w:rPr>
        <w:t xml:space="preserve">Republike </w:t>
      </w:r>
      <w:r w:rsidRPr="00961D21">
        <w:rPr>
          <w:rStyle w:val="fontstyle01"/>
          <w:color w:val="auto"/>
        </w:rPr>
        <w:t>Estonije. Drugi smjer djelovanja odnosio se na projiciranje stabilnosti izvan granica NATO-a izgradnjom institucionalne i sigurnosne arhitekture partnerskih država Saveza.</w:t>
      </w:r>
    </w:p>
    <w:p w14:paraId="37CE0A85" w14:textId="24536461" w:rsidR="00F15E91" w:rsidRDefault="00F15E91" w:rsidP="0093795C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61D21">
        <w:rPr>
          <w:rFonts w:ascii="Times New Roman" w:eastAsia="MS Mincho" w:hAnsi="Times New Roman" w:cs="Times New Roman"/>
          <w:sz w:val="24"/>
          <w:szCs w:val="24"/>
          <w:lang w:eastAsia="ja-JP"/>
        </w:rPr>
        <w:t>Na sastanku NATO ministara obra</w:t>
      </w:r>
      <w:r w:rsidR="00154E66">
        <w:rPr>
          <w:rFonts w:ascii="Times New Roman" w:eastAsia="MS Mincho" w:hAnsi="Times New Roman" w:cs="Times New Roman"/>
          <w:sz w:val="24"/>
          <w:szCs w:val="24"/>
          <w:lang w:eastAsia="ja-JP"/>
        </w:rPr>
        <w:t>ne u veljači 2022. u Bruxellesu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utvrđeno je</w:t>
      </w:r>
      <w:r w:rsidR="00154E6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da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se sigurnosna </w:t>
      </w:r>
      <w:r w:rsidRPr="00961D2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situacija na istoku Europe dodatno pogoršala. Tada su NATO članice, uključujući i Republiku Hrvatsku, jednoglasno izrazile punu podršku nastavku </w:t>
      </w:r>
      <w:r w:rsidRPr="00961D21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>diplomatskih napora u nastojanjima mirnog i nenasilnog razrješenja sigurnosne situacije, kao i pravu svake države da sama odlučuje o svojim sigurnosnim aranžmanima.</w:t>
      </w:r>
      <w:r w:rsidR="00EC59B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154E66">
        <w:rPr>
          <w:rFonts w:ascii="Times New Roman" w:eastAsia="MS Mincho" w:hAnsi="Times New Roman" w:cs="Times New Roman"/>
          <w:sz w:val="24"/>
          <w:szCs w:val="24"/>
          <w:lang w:eastAsia="ja-JP"/>
        </w:rPr>
        <w:t>I</w:t>
      </w:r>
      <w:r w:rsidRPr="00961D21">
        <w:rPr>
          <w:rFonts w:ascii="Times New Roman" w:eastAsia="MS Mincho" w:hAnsi="Times New Roman" w:cs="Times New Roman"/>
          <w:sz w:val="24"/>
          <w:szCs w:val="24"/>
          <w:lang w:eastAsia="ja-JP"/>
        </w:rPr>
        <w:t>sto tako jednoglasno</w:t>
      </w:r>
      <w:r w:rsidR="00154E6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je</w:t>
      </w:r>
      <w:r w:rsidRPr="00961D2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izražen stav da je NATO spreman obraniti sve svoje države članice od bilo kakve prijetnje. Stoga su ministri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obrane </w:t>
      </w:r>
      <w:r w:rsidRPr="00961D21">
        <w:rPr>
          <w:rFonts w:ascii="Times New Roman" w:eastAsia="MS Mincho" w:hAnsi="Times New Roman" w:cs="Times New Roman"/>
          <w:sz w:val="24"/>
          <w:szCs w:val="24"/>
          <w:lang w:eastAsia="ja-JP"/>
        </w:rPr>
        <w:t>predložili daljnje jačanje savezničkog postava odvraćanja i obrane kako bi se osiguralo provođenje kolektivne obrane euroatlantskog područja.</w:t>
      </w:r>
    </w:p>
    <w:p w14:paraId="21600A31" w14:textId="2152C8DB" w:rsidR="00F15E91" w:rsidRDefault="00F15E91" w:rsidP="00972B75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2600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Najvidljiviji rezultat odluke bilo je uspostavljanje dodatnih NATO-ovih multinacionalnih borbenih skupina u </w:t>
      </w:r>
      <w:r w:rsidR="00A61F4A">
        <w:rPr>
          <w:rFonts w:ascii="Times New Roman" w:eastAsia="MS Mincho" w:hAnsi="Times New Roman" w:cs="Times New Roman"/>
          <w:sz w:val="24"/>
          <w:szCs w:val="24"/>
          <w:lang w:eastAsia="ja-JP"/>
        </w:rPr>
        <w:t>s</w:t>
      </w:r>
      <w:r w:rsidR="00154E66" w:rsidRPr="0002600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redišnjoj i </w:t>
      </w:r>
      <w:r w:rsidR="00A61F4A">
        <w:rPr>
          <w:rFonts w:ascii="Times New Roman" w:eastAsia="MS Mincho" w:hAnsi="Times New Roman" w:cs="Times New Roman"/>
          <w:sz w:val="24"/>
          <w:szCs w:val="24"/>
          <w:lang w:eastAsia="ja-JP"/>
        </w:rPr>
        <w:t>j</w:t>
      </w:r>
      <w:r w:rsidRPr="0002600E">
        <w:rPr>
          <w:rFonts w:ascii="Times New Roman" w:eastAsia="MS Mincho" w:hAnsi="Times New Roman" w:cs="Times New Roman"/>
          <w:sz w:val="24"/>
          <w:szCs w:val="24"/>
          <w:lang w:eastAsia="ja-JP"/>
        </w:rPr>
        <w:t>ugoistočnoj Europi odnosno u Mađarskoj, Slovačkoj Republici, Rumunjskoj i Republici Bugarskoj pod nazivom aktivnosti ojačane budnosti (</w:t>
      </w:r>
      <w:r w:rsidRPr="0002600E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enhanced Vigilance Activities – eVA</w:t>
      </w:r>
      <w:r w:rsidR="00154E66" w:rsidRPr="0002600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), </w:t>
      </w:r>
      <w:r w:rsidRPr="0002600E">
        <w:rPr>
          <w:rFonts w:ascii="Times New Roman" w:eastAsia="MS Mincho" w:hAnsi="Times New Roman" w:cs="Times New Roman"/>
          <w:sz w:val="24"/>
          <w:szCs w:val="24"/>
          <w:lang w:eastAsia="ja-JP"/>
        </w:rPr>
        <w:t>koje je NATO formalno uspostavio  odluk</w:t>
      </w:r>
      <w:r w:rsidR="0002600E">
        <w:rPr>
          <w:rFonts w:ascii="Times New Roman" w:eastAsia="MS Mincho" w:hAnsi="Times New Roman" w:cs="Times New Roman"/>
          <w:sz w:val="24"/>
          <w:szCs w:val="24"/>
          <w:lang w:eastAsia="ja-JP"/>
        </w:rPr>
        <w:t>om</w:t>
      </w:r>
      <w:r w:rsidRPr="0002600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na</w:t>
      </w:r>
      <w:r w:rsidR="00ED28B2" w:rsidRPr="0002600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izvanrednom</w:t>
      </w:r>
      <w:r w:rsidRPr="0002600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NATO s</w:t>
      </w:r>
      <w:r w:rsidR="00AD172A">
        <w:rPr>
          <w:rFonts w:ascii="Times New Roman" w:eastAsia="MS Mincho" w:hAnsi="Times New Roman" w:cs="Times New Roman"/>
          <w:sz w:val="24"/>
          <w:szCs w:val="24"/>
          <w:lang w:eastAsia="ja-JP"/>
        </w:rPr>
        <w:t>amitu</w:t>
      </w:r>
      <w:r w:rsidR="001D474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u Bruxellesu</w:t>
      </w:r>
      <w:r w:rsidRPr="0002600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u ožujku 2022. </w:t>
      </w:r>
    </w:p>
    <w:p w14:paraId="3F852717" w14:textId="77777777" w:rsidR="00AD172A" w:rsidRPr="0002600E" w:rsidRDefault="00AD172A" w:rsidP="00972B75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7C73BD62" w14:textId="60EBDB23" w:rsidR="00F15E91" w:rsidRPr="00961D21" w:rsidRDefault="00F15E91" w:rsidP="0093795C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Style w:val="fontstyle01"/>
          <w:color w:val="auto"/>
        </w:rPr>
      </w:pPr>
      <w:r w:rsidRPr="00961D21">
        <w:rPr>
          <w:rStyle w:val="fontstyle01"/>
          <w:color w:val="auto"/>
        </w:rPr>
        <w:t>Osim povećanja broja multinacionalnih borbenih skupina NATO-a s četiri na osam</w:t>
      </w:r>
      <w:r w:rsidR="0002600E">
        <w:rPr>
          <w:rStyle w:val="fontstyle01"/>
          <w:color w:val="auto"/>
        </w:rPr>
        <w:t xml:space="preserve"> te po potrebi njihovo povećanje na razine brigada,</w:t>
      </w:r>
      <w:r w:rsidR="00AD172A">
        <w:rPr>
          <w:rStyle w:val="fontstyle01"/>
          <w:color w:val="auto"/>
        </w:rPr>
        <w:t xml:space="preserve"> </w:t>
      </w:r>
      <w:r w:rsidRPr="00961D21">
        <w:rPr>
          <w:rStyle w:val="fontstyle01"/>
          <w:color w:val="auto"/>
        </w:rPr>
        <w:t>NATO je</w:t>
      </w:r>
      <w:r w:rsidR="004E04DB">
        <w:rPr>
          <w:rStyle w:val="fontstyle01"/>
          <w:color w:val="auto"/>
        </w:rPr>
        <w:t xml:space="preserve"> nakon </w:t>
      </w:r>
      <w:r>
        <w:rPr>
          <w:rStyle w:val="fontstyle01"/>
          <w:color w:val="auto"/>
        </w:rPr>
        <w:t xml:space="preserve">ruske agresije </w:t>
      </w:r>
      <w:r w:rsidRPr="00961D21">
        <w:rPr>
          <w:rStyle w:val="fontstyle01"/>
          <w:color w:val="auto"/>
        </w:rPr>
        <w:t xml:space="preserve">na Ukrajinu u veljači 2022. aktivirao </w:t>
      </w:r>
      <w:r w:rsidR="0002600E">
        <w:rPr>
          <w:rStyle w:val="fontstyle01"/>
          <w:color w:val="auto"/>
        </w:rPr>
        <w:t xml:space="preserve">i </w:t>
      </w:r>
      <w:r w:rsidRPr="00961D21">
        <w:rPr>
          <w:rStyle w:val="fontstyle01"/>
          <w:color w:val="auto"/>
        </w:rPr>
        <w:t>svoje planove obrane i p</w:t>
      </w:r>
      <w:r>
        <w:rPr>
          <w:rStyle w:val="fontstyle01"/>
          <w:color w:val="auto"/>
        </w:rPr>
        <w:t>okrenuo d</w:t>
      </w:r>
      <w:r w:rsidR="0002600E">
        <w:rPr>
          <w:rStyle w:val="fontstyle01"/>
          <w:color w:val="auto"/>
        </w:rPr>
        <w:t>aljnje</w:t>
      </w:r>
      <w:r>
        <w:rPr>
          <w:rStyle w:val="fontstyle01"/>
          <w:color w:val="auto"/>
        </w:rPr>
        <w:t xml:space="preserve"> jačanje postava </w:t>
      </w:r>
      <w:r w:rsidRPr="00961D21">
        <w:rPr>
          <w:rStyle w:val="fontstyle01"/>
          <w:color w:val="auto"/>
        </w:rPr>
        <w:t>odvraćanja i obrane. Navedeno omoguć</w:t>
      </w:r>
      <w:r w:rsidR="00154E66">
        <w:rPr>
          <w:rStyle w:val="fontstyle01"/>
          <w:color w:val="auto"/>
        </w:rPr>
        <w:t>uje</w:t>
      </w:r>
      <w:r w:rsidRPr="00961D21">
        <w:rPr>
          <w:rStyle w:val="fontstyle01"/>
          <w:color w:val="auto"/>
        </w:rPr>
        <w:t xml:space="preserve"> dodatni razmještaj kopnenih i zračnih snaga na </w:t>
      </w:r>
      <w:r w:rsidR="00091B82">
        <w:rPr>
          <w:rStyle w:val="fontstyle01"/>
          <w:color w:val="auto"/>
        </w:rPr>
        <w:t xml:space="preserve">teritoriju </w:t>
      </w:r>
      <w:r w:rsidRPr="00961D21">
        <w:rPr>
          <w:rStyle w:val="fontstyle01"/>
          <w:color w:val="auto"/>
        </w:rPr>
        <w:t xml:space="preserve"> država članica na istoku Saveza te pomorskih snaga diljem cijelog teritorija država članica Saveza. Pokretanje planova obrane ujedno je prvi put u povijesti Saveza omogućilo raspoređivanje NATO-ovih snaga brzog odgovora (</w:t>
      </w:r>
      <w:r w:rsidRPr="00961D21">
        <w:rPr>
          <w:rStyle w:val="fontstyle01"/>
          <w:i/>
          <w:color w:val="auto"/>
        </w:rPr>
        <w:t xml:space="preserve">NATO </w:t>
      </w:r>
      <w:r w:rsidRPr="00E058D0">
        <w:rPr>
          <w:rStyle w:val="fontstyle01"/>
          <w:i/>
          <w:color w:val="auto"/>
        </w:rPr>
        <w:t>Response Force</w:t>
      </w:r>
      <w:r w:rsidRPr="00961D21">
        <w:rPr>
          <w:rStyle w:val="fontstyle01"/>
          <w:color w:val="auto"/>
        </w:rPr>
        <w:t xml:space="preserve">) </w:t>
      </w:r>
      <w:r>
        <w:rPr>
          <w:rStyle w:val="fontstyle01"/>
          <w:color w:val="auto"/>
        </w:rPr>
        <w:t xml:space="preserve">radi </w:t>
      </w:r>
      <w:r w:rsidRPr="00961D21">
        <w:rPr>
          <w:rStyle w:val="fontstyle01"/>
          <w:color w:val="auto"/>
        </w:rPr>
        <w:t>ojačavanja postava odvraćanja i obrane.</w:t>
      </w:r>
    </w:p>
    <w:p w14:paraId="0E6E5188" w14:textId="7FF03280" w:rsidR="00F15E91" w:rsidRPr="00F15E91" w:rsidRDefault="00F15E91" w:rsidP="00972B75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1D21">
        <w:rPr>
          <w:rStyle w:val="fontstyle01"/>
          <w:color w:val="auto"/>
        </w:rPr>
        <w:t>Nakon akt</w:t>
      </w:r>
      <w:r>
        <w:rPr>
          <w:rStyle w:val="fontstyle01"/>
          <w:color w:val="auto"/>
        </w:rPr>
        <w:t>ivacije planova obrane, 40</w:t>
      </w:r>
      <w:r w:rsidR="00AD172A">
        <w:rPr>
          <w:rStyle w:val="fontstyle01"/>
          <w:color w:val="auto"/>
        </w:rPr>
        <w:t xml:space="preserve"> </w:t>
      </w:r>
      <w:r>
        <w:rPr>
          <w:rStyle w:val="fontstyle01"/>
          <w:color w:val="auto"/>
        </w:rPr>
        <w:t xml:space="preserve">000 </w:t>
      </w:r>
      <w:r w:rsidRPr="00961D21">
        <w:rPr>
          <w:rStyle w:val="fontstyle01"/>
          <w:color w:val="auto"/>
        </w:rPr>
        <w:t xml:space="preserve">pripadnika oružanih snaga država članica Saveza, uz zračne i pomorske snage, stavljeno je pod zapovjedništvo NATO-a. Ove snage, uz snage u osam multinacionalnih borbenih skupina NATO-a na teritoriju Estonije pod vodstvom </w:t>
      </w:r>
      <w:r w:rsidRPr="00012E25">
        <w:rPr>
          <w:rStyle w:val="fontstyle01"/>
          <w:color w:val="auto"/>
        </w:rPr>
        <w:t>Ujedinjene Kraljevine Velike Britanije i Sjeverne Irske,</w:t>
      </w:r>
      <w:r w:rsidRPr="00961D21">
        <w:rPr>
          <w:rStyle w:val="fontstyle01"/>
          <w:color w:val="auto"/>
        </w:rPr>
        <w:t xml:space="preserve"> na teritoriju </w:t>
      </w:r>
      <w:r>
        <w:rPr>
          <w:rStyle w:val="fontstyle01"/>
          <w:color w:val="auto"/>
        </w:rPr>
        <w:t xml:space="preserve">Republike </w:t>
      </w:r>
      <w:r w:rsidRPr="00961D21">
        <w:rPr>
          <w:rStyle w:val="fontstyle01"/>
          <w:color w:val="auto"/>
        </w:rPr>
        <w:t xml:space="preserve">Latvije pod vodstvom Kanade, na teritoriju </w:t>
      </w:r>
      <w:r>
        <w:rPr>
          <w:rStyle w:val="fontstyle01"/>
          <w:color w:val="auto"/>
        </w:rPr>
        <w:t>Republike Litve pod vodstvom Savezne Republike</w:t>
      </w:r>
      <w:r w:rsidRPr="00961D21">
        <w:rPr>
          <w:rStyle w:val="fontstyle01"/>
          <w:color w:val="auto"/>
        </w:rPr>
        <w:t xml:space="preserve"> Njemačke, na teritoriju</w:t>
      </w:r>
      <w:r>
        <w:rPr>
          <w:rStyle w:val="fontstyle01"/>
          <w:color w:val="auto"/>
        </w:rPr>
        <w:t xml:space="preserve"> Republike </w:t>
      </w:r>
      <w:r w:rsidRPr="00961D21">
        <w:rPr>
          <w:rStyle w:val="fontstyle01"/>
          <w:color w:val="auto"/>
        </w:rPr>
        <w:t>Poljske pod vodstvom Sjedinjenih Američkih Država, na teritoriju Slovačke</w:t>
      </w:r>
      <w:r>
        <w:rPr>
          <w:rStyle w:val="fontstyle01"/>
          <w:color w:val="auto"/>
        </w:rPr>
        <w:t xml:space="preserve"> Republike</w:t>
      </w:r>
      <w:r w:rsidRPr="00961D21">
        <w:rPr>
          <w:rStyle w:val="fontstyle01"/>
          <w:color w:val="auto"/>
        </w:rPr>
        <w:t xml:space="preserve"> pod vodstvom </w:t>
      </w:r>
      <w:r w:rsidR="00034FF4">
        <w:rPr>
          <w:rStyle w:val="fontstyle01"/>
          <w:color w:val="auto"/>
        </w:rPr>
        <w:t>Kraljevine Španjolske</w:t>
      </w:r>
      <w:r w:rsidRPr="00961D21">
        <w:rPr>
          <w:rStyle w:val="fontstyle01"/>
          <w:color w:val="auto"/>
        </w:rPr>
        <w:t>, na teritoriju Mađarske pod vodstvom Mađarske, na teritoriju</w:t>
      </w:r>
      <w:r>
        <w:rPr>
          <w:rStyle w:val="fontstyle01"/>
          <w:color w:val="auto"/>
        </w:rPr>
        <w:t xml:space="preserve"> </w:t>
      </w:r>
      <w:r w:rsidRPr="00961D21">
        <w:rPr>
          <w:rStyle w:val="fontstyle01"/>
          <w:color w:val="auto"/>
        </w:rPr>
        <w:t xml:space="preserve">Rumunjske pod vodstvom Francuske </w:t>
      </w:r>
      <w:r>
        <w:rPr>
          <w:rStyle w:val="fontstyle01"/>
          <w:color w:val="auto"/>
        </w:rPr>
        <w:t xml:space="preserve">Republike </w:t>
      </w:r>
      <w:r w:rsidRPr="00961D21">
        <w:rPr>
          <w:rStyle w:val="fontstyle01"/>
          <w:color w:val="auto"/>
        </w:rPr>
        <w:t xml:space="preserve">i na teritoriju </w:t>
      </w:r>
      <w:r>
        <w:rPr>
          <w:rStyle w:val="fontstyle01"/>
          <w:color w:val="auto"/>
        </w:rPr>
        <w:t xml:space="preserve">Republike </w:t>
      </w:r>
      <w:r w:rsidRPr="00961D21">
        <w:rPr>
          <w:rStyle w:val="fontstyle01"/>
          <w:color w:val="auto"/>
        </w:rPr>
        <w:t xml:space="preserve">Bugarske pod vodstvom </w:t>
      </w:r>
      <w:r>
        <w:rPr>
          <w:rStyle w:val="fontstyle01"/>
          <w:color w:val="auto"/>
        </w:rPr>
        <w:t>Talijanske Republike</w:t>
      </w:r>
      <w:r w:rsidRPr="00961D21">
        <w:rPr>
          <w:rStyle w:val="fontstyle01"/>
          <w:color w:val="auto"/>
        </w:rPr>
        <w:t xml:space="preserve"> čine okosnicu savezničkog postava odvraćanja i obrane. </w:t>
      </w:r>
    </w:p>
    <w:p w14:paraId="1D97A1FA" w14:textId="77777777" w:rsidR="00F15E91" w:rsidRPr="008E2B2C" w:rsidRDefault="00F15E91" w:rsidP="007217B1">
      <w:pPr>
        <w:autoSpaceDE w:val="0"/>
        <w:autoSpaceDN w:val="0"/>
        <w:adjustRightInd w:val="0"/>
        <w:spacing w:after="0" w:line="240" w:lineRule="auto"/>
        <w:jc w:val="both"/>
        <w:rPr>
          <w:rStyle w:val="fontstyle01"/>
          <w:color w:val="auto"/>
        </w:rPr>
      </w:pPr>
    </w:p>
    <w:p w14:paraId="5D2DA7AB" w14:textId="77777777" w:rsidR="00541CA8" w:rsidRDefault="00F15E91" w:rsidP="007217B1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</w:r>
      <w:r w:rsidR="00541CA8" w:rsidRPr="008E2B2C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III.</w:t>
      </w:r>
      <w:r w:rsidR="00541CA8" w:rsidRPr="008E2B2C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  <w:t>RAZLOZI I CILJEVI DONOŠENJA ODLUKE</w:t>
      </w:r>
    </w:p>
    <w:p w14:paraId="3B863FA3" w14:textId="77777777" w:rsidR="00F15E91" w:rsidRDefault="00F15E91" w:rsidP="007217B1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56E67119" w14:textId="3ECA031A" w:rsidR="00F15E91" w:rsidRPr="00961D21" w:rsidRDefault="00F15E91" w:rsidP="0093795C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61D21">
        <w:rPr>
          <w:rFonts w:ascii="Times New Roman" w:eastAsia="MS Mincho" w:hAnsi="Times New Roman" w:cs="Times New Roman"/>
          <w:sz w:val="24"/>
          <w:szCs w:val="24"/>
          <w:lang w:eastAsia="ja-JP"/>
        </w:rPr>
        <w:t>Na NATO s</w:t>
      </w:r>
      <w:r w:rsidR="00AD172A">
        <w:rPr>
          <w:rFonts w:ascii="Times New Roman" w:eastAsia="MS Mincho" w:hAnsi="Times New Roman" w:cs="Times New Roman"/>
          <w:sz w:val="24"/>
          <w:szCs w:val="24"/>
          <w:lang w:eastAsia="ja-JP"/>
        </w:rPr>
        <w:t>amitu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u Madridu u lipnju 2022. </w:t>
      </w:r>
      <w:r w:rsidRPr="00961D2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šefovi država i vlada članica Saveza dogovorili su se </w:t>
      </w:r>
      <w:r w:rsidR="00154E66">
        <w:rPr>
          <w:rFonts w:ascii="Times New Roman" w:eastAsia="MS Mincho" w:hAnsi="Times New Roman" w:cs="Times New Roman"/>
          <w:sz w:val="24"/>
          <w:szCs w:val="24"/>
          <w:lang w:eastAsia="ja-JP"/>
        </w:rPr>
        <w:t>o potrebi temeljitog</w:t>
      </w:r>
      <w:r w:rsidRPr="00961D2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zaokret</w:t>
      </w:r>
      <w:r w:rsidR="00154E66">
        <w:rPr>
          <w:rFonts w:ascii="Times New Roman" w:eastAsia="MS Mincho" w:hAnsi="Times New Roman" w:cs="Times New Roman"/>
          <w:sz w:val="24"/>
          <w:szCs w:val="24"/>
          <w:lang w:eastAsia="ja-JP"/>
        </w:rPr>
        <w:t>a</w:t>
      </w:r>
      <w:r w:rsidRPr="00961D2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u pogledu jasnog iskaza ojačanog postava odvraćanja i obrane kako bi se nedvosmisleno p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o</w:t>
      </w:r>
      <w:r w:rsidRPr="00961D2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kazala spremnost obrane teritorija država članica Saveza. S tim u vezi nadograđeni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su </w:t>
      </w:r>
      <w:r w:rsidRPr="00961D2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postojeći planovi obrane Saveza te je </w:t>
      </w:r>
      <w:r w:rsidR="00154E66">
        <w:rPr>
          <w:rFonts w:ascii="Times New Roman" w:eastAsia="MS Mincho" w:hAnsi="Times New Roman" w:cs="Times New Roman"/>
          <w:sz w:val="24"/>
          <w:szCs w:val="24"/>
          <w:lang w:eastAsia="ja-JP"/>
        </w:rPr>
        <w:t>više snaga stavljeno na povišen</w:t>
      </w:r>
      <w:r w:rsidRPr="00961D2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stupanj spremnosti kako bi bile u mogućnosti u što kraćem roku ob</w:t>
      </w:r>
      <w:r w:rsidR="005954D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raniti najugroženije saveznice. </w:t>
      </w:r>
      <w:r w:rsidRPr="00961D21">
        <w:rPr>
          <w:rFonts w:ascii="Times New Roman" w:eastAsia="MS Mincho" w:hAnsi="Times New Roman" w:cs="Times New Roman"/>
          <w:sz w:val="24"/>
          <w:szCs w:val="24"/>
          <w:lang w:eastAsia="ja-JP"/>
        </w:rPr>
        <w:t>Osim toga, na madridskom s</w:t>
      </w:r>
      <w:r w:rsidR="00F46329">
        <w:rPr>
          <w:rFonts w:ascii="Times New Roman" w:eastAsia="MS Mincho" w:hAnsi="Times New Roman" w:cs="Times New Roman"/>
          <w:sz w:val="24"/>
          <w:szCs w:val="24"/>
          <w:lang w:eastAsia="ja-JP"/>
        </w:rPr>
        <w:t>amitu</w:t>
      </w:r>
      <w:r w:rsidRPr="00961D2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dogovoreno </w:t>
      </w:r>
      <w:r w:rsidR="00154E6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je </w:t>
      </w:r>
      <w:r w:rsidRPr="00961D21">
        <w:rPr>
          <w:rFonts w:ascii="Times New Roman" w:eastAsia="MS Mincho" w:hAnsi="Times New Roman" w:cs="Times New Roman"/>
          <w:sz w:val="24"/>
          <w:szCs w:val="24"/>
          <w:lang w:eastAsia="ja-JP"/>
        </w:rPr>
        <w:t>da će se postupno na teritorij istočnih država članica Saveza pre</w:t>
      </w:r>
      <w:r w:rsidR="00F46329">
        <w:rPr>
          <w:rFonts w:ascii="Times New Roman" w:eastAsia="MS Mincho" w:hAnsi="Times New Roman" w:cs="Times New Roman"/>
          <w:sz w:val="24"/>
          <w:szCs w:val="24"/>
          <w:lang w:eastAsia="ja-JP"/>
        </w:rPr>
        <w:t>t</w:t>
      </w:r>
      <w:r w:rsidRPr="00961D2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pozicionirati još veći broj savezničkih snaga, zaliha streljiva i ostale opreme </w:t>
      </w:r>
      <w:r w:rsidRPr="00961D21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>te je usvojen i novi NATO-ov Strateški koncept u kojemu je Ruska Federacija definirana kao najznačajnija izravna prijetnja za savezničku sigurnost u euroatlantskom području. Cjeloviti prihvaćeni set novih mjera</w:t>
      </w:r>
      <w:r w:rsidR="00C02626">
        <w:rPr>
          <w:rFonts w:ascii="Times New Roman" w:eastAsia="MS Mincho" w:hAnsi="Times New Roman" w:cs="Times New Roman"/>
          <w:sz w:val="24"/>
          <w:szCs w:val="24"/>
          <w:lang w:eastAsia="ja-JP"/>
        </w:rPr>
        <w:t>,</w:t>
      </w:r>
      <w:r w:rsidRPr="00961D2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koje su o</w:t>
      </w:r>
      <w:r w:rsidR="00BC2182">
        <w:rPr>
          <w:rFonts w:ascii="Times New Roman" w:eastAsia="MS Mincho" w:hAnsi="Times New Roman" w:cs="Times New Roman"/>
          <w:sz w:val="24"/>
          <w:szCs w:val="24"/>
          <w:lang w:eastAsia="ja-JP"/>
        </w:rPr>
        <w:t>d tada u različitim stupnjevima</w:t>
      </w:r>
      <w:r w:rsidRPr="00961D2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implementacije</w:t>
      </w:r>
      <w:r w:rsidR="00C02626">
        <w:rPr>
          <w:rFonts w:ascii="Times New Roman" w:eastAsia="MS Mincho" w:hAnsi="Times New Roman" w:cs="Times New Roman"/>
          <w:sz w:val="24"/>
          <w:szCs w:val="24"/>
          <w:lang w:eastAsia="ja-JP"/>
        </w:rPr>
        <w:t>,</w:t>
      </w:r>
      <w:r w:rsidRPr="00961D2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najveći </w:t>
      </w:r>
      <w:r w:rsidR="00F4632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je </w:t>
      </w:r>
      <w:r w:rsidRPr="00961D21">
        <w:rPr>
          <w:rFonts w:ascii="Times New Roman" w:eastAsia="MS Mincho" w:hAnsi="Times New Roman" w:cs="Times New Roman"/>
          <w:sz w:val="24"/>
          <w:szCs w:val="24"/>
          <w:lang w:eastAsia="ja-JP"/>
        </w:rPr>
        <w:t>preobražaj kolektivne obra</w:t>
      </w:r>
      <w:r w:rsidR="00154E66">
        <w:rPr>
          <w:rFonts w:ascii="Times New Roman" w:eastAsia="MS Mincho" w:hAnsi="Times New Roman" w:cs="Times New Roman"/>
          <w:sz w:val="24"/>
          <w:szCs w:val="24"/>
          <w:lang w:eastAsia="ja-JP"/>
        </w:rPr>
        <w:t>ne i odvraćanja Saveza od doba h</w:t>
      </w:r>
      <w:r w:rsidRPr="00961D21">
        <w:rPr>
          <w:rFonts w:ascii="Times New Roman" w:eastAsia="MS Mincho" w:hAnsi="Times New Roman" w:cs="Times New Roman"/>
          <w:sz w:val="24"/>
          <w:szCs w:val="24"/>
          <w:lang w:eastAsia="ja-JP"/>
        </w:rPr>
        <w:t>ladnog rata.</w:t>
      </w:r>
    </w:p>
    <w:p w14:paraId="618DAC97" w14:textId="3CCE5A80" w:rsidR="00F15E91" w:rsidRPr="00F15E91" w:rsidRDefault="00F15E91" w:rsidP="0093795C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61D21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 2022. godine podržala je stvaranje novih multinacionalnih borbenih skupina NATO-a u okviru aktivno</w:t>
      </w:r>
      <w:r w:rsidR="00154E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sti ojačane budnosti NATO-a, uz </w:t>
      </w:r>
      <w:r w:rsidRPr="00961D21">
        <w:rPr>
          <w:rFonts w:ascii="Times New Roman" w:eastAsia="Times New Roman" w:hAnsi="Times New Roman" w:cs="Times New Roman"/>
          <w:sz w:val="24"/>
          <w:szCs w:val="24"/>
          <w:lang w:eastAsia="hr-HR"/>
        </w:rPr>
        <w:t>postojeće multinacionalne borbene skupine u okviru aktivnosti ojačane prednje prisutnosti NATO-a</w:t>
      </w:r>
      <w:r w:rsidR="00CA7FD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961D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koje je podržala još 2016. godine. </w:t>
      </w:r>
    </w:p>
    <w:p w14:paraId="3E645E7A" w14:textId="5372C008" w:rsidR="0002565F" w:rsidRPr="00246D6A" w:rsidRDefault="00A862D3" w:rsidP="0093795C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46D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Oružane snage Republike Hrvatske sudjeluju </w:t>
      </w:r>
      <w:r w:rsidR="000C553F" w:rsidRPr="00246D6A">
        <w:rPr>
          <w:rFonts w:ascii="Times New Roman" w:eastAsia="MS Mincho" w:hAnsi="Times New Roman" w:cs="Times New Roman"/>
          <w:sz w:val="24"/>
          <w:szCs w:val="24"/>
          <w:lang w:eastAsia="ja-JP"/>
        </w:rPr>
        <w:t>u</w:t>
      </w:r>
      <w:r w:rsidRPr="00246D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aktivnosti</w:t>
      </w:r>
      <w:r w:rsidR="001E1FBC">
        <w:rPr>
          <w:rFonts w:ascii="Times New Roman" w:eastAsia="MS Mincho" w:hAnsi="Times New Roman" w:cs="Times New Roman"/>
          <w:sz w:val="24"/>
          <w:szCs w:val="24"/>
          <w:lang w:eastAsia="ja-JP"/>
        </w:rPr>
        <w:t>ma</w:t>
      </w:r>
      <w:r w:rsidRPr="00246D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ojačane prednje prisutnosti NATO-a pod vodstvom Sjedinjenih Američkih Država, u Republici Poljskoj </w:t>
      </w:r>
      <w:r w:rsidR="001E1FB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i </w:t>
      </w:r>
      <w:r w:rsidR="001E1FBC" w:rsidRPr="00246D6A">
        <w:rPr>
          <w:rFonts w:ascii="Times New Roman" w:eastAsia="MS Mincho" w:hAnsi="Times New Roman" w:cs="Times New Roman"/>
          <w:sz w:val="24"/>
          <w:szCs w:val="24"/>
          <w:lang w:eastAsia="ja-JP"/>
        </w:rPr>
        <w:t>pod vodstvom Savezne Republike Njemačke, u Republici Litvi</w:t>
      </w:r>
      <w:r w:rsidR="001E1FB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od 2017</w:t>
      </w:r>
      <w:r w:rsidR="00B04B20" w:rsidRPr="00246D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</w:t>
      </w:r>
      <w:r w:rsidR="00C02626">
        <w:rPr>
          <w:rFonts w:ascii="Times New Roman" w:eastAsia="MS Mincho" w:hAnsi="Times New Roman" w:cs="Times New Roman"/>
          <w:sz w:val="24"/>
          <w:szCs w:val="24"/>
          <w:lang w:eastAsia="ja-JP"/>
        </w:rPr>
        <w:t>g</w:t>
      </w:r>
      <w:r w:rsidR="00B04B20" w:rsidRPr="00246D6A">
        <w:rPr>
          <w:rFonts w:ascii="Times New Roman" w:eastAsia="MS Mincho" w:hAnsi="Times New Roman" w:cs="Times New Roman"/>
          <w:sz w:val="24"/>
          <w:szCs w:val="24"/>
          <w:lang w:eastAsia="ja-JP"/>
        </w:rPr>
        <w:t>odine</w:t>
      </w:r>
      <w:r w:rsidR="00F46329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14:paraId="114D232A" w14:textId="0636FE47" w:rsidR="005E5AF8" w:rsidRPr="0034671D" w:rsidRDefault="0002565F" w:rsidP="0093795C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46D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Oružane snage Republike Hrvatske sudjeluju u sklopu </w:t>
      </w:r>
      <w:r w:rsidR="005E5AF8" w:rsidRPr="00246D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aktivnosti ojačane budnosti NATO-a pod vodstvom Mađarske, u Mađarskoj </w:t>
      </w:r>
      <w:r w:rsidR="00B04B20" w:rsidRPr="00246D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od 2022. </w:t>
      </w:r>
      <w:r w:rsidR="0034671D" w:rsidRPr="00246D6A">
        <w:rPr>
          <w:rFonts w:ascii="Times New Roman" w:eastAsia="MS Mincho" w:hAnsi="Times New Roman" w:cs="Times New Roman"/>
          <w:sz w:val="24"/>
          <w:szCs w:val="24"/>
          <w:lang w:eastAsia="ja-JP"/>
        </w:rPr>
        <w:t>g</w:t>
      </w:r>
      <w:r w:rsidR="00B04B20" w:rsidRPr="00246D6A">
        <w:rPr>
          <w:rFonts w:ascii="Times New Roman" w:eastAsia="MS Mincho" w:hAnsi="Times New Roman" w:cs="Times New Roman"/>
          <w:sz w:val="24"/>
          <w:szCs w:val="24"/>
          <w:lang w:eastAsia="ja-JP"/>
        </w:rPr>
        <w:t>odine</w:t>
      </w:r>
      <w:r w:rsidR="00ED28B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i </w:t>
      </w:r>
      <w:r w:rsidR="005E5AF8" w:rsidRPr="0034671D">
        <w:rPr>
          <w:rFonts w:ascii="Times New Roman" w:eastAsia="MS Mincho" w:hAnsi="Times New Roman" w:cs="Times New Roman"/>
          <w:sz w:val="24"/>
          <w:szCs w:val="24"/>
          <w:lang w:eastAsia="ja-JP"/>
        </w:rPr>
        <w:t>pod vodstvom Talijanske Republike,</w:t>
      </w:r>
      <w:r w:rsidR="00B04B20" w:rsidRPr="0034671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u Republici Bugarskoj od 2024. </w:t>
      </w:r>
      <w:r w:rsidR="007F6FF8">
        <w:rPr>
          <w:rFonts w:ascii="Times New Roman" w:eastAsia="MS Mincho" w:hAnsi="Times New Roman" w:cs="Times New Roman"/>
          <w:sz w:val="24"/>
          <w:szCs w:val="24"/>
          <w:lang w:eastAsia="ja-JP"/>
        </w:rPr>
        <w:t>g</w:t>
      </w:r>
      <w:r w:rsidR="00B04B20" w:rsidRPr="0034671D">
        <w:rPr>
          <w:rFonts w:ascii="Times New Roman" w:eastAsia="MS Mincho" w:hAnsi="Times New Roman" w:cs="Times New Roman"/>
          <w:sz w:val="24"/>
          <w:szCs w:val="24"/>
          <w:lang w:eastAsia="ja-JP"/>
        </w:rPr>
        <w:t>odine</w:t>
      </w:r>
      <w:r w:rsidR="0034671D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14:paraId="574ACA0A" w14:textId="1D710087" w:rsidR="00431F8F" w:rsidRDefault="00F15E91" w:rsidP="0093795C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61D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Oružane snage Republike Hrvatske sudjelovanjem u </w:t>
      </w:r>
      <w:r w:rsidR="007B42D6">
        <w:rPr>
          <w:rFonts w:ascii="Times New Roman" w:eastAsia="Times New Roman" w:hAnsi="Times New Roman" w:cs="Times New Roman"/>
          <w:sz w:val="24"/>
          <w:szCs w:val="24"/>
          <w:lang w:eastAsia="hr-HR"/>
        </w:rPr>
        <w:t>ovim aktivnostima</w:t>
      </w:r>
      <w:r w:rsidRPr="00961D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NATO-a dodatno </w:t>
      </w:r>
      <w:r w:rsidR="007B42D6">
        <w:rPr>
          <w:rFonts w:ascii="Times New Roman" w:eastAsia="Times New Roman" w:hAnsi="Times New Roman" w:cs="Times New Roman"/>
          <w:sz w:val="24"/>
          <w:szCs w:val="24"/>
          <w:lang w:eastAsia="hr-HR"/>
        </w:rPr>
        <w:t>razvijaju</w:t>
      </w:r>
      <w:r w:rsidR="007B42D6" w:rsidRPr="00961D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61D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svoje sposobnosti, </w:t>
      </w:r>
      <w:r w:rsidR="007B42D6">
        <w:rPr>
          <w:rFonts w:ascii="Times New Roman" w:eastAsia="Times New Roman" w:hAnsi="Times New Roman" w:cs="Times New Roman"/>
          <w:sz w:val="24"/>
          <w:szCs w:val="24"/>
          <w:lang w:eastAsia="hr-HR"/>
        </w:rPr>
        <w:t>povećavaju</w:t>
      </w:r>
      <w:r w:rsidR="007B42D6" w:rsidRPr="00961D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61D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razinu interoperabilnosti sa snagama drugih država članica te izravno </w:t>
      </w:r>
      <w:r w:rsidR="007B42D6">
        <w:rPr>
          <w:rFonts w:ascii="Times New Roman" w:eastAsia="Times New Roman" w:hAnsi="Times New Roman" w:cs="Times New Roman"/>
          <w:sz w:val="24"/>
          <w:szCs w:val="24"/>
          <w:lang w:eastAsia="hr-HR"/>
        </w:rPr>
        <w:t>pri</w:t>
      </w:r>
      <w:r w:rsidR="00F46329">
        <w:rPr>
          <w:rFonts w:ascii="Times New Roman" w:eastAsia="Times New Roman" w:hAnsi="Times New Roman" w:cs="Times New Roman"/>
          <w:sz w:val="24"/>
          <w:szCs w:val="24"/>
          <w:lang w:eastAsia="hr-HR"/>
        </w:rPr>
        <w:t>do</w:t>
      </w:r>
      <w:r w:rsidR="007B42D6">
        <w:rPr>
          <w:rFonts w:ascii="Times New Roman" w:eastAsia="Times New Roman" w:hAnsi="Times New Roman" w:cs="Times New Roman"/>
          <w:sz w:val="24"/>
          <w:szCs w:val="24"/>
          <w:lang w:eastAsia="hr-HR"/>
        </w:rPr>
        <w:t>nose</w:t>
      </w:r>
      <w:r w:rsidR="007B42D6" w:rsidRPr="00961D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61D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jačanju odvraćanja i kolektivne obrane Sjevernoatlantskog saveza. </w:t>
      </w:r>
    </w:p>
    <w:p w14:paraId="6B35BBEB" w14:textId="58CF7943" w:rsidR="002A0EF4" w:rsidRDefault="00F15E91" w:rsidP="00972B75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61D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Republika Hrvatska tako potvrđuje svoju predanost u implementaciji savezničkih odluka te nastavlja graditi međunarodnu vjerodostojnost te politički i vojni kredibilitet u okviru Saveza. </w:t>
      </w:r>
      <w:r w:rsidR="00CA7FDC">
        <w:rPr>
          <w:rFonts w:ascii="Times New Roman" w:eastAsia="Times New Roman" w:hAnsi="Times New Roman" w:cs="Times New Roman"/>
          <w:sz w:val="24"/>
          <w:szCs w:val="24"/>
          <w:lang w:eastAsia="hr-HR"/>
        </w:rPr>
        <w:t>Angažiranost</w:t>
      </w:r>
      <w:r w:rsidR="00431F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pripadnika u ovim</w:t>
      </w:r>
      <w:r w:rsidRPr="00961D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aktivnosti</w:t>
      </w:r>
      <w:r w:rsidR="00431F8F">
        <w:rPr>
          <w:rFonts w:ascii="Times New Roman" w:eastAsia="Times New Roman" w:hAnsi="Times New Roman" w:cs="Times New Roman"/>
          <w:sz w:val="24"/>
          <w:szCs w:val="24"/>
          <w:lang w:eastAsia="hr-HR"/>
        </w:rPr>
        <w:t>ma</w:t>
      </w:r>
      <w:r w:rsidRPr="00961D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omoguć</w:t>
      </w:r>
      <w:r w:rsidR="00154E66">
        <w:rPr>
          <w:rFonts w:ascii="Times New Roman" w:eastAsia="Times New Roman" w:hAnsi="Times New Roman" w:cs="Times New Roman"/>
          <w:sz w:val="24"/>
          <w:szCs w:val="24"/>
          <w:lang w:eastAsia="hr-HR"/>
        </w:rPr>
        <w:t>uje</w:t>
      </w:r>
      <w:r w:rsidRPr="00961D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Oružanim snagama Republike Hrvatske prilagođavan</w:t>
      </w:r>
      <w:r w:rsidR="00CA7FDC">
        <w:rPr>
          <w:rFonts w:ascii="Times New Roman" w:eastAsia="Times New Roman" w:hAnsi="Times New Roman" w:cs="Times New Roman"/>
          <w:sz w:val="24"/>
          <w:szCs w:val="24"/>
          <w:lang w:eastAsia="hr-HR"/>
        </w:rPr>
        <w:t>je strukturi</w:t>
      </w:r>
      <w:r w:rsidRPr="00961D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upućenih snaga p</w:t>
      </w:r>
      <w:r w:rsidR="00154E66">
        <w:rPr>
          <w:rFonts w:ascii="Times New Roman" w:eastAsia="Times New Roman" w:hAnsi="Times New Roman" w:cs="Times New Roman"/>
          <w:sz w:val="24"/>
          <w:szCs w:val="24"/>
          <w:lang w:eastAsia="hr-HR"/>
        </w:rPr>
        <w:t>onajprije</w:t>
      </w:r>
      <w:r w:rsidRPr="00961D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radi razvoja vlastitih sposobnosti, ali i potreba saveznika u procesu ukupne prilagodbe multinacionalnih borbenih skupina NATO-a koja će se provesti u </w:t>
      </w:r>
      <w:r w:rsidR="00154E66">
        <w:rPr>
          <w:rFonts w:ascii="Times New Roman" w:eastAsia="Times New Roman" w:hAnsi="Times New Roman" w:cs="Times New Roman"/>
          <w:sz w:val="24"/>
          <w:szCs w:val="24"/>
          <w:lang w:eastAsia="hr-HR"/>
        </w:rPr>
        <w:t>idućem razdoblju</w:t>
      </w:r>
      <w:r w:rsidRPr="00961D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2A6BDFED" w14:textId="743DE372" w:rsidR="00ED28B2" w:rsidRPr="008E2B2C" w:rsidRDefault="00ED28B2" w:rsidP="00972B75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2024. godine za snage u multinacionalnim borbenim skupinama na istoku Saveza </w:t>
      </w:r>
      <w:r w:rsidR="00554711">
        <w:rPr>
          <w:rFonts w:ascii="Times New Roman" w:eastAsia="Times New Roman" w:hAnsi="Times New Roman" w:cs="Times New Roman"/>
          <w:sz w:val="24"/>
          <w:szCs w:val="24"/>
          <w:lang w:eastAsia="hr-HR"/>
        </w:rPr>
        <w:t>uveden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ujednačen naziv – </w:t>
      </w:r>
      <w:r w:rsidRPr="00E058D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NATO Forward Land Forces</w:t>
      </w:r>
      <w:r w:rsidR="004B69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nosno NATO prednje kopnene snage.</w:t>
      </w:r>
    </w:p>
    <w:p w14:paraId="432F0900" w14:textId="599B35A7" w:rsidR="00B8666C" w:rsidRPr="006D240A" w:rsidRDefault="002030B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0A4C9B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redlaže </w:t>
      </w:r>
      <w:r w:rsidR="00B041CE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="000A4C9B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>sudjelovanj</w:t>
      </w:r>
      <w:r w:rsidR="00FC052C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0A4C9B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Oružanih snaga Republike Hrvatske u </w:t>
      </w:r>
      <w:r w:rsidR="00695D09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sklopu aktivnosti </w:t>
      </w:r>
      <w:r w:rsidR="00ED28B2">
        <w:rPr>
          <w:rFonts w:ascii="Times New Roman" w:eastAsia="Times New Roman" w:hAnsi="Times New Roman" w:cs="Times New Roman"/>
          <w:sz w:val="24"/>
          <w:szCs w:val="24"/>
          <w:lang w:eastAsia="hr-HR"/>
        </w:rPr>
        <w:t>NATO prednjih kopnenih snaga</w:t>
      </w:r>
      <w:r w:rsidR="00165FD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0A4C9B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 vodstvom </w:t>
      </w:r>
      <w:r w:rsidR="00294EC8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>Sjedinjenih Američkih Država</w:t>
      </w:r>
      <w:r w:rsidR="002A0EF4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AE3C1D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</w:t>
      </w:r>
      <w:r w:rsidR="002A0EF4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mogućnošću upućivanja do</w:t>
      </w:r>
      <w:r w:rsidR="001346B2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D28B2">
        <w:rPr>
          <w:rFonts w:ascii="Times New Roman" w:eastAsia="Times New Roman" w:hAnsi="Times New Roman" w:cs="Times New Roman"/>
          <w:sz w:val="24"/>
          <w:szCs w:val="24"/>
          <w:lang w:eastAsia="hr-HR"/>
        </w:rPr>
        <w:t>17</w:t>
      </w:r>
      <w:r w:rsidR="002C3553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2A0EF4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pripadnika Oružanih snaga Republike Hrvatske</w:t>
      </w:r>
      <w:r w:rsidR="00993792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E05DC" w:rsidRPr="00012E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borbenim </w:t>
      </w:r>
      <w:r w:rsidR="008E05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oklopnim </w:t>
      </w:r>
      <w:r w:rsidR="008E05DC" w:rsidRPr="00012E25">
        <w:rPr>
          <w:rFonts w:ascii="Times New Roman" w:eastAsia="Times New Roman" w:hAnsi="Times New Roman" w:cs="Times New Roman"/>
          <w:sz w:val="24"/>
          <w:szCs w:val="24"/>
          <w:lang w:eastAsia="hr-HR"/>
        </w:rPr>
        <w:t>vozilima</w:t>
      </w:r>
      <w:r w:rsidR="008E05DC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77115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 mogu biti razmješteni u </w:t>
      </w:r>
      <w:r w:rsidR="00294EC8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Republici Poljskoj</w:t>
      </w:r>
      <w:r w:rsidR="002372BC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D530C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5C345B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>2025. i 2026.</w:t>
      </w:r>
      <w:r w:rsidR="002A0EF4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508FD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3B0A20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>odin</w:t>
      </w:r>
      <w:r w:rsidR="002D530C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3508FD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3B0A20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uz mogućnost rotacije</w:t>
      </w:r>
      <w:r w:rsidR="00695D09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2D354E2E" w14:textId="40009C1B" w:rsidR="005C345B" w:rsidRPr="00DC6550" w:rsidRDefault="005C345B" w:rsidP="00972B7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Predlaže se sudjelovanje Oružanih snaga Republike Hrvatske u sklopu aktivnosti </w:t>
      </w:r>
      <w:r w:rsidR="00165FDA">
        <w:rPr>
          <w:rFonts w:ascii="Times New Roman" w:eastAsia="Times New Roman" w:hAnsi="Times New Roman" w:cs="Times New Roman"/>
          <w:sz w:val="24"/>
          <w:szCs w:val="24"/>
          <w:lang w:eastAsia="hr-HR"/>
        </w:rPr>
        <w:t>NATO prednjih kopnenih snaga,</w:t>
      </w:r>
      <w:r w:rsidR="00165FDA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 vodstvom Savezne Republike Njemačke, s mogućnošću upućivanja do </w:t>
      </w:r>
      <w:r w:rsidR="00BF7821">
        <w:rPr>
          <w:rFonts w:ascii="Times New Roman" w:eastAsia="Times New Roman" w:hAnsi="Times New Roman" w:cs="Times New Roman"/>
          <w:sz w:val="24"/>
          <w:szCs w:val="24"/>
          <w:lang w:eastAsia="hr-HR"/>
        </w:rPr>
        <w:t>120</w:t>
      </w:r>
      <w:r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pripadnika Oružanih snaga Republike Hrvatske  koji mogu biti razmješteni u Republici Litvi u 2025. i 2026. </w:t>
      </w:r>
      <w:r w:rsidR="00B8666C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>odini</w:t>
      </w:r>
      <w:r w:rsidR="00B866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B8666C" w:rsidRPr="00012E25">
        <w:rPr>
          <w:rFonts w:ascii="Times New Roman" w:eastAsia="Times New Roman" w:hAnsi="Times New Roman" w:cs="Times New Roman"/>
          <w:sz w:val="24"/>
          <w:szCs w:val="24"/>
          <w:lang w:eastAsia="hr-HR"/>
        </w:rPr>
        <w:t>uključujući haubičku bitnicu</w:t>
      </w:r>
      <w:r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uz mogućnost rotacije. </w:t>
      </w:r>
    </w:p>
    <w:p w14:paraId="710517B2" w14:textId="54282A35" w:rsidR="005C345B" w:rsidRPr="00DC6550" w:rsidRDefault="005C345B" w:rsidP="00972B7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Predlaže se sudjelovanje Oružanih snaga Republike Hrvatske u sklopu aktivnosti </w:t>
      </w:r>
      <w:r w:rsidR="00165FDA">
        <w:rPr>
          <w:rFonts w:ascii="Times New Roman" w:eastAsia="Times New Roman" w:hAnsi="Times New Roman" w:cs="Times New Roman"/>
          <w:sz w:val="24"/>
          <w:szCs w:val="24"/>
          <w:lang w:eastAsia="hr-HR"/>
        </w:rPr>
        <w:t>NATO prednjih kopnenih snaga,</w:t>
      </w:r>
      <w:r w:rsidR="00165FDA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>pod vodstvom Mađarske, s mogućnošću upućivanja do 2</w:t>
      </w:r>
      <w:r w:rsidR="00ED28B2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 pripadnika Oružanih snaga Republike Hrvatske koji mogu biti razmješteni u Mađarskoj u 2025. i 2026. godini, uz mogućnost rotacije. </w:t>
      </w:r>
      <w:r w:rsidR="006C6E7A" w:rsidRPr="006C6E7A">
        <w:rPr>
          <w:rFonts w:ascii="Times New Roman" w:eastAsia="Times New Roman" w:hAnsi="Times New Roman" w:cs="Times New Roman"/>
          <w:sz w:val="24"/>
          <w:szCs w:val="24"/>
          <w:lang w:eastAsia="hr-HR"/>
        </w:rPr>
        <w:t>Povećanje broja pripadnika predlaže se kako bi se omogućilo</w:t>
      </w:r>
      <w:r w:rsidR="006C6E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povremeno slanje pješačke satnije u sastav borbene skupine </w:t>
      </w:r>
      <w:r w:rsidR="00F46329">
        <w:rPr>
          <w:rFonts w:ascii="Times New Roman" w:eastAsia="Times New Roman" w:hAnsi="Times New Roman" w:cs="Times New Roman"/>
          <w:sz w:val="24"/>
          <w:szCs w:val="24"/>
          <w:lang w:eastAsia="hr-HR"/>
        </w:rPr>
        <w:t>radi</w:t>
      </w:r>
      <w:r w:rsidR="006C6E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uvježbavanj</w:t>
      </w:r>
      <w:r w:rsidR="006D240A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6C6E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integracije snaga.</w:t>
      </w:r>
    </w:p>
    <w:p w14:paraId="6B6AFFD9" w14:textId="23E80EE5" w:rsidR="005C345B" w:rsidRDefault="005C345B" w:rsidP="00972B7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Predlaže se sudjelovanje Oružanih snaga Republike Hrvatske u sklopu aktivnosti </w:t>
      </w:r>
      <w:r w:rsidR="00165FDA">
        <w:rPr>
          <w:rFonts w:ascii="Times New Roman" w:eastAsia="Times New Roman" w:hAnsi="Times New Roman" w:cs="Times New Roman"/>
          <w:sz w:val="24"/>
          <w:szCs w:val="24"/>
          <w:lang w:eastAsia="hr-HR"/>
        </w:rPr>
        <w:t>NATO prednjih kopnenih snaga,</w:t>
      </w:r>
      <w:r w:rsidR="00165FDA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>pod vodstvom Talijanske Republike, s mogućnošću upućivanja do 10 pripadnika Oružanih snaga Republike Hrvatske koji mogu biti razmješteni u Republici Bugarskoj u 2025. i 2026.  godini, uz mogućnost rotacije.</w:t>
      </w:r>
      <w:r w:rsidRPr="008E2B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1E17E69B" w14:textId="72719ED5" w:rsidR="004B6987" w:rsidRDefault="004B6987" w:rsidP="00972B7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Navedeni prijedlog sudjelovanja </w:t>
      </w:r>
      <w:r w:rsidRPr="004B6987">
        <w:rPr>
          <w:rFonts w:ascii="Times New Roman" w:eastAsia="Times New Roman" w:hAnsi="Times New Roman" w:cs="Times New Roman"/>
          <w:sz w:val="24"/>
          <w:szCs w:val="24"/>
          <w:lang w:eastAsia="hr-HR"/>
        </w:rPr>
        <w:t>Oružanih snaga Republike Hrvatske u sklopu aktivnosti NATO prednjih kopnenih snaga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predstavlja kontinuitet dosadašnjeg doprinosa Republike Hrvatske </w:t>
      </w:r>
      <w:r w:rsidR="009C6B48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avezničkim naporima jačanja odvraćanja i obrane, doprinosa sigurnosti na </w:t>
      </w:r>
      <w:r w:rsidR="006D240A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stočnom krilu NATO-a te suradnje </w:t>
      </w:r>
      <w:r w:rsidR="006D24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unutar Saveza </w:t>
      </w:r>
      <w:r w:rsidR="00B8666C">
        <w:rPr>
          <w:rFonts w:ascii="Times New Roman" w:eastAsia="Times New Roman" w:hAnsi="Times New Roman" w:cs="Times New Roman"/>
          <w:sz w:val="24"/>
          <w:szCs w:val="24"/>
          <w:lang w:eastAsia="hr-HR"/>
        </w:rPr>
        <w:t>radi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D47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daljnjeg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jačanja interoperabilnosti.  </w:t>
      </w:r>
    </w:p>
    <w:p w14:paraId="4EE05DF4" w14:textId="6E213D08" w:rsidR="00F15E91" w:rsidRPr="008E2B2C" w:rsidRDefault="00F15E91" w:rsidP="00721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812D1E" w14:textId="77777777" w:rsidR="00541CA8" w:rsidRPr="008E2B2C" w:rsidRDefault="00541CA8" w:rsidP="007217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E2B2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IV.</w:t>
      </w:r>
      <w:r w:rsidRPr="008E2B2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POTREBNA FINANCIJSKA SREDSTVA</w:t>
      </w:r>
    </w:p>
    <w:p w14:paraId="46AC895A" w14:textId="77777777" w:rsidR="00F15E91" w:rsidRDefault="00F15E91" w:rsidP="007217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41E1709" w14:textId="7654AECF" w:rsidR="00F15E91" w:rsidRPr="00F15E91" w:rsidRDefault="006E3BA5" w:rsidP="00972B7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BA5">
        <w:rPr>
          <w:rFonts w:ascii="Times New Roman" w:hAnsi="Times New Roman" w:cs="Times New Roman"/>
          <w:bCs/>
          <w:sz w:val="24"/>
          <w:szCs w:val="24"/>
        </w:rPr>
        <w:t>Potrebna sredstva za provedbu ove Odluke osigurana su na razdjelu i glavi Ministarstva obrane u Državnom proračunu za 2024. godinu i projekcijama za 2025. i 2026. godinu</w:t>
      </w:r>
      <w:r w:rsidR="002030B1">
        <w:rPr>
          <w:rFonts w:ascii="Times New Roman" w:hAnsi="Times New Roman" w:cs="Times New Roman"/>
          <w:bCs/>
          <w:sz w:val="24"/>
          <w:szCs w:val="24"/>
        </w:rPr>
        <w:t>.</w:t>
      </w:r>
    </w:p>
    <w:p w14:paraId="2FA32ACB" w14:textId="77777777" w:rsidR="00CE20BC" w:rsidRDefault="00CE20BC" w:rsidP="00B45B5F">
      <w:pPr>
        <w:rPr>
          <w:bCs/>
        </w:rPr>
      </w:pPr>
    </w:p>
    <w:p w14:paraId="21AD67AB" w14:textId="77777777" w:rsidR="00CE20BC" w:rsidRDefault="00CE20BC" w:rsidP="00B45B5F">
      <w:pPr>
        <w:rPr>
          <w:bCs/>
        </w:rPr>
      </w:pPr>
    </w:p>
    <w:p w14:paraId="146ECE43" w14:textId="77777777" w:rsidR="00CE20BC" w:rsidRDefault="00CE20BC" w:rsidP="00B45B5F">
      <w:pPr>
        <w:rPr>
          <w:bCs/>
        </w:rPr>
      </w:pPr>
    </w:p>
    <w:p w14:paraId="79EB8A39" w14:textId="77777777" w:rsidR="00CE20BC" w:rsidRDefault="00CE20BC" w:rsidP="00B45B5F">
      <w:pPr>
        <w:rPr>
          <w:bCs/>
        </w:rPr>
      </w:pPr>
    </w:p>
    <w:p w14:paraId="7EE1F411" w14:textId="77777777" w:rsidR="00B8666C" w:rsidRDefault="00B8666C" w:rsidP="007217B1">
      <w:pPr>
        <w:spacing w:line="240" w:lineRule="auto"/>
        <w:jc w:val="both"/>
        <w:rPr>
          <w:bCs/>
        </w:rPr>
      </w:pPr>
    </w:p>
    <w:p w14:paraId="21FAA065" w14:textId="77777777" w:rsidR="00554711" w:rsidRDefault="00554711" w:rsidP="00B45B5F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2177C2" w14:textId="32AFE288" w:rsidR="003B28D1" w:rsidRPr="008E2B2C" w:rsidRDefault="003B28D1" w:rsidP="007217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2B2C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54. stavka 2. Zakona o obrani</w:t>
      </w:r>
      <w:r w:rsidR="00E46C2F" w:rsidRPr="008E2B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46C2F" w:rsidRPr="008E2B2C">
        <w:rPr>
          <w:rFonts w:ascii="Times New Roman" w:hAnsi="Times New Roman" w:cs="Times New Roman"/>
          <w:sz w:val="24"/>
          <w:szCs w:val="24"/>
        </w:rPr>
        <w:t>(Narodne novine, br. 73/13, 75/15, 27/16, 110/17 – Odluka Ustavnog s</w:t>
      </w:r>
      <w:r w:rsidR="009424DC">
        <w:rPr>
          <w:rFonts w:ascii="Times New Roman" w:hAnsi="Times New Roman" w:cs="Times New Roman"/>
          <w:sz w:val="24"/>
          <w:szCs w:val="24"/>
        </w:rPr>
        <w:t>uda Republike Hrvatske, 30/18,</w:t>
      </w:r>
      <w:r w:rsidR="00E46C2F" w:rsidRPr="008E2B2C">
        <w:rPr>
          <w:rFonts w:ascii="Times New Roman" w:hAnsi="Times New Roman" w:cs="Times New Roman"/>
          <w:sz w:val="24"/>
          <w:szCs w:val="24"/>
        </w:rPr>
        <w:t xml:space="preserve"> 70/19</w:t>
      </w:r>
      <w:r w:rsidR="009424DC">
        <w:rPr>
          <w:rFonts w:ascii="Times New Roman" w:hAnsi="Times New Roman" w:cs="Times New Roman"/>
          <w:sz w:val="24"/>
          <w:szCs w:val="24"/>
        </w:rPr>
        <w:t xml:space="preserve"> i 155/23</w:t>
      </w:r>
      <w:r w:rsidR="00E46C2F" w:rsidRPr="008E2B2C">
        <w:rPr>
          <w:rFonts w:ascii="Times New Roman" w:hAnsi="Times New Roman" w:cs="Times New Roman"/>
          <w:sz w:val="24"/>
          <w:szCs w:val="24"/>
        </w:rPr>
        <w:t>)</w:t>
      </w:r>
      <w:r w:rsidRPr="008E2B2C">
        <w:rPr>
          <w:rFonts w:ascii="Times New Roman" w:eastAsia="Times New Roman" w:hAnsi="Times New Roman" w:cs="Times New Roman"/>
          <w:sz w:val="24"/>
          <w:szCs w:val="24"/>
          <w:lang w:eastAsia="hr-HR"/>
        </w:rPr>
        <w:t>, na prijedlog Vlade Republike Hrvatske i uz p</w:t>
      </w:r>
      <w:r w:rsidR="004D56BC" w:rsidRPr="008E2B2C">
        <w:rPr>
          <w:rFonts w:ascii="Times New Roman" w:eastAsia="Times New Roman" w:hAnsi="Times New Roman" w:cs="Times New Roman"/>
          <w:sz w:val="24"/>
          <w:szCs w:val="24"/>
          <w:lang w:eastAsia="hr-HR"/>
        </w:rPr>
        <w:t>rethodnu suglasnost Predsjednika</w:t>
      </w:r>
      <w:r w:rsidRPr="008E2B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Republike Hrvatske, Hrvatski sabor </w:t>
      </w:r>
      <w:r w:rsidR="00AE3C1D" w:rsidRPr="008E2B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sjednici _______________ </w:t>
      </w:r>
      <w:r w:rsidRPr="008E2B2C">
        <w:rPr>
          <w:rFonts w:ascii="Times New Roman" w:eastAsia="Times New Roman" w:hAnsi="Times New Roman" w:cs="Times New Roman"/>
          <w:sz w:val="24"/>
          <w:szCs w:val="24"/>
          <w:lang w:eastAsia="hr-HR"/>
        </w:rPr>
        <w:t>donio je</w:t>
      </w:r>
    </w:p>
    <w:p w14:paraId="646D903F" w14:textId="77777777" w:rsidR="002030B1" w:rsidRDefault="002030B1" w:rsidP="007217B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A43B8C5" w14:textId="77777777" w:rsidR="00541CA8" w:rsidRPr="008E2B2C" w:rsidRDefault="00541CA8" w:rsidP="007217B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E2B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D L U K U</w:t>
      </w:r>
    </w:p>
    <w:p w14:paraId="73144F61" w14:textId="77777777" w:rsidR="00C7134B" w:rsidRPr="008E2B2C" w:rsidRDefault="00C7134B" w:rsidP="007217B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5E277E8" w14:textId="77777777" w:rsidR="009C6B48" w:rsidRDefault="00541CA8" w:rsidP="004A2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E2B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SUDJELOVANJU ORUŽANIH SNAGA REPUBLIKE HRVATSKE </w:t>
      </w:r>
    </w:p>
    <w:p w14:paraId="6D363911" w14:textId="2C1EAA4B" w:rsidR="004A257E" w:rsidRPr="00DC6550" w:rsidRDefault="00541CA8" w:rsidP="004A2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E2B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SKLOPU </w:t>
      </w:r>
      <w:r w:rsidR="004A257E" w:rsidRPr="00DC655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AKTIVNOSTI </w:t>
      </w:r>
      <w:r w:rsidR="009C20E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NATO</w:t>
      </w:r>
      <w:r w:rsidR="004A257E" w:rsidRPr="00DC65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PREDNJ</w:t>
      </w:r>
      <w:r w:rsidR="009C20E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IH</w:t>
      </w:r>
      <w:r w:rsidR="004A257E" w:rsidRPr="00DC65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9C20E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KOPNENIH SNAGA</w:t>
      </w:r>
    </w:p>
    <w:p w14:paraId="0AFD9156" w14:textId="77777777" w:rsidR="009848F9" w:rsidRPr="00DC6550" w:rsidRDefault="009848F9" w:rsidP="004F36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CBD4C56" w14:textId="77777777" w:rsidR="00541CA8" w:rsidRPr="00DC6550" w:rsidRDefault="00541CA8" w:rsidP="00721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C65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14:paraId="45264CA5" w14:textId="77777777" w:rsidR="00C7134B" w:rsidRPr="00DC6550" w:rsidRDefault="00C7134B" w:rsidP="00721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5721C4" w14:textId="647DA745" w:rsidR="003B28D1" w:rsidRPr="00012E25" w:rsidRDefault="00541CA8" w:rsidP="007217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6550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8E54E0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sklopu aktivnosti </w:t>
      </w:r>
      <w:r w:rsidR="00FC052C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>NATO</w:t>
      </w:r>
      <w:r w:rsidR="009C20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prednjih kopnenih snaga</w:t>
      </w:r>
      <w:r w:rsidR="00FC052C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5958E3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okviru borbene skupine </w:t>
      </w:r>
      <w:r w:rsidR="003B28D1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 vodstvom </w:t>
      </w:r>
      <w:r w:rsidR="00294EC8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>Sjedinjenih Američkih Država</w:t>
      </w:r>
      <w:r w:rsidR="00680B39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 </w:t>
      </w:r>
      <w:r w:rsidR="00294EC8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Republiku Poljsku</w:t>
      </w:r>
      <w:r w:rsidR="00680B39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253A0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80B39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E3C1D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6A657E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AE3C1D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A657E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2026.</w:t>
      </w:r>
      <w:r w:rsidR="0087097E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A5A72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godini </w:t>
      </w:r>
      <w:r w:rsidR="00CC6D71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>upućuje se</w:t>
      </w:r>
      <w:r w:rsidR="00FB0A38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E3C1D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 </w:t>
      </w:r>
      <w:r w:rsidR="009C20ED">
        <w:rPr>
          <w:rFonts w:ascii="Times New Roman" w:eastAsia="Times New Roman" w:hAnsi="Times New Roman" w:cs="Times New Roman"/>
          <w:sz w:val="24"/>
          <w:szCs w:val="24"/>
          <w:lang w:eastAsia="hr-HR"/>
        </w:rPr>
        <w:t>17</w:t>
      </w:r>
      <w:r w:rsidR="00FA2319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3B28D1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pripadnika Oružanih snaga Republike Hrvatske</w:t>
      </w:r>
      <w:r w:rsidR="00D571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571E7" w:rsidRPr="00012E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borbenim </w:t>
      </w:r>
      <w:r w:rsidR="00B866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oklopnim </w:t>
      </w:r>
      <w:r w:rsidR="00D571E7" w:rsidRPr="00012E25">
        <w:rPr>
          <w:rFonts w:ascii="Times New Roman" w:eastAsia="Times New Roman" w:hAnsi="Times New Roman" w:cs="Times New Roman"/>
          <w:sz w:val="24"/>
          <w:szCs w:val="24"/>
          <w:lang w:eastAsia="hr-HR"/>
        </w:rPr>
        <w:t>vozilima</w:t>
      </w:r>
      <w:r w:rsidR="00DA5A72" w:rsidRPr="00012E2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642680" w:rsidRPr="00012E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508FD" w:rsidRPr="00012E25">
        <w:rPr>
          <w:rFonts w:ascii="Times New Roman" w:eastAsia="Times New Roman" w:hAnsi="Times New Roman" w:cs="Times New Roman"/>
          <w:sz w:val="24"/>
          <w:szCs w:val="24"/>
          <w:lang w:eastAsia="hr-HR"/>
        </w:rPr>
        <w:t>uz mogućnost rotacije</w:t>
      </w:r>
      <w:r w:rsidR="00AC51B3" w:rsidRPr="00012E2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72B7C" w:rsidRPr="00012E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EB75583" w14:textId="77777777" w:rsidR="00C9114C" w:rsidRPr="00012E25" w:rsidRDefault="00C9114C" w:rsidP="007217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585F59" w14:textId="2F77BCC3" w:rsidR="00C9114C" w:rsidRPr="00DC6550" w:rsidRDefault="00C9114C" w:rsidP="009379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2E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sklopu aktivnosti </w:t>
      </w:r>
      <w:r w:rsidR="009C20ED" w:rsidRPr="00012E25">
        <w:rPr>
          <w:rFonts w:ascii="Times New Roman" w:eastAsia="Times New Roman" w:hAnsi="Times New Roman" w:cs="Times New Roman"/>
          <w:sz w:val="24"/>
          <w:szCs w:val="24"/>
          <w:lang w:eastAsia="hr-HR"/>
        </w:rPr>
        <w:t>NATO prednjih kopnenih snaga</w:t>
      </w:r>
      <w:r w:rsidRPr="00012E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 okviru borbene skupine pod vodstvom </w:t>
      </w:r>
      <w:r w:rsidR="00C92237" w:rsidRPr="00012E25">
        <w:rPr>
          <w:rFonts w:ascii="Times New Roman" w:eastAsia="Times New Roman" w:hAnsi="Times New Roman" w:cs="Times New Roman"/>
          <w:sz w:val="24"/>
          <w:szCs w:val="24"/>
          <w:lang w:eastAsia="hr-HR"/>
        </w:rPr>
        <w:t>Savezne Republike Njemačke</w:t>
      </w:r>
      <w:r w:rsidRPr="00012E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 Republiku </w:t>
      </w:r>
      <w:r w:rsidR="00C92237" w:rsidRPr="00012E25">
        <w:rPr>
          <w:rFonts w:ascii="Times New Roman" w:eastAsia="Times New Roman" w:hAnsi="Times New Roman" w:cs="Times New Roman"/>
          <w:sz w:val="24"/>
          <w:szCs w:val="24"/>
          <w:lang w:eastAsia="hr-HR"/>
        </w:rPr>
        <w:t>Litvu</w:t>
      </w:r>
      <w:r w:rsidRPr="00012E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r w:rsidR="00C92237" w:rsidRPr="00012E25">
        <w:rPr>
          <w:rFonts w:ascii="Times New Roman" w:eastAsia="Times New Roman" w:hAnsi="Times New Roman" w:cs="Times New Roman"/>
          <w:sz w:val="24"/>
          <w:szCs w:val="24"/>
          <w:lang w:eastAsia="hr-HR"/>
        </w:rPr>
        <w:t>2025. i 2026</w:t>
      </w:r>
      <w:r w:rsidR="009C6B48" w:rsidRPr="00012E2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C92237" w:rsidRPr="00012E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godini upućuje se do </w:t>
      </w:r>
      <w:r w:rsidR="00BF7821" w:rsidRPr="00012E2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9C20ED" w:rsidRPr="00012E2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BF7821" w:rsidRPr="00012E25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012E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pripadnika Oružanih snaga Republike Hrvatske</w:t>
      </w:r>
      <w:r w:rsidR="00D571E7" w:rsidRPr="00012E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uključujući haubičku bitnicu</w:t>
      </w:r>
      <w:r w:rsidRPr="00012E25">
        <w:rPr>
          <w:rFonts w:ascii="Times New Roman" w:eastAsia="Times New Roman" w:hAnsi="Times New Roman" w:cs="Times New Roman"/>
          <w:sz w:val="24"/>
          <w:szCs w:val="24"/>
          <w:lang w:eastAsia="hr-HR"/>
        </w:rPr>
        <w:t>, uz mogućnost rotacije.</w:t>
      </w:r>
      <w:r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B4ED496" w14:textId="77777777" w:rsidR="00C9114C" w:rsidRPr="00DC6550" w:rsidRDefault="00C9114C" w:rsidP="00C91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3E76F9" w14:textId="332ABAE4" w:rsidR="00C9114C" w:rsidRPr="00DC6550" w:rsidRDefault="00C9114C" w:rsidP="009379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sklopu aktivnosti </w:t>
      </w:r>
      <w:r w:rsidR="009C20ED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>NATO</w:t>
      </w:r>
      <w:r w:rsidR="009C20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prednjih kopnenih snaga</w:t>
      </w:r>
      <w:r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 okviru borbene skupine pod vodstvom </w:t>
      </w:r>
      <w:r w:rsidR="00C92237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>Mađarske</w:t>
      </w:r>
      <w:r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 </w:t>
      </w:r>
      <w:r w:rsidR="00C92237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>Mađarsku</w:t>
      </w:r>
      <w:r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r w:rsidR="00C92237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>2025. i 2026</w:t>
      </w:r>
      <w:r w:rsidR="0093795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C92237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godini upućuje se do 2</w:t>
      </w:r>
      <w:r w:rsidR="009C20ED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C92237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pripadnika Oružanih snaga Republi</w:t>
      </w:r>
      <w:r w:rsidR="006A657E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>ke Hrvatske</w:t>
      </w:r>
      <w:r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uz mogućnost rotacije. </w:t>
      </w:r>
    </w:p>
    <w:p w14:paraId="496731A8" w14:textId="77777777" w:rsidR="00C9114C" w:rsidRPr="00DC6550" w:rsidRDefault="00C9114C" w:rsidP="007217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E8D5F9" w14:textId="2D059F5C" w:rsidR="00C9114C" w:rsidRDefault="00C9114C" w:rsidP="009379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sklopu aktivnosti </w:t>
      </w:r>
      <w:r w:rsidR="009C20ED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>NATO</w:t>
      </w:r>
      <w:r w:rsidR="009C20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prednjih kopnenih snaga</w:t>
      </w:r>
      <w:r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 okviru borbene skupine pod vodstvom </w:t>
      </w:r>
      <w:r w:rsidR="00C92237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>Talijanske Republike</w:t>
      </w:r>
      <w:r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 Republiku </w:t>
      </w:r>
      <w:r w:rsidR="00C92237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>Bugarsku</w:t>
      </w:r>
      <w:r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r w:rsidR="00C92237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>2025. i 2026</w:t>
      </w:r>
      <w:r w:rsidR="0093795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C92237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godini upućuje se do </w:t>
      </w:r>
      <w:r w:rsidR="0093795C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>0 pripadnika Or</w:t>
      </w:r>
      <w:r w:rsidR="00C92237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užanih snaga Republike Hrvatske, </w:t>
      </w:r>
      <w:r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>uz mogućnost rotacije.</w:t>
      </w:r>
      <w:r w:rsidRPr="008E2B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5231EE7" w14:textId="77777777" w:rsidR="009848F9" w:rsidRPr="008E2B2C" w:rsidRDefault="009848F9" w:rsidP="007217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655CB6" w14:textId="77777777" w:rsidR="00541CA8" w:rsidRPr="005958E3" w:rsidRDefault="00541CA8" w:rsidP="00721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958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</w:t>
      </w:r>
    </w:p>
    <w:p w14:paraId="0EA26EF6" w14:textId="77777777" w:rsidR="00C7134B" w:rsidRPr="008E2B2C" w:rsidRDefault="00C7134B" w:rsidP="00721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8799BB" w14:textId="77777777" w:rsidR="00541CA8" w:rsidRPr="008E2B2C" w:rsidRDefault="00541CA8" w:rsidP="007217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ta-IN"/>
        </w:rPr>
      </w:pPr>
      <w:r w:rsidRPr="008E2B2C">
        <w:rPr>
          <w:rFonts w:ascii="Times New Roman" w:eastAsia="Times New Roman" w:hAnsi="Times New Roman" w:cs="Times New Roman"/>
          <w:sz w:val="24"/>
          <w:szCs w:val="24"/>
          <w:lang w:eastAsia="hr-HR" w:bidi="ta-IN"/>
        </w:rPr>
        <w:tab/>
      </w:r>
      <w:r w:rsidR="00987309" w:rsidRPr="008E2B2C">
        <w:rPr>
          <w:rFonts w:ascii="Times New Roman" w:hAnsi="Times New Roman" w:cs="Times New Roman"/>
          <w:sz w:val="24"/>
          <w:szCs w:val="24"/>
        </w:rPr>
        <w:t>Izvješće o sudjelovanju Oružanih snaga Republike Hrvatske u aktivnosti</w:t>
      </w:r>
      <w:r w:rsidR="00331555" w:rsidRPr="008E2B2C">
        <w:rPr>
          <w:rFonts w:ascii="Times New Roman" w:hAnsi="Times New Roman" w:cs="Times New Roman"/>
          <w:sz w:val="24"/>
          <w:szCs w:val="24"/>
        </w:rPr>
        <w:t xml:space="preserve"> </w:t>
      </w:r>
      <w:r w:rsidR="00987309" w:rsidRPr="008E2B2C">
        <w:rPr>
          <w:rFonts w:ascii="Times New Roman" w:hAnsi="Times New Roman" w:cs="Times New Roman"/>
          <w:sz w:val="24"/>
          <w:szCs w:val="24"/>
        </w:rPr>
        <w:t>iz točke I. ove Odluke bit će dio Godišnjeg izvješća o obrani koje Vlada Republike Hrvatske podnosi Hrvatskome saboru.</w:t>
      </w:r>
    </w:p>
    <w:p w14:paraId="774320E9" w14:textId="77777777" w:rsidR="009848F9" w:rsidRDefault="009848F9" w:rsidP="00721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55290EA" w14:textId="77777777" w:rsidR="00541CA8" w:rsidRPr="005958E3" w:rsidRDefault="00541CA8" w:rsidP="00721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958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III.</w:t>
      </w:r>
    </w:p>
    <w:p w14:paraId="2B8E4E08" w14:textId="77777777" w:rsidR="00C05192" w:rsidRPr="005958E3" w:rsidRDefault="00C05192" w:rsidP="00721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D544766" w14:textId="5C1FD825" w:rsidR="00446009" w:rsidRPr="008E2B2C" w:rsidRDefault="00541CA8" w:rsidP="007217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ta-IN"/>
        </w:rPr>
      </w:pPr>
      <w:r w:rsidRPr="008E2B2C">
        <w:rPr>
          <w:rFonts w:ascii="Times New Roman" w:eastAsia="Times New Roman" w:hAnsi="Times New Roman" w:cs="Times New Roman"/>
          <w:sz w:val="24"/>
          <w:szCs w:val="24"/>
          <w:lang w:eastAsia="hr-HR" w:bidi="ta-IN"/>
        </w:rPr>
        <w:t>Ova Odluka stupa na snagu osmoga dana od dana objave u Narodnim novinama.</w:t>
      </w:r>
    </w:p>
    <w:tbl>
      <w:tblPr>
        <w:tblW w:w="9813" w:type="dxa"/>
        <w:tblLook w:val="01E0" w:firstRow="1" w:lastRow="1" w:firstColumn="1" w:lastColumn="1" w:noHBand="0" w:noVBand="0"/>
      </w:tblPr>
      <w:tblGrid>
        <w:gridCol w:w="3392"/>
        <w:gridCol w:w="2953"/>
        <w:gridCol w:w="3468"/>
      </w:tblGrid>
      <w:tr w:rsidR="008E2B2C" w:rsidRPr="008E2B2C" w14:paraId="2200B3F3" w14:textId="77777777" w:rsidTr="00C7134B">
        <w:tc>
          <w:tcPr>
            <w:tcW w:w="3392" w:type="dxa"/>
          </w:tcPr>
          <w:p w14:paraId="7543DA42" w14:textId="77777777" w:rsidR="00C7134B" w:rsidRPr="008E2B2C" w:rsidRDefault="00C7134B" w:rsidP="009848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53" w:type="dxa"/>
          </w:tcPr>
          <w:p w14:paraId="47191DBF" w14:textId="77777777" w:rsidR="00C7134B" w:rsidRPr="008E2B2C" w:rsidRDefault="00C7134B" w:rsidP="0072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468" w:type="dxa"/>
          </w:tcPr>
          <w:p w14:paraId="29970753" w14:textId="77777777" w:rsidR="00C7134B" w:rsidRPr="008E2B2C" w:rsidRDefault="00C7134B" w:rsidP="007217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E2B2C" w:rsidRPr="008E2B2C" w14:paraId="42707031" w14:textId="77777777" w:rsidTr="00C7134B">
        <w:trPr>
          <w:trHeight w:val="875"/>
        </w:trPr>
        <w:tc>
          <w:tcPr>
            <w:tcW w:w="3392" w:type="dxa"/>
          </w:tcPr>
          <w:p w14:paraId="6D7BAB23" w14:textId="27A4E27A" w:rsidR="00C7134B" w:rsidRPr="008E2B2C" w:rsidRDefault="009C6B48" w:rsidP="00721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E2B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KLASA:</w:t>
            </w:r>
          </w:p>
          <w:p w14:paraId="3C616257" w14:textId="77777777" w:rsidR="00C7134B" w:rsidRDefault="00C7134B" w:rsidP="00721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E2B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Zagreb,</w:t>
            </w:r>
          </w:p>
          <w:p w14:paraId="7F066A8F" w14:textId="77777777" w:rsidR="00C7134B" w:rsidRPr="008E2B2C" w:rsidRDefault="00C7134B" w:rsidP="00721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53" w:type="dxa"/>
            <w:vAlign w:val="bottom"/>
            <w:hideMark/>
          </w:tcPr>
          <w:p w14:paraId="612B8B78" w14:textId="77777777" w:rsidR="009848F9" w:rsidRDefault="009848F9" w:rsidP="007217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E926990" w14:textId="77777777" w:rsidR="00C7134B" w:rsidRPr="008E2B2C" w:rsidRDefault="00C7134B" w:rsidP="007217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E2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HRVATSKI SABOR</w:t>
            </w:r>
          </w:p>
        </w:tc>
        <w:tc>
          <w:tcPr>
            <w:tcW w:w="3468" w:type="dxa"/>
          </w:tcPr>
          <w:p w14:paraId="31E89387" w14:textId="77777777" w:rsidR="00C7134B" w:rsidRPr="008E2B2C" w:rsidRDefault="00C7134B" w:rsidP="007217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C7134B" w:rsidRPr="008E2B2C" w14:paraId="6F788C4F" w14:textId="77777777" w:rsidTr="00C7134B">
        <w:trPr>
          <w:trHeight w:val="1279"/>
        </w:trPr>
        <w:tc>
          <w:tcPr>
            <w:tcW w:w="3392" w:type="dxa"/>
          </w:tcPr>
          <w:p w14:paraId="6E8CF2F2" w14:textId="77777777" w:rsidR="00C7134B" w:rsidRPr="008E2B2C" w:rsidRDefault="00C7134B" w:rsidP="007217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53" w:type="dxa"/>
          </w:tcPr>
          <w:p w14:paraId="30512461" w14:textId="77777777" w:rsidR="00C7134B" w:rsidRPr="008E2B2C" w:rsidRDefault="00C7134B" w:rsidP="009848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468" w:type="dxa"/>
            <w:hideMark/>
          </w:tcPr>
          <w:p w14:paraId="33ED5775" w14:textId="77777777" w:rsidR="002030B1" w:rsidRDefault="002030B1" w:rsidP="0072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3410284" w14:textId="77777777" w:rsidR="002030B1" w:rsidRDefault="002030B1" w:rsidP="0072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00A41B7" w14:textId="77777777" w:rsidR="00C7134B" w:rsidRPr="008E2B2C" w:rsidRDefault="00C7134B" w:rsidP="0072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E2B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Predsjednik Hrvatskoga sabora </w:t>
            </w:r>
          </w:p>
          <w:p w14:paraId="0487F96D" w14:textId="77777777" w:rsidR="00C7134B" w:rsidRPr="002030B1" w:rsidRDefault="00C7134B" w:rsidP="0072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0B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Gordan Jandroković </w:t>
            </w:r>
          </w:p>
        </w:tc>
      </w:tr>
    </w:tbl>
    <w:p w14:paraId="7598B5A6" w14:textId="77777777" w:rsidR="002030B1" w:rsidRDefault="002030B1" w:rsidP="007217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483161D" w14:textId="77777777" w:rsidR="004A7CA6" w:rsidRDefault="004A7CA6" w:rsidP="00721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E7D90B8" w14:textId="77777777" w:rsidR="00541CA8" w:rsidRPr="008E2B2C" w:rsidRDefault="00541CA8" w:rsidP="00721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E2B2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B R A Z L O Ž E NJ E</w:t>
      </w:r>
    </w:p>
    <w:p w14:paraId="3225E6F2" w14:textId="77777777" w:rsidR="00541CA8" w:rsidRPr="008E2B2C" w:rsidRDefault="00541CA8" w:rsidP="007217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3198E61" w14:textId="77777777" w:rsidR="002030B1" w:rsidRDefault="002030B1" w:rsidP="007217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14:paraId="7FF4C90A" w14:textId="293053A0" w:rsidR="00C46F5A" w:rsidRDefault="00541CA8" w:rsidP="00C26B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2B2C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Točkom I.</w:t>
      </w:r>
      <w:r w:rsidR="002030B1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ab/>
      </w:r>
      <w:r w:rsidRPr="008E2B2C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o</w:t>
      </w:r>
      <w:r w:rsidRPr="008E2B2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dređuje se da Hrvatski sabor donosi </w:t>
      </w:r>
      <w:r w:rsidR="00FC052C" w:rsidRPr="008E2B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Odluku </w:t>
      </w:r>
      <w:r w:rsidR="006D24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</w:t>
      </w:r>
      <w:r w:rsidR="006D240A" w:rsidRPr="008E2B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sudjelovanju Oružanih snaga Republike Hrvatske u sklopu aktivnosti </w:t>
      </w:r>
      <w:r w:rsidR="006D240A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>NATO</w:t>
      </w:r>
      <w:r w:rsidR="006D24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prednjih kopnenih snaga</w:t>
      </w:r>
      <w:r w:rsidR="006D240A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Republici Poljskoj</w:t>
      </w:r>
      <w:r w:rsidR="006D24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Republici Litvi, </w:t>
      </w:r>
      <w:r w:rsidR="006D240A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>Mađarskoj i Republici Bugarskoj</w:t>
      </w:r>
      <w:r w:rsidR="006D240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0D539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DC655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Pravni </w:t>
      </w:r>
      <w:r w:rsidRPr="00DC6550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>temelj za donošenje Odluke</w:t>
      </w:r>
      <w:r w:rsidRPr="008E2B2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Hrvatskoga sabora je članak 7. stav</w:t>
      </w:r>
      <w:r w:rsidR="005958E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ak 5. Ustava Republike Hrvatske </w:t>
      </w:r>
      <w:r w:rsidRPr="008E2B2C">
        <w:rPr>
          <w:rFonts w:ascii="Times New Roman" w:eastAsia="MS Mincho" w:hAnsi="Times New Roman" w:cs="Times New Roman"/>
          <w:sz w:val="24"/>
          <w:szCs w:val="24"/>
          <w:lang w:eastAsia="ja-JP"/>
        </w:rPr>
        <w:t>koji propisuje da Oružane snage Republike Hrvatske mogu prijeći njezine granice ili djelovati preko njezinih granica na temelju Odluke Hrvatskoga sabora, koju predlaže Vlada Republike Hrvatske, uz p</w:t>
      </w:r>
      <w:r w:rsidR="00B041CE" w:rsidRPr="008E2B2C">
        <w:rPr>
          <w:rFonts w:ascii="Times New Roman" w:eastAsia="MS Mincho" w:hAnsi="Times New Roman" w:cs="Times New Roman"/>
          <w:sz w:val="24"/>
          <w:szCs w:val="24"/>
          <w:lang w:eastAsia="ja-JP"/>
        </w:rPr>
        <w:t>rethodnu suglasnost Predsjednika</w:t>
      </w:r>
      <w:r w:rsidRPr="008E2B2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Republike Hrvatske. Zakon o obrani </w:t>
      </w:r>
      <w:r w:rsidR="005958E3">
        <w:rPr>
          <w:rFonts w:ascii="Times New Roman" w:hAnsi="Times New Roman" w:cs="Times New Roman"/>
          <w:sz w:val="24"/>
          <w:szCs w:val="24"/>
        </w:rPr>
        <w:t>(Narodne novine</w:t>
      </w:r>
      <w:r w:rsidR="00E0573C" w:rsidRPr="008E2B2C">
        <w:rPr>
          <w:rFonts w:ascii="Times New Roman" w:hAnsi="Times New Roman" w:cs="Times New Roman"/>
          <w:sz w:val="24"/>
          <w:szCs w:val="24"/>
        </w:rPr>
        <w:t>, br. 73/13, 75/15, 27/16, 110/17</w:t>
      </w:r>
      <w:r w:rsidR="005958E3">
        <w:rPr>
          <w:rFonts w:ascii="Times New Roman" w:hAnsi="Times New Roman" w:cs="Times New Roman"/>
          <w:sz w:val="24"/>
          <w:szCs w:val="24"/>
        </w:rPr>
        <w:t xml:space="preserve"> </w:t>
      </w:r>
      <w:r w:rsidR="00E0573C" w:rsidRPr="008E2B2C">
        <w:rPr>
          <w:rFonts w:ascii="Times New Roman" w:hAnsi="Times New Roman" w:cs="Times New Roman"/>
          <w:sz w:val="24"/>
          <w:szCs w:val="24"/>
        </w:rPr>
        <w:t>– Odluka Ustavnog suda Republike Hrvatske, 30/18</w:t>
      </w:r>
      <w:r w:rsidR="00034FF4">
        <w:rPr>
          <w:rFonts w:ascii="Times New Roman" w:hAnsi="Times New Roman" w:cs="Times New Roman"/>
          <w:sz w:val="24"/>
          <w:szCs w:val="24"/>
        </w:rPr>
        <w:t>,</w:t>
      </w:r>
      <w:r w:rsidR="00E0573C" w:rsidRPr="008E2B2C">
        <w:rPr>
          <w:rFonts w:ascii="Times New Roman" w:hAnsi="Times New Roman" w:cs="Times New Roman"/>
          <w:sz w:val="24"/>
          <w:szCs w:val="24"/>
        </w:rPr>
        <w:t>70/19</w:t>
      </w:r>
      <w:r w:rsidR="00034FF4">
        <w:rPr>
          <w:rFonts w:ascii="Times New Roman" w:hAnsi="Times New Roman" w:cs="Times New Roman"/>
          <w:sz w:val="24"/>
          <w:szCs w:val="24"/>
        </w:rPr>
        <w:t xml:space="preserve"> i 155/23</w:t>
      </w:r>
      <w:r w:rsidR="00E0573C" w:rsidRPr="008E2B2C">
        <w:rPr>
          <w:rFonts w:ascii="Times New Roman" w:hAnsi="Times New Roman" w:cs="Times New Roman"/>
          <w:sz w:val="24"/>
          <w:szCs w:val="24"/>
        </w:rPr>
        <w:t>)</w:t>
      </w:r>
      <w:r w:rsidRPr="008E2B2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u članku 54. stavku 2. na istovjetan način uređuje ovo područje. </w:t>
      </w:r>
      <w:r w:rsidR="00012E25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>U sklopu aktivnosti NATO</w:t>
      </w:r>
      <w:r w:rsidR="00012E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prednjih kopnenih snaga</w:t>
      </w:r>
      <w:r w:rsidR="00012E25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 okviru borbene skupine pod vodstvom Sjedinjenih Američkih Država, u Republiku Poljsku u 2025. i 2026. godini upućuje se do </w:t>
      </w:r>
      <w:r w:rsidR="00012E25">
        <w:rPr>
          <w:rFonts w:ascii="Times New Roman" w:eastAsia="Times New Roman" w:hAnsi="Times New Roman" w:cs="Times New Roman"/>
          <w:sz w:val="24"/>
          <w:szCs w:val="24"/>
          <w:lang w:eastAsia="hr-HR"/>
        </w:rPr>
        <w:t>17</w:t>
      </w:r>
      <w:r w:rsidR="00012E25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>0 pripadnika Oružanih snaga Republike Hrvatske</w:t>
      </w:r>
      <w:r w:rsidR="00012E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12E25" w:rsidRPr="00012E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borbenim </w:t>
      </w:r>
      <w:r w:rsidR="00B866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oklopnim </w:t>
      </w:r>
      <w:r w:rsidR="00012E25" w:rsidRPr="00012E25">
        <w:rPr>
          <w:rFonts w:ascii="Times New Roman" w:eastAsia="Times New Roman" w:hAnsi="Times New Roman" w:cs="Times New Roman"/>
          <w:sz w:val="24"/>
          <w:szCs w:val="24"/>
          <w:lang w:eastAsia="hr-HR"/>
        </w:rPr>
        <w:t>vozilima, uz mogućnost rotacije. U sklopu aktivnosti NATO prednjih kopnenih snaga, u okviru borbene skupine pod vodstvom Savezne Republike Njemačke, u Republiku Litvu u 2025. i 2026. godini upućuje se do 120 pripadnika Oružanih snaga Republike Hrvatske uključujući haubičku bitnicu, uz mogućnost rotacije.</w:t>
      </w:r>
      <w:r w:rsidR="00B866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12E25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>U sklopu aktivnosti NATO</w:t>
      </w:r>
      <w:r w:rsidR="00012E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prednjih kopnenih snaga</w:t>
      </w:r>
      <w:r w:rsidR="00012E25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>, u okviru borbene skupine pod vodstvom Mađarske, u Mađarsku u 2025. i 2026</w:t>
      </w:r>
      <w:r w:rsidR="00012E2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012E25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godini upućuje se do 2</w:t>
      </w:r>
      <w:r w:rsidR="00012E2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012E25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>0 pripadnika Oružanih snaga Republike Hrvatske, uz mogućnost rotacije. U sklopu aktivnosti NATO</w:t>
      </w:r>
      <w:r w:rsidR="00012E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prednjih kopnenih snaga</w:t>
      </w:r>
      <w:r w:rsidR="00012E25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>, u okviru borbene skupine pod vodstvom Talijanske Republike, u Republiku Bugarsku u 2025. i 2026</w:t>
      </w:r>
      <w:r w:rsidR="00012E2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012E25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godini upućuje se do </w:t>
      </w:r>
      <w:r w:rsidR="00012E2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012E25" w:rsidRPr="00DC6550">
        <w:rPr>
          <w:rFonts w:ascii="Times New Roman" w:eastAsia="Times New Roman" w:hAnsi="Times New Roman" w:cs="Times New Roman"/>
          <w:sz w:val="24"/>
          <w:szCs w:val="24"/>
          <w:lang w:eastAsia="hr-HR"/>
        </w:rPr>
        <w:t>0 pripadnika Oružanih snaga Republike Hrvatske, uz mogućnost rotacije.</w:t>
      </w:r>
      <w:r w:rsidR="00012E25" w:rsidRPr="008E2B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B9186B2" w14:textId="77777777" w:rsidR="00C46F5A" w:rsidRDefault="00C46F5A" w:rsidP="00C26B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D6FDE7" w14:textId="58E93181" w:rsidR="007F56A2" w:rsidRPr="008E2B2C" w:rsidRDefault="00541CA8" w:rsidP="00C26B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8E2B2C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Točkom II.</w:t>
      </w:r>
      <w:r w:rsidRPr="008E2B2C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</w:t>
      </w:r>
      <w:r w:rsidR="002030B1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 w:rsidR="00635175" w:rsidRPr="008E2B2C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utvrđuje </w:t>
      </w:r>
      <w:r w:rsidR="00F65F94" w:rsidRPr="008E2B2C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se</w:t>
      </w:r>
      <w:r w:rsidR="00635175" w:rsidRPr="008E2B2C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da će izvješće o sudjelovanju Oružanih snaga Republike Hrvatske u aktivnosti iz točke I. ove Odluke biti dio Godišnjeg izvješća o obrani koje Vlada Republike Hrvatske podnosi Hrvatskome saboru.</w:t>
      </w:r>
    </w:p>
    <w:p w14:paraId="33D75AFD" w14:textId="77777777" w:rsidR="00642680" w:rsidRPr="008E2B2C" w:rsidRDefault="00642680" w:rsidP="007217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67CA6E1B" w14:textId="77777777" w:rsidR="00541CA8" w:rsidRPr="008E2B2C" w:rsidRDefault="00541CA8" w:rsidP="00245D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2B2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Točkom III.</w:t>
      </w:r>
      <w:r w:rsidRPr="008E2B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30B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67F76" w:rsidRPr="008E2B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određuje </w:t>
      </w:r>
      <w:r w:rsidRPr="008E2B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="00767F76" w:rsidRPr="008E2B2C">
        <w:rPr>
          <w:rFonts w:ascii="Times New Roman" w:eastAsia="Times New Roman" w:hAnsi="Times New Roman" w:cs="Times New Roman"/>
          <w:sz w:val="24"/>
          <w:szCs w:val="24"/>
          <w:lang w:eastAsia="hr-HR"/>
        </w:rPr>
        <w:t>stupanje</w:t>
      </w:r>
      <w:r w:rsidRPr="008E2B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snagu</w:t>
      </w:r>
      <w:r w:rsidR="00767F76" w:rsidRPr="008E2B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ove</w:t>
      </w:r>
      <w:r w:rsidRPr="008E2B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Odluke.</w:t>
      </w:r>
    </w:p>
    <w:p w14:paraId="5BEEE59D" w14:textId="77777777" w:rsidR="00541CA8" w:rsidRPr="008E2B2C" w:rsidRDefault="00541CA8" w:rsidP="007217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6EB8FC6" w14:textId="77777777" w:rsidR="00B439B8" w:rsidRPr="008E2B2C" w:rsidRDefault="00B439B8" w:rsidP="007217B1">
      <w:pPr>
        <w:spacing w:line="240" w:lineRule="auto"/>
      </w:pPr>
    </w:p>
    <w:sectPr w:rsidR="00B439B8" w:rsidRPr="008E2B2C" w:rsidSect="0093795C">
      <w:headerReference w:type="even" r:id="rId9"/>
      <w:footerReference w:type="even" r:id="rId10"/>
      <w:footerReference w:type="default" r:id="rId11"/>
      <w:pgSz w:w="11907" w:h="16839" w:code="9"/>
      <w:pgMar w:top="1418" w:right="1418" w:bottom="1418" w:left="1418" w:header="720" w:footer="720" w:gutter="0"/>
      <w:cols w:space="720"/>
      <w:noEndnote/>
      <w:docGrid w:linePitch="32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AB2A7EF" w16cex:dateUtc="2024-05-12T21:57:00Z"/>
  <w16cex:commentExtensible w16cex:durableId="22788710" w16cex:dateUtc="2024-05-12T22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3C7A5FE" w16cid:durableId="4AB2A7EF"/>
  <w16cid:commentId w16cid:paraId="3631EA63" w16cid:durableId="2278871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5D67B" w14:textId="77777777" w:rsidR="00883B12" w:rsidRDefault="00883B12">
      <w:pPr>
        <w:spacing w:after="0" w:line="240" w:lineRule="auto"/>
      </w:pPr>
      <w:r>
        <w:separator/>
      </w:r>
    </w:p>
  </w:endnote>
  <w:endnote w:type="continuationSeparator" w:id="0">
    <w:p w14:paraId="49BD018F" w14:textId="77777777" w:rsidR="00883B12" w:rsidRDefault="00883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31046" w14:textId="77777777" w:rsidR="000C553F" w:rsidRDefault="000C553F" w:rsidP="00E8037F">
    <w:pPr>
      <w:pStyle w:val="Podnoje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B443056" w14:textId="77777777" w:rsidR="000C553F" w:rsidRDefault="000C553F" w:rsidP="00E8037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9728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185FD1" w14:textId="34C335B7" w:rsidR="000C553F" w:rsidRDefault="000C553F">
        <w:pPr>
          <w:pStyle w:val="Podnoje"/>
          <w:jc w:val="right"/>
        </w:pPr>
        <w:r w:rsidRPr="00C57401">
          <w:rPr>
            <w:rFonts w:ascii="Times New Roman" w:hAnsi="Times New Roman" w:cs="Times New Roman"/>
            <w:sz w:val="24"/>
          </w:rPr>
          <w:fldChar w:fldCharType="begin"/>
        </w:r>
        <w:r w:rsidRPr="00C57401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C57401">
          <w:rPr>
            <w:rFonts w:ascii="Times New Roman" w:hAnsi="Times New Roman" w:cs="Times New Roman"/>
            <w:sz w:val="24"/>
          </w:rPr>
          <w:fldChar w:fldCharType="separate"/>
        </w:r>
        <w:r w:rsidR="0064450D">
          <w:rPr>
            <w:rFonts w:ascii="Times New Roman" w:hAnsi="Times New Roman" w:cs="Times New Roman"/>
            <w:noProof/>
            <w:sz w:val="24"/>
          </w:rPr>
          <w:t>2</w:t>
        </w:r>
        <w:r w:rsidRPr="00C57401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6620D07B" w14:textId="77777777" w:rsidR="000C553F" w:rsidRDefault="000C55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2673E" w14:textId="77777777" w:rsidR="00883B12" w:rsidRDefault="00883B12">
      <w:pPr>
        <w:spacing w:after="0" w:line="240" w:lineRule="auto"/>
      </w:pPr>
      <w:r>
        <w:separator/>
      </w:r>
    </w:p>
  </w:footnote>
  <w:footnote w:type="continuationSeparator" w:id="0">
    <w:p w14:paraId="7F5E8E3F" w14:textId="77777777" w:rsidR="00883B12" w:rsidRDefault="00883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8AF01" w14:textId="77777777" w:rsidR="000C553F" w:rsidRDefault="000C553F" w:rsidP="00E8037F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DBEA6AF" w14:textId="77777777" w:rsidR="000C553F" w:rsidRDefault="000C55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94F56"/>
    <w:multiLevelType w:val="hybridMultilevel"/>
    <w:tmpl w:val="C006438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98F44F9"/>
    <w:multiLevelType w:val="hybridMultilevel"/>
    <w:tmpl w:val="6226D3FA"/>
    <w:lvl w:ilvl="0" w:tplc="041A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CA8"/>
    <w:rsid w:val="00012E25"/>
    <w:rsid w:val="0002015D"/>
    <w:rsid w:val="00022D40"/>
    <w:rsid w:val="0002565F"/>
    <w:rsid w:val="0002600E"/>
    <w:rsid w:val="00034FF4"/>
    <w:rsid w:val="00042204"/>
    <w:rsid w:val="00051FFD"/>
    <w:rsid w:val="00060B96"/>
    <w:rsid w:val="00066E3A"/>
    <w:rsid w:val="00082B57"/>
    <w:rsid w:val="0009103E"/>
    <w:rsid w:val="00091B82"/>
    <w:rsid w:val="0009200B"/>
    <w:rsid w:val="00092C35"/>
    <w:rsid w:val="000936EF"/>
    <w:rsid w:val="000A4C9B"/>
    <w:rsid w:val="000C553F"/>
    <w:rsid w:val="000C6037"/>
    <w:rsid w:val="000D5392"/>
    <w:rsid w:val="000D6737"/>
    <w:rsid w:val="000E469A"/>
    <w:rsid w:val="000E6810"/>
    <w:rsid w:val="000F0C4A"/>
    <w:rsid w:val="000F1E39"/>
    <w:rsid w:val="000F355E"/>
    <w:rsid w:val="001011F2"/>
    <w:rsid w:val="00101E2E"/>
    <w:rsid w:val="00105DBA"/>
    <w:rsid w:val="00106499"/>
    <w:rsid w:val="001072C8"/>
    <w:rsid w:val="001076F4"/>
    <w:rsid w:val="001163A1"/>
    <w:rsid w:val="00124E2E"/>
    <w:rsid w:val="00125ED1"/>
    <w:rsid w:val="001346B2"/>
    <w:rsid w:val="00152A2F"/>
    <w:rsid w:val="00154E66"/>
    <w:rsid w:val="00165FDA"/>
    <w:rsid w:val="0016754D"/>
    <w:rsid w:val="00172662"/>
    <w:rsid w:val="0017356F"/>
    <w:rsid w:val="0018223D"/>
    <w:rsid w:val="0019500F"/>
    <w:rsid w:val="00195EA3"/>
    <w:rsid w:val="001A5118"/>
    <w:rsid w:val="001B3CBA"/>
    <w:rsid w:val="001B66A3"/>
    <w:rsid w:val="001C088D"/>
    <w:rsid w:val="001D4742"/>
    <w:rsid w:val="001D72FD"/>
    <w:rsid w:val="001E1FBC"/>
    <w:rsid w:val="001E634A"/>
    <w:rsid w:val="001E67E2"/>
    <w:rsid w:val="001E6D19"/>
    <w:rsid w:val="001F16E3"/>
    <w:rsid w:val="001F2415"/>
    <w:rsid w:val="001F78F9"/>
    <w:rsid w:val="002030B1"/>
    <w:rsid w:val="00207FE8"/>
    <w:rsid w:val="00216CD8"/>
    <w:rsid w:val="00224641"/>
    <w:rsid w:val="002372BC"/>
    <w:rsid w:val="00244A02"/>
    <w:rsid w:val="00245D1A"/>
    <w:rsid w:val="00246D6A"/>
    <w:rsid w:val="002545F1"/>
    <w:rsid w:val="002657AF"/>
    <w:rsid w:val="00266381"/>
    <w:rsid w:val="0028236F"/>
    <w:rsid w:val="0028249F"/>
    <w:rsid w:val="00282DC5"/>
    <w:rsid w:val="002861BE"/>
    <w:rsid w:val="00294EC8"/>
    <w:rsid w:val="002A0CD7"/>
    <w:rsid w:val="002A0EF4"/>
    <w:rsid w:val="002C3553"/>
    <w:rsid w:val="002D530C"/>
    <w:rsid w:val="00306FC9"/>
    <w:rsid w:val="0031020C"/>
    <w:rsid w:val="00314CD2"/>
    <w:rsid w:val="0031799F"/>
    <w:rsid w:val="0032092A"/>
    <w:rsid w:val="00331555"/>
    <w:rsid w:val="00340815"/>
    <w:rsid w:val="00341DE8"/>
    <w:rsid w:val="003428D8"/>
    <w:rsid w:val="00344D76"/>
    <w:rsid w:val="00345405"/>
    <w:rsid w:val="0034671D"/>
    <w:rsid w:val="003508FD"/>
    <w:rsid w:val="003545E8"/>
    <w:rsid w:val="0036269D"/>
    <w:rsid w:val="00372B42"/>
    <w:rsid w:val="00382BF5"/>
    <w:rsid w:val="00391563"/>
    <w:rsid w:val="003941AF"/>
    <w:rsid w:val="0039716A"/>
    <w:rsid w:val="003A718E"/>
    <w:rsid w:val="003B0A20"/>
    <w:rsid w:val="003B28D1"/>
    <w:rsid w:val="003C36E2"/>
    <w:rsid w:val="003D559C"/>
    <w:rsid w:val="003E018E"/>
    <w:rsid w:val="003F7BB9"/>
    <w:rsid w:val="00401B8F"/>
    <w:rsid w:val="0040517B"/>
    <w:rsid w:val="0040527C"/>
    <w:rsid w:val="004144AA"/>
    <w:rsid w:val="0041547D"/>
    <w:rsid w:val="00415D6F"/>
    <w:rsid w:val="00416F2A"/>
    <w:rsid w:val="00417B5E"/>
    <w:rsid w:val="00422C9D"/>
    <w:rsid w:val="00431F8F"/>
    <w:rsid w:val="00442356"/>
    <w:rsid w:val="004433F6"/>
    <w:rsid w:val="00446009"/>
    <w:rsid w:val="00446497"/>
    <w:rsid w:val="00451211"/>
    <w:rsid w:val="0045159C"/>
    <w:rsid w:val="004528EC"/>
    <w:rsid w:val="00460591"/>
    <w:rsid w:val="00460E51"/>
    <w:rsid w:val="00464162"/>
    <w:rsid w:val="00467800"/>
    <w:rsid w:val="00470FAA"/>
    <w:rsid w:val="00473846"/>
    <w:rsid w:val="00482637"/>
    <w:rsid w:val="004A257E"/>
    <w:rsid w:val="004A7CA6"/>
    <w:rsid w:val="004B6987"/>
    <w:rsid w:val="004C02D3"/>
    <w:rsid w:val="004C2451"/>
    <w:rsid w:val="004D56BC"/>
    <w:rsid w:val="004D755A"/>
    <w:rsid w:val="004E04DB"/>
    <w:rsid w:val="004E0AF0"/>
    <w:rsid w:val="004F2775"/>
    <w:rsid w:val="004F3699"/>
    <w:rsid w:val="0050507A"/>
    <w:rsid w:val="00512C06"/>
    <w:rsid w:val="00513C52"/>
    <w:rsid w:val="00520815"/>
    <w:rsid w:val="0053254C"/>
    <w:rsid w:val="00535EAF"/>
    <w:rsid w:val="0053658C"/>
    <w:rsid w:val="005415F4"/>
    <w:rsid w:val="00541695"/>
    <w:rsid w:val="00541CA8"/>
    <w:rsid w:val="005434A7"/>
    <w:rsid w:val="00554711"/>
    <w:rsid w:val="00562160"/>
    <w:rsid w:val="00571F2C"/>
    <w:rsid w:val="0057494A"/>
    <w:rsid w:val="00575BFB"/>
    <w:rsid w:val="0059152E"/>
    <w:rsid w:val="00591B6E"/>
    <w:rsid w:val="005954D1"/>
    <w:rsid w:val="005958E3"/>
    <w:rsid w:val="005A78F9"/>
    <w:rsid w:val="005B2207"/>
    <w:rsid w:val="005B41EA"/>
    <w:rsid w:val="005C0C98"/>
    <w:rsid w:val="005C11CC"/>
    <w:rsid w:val="005C345B"/>
    <w:rsid w:val="005C3F62"/>
    <w:rsid w:val="005C6634"/>
    <w:rsid w:val="005E5AF8"/>
    <w:rsid w:val="005E7E5A"/>
    <w:rsid w:val="005F694C"/>
    <w:rsid w:val="0060492B"/>
    <w:rsid w:val="0061496A"/>
    <w:rsid w:val="00622D89"/>
    <w:rsid w:val="00635175"/>
    <w:rsid w:val="00642680"/>
    <w:rsid w:val="0064450D"/>
    <w:rsid w:val="0064501C"/>
    <w:rsid w:val="00653C47"/>
    <w:rsid w:val="00662E5F"/>
    <w:rsid w:val="00680B39"/>
    <w:rsid w:val="0069267D"/>
    <w:rsid w:val="006951FA"/>
    <w:rsid w:val="00695D09"/>
    <w:rsid w:val="006973A4"/>
    <w:rsid w:val="006A657E"/>
    <w:rsid w:val="006C0ECD"/>
    <w:rsid w:val="006C3844"/>
    <w:rsid w:val="006C4CD5"/>
    <w:rsid w:val="006C6608"/>
    <w:rsid w:val="006C6E7A"/>
    <w:rsid w:val="006D0365"/>
    <w:rsid w:val="006D23F8"/>
    <w:rsid w:val="006D240A"/>
    <w:rsid w:val="006D4AAF"/>
    <w:rsid w:val="006E105A"/>
    <w:rsid w:val="006E3BA5"/>
    <w:rsid w:val="006E756E"/>
    <w:rsid w:val="006F1B37"/>
    <w:rsid w:val="006F6C42"/>
    <w:rsid w:val="007027BD"/>
    <w:rsid w:val="00702A47"/>
    <w:rsid w:val="007031C3"/>
    <w:rsid w:val="0070413A"/>
    <w:rsid w:val="00712B86"/>
    <w:rsid w:val="0071741A"/>
    <w:rsid w:val="007217B1"/>
    <w:rsid w:val="007230AB"/>
    <w:rsid w:val="007256AB"/>
    <w:rsid w:val="00725F25"/>
    <w:rsid w:val="00727575"/>
    <w:rsid w:val="0073006F"/>
    <w:rsid w:val="00733BF5"/>
    <w:rsid w:val="00754A55"/>
    <w:rsid w:val="007612EB"/>
    <w:rsid w:val="0076418D"/>
    <w:rsid w:val="00767F76"/>
    <w:rsid w:val="00770761"/>
    <w:rsid w:val="00773661"/>
    <w:rsid w:val="007751C2"/>
    <w:rsid w:val="007762BC"/>
    <w:rsid w:val="00782D27"/>
    <w:rsid w:val="007854E3"/>
    <w:rsid w:val="0079200F"/>
    <w:rsid w:val="00797DCF"/>
    <w:rsid w:val="007B23F3"/>
    <w:rsid w:val="007B42D6"/>
    <w:rsid w:val="007C1D2D"/>
    <w:rsid w:val="007C76D2"/>
    <w:rsid w:val="007C7EB6"/>
    <w:rsid w:val="007D1745"/>
    <w:rsid w:val="007D790E"/>
    <w:rsid w:val="007E3E8D"/>
    <w:rsid w:val="007F56A2"/>
    <w:rsid w:val="007F6FF8"/>
    <w:rsid w:val="00803CA8"/>
    <w:rsid w:val="0080650F"/>
    <w:rsid w:val="00806B10"/>
    <w:rsid w:val="008253A0"/>
    <w:rsid w:val="0083181E"/>
    <w:rsid w:val="008323F0"/>
    <w:rsid w:val="00832D08"/>
    <w:rsid w:val="0084543D"/>
    <w:rsid w:val="00855D26"/>
    <w:rsid w:val="00860C42"/>
    <w:rsid w:val="00860EF8"/>
    <w:rsid w:val="00864DFE"/>
    <w:rsid w:val="0087097E"/>
    <w:rsid w:val="00881847"/>
    <w:rsid w:val="00882CFC"/>
    <w:rsid w:val="008838E0"/>
    <w:rsid w:val="00883B12"/>
    <w:rsid w:val="008960EB"/>
    <w:rsid w:val="008A1EDB"/>
    <w:rsid w:val="008A59F7"/>
    <w:rsid w:val="008A6F7A"/>
    <w:rsid w:val="008C06EA"/>
    <w:rsid w:val="008C1933"/>
    <w:rsid w:val="008C5FC6"/>
    <w:rsid w:val="008E05DC"/>
    <w:rsid w:val="008E141A"/>
    <w:rsid w:val="008E151F"/>
    <w:rsid w:val="008E2B2C"/>
    <w:rsid w:val="008E54E0"/>
    <w:rsid w:val="009016B1"/>
    <w:rsid w:val="00902339"/>
    <w:rsid w:val="0091494A"/>
    <w:rsid w:val="00926B01"/>
    <w:rsid w:val="00930515"/>
    <w:rsid w:val="0093258E"/>
    <w:rsid w:val="0093795C"/>
    <w:rsid w:val="009424DC"/>
    <w:rsid w:val="00970C87"/>
    <w:rsid w:val="0097256F"/>
    <w:rsid w:val="00972B75"/>
    <w:rsid w:val="009746A0"/>
    <w:rsid w:val="009800F7"/>
    <w:rsid w:val="009848F9"/>
    <w:rsid w:val="00986C5F"/>
    <w:rsid w:val="00987309"/>
    <w:rsid w:val="00993792"/>
    <w:rsid w:val="009975DC"/>
    <w:rsid w:val="009A3F5D"/>
    <w:rsid w:val="009B0482"/>
    <w:rsid w:val="009B7B6A"/>
    <w:rsid w:val="009C20ED"/>
    <w:rsid w:val="009C22F8"/>
    <w:rsid w:val="009C6B48"/>
    <w:rsid w:val="009D46BC"/>
    <w:rsid w:val="009E08FB"/>
    <w:rsid w:val="009E322F"/>
    <w:rsid w:val="009F3756"/>
    <w:rsid w:val="009F4A52"/>
    <w:rsid w:val="00A01D74"/>
    <w:rsid w:val="00A0468C"/>
    <w:rsid w:val="00A138B9"/>
    <w:rsid w:val="00A14746"/>
    <w:rsid w:val="00A17D63"/>
    <w:rsid w:val="00A214BD"/>
    <w:rsid w:val="00A26483"/>
    <w:rsid w:val="00A27A5C"/>
    <w:rsid w:val="00A324E8"/>
    <w:rsid w:val="00A3554D"/>
    <w:rsid w:val="00A36976"/>
    <w:rsid w:val="00A42AC2"/>
    <w:rsid w:val="00A61F4A"/>
    <w:rsid w:val="00A70227"/>
    <w:rsid w:val="00A747C8"/>
    <w:rsid w:val="00A7579D"/>
    <w:rsid w:val="00A76BFF"/>
    <w:rsid w:val="00A862D3"/>
    <w:rsid w:val="00A920BA"/>
    <w:rsid w:val="00AA1174"/>
    <w:rsid w:val="00AB34D9"/>
    <w:rsid w:val="00AB447D"/>
    <w:rsid w:val="00AC51B3"/>
    <w:rsid w:val="00AC5245"/>
    <w:rsid w:val="00AC5F5C"/>
    <w:rsid w:val="00AD172A"/>
    <w:rsid w:val="00AD1FCB"/>
    <w:rsid w:val="00AE26F3"/>
    <w:rsid w:val="00AE3C1D"/>
    <w:rsid w:val="00AE4D8B"/>
    <w:rsid w:val="00AF2832"/>
    <w:rsid w:val="00AF2D38"/>
    <w:rsid w:val="00B03C4A"/>
    <w:rsid w:val="00B041CE"/>
    <w:rsid w:val="00B04B20"/>
    <w:rsid w:val="00B07339"/>
    <w:rsid w:val="00B12D0E"/>
    <w:rsid w:val="00B13BF3"/>
    <w:rsid w:val="00B208EC"/>
    <w:rsid w:val="00B24184"/>
    <w:rsid w:val="00B24F57"/>
    <w:rsid w:val="00B3345F"/>
    <w:rsid w:val="00B41253"/>
    <w:rsid w:val="00B43445"/>
    <w:rsid w:val="00B439B8"/>
    <w:rsid w:val="00B45B5F"/>
    <w:rsid w:val="00B526DF"/>
    <w:rsid w:val="00B54070"/>
    <w:rsid w:val="00B57B01"/>
    <w:rsid w:val="00B67FD8"/>
    <w:rsid w:val="00B776EA"/>
    <w:rsid w:val="00B80390"/>
    <w:rsid w:val="00B8666C"/>
    <w:rsid w:val="00B900AF"/>
    <w:rsid w:val="00BA3AC6"/>
    <w:rsid w:val="00BB21E3"/>
    <w:rsid w:val="00BC14FE"/>
    <w:rsid w:val="00BC1D7A"/>
    <w:rsid w:val="00BC2182"/>
    <w:rsid w:val="00BC2C6A"/>
    <w:rsid w:val="00BC40EE"/>
    <w:rsid w:val="00BC6993"/>
    <w:rsid w:val="00BD713C"/>
    <w:rsid w:val="00BE63E1"/>
    <w:rsid w:val="00BF7821"/>
    <w:rsid w:val="00C012E6"/>
    <w:rsid w:val="00C02626"/>
    <w:rsid w:val="00C0321F"/>
    <w:rsid w:val="00C05192"/>
    <w:rsid w:val="00C061C7"/>
    <w:rsid w:val="00C06624"/>
    <w:rsid w:val="00C12564"/>
    <w:rsid w:val="00C13080"/>
    <w:rsid w:val="00C26B64"/>
    <w:rsid w:val="00C27FFD"/>
    <w:rsid w:val="00C30DD8"/>
    <w:rsid w:val="00C37A43"/>
    <w:rsid w:val="00C37A8D"/>
    <w:rsid w:val="00C45B66"/>
    <w:rsid w:val="00C464C4"/>
    <w:rsid w:val="00C46F5A"/>
    <w:rsid w:val="00C51D16"/>
    <w:rsid w:val="00C57401"/>
    <w:rsid w:val="00C6571C"/>
    <w:rsid w:val="00C7134B"/>
    <w:rsid w:val="00C76860"/>
    <w:rsid w:val="00C9114C"/>
    <w:rsid w:val="00C92237"/>
    <w:rsid w:val="00C94486"/>
    <w:rsid w:val="00CA7FDC"/>
    <w:rsid w:val="00CB0040"/>
    <w:rsid w:val="00CC1EEB"/>
    <w:rsid w:val="00CC6D71"/>
    <w:rsid w:val="00CD783D"/>
    <w:rsid w:val="00CE20BC"/>
    <w:rsid w:val="00D1755A"/>
    <w:rsid w:val="00D20BD7"/>
    <w:rsid w:val="00D408EE"/>
    <w:rsid w:val="00D5070E"/>
    <w:rsid w:val="00D54D75"/>
    <w:rsid w:val="00D55942"/>
    <w:rsid w:val="00D571E7"/>
    <w:rsid w:val="00D72A65"/>
    <w:rsid w:val="00D73049"/>
    <w:rsid w:val="00D74AA3"/>
    <w:rsid w:val="00D77026"/>
    <w:rsid w:val="00D77115"/>
    <w:rsid w:val="00D87B48"/>
    <w:rsid w:val="00D91861"/>
    <w:rsid w:val="00D94399"/>
    <w:rsid w:val="00D94CB2"/>
    <w:rsid w:val="00DA1445"/>
    <w:rsid w:val="00DA43B9"/>
    <w:rsid w:val="00DA5A72"/>
    <w:rsid w:val="00DA6223"/>
    <w:rsid w:val="00DC151D"/>
    <w:rsid w:val="00DC5F18"/>
    <w:rsid w:val="00DC6550"/>
    <w:rsid w:val="00DE2CC7"/>
    <w:rsid w:val="00DE5072"/>
    <w:rsid w:val="00DF327E"/>
    <w:rsid w:val="00DF6B23"/>
    <w:rsid w:val="00E0573C"/>
    <w:rsid w:val="00E058D0"/>
    <w:rsid w:val="00E05B37"/>
    <w:rsid w:val="00E22C3C"/>
    <w:rsid w:val="00E36B37"/>
    <w:rsid w:val="00E4497B"/>
    <w:rsid w:val="00E46C2F"/>
    <w:rsid w:val="00E52873"/>
    <w:rsid w:val="00E528E3"/>
    <w:rsid w:val="00E66D9E"/>
    <w:rsid w:val="00E71489"/>
    <w:rsid w:val="00E756BB"/>
    <w:rsid w:val="00E773A4"/>
    <w:rsid w:val="00E8037F"/>
    <w:rsid w:val="00E81499"/>
    <w:rsid w:val="00E834BB"/>
    <w:rsid w:val="00E8438D"/>
    <w:rsid w:val="00E91E5F"/>
    <w:rsid w:val="00E9509C"/>
    <w:rsid w:val="00E95C48"/>
    <w:rsid w:val="00EA1DCD"/>
    <w:rsid w:val="00EA5039"/>
    <w:rsid w:val="00EB0C95"/>
    <w:rsid w:val="00EB3704"/>
    <w:rsid w:val="00EB60F2"/>
    <w:rsid w:val="00EB63F8"/>
    <w:rsid w:val="00EC59B3"/>
    <w:rsid w:val="00EC654C"/>
    <w:rsid w:val="00EC7C98"/>
    <w:rsid w:val="00ED1EDA"/>
    <w:rsid w:val="00ED28B2"/>
    <w:rsid w:val="00EE3BA4"/>
    <w:rsid w:val="00EE4AC6"/>
    <w:rsid w:val="00EE6ED6"/>
    <w:rsid w:val="00EE7A66"/>
    <w:rsid w:val="00EF3E13"/>
    <w:rsid w:val="00EF492B"/>
    <w:rsid w:val="00EF7898"/>
    <w:rsid w:val="00F0081F"/>
    <w:rsid w:val="00F10C8D"/>
    <w:rsid w:val="00F12E15"/>
    <w:rsid w:val="00F15E91"/>
    <w:rsid w:val="00F2368C"/>
    <w:rsid w:val="00F27D2B"/>
    <w:rsid w:val="00F3043B"/>
    <w:rsid w:val="00F32124"/>
    <w:rsid w:val="00F4358E"/>
    <w:rsid w:val="00F46329"/>
    <w:rsid w:val="00F61086"/>
    <w:rsid w:val="00F65F94"/>
    <w:rsid w:val="00F72B7C"/>
    <w:rsid w:val="00F7432F"/>
    <w:rsid w:val="00F7599F"/>
    <w:rsid w:val="00F820C8"/>
    <w:rsid w:val="00F85473"/>
    <w:rsid w:val="00F96D77"/>
    <w:rsid w:val="00FA08A8"/>
    <w:rsid w:val="00FA190D"/>
    <w:rsid w:val="00FA2319"/>
    <w:rsid w:val="00FA562B"/>
    <w:rsid w:val="00FB0A38"/>
    <w:rsid w:val="00FB5981"/>
    <w:rsid w:val="00FC052C"/>
    <w:rsid w:val="00FC7FE0"/>
    <w:rsid w:val="00FD2509"/>
    <w:rsid w:val="00FD4150"/>
    <w:rsid w:val="00FE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BCF6"/>
  <w15:docId w15:val="{DFF0271A-FF39-463B-83CB-5135EBFC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qFormat/>
    <w:rsid w:val="00EC59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54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41CA8"/>
  </w:style>
  <w:style w:type="paragraph" w:styleId="Zaglavlje">
    <w:name w:val="header"/>
    <w:basedOn w:val="Normal"/>
    <w:link w:val="ZaglavljeChar"/>
    <w:uiPriority w:val="99"/>
    <w:unhideWhenUsed/>
    <w:rsid w:val="0054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41CA8"/>
  </w:style>
  <w:style w:type="character" w:styleId="Brojstranice">
    <w:name w:val="page number"/>
    <w:rsid w:val="00541CA8"/>
    <w:rPr>
      <w:rFonts w:cs="Times New Roman"/>
    </w:rPr>
  </w:style>
  <w:style w:type="character" w:customStyle="1" w:styleId="st">
    <w:name w:val="st"/>
    <w:basedOn w:val="Zadanifontodlomka"/>
    <w:rsid w:val="00A76BFF"/>
  </w:style>
  <w:style w:type="character" w:styleId="Referencakomentara">
    <w:name w:val="annotation reference"/>
    <w:basedOn w:val="Zadanifontodlomka"/>
    <w:uiPriority w:val="99"/>
    <w:semiHidden/>
    <w:unhideWhenUsed/>
    <w:rsid w:val="00D408E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408E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408E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408E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408EE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D408E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40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08E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E3C1D"/>
    <w:pPr>
      <w:ind w:left="720"/>
      <w:contextualSpacing/>
    </w:pPr>
  </w:style>
  <w:style w:type="paragraph" w:styleId="StandardWeb">
    <w:name w:val="Normal (Web)"/>
    <w:basedOn w:val="Normal"/>
    <w:rsid w:val="00D94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E756B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E756BB"/>
    <w:rPr>
      <w:rFonts w:ascii="Consolas" w:hAnsi="Consolas"/>
      <w:sz w:val="20"/>
      <w:szCs w:val="20"/>
    </w:rPr>
  </w:style>
  <w:style w:type="character" w:customStyle="1" w:styleId="fontstyle01">
    <w:name w:val="fontstyle01"/>
    <w:basedOn w:val="Zadanifontodlomka"/>
    <w:rsid w:val="00460E5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aslov1Char">
    <w:name w:val="Naslov 1 Char"/>
    <w:basedOn w:val="Zadanifontodlomka"/>
    <w:link w:val="Naslov1"/>
    <w:rsid w:val="00EC59B3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9C8CD-A666-4A40-9BFA-690AF633D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2062</Words>
  <Characters>11755</Characters>
  <Application>Microsoft Office Word</Application>
  <DocSecurity>0</DocSecurity>
  <Lines>97</Lines>
  <Paragraphs>27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  <vt:variant>
        <vt:lpstr>Naslov</vt:lpstr>
      </vt:variant>
      <vt:variant>
        <vt:i4>1</vt:i4>
      </vt:variant>
    </vt:vector>
  </HeadingPairs>
  <TitlesOfParts>
    <vt:vector size="6" baseType="lpstr">
      <vt:lpstr/>
      <vt:lpstr>I. 	USTAVNA OSNOVA ZA DONOŠENJE ODLUKE</vt:lpstr>
      <vt:lpstr>    </vt:lpstr>
      <vt:lpstr>    O D L U K U</vt:lpstr>
      <vt:lpstr>    </vt:lpstr>
      <vt:lpstr/>
    </vt:vector>
  </TitlesOfParts>
  <Company>MO i OS RH</Company>
  <LinksUpToDate>false</LinksUpToDate>
  <CharactersWithSpaces>13790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mdundovgalli</dc:creator>
  <cp:lastModifiedBy>Silvija Bartolec</cp:lastModifiedBy>
  <cp:revision>5</cp:revision>
  <cp:lastPrinted>2024-09-13T13:30:00Z</cp:lastPrinted>
  <dcterms:created xsi:type="dcterms:W3CDTF">2024-10-03T07:43:00Z</dcterms:created>
  <dcterms:modified xsi:type="dcterms:W3CDTF">2024-10-03T08:31:00Z</dcterms:modified>
</cp:coreProperties>
</file>