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88AA3" w14:textId="4581B8CD" w:rsidR="00D97C71" w:rsidRPr="00D97C71" w:rsidRDefault="00D97C71" w:rsidP="00D97C71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14:paraId="49EB5B1E" w14:textId="77777777" w:rsidR="00D97C71" w:rsidRPr="00D97C71" w:rsidRDefault="00D97C71" w:rsidP="00D97C71">
      <w:pPr>
        <w:autoSpaceDE w:val="0"/>
        <w:autoSpaceDN w:val="0"/>
        <w:adjustRightInd w:val="0"/>
        <w:jc w:val="both"/>
        <w:rPr>
          <w:b/>
        </w:rPr>
      </w:pPr>
    </w:p>
    <w:p w14:paraId="651367CF" w14:textId="77777777" w:rsidR="00D97C71" w:rsidRPr="00D97C71" w:rsidRDefault="00D97C71" w:rsidP="00D97C71">
      <w:pPr>
        <w:jc w:val="center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D97C7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E78AC75" wp14:editId="367CE89C">
            <wp:extent cx="508000" cy="685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6F34" w14:textId="77777777" w:rsidR="00D97C71" w:rsidRPr="00D97C71" w:rsidRDefault="00D97C71" w:rsidP="00D97C71">
      <w:pPr>
        <w:spacing w:before="60" w:after="1680" w:line="276" w:lineRule="auto"/>
        <w:jc w:val="center"/>
        <w:rPr>
          <w:rFonts w:eastAsiaTheme="minorHAnsi" w:cstheme="minorBidi"/>
          <w:noProof/>
          <w:sz w:val="28"/>
          <w:szCs w:val="22"/>
          <w:lang w:eastAsia="en-US"/>
        </w:rPr>
      </w:pPr>
      <w:r w:rsidRPr="00D97C71">
        <w:rPr>
          <w:rFonts w:eastAsiaTheme="minorHAnsi" w:cstheme="minorBidi"/>
          <w:noProof/>
          <w:sz w:val="28"/>
          <w:szCs w:val="22"/>
          <w:lang w:eastAsia="en-US"/>
        </w:rPr>
        <w:t>VLADA REPUBLIKE HRVATSKE</w:t>
      </w:r>
    </w:p>
    <w:p w14:paraId="0AF0F32A" w14:textId="77777777" w:rsidR="00D97C71" w:rsidRPr="00D97C71" w:rsidRDefault="00D97C71" w:rsidP="00D97C71">
      <w:pPr>
        <w:spacing w:after="2400" w:line="276" w:lineRule="auto"/>
        <w:jc w:val="right"/>
        <w:rPr>
          <w:rFonts w:eastAsiaTheme="minorHAnsi" w:cstheme="minorBidi"/>
          <w:noProof/>
          <w:sz w:val="22"/>
          <w:szCs w:val="22"/>
          <w:lang w:eastAsia="en-US"/>
        </w:rPr>
      </w:pPr>
      <w:bookmarkStart w:id="0" w:name="_GoBack"/>
      <w:bookmarkEnd w:id="0"/>
      <w:r w:rsidRPr="002E5A83">
        <w:rPr>
          <w:rFonts w:eastAsiaTheme="minorHAnsi" w:cstheme="minorBidi"/>
          <w:noProof/>
          <w:lang w:eastAsia="en-US"/>
        </w:rPr>
        <w:t>Zagreb, 3. listopada 2024</w:t>
      </w:r>
      <w:r w:rsidRPr="00D97C71">
        <w:rPr>
          <w:rFonts w:eastAsiaTheme="minorHAnsi" w:cstheme="minorBidi"/>
          <w:noProof/>
          <w:sz w:val="22"/>
          <w:szCs w:val="22"/>
          <w:lang w:eastAsia="en-US"/>
        </w:rPr>
        <w:t>.</w:t>
      </w:r>
    </w:p>
    <w:p w14:paraId="58AD3A7E" w14:textId="77777777" w:rsidR="00D97C71" w:rsidRPr="00D97C71" w:rsidRDefault="00D97C71" w:rsidP="00D97C71">
      <w:pPr>
        <w:spacing w:after="200" w:line="360" w:lineRule="auto"/>
        <w:rPr>
          <w:rFonts w:eastAsiaTheme="minorHAnsi" w:cstheme="minorBidi"/>
          <w:noProof/>
          <w:szCs w:val="22"/>
          <w:lang w:eastAsia="en-US"/>
        </w:rPr>
      </w:pPr>
    </w:p>
    <w:p w14:paraId="08A9E25F" w14:textId="77777777" w:rsidR="00D97C71" w:rsidRPr="00D97C71" w:rsidRDefault="00D97C71" w:rsidP="00D97C71">
      <w:pPr>
        <w:spacing w:line="360" w:lineRule="auto"/>
        <w:rPr>
          <w:rFonts w:eastAsiaTheme="minorHAnsi" w:cstheme="minorBidi"/>
          <w:noProof/>
          <w:sz w:val="22"/>
          <w:szCs w:val="22"/>
          <w:lang w:eastAsia="en-US"/>
        </w:rPr>
        <w:sectPr w:rsidR="00D97C71" w:rsidRPr="00D97C71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97C71" w:rsidRPr="00D97C71" w14:paraId="101AAFFC" w14:textId="77777777" w:rsidTr="00403D08">
        <w:trPr>
          <w:trHeight w:val="6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5E0DE1" w14:textId="77777777" w:rsidR="00D97C71" w:rsidRPr="002E5A83" w:rsidRDefault="00D97C71" w:rsidP="00D97C71">
            <w:pPr>
              <w:widowControl w:val="0"/>
              <w:autoSpaceDE w:val="0"/>
              <w:autoSpaceDN w:val="0"/>
              <w:spacing w:after="200" w:line="360" w:lineRule="auto"/>
              <w:rPr>
                <w:rFonts w:eastAsiaTheme="minorHAnsi" w:cstheme="minorBidi"/>
                <w:noProof/>
                <w:lang w:eastAsia="en-US"/>
              </w:rPr>
            </w:pPr>
            <w:r w:rsidRPr="002E5A83">
              <w:rPr>
                <w:rFonts w:eastAsiaTheme="minorHAnsi" w:cstheme="minorBidi"/>
                <w:b/>
                <w:smallCaps/>
                <w:noProof/>
                <w:lang w:eastAsia="en-US"/>
              </w:rPr>
              <w:t>Predlagatelj</w:t>
            </w:r>
            <w:r w:rsidRPr="002E5A83">
              <w:rPr>
                <w:rFonts w:eastAsiaTheme="minorHAnsi" w:cstheme="minorBidi"/>
                <w:b/>
                <w:noProof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4779DB" w14:textId="77777777" w:rsidR="00D97C71" w:rsidRPr="002E5A83" w:rsidRDefault="00D97C71" w:rsidP="00D97C71">
            <w:pPr>
              <w:widowControl w:val="0"/>
              <w:autoSpaceDE w:val="0"/>
              <w:autoSpaceDN w:val="0"/>
              <w:spacing w:after="200" w:line="360" w:lineRule="auto"/>
              <w:rPr>
                <w:rFonts w:eastAsiaTheme="minorHAnsi" w:cstheme="minorBidi"/>
                <w:noProof/>
                <w:lang w:eastAsia="en-US"/>
              </w:rPr>
            </w:pPr>
            <w:r w:rsidRPr="002E5A83">
              <w:rPr>
                <w:rFonts w:eastAsiaTheme="minorHAnsi" w:cstheme="minorBidi"/>
                <w:noProof/>
                <w:lang w:eastAsia="en-US"/>
              </w:rPr>
              <w:t>Ministarstvo obrane</w:t>
            </w:r>
          </w:p>
        </w:tc>
      </w:tr>
      <w:tr w:rsidR="00D97C71" w:rsidRPr="00D97C71" w14:paraId="2F0C2898" w14:textId="77777777" w:rsidTr="00403D08">
        <w:trPr>
          <w:trHeight w:val="1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ADE1FD3" w14:textId="77777777" w:rsidR="00D97C71" w:rsidRPr="00D97C71" w:rsidRDefault="00D97C71" w:rsidP="00D97C71">
            <w:pPr>
              <w:spacing w:after="200" w:line="360" w:lineRule="auto"/>
              <w:rPr>
                <w:rFonts w:eastAsiaTheme="minorHAnsi" w:cstheme="minorBidi"/>
                <w:noProof/>
                <w:lang w:eastAsia="en-US"/>
              </w:rPr>
            </w:pPr>
            <w:r w:rsidRPr="00D97C71">
              <w:rPr>
                <w:rFonts w:eastAsiaTheme="minorHAnsi" w:cstheme="minorBidi"/>
                <w:b/>
                <w:smallCaps/>
                <w:noProof/>
                <w:sz w:val="22"/>
                <w:szCs w:val="22"/>
                <w:lang w:eastAsia="en-US"/>
              </w:rPr>
              <w:t>Predmet</w:t>
            </w:r>
            <w:r w:rsidRPr="00D97C71">
              <w:rPr>
                <w:rFonts w:eastAsiaTheme="minorHAnsi" w:cstheme="minorBidi"/>
                <w:b/>
                <w:noProof/>
                <w:sz w:val="22"/>
                <w:szCs w:val="22"/>
                <w:lang w:eastAsia="en-US"/>
              </w:rPr>
              <w:t xml:space="preserve">: </w:t>
            </w:r>
          </w:p>
          <w:p w14:paraId="6677D437" w14:textId="77777777" w:rsidR="00D97C71" w:rsidRPr="00D97C71" w:rsidRDefault="00D97C71" w:rsidP="00D97C71">
            <w:pPr>
              <w:widowControl w:val="0"/>
              <w:autoSpaceDE w:val="0"/>
              <w:autoSpaceDN w:val="0"/>
              <w:spacing w:after="200" w:line="360" w:lineRule="auto"/>
              <w:jc w:val="both"/>
              <w:rPr>
                <w:rFonts w:eastAsiaTheme="minorHAnsi" w:cstheme="minorBid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461B9D" w14:textId="21385087" w:rsidR="00D97C71" w:rsidRPr="00D97C71" w:rsidRDefault="00D97C71" w:rsidP="00D97C71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N</w:t>
            </w:r>
            <w:r w:rsidRPr="00D97C71">
              <w:rPr>
                <w:rFonts w:eastAsia="Calibri"/>
                <w:color w:val="000000"/>
                <w:lang w:eastAsia="en-US"/>
              </w:rPr>
              <w:t xml:space="preserve">acrt prijedloga odluke </w:t>
            </w:r>
            <w:r>
              <w:rPr>
                <w:rFonts w:eastAsia="Calibri"/>
                <w:color w:val="000000"/>
                <w:lang w:eastAsia="en-US"/>
              </w:rPr>
              <w:t>o sudjelovanju Oružanih snaga Republike H</w:t>
            </w:r>
            <w:r w:rsidRPr="00D97C71">
              <w:rPr>
                <w:rFonts w:eastAsia="Calibri"/>
                <w:color w:val="000000"/>
                <w:lang w:eastAsia="en-US"/>
              </w:rPr>
              <w:t xml:space="preserve">rvatske u </w:t>
            </w:r>
            <w:r w:rsidRPr="00D97C71">
              <w:rPr>
                <w:rFonts w:eastAsia="Calibri"/>
                <w:bCs/>
                <w:color w:val="000000"/>
                <w:lang w:eastAsia="en-US"/>
              </w:rPr>
              <w:t xml:space="preserve">operaciji potpore miru </w:t>
            </w:r>
            <w:r>
              <w:rPr>
                <w:rFonts w:eastAsia="Calibri"/>
                <w:color w:val="000000"/>
                <w:lang w:eastAsia="en-US"/>
              </w:rPr>
              <w:t>KFOR na K</w:t>
            </w:r>
            <w:r w:rsidRPr="00D97C71">
              <w:rPr>
                <w:rFonts w:eastAsia="Calibri"/>
                <w:color w:val="000000"/>
                <w:lang w:eastAsia="en-US"/>
              </w:rPr>
              <w:t xml:space="preserve">osovu </w:t>
            </w:r>
          </w:p>
          <w:p w14:paraId="1E1537D8" w14:textId="0BD78EDF" w:rsidR="00D97C71" w:rsidRPr="00D97C71" w:rsidRDefault="00D97C71" w:rsidP="00D97C71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Theme="minorHAnsi" w:cstheme="minorBidi"/>
                <w:noProof/>
                <w:lang w:eastAsia="en-US"/>
              </w:rPr>
            </w:pPr>
          </w:p>
        </w:tc>
      </w:tr>
      <w:tr w:rsidR="00D97C71" w:rsidRPr="00D97C71" w14:paraId="6FFC2725" w14:textId="77777777" w:rsidTr="00403D08">
        <w:trPr>
          <w:trHeight w:val="193"/>
        </w:trPr>
        <w:tc>
          <w:tcPr>
            <w:tcW w:w="1951" w:type="dxa"/>
            <w:tcBorders>
              <w:top w:val="single" w:sz="4" w:space="0" w:color="auto"/>
            </w:tcBorders>
          </w:tcPr>
          <w:p w14:paraId="007E21DE" w14:textId="77777777" w:rsidR="00D97C71" w:rsidRPr="00D97C71" w:rsidRDefault="00D97C71" w:rsidP="00D97C71">
            <w:pPr>
              <w:spacing w:after="200" w:line="360" w:lineRule="auto"/>
              <w:rPr>
                <w:rFonts w:eastAsiaTheme="minorHAnsi" w:cstheme="minorBidi"/>
                <w:b/>
                <w:smallCaps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01E6028A" w14:textId="77777777" w:rsidR="00D97C71" w:rsidRPr="00D97C71" w:rsidRDefault="00D97C71" w:rsidP="00D97C71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Theme="minorHAnsi" w:cstheme="minorBidi"/>
                <w:noProof/>
                <w:sz w:val="22"/>
                <w:szCs w:val="22"/>
                <w:lang w:eastAsia="en-US"/>
              </w:rPr>
            </w:pPr>
          </w:p>
        </w:tc>
      </w:tr>
    </w:tbl>
    <w:p w14:paraId="3776B8ED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</w:rPr>
      </w:pPr>
    </w:p>
    <w:p w14:paraId="60A13EC7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24F23A9A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7BBEE568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6573C136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24C82D54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2E7FBAE5" w14:textId="77777777" w:rsidR="00D97C71" w:rsidRPr="00D97C71" w:rsidRDefault="00D97C71" w:rsidP="00D97C71">
      <w:pPr>
        <w:spacing w:after="200" w:line="276" w:lineRule="auto"/>
        <w:rPr>
          <w:rFonts w:eastAsiaTheme="minorHAnsi" w:cstheme="minorBidi"/>
          <w:noProof/>
          <w:sz w:val="22"/>
          <w:szCs w:val="22"/>
          <w:lang w:eastAsia="en-US"/>
        </w:rPr>
      </w:pPr>
    </w:p>
    <w:p w14:paraId="7531B2B0" w14:textId="77777777" w:rsidR="00D97C71" w:rsidRPr="00D97C71" w:rsidRDefault="00D97C71" w:rsidP="00D97C71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</w:p>
    <w:p w14:paraId="0EA0FF6E" w14:textId="77777777" w:rsidR="00D97C71" w:rsidRPr="00D97C71" w:rsidRDefault="00D97C71" w:rsidP="00D97C7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200" w:line="276" w:lineRule="auto"/>
        <w:rPr>
          <w:rFonts w:eastAsiaTheme="minorHAnsi" w:cstheme="minorBidi"/>
          <w:b/>
          <w:i/>
          <w:noProof/>
          <w:color w:val="404040"/>
          <w:spacing w:val="20"/>
          <w:sz w:val="20"/>
          <w:szCs w:val="22"/>
          <w:lang w:eastAsia="en-US"/>
        </w:rPr>
        <w:sectPr w:rsidR="00D97C71" w:rsidRPr="00D97C71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D97C71">
        <w:rPr>
          <w:rFonts w:eastAsiaTheme="minorHAnsi" w:cstheme="minorBidi"/>
          <w:noProof/>
          <w:sz w:val="22"/>
          <w:szCs w:val="22"/>
          <w:lang w:eastAsia="en-US"/>
        </w:rPr>
        <w:t xml:space="preserve">        </w:t>
      </w:r>
      <w:r w:rsidRPr="00D97C71">
        <w:rPr>
          <w:rFonts w:eastAsiaTheme="minorHAnsi" w:cstheme="minorBidi"/>
          <w:noProof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5173CB3E" w14:textId="01321819" w:rsidR="00D97C71" w:rsidRPr="00D97C71" w:rsidRDefault="00D97C71" w:rsidP="00D97C7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VL</w:t>
      </w:r>
      <w:r w:rsidRPr="00D97C71">
        <w:rPr>
          <w:b/>
        </w:rPr>
        <w:t>ADA REPUBLIKE HRVATSKE</w:t>
      </w:r>
    </w:p>
    <w:p w14:paraId="6248F0C6" w14:textId="77777777" w:rsidR="00D97C71" w:rsidRPr="00D97C71" w:rsidRDefault="00D97C71" w:rsidP="00D97C7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2349C14F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5F89C452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33D68B6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25E6EFAD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2785865B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88027FA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78A7044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1501E7BA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05238A57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3F7ECED2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ED1365C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3B1F7317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08F0303" w14:textId="77777777" w:rsidR="00D97C71" w:rsidRPr="00D97C71" w:rsidRDefault="00D97C71" w:rsidP="00D97C71">
      <w:pPr>
        <w:autoSpaceDE w:val="0"/>
        <w:autoSpaceDN w:val="0"/>
        <w:adjustRightInd w:val="0"/>
        <w:rPr>
          <w:b/>
        </w:rPr>
      </w:pPr>
    </w:p>
    <w:p w14:paraId="497352C5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09D0E407" w14:textId="77777777" w:rsidR="00D97C71" w:rsidRDefault="00D97C71" w:rsidP="00D97C71">
      <w:pPr>
        <w:rPr>
          <w:rFonts w:eastAsia="Calibri"/>
          <w:b/>
          <w:color w:val="000000"/>
          <w:lang w:eastAsia="en-US"/>
        </w:rPr>
      </w:pPr>
    </w:p>
    <w:p w14:paraId="2DC88556" w14:textId="77777777" w:rsidR="00D97C71" w:rsidRDefault="00D97C71" w:rsidP="00D97C71">
      <w:pPr>
        <w:ind w:firstLine="708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NACRT </w:t>
      </w:r>
      <w:r w:rsidRPr="005E6CEB">
        <w:rPr>
          <w:rFonts w:eastAsia="Calibri"/>
          <w:b/>
          <w:color w:val="000000"/>
          <w:lang w:eastAsia="en-US"/>
        </w:rPr>
        <w:t>PRIJEDLOG</w:t>
      </w:r>
      <w:r>
        <w:rPr>
          <w:rFonts w:eastAsia="Calibri"/>
          <w:b/>
          <w:color w:val="000000"/>
          <w:lang w:eastAsia="en-US"/>
        </w:rPr>
        <w:t>A</w:t>
      </w:r>
      <w:r w:rsidRPr="005E6CEB">
        <w:rPr>
          <w:rFonts w:eastAsia="Calibri"/>
          <w:b/>
          <w:color w:val="000000"/>
          <w:lang w:eastAsia="en-US"/>
        </w:rPr>
        <w:t xml:space="preserve"> ODLUKE O SUDJELOVANJU ORUŽANIH SNAGA</w:t>
      </w:r>
      <w:r>
        <w:rPr>
          <w:rFonts w:eastAsia="Calibri"/>
          <w:b/>
          <w:color w:val="000000"/>
          <w:lang w:eastAsia="en-US"/>
        </w:rPr>
        <w:t xml:space="preserve"> </w:t>
      </w:r>
      <w:r w:rsidRPr="005E6CEB">
        <w:rPr>
          <w:rFonts w:eastAsia="Calibri"/>
          <w:b/>
          <w:color w:val="000000"/>
          <w:lang w:eastAsia="en-US"/>
        </w:rPr>
        <w:t xml:space="preserve">REPUBLIKE HRVATSKE U </w:t>
      </w:r>
      <w:r w:rsidRPr="005E6CEB">
        <w:rPr>
          <w:rFonts w:eastAsia="Calibri"/>
          <w:b/>
          <w:bCs/>
          <w:color w:val="000000"/>
          <w:lang w:eastAsia="en-US"/>
        </w:rPr>
        <w:t xml:space="preserve">OPERACIJI </w:t>
      </w:r>
      <w:r>
        <w:rPr>
          <w:rFonts w:eastAsia="Calibri"/>
          <w:b/>
          <w:bCs/>
          <w:color w:val="000000"/>
          <w:lang w:eastAsia="en-US"/>
        </w:rPr>
        <w:t>POTPORE MIRU</w:t>
      </w:r>
      <w:r w:rsidRPr="005E6CEB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 xml:space="preserve">KFOR NA KOSOVU </w:t>
      </w:r>
    </w:p>
    <w:p w14:paraId="41C9FFC8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D6660D0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5B9CFE80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30DC66EB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126506DD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8C4F652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72A7DCE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42935C1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C0018DB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2AC69168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1EC50266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06F9BEB4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3615A2FC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71A5BBC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93E325C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21EBF06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20932D96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49489641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00B90F63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568FFF49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0AE8BCAF" w14:textId="77975700" w:rsidR="00D97C71" w:rsidRPr="00D97C71" w:rsidRDefault="00D97C71" w:rsidP="00D97C71">
      <w:pPr>
        <w:autoSpaceDE w:val="0"/>
        <w:autoSpaceDN w:val="0"/>
        <w:adjustRightInd w:val="0"/>
        <w:rPr>
          <w:b/>
        </w:rPr>
      </w:pPr>
    </w:p>
    <w:p w14:paraId="1D9B4950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69583D54" w14:textId="77777777" w:rsidR="00D97C71" w:rsidRPr="00D97C71" w:rsidRDefault="00D97C71" w:rsidP="00D97C71">
      <w:pPr>
        <w:autoSpaceDE w:val="0"/>
        <w:autoSpaceDN w:val="0"/>
        <w:adjustRightInd w:val="0"/>
        <w:jc w:val="center"/>
        <w:rPr>
          <w:b/>
        </w:rPr>
      </w:pPr>
    </w:p>
    <w:p w14:paraId="7935B35A" w14:textId="77777777" w:rsidR="00D97C71" w:rsidRPr="00D97C71" w:rsidRDefault="00D97C71" w:rsidP="00D97C71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  <w:r w:rsidRPr="00D97C71">
        <w:rPr>
          <w:bCs/>
        </w:rPr>
        <w:lastRenderedPageBreak/>
        <w:t>Zagreb, listopad 2024.</w:t>
      </w:r>
    </w:p>
    <w:p w14:paraId="1C2E7CDB" w14:textId="77777777" w:rsidR="00D97C71" w:rsidRPr="00D97C71" w:rsidRDefault="00D97C71" w:rsidP="00D97C71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84C370E" w14:textId="25F5E209" w:rsidR="00D97C71" w:rsidRDefault="00D97C71" w:rsidP="00D97C71">
      <w:pPr>
        <w:rPr>
          <w:b/>
        </w:rPr>
      </w:pPr>
    </w:p>
    <w:p w14:paraId="2205BE19" w14:textId="77777777" w:rsidR="00D97C71" w:rsidRDefault="00D97C71">
      <w:pPr>
        <w:rPr>
          <w:rFonts w:eastAsia="Calibri"/>
          <w:b/>
          <w:color w:val="000000"/>
          <w:lang w:eastAsia="en-US"/>
        </w:rPr>
      </w:pPr>
    </w:p>
    <w:p w14:paraId="65473991" w14:textId="77777777" w:rsidR="00D97C71" w:rsidRDefault="00D97C71" w:rsidP="00A843AD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14:paraId="3E4C4937" w14:textId="080C6440" w:rsidR="00D97C71" w:rsidRDefault="00D97C71">
      <w:pPr>
        <w:rPr>
          <w:rFonts w:eastAsia="Calibri"/>
          <w:b/>
          <w:color w:val="000000"/>
          <w:lang w:eastAsia="en-US"/>
        </w:rPr>
      </w:pPr>
    </w:p>
    <w:p w14:paraId="34E38501" w14:textId="78786875" w:rsidR="00D92A30" w:rsidRDefault="00F17457" w:rsidP="00A843AD">
      <w:pPr>
        <w:ind w:firstLine="708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NACRT</w:t>
      </w:r>
      <w:r w:rsidR="003E51C0">
        <w:rPr>
          <w:rFonts w:eastAsia="Calibri"/>
          <w:b/>
          <w:color w:val="000000"/>
          <w:lang w:eastAsia="en-US"/>
        </w:rPr>
        <w:t xml:space="preserve"> </w:t>
      </w:r>
      <w:r w:rsidR="001C302F" w:rsidRPr="005E6CEB">
        <w:rPr>
          <w:rFonts w:eastAsia="Calibri"/>
          <w:b/>
          <w:color w:val="000000"/>
          <w:lang w:eastAsia="en-US"/>
        </w:rPr>
        <w:t>PRIJEDLOG</w:t>
      </w:r>
      <w:r>
        <w:rPr>
          <w:rFonts w:eastAsia="Calibri"/>
          <w:b/>
          <w:color w:val="000000"/>
          <w:lang w:eastAsia="en-US"/>
        </w:rPr>
        <w:t>A</w:t>
      </w:r>
      <w:r w:rsidR="001C302F" w:rsidRPr="005E6CEB">
        <w:rPr>
          <w:rFonts w:eastAsia="Calibri"/>
          <w:b/>
          <w:color w:val="000000"/>
          <w:lang w:eastAsia="en-US"/>
        </w:rPr>
        <w:t xml:space="preserve"> ODLUKE O SUDJELOVANJU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1C302F" w:rsidRPr="005E6CEB">
        <w:rPr>
          <w:rFonts w:eastAsia="Calibri"/>
          <w:b/>
          <w:color w:val="000000"/>
          <w:lang w:eastAsia="en-US"/>
        </w:rPr>
        <w:t>ORUŽANIH SNAGA</w:t>
      </w:r>
      <w:r w:rsidR="00FD5A69">
        <w:rPr>
          <w:rFonts w:eastAsia="Calibri"/>
          <w:b/>
          <w:color w:val="000000"/>
          <w:lang w:eastAsia="en-US"/>
        </w:rPr>
        <w:t xml:space="preserve"> </w:t>
      </w:r>
      <w:r w:rsidR="001C302F" w:rsidRPr="005E6CEB">
        <w:rPr>
          <w:rFonts w:eastAsia="Calibri"/>
          <w:b/>
          <w:color w:val="000000"/>
          <w:lang w:eastAsia="en-US"/>
        </w:rPr>
        <w:t>REPUBLIKE HRVATSKE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FC5359" w:rsidRPr="005E6CEB">
        <w:rPr>
          <w:rFonts w:eastAsia="Calibri"/>
          <w:b/>
          <w:color w:val="000000"/>
          <w:lang w:eastAsia="en-US"/>
        </w:rPr>
        <w:t xml:space="preserve">U </w:t>
      </w:r>
      <w:r w:rsidR="00445E94" w:rsidRPr="005E6CEB">
        <w:rPr>
          <w:rFonts w:eastAsia="Calibri"/>
          <w:b/>
          <w:bCs/>
          <w:color w:val="000000"/>
          <w:lang w:eastAsia="en-US"/>
        </w:rPr>
        <w:t xml:space="preserve">OPERACIJI </w:t>
      </w:r>
      <w:r w:rsidR="00421A55">
        <w:rPr>
          <w:rFonts w:eastAsia="Calibri"/>
          <w:b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2B2E92">
        <w:rPr>
          <w:rFonts w:eastAsia="Calibri"/>
          <w:b/>
          <w:color w:val="000000"/>
          <w:lang w:eastAsia="en-US"/>
        </w:rPr>
        <w:t>KFOR</w:t>
      </w:r>
      <w:r w:rsidR="00D92A30">
        <w:rPr>
          <w:rFonts w:eastAsia="Calibri"/>
          <w:b/>
          <w:color w:val="000000"/>
          <w:lang w:eastAsia="en-US"/>
        </w:rPr>
        <w:t xml:space="preserve"> </w:t>
      </w:r>
      <w:r w:rsidR="008E1F96">
        <w:rPr>
          <w:rFonts w:eastAsia="Calibri"/>
          <w:b/>
          <w:color w:val="000000"/>
          <w:lang w:eastAsia="en-US"/>
        </w:rPr>
        <w:t xml:space="preserve">NA </w:t>
      </w:r>
      <w:r w:rsidR="00AD46DF">
        <w:rPr>
          <w:rFonts w:eastAsia="Calibri"/>
          <w:b/>
          <w:color w:val="000000"/>
          <w:lang w:eastAsia="en-US"/>
        </w:rPr>
        <w:t>KOSOVU</w:t>
      </w:r>
      <w:r w:rsidR="00D92A30">
        <w:rPr>
          <w:rFonts w:eastAsia="Calibri"/>
          <w:b/>
          <w:color w:val="000000"/>
          <w:lang w:eastAsia="en-US"/>
        </w:rPr>
        <w:t xml:space="preserve"> </w:t>
      </w:r>
    </w:p>
    <w:p w14:paraId="493A3B88" w14:textId="77777777" w:rsidR="003E51C0" w:rsidRDefault="003E51C0" w:rsidP="00AD4488">
      <w:pPr>
        <w:jc w:val="center"/>
        <w:rPr>
          <w:rFonts w:eastAsia="Calibri"/>
          <w:b/>
          <w:color w:val="000000"/>
          <w:lang w:eastAsia="en-US"/>
        </w:rPr>
      </w:pPr>
    </w:p>
    <w:p w14:paraId="153DC51D" w14:textId="1148065A" w:rsidR="00D92A30" w:rsidRPr="005E6CEB" w:rsidRDefault="00D92A30" w:rsidP="003E51C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</w:t>
      </w:r>
    </w:p>
    <w:p w14:paraId="7DBF97FD" w14:textId="77777777" w:rsidR="001C302F" w:rsidRPr="005E6CEB" w:rsidRDefault="001C302F" w:rsidP="00923824">
      <w:pPr>
        <w:pStyle w:val="Naslov1"/>
        <w:keepNext/>
        <w:numPr>
          <w:ilvl w:val="0"/>
          <w:numId w:val="1"/>
        </w:numPr>
        <w:tabs>
          <w:tab w:val="clear" w:pos="1080"/>
          <w:tab w:val="num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1440"/>
        <w:rPr>
          <w:color w:val="000000"/>
          <w:kern w:val="0"/>
          <w:sz w:val="24"/>
          <w:szCs w:val="24"/>
          <w:lang w:eastAsia="en-US"/>
        </w:rPr>
      </w:pPr>
      <w:r w:rsidRPr="005E6CEB">
        <w:rPr>
          <w:color w:val="000000"/>
          <w:kern w:val="0"/>
          <w:sz w:val="24"/>
          <w:szCs w:val="24"/>
          <w:lang w:eastAsia="en-US"/>
        </w:rPr>
        <w:t>USTAVNA OSNOVA</w:t>
      </w:r>
      <w:r w:rsidR="00F03092">
        <w:rPr>
          <w:color w:val="000000"/>
          <w:kern w:val="0"/>
          <w:sz w:val="24"/>
          <w:szCs w:val="24"/>
          <w:lang w:eastAsia="en-US"/>
        </w:rPr>
        <w:t xml:space="preserve"> ZA DONOŠENJE ODLUKE</w:t>
      </w:r>
    </w:p>
    <w:p w14:paraId="3A36B66D" w14:textId="77777777" w:rsidR="00050A7A" w:rsidRPr="005E6CEB" w:rsidRDefault="00050A7A" w:rsidP="00923824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00154A1" w14:textId="77777777" w:rsidR="008B38B7" w:rsidRPr="005E6CEB" w:rsidRDefault="00EC3462" w:rsidP="000122F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6CEB">
        <w:rPr>
          <w:color w:val="000000"/>
        </w:rPr>
        <w:t>Na temelju članka 7. stavka 5. Ustava Republike Hrvatske (Narodne novine, br. 85/10 – pročišćeni tekst i 5/14 – Odluka Ustavnog suda Republike Hrvatske</w:t>
      </w:r>
      <w:r w:rsidR="00D92A30">
        <w:rPr>
          <w:color w:val="000000"/>
        </w:rPr>
        <w:t xml:space="preserve">) </w:t>
      </w:r>
      <w:r w:rsidRPr="005E6CEB">
        <w:rPr>
          <w:color w:val="000000"/>
        </w:rPr>
        <w:t>pokreće se postupak za d</w:t>
      </w:r>
      <w:r w:rsidR="00F03092">
        <w:rPr>
          <w:color w:val="000000"/>
        </w:rPr>
        <w:t>onošenje Odluke o sudjelovanju</w:t>
      </w:r>
      <w:r w:rsidRPr="005E6CEB">
        <w:rPr>
          <w:color w:val="000000"/>
        </w:rPr>
        <w:t xml:space="preserve"> Oružanih snaga Republike Hrvatske u</w:t>
      </w:r>
      <w:r w:rsidR="007F673E">
        <w:rPr>
          <w:color w:val="000000"/>
        </w:rPr>
        <w:t xml:space="preserve"> </w:t>
      </w:r>
      <w:r w:rsidR="00CE67F4" w:rsidRPr="005E6CEB">
        <w:rPr>
          <w:color w:val="000000"/>
        </w:rPr>
        <w:t xml:space="preserve">operaciji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2B2E92">
        <w:rPr>
          <w:color w:val="000000"/>
        </w:rPr>
        <w:t>KFOR</w:t>
      </w:r>
      <w:r w:rsidRPr="005E6CEB">
        <w:rPr>
          <w:color w:val="000000"/>
        </w:rPr>
        <w:t xml:space="preserve"> </w:t>
      </w:r>
      <w:r w:rsidR="008E1F96">
        <w:rPr>
          <w:color w:val="000000"/>
        </w:rPr>
        <w:t xml:space="preserve">na </w:t>
      </w:r>
      <w:r w:rsidR="00AD46DF">
        <w:rPr>
          <w:color w:val="000000"/>
        </w:rPr>
        <w:t>Kosovu</w:t>
      </w:r>
      <w:r w:rsidR="00D92A30">
        <w:rPr>
          <w:color w:val="000000"/>
        </w:rPr>
        <w:t xml:space="preserve"> </w:t>
      </w:r>
      <w:r w:rsidRPr="005E6CEB">
        <w:rPr>
          <w:color w:val="000000"/>
        </w:rPr>
        <w:t>(u daljnjem tekstu Odluka).</w:t>
      </w:r>
    </w:p>
    <w:p w14:paraId="2E1886F2" w14:textId="77777777" w:rsidR="00050A7A" w:rsidRPr="005E6CEB" w:rsidRDefault="00050A7A" w:rsidP="000122FF">
      <w:pPr>
        <w:autoSpaceDE w:val="0"/>
        <w:autoSpaceDN w:val="0"/>
        <w:adjustRightInd w:val="0"/>
        <w:jc w:val="both"/>
        <w:rPr>
          <w:color w:val="000000"/>
        </w:rPr>
      </w:pPr>
    </w:p>
    <w:p w14:paraId="7DFDBF50" w14:textId="77777777" w:rsidR="001C302F" w:rsidRPr="005E6CEB" w:rsidRDefault="001C302F" w:rsidP="000122FF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5E6CEB">
        <w:rPr>
          <w:b/>
          <w:bCs/>
          <w:color w:val="000000"/>
        </w:rPr>
        <w:t>OCJENA DOSADAŠNJEG STANJA</w:t>
      </w:r>
    </w:p>
    <w:p w14:paraId="0AA15242" w14:textId="77777777" w:rsidR="009C242A" w:rsidRPr="005E6CEB" w:rsidRDefault="009C242A" w:rsidP="00BB6E15">
      <w:pPr>
        <w:ind w:firstLine="709"/>
        <w:jc w:val="both"/>
        <w:rPr>
          <w:color w:val="000000"/>
        </w:rPr>
      </w:pPr>
    </w:p>
    <w:p w14:paraId="69DD5A8F" w14:textId="540C1CE8" w:rsidR="00D92A30" w:rsidRDefault="002B2E92" w:rsidP="000122FF">
      <w:pPr>
        <w:spacing w:after="120"/>
        <w:jc w:val="both"/>
      </w:pPr>
      <w:r>
        <w:tab/>
      </w:r>
      <w:r w:rsidR="00D92A30">
        <w:t>O</w:t>
      </w:r>
      <w:r>
        <w:t xml:space="preserve">peracija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>
        <w:t xml:space="preserve">KFOR </w:t>
      </w:r>
      <w:r w:rsidR="008E1F96">
        <w:t xml:space="preserve">na </w:t>
      </w:r>
      <w:r w:rsidR="00212DD6">
        <w:t xml:space="preserve">Kosovu </w:t>
      </w:r>
      <w:r>
        <w:t xml:space="preserve">ima </w:t>
      </w:r>
      <w:r w:rsidR="00104C46">
        <w:t>posebnu važnost</w:t>
      </w:r>
      <w:r>
        <w:t xml:space="preserve"> za Republiku Hrvatsku jer se nalazi</w:t>
      </w:r>
      <w:r w:rsidR="00BE3570">
        <w:t xml:space="preserve"> u </w:t>
      </w:r>
      <w:r w:rsidR="00104C46">
        <w:t>njezinu</w:t>
      </w:r>
      <w:r w:rsidR="00BE3570">
        <w:t xml:space="preserve"> neposrednom susjedstvu</w:t>
      </w:r>
      <w:r w:rsidR="00F64E76">
        <w:t>. S</w:t>
      </w:r>
      <w:r w:rsidR="003E51C0">
        <w:t xml:space="preserve">toga </w:t>
      </w:r>
      <w:r w:rsidR="00BE3570">
        <w:t>eventualna pojava nestabilnosti ili izbijanje</w:t>
      </w:r>
      <w:r w:rsidR="0085433F">
        <w:t xml:space="preserve"> veće sigurnosne </w:t>
      </w:r>
      <w:r w:rsidR="00BE3570">
        <w:t xml:space="preserve">krize može imati </w:t>
      </w:r>
      <w:r>
        <w:t xml:space="preserve">implikacije na stabilnost </w:t>
      </w:r>
      <w:r w:rsidR="00BE3570">
        <w:t>i sigurnost područja jugoistočne Europe</w:t>
      </w:r>
      <w:r>
        <w:t>.</w:t>
      </w:r>
    </w:p>
    <w:p w14:paraId="48FE3D6D" w14:textId="4CB1627D" w:rsidR="00B96846" w:rsidRDefault="002D0E4C" w:rsidP="00703EEB">
      <w:pPr>
        <w:spacing w:after="120"/>
        <w:ind w:firstLine="708"/>
        <w:jc w:val="both"/>
      </w:pPr>
      <w:r>
        <w:t xml:space="preserve">Operacija </w:t>
      </w:r>
      <w:r w:rsidR="00D92A30">
        <w:t xml:space="preserve">KFOR </w:t>
      </w:r>
      <w:r w:rsidR="007F2497">
        <w:t xml:space="preserve">uspostavljena </w:t>
      </w:r>
      <w:r w:rsidR="00D92A30">
        <w:t>je Rezolucijom</w:t>
      </w:r>
      <w:r w:rsidR="002B2E92">
        <w:t xml:space="preserve"> Vijeća sigurnosti Ujedinjenih naroda </w:t>
      </w:r>
      <w:r w:rsidR="00922A33">
        <w:t>1244</w:t>
      </w:r>
      <w:r w:rsidR="00F64E76">
        <w:t>,</w:t>
      </w:r>
      <w:r w:rsidR="00922A33">
        <w:t xml:space="preserve"> od 10. lipnja 1999. te</w:t>
      </w:r>
      <w:r w:rsidR="00216113">
        <w:t xml:space="preserve"> Vojno-tehničkim</w:t>
      </w:r>
      <w:r w:rsidR="002B2E92">
        <w:t xml:space="preserve"> </w:t>
      </w:r>
      <w:r w:rsidR="00216113">
        <w:t>sporazumom</w:t>
      </w:r>
      <w:r w:rsidR="00922A33">
        <w:t xml:space="preserve"> NATO</w:t>
      </w:r>
      <w:r w:rsidR="00806717">
        <w:t>-a</w:t>
      </w:r>
      <w:r w:rsidR="00922A33">
        <w:t xml:space="preserve"> i</w:t>
      </w:r>
      <w:r w:rsidR="002B2E92">
        <w:t xml:space="preserve"> Savezne Republike J</w:t>
      </w:r>
      <w:r w:rsidR="00B37DBF">
        <w:t>ugoslavije i Srbije</w:t>
      </w:r>
      <w:r w:rsidR="002B2E92">
        <w:t xml:space="preserve">. </w:t>
      </w:r>
      <w:r w:rsidR="002B2E92" w:rsidRPr="00F03092">
        <w:t>Operacija KFOR provodi se u sklopu Poglavlja VII. Povelje Ujedinjeni</w:t>
      </w:r>
      <w:r w:rsidR="00922A33" w:rsidRPr="00F03092">
        <w:t>h</w:t>
      </w:r>
      <w:r w:rsidR="002B2E92" w:rsidRPr="00F03092">
        <w:t xml:space="preserve"> </w:t>
      </w:r>
      <w:r w:rsidR="007F673E" w:rsidRPr="00F03092">
        <w:t>n</w:t>
      </w:r>
      <w:r w:rsidR="002B2E92" w:rsidRPr="00F03092">
        <w:t xml:space="preserve">aroda. </w:t>
      </w:r>
      <w:r w:rsidR="002B2E92">
        <w:t>Nakon proglašenja Deklaracije o nezavisnosti Rep</w:t>
      </w:r>
      <w:r w:rsidR="008E1F96">
        <w:t>ublike Kosovo 17. veljače 2008.</w:t>
      </w:r>
      <w:r w:rsidR="002B2E92">
        <w:t xml:space="preserve"> NATO je potvrdio nastava</w:t>
      </w:r>
      <w:r w:rsidR="00D92A30">
        <w:t xml:space="preserve">k operacije </w:t>
      </w:r>
      <w:r w:rsidR="00F03092">
        <w:t xml:space="preserve">u skladu s </w:t>
      </w:r>
      <w:r w:rsidR="00D92A30">
        <w:t>Rezolucijom</w:t>
      </w:r>
      <w:r w:rsidR="00A2406B">
        <w:t xml:space="preserve"> Vijeća sigurnosti Ujedinjenih n</w:t>
      </w:r>
      <w:r w:rsidR="00D92A30">
        <w:t>aroda</w:t>
      </w:r>
      <w:r w:rsidR="00F03092">
        <w:t xml:space="preserve"> 1244</w:t>
      </w:r>
      <w:r w:rsidR="00F64E76">
        <w:t>,</w:t>
      </w:r>
      <w:r w:rsidR="00F03092">
        <w:t xml:space="preserve"> od 10. lipnja 1999</w:t>
      </w:r>
      <w:r w:rsidR="002B2E92">
        <w:t>.</w:t>
      </w:r>
      <w:r w:rsidR="00703EEB">
        <w:t xml:space="preserve"> </w:t>
      </w:r>
      <w:r w:rsidR="00B96846">
        <w:t>Temeljne zadaće operacije KFOR su sprječavanje obnavljanja neprijateljstava, izgradnja sigurnog okružja, uključujući javni red i mir, potpora međunarodnim humanitarnim naporima, osiguravanje provedbe sklopljenih sporazuma te potpora razvoju Kosovskih snaga sigurnosti.</w:t>
      </w:r>
    </w:p>
    <w:p w14:paraId="4D0E2CBE" w14:textId="6FBDCD7D" w:rsidR="00B96846" w:rsidRDefault="00B96846" w:rsidP="00B96846">
      <w:pPr>
        <w:spacing w:after="120"/>
        <w:ind w:firstLine="708"/>
        <w:jc w:val="both"/>
      </w:pPr>
      <w:r>
        <w:lastRenderedPageBreak/>
        <w:t>NATO i operacija KFOR u Republici Kosovu održavaju suradnju s Ujedinjenim narodima, Europskom unijom</w:t>
      </w:r>
      <w:r w:rsidRPr="002B2E92">
        <w:t xml:space="preserve"> </w:t>
      </w:r>
      <w:r>
        <w:t>i drugim međunarodnim čimbenicima, osobito s EULEX-om (</w:t>
      </w:r>
      <w:r w:rsidRPr="0072409C">
        <w:rPr>
          <w:i/>
        </w:rPr>
        <w:t>European Union Rule of Law Mission in Kosovo</w:t>
      </w:r>
      <w:r>
        <w:t xml:space="preserve">). </w:t>
      </w:r>
      <w:r w:rsidR="003E51C0">
        <w:t>P</w:t>
      </w:r>
      <w:r>
        <w:t xml:space="preserve">rimjer suradnje s drugim međunarodnim organizacijama </w:t>
      </w:r>
      <w:r w:rsidR="00D56ABE">
        <w:t>je to što</w:t>
      </w:r>
      <w:r>
        <w:t xml:space="preserve"> NATO osigurava zajedničku stratešku pričuvu za KFOR i za operaciju E</w:t>
      </w:r>
      <w:r w:rsidR="00F64E76">
        <w:t>uropske unije</w:t>
      </w:r>
      <w:r>
        <w:t xml:space="preserve"> ALTHEA u Bosni i Hercegovini. </w:t>
      </w:r>
    </w:p>
    <w:p w14:paraId="71DFF636" w14:textId="5F81331D" w:rsidR="00F178F7" w:rsidRDefault="00D92A30" w:rsidP="00FD5A69">
      <w:pPr>
        <w:spacing w:after="120"/>
        <w:ind w:firstLine="708"/>
        <w:jc w:val="both"/>
      </w:pPr>
      <w:r>
        <w:t>Početkom 2015.</w:t>
      </w:r>
      <w:r w:rsidR="002B2E92">
        <w:t xml:space="preserve"> </w:t>
      </w:r>
      <w:r w:rsidR="0019384E">
        <w:t xml:space="preserve">godine </w:t>
      </w:r>
      <w:r w:rsidR="00806717">
        <w:t xml:space="preserve">NATO </w:t>
      </w:r>
      <w:r w:rsidR="00622221">
        <w:t>je</w:t>
      </w:r>
      <w:r w:rsidR="00B02536">
        <w:t xml:space="preserve"> usvoji</w:t>
      </w:r>
      <w:r w:rsidR="00806717">
        <w:t>o</w:t>
      </w:r>
      <w:r w:rsidR="002B2E92">
        <w:t xml:space="preserve"> koncept </w:t>
      </w:r>
      <w:r w:rsidR="00B02536">
        <w:t xml:space="preserve">prilagodbe veličine </w:t>
      </w:r>
      <w:r w:rsidR="00806717">
        <w:t xml:space="preserve">vojnih </w:t>
      </w:r>
      <w:r w:rsidR="00B02536">
        <w:t xml:space="preserve">snaga u okviru operacije KFOR </w:t>
      </w:r>
      <w:r w:rsidR="002B2E92">
        <w:t xml:space="preserve">koji se temelji na prosudbi </w:t>
      </w:r>
      <w:r w:rsidR="00622221">
        <w:t>situacije na terenu</w:t>
      </w:r>
      <w:r w:rsidR="002B2E92">
        <w:t xml:space="preserve">. </w:t>
      </w:r>
      <w:r w:rsidR="000A60FA">
        <w:t>Ovakav pristup omogućuje</w:t>
      </w:r>
      <w:r w:rsidR="00622221">
        <w:t xml:space="preserve"> da se veličina snaga</w:t>
      </w:r>
      <w:r w:rsidR="002B2E92">
        <w:t xml:space="preserve"> </w:t>
      </w:r>
      <w:r w:rsidR="00622221">
        <w:t xml:space="preserve">prilagođava </w:t>
      </w:r>
      <w:r>
        <w:t>u skladu sa sigurnosnom</w:t>
      </w:r>
      <w:r w:rsidR="002B2E92">
        <w:t xml:space="preserve"> prosudb</w:t>
      </w:r>
      <w:r>
        <w:t>om</w:t>
      </w:r>
      <w:r w:rsidR="0014100D" w:rsidRPr="0014100D">
        <w:t xml:space="preserve"> </w:t>
      </w:r>
      <w:r w:rsidR="0014100D">
        <w:t>čime je napušteno</w:t>
      </w:r>
      <w:r w:rsidR="00840A38">
        <w:t xml:space="preserve"> dotadašnje</w:t>
      </w:r>
      <w:r w:rsidR="0014100D">
        <w:t xml:space="preserve"> načelo kalendarskog pristupa, kojim su faze određivane</w:t>
      </w:r>
      <w:r w:rsidR="00F64E76">
        <w:t xml:space="preserve"> točnim</w:t>
      </w:r>
      <w:r w:rsidR="0014100D">
        <w:t xml:space="preserve"> datumima</w:t>
      </w:r>
      <w:r w:rsidR="002B2E92">
        <w:t xml:space="preserve">. </w:t>
      </w:r>
      <w:r w:rsidR="0014100D">
        <w:t>Tranzicija operacije ovisi o preporukama zapovjednika operacije,</w:t>
      </w:r>
      <w:r w:rsidR="00BE3570">
        <w:t xml:space="preserve"> </w:t>
      </w:r>
      <w:r w:rsidR="0014100D">
        <w:t>a temelji se na sigurnosnoj situaciji na terenu.</w:t>
      </w:r>
      <w:r w:rsidR="00CD7C18">
        <w:t xml:space="preserve"> </w:t>
      </w:r>
      <w:r w:rsidR="00F178F7">
        <w:t>U skladu s time</w:t>
      </w:r>
      <w:r w:rsidR="00CD7C18">
        <w:t>,</w:t>
      </w:r>
      <w:r w:rsidR="00AD46DF">
        <w:t xml:space="preserve"> NATO je postupno prilagođavao strukturu KFOR</w:t>
      </w:r>
      <w:r w:rsidR="008E1F96">
        <w:t>-a</w:t>
      </w:r>
      <w:r w:rsidR="00AD46DF">
        <w:t xml:space="preserve"> prema manjim i fleksibilnijim snagama s manje stacionarnih zadaća. O prilagodbi strukture KFOR-a odlučuje Sjevernoatlantsko vijeće (</w:t>
      </w:r>
      <w:r w:rsidR="00AD46DF" w:rsidRPr="0072409C">
        <w:rPr>
          <w:i/>
        </w:rPr>
        <w:t>North Atlantic Council</w:t>
      </w:r>
      <w:r w:rsidR="00260073">
        <w:rPr>
          <w:i/>
        </w:rPr>
        <w:t xml:space="preserve"> </w:t>
      </w:r>
      <w:r w:rsidR="0019384E">
        <w:t>–</w:t>
      </w:r>
      <w:r w:rsidR="00260073" w:rsidRPr="00260073">
        <w:t xml:space="preserve"> NAC</w:t>
      </w:r>
      <w:r w:rsidR="00AD46DF">
        <w:t xml:space="preserve">), dok je operaciji nadređeno </w:t>
      </w:r>
      <w:r w:rsidR="00497CCD">
        <w:t>savezničko</w:t>
      </w:r>
      <w:r w:rsidR="00AD46DF">
        <w:t xml:space="preserve"> Združeno zapov</w:t>
      </w:r>
      <w:r w:rsidR="008E1F96">
        <w:t>jedništvo snaga u Napulju</w:t>
      </w:r>
      <w:r w:rsidR="00B96846">
        <w:t>, Talijanska Republika</w:t>
      </w:r>
      <w:r w:rsidR="00F178F7">
        <w:t xml:space="preserve"> </w:t>
      </w:r>
      <w:r w:rsidR="008E1F96">
        <w:t>(</w:t>
      </w:r>
      <w:r w:rsidR="00AD46DF" w:rsidRPr="0072409C">
        <w:rPr>
          <w:i/>
        </w:rPr>
        <w:t>Joint Force Command Naples</w:t>
      </w:r>
      <w:r w:rsidR="00260073">
        <w:t xml:space="preserve"> </w:t>
      </w:r>
      <w:r w:rsidR="0019384E">
        <w:t>–</w:t>
      </w:r>
      <w:r w:rsidR="00260073">
        <w:t xml:space="preserve"> JFCNP</w:t>
      </w:r>
      <w:r w:rsidR="00AD46DF">
        <w:t>)</w:t>
      </w:r>
      <w:r w:rsidR="00CD7C18">
        <w:t xml:space="preserve">. </w:t>
      </w:r>
    </w:p>
    <w:p w14:paraId="07733CED" w14:textId="3C226851" w:rsidR="00BC25E7" w:rsidRDefault="00BC25E7" w:rsidP="00CD7C18">
      <w:pPr>
        <w:spacing w:after="120"/>
        <w:ind w:firstLine="708"/>
        <w:jc w:val="both"/>
      </w:pPr>
      <w:r>
        <w:t>Snage koje se nalaze u području operacije mogu se u slučaju potrebe ojačati operativ</w:t>
      </w:r>
      <w:r w:rsidR="00A653F8">
        <w:t>no</w:t>
      </w:r>
      <w:r w:rsidR="00825FC1">
        <w:t>m i strateškom pričuvom koja se može rasporediti</w:t>
      </w:r>
      <w:r w:rsidR="00B96846">
        <w:t xml:space="preserve"> u područje operacije</w:t>
      </w:r>
      <w:r w:rsidR="00F178F7">
        <w:t xml:space="preserve"> </w:t>
      </w:r>
      <w:r w:rsidR="00825FC1">
        <w:t>u vrlo kratkom vremenu. Ta se sposobnost periodički uvježbava</w:t>
      </w:r>
      <w:r w:rsidR="00F178F7">
        <w:t>,</w:t>
      </w:r>
      <w:r w:rsidR="00825FC1">
        <w:t xml:space="preserve"> a primijenjena je nakon terorističkog napada u Banjskoj </w:t>
      </w:r>
      <w:r w:rsidR="004B639E">
        <w:t xml:space="preserve">u rujnu 2023. nakon kojeg su na Kosovo privremeno raspoređene dodatne </w:t>
      </w:r>
      <w:r w:rsidR="00B96846">
        <w:t xml:space="preserve">savezničke </w:t>
      </w:r>
      <w:r w:rsidR="004B639E">
        <w:t>snage.</w:t>
      </w:r>
    </w:p>
    <w:p w14:paraId="04270EBD" w14:textId="37680ABE" w:rsidR="00AD46DF" w:rsidRDefault="00AD46DF" w:rsidP="00AD46DF">
      <w:pPr>
        <w:spacing w:after="120"/>
        <w:ind w:firstLine="708"/>
        <w:jc w:val="both"/>
      </w:pPr>
      <w:r>
        <w:t xml:space="preserve">Budući da je </w:t>
      </w:r>
      <w:r w:rsidRPr="00465ACE">
        <w:t>Zapovjedni</w:t>
      </w:r>
      <w:r>
        <w:t>štvo</w:t>
      </w:r>
      <w:r w:rsidRPr="00465ACE">
        <w:t xml:space="preserve"> operacije KFOR</w:t>
      </w:r>
      <w:r>
        <w:t xml:space="preserve"> putem nadređenog Savezničkog zapovjedništva za operacije učestalo izvještavalo saveznice o potrebi odgovarajuće </w:t>
      </w:r>
      <w:r w:rsidR="00B96846">
        <w:t xml:space="preserve">razine </w:t>
      </w:r>
      <w:r>
        <w:t xml:space="preserve">popune </w:t>
      </w:r>
      <w:r w:rsidR="00B96846">
        <w:t xml:space="preserve">snaga u </w:t>
      </w:r>
      <w:r>
        <w:t>operacij</w:t>
      </w:r>
      <w:r w:rsidR="00B96846">
        <w:t>i</w:t>
      </w:r>
      <w:r>
        <w:t xml:space="preserve"> KFOR, Republika Hrvatska je 2020. godine odlučila </w:t>
      </w:r>
      <w:r>
        <w:rPr>
          <w:rFonts w:eastAsia="MS Mincho"/>
          <w:lang w:eastAsia="ja-JP"/>
        </w:rPr>
        <w:t>povećati</w:t>
      </w:r>
      <w:r>
        <w:t xml:space="preserve"> hrvatski kontingent u</w:t>
      </w:r>
      <w:r w:rsidRPr="00465ACE">
        <w:t xml:space="preserve"> </w:t>
      </w:r>
      <w:r>
        <w:rPr>
          <w:color w:val="000000"/>
        </w:rPr>
        <w:t>KFOR-u</w:t>
      </w:r>
      <w:r w:rsidRPr="00465ACE">
        <w:t xml:space="preserve"> s do</w:t>
      </w:r>
      <w:r>
        <w:t>t</w:t>
      </w:r>
      <w:r w:rsidRPr="00465ACE">
        <w:t>adašnjih 40 na</w:t>
      </w:r>
      <w:r>
        <w:t xml:space="preserve"> do</w:t>
      </w:r>
      <w:r w:rsidRPr="00465ACE">
        <w:t xml:space="preserve"> 150 pripadnika</w:t>
      </w:r>
      <w:r>
        <w:t xml:space="preserve"> Oružanih snaga Republike Hrvatske s do dva helikoptera Hrvatskoga ratnog zrakoplovstva, uz mogućnost rotacije.</w:t>
      </w:r>
    </w:p>
    <w:p w14:paraId="696D0FC5" w14:textId="58D2DD02" w:rsidR="00AD46DF" w:rsidRDefault="00BB6E15" w:rsidP="00BB6E15">
      <w:pPr>
        <w:ind w:firstLine="708"/>
        <w:jc w:val="both"/>
      </w:pPr>
      <w:r>
        <w:t xml:space="preserve">Prema </w:t>
      </w:r>
      <w:r w:rsidR="002A35FC">
        <w:t>Odlu</w:t>
      </w:r>
      <w:r>
        <w:t>ci</w:t>
      </w:r>
      <w:r w:rsidR="002A35FC">
        <w:t xml:space="preserve"> </w:t>
      </w:r>
      <w:r w:rsidR="008533D1">
        <w:t xml:space="preserve">o sudjelovanju </w:t>
      </w:r>
      <w:r w:rsidR="008533D1" w:rsidRPr="00057FDE">
        <w:t>Oružan</w:t>
      </w:r>
      <w:r w:rsidR="008533D1">
        <w:t>ih</w:t>
      </w:r>
      <w:r w:rsidR="008533D1" w:rsidRPr="00057FDE">
        <w:t xml:space="preserve"> snag</w:t>
      </w:r>
      <w:r w:rsidR="008533D1">
        <w:t xml:space="preserve">a </w:t>
      </w:r>
      <w:r w:rsidR="008533D1" w:rsidRPr="00057FDE">
        <w:t>Republike Hrvatske u operacij</w:t>
      </w:r>
      <w:r w:rsidR="008533D1">
        <w:t>i</w:t>
      </w:r>
      <w:r w:rsidR="008533D1" w:rsidRPr="00057FDE">
        <w:t xml:space="preserve"> potpore miru KFOR na Kosovu </w:t>
      </w:r>
      <w:r w:rsidR="0079298F" w:rsidRPr="00057FDE">
        <w:t>(Narodne novine, br. 1</w:t>
      </w:r>
      <w:r w:rsidR="0079298F">
        <w:t>18</w:t>
      </w:r>
      <w:r w:rsidR="0079298F" w:rsidRPr="00057FDE">
        <w:t>/2</w:t>
      </w:r>
      <w:r w:rsidR="0079298F">
        <w:t>2</w:t>
      </w:r>
      <w:r w:rsidR="0079298F" w:rsidRPr="00057FDE">
        <w:t>)</w:t>
      </w:r>
      <w:r w:rsidR="00703EEB">
        <w:t xml:space="preserve">, </w:t>
      </w:r>
      <w:r w:rsidR="00057FDE" w:rsidRPr="00057FDE">
        <w:t>Oružan</w:t>
      </w:r>
      <w:r w:rsidR="002A35FC">
        <w:t>e</w:t>
      </w:r>
      <w:r w:rsidR="00057FDE" w:rsidRPr="00057FDE">
        <w:t xml:space="preserve"> snag</w:t>
      </w:r>
      <w:r w:rsidR="002A35FC">
        <w:t xml:space="preserve">e </w:t>
      </w:r>
      <w:r w:rsidR="00057FDE" w:rsidRPr="00057FDE">
        <w:t>Republike Hrvatske u operacij</w:t>
      </w:r>
      <w:r w:rsidR="0079298F">
        <w:t>u</w:t>
      </w:r>
      <w:r w:rsidR="00057FDE" w:rsidRPr="00057FDE">
        <w:t xml:space="preserve"> potpore miru KFOR na Kosovu u 202</w:t>
      </w:r>
      <w:r w:rsidR="00057FDE">
        <w:t>3</w:t>
      </w:r>
      <w:r w:rsidR="00057FDE" w:rsidRPr="00057FDE">
        <w:t>. i 202</w:t>
      </w:r>
      <w:r w:rsidR="00057FDE">
        <w:t>4</w:t>
      </w:r>
      <w:r w:rsidR="00057FDE" w:rsidRPr="00057FDE">
        <w:t>. mo</w:t>
      </w:r>
      <w:r w:rsidR="0079298F">
        <w:t>gu</w:t>
      </w:r>
      <w:r w:rsidR="00057FDE" w:rsidRPr="00057FDE">
        <w:t xml:space="preserve"> uputiti do 1</w:t>
      </w:r>
      <w:r w:rsidR="00057FDE">
        <w:t>6</w:t>
      </w:r>
      <w:r w:rsidR="00057FDE" w:rsidRPr="00057FDE">
        <w:t>0 pripadnika Oružanih snaga Republike Hrvatske s do dva helikoptera Hrvatskoga ratnog zrakoplovstva, uz mogućnost r</w:t>
      </w:r>
      <w:r w:rsidR="00057FDE">
        <w:t>otacije.</w:t>
      </w:r>
    </w:p>
    <w:p w14:paraId="1802F1BA" w14:textId="77777777" w:rsidR="000122FF" w:rsidRDefault="000122FF" w:rsidP="00BB6E15">
      <w:pPr>
        <w:jc w:val="both"/>
      </w:pPr>
    </w:p>
    <w:p w14:paraId="44003B65" w14:textId="77777777" w:rsidR="001C302F" w:rsidRPr="005E6CEB" w:rsidRDefault="001C302F" w:rsidP="000122FF">
      <w:pPr>
        <w:numPr>
          <w:ilvl w:val="0"/>
          <w:numId w:val="1"/>
        </w:numPr>
        <w:spacing w:before="120"/>
        <w:jc w:val="both"/>
        <w:rPr>
          <w:b/>
          <w:bCs/>
          <w:color w:val="000000"/>
        </w:rPr>
      </w:pPr>
      <w:r w:rsidRPr="005E6CEB">
        <w:rPr>
          <w:b/>
          <w:bCs/>
          <w:color w:val="000000"/>
        </w:rPr>
        <w:t>RAZLOZI I CILJEVI DONOŠENJA ODLUKE</w:t>
      </w:r>
    </w:p>
    <w:p w14:paraId="57F36ED3" w14:textId="77777777" w:rsidR="001C302F" w:rsidRPr="005E6CEB" w:rsidRDefault="001C302F" w:rsidP="000122F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4E3928DC" w14:textId="77777777" w:rsidR="00B724D1" w:rsidRDefault="00E52F5F" w:rsidP="00703EEB">
      <w:pPr>
        <w:ind w:firstLine="708"/>
        <w:jc w:val="both"/>
      </w:pPr>
      <w:r>
        <w:t>Sudjelov</w:t>
      </w:r>
      <w:r w:rsidR="004A339A">
        <w:t>anje u međunarodnim operacijama u</w:t>
      </w:r>
      <w:r>
        <w:t xml:space="preserve"> skladu </w:t>
      </w:r>
      <w:r w:rsidR="004A339A">
        <w:t xml:space="preserve">je </w:t>
      </w:r>
      <w:r>
        <w:t xml:space="preserve">sa strateškim opredjeljenjem Republike Hrvatske, čime se </w:t>
      </w:r>
      <w:r w:rsidR="003C6EE5">
        <w:t>Republika Hrvatska</w:t>
      </w:r>
      <w:r>
        <w:t xml:space="preserve"> svrstava među odgovorne članice međunarodne zajednice koje su spremne preuzeti svoj dio tereta u izgradnji i očuvanju međunarodne sigurnosti.</w:t>
      </w:r>
      <w:r w:rsidR="00B724D1">
        <w:t xml:space="preserve"> </w:t>
      </w:r>
    </w:p>
    <w:p w14:paraId="70E995D7" w14:textId="7A92BF5D" w:rsidR="00E52F5F" w:rsidRDefault="00B96846" w:rsidP="00FD5A69">
      <w:pPr>
        <w:spacing w:before="120"/>
        <w:ind w:firstLine="709"/>
        <w:jc w:val="both"/>
      </w:pPr>
      <w:r>
        <w:t xml:space="preserve">U tom kontekstu, </w:t>
      </w:r>
      <w:r w:rsidR="00E52F5F">
        <w:t>Republika Hrvatska snažno podu</w:t>
      </w:r>
      <w:r w:rsidR="004A339A">
        <w:t>pire napore NATO-a u održavanju</w:t>
      </w:r>
      <w:r w:rsidR="00E52F5F">
        <w:t xml:space="preserve"> sigurnosti </w:t>
      </w:r>
      <w:r w:rsidR="00307397">
        <w:t>u</w:t>
      </w:r>
      <w:r w:rsidR="00E52F5F">
        <w:t xml:space="preserve"> </w:t>
      </w:r>
      <w:r w:rsidR="00307397">
        <w:t xml:space="preserve">Republici </w:t>
      </w:r>
      <w:r w:rsidR="00E52F5F">
        <w:t>Kosov</w:t>
      </w:r>
      <w:r w:rsidR="00307397">
        <w:t>o</w:t>
      </w:r>
      <w:r w:rsidR="00090290">
        <w:t xml:space="preserve"> i </w:t>
      </w:r>
      <w:r w:rsidR="001A16D0">
        <w:t>jugoistočne Europe</w:t>
      </w:r>
      <w:r w:rsidR="00E52F5F">
        <w:t xml:space="preserve">. </w:t>
      </w:r>
      <w:r w:rsidR="00AD46DF">
        <w:t xml:space="preserve">Operacija KFOR ima poseban značaj za Republiku Hrvatsku jer je područje operacije u našem neposrednom susjedstvu, </w:t>
      </w:r>
      <w:r w:rsidR="00B724D1">
        <w:t>pa</w:t>
      </w:r>
      <w:r w:rsidR="00AD46DF">
        <w:t xml:space="preserve"> bi bilo kakvo pogoršanje sigurnosti imalo posljedice na stabil</w:t>
      </w:r>
      <w:r w:rsidR="00212DD6">
        <w:t xml:space="preserve">nost </w:t>
      </w:r>
      <w:r w:rsidR="001A16D0" w:rsidRPr="001A16D0">
        <w:t>jugoistočne Europe</w:t>
      </w:r>
      <w:r w:rsidR="00212DD6" w:rsidRPr="001A16D0">
        <w:t>,</w:t>
      </w:r>
      <w:r w:rsidR="00212DD6">
        <w:t xml:space="preserve"> uključujući </w:t>
      </w:r>
      <w:r w:rsidR="00AD46DF">
        <w:t xml:space="preserve">i Republiku Hrvatsku. Stoga je ambicija Republike Hrvatske </w:t>
      </w:r>
      <w:r w:rsidR="00744410">
        <w:t xml:space="preserve">održati i </w:t>
      </w:r>
      <w:r w:rsidR="00AD46DF">
        <w:t>nastaviti angažman u Republici Kosovu sudjelovanje</w:t>
      </w:r>
      <w:r w:rsidR="00212DD6">
        <w:t>m</w:t>
      </w:r>
      <w:r w:rsidR="00AD46DF">
        <w:t xml:space="preserve"> u KFOR-u do okončanja ove NATO vođene operacije. </w:t>
      </w:r>
      <w:r w:rsidR="00E52F5F">
        <w:t xml:space="preserve"> </w:t>
      </w:r>
    </w:p>
    <w:p w14:paraId="2F2CBDB0" w14:textId="0A8510A8" w:rsidR="00744410" w:rsidRDefault="004A339A" w:rsidP="00B724D1">
      <w:pPr>
        <w:spacing w:before="120" w:after="120"/>
        <w:ind w:firstLine="709"/>
        <w:jc w:val="both"/>
      </w:pPr>
      <w:r>
        <w:t xml:space="preserve">Hrvatski kontingent </w:t>
      </w:r>
      <w:r w:rsidR="0036485E">
        <w:t>usredotočen</w:t>
      </w:r>
      <w:r w:rsidR="00E52F5F">
        <w:t xml:space="preserve"> </w:t>
      </w:r>
      <w:r>
        <w:t xml:space="preserve">je </w:t>
      </w:r>
      <w:r w:rsidR="00AD46DF">
        <w:t xml:space="preserve">primarno </w:t>
      </w:r>
      <w:r w:rsidR="00E52F5F">
        <w:t>na izvršavanje zadaća</w:t>
      </w:r>
      <w:r w:rsidR="00AD46DF">
        <w:t xml:space="preserve"> motorizirane pješačke satnije kao najveće sastavnice kontingenta, što uključuje potporu lokalnim i međunarodnim organizacijama, održavanje sposobnosti brzog razmještaja na području Regionalnog zapovjedništva Zapad, provedbu zajedničkih ophodnji s ostalim pripadnicima operacije, osiguranje samostana Visoki Dečani </w:t>
      </w:r>
      <w:r w:rsidR="00B724D1">
        <w:t>i</w:t>
      </w:r>
      <w:r w:rsidR="00AD46DF">
        <w:t xml:space="preserve"> osiguranje kampa „Villagio Italia“.</w:t>
      </w:r>
      <w:r w:rsidR="00B724D1">
        <w:t xml:space="preserve"> </w:t>
      </w:r>
      <w:r w:rsidR="00AD46DF">
        <w:t>Ostale zadaće hrvatskoga kontingenta uključuju provedbu zračnog transporta</w:t>
      </w:r>
      <w:r w:rsidR="00E52F5F">
        <w:t>, rad stožernog o</w:t>
      </w:r>
      <w:r>
        <w:t xml:space="preserve">soblja u stožeru operacije KFOR, </w:t>
      </w:r>
      <w:r w:rsidR="00AD46DF">
        <w:t xml:space="preserve">kao i </w:t>
      </w:r>
      <w:r w:rsidR="00E52F5F">
        <w:t xml:space="preserve">rad u savjetničkom timu na razini </w:t>
      </w:r>
      <w:r>
        <w:t>M</w:t>
      </w:r>
      <w:r w:rsidR="00E52F5F">
        <w:t>inistarstva</w:t>
      </w:r>
      <w:r w:rsidR="00F03092">
        <w:t xml:space="preserve"> obrane Republike Kosov</w:t>
      </w:r>
      <w:r w:rsidR="00DF1023">
        <w:t>a</w:t>
      </w:r>
      <w:r w:rsidR="00E52F5F">
        <w:t xml:space="preserve"> i </w:t>
      </w:r>
      <w:r w:rsidR="00DF1023">
        <w:t>Sigurnosnih snaga Republike Kosova</w:t>
      </w:r>
      <w:r w:rsidR="00E52F5F">
        <w:t>.</w:t>
      </w:r>
      <w:r w:rsidR="00744410" w:rsidRPr="00744410">
        <w:t xml:space="preserve"> </w:t>
      </w:r>
    </w:p>
    <w:p w14:paraId="21CE6FEC" w14:textId="2DDCAA84" w:rsidR="00AD46DF" w:rsidRDefault="00744410" w:rsidP="00FD5A69">
      <w:pPr>
        <w:spacing w:before="120" w:after="120"/>
        <w:ind w:firstLine="708"/>
        <w:jc w:val="both"/>
      </w:pPr>
      <w:r>
        <w:t xml:space="preserve">Slijedom navedenoga, predlaže se nastavak sudjelovanja Oružanih snaga Republike Hrvatske u operaciji KFOR na Kosovu u 2025. i 2026. godini upućivanjem </w:t>
      </w:r>
      <w:r w:rsidRPr="003F769F">
        <w:t xml:space="preserve">do </w:t>
      </w:r>
      <w:r>
        <w:t>200</w:t>
      </w:r>
      <w:r w:rsidRPr="003F769F">
        <w:t xml:space="preserve"> pripadnika Oružanih snaga Republike Hrvatske s do dva helikoptera Hrvatskoga ratnog zrakoplovstva, uz mogućnost rotacije</w:t>
      </w:r>
      <w:r>
        <w:t>.</w:t>
      </w:r>
      <w:r w:rsidR="00B724D1">
        <w:t xml:space="preserve"> </w:t>
      </w:r>
      <w:r w:rsidR="00D7464F">
        <w:t>P</w:t>
      </w:r>
      <w:r w:rsidR="000E6978">
        <w:t xml:space="preserve">rijedlogom odluke </w:t>
      </w:r>
      <w:r>
        <w:t xml:space="preserve">osiguravaju se </w:t>
      </w:r>
      <w:r w:rsidR="000E6978">
        <w:t xml:space="preserve">preduvjeti za </w:t>
      </w:r>
      <w:r>
        <w:t>ojačavanje trenut</w:t>
      </w:r>
      <w:r w:rsidR="00B724D1">
        <w:t>ač</w:t>
      </w:r>
      <w:r>
        <w:t xml:space="preserve">nih ili </w:t>
      </w:r>
      <w:r w:rsidR="000E6978">
        <w:t>sl</w:t>
      </w:r>
      <w:r w:rsidR="001B60C1">
        <w:t>anje novih sastavnica u području</w:t>
      </w:r>
      <w:r w:rsidR="000E6978">
        <w:t xml:space="preserve"> operacij</w:t>
      </w:r>
      <w:r w:rsidR="000E6978" w:rsidRPr="00FD5A69">
        <w:t>e</w:t>
      </w:r>
      <w:r w:rsidR="001A16D0" w:rsidRPr="00FD5A69">
        <w:t>.</w:t>
      </w:r>
    </w:p>
    <w:p w14:paraId="3525CEFE" w14:textId="77777777" w:rsidR="00B724D1" w:rsidRDefault="00B724D1" w:rsidP="00B724D1">
      <w:pPr>
        <w:autoSpaceDE w:val="0"/>
        <w:autoSpaceDN w:val="0"/>
        <w:adjustRightInd w:val="0"/>
        <w:ind w:left="708"/>
        <w:rPr>
          <w:b/>
          <w:bCs/>
          <w:color w:val="000000"/>
        </w:rPr>
      </w:pPr>
    </w:p>
    <w:p w14:paraId="07A877FF" w14:textId="77777777" w:rsidR="009221A4" w:rsidRPr="00B724D1" w:rsidRDefault="001C302F" w:rsidP="00B724D1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B724D1">
        <w:rPr>
          <w:b/>
          <w:bCs/>
          <w:color w:val="000000"/>
        </w:rPr>
        <w:t>POTREBNA FINANCIJSKA SREDSTVA</w:t>
      </w:r>
    </w:p>
    <w:p w14:paraId="65101B25" w14:textId="77777777" w:rsidR="009221A4" w:rsidRDefault="009221A4" w:rsidP="00B724D1">
      <w:pPr>
        <w:autoSpaceDE w:val="0"/>
        <w:autoSpaceDN w:val="0"/>
        <w:adjustRightInd w:val="0"/>
        <w:ind w:left="708"/>
        <w:rPr>
          <w:b/>
          <w:bCs/>
          <w:color w:val="000000"/>
        </w:rPr>
      </w:pPr>
    </w:p>
    <w:p w14:paraId="35EE4C69" w14:textId="2E55D635" w:rsidR="006564A2" w:rsidRDefault="00497CCD" w:rsidP="00B724D1">
      <w:pPr>
        <w:autoSpaceDE w:val="0"/>
        <w:autoSpaceDN w:val="0"/>
        <w:adjustRightInd w:val="0"/>
        <w:ind w:firstLine="708"/>
        <w:jc w:val="both"/>
      </w:pPr>
      <w:r w:rsidRPr="00497CCD">
        <w:rPr>
          <w:bCs/>
        </w:rPr>
        <w:lastRenderedPageBreak/>
        <w:t>Potrebna</w:t>
      </w:r>
      <w:r w:rsidR="00FA2C3E" w:rsidRPr="00FA2C3E">
        <w:rPr>
          <w:bCs/>
        </w:rPr>
        <w:t xml:space="preserve"> </w:t>
      </w:r>
      <w:r w:rsidRPr="00497CCD">
        <w:rPr>
          <w:bCs/>
        </w:rPr>
        <w:t>sredstva za provedbu ove Odluke osigurana su na razdjelu i glavi Ministarstva obrane u Državnom proračunu za 2024. godinu i projekcijama za 2025. i 2026. godinu</w:t>
      </w:r>
      <w:r w:rsidR="007652DF" w:rsidRPr="007652DF">
        <w:rPr>
          <w:bCs/>
        </w:rPr>
        <w:t>.</w:t>
      </w:r>
    </w:p>
    <w:p w14:paraId="11F61630" w14:textId="77777777" w:rsidR="009221A4" w:rsidRDefault="009221A4" w:rsidP="009221A4">
      <w:pPr>
        <w:ind w:left="1080"/>
        <w:jc w:val="both"/>
      </w:pPr>
    </w:p>
    <w:p w14:paraId="28BDF233" w14:textId="77777777" w:rsidR="00B845F9" w:rsidRPr="005E6CEB" w:rsidRDefault="00B845F9" w:rsidP="000122FF">
      <w:pPr>
        <w:rPr>
          <w:color w:val="000000"/>
        </w:rPr>
      </w:pPr>
    </w:p>
    <w:p w14:paraId="2BE1A13A" w14:textId="550A3D8E" w:rsidR="0019384E" w:rsidRDefault="0019384E" w:rsidP="00B724D1">
      <w:pPr>
        <w:rPr>
          <w:rFonts w:eastAsia="Calibri"/>
          <w:b/>
          <w:color w:val="000000"/>
          <w:lang w:eastAsia="en-US"/>
        </w:rPr>
      </w:pPr>
    </w:p>
    <w:p w14:paraId="1AD7638A" w14:textId="3FF9E623" w:rsidR="00F61B09" w:rsidRDefault="00252155" w:rsidP="000122FF">
      <w:pPr>
        <w:autoSpaceDE w:val="0"/>
        <w:autoSpaceDN w:val="0"/>
        <w:adjustRightInd w:val="0"/>
        <w:jc w:val="both"/>
        <w:rPr>
          <w:color w:val="000000"/>
        </w:rPr>
      </w:pPr>
      <w:r w:rsidRPr="005E6CEB">
        <w:rPr>
          <w:color w:val="000000"/>
        </w:rPr>
        <w:tab/>
      </w:r>
      <w:r w:rsidR="00EC618B" w:rsidRPr="005E6CEB">
        <w:rPr>
          <w:color w:val="000000"/>
        </w:rPr>
        <w:t xml:space="preserve">Na temelju članka 54. stavka 2. Zakona o obrani </w:t>
      </w:r>
      <w:r w:rsidR="00991EB2" w:rsidRPr="005E6CEB">
        <w:rPr>
          <w:color w:val="000000"/>
        </w:rPr>
        <w:t>(</w:t>
      </w:r>
      <w:r w:rsidR="00EC618B" w:rsidRPr="005E6CEB">
        <w:rPr>
          <w:color w:val="000000"/>
        </w:rPr>
        <w:t>Narodne novine, br. 73/13, 75/15, 27/16, 110/17</w:t>
      </w:r>
      <w:r w:rsidR="000D047F" w:rsidRPr="00456593">
        <w:t xml:space="preserve"> </w:t>
      </w:r>
      <w:r w:rsidR="000D047F" w:rsidRPr="000D047F">
        <w:t>– Odluka Ustavnog suda Republike Hrvatske,</w:t>
      </w:r>
      <w:r w:rsidR="00EC618B" w:rsidRPr="005E6CEB">
        <w:rPr>
          <w:color w:val="000000"/>
        </w:rPr>
        <w:t xml:space="preserve"> 30/18</w:t>
      </w:r>
      <w:r w:rsidR="00D247A3">
        <w:rPr>
          <w:color w:val="000000"/>
        </w:rPr>
        <w:t>,</w:t>
      </w:r>
      <w:r w:rsidR="000D047F">
        <w:rPr>
          <w:color w:val="000000"/>
        </w:rPr>
        <w:t xml:space="preserve"> 70/19</w:t>
      </w:r>
      <w:r w:rsidR="00D247A3">
        <w:rPr>
          <w:color w:val="000000"/>
        </w:rPr>
        <w:t xml:space="preserve"> i 155/23</w:t>
      </w:r>
      <w:r w:rsidR="00EC618B" w:rsidRPr="005E6CEB">
        <w:rPr>
          <w:color w:val="000000"/>
        </w:rPr>
        <w:t>), na prijedlog Vlade Republike Hrvatske i uz p</w:t>
      </w:r>
      <w:r w:rsidR="00E52F5F">
        <w:rPr>
          <w:color w:val="000000"/>
        </w:rPr>
        <w:t>rethodnu suglasnost Predsjednika</w:t>
      </w:r>
      <w:r w:rsidR="00EC618B" w:rsidRPr="005E6CEB">
        <w:rPr>
          <w:color w:val="000000"/>
        </w:rPr>
        <w:t xml:space="preserve"> Republike Hrvatske, Hrvatski sabor na sjednici _______________ donio je</w:t>
      </w:r>
    </w:p>
    <w:p w14:paraId="71432B4B" w14:textId="77777777" w:rsidR="00B724D1" w:rsidRPr="005E6CEB" w:rsidRDefault="00B724D1" w:rsidP="000122FF">
      <w:pPr>
        <w:autoSpaceDE w:val="0"/>
        <w:autoSpaceDN w:val="0"/>
        <w:adjustRightInd w:val="0"/>
        <w:jc w:val="both"/>
        <w:rPr>
          <w:color w:val="000000"/>
        </w:rPr>
      </w:pPr>
    </w:p>
    <w:p w14:paraId="54125503" w14:textId="77777777" w:rsidR="00EC618B" w:rsidRPr="005E6CEB" w:rsidRDefault="00EC618B" w:rsidP="000122FF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5E54308D" w14:textId="77777777" w:rsidR="00E2531D" w:rsidRDefault="00E2531D" w:rsidP="0072409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>O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D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L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U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K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U</w:t>
      </w:r>
    </w:p>
    <w:p w14:paraId="5ED7709B" w14:textId="77777777" w:rsidR="003F75D4" w:rsidRPr="005E6CEB" w:rsidRDefault="003F75D4" w:rsidP="0072409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A07CCEB" w14:textId="77777777" w:rsidR="00E52F5F" w:rsidRDefault="005E5880" w:rsidP="000122FF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5E6CEB">
        <w:rPr>
          <w:b/>
          <w:bCs/>
          <w:color w:val="000000"/>
        </w:rPr>
        <w:t xml:space="preserve">O SUDJELOVANJU ORUŽANIH SNAGA </w:t>
      </w:r>
      <w:r w:rsidRPr="005E6CEB">
        <w:rPr>
          <w:rFonts w:eastAsia="Calibri"/>
          <w:b/>
          <w:color w:val="000000"/>
          <w:lang w:eastAsia="en-US"/>
        </w:rPr>
        <w:t xml:space="preserve">REPUBLIKE HRVATSKE </w:t>
      </w:r>
    </w:p>
    <w:p w14:paraId="684D0858" w14:textId="77777777" w:rsidR="005E5880" w:rsidRPr="005E6CEB" w:rsidRDefault="005E5880" w:rsidP="000122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rFonts w:eastAsia="Calibri"/>
          <w:b/>
          <w:color w:val="000000"/>
          <w:lang w:eastAsia="en-US"/>
        </w:rPr>
        <w:t xml:space="preserve">U OPERACIJI </w:t>
      </w:r>
      <w:r w:rsidR="00421A55">
        <w:rPr>
          <w:rFonts w:eastAsia="Calibri"/>
          <w:b/>
          <w:bCs/>
          <w:color w:val="000000"/>
          <w:lang w:eastAsia="en-US"/>
        </w:rPr>
        <w:t xml:space="preserve">POTPORE MIRU </w:t>
      </w:r>
      <w:r w:rsidR="00E52F5F">
        <w:rPr>
          <w:rFonts w:eastAsia="Calibri"/>
          <w:b/>
          <w:color w:val="000000"/>
          <w:lang w:eastAsia="en-US"/>
        </w:rPr>
        <w:t>KFOR</w:t>
      </w:r>
      <w:r w:rsidR="00803C3E">
        <w:rPr>
          <w:rFonts w:eastAsia="Calibri"/>
          <w:b/>
          <w:color w:val="000000"/>
          <w:lang w:eastAsia="en-US"/>
        </w:rPr>
        <w:t xml:space="preserve"> </w:t>
      </w:r>
      <w:r w:rsidR="00EE6BBB">
        <w:rPr>
          <w:rFonts w:eastAsia="Calibri"/>
          <w:b/>
          <w:color w:val="000000"/>
          <w:lang w:eastAsia="en-US"/>
        </w:rPr>
        <w:t xml:space="preserve">NA </w:t>
      </w:r>
      <w:r w:rsidR="00AD46DF">
        <w:rPr>
          <w:rFonts w:eastAsia="Calibri"/>
          <w:b/>
          <w:color w:val="000000"/>
          <w:lang w:eastAsia="en-US"/>
        </w:rPr>
        <w:t>KOSOVU</w:t>
      </w:r>
      <w:r w:rsidR="003F75D4">
        <w:rPr>
          <w:rFonts w:eastAsia="Calibri"/>
          <w:b/>
          <w:color w:val="000000"/>
          <w:lang w:eastAsia="en-US"/>
        </w:rPr>
        <w:t xml:space="preserve"> </w:t>
      </w:r>
    </w:p>
    <w:p w14:paraId="73DF24F3" w14:textId="77777777" w:rsidR="0019384E" w:rsidRDefault="0019384E" w:rsidP="000122FF">
      <w:pPr>
        <w:pStyle w:val="StandardWeb"/>
        <w:jc w:val="center"/>
        <w:rPr>
          <w:b/>
          <w:color w:val="000000"/>
        </w:rPr>
      </w:pPr>
    </w:p>
    <w:p w14:paraId="6E4601EA" w14:textId="77777777" w:rsidR="00E2531D" w:rsidRPr="005E6CEB" w:rsidRDefault="00E2531D" w:rsidP="000122FF">
      <w:pPr>
        <w:pStyle w:val="StandardWeb"/>
        <w:jc w:val="center"/>
        <w:rPr>
          <w:b/>
          <w:color w:val="000000"/>
        </w:rPr>
      </w:pPr>
      <w:r w:rsidRPr="005E6CEB">
        <w:rPr>
          <w:b/>
          <w:color w:val="000000"/>
        </w:rPr>
        <w:t>I.</w:t>
      </w:r>
    </w:p>
    <w:p w14:paraId="1548FD32" w14:textId="10803BBA" w:rsidR="0019384E" w:rsidRPr="0019384E" w:rsidRDefault="004071ED" w:rsidP="000122FF">
      <w:pPr>
        <w:pStyle w:val="t-9-8"/>
        <w:jc w:val="both"/>
      </w:pPr>
      <w:r w:rsidRPr="00465ACE">
        <w:tab/>
      </w:r>
      <w:r w:rsidR="00BE72F5" w:rsidRPr="00465ACE">
        <w:rPr>
          <w:rFonts w:eastAsia="Times New Roman"/>
          <w:lang w:eastAsia="hr-HR" w:bidi="ta-IN"/>
        </w:rPr>
        <w:t xml:space="preserve">U </w:t>
      </w:r>
      <w:r w:rsidR="005E5880" w:rsidRPr="00465ACE">
        <w:rPr>
          <w:rFonts w:eastAsia="Times New Roman"/>
          <w:lang w:eastAsia="hr-HR" w:bidi="ta-IN"/>
        </w:rPr>
        <w:t xml:space="preserve">operaciju </w:t>
      </w:r>
      <w:r w:rsidR="00421A55" w:rsidRPr="00465ACE">
        <w:rPr>
          <w:rFonts w:eastAsia="Calibri"/>
          <w:bCs/>
          <w:lang w:eastAsia="en-US"/>
        </w:rPr>
        <w:t>potpore miru</w:t>
      </w:r>
      <w:r w:rsidR="00421A55" w:rsidRPr="00465ACE">
        <w:rPr>
          <w:rFonts w:eastAsia="Times New Roman"/>
          <w:lang w:eastAsia="hr-HR" w:bidi="ta-IN"/>
        </w:rPr>
        <w:t xml:space="preserve"> </w:t>
      </w:r>
      <w:r w:rsidR="00E52F5F" w:rsidRPr="00465ACE">
        <w:rPr>
          <w:rFonts w:eastAsia="Times New Roman"/>
          <w:lang w:eastAsia="hr-HR" w:bidi="ta-IN"/>
        </w:rPr>
        <w:t>KFOR</w:t>
      </w:r>
      <w:r w:rsidR="005E5880" w:rsidRPr="00465ACE">
        <w:rPr>
          <w:rFonts w:eastAsia="Times New Roman"/>
          <w:lang w:eastAsia="hr-HR" w:bidi="ta-IN"/>
        </w:rPr>
        <w:t xml:space="preserve"> </w:t>
      </w:r>
      <w:r w:rsidR="0046323F">
        <w:rPr>
          <w:rFonts w:eastAsia="Times New Roman"/>
          <w:lang w:eastAsia="hr-HR" w:bidi="ta-IN"/>
        </w:rPr>
        <w:t>na</w:t>
      </w:r>
      <w:r w:rsidR="003F75D4">
        <w:rPr>
          <w:rFonts w:eastAsia="Times New Roman"/>
          <w:lang w:eastAsia="hr-HR" w:bidi="ta-IN"/>
        </w:rPr>
        <w:t xml:space="preserve"> Kosovu </w:t>
      </w:r>
      <w:r w:rsidR="00BE72F5" w:rsidRPr="00465ACE">
        <w:rPr>
          <w:rFonts w:eastAsia="Times New Roman"/>
          <w:lang w:eastAsia="hr-HR" w:bidi="ta-IN"/>
        </w:rPr>
        <w:t>upućuje se u 20</w:t>
      </w:r>
      <w:r w:rsidR="00E52F5F" w:rsidRPr="00465ACE">
        <w:rPr>
          <w:rFonts w:eastAsia="Times New Roman"/>
          <w:lang w:eastAsia="hr-HR" w:bidi="ta-IN"/>
        </w:rPr>
        <w:t>2</w:t>
      </w:r>
      <w:r w:rsidR="007652DF">
        <w:rPr>
          <w:rFonts w:eastAsia="Times New Roman"/>
          <w:lang w:eastAsia="hr-HR" w:bidi="ta-IN"/>
        </w:rPr>
        <w:t>5</w:t>
      </w:r>
      <w:r w:rsidR="00BE72F5" w:rsidRPr="00465ACE">
        <w:rPr>
          <w:rFonts w:eastAsia="Times New Roman"/>
          <w:lang w:eastAsia="hr-HR" w:bidi="ta-IN"/>
        </w:rPr>
        <w:t>.</w:t>
      </w:r>
      <w:r w:rsidR="00E52F5F" w:rsidRPr="00465ACE">
        <w:rPr>
          <w:rFonts w:eastAsia="Times New Roman"/>
          <w:lang w:eastAsia="hr-HR" w:bidi="ta-IN"/>
        </w:rPr>
        <w:t xml:space="preserve"> i 202</w:t>
      </w:r>
      <w:r w:rsidR="007652DF">
        <w:rPr>
          <w:rFonts w:eastAsia="Times New Roman"/>
          <w:lang w:eastAsia="hr-HR" w:bidi="ta-IN"/>
        </w:rPr>
        <w:t>6</w:t>
      </w:r>
      <w:r w:rsidR="00E52F5F" w:rsidRPr="00465ACE">
        <w:rPr>
          <w:rFonts w:eastAsia="Times New Roman"/>
          <w:lang w:eastAsia="hr-HR" w:bidi="ta-IN"/>
        </w:rPr>
        <w:t>.</w:t>
      </w:r>
      <w:r w:rsidR="00BE72F5" w:rsidRPr="00465ACE">
        <w:rPr>
          <w:rFonts w:eastAsia="Times New Roman"/>
          <w:lang w:eastAsia="hr-HR" w:bidi="ta-IN"/>
        </w:rPr>
        <w:t xml:space="preserve"> </w:t>
      </w:r>
      <w:r w:rsidR="0019384E">
        <w:rPr>
          <w:rFonts w:eastAsia="Times New Roman"/>
          <w:lang w:eastAsia="hr-HR" w:bidi="ta-IN"/>
        </w:rPr>
        <w:t xml:space="preserve">godini </w:t>
      </w:r>
      <w:r w:rsidR="00BE72F5" w:rsidRPr="00465ACE">
        <w:rPr>
          <w:rFonts w:eastAsia="Times New Roman"/>
          <w:lang w:eastAsia="hr-HR" w:bidi="ta-IN"/>
        </w:rPr>
        <w:t xml:space="preserve">do </w:t>
      </w:r>
      <w:r w:rsidR="001D1354">
        <w:rPr>
          <w:rFonts w:eastAsia="Times New Roman"/>
          <w:lang w:eastAsia="hr-HR" w:bidi="ta-IN"/>
        </w:rPr>
        <w:t>200</w:t>
      </w:r>
      <w:r w:rsidR="001D1354" w:rsidRPr="00465ACE">
        <w:rPr>
          <w:rFonts w:eastAsia="Times New Roman"/>
          <w:lang w:eastAsia="hr-HR" w:bidi="ta-IN"/>
        </w:rPr>
        <w:t xml:space="preserve"> </w:t>
      </w:r>
      <w:r w:rsidR="00E52F5F" w:rsidRPr="00465ACE">
        <w:rPr>
          <w:rFonts w:eastAsia="Times New Roman"/>
          <w:lang w:eastAsia="hr-HR" w:bidi="ta-IN"/>
        </w:rPr>
        <w:t>pripadnika</w:t>
      </w:r>
      <w:r w:rsidR="00032A7D" w:rsidRPr="00465ACE">
        <w:rPr>
          <w:rFonts w:eastAsia="Times New Roman"/>
          <w:lang w:eastAsia="hr-HR" w:bidi="ta-IN"/>
        </w:rPr>
        <w:t xml:space="preserve"> </w:t>
      </w:r>
      <w:r w:rsidR="0061272C">
        <w:rPr>
          <w:rFonts w:eastAsia="Times New Roman"/>
          <w:lang w:eastAsia="hr-HR"/>
        </w:rPr>
        <w:t xml:space="preserve">Oružanih snaga Republike </w:t>
      </w:r>
      <w:r w:rsidR="0061272C" w:rsidRPr="00591698">
        <w:rPr>
          <w:rFonts w:eastAsia="Times New Roman"/>
          <w:lang w:eastAsia="hr-HR"/>
        </w:rPr>
        <w:t xml:space="preserve">Hrvatske </w:t>
      </w:r>
      <w:r w:rsidR="003F75D4">
        <w:rPr>
          <w:rFonts w:eastAsia="Times New Roman"/>
          <w:lang w:eastAsia="hr-HR"/>
        </w:rPr>
        <w:t>s</w:t>
      </w:r>
      <w:r w:rsidR="004B156A" w:rsidRPr="00591698">
        <w:t xml:space="preserve"> </w:t>
      </w:r>
      <w:r w:rsidR="006B4B60">
        <w:t xml:space="preserve">do </w:t>
      </w:r>
      <w:r w:rsidR="00E52F5F" w:rsidRPr="00591698">
        <w:t>dva helikoptera Hrvatskog</w:t>
      </w:r>
      <w:r w:rsidR="00AC143E">
        <w:t>a</w:t>
      </w:r>
      <w:r w:rsidR="00E52F5F">
        <w:t xml:space="preserve"> ratnog zrakoplovstva</w:t>
      </w:r>
      <w:r w:rsidR="005F3C48">
        <w:t>,</w:t>
      </w:r>
      <w:r w:rsidR="00E52F5F">
        <w:t xml:space="preserve"> uz mogućnost rotacije.</w:t>
      </w:r>
    </w:p>
    <w:p w14:paraId="1FD929F9" w14:textId="77777777" w:rsidR="00BE72F5" w:rsidRDefault="00BE72F5" w:rsidP="000122FF">
      <w:pPr>
        <w:spacing w:before="100" w:beforeAutospacing="1" w:after="100" w:afterAutospacing="1"/>
        <w:jc w:val="center"/>
        <w:rPr>
          <w:color w:val="000000"/>
          <w:lang w:bidi="ta-IN"/>
        </w:rPr>
      </w:pPr>
      <w:r w:rsidRPr="005E6CEB">
        <w:rPr>
          <w:b/>
          <w:color w:val="000000"/>
          <w:lang w:bidi="ta-IN"/>
        </w:rPr>
        <w:t>II.</w:t>
      </w:r>
    </w:p>
    <w:p w14:paraId="692BE81B" w14:textId="77777777" w:rsidR="00F03092" w:rsidRPr="00F03092" w:rsidRDefault="00F03092" w:rsidP="00F03092">
      <w:pPr>
        <w:spacing w:before="100" w:beforeAutospacing="1" w:after="100" w:afterAutospacing="1"/>
        <w:ind w:firstLine="708"/>
        <w:jc w:val="both"/>
        <w:rPr>
          <w:color w:val="000000"/>
          <w:lang w:bidi="ta-IN"/>
        </w:rPr>
      </w:pPr>
      <w:r w:rsidRPr="00154F1B">
        <w:rPr>
          <w:color w:val="000000"/>
          <w:lang w:bidi="ta-IN"/>
        </w:rPr>
        <w:t xml:space="preserve">Izvješće o sudjelovanju </w:t>
      </w:r>
      <w:r w:rsidRPr="00154F1B">
        <w:t xml:space="preserve">Oružanih snaga Republike Hrvatske u </w:t>
      </w:r>
      <w:r>
        <w:t xml:space="preserve">operaciji potpore miru </w:t>
      </w:r>
      <w:r w:rsidRPr="00154F1B">
        <w:rPr>
          <w:color w:val="000000"/>
          <w:lang w:bidi="ta-IN"/>
        </w:rPr>
        <w:t xml:space="preserve">iz točke I. ove Odluke </w:t>
      </w:r>
      <w:r>
        <w:rPr>
          <w:color w:val="000000"/>
          <w:lang w:bidi="ta-IN"/>
        </w:rPr>
        <w:t>bit će dio G</w:t>
      </w:r>
      <w:r w:rsidRPr="00154F1B">
        <w:rPr>
          <w:color w:val="000000"/>
          <w:lang w:bidi="ta-IN"/>
        </w:rPr>
        <w:t>odi</w:t>
      </w:r>
      <w:r>
        <w:rPr>
          <w:color w:val="000000"/>
          <w:lang w:bidi="ta-IN"/>
        </w:rPr>
        <w:t xml:space="preserve">šnjeg izvješća </w:t>
      </w:r>
      <w:r w:rsidRPr="00154F1B">
        <w:rPr>
          <w:color w:val="000000"/>
          <w:lang w:bidi="ta-IN"/>
        </w:rPr>
        <w:t xml:space="preserve">o obrani koje Vlada Republike Hrvatske </w:t>
      </w:r>
      <w:r>
        <w:rPr>
          <w:color w:val="000000"/>
          <w:lang w:bidi="ta-IN"/>
        </w:rPr>
        <w:t>podnosi Hrvatskome saboru.</w:t>
      </w:r>
    </w:p>
    <w:p w14:paraId="54744BEB" w14:textId="77777777" w:rsidR="00BE72F5" w:rsidRPr="005E6CEB" w:rsidRDefault="004F0831" w:rsidP="000122FF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t>III</w:t>
      </w:r>
      <w:r w:rsidR="00BE72F5" w:rsidRPr="005E6CEB">
        <w:rPr>
          <w:b/>
          <w:color w:val="000000"/>
          <w:lang w:bidi="ta-IN"/>
        </w:rPr>
        <w:t>.</w:t>
      </w:r>
    </w:p>
    <w:p w14:paraId="0C9156BB" w14:textId="769B6C7C" w:rsidR="00E95A4A" w:rsidRPr="005E6CEB" w:rsidRDefault="0087329E" w:rsidP="000122FF">
      <w:pPr>
        <w:spacing w:before="120"/>
        <w:ind w:firstLine="708"/>
        <w:jc w:val="both"/>
        <w:rPr>
          <w:color w:val="000000"/>
        </w:rPr>
      </w:pPr>
      <w:r w:rsidRPr="005E6CEB">
        <w:rPr>
          <w:color w:val="000000"/>
        </w:rPr>
        <w:t>Ova Odluka stupa na snagu osmoga dana od dana objave u Narodnim novinama.</w:t>
      </w:r>
    </w:p>
    <w:p w14:paraId="3EB90E0A" w14:textId="77777777" w:rsidR="0087329E" w:rsidRPr="005E6CEB" w:rsidRDefault="0087329E" w:rsidP="000122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C5C61C2" w14:textId="77777777" w:rsidR="00E95A4A" w:rsidRPr="005E6CEB" w:rsidRDefault="00E95A4A" w:rsidP="000122FF">
      <w:pPr>
        <w:spacing w:before="120"/>
        <w:ind w:firstLine="708"/>
        <w:jc w:val="both"/>
        <w:rPr>
          <w:color w:val="000000"/>
        </w:rPr>
      </w:pPr>
    </w:p>
    <w:tbl>
      <w:tblPr>
        <w:tblW w:w="981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</w:tblGrid>
      <w:tr w:rsidR="005F6F67" w:rsidRPr="005E6CEB" w14:paraId="7F4B0AF4" w14:textId="77777777" w:rsidTr="003F75D4">
        <w:tc>
          <w:tcPr>
            <w:tcW w:w="3392" w:type="dxa"/>
            <w:shd w:val="clear" w:color="auto" w:fill="auto"/>
          </w:tcPr>
          <w:p w14:paraId="5F1F3E4B" w14:textId="77777777" w:rsidR="00BE72F5" w:rsidRPr="005E6CEB" w:rsidRDefault="00BE72F5" w:rsidP="000122FF">
            <w:pPr>
              <w:pStyle w:val="StandardWeb"/>
              <w:jc w:val="center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p w14:paraId="4CA5B5E3" w14:textId="77777777" w:rsidR="00BE72F5" w:rsidRPr="005E6CEB" w:rsidRDefault="00BE72F5" w:rsidP="000122F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8" w:type="dxa"/>
            <w:shd w:val="clear" w:color="auto" w:fill="auto"/>
          </w:tcPr>
          <w:p w14:paraId="0C3F9BDC" w14:textId="77777777" w:rsidR="00E95A4A" w:rsidRPr="005E6CEB" w:rsidRDefault="00E95A4A" w:rsidP="000122FF">
            <w:pPr>
              <w:pStyle w:val="StandardWeb"/>
              <w:jc w:val="center"/>
              <w:rPr>
                <w:b/>
                <w:color w:val="000000"/>
              </w:rPr>
            </w:pPr>
          </w:p>
        </w:tc>
      </w:tr>
      <w:tr w:rsidR="005F6F67" w:rsidRPr="005E6CEB" w14:paraId="35119E64" w14:textId="77777777" w:rsidTr="003F75D4">
        <w:trPr>
          <w:trHeight w:val="310"/>
        </w:trPr>
        <w:tc>
          <w:tcPr>
            <w:tcW w:w="3392" w:type="dxa"/>
            <w:shd w:val="clear" w:color="auto" w:fill="auto"/>
          </w:tcPr>
          <w:p w14:paraId="7CF03024" w14:textId="588FBB2F" w:rsidR="0087329E" w:rsidRPr="005E6CEB" w:rsidRDefault="00B74E9F" w:rsidP="000122FF">
            <w:pPr>
              <w:rPr>
                <w:color w:val="000000"/>
              </w:rPr>
            </w:pPr>
            <w:r w:rsidRPr="005E6CEB">
              <w:rPr>
                <w:color w:val="000000"/>
              </w:rPr>
              <w:t>KLASA:</w:t>
            </w:r>
          </w:p>
          <w:p w14:paraId="2573DEE0" w14:textId="77777777" w:rsidR="0087329E" w:rsidRPr="005E6CEB" w:rsidRDefault="0087329E" w:rsidP="000122FF">
            <w:pPr>
              <w:rPr>
                <w:color w:val="000000"/>
              </w:rPr>
            </w:pPr>
            <w:r w:rsidRPr="005E6CEB">
              <w:rPr>
                <w:color w:val="000000"/>
              </w:rPr>
              <w:t>Zagreb,</w:t>
            </w:r>
          </w:p>
          <w:p w14:paraId="6939EC59" w14:textId="77777777" w:rsidR="00BE72F5" w:rsidRPr="005E6CEB" w:rsidRDefault="00BE72F5" w:rsidP="000122FF">
            <w:pPr>
              <w:pStyle w:val="StandardWeb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01"/>
              <w:gridCol w:w="303"/>
            </w:tblGrid>
            <w:tr w:rsidR="003F75D4" w:rsidRPr="005E6CEB" w14:paraId="60E21CD8" w14:textId="77777777" w:rsidTr="003F75D4">
              <w:tc>
                <w:tcPr>
                  <w:tcW w:w="2001" w:type="dxa"/>
                  <w:shd w:val="clear" w:color="auto" w:fill="auto"/>
                </w:tcPr>
                <w:p w14:paraId="6E2CFC47" w14:textId="77777777" w:rsidR="003F75D4" w:rsidRPr="005E6CEB" w:rsidRDefault="003F75D4" w:rsidP="000122FF">
                  <w:pPr>
                    <w:jc w:val="center"/>
                    <w:rPr>
                      <w:b/>
                      <w:color w:val="000000"/>
                    </w:rPr>
                  </w:pPr>
                </w:p>
                <w:p w14:paraId="4ED729DA" w14:textId="77777777" w:rsidR="003F75D4" w:rsidRPr="005E6CEB" w:rsidRDefault="003F75D4" w:rsidP="000122FF">
                  <w:pPr>
                    <w:ind w:hanging="523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14:paraId="2F6D65FD" w14:textId="77777777" w:rsidR="003F75D4" w:rsidRPr="005E6CEB" w:rsidRDefault="003F75D4" w:rsidP="000122FF">
                  <w:pPr>
                    <w:pStyle w:val="StandardWeb"/>
                    <w:jc w:val="center"/>
                    <w:rPr>
                      <w:b/>
                      <w:color w:val="000000"/>
                    </w:rPr>
                  </w:pPr>
                </w:p>
                <w:p w14:paraId="12EE73EE" w14:textId="77777777" w:rsidR="003F75D4" w:rsidRPr="005E6CEB" w:rsidRDefault="003F75D4" w:rsidP="000122FF">
                  <w:pPr>
                    <w:pStyle w:val="StandardWeb"/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</w:tbl>
          <w:p w14:paraId="5D796AD3" w14:textId="77777777" w:rsidR="00BE72F5" w:rsidRPr="005E6CEB" w:rsidRDefault="003F75D4" w:rsidP="000122FF">
            <w:pPr>
              <w:pStyle w:val="Standard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HRVATSKI SABOR </w:t>
            </w:r>
          </w:p>
        </w:tc>
        <w:tc>
          <w:tcPr>
            <w:tcW w:w="3468" w:type="dxa"/>
            <w:shd w:val="clear" w:color="auto" w:fill="auto"/>
          </w:tcPr>
          <w:p w14:paraId="1604111F" w14:textId="77777777" w:rsidR="00BE72F5" w:rsidRPr="005E6CEB" w:rsidRDefault="00BE72F5" w:rsidP="000122FF">
            <w:pPr>
              <w:pStyle w:val="StandardWeb"/>
              <w:rPr>
                <w:b/>
                <w:color w:val="000000"/>
              </w:rPr>
            </w:pPr>
          </w:p>
        </w:tc>
      </w:tr>
      <w:tr w:rsidR="005F6F67" w:rsidRPr="005E6CEB" w14:paraId="62A73AEC" w14:textId="77777777" w:rsidTr="003F75D4">
        <w:tc>
          <w:tcPr>
            <w:tcW w:w="3392" w:type="dxa"/>
            <w:shd w:val="clear" w:color="auto" w:fill="auto"/>
          </w:tcPr>
          <w:p w14:paraId="7FF62AC8" w14:textId="77777777" w:rsidR="00BE72F5" w:rsidRPr="005E6CEB" w:rsidRDefault="00BE72F5" w:rsidP="000122FF">
            <w:pPr>
              <w:pStyle w:val="StandardWeb"/>
              <w:jc w:val="center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p w14:paraId="21D42D4C" w14:textId="77777777" w:rsidR="00BE72F5" w:rsidRPr="005E6CEB" w:rsidRDefault="00BE72F5" w:rsidP="000122FF">
            <w:pPr>
              <w:pStyle w:val="StandardWeb"/>
              <w:jc w:val="center"/>
              <w:rPr>
                <w:b/>
                <w:color w:val="000000"/>
              </w:rPr>
            </w:pPr>
          </w:p>
        </w:tc>
        <w:tc>
          <w:tcPr>
            <w:tcW w:w="3468" w:type="dxa"/>
            <w:shd w:val="clear" w:color="auto" w:fill="auto"/>
          </w:tcPr>
          <w:p w14:paraId="1D0CE5C0" w14:textId="77777777" w:rsidR="00B74E9F" w:rsidRDefault="00B74E9F" w:rsidP="000122FF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54DD26F" w14:textId="77777777" w:rsidR="00906B0E" w:rsidRDefault="00906B0E" w:rsidP="00B74E9F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58EB6E0" w14:textId="77777777" w:rsidR="00906B0E" w:rsidRDefault="00906B0E" w:rsidP="00B74E9F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34C1123" w14:textId="1707264B" w:rsidR="0087329E" w:rsidRPr="005E6CEB" w:rsidRDefault="00BE72F5" w:rsidP="00B74E9F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CEB">
              <w:rPr>
                <w:color w:val="000000"/>
              </w:rPr>
              <w:t>Predsjednik</w:t>
            </w:r>
            <w:r w:rsidR="00B74E9F">
              <w:rPr>
                <w:color w:val="000000"/>
              </w:rPr>
              <w:t xml:space="preserve"> </w:t>
            </w:r>
            <w:r w:rsidRPr="005E6CEB">
              <w:rPr>
                <w:color w:val="000000"/>
              </w:rPr>
              <w:t xml:space="preserve">Hrvatskoga sabora </w:t>
            </w:r>
          </w:p>
          <w:p w14:paraId="283A60FB" w14:textId="77777777" w:rsidR="00BE72F5" w:rsidRPr="003F75D4" w:rsidRDefault="004C07FB" w:rsidP="00D86975">
            <w:pPr>
              <w:pStyle w:val="Standard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75D4">
              <w:rPr>
                <w:color w:val="000000"/>
              </w:rPr>
              <w:t>Gordan Jandroković</w:t>
            </w:r>
            <w:r w:rsidR="00D86975">
              <w:rPr>
                <w:color w:val="000000"/>
              </w:rPr>
              <w:t xml:space="preserve"> </w:t>
            </w:r>
            <w:r w:rsidR="00BE72F5" w:rsidRPr="003F75D4">
              <w:rPr>
                <w:color w:val="000000"/>
              </w:rPr>
              <w:br/>
            </w:r>
          </w:p>
        </w:tc>
      </w:tr>
    </w:tbl>
    <w:p w14:paraId="448C6359" w14:textId="77777777" w:rsidR="00E95A4A" w:rsidRPr="005E6CEB" w:rsidRDefault="00E95A4A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58CC3196" w14:textId="77777777" w:rsidR="00E95A4A" w:rsidRPr="005E6CEB" w:rsidRDefault="00E95A4A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2C9722AE" w14:textId="77777777" w:rsidR="00EC618B" w:rsidRPr="005E6CEB" w:rsidRDefault="00EC618B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3D1A4939" w14:textId="77777777" w:rsidR="00EC618B" w:rsidRDefault="00EC618B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486F6875" w14:textId="05864740" w:rsidR="008972CE" w:rsidRDefault="008972CE">
      <w:pPr>
        <w:rPr>
          <w:rFonts w:eastAsia="Calibri"/>
          <w:b/>
          <w:color w:val="000000"/>
          <w:lang w:eastAsia="en-US"/>
        </w:rPr>
      </w:pPr>
    </w:p>
    <w:p w14:paraId="75B6F115" w14:textId="15ADD274" w:rsidR="00163CB7" w:rsidRPr="005E6CEB" w:rsidRDefault="001C302F" w:rsidP="000122FF">
      <w:pPr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t>O B R A Z L O Ž E N</w:t>
      </w:r>
      <w:r w:rsidR="00992A01">
        <w:rPr>
          <w:rFonts w:eastAsia="Calibri"/>
          <w:b/>
          <w:color w:val="000000"/>
          <w:lang w:eastAsia="en-US"/>
        </w:rPr>
        <w:t xml:space="preserve"> </w:t>
      </w:r>
      <w:r w:rsidRPr="005E6CEB">
        <w:rPr>
          <w:rFonts w:eastAsia="Calibri"/>
          <w:b/>
          <w:color w:val="000000"/>
          <w:lang w:eastAsia="en-US"/>
        </w:rPr>
        <w:t>J E</w:t>
      </w:r>
    </w:p>
    <w:p w14:paraId="227FB6E3" w14:textId="0B6805B2" w:rsidR="008561E5" w:rsidRPr="005E6CEB" w:rsidRDefault="00B74E9F" w:rsidP="000122FF">
      <w:pPr>
        <w:pStyle w:val="t-9-8"/>
        <w:jc w:val="both"/>
        <w:rPr>
          <w:rFonts w:eastAsia="Times New Roman"/>
          <w:color w:val="000000"/>
          <w:lang w:eastAsia="hr-HR" w:bidi="ta-IN"/>
        </w:rPr>
      </w:pPr>
      <w:r>
        <w:rPr>
          <w:b/>
          <w:bCs/>
          <w:color w:val="000000"/>
        </w:rPr>
        <w:tab/>
      </w:r>
      <w:r w:rsidR="00CD7394" w:rsidRPr="005E6CEB">
        <w:rPr>
          <w:b/>
          <w:bCs/>
          <w:color w:val="000000"/>
        </w:rPr>
        <w:t>Točkom</w:t>
      </w:r>
      <w:r w:rsidR="001C302F" w:rsidRPr="005E6CEB">
        <w:rPr>
          <w:b/>
          <w:bCs/>
          <w:color w:val="000000"/>
        </w:rPr>
        <w:t xml:space="preserve"> I. </w:t>
      </w:r>
      <w:r w:rsidR="003F75D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="00E00518" w:rsidRPr="005E6CEB">
        <w:rPr>
          <w:bCs/>
          <w:color w:val="000000"/>
        </w:rPr>
        <w:t>o</w:t>
      </w:r>
      <w:r w:rsidR="00BB5395" w:rsidRPr="005E6CEB">
        <w:rPr>
          <w:color w:val="000000"/>
        </w:rPr>
        <w:t xml:space="preserve">dređuje se da Hrvatski sabor donosi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dluku o sudjelovanju Oruž</w:t>
      </w:r>
      <w:r w:rsidR="009B6A1D">
        <w:rPr>
          <w:color w:val="000000"/>
        </w:rPr>
        <w:t xml:space="preserve">anih snaga Republike Hrvatske u </w:t>
      </w:r>
      <w:r w:rsidR="000F5CD3" w:rsidRPr="005E6CEB">
        <w:rPr>
          <w:color w:val="000000"/>
        </w:rPr>
        <w:t xml:space="preserve">operaciji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A531A5">
        <w:rPr>
          <w:color w:val="000000"/>
        </w:rPr>
        <w:t>KFOR</w:t>
      </w:r>
      <w:r>
        <w:rPr>
          <w:color w:val="000000"/>
        </w:rPr>
        <w:t xml:space="preserve"> </w:t>
      </w:r>
      <w:r w:rsidR="00AD46DF">
        <w:rPr>
          <w:color w:val="000000"/>
        </w:rPr>
        <w:t>u Republici Kosovu</w:t>
      </w:r>
      <w:r w:rsidR="00C270AA" w:rsidRPr="005E6CEB">
        <w:rPr>
          <w:color w:val="000000"/>
        </w:rPr>
        <w:t xml:space="preserve">. </w:t>
      </w:r>
      <w:r w:rsidR="00BB5395" w:rsidRPr="005E6CEB">
        <w:rPr>
          <w:color w:val="000000"/>
        </w:rPr>
        <w:t xml:space="preserve">Pravni temelj za donošenje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dluke Hrvatskog</w:t>
      </w:r>
      <w:r w:rsidR="00486792">
        <w:rPr>
          <w:color w:val="000000"/>
        </w:rPr>
        <w:t>a</w:t>
      </w:r>
      <w:r w:rsidR="00BB5395" w:rsidRPr="005E6CEB">
        <w:rPr>
          <w:color w:val="000000"/>
        </w:rPr>
        <w:t xml:space="preserve"> sabora je članak 7. stav</w:t>
      </w:r>
      <w:r w:rsidR="00C270AA" w:rsidRPr="005E6CEB">
        <w:rPr>
          <w:color w:val="000000"/>
        </w:rPr>
        <w:t>ak 5. Ustava Republike Hrvatske</w:t>
      </w:r>
      <w:r w:rsidR="00BB5395" w:rsidRPr="005E6CEB">
        <w:rPr>
          <w:color w:val="000000"/>
        </w:rPr>
        <w:t xml:space="preserve"> </w:t>
      </w:r>
      <w:r w:rsidR="00251ACC" w:rsidRPr="005E6CEB">
        <w:rPr>
          <w:color w:val="000000"/>
        </w:rPr>
        <w:t xml:space="preserve">(Narodne novine, br. 85/10 – pročišćeni tekst i 5/14 – Odluka Ustavnog suda Republike Hrvatske) </w:t>
      </w:r>
      <w:r w:rsidR="00BB5395" w:rsidRPr="005E6CEB">
        <w:rPr>
          <w:color w:val="000000"/>
        </w:rPr>
        <w:t>koji propisuje da Oružane snage Republike Hrvatske mogu prijeći njezine granice ili djelovati preko njezinih granica na temelju Odluke Hrvatskog</w:t>
      </w:r>
      <w:r w:rsidR="00AD46DF">
        <w:rPr>
          <w:color w:val="000000"/>
        </w:rPr>
        <w:t>a</w:t>
      </w:r>
      <w:r w:rsidR="00BB5395" w:rsidRPr="005E6CEB">
        <w:rPr>
          <w:color w:val="000000"/>
        </w:rPr>
        <w:t xml:space="preserve"> sabora, koju predlaže Vlada Republike Hrvatske, uz prethodnu suglasnost Predsjedni</w:t>
      </w:r>
      <w:r w:rsidR="00F7594F">
        <w:rPr>
          <w:color w:val="000000"/>
        </w:rPr>
        <w:t>ka</w:t>
      </w:r>
      <w:r w:rsidR="00BB5395" w:rsidRPr="005E6CEB">
        <w:rPr>
          <w:color w:val="000000"/>
        </w:rPr>
        <w:t xml:space="preserve"> Republike Hrvatske. Zakon o obr</w:t>
      </w:r>
      <w:r w:rsidR="00E00518" w:rsidRPr="005E6CEB">
        <w:rPr>
          <w:color w:val="000000"/>
        </w:rPr>
        <w:t xml:space="preserve">ani </w:t>
      </w:r>
      <w:r w:rsidR="00991EB2" w:rsidRPr="005E6CEB">
        <w:rPr>
          <w:color w:val="000000"/>
        </w:rPr>
        <w:t>(</w:t>
      </w:r>
      <w:r w:rsidR="00E00518" w:rsidRPr="005E6CEB">
        <w:rPr>
          <w:color w:val="000000"/>
        </w:rPr>
        <w:t xml:space="preserve">Narodne novine, br. 73/13, 75/15, 27/16, </w:t>
      </w:r>
      <w:r w:rsidR="002152E3" w:rsidRPr="002152E3">
        <w:rPr>
          <w:color w:val="000000"/>
        </w:rPr>
        <w:t>110/17 – Odluka Ustavnog suda Republike Hrvatske</w:t>
      </w:r>
      <w:r w:rsidR="00445725">
        <w:rPr>
          <w:color w:val="000000"/>
        </w:rPr>
        <w:t>,</w:t>
      </w:r>
      <w:r w:rsidR="00E00518" w:rsidRPr="005E6CEB">
        <w:rPr>
          <w:color w:val="000000"/>
        </w:rPr>
        <w:t xml:space="preserve"> 30/18</w:t>
      </w:r>
      <w:r w:rsidR="00260073">
        <w:rPr>
          <w:color w:val="000000"/>
        </w:rPr>
        <w:t>,</w:t>
      </w:r>
      <w:r w:rsidR="00445725">
        <w:rPr>
          <w:color w:val="000000"/>
        </w:rPr>
        <w:t>70/19</w:t>
      </w:r>
      <w:r w:rsidR="00260073">
        <w:rPr>
          <w:color w:val="000000"/>
        </w:rPr>
        <w:t xml:space="preserve"> i 155/23</w:t>
      </w:r>
      <w:r w:rsidR="00BB5395" w:rsidRPr="005E6CEB">
        <w:rPr>
          <w:color w:val="000000"/>
        </w:rPr>
        <w:t xml:space="preserve">) u članku 54. stavku 2. na istovjetan način uređuje ovo područje.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 </w:t>
      </w:r>
      <w:r w:rsidR="00421A55">
        <w:rPr>
          <w:color w:val="000000"/>
        </w:rPr>
        <w:t>operaciju</w:t>
      </w:r>
      <w:r w:rsidR="00421A55" w:rsidRPr="005E6CEB">
        <w:rPr>
          <w:color w:val="000000"/>
        </w:rPr>
        <w:t xml:space="preserve">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A531A5">
        <w:rPr>
          <w:rFonts w:eastAsia="Times New Roman"/>
          <w:color w:val="000000"/>
          <w:lang w:eastAsia="hr-HR" w:bidi="ta-IN"/>
        </w:rPr>
        <w:t>KFOR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</w:t>
      </w:r>
      <w:r w:rsidR="00906B0E">
        <w:rPr>
          <w:rFonts w:eastAsia="Times New Roman"/>
          <w:color w:val="000000"/>
          <w:lang w:eastAsia="hr-HR" w:bidi="ta-IN"/>
        </w:rPr>
        <w:t>na Kosovu</w:t>
      </w:r>
      <w:r w:rsidR="009B6A1D">
        <w:rPr>
          <w:rFonts w:eastAsia="Times New Roman"/>
          <w:color w:val="000000"/>
          <w:lang w:eastAsia="hr-HR" w:bidi="ta-IN"/>
        </w:rPr>
        <w:t xml:space="preserve">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upućuje se u </w:t>
      </w:r>
      <w:r w:rsidR="009C5204" w:rsidRPr="005E6CEB">
        <w:rPr>
          <w:rFonts w:eastAsia="Times New Roman"/>
          <w:color w:val="000000"/>
          <w:lang w:eastAsia="hr-HR" w:bidi="ta-IN"/>
        </w:rPr>
        <w:t>20</w:t>
      </w:r>
      <w:r w:rsidR="00445725">
        <w:rPr>
          <w:rFonts w:eastAsia="Times New Roman"/>
          <w:color w:val="000000"/>
          <w:lang w:eastAsia="hr-HR" w:bidi="ta-IN"/>
        </w:rPr>
        <w:t>2</w:t>
      </w:r>
      <w:r w:rsidR="007652DF">
        <w:rPr>
          <w:rFonts w:eastAsia="Times New Roman"/>
          <w:color w:val="000000"/>
          <w:lang w:eastAsia="hr-HR" w:bidi="ta-IN"/>
        </w:rPr>
        <w:t>5</w:t>
      </w:r>
      <w:r w:rsidR="005E6F99" w:rsidRPr="005E6CEB">
        <w:rPr>
          <w:rFonts w:eastAsia="Times New Roman"/>
          <w:color w:val="000000"/>
          <w:lang w:eastAsia="hr-HR" w:bidi="ta-IN"/>
        </w:rPr>
        <w:t>.</w:t>
      </w:r>
      <w:r w:rsidR="00A531A5">
        <w:rPr>
          <w:rFonts w:eastAsia="Times New Roman"/>
          <w:color w:val="000000"/>
          <w:lang w:eastAsia="hr-HR" w:bidi="ta-IN"/>
        </w:rPr>
        <w:t xml:space="preserve"> i 202</w:t>
      </w:r>
      <w:r w:rsidR="007652DF">
        <w:rPr>
          <w:rFonts w:eastAsia="Times New Roman"/>
          <w:color w:val="000000"/>
          <w:lang w:eastAsia="hr-HR" w:bidi="ta-IN"/>
        </w:rPr>
        <w:t>6</w:t>
      </w:r>
      <w:r w:rsidR="00A531A5">
        <w:rPr>
          <w:rFonts w:eastAsia="Times New Roman"/>
          <w:color w:val="000000"/>
          <w:lang w:eastAsia="hr-HR" w:bidi="ta-IN"/>
        </w:rPr>
        <w:t>.</w:t>
      </w:r>
      <w:r w:rsidR="005E6F99" w:rsidRPr="005E6CEB">
        <w:rPr>
          <w:rFonts w:eastAsia="Times New Roman"/>
          <w:color w:val="000000"/>
          <w:lang w:eastAsia="hr-HR" w:bidi="ta-IN"/>
        </w:rPr>
        <w:t xml:space="preserve"> </w:t>
      </w:r>
      <w:r>
        <w:rPr>
          <w:rFonts w:eastAsia="Times New Roman"/>
          <w:color w:val="000000"/>
          <w:lang w:eastAsia="hr-HR" w:bidi="ta-IN"/>
        </w:rPr>
        <w:t xml:space="preserve">godini </w:t>
      </w:r>
      <w:r w:rsidR="008561E5" w:rsidRPr="005E6CEB">
        <w:rPr>
          <w:rFonts w:eastAsia="Times New Roman"/>
          <w:color w:val="000000"/>
          <w:lang w:eastAsia="hr-HR" w:bidi="ta-IN"/>
        </w:rPr>
        <w:t>do</w:t>
      </w:r>
      <w:r w:rsidR="00465ACE">
        <w:rPr>
          <w:rFonts w:eastAsia="Times New Roman"/>
          <w:color w:val="000000"/>
          <w:lang w:eastAsia="hr-HR" w:bidi="ta-IN"/>
        </w:rPr>
        <w:t xml:space="preserve"> </w:t>
      </w:r>
      <w:r w:rsidR="001D1354">
        <w:rPr>
          <w:rFonts w:eastAsia="Times New Roman"/>
          <w:color w:val="000000"/>
          <w:lang w:eastAsia="hr-HR" w:bidi="ta-IN"/>
        </w:rPr>
        <w:t>200</w:t>
      </w:r>
      <w:r w:rsidR="001D1354" w:rsidRPr="005E6CEB">
        <w:rPr>
          <w:rFonts w:eastAsia="Times New Roman"/>
          <w:color w:val="000000"/>
          <w:lang w:eastAsia="hr-HR" w:bidi="ta-IN"/>
        </w:rPr>
        <w:t xml:space="preserve">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pripadnika </w:t>
      </w:r>
      <w:r w:rsidR="0061272C">
        <w:rPr>
          <w:rFonts w:eastAsia="Times New Roman"/>
          <w:lang w:eastAsia="hr-HR"/>
        </w:rPr>
        <w:t xml:space="preserve">Oružanih snaga Republike </w:t>
      </w:r>
      <w:r w:rsidR="0061272C" w:rsidRPr="00325D71">
        <w:rPr>
          <w:rFonts w:eastAsia="Times New Roman"/>
          <w:lang w:eastAsia="hr-HR"/>
        </w:rPr>
        <w:t xml:space="preserve">Hrvatske </w:t>
      </w:r>
      <w:r w:rsidR="009B6A1D">
        <w:rPr>
          <w:rFonts w:eastAsia="Times New Roman"/>
          <w:color w:val="000000"/>
          <w:lang w:eastAsia="hr-HR" w:bidi="ta-IN"/>
        </w:rPr>
        <w:t>s</w:t>
      </w:r>
      <w:r w:rsidR="00F95E65">
        <w:rPr>
          <w:rFonts w:eastAsia="Times New Roman"/>
          <w:color w:val="000000"/>
          <w:lang w:eastAsia="hr-HR" w:bidi="ta-IN"/>
        </w:rPr>
        <w:t xml:space="preserve"> do</w:t>
      </w:r>
      <w:r w:rsidR="009B6A1D">
        <w:rPr>
          <w:rFonts w:eastAsia="Times New Roman"/>
          <w:color w:val="000000"/>
          <w:lang w:eastAsia="hr-HR" w:bidi="ta-IN"/>
        </w:rPr>
        <w:t xml:space="preserve"> </w:t>
      </w:r>
      <w:r w:rsidR="009C5204" w:rsidRPr="00325D71">
        <w:rPr>
          <w:rFonts w:eastAsia="Times New Roman"/>
          <w:color w:val="000000"/>
          <w:lang w:eastAsia="hr-HR" w:bidi="ta-IN"/>
        </w:rPr>
        <w:t xml:space="preserve">dva </w:t>
      </w:r>
      <w:r w:rsidR="00A531A5" w:rsidRPr="00325D71">
        <w:rPr>
          <w:rFonts w:eastAsia="Times New Roman"/>
          <w:color w:val="000000"/>
          <w:lang w:eastAsia="hr-HR" w:bidi="ta-IN"/>
        </w:rPr>
        <w:t>helikoptera</w:t>
      </w:r>
      <w:r w:rsidR="00032A7D" w:rsidRPr="00325D71">
        <w:rPr>
          <w:rFonts w:eastAsia="Times New Roman"/>
          <w:color w:val="000000"/>
          <w:lang w:eastAsia="hr-HR" w:bidi="ta-IN"/>
        </w:rPr>
        <w:t xml:space="preserve"> </w:t>
      </w:r>
      <w:r w:rsidR="0061272C" w:rsidRPr="00325D71">
        <w:rPr>
          <w:rFonts w:eastAsia="Times New Roman"/>
          <w:color w:val="000000"/>
          <w:lang w:eastAsia="hr-HR" w:bidi="ta-IN"/>
        </w:rPr>
        <w:t>Hrvatskog</w:t>
      </w:r>
      <w:r w:rsidR="00486792">
        <w:rPr>
          <w:rFonts w:eastAsia="Times New Roman"/>
          <w:color w:val="000000"/>
          <w:lang w:eastAsia="hr-HR" w:bidi="ta-IN"/>
        </w:rPr>
        <w:t>a</w:t>
      </w:r>
      <w:r w:rsidR="0061272C" w:rsidRPr="00325D71">
        <w:rPr>
          <w:rFonts w:eastAsia="Times New Roman"/>
          <w:color w:val="000000"/>
          <w:lang w:eastAsia="hr-HR" w:bidi="ta-IN"/>
        </w:rPr>
        <w:t xml:space="preserve"> ratnog zrakoplovstva</w:t>
      </w:r>
      <w:r w:rsidR="005F3C48" w:rsidRPr="00325D71">
        <w:rPr>
          <w:rFonts w:eastAsia="Times New Roman"/>
          <w:color w:val="000000"/>
          <w:lang w:eastAsia="hr-HR" w:bidi="ta-IN"/>
        </w:rPr>
        <w:t>, uz mogućnost rotacije</w:t>
      </w:r>
      <w:r w:rsidR="004B156A" w:rsidRPr="00325D71">
        <w:rPr>
          <w:rFonts w:eastAsia="Times New Roman"/>
          <w:color w:val="000000"/>
          <w:lang w:eastAsia="hr-HR" w:bidi="ta-IN"/>
        </w:rPr>
        <w:t>.</w:t>
      </w:r>
    </w:p>
    <w:p w14:paraId="1897EB73" w14:textId="2204C027" w:rsidR="00E95A4A" w:rsidRPr="00F03092" w:rsidRDefault="000116C9" w:rsidP="00B74E9F">
      <w:pPr>
        <w:pStyle w:val="t-9-8"/>
        <w:ind w:firstLine="708"/>
        <w:jc w:val="both"/>
        <w:rPr>
          <w:rFonts w:eastAsia="Times New Roman"/>
          <w:color w:val="000000"/>
          <w:lang w:eastAsia="hr-HR" w:bidi="ta-IN"/>
        </w:rPr>
      </w:pPr>
      <w:r>
        <w:rPr>
          <w:b/>
        </w:rPr>
        <w:t>Točkom</w:t>
      </w:r>
      <w:r>
        <w:t xml:space="preserve"> </w:t>
      </w:r>
      <w:r>
        <w:rPr>
          <w:b/>
          <w:bCs/>
        </w:rPr>
        <w:t>II.</w:t>
      </w:r>
      <w:r w:rsidR="00F03092">
        <w:rPr>
          <w:b/>
          <w:bCs/>
        </w:rPr>
        <w:t xml:space="preserve"> </w:t>
      </w:r>
      <w:r w:rsidR="00B74E9F">
        <w:rPr>
          <w:b/>
          <w:bCs/>
        </w:rPr>
        <w:tab/>
      </w:r>
      <w:r w:rsidR="00F03092">
        <w:rPr>
          <w:color w:val="000000"/>
          <w:lang w:bidi="ta-IN"/>
        </w:rPr>
        <w:t>utvrđuje se da će i</w:t>
      </w:r>
      <w:r w:rsidR="00F03092" w:rsidRPr="00154F1B">
        <w:rPr>
          <w:color w:val="000000"/>
          <w:lang w:bidi="ta-IN"/>
        </w:rPr>
        <w:t xml:space="preserve">zvješće o sudjelovanju </w:t>
      </w:r>
      <w:r w:rsidR="00F03092" w:rsidRPr="00154F1B">
        <w:t xml:space="preserve">Oružanih snaga Republike Hrvatske u </w:t>
      </w:r>
      <w:r w:rsidR="00F03092">
        <w:t xml:space="preserve">operaciji potpore miru </w:t>
      </w:r>
      <w:r w:rsidR="00F03092" w:rsidRPr="00154F1B">
        <w:rPr>
          <w:color w:val="000000"/>
          <w:lang w:bidi="ta-IN"/>
        </w:rPr>
        <w:t xml:space="preserve">iz točke I. ove Odluke </w:t>
      </w:r>
      <w:r w:rsidR="00F03092">
        <w:rPr>
          <w:color w:val="000000"/>
          <w:lang w:bidi="ta-IN"/>
        </w:rPr>
        <w:t>biti dio G</w:t>
      </w:r>
      <w:r w:rsidR="00F03092" w:rsidRPr="00154F1B">
        <w:rPr>
          <w:color w:val="000000"/>
          <w:lang w:bidi="ta-IN"/>
        </w:rPr>
        <w:t>odi</w:t>
      </w:r>
      <w:r w:rsidR="00F03092">
        <w:rPr>
          <w:color w:val="000000"/>
          <w:lang w:bidi="ta-IN"/>
        </w:rPr>
        <w:t xml:space="preserve">šnjeg izvješća </w:t>
      </w:r>
      <w:r w:rsidR="00F03092" w:rsidRPr="00154F1B">
        <w:rPr>
          <w:color w:val="000000"/>
          <w:lang w:bidi="ta-IN"/>
        </w:rPr>
        <w:t xml:space="preserve">o obrani koje Vlada Republike Hrvatske </w:t>
      </w:r>
      <w:r w:rsidR="00F03092">
        <w:rPr>
          <w:color w:val="000000"/>
          <w:lang w:bidi="ta-IN"/>
        </w:rPr>
        <w:t xml:space="preserve">podnosi </w:t>
      </w:r>
      <w:r w:rsidR="00F03092" w:rsidRPr="00154F1B">
        <w:rPr>
          <w:color w:val="000000"/>
          <w:lang w:bidi="ta-IN"/>
        </w:rPr>
        <w:t xml:space="preserve">Hrvatskome saboru. </w:t>
      </w:r>
    </w:p>
    <w:p w14:paraId="17304B1C" w14:textId="77777777" w:rsidR="005655EF" w:rsidRDefault="00E95A4A" w:rsidP="00B74E9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E6CEB">
        <w:rPr>
          <w:b/>
          <w:color w:val="000000"/>
        </w:rPr>
        <w:t>Točkom III.</w:t>
      </w:r>
      <w:r w:rsidRPr="005E6CEB">
        <w:rPr>
          <w:color w:val="000000"/>
        </w:rPr>
        <w:t xml:space="preserve"> </w:t>
      </w:r>
      <w:r w:rsidR="00F1338D">
        <w:rPr>
          <w:color w:val="000000"/>
        </w:rPr>
        <w:t xml:space="preserve"> određuje </w:t>
      </w:r>
      <w:r w:rsidR="00E00518" w:rsidRPr="005E6CEB">
        <w:rPr>
          <w:color w:val="000000"/>
        </w:rPr>
        <w:t xml:space="preserve">se stupanje na snagu </w:t>
      </w:r>
      <w:r w:rsidR="00D86975">
        <w:rPr>
          <w:color w:val="000000"/>
        </w:rPr>
        <w:t xml:space="preserve">ove </w:t>
      </w:r>
      <w:r w:rsidR="00E00518" w:rsidRPr="005E6CEB">
        <w:rPr>
          <w:color w:val="000000"/>
        </w:rPr>
        <w:t>Odluke.</w:t>
      </w:r>
    </w:p>
    <w:p w14:paraId="32BE2AB8" w14:textId="77777777" w:rsidR="006648F8" w:rsidRDefault="006648F8" w:rsidP="006648F8">
      <w:pPr>
        <w:pStyle w:val="klasa2"/>
        <w:jc w:val="both"/>
        <w:rPr>
          <w:color w:val="000000"/>
        </w:rPr>
      </w:pPr>
    </w:p>
    <w:sectPr w:rsidR="006648F8" w:rsidSect="00B724D1">
      <w:footerReference w:type="even" r:id="rId9"/>
      <w:footerReference w:type="default" r:id="rId10"/>
      <w:pgSz w:w="12240" w:h="15840"/>
      <w:pgMar w:top="1417" w:right="1417" w:bottom="851" w:left="1417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DFC499" w16cex:dateUtc="2024-05-12T21:50:00Z"/>
  <w16cex:commentExtensible w16cex:durableId="132C1DAD" w16cex:dateUtc="2024-05-12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234C2E4" w16cid:durableId="5ADFC499"/>
  <w16cid:commentId w16cid:paraId="1E175778" w16cid:durableId="132C1D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4BBE" w14:textId="77777777" w:rsidR="009C78EC" w:rsidRDefault="009C78EC">
      <w:r>
        <w:separator/>
      </w:r>
    </w:p>
  </w:endnote>
  <w:endnote w:type="continuationSeparator" w:id="0">
    <w:p w14:paraId="0163853D" w14:textId="77777777" w:rsidR="009C78EC" w:rsidRDefault="009C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551" w14:textId="77777777" w:rsidR="00563A49" w:rsidRDefault="00563A49" w:rsidP="006E422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CD6E14" w14:textId="77777777" w:rsidR="00563A49" w:rsidRDefault="00563A49" w:rsidP="008D1EC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76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78BE1" w14:textId="33B96B76" w:rsidR="00D7748D" w:rsidRDefault="00D7748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E2722" w14:textId="77777777" w:rsidR="00563A49" w:rsidRDefault="00563A49" w:rsidP="008D1EC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CE1E" w14:textId="77777777" w:rsidR="009C78EC" w:rsidRDefault="009C78EC">
      <w:r>
        <w:separator/>
      </w:r>
    </w:p>
  </w:footnote>
  <w:footnote w:type="continuationSeparator" w:id="0">
    <w:p w14:paraId="379E3280" w14:textId="77777777" w:rsidR="009C78EC" w:rsidRDefault="009C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F"/>
    <w:rsid w:val="00003788"/>
    <w:rsid w:val="000052CF"/>
    <w:rsid w:val="00011605"/>
    <w:rsid w:val="000116C9"/>
    <w:rsid w:val="00011B20"/>
    <w:rsid w:val="000122FF"/>
    <w:rsid w:val="000147E8"/>
    <w:rsid w:val="0001537E"/>
    <w:rsid w:val="00016F9D"/>
    <w:rsid w:val="00017DD9"/>
    <w:rsid w:val="00020773"/>
    <w:rsid w:val="000209D8"/>
    <w:rsid w:val="000211B6"/>
    <w:rsid w:val="000234DC"/>
    <w:rsid w:val="00026322"/>
    <w:rsid w:val="00026444"/>
    <w:rsid w:val="00027065"/>
    <w:rsid w:val="00032A7D"/>
    <w:rsid w:val="00034987"/>
    <w:rsid w:val="00035B24"/>
    <w:rsid w:val="00041483"/>
    <w:rsid w:val="00042316"/>
    <w:rsid w:val="0004429E"/>
    <w:rsid w:val="00050A7A"/>
    <w:rsid w:val="00052A45"/>
    <w:rsid w:val="00053D73"/>
    <w:rsid w:val="000563D0"/>
    <w:rsid w:val="000564C9"/>
    <w:rsid w:val="00057FDE"/>
    <w:rsid w:val="00065BF3"/>
    <w:rsid w:val="000675E8"/>
    <w:rsid w:val="000707C9"/>
    <w:rsid w:val="00070BA6"/>
    <w:rsid w:val="00076C36"/>
    <w:rsid w:val="000806A9"/>
    <w:rsid w:val="00080981"/>
    <w:rsid w:val="00090290"/>
    <w:rsid w:val="0009061E"/>
    <w:rsid w:val="000939B3"/>
    <w:rsid w:val="00094364"/>
    <w:rsid w:val="00096913"/>
    <w:rsid w:val="00097016"/>
    <w:rsid w:val="00097376"/>
    <w:rsid w:val="000A0BC3"/>
    <w:rsid w:val="000A60FA"/>
    <w:rsid w:val="000B0397"/>
    <w:rsid w:val="000B333D"/>
    <w:rsid w:val="000B4161"/>
    <w:rsid w:val="000B6F3B"/>
    <w:rsid w:val="000C06FF"/>
    <w:rsid w:val="000C382D"/>
    <w:rsid w:val="000C538A"/>
    <w:rsid w:val="000C7C25"/>
    <w:rsid w:val="000D047F"/>
    <w:rsid w:val="000D0DED"/>
    <w:rsid w:val="000D1D0D"/>
    <w:rsid w:val="000D2948"/>
    <w:rsid w:val="000D619B"/>
    <w:rsid w:val="000D62B1"/>
    <w:rsid w:val="000D7BAA"/>
    <w:rsid w:val="000E6978"/>
    <w:rsid w:val="000F09CB"/>
    <w:rsid w:val="000F1831"/>
    <w:rsid w:val="000F3341"/>
    <w:rsid w:val="000F35AB"/>
    <w:rsid w:val="000F5CD3"/>
    <w:rsid w:val="0010380E"/>
    <w:rsid w:val="00104C46"/>
    <w:rsid w:val="0010746B"/>
    <w:rsid w:val="00113DEC"/>
    <w:rsid w:val="00113E6B"/>
    <w:rsid w:val="00116E57"/>
    <w:rsid w:val="00120E8C"/>
    <w:rsid w:val="0012283A"/>
    <w:rsid w:val="001262D5"/>
    <w:rsid w:val="00126646"/>
    <w:rsid w:val="0013403A"/>
    <w:rsid w:val="00135A49"/>
    <w:rsid w:val="0013650B"/>
    <w:rsid w:val="0013781C"/>
    <w:rsid w:val="00137FA8"/>
    <w:rsid w:val="00140270"/>
    <w:rsid w:val="0014100D"/>
    <w:rsid w:val="001424BA"/>
    <w:rsid w:val="00142F56"/>
    <w:rsid w:val="00146B48"/>
    <w:rsid w:val="00147666"/>
    <w:rsid w:val="00151145"/>
    <w:rsid w:val="00154EFF"/>
    <w:rsid w:val="00157705"/>
    <w:rsid w:val="001621FB"/>
    <w:rsid w:val="00163CB7"/>
    <w:rsid w:val="001655AD"/>
    <w:rsid w:val="001666ED"/>
    <w:rsid w:val="001804DA"/>
    <w:rsid w:val="00180894"/>
    <w:rsid w:val="00180D2F"/>
    <w:rsid w:val="00181587"/>
    <w:rsid w:val="00184206"/>
    <w:rsid w:val="00187462"/>
    <w:rsid w:val="00190AE6"/>
    <w:rsid w:val="001925B3"/>
    <w:rsid w:val="001934DB"/>
    <w:rsid w:val="0019384E"/>
    <w:rsid w:val="00193FC1"/>
    <w:rsid w:val="001A16D0"/>
    <w:rsid w:val="001A276D"/>
    <w:rsid w:val="001A331C"/>
    <w:rsid w:val="001A365F"/>
    <w:rsid w:val="001A38C8"/>
    <w:rsid w:val="001B1E0C"/>
    <w:rsid w:val="001B4EA1"/>
    <w:rsid w:val="001B60C1"/>
    <w:rsid w:val="001B692B"/>
    <w:rsid w:val="001C209B"/>
    <w:rsid w:val="001C302F"/>
    <w:rsid w:val="001C3D78"/>
    <w:rsid w:val="001C5B87"/>
    <w:rsid w:val="001C64AA"/>
    <w:rsid w:val="001C6E1E"/>
    <w:rsid w:val="001D1354"/>
    <w:rsid w:val="001E1933"/>
    <w:rsid w:val="001E2AC9"/>
    <w:rsid w:val="001E31B4"/>
    <w:rsid w:val="001E3C16"/>
    <w:rsid w:val="001E660A"/>
    <w:rsid w:val="001F11D6"/>
    <w:rsid w:val="001F216D"/>
    <w:rsid w:val="001F7E46"/>
    <w:rsid w:val="00204536"/>
    <w:rsid w:val="002108AC"/>
    <w:rsid w:val="00211917"/>
    <w:rsid w:val="00212DD6"/>
    <w:rsid w:val="0021460F"/>
    <w:rsid w:val="002152E3"/>
    <w:rsid w:val="00216113"/>
    <w:rsid w:val="00217FCF"/>
    <w:rsid w:val="002244AD"/>
    <w:rsid w:val="00226234"/>
    <w:rsid w:val="002315EC"/>
    <w:rsid w:val="00234ED2"/>
    <w:rsid w:val="00235A12"/>
    <w:rsid w:val="0024062B"/>
    <w:rsid w:val="00241C06"/>
    <w:rsid w:val="0024245C"/>
    <w:rsid w:val="002475C6"/>
    <w:rsid w:val="002506FE"/>
    <w:rsid w:val="00250E8C"/>
    <w:rsid w:val="00251ACC"/>
    <w:rsid w:val="00251F6A"/>
    <w:rsid w:val="002520AD"/>
    <w:rsid w:val="00252155"/>
    <w:rsid w:val="002564EF"/>
    <w:rsid w:val="00257B9E"/>
    <w:rsid w:val="00257E84"/>
    <w:rsid w:val="00260073"/>
    <w:rsid w:val="00262FDF"/>
    <w:rsid w:val="00267A79"/>
    <w:rsid w:val="00271768"/>
    <w:rsid w:val="00273A04"/>
    <w:rsid w:val="002763A3"/>
    <w:rsid w:val="002835D8"/>
    <w:rsid w:val="00287C91"/>
    <w:rsid w:val="00297DE6"/>
    <w:rsid w:val="002A2FEF"/>
    <w:rsid w:val="002A35FC"/>
    <w:rsid w:val="002A5604"/>
    <w:rsid w:val="002B2E92"/>
    <w:rsid w:val="002B7734"/>
    <w:rsid w:val="002C128B"/>
    <w:rsid w:val="002C2A50"/>
    <w:rsid w:val="002C346F"/>
    <w:rsid w:val="002D0E4C"/>
    <w:rsid w:val="002D2FA0"/>
    <w:rsid w:val="002D4DA2"/>
    <w:rsid w:val="002D581F"/>
    <w:rsid w:val="002D6964"/>
    <w:rsid w:val="002D7B28"/>
    <w:rsid w:val="002E2CCE"/>
    <w:rsid w:val="002E33C7"/>
    <w:rsid w:val="002E3F58"/>
    <w:rsid w:val="002E5A83"/>
    <w:rsid w:val="002F4DCB"/>
    <w:rsid w:val="002F72F5"/>
    <w:rsid w:val="003011A1"/>
    <w:rsid w:val="003019AA"/>
    <w:rsid w:val="0030625E"/>
    <w:rsid w:val="00307397"/>
    <w:rsid w:val="00310D72"/>
    <w:rsid w:val="003114F3"/>
    <w:rsid w:val="00313EA8"/>
    <w:rsid w:val="00314994"/>
    <w:rsid w:val="00317FFB"/>
    <w:rsid w:val="0032170F"/>
    <w:rsid w:val="00324639"/>
    <w:rsid w:val="00325D71"/>
    <w:rsid w:val="00331973"/>
    <w:rsid w:val="0033725F"/>
    <w:rsid w:val="00351CC0"/>
    <w:rsid w:val="0036485E"/>
    <w:rsid w:val="00364DC7"/>
    <w:rsid w:val="0036627F"/>
    <w:rsid w:val="00370529"/>
    <w:rsid w:val="00375852"/>
    <w:rsid w:val="0037636B"/>
    <w:rsid w:val="0038331A"/>
    <w:rsid w:val="00385041"/>
    <w:rsid w:val="00385F4C"/>
    <w:rsid w:val="00386974"/>
    <w:rsid w:val="003873AE"/>
    <w:rsid w:val="00393A28"/>
    <w:rsid w:val="00393FC5"/>
    <w:rsid w:val="00394EF3"/>
    <w:rsid w:val="003A427C"/>
    <w:rsid w:val="003A66DB"/>
    <w:rsid w:val="003B0959"/>
    <w:rsid w:val="003B42D1"/>
    <w:rsid w:val="003B4C27"/>
    <w:rsid w:val="003B4D27"/>
    <w:rsid w:val="003B6391"/>
    <w:rsid w:val="003B7463"/>
    <w:rsid w:val="003C6EE5"/>
    <w:rsid w:val="003D523D"/>
    <w:rsid w:val="003D540D"/>
    <w:rsid w:val="003D7698"/>
    <w:rsid w:val="003E0ED5"/>
    <w:rsid w:val="003E3BF6"/>
    <w:rsid w:val="003E46C5"/>
    <w:rsid w:val="003E51C0"/>
    <w:rsid w:val="003E765D"/>
    <w:rsid w:val="003F06CF"/>
    <w:rsid w:val="003F118E"/>
    <w:rsid w:val="003F6955"/>
    <w:rsid w:val="003F75D4"/>
    <w:rsid w:val="003F769F"/>
    <w:rsid w:val="004005CE"/>
    <w:rsid w:val="00400648"/>
    <w:rsid w:val="0040120F"/>
    <w:rsid w:val="004031D5"/>
    <w:rsid w:val="00403D48"/>
    <w:rsid w:val="00404E11"/>
    <w:rsid w:val="00405283"/>
    <w:rsid w:val="004056EA"/>
    <w:rsid w:val="004071ED"/>
    <w:rsid w:val="00420645"/>
    <w:rsid w:val="00421A55"/>
    <w:rsid w:val="00426567"/>
    <w:rsid w:val="00442959"/>
    <w:rsid w:val="00445110"/>
    <w:rsid w:val="00445725"/>
    <w:rsid w:val="00445BB1"/>
    <w:rsid w:val="00445E94"/>
    <w:rsid w:val="00453E70"/>
    <w:rsid w:val="00456593"/>
    <w:rsid w:val="004601C7"/>
    <w:rsid w:val="004626E2"/>
    <w:rsid w:val="0046323F"/>
    <w:rsid w:val="004649F0"/>
    <w:rsid w:val="00465ACE"/>
    <w:rsid w:val="00466463"/>
    <w:rsid w:val="00466C70"/>
    <w:rsid w:val="004708E6"/>
    <w:rsid w:val="00473C88"/>
    <w:rsid w:val="00474573"/>
    <w:rsid w:val="00486792"/>
    <w:rsid w:val="00486FAF"/>
    <w:rsid w:val="00487C3C"/>
    <w:rsid w:val="004914B2"/>
    <w:rsid w:val="004915B6"/>
    <w:rsid w:val="00493D27"/>
    <w:rsid w:val="004968D8"/>
    <w:rsid w:val="00497CCD"/>
    <w:rsid w:val="004A18BD"/>
    <w:rsid w:val="004A339A"/>
    <w:rsid w:val="004A7583"/>
    <w:rsid w:val="004A7733"/>
    <w:rsid w:val="004A79D4"/>
    <w:rsid w:val="004B156A"/>
    <w:rsid w:val="004B639E"/>
    <w:rsid w:val="004B78CC"/>
    <w:rsid w:val="004C07FB"/>
    <w:rsid w:val="004C1AA1"/>
    <w:rsid w:val="004C2551"/>
    <w:rsid w:val="004C285A"/>
    <w:rsid w:val="004C5137"/>
    <w:rsid w:val="004D1BBB"/>
    <w:rsid w:val="004D2B44"/>
    <w:rsid w:val="004D5206"/>
    <w:rsid w:val="004E01AB"/>
    <w:rsid w:val="004E0CD6"/>
    <w:rsid w:val="004E1115"/>
    <w:rsid w:val="004E2777"/>
    <w:rsid w:val="004E6424"/>
    <w:rsid w:val="004E74A0"/>
    <w:rsid w:val="004F0831"/>
    <w:rsid w:val="004F4A27"/>
    <w:rsid w:val="004F5A25"/>
    <w:rsid w:val="004F6BBB"/>
    <w:rsid w:val="00503403"/>
    <w:rsid w:val="00507914"/>
    <w:rsid w:val="00514708"/>
    <w:rsid w:val="00515805"/>
    <w:rsid w:val="005158A3"/>
    <w:rsid w:val="005204C6"/>
    <w:rsid w:val="00520FF5"/>
    <w:rsid w:val="005215EB"/>
    <w:rsid w:val="00524514"/>
    <w:rsid w:val="005254C9"/>
    <w:rsid w:val="00525D6A"/>
    <w:rsid w:val="00536FFD"/>
    <w:rsid w:val="0054140F"/>
    <w:rsid w:val="005437F4"/>
    <w:rsid w:val="005500E4"/>
    <w:rsid w:val="00550709"/>
    <w:rsid w:val="0055095F"/>
    <w:rsid w:val="005519AC"/>
    <w:rsid w:val="00551AE1"/>
    <w:rsid w:val="00561737"/>
    <w:rsid w:val="00563A49"/>
    <w:rsid w:val="00563BC7"/>
    <w:rsid w:val="005655EF"/>
    <w:rsid w:val="00566F1E"/>
    <w:rsid w:val="0057183A"/>
    <w:rsid w:val="0057239B"/>
    <w:rsid w:val="00577221"/>
    <w:rsid w:val="005777B5"/>
    <w:rsid w:val="005810E9"/>
    <w:rsid w:val="00581143"/>
    <w:rsid w:val="00581539"/>
    <w:rsid w:val="005829D7"/>
    <w:rsid w:val="00585964"/>
    <w:rsid w:val="005869AA"/>
    <w:rsid w:val="00587229"/>
    <w:rsid w:val="0059018F"/>
    <w:rsid w:val="00591698"/>
    <w:rsid w:val="005A0BB3"/>
    <w:rsid w:val="005A2207"/>
    <w:rsid w:val="005A563C"/>
    <w:rsid w:val="005B1020"/>
    <w:rsid w:val="005B20F0"/>
    <w:rsid w:val="005B3E79"/>
    <w:rsid w:val="005C29B6"/>
    <w:rsid w:val="005C3BA8"/>
    <w:rsid w:val="005C56BE"/>
    <w:rsid w:val="005C59F1"/>
    <w:rsid w:val="005C5B1C"/>
    <w:rsid w:val="005C7221"/>
    <w:rsid w:val="005D0069"/>
    <w:rsid w:val="005D009F"/>
    <w:rsid w:val="005D7AFE"/>
    <w:rsid w:val="005D7DCF"/>
    <w:rsid w:val="005E2DD0"/>
    <w:rsid w:val="005E32AD"/>
    <w:rsid w:val="005E4FEA"/>
    <w:rsid w:val="005E5880"/>
    <w:rsid w:val="005E6CEB"/>
    <w:rsid w:val="005E6F99"/>
    <w:rsid w:val="005E7D27"/>
    <w:rsid w:val="005F3C48"/>
    <w:rsid w:val="005F4BD8"/>
    <w:rsid w:val="005F54DF"/>
    <w:rsid w:val="005F6F67"/>
    <w:rsid w:val="00600283"/>
    <w:rsid w:val="0060255B"/>
    <w:rsid w:val="00603861"/>
    <w:rsid w:val="00605DE9"/>
    <w:rsid w:val="0060655A"/>
    <w:rsid w:val="00607043"/>
    <w:rsid w:val="0061159F"/>
    <w:rsid w:val="0061272C"/>
    <w:rsid w:val="0061584C"/>
    <w:rsid w:val="00617AA7"/>
    <w:rsid w:val="00622221"/>
    <w:rsid w:val="00624555"/>
    <w:rsid w:val="00624771"/>
    <w:rsid w:val="00625303"/>
    <w:rsid w:val="006259C6"/>
    <w:rsid w:val="00626D8E"/>
    <w:rsid w:val="00627D97"/>
    <w:rsid w:val="00632750"/>
    <w:rsid w:val="00636146"/>
    <w:rsid w:val="00636256"/>
    <w:rsid w:val="006366A3"/>
    <w:rsid w:val="006428B4"/>
    <w:rsid w:val="00643102"/>
    <w:rsid w:val="00643DC7"/>
    <w:rsid w:val="00654B6E"/>
    <w:rsid w:val="006564A2"/>
    <w:rsid w:val="00657BFB"/>
    <w:rsid w:val="00663368"/>
    <w:rsid w:val="006648F8"/>
    <w:rsid w:val="00670023"/>
    <w:rsid w:val="00671431"/>
    <w:rsid w:val="00673B7C"/>
    <w:rsid w:val="00677716"/>
    <w:rsid w:val="00681267"/>
    <w:rsid w:val="00681311"/>
    <w:rsid w:val="0068155A"/>
    <w:rsid w:val="00691C2C"/>
    <w:rsid w:val="00695348"/>
    <w:rsid w:val="006A01E7"/>
    <w:rsid w:val="006A0713"/>
    <w:rsid w:val="006A7BD7"/>
    <w:rsid w:val="006B0332"/>
    <w:rsid w:val="006B0C65"/>
    <w:rsid w:val="006B1577"/>
    <w:rsid w:val="006B166C"/>
    <w:rsid w:val="006B2D56"/>
    <w:rsid w:val="006B4B60"/>
    <w:rsid w:val="006B4F50"/>
    <w:rsid w:val="006B71A4"/>
    <w:rsid w:val="006C2DF2"/>
    <w:rsid w:val="006C5560"/>
    <w:rsid w:val="006C7AF4"/>
    <w:rsid w:val="006D338C"/>
    <w:rsid w:val="006D40A1"/>
    <w:rsid w:val="006D68DF"/>
    <w:rsid w:val="006E1BDE"/>
    <w:rsid w:val="006E4227"/>
    <w:rsid w:val="006E53D2"/>
    <w:rsid w:val="006E5435"/>
    <w:rsid w:val="00702EAC"/>
    <w:rsid w:val="00703EEB"/>
    <w:rsid w:val="00712283"/>
    <w:rsid w:val="007122E2"/>
    <w:rsid w:val="007161B4"/>
    <w:rsid w:val="007171F7"/>
    <w:rsid w:val="00717EF8"/>
    <w:rsid w:val="0072053C"/>
    <w:rsid w:val="00723C50"/>
    <w:rsid w:val="0072409C"/>
    <w:rsid w:val="00727AAD"/>
    <w:rsid w:val="007333B8"/>
    <w:rsid w:val="007335BF"/>
    <w:rsid w:val="00734F19"/>
    <w:rsid w:val="0074165A"/>
    <w:rsid w:val="00744410"/>
    <w:rsid w:val="0074754E"/>
    <w:rsid w:val="00750F29"/>
    <w:rsid w:val="007517C8"/>
    <w:rsid w:val="00756061"/>
    <w:rsid w:val="007652DF"/>
    <w:rsid w:val="00765FD9"/>
    <w:rsid w:val="007673CC"/>
    <w:rsid w:val="007709B6"/>
    <w:rsid w:val="00771DC4"/>
    <w:rsid w:val="007738B5"/>
    <w:rsid w:val="00773F90"/>
    <w:rsid w:val="007746F1"/>
    <w:rsid w:val="007763ED"/>
    <w:rsid w:val="00783BA5"/>
    <w:rsid w:val="00783CC0"/>
    <w:rsid w:val="00787DF5"/>
    <w:rsid w:val="00790B01"/>
    <w:rsid w:val="007922F6"/>
    <w:rsid w:val="0079298F"/>
    <w:rsid w:val="00795601"/>
    <w:rsid w:val="007A0310"/>
    <w:rsid w:val="007A06B8"/>
    <w:rsid w:val="007A0B78"/>
    <w:rsid w:val="007A3D7A"/>
    <w:rsid w:val="007A7083"/>
    <w:rsid w:val="007A71EC"/>
    <w:rsid w:val="007A7EBE"/>
    <w:rsid w:val="007C105C"/>
    <w:rsid w:val="007C7444"/>
    <w:rsid w:val="007D049C"/>
    <w:rsid w:val="007D3CC2"/>
    <w:rsid w:val="007D3EBD"/>
    <w:rsid w:val="007D5818"/>
    <w:rsid w:val="007D5B82"/>
    <w:rsid w:val="007D6271"/>
    <w:rsid w:val="007D7697"/>
    <w:rsid w:val="007E0034"/>
    <w:rsid w:val="007E14A5"/>
    <w:rsid w:val="007E57CB"/>
    <w:rsid w:val="007E76E0"/>
    <w:rsid w:val="007F2497"/>
    <w:rsid w:val="007F2958"/>
    <w:rsid w:val="007F34AA"/>
    <w:rsid w:val="007F4CE0"/>
    <w:rsid w:val="007F673E"/>
    <w:rsid w:val="007F7331"/>
    <w:rsid w:val="0080056A"/>
    <w:rsid w:val="00801ADB"/>
    <w:rsid w:val="00803C3E"/>
    <w:rsid w:val="00806717"/>
    <w:rsid w:val="00810F84"/>
    <w:rsid w:val="008123C9"/>
    <w:rsid w:val="00815F72"/>
    <w:rsid w:val="00825B4A"/>
    <w:rsid w:val="00825FC1"/>
    <w:rsid w:val="008271F5"/>
    <w:rsid w:val="00833207"/>
    <w:rsid w:val="00837A8D"/>
    <w:rsid w:val="00840A38"/>
    <w:rsid w:val="00841328"/>
    <w:rsid w:val="008452D5"/>
    <w:rsid w:val="00851754"/>
    <w:rsid w:val="00852500"/>
    <w:rsid w:val="008533D1"/>
    <w:rsid w:val="0085433F"/>
    <w:rsid w:val="008561E5"/>
    <w:rsid w:val="00856EB9"/>
    <w:rsid w:val="00857FFA"/>
    <w:rsid w:val="0087329E"/>
    <w:rsid w:val="0087709B"/>
    <w:rsid w:val="00883EAD"/>
    <w:rsid w:val="00891CD8"/>
    <w:rsid w:val="008972CE"/>
    <w:rsid w:val="008A6FFA"/>
    <w:rsid w:val="008B38B7"/>
    <w:rsid w:val="008C0A76"/>
    <w:rsid w:val="008C4224"/>
    <w:rsid w:val="008C615C"/>
    <w:rsid w:val="008D1EC5"/>
    <w:rsid w:val="008D38EA"/>
    <w:rsid w:val="008D4A42"/>
    <w:rsid w:val="008D5651"/>
    <w:rsid w:val="008E1A7B"/>
    <w:rsid w:val="008E1F96"/>
    <w:rsid w:val="008F3ED6"/>
    <w:rsid w:val="008F5C16"/>
    <w:rsid w:val="00900463"/>
    <w:rsid w:val="009010E3"/>
    <w:rsid w:val="0090269F"/>
    <w:rsid w:val="00902CBE"/>
    <w:rsid w:val="009044C2"/>
    <w:rsid w:val="00906805"/>
    <w:rsid w:val="009069B0"/>
    <w:rsid w:val="00906B0E"/>
    <w:rsid w:val="00913B5C"/>
    <w:rsid w:val="00915525"/>
    <w:rsid w:val="009155A5"/>
    <w:rsid w:val="009221A4"/>
    <w:rsid w:val="00922A33"/>
    <w:rsid w:val="00923824"/>
    <w:rsid w:val="009256E9"/>
    <w:rsid w:val="00926CDD"/>
    <w:rsid w:val="0092773D"/>
    <w:rsid w:val="0092784E"/>
    <w:rsid w:val="00930E5E"/>
    <w:rsid w:val="009317D7"/>
    <w:rsid w:val="00935817"/>
    <w:rsid w:val="009368BA"/>
    <w:rsid w:val="00950512"/>
    <w:rsid w:val="00950A6A"/>
    <w:rsid w:val="00951BDD"/>
    <w:rsid w:val="00955A99"/>
    <w:rsid w:val="009563FD"/>
    <w:rsid w:val="00962F63"/>
    <w:rsid w:val="0096339E"/>
    <w:rsid w:val="00967FC5"/>
    <w:rsid w:val="009706A0"/>
    <w:rsid w:val="00971AA0"/>
    <w:rsid w:val="00986E9B"/>
    <w:rsid w:val="00987C08"/>
    <w:rsid w:val="00991EB2"/>
    <w:rsid w:val="00992A01"/>
    <w:rsid w:val="009946F8"/>
    <w:rsid w:val="00994D5B"/>
    <w:rsid w:val="009969E9"/>
    <w:rsid w:val="009A6FE8"/>
    <w:rsid w:val="009B3818"/>
    <w:rsid w:val="009B3934"/>
    <w:rsid w:val="009B5F21"/>
    <w:rsid w:val="009B6A1D"/>
    <w:rsid w:val="009C0272"/>
    <w:rsid w:val="009C242A"/>
    <w:rsid w:val="009C5204"/>
    <w:rsid w:val="009C5482"/>
    <w:rsid w:val="009C57E4"/>
    <w:rsid w:val="009C6CD6"/>
    <w:rsid w:val="009C78EC"/>
    <w:rsid w:val="009C7DAD"/>
    <w:rsid w:val="009D2A3C"/>
    <w:rsid w:val="009D45D9"/>
    <w:rsid w:val="009D574E"/>
    <w:rsid w:val="009D5A98"/>
    <w:rsid w:val="009E7C0C"/>
    <w:rsid w:val="009F0EA9"/>
    <w:rsid w:val="00A00DAB"/>
    <w:rsid w:val="00A01279"/>
    <w:rsid w:val="00A024D7"/>
    <w:rsid w:val="00A07502"/>
    <w:rsid w:val="00A102C3"/>
    <w:rsid w:val="00A1253A"/>
    <w:rsid w:val="00A21C80"/>
    <w:rsid w:val="00A228BE"/>
    <w:rsid w:val="00A22F7B"/>
    <w:rsid w:val="00A23A4E"/>
    <w:rsid w:val="00A2406B"/>
    <w:rsid w:val="00A265DC"/>
    <w:rsid w:val="00A268F7"/>
    <w:rsid w:val="00A306E5"/>
    <w:rsid w:val="00A35BFF"/>
    <w:rsid w:val="00A35E37"/>
    <w:rsid w:val="00A368DE"/>
    <w:rsid w:val="00A37E97"/>
    <w:rsid w:val="00A468D7"/>
    <w:rsid w:val="00A47402"/>
    <w:rsid w:val="00A52148"/>
    <w:rsid w:val="00A52CA6"/>
    <w:rsid w:val="00A531A5"/>
    <w:rsid w:val="00A6016A"/>
    <w:rsid w:val="00A6450F"/>
    <w:rsid w:val="00A653F8"/>
    <w:rsid w:val="00A6772F"/>
    <w:rsid w:val="00A73D20"/>
    <w:rsid w:val="00A74222"/>
    <w:rsid w:val="00A82B38"/>
    <w:rsid w:val="00A843AD"/>
    <w:rsid w:val="00A853D6"/>
    <w:rsid w:val="00A87904"/>
    <w:rsid w:val="00A902B4"/>
    <w:rsid w:val="00A91526"/>
    <w:rsid w:val="00A918FA"/>
    <w:rsid w:val="00A92120"/>
    <w:rsid w:val="00A9259D"/>
    <w:rsid w:val="00A93CFF"/>
    <w:rsid w:val="00AA3053"/>
    <w:rsid w:val="00AA351A"/>
    <w:rsid w:val="00AB28BF"/>
    <w:rsid w:val="00AB4D67"/>
    <w:rsid w:val="00AB5166"/>
    <w:rsid w:val="00AB64F0"/>
    <w:rsid w:val="00AC0AF2"/>
    <w:rsid w:val="00AC0D19"/>
    <w:rsid w:val="00AC143E"/>
    <w:rsid w:val="00AC53CB"/>
    <w:rsid w:val="00AC5BCA"/>
    <w:rsid w:val="00AC6FE6"/>
    <w:rsid w:val="00AD1B63"/>
    <w:rsid w:val="00AD220D"/>
    <w:rsid w:val="00AD3ACE"/>
    <w:rsid w:val="00AD4488"/>
    <w:rsid w:val="00AD46DF"/>
    <w:rsid w:val="00AE1236"/>
    <w:rsid w:val="00AE14C2"/>
    <w:rsid w:val="00AE207B"/>
    <w:rsid w:val="00AE39D3"/>
    <w:rsid w:val="00AF056C"/>
    <w:rsid w:val="00AF0607"/>
    <w:rsid w:val="00AF4F2B"/>
    <w:rsid w:val="00AF75C4"/>
    <w:rsid w:val="00AF7658"/>
    <w:rsid w:val="00B02536"/>
    <w:rsid w:val="00B036E1"/>
    <w:rsid w:val="00B0539C"/>
    <w:rsid w:val="00B05B8E"/>
    <w:rsid w:val="00B075AF"/>
    <w:rsid w:val="00B106DD"/>
    <w:rsid w:val="00B15F0E"/>
    <w:rsid w:val="00B16D27"/>
    <w:rsid w:val="00B23B8A"/>
    <w:rsid w:val="00B24269"/>
    <w:rsid w:val="00B32EC1"/>
    <w:rsid w:val="00B34530"/>
    <w:rsid w:val="00B362A7"/>
    <w:rsid w:val="00B37DBF"/>
    <w:rsid w:val="00B464C5"/>
    <w:rsid w:val="00B51E39"/>
    <w:rsid w:val="00B55267"/>
    <w:rsid w:val="00B56D97"/>
    <w:rsid w:val="00B57FD5"/>
    <w:rsid w:val="00B66A61"/>
    <w:rsid w:val="00B674CA"/>
    <w:rsid w:val="00B724D1"/>
    <w:rsid w:val="00B74E9F"/>
    <w:rsid w:val="00B75B97"/>
    <w:rsid w:val="00B77BE8"/>
    <w:rsid w:val="00B83A3C"/>
    <w:rsid w:val="00B845F9"/>
    <w:rsid w:val="00B96846"/>
    <w:rsid w:val="00BA336A"/>
    <w:rsid w:val="00BA5EA4"/>
    <w:rsid w:val="00BB1FEC"/>
    <w:rsid w:val="00BB4311"/>
    <w:rsid w:val="00BB5395"/>
    <w:rsid w:val="00BB5856"/>
    <w:rsid w:val="00BB6E15"/>
    <w:rsid w:val="00BB6F01"/>
    <w:rsid w:val="00BC25E7"/>
    <w:rsid w:val="00BC303D"/>
    <w:rsid w:val="00BC386C"/>
    <w:rsid w:val="00BC3D9B"/>
    <w:rsid w:val="00BC44A4"/>
    <w:rsid w:val="00BE074E"/>
    <w:rsid w:val="00BE2092"/>
    <w:rsid w:val="00BE2A95"/>
    <w:rsid w:val="00BE3570"/>
    <w:rsid w:val="00BE6C87"/>
    <w:rsid w:val="00BE72F5"/>
    <w:rsid w:val="00BF2B71"/>
    <w:rsid w:val="00BF4D84"/>
    <w:rsid w:val="00BF62E5"/>
    <w:rsid w:val="00C0031B"/>
    <w:rsid w:val="00C004EC"/>
    <w:rsid w:val="00C022F7"/>
    <w:rsid w:val="00C075AA"/>
    <w:rsid w:val="00C07ED7"/>
    <w:rsid w:val="00C12923"/>
    <w:rsid w:val="00C130A9"/>
    <w:rsid w:val="00C202D0"/>
    <w:rsid w:val="00C24C8A"/>
    <w:rsid w:val="00C270AA"/>
    <w:rsid w:val="00C30C3E"/>
    <w:rsid w:val="00C32DA1"/>
    <w:rsid w:val="00C368EE"/>
    <w:rsid w:val="00C440B7"/>
    <w:rsid w:val="00C4600F"/>
    <w:rsid w:val="00C477A4"/>
    <w:rsid w:val="00C5254A"/>
    <w:rsid w:val="00C5457C"/>
    <w:rsid w:val="00C5493D"/>
    <w:rsid w:val="00C549FD"/>
    <w:rsid w:val="00C623FD"/>
    <w:rsid w:val="00C63FB5"/>
    <w:rsid w:val="00C64CD6"/>
    <w:rsid w:val="00C72D8F"/>
    <w:rsid w:val="00C756CA"/>
    <w:rsid w:val="00C75937"/>
    <w:rsid w:val="00C82702"/>
    <w:rsid w:val="00C83752"/>
    <w:rsid w:val="00C86B17"/>
    <w:rsid w:val="00C91683"/>
    <w:rsid w:val="00C93574"/>
    <w:rsid w:val="00C9433F"/>
    <w:rsid w:val="00C96697"/>
    <w:rsid w:val="00C97FDF"/>
    <w:rsid w:val="00CA1E1C"/>
    <w:rsid w:val="00CA3FB6"/>
    <w:rsid w:val="00CB66AC"/>
    <w:rsid w:val="00CB7665"/>
    <w:rsid w:val="00CB7688"/>
    <w:rsid w:val="00CC13EF"/>
    <w:rsid w:val="00CC1C40"/>
    <w:rsid w:val="00CC3917"/>
    <w:rsid w:val="00CC3C8B"/>
    <w:rsid w:val="00CC675B"/>
    <w:rsid w:val="00CC740D"/>
    <w:rsid w:val="00CD0B0D"/>
    <w:rsid w:val="00CD36EC"/>
    <w:rsid w:val="00CD7394"/>
    <w:rsid w:val="00CD7C18"/>
    <w:rsid w:val="00CE015D"/>
    <w:rsid w:val="00CE5477"/>
    <w:rsid w:val="00CE5D8F"/>
    <w:rsid w:val="00CE67F4"/>
    <w:rsid w:val="00CF000B"/>
    <w:rsid w:val="00CF1728"/>
    <w:rsid w:val="00CF60C6"/>
    <w:rsid w:val="00CF6B10"/>
    <w:rsid w:val="00D0053C"/>
    <w:rsid w:val="00D01774"/>
    <w:rsid w:val="00D10D42"/>
    <w:rsid w:val="00D22062"/>
    <w:rsid w:val="00D247A3"/>
    <w:rsid w:val="00D3267E"/>
    <w:rsid w:val="00D34A69"/>
    <w:rsid w:val="00D447FC"/>
    <w:rsid w:val="00D45A1E"/>
    <w:rsid w:val="00D46A18"/>
    <w:rsid w:val="00D47A73"/>
    <w:rsid w:val="00D47F79"/>
    <w:rsid w:val="00D50E1F"/>
    <w:rsid w:val="00D51C18"/>
    <w:rsid w:val="00D569AD"/>
    <w:rsid w:val="00D56ABE"/>
    <w:rsid w:val="00D611BB"/>
    <w:rsid w:val="00D62EAD"/>
    <w:rsid w:val="00D64F39"/>
    <w:rsid w:val="00D66F72"/>
    <w:rsid w:val="00D71671"/>
    <w:rsid w:val="00D72800"/>
    <w:rsid w:val="00D7464F"/>
    <w:rsid w:val="00D7748D"/>
    <w:rsid w:val="00D77B0B"/>
    <w:rsid w:val="00D845C5"/>
    <w:rsid w:val="00D857E0"/>
    <w:rsid w:val="00D85A08"/>
    <w:rsid w:val="00D85D01"/>
    <w:rsid w:val="00D86558"/>
    <w:rsid w:val="00D86975"/>
    <w:rsid w:val="00D869E5"/>
    <w:rsid w:val="00D9132E"/>
    <w:rsid w:val="00D92A30"/>
    <w:rsid w:val="00D92A3F"/>
    <w:rsid w:val="00D9304A"/>
    <w:rsid w:val="00D93823"/>
    <w:rsid w:val="00D96041"/>
    <w:rsid w:val="00D960ED"/>
    <w:rsid w:val="00D964C6"/>
    <w:rsid w:val="00D96514"/>
    <w:rsid w:val="00D97C71"/>
    <w:rsid w:val="00DA00D0"/>
    <w:rsid w:val="00DA535B"/>
    <w:rsid w:val="00DB1A36"/>
    <w:rsid w:val="00DB1C6A"/>
    <w:rsid w:val="00DB2B7B"/>
    <w:rsid w:val="00DB5FEA"/>
    <w:rsid w:val="00DC0994"/>
    <w:rsid w:val="00DC24F9"/>
    <w:rsid w:val="00DC59C1"/>
    <w:rsid w:val="00DE322B"/>
    <w:rsid w:val="00DE5527"/>
    <w:rsid w:val="00DF1023"/>
    <w:rsid w:val="00DF6600"/>
    <w:rsid w:val="00E00518"/>
    <w:rsid w:val="00E0061B"/>
    <w:rsid w:val="00E04419"/>
    <w:rsid w:val="00E067E8"/>
    <w:rsid w:val="00E0691C"/>
    <w:rsid w:val="00E141DD"/>
    <w:rsid w:val="00E20603"/>
    <w:rsid w:val="00E21584"/>
    <w:rsid w:val="00E238E2"/>
    <w:rsid w:val="00E23EEC"/>
    <w:rsid w:val="00E2531D"/>
    <w:rsid w:val="00E319CE"/>
    <w:rsid w:val="00E31E1B"/>
    <w:rsid w:val="00E328C8"/>
    <w:rsid w:val="00E339D7"/>
    <w:rsid w:val="00E3505F"/>
    <w:rsid w:val="00E40D8C"/>
    <w:rsid w:val="00E470DE"/>
    <w:rsid w:val="00E518EB"/>
    <w:rsid w:val="00E523A5"/>
    <w:rsid w:val="00E52F5F"/>
    <w:rsid w:val="00E54FFF"/>
    <w:rsid w:val="00E55314"/>
    <w:rsid w:val="00E572E9"/>
    <w:rsid w:val="00E60CCD"/>
    <w:rsid w:val="00E63EC4"/>
    <w:rsid w:val="00E644D4"/>
    <w:rsid w:val="00E64DB2"/>
    <w:rsid w:val="00E77A88"/>
    <w:rsid w:val="00E85CFE"/>
    <w:rsid w:val="00E909A5"/>
    <w:rsid w:val="00E90A28"/>
    <w:rsid w:val="00E91528"/>
    <w:rsid w:val="00E9258F"/>
    <w:rsid w:val="00E9329F"/>
    <w:rsid w:val="00E95A4A"/>
    <w:rsid w:val="00EA272E"/>
    <w:rsid w:val="00EA30E4"/>
    <w:rsid w:val="00EA376E"/>
    <w:rsid w:val="00EA5140"/>
    <w:rsid w:val="00EA584C"/>
    <w:rsid w:val="00EA6F41"/>
    <w:rsid w:val="00EC0249"/>
    <w:rsid w:val="00EC18F2"/>
    <w:rsid w:val="00EC3462"/>
    <w:rsid w:val="00EC618B"/>
    <w:rsid w:val="00EC6C6A"/>
    <w:rsid w:val="00ED25D7"/>
    <w:rsid w:val="00ED621E"/>
    <w:rsid w:val="00EE0DA5"/>
    <w:rsid w:val="00EE2775"/>
    <w:rsid w:val="00EE5CE5"/>
    <w:rsid w:val="00EE5E58"/>
    <w:rsid w:val="00EE6BBB"/>
    <w:rsid w:val="00EE7320"/>
    <w:rsid w:val="00EE756E"/>
    <w:rsid w:val="00EF7671"/>
    <w:rsid w:val="00F01AD7"/>
    <w:rsid w:val="00F02CB6"/>
    <w:rsid w:val="00F03092"/>
    <w:rsid w:val="00F03231"/>
    <w:rsid w:val="00F06557"/>
    <w:rsid w:val="00F11E1A"/>
    <w:rsid w:val="00F12B36"/>
    <w:rsid w:val="00F1338D"/>
    <w:rsid w:val="00F17457"/>
    <w:rsid w:val="00F178F7"/>
    <w:rsid w:val="00F20207"/>
    <w:rsid w:val="00F311DC"/>
    <w:rsid w:val="00F31A1B"/>
    <w:rsid w:val="00F35027"/>
    <w:rsid w:val="00F35A17"/>
    <w:rsid w:val="00F367AA"/>
    <w:rsid w:val="00F42F11"/>
    <w:rsid w:val="00F54523"/>
    <w:rsid w:val="00F55C88"/>
    <w:rsid w:val="00F61B09"/>
    <w:rsid w:val="00F634E9"/>
    <w:rsid w:val="00F6487E"/>
    <w:rsid w:val="00F64E2C"/>
    <w:rsid w:val="00F64E76"/>
    <w:rsid w:val="00F66FC1"/>
    <w:rsid w:val="00F674DB"/>
    <w:rsid w:val="00F7051E"/>
    <w:rsid w:val="00F72351"/>
    <w:rsid w:val="00F73B3C"/>
    <w:rsid w:val="00F74E61"/>
    <w:rsid w:val="00F7594F"/>
    <w:rsid w:val="00F75A27"/>
    <w:rsid w:val="00F767F2"/>
    <w:rsid w:val="00F77017"/>
    <w:rsid w:val="00F84B13"/>
    <w:rsid w:val="00F85923"/>
    <w:rsid w:val="00F872F8"/>
    <w:rsid w:val="00F87541"/>
    <w:rsid w:val="00F87AE3"/>
    <w:rsid w:val="00F9180D"/>
    <w:rsid w:val="00F93217"/>
    <w:rsid w:val="00F93266"/>
    <w:rsid w:val="00F937D0"/>
    <w:rsid w:val="00F93C10"/>
    <w:rsid w:val="00F95E65"/>
    <w:rsid w:val="00F9787D"/>
    <w:rsid w:val="00FA1185"/>
    <w:rsid w:val="00FA20BB"/>
    <w:rsid w:val="00FA2C3E"/>
    <w:rsid w:val="00FA3408"/>
    <w:rsid w:val="00FA34FC"/>
    <w:rsid w:val="00FA573D"/>
    <w:rsid w:val="00FB1363"/>
    <w:rsid w:val="00FB40B4"/>
    <w:rsid w:val="00FB74FF"/>
    <w:rsid w:val="00FC236C"/>
    <w:rsid w:val="00FC29EF"/>
    <w:rsid w:val="00FC5359"/>
    <w:rsid w:val="00FC638F"/>
    <w:rsid w:val="00FD13C8"/>
    <w:rsid w:val="00FD50C7"/>
    <w:rsid w:val="00FD5A69"/>
    <w:rsid w:val="00FE42CC"/>
    <w:rsid w:val="00FE4887"/>
    <w:rsid w:val="00FE49C5"/>
    <w:rsid w:val="00FE4E95"/>
    <w:rsid w:val="00FE60B8"/>
    <w:rsid w:val="00FE615A"/>
    <w:rsid w:val="00FF02DB"/>
    <w:rsid w:val="00FF0D2C"/>
    <w:rsid w:val="00FF2C14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40265"/>
  <w15:docId w15:val="{5A47007B-C197-4003-BEC6-B7EC3CD9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Tekstbalonia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8D1EC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D1EC5"/>
  </w:style>
  <w:style w:type="paragraph" w:styleId="StandardWeb">
    <w:name w:val="Normal (Web)"/>
    <w:basedOn w:val="Normal"/>
    <w:uiPriority w:val="99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6428B4"/>
    <w:rPr>
      <w:color w:val="000000"/>
      <w:sz w:val="20"/>
      <w:szCs w:val="20"/>
    </w:rPr>
  </w:style>
  <w:style w:type="character" w:customStyle="1" w:styleId="TekstfusnoteChar">
    <w:name w:val="Tekst fusnote Char"/>
    <w:link w:val="Tekstfusnote"/>
    <w:semiHidden/>
    <w:rsid w:val="006428B4"/>
    <w:rPr>
      <w:color w:val="000000"/>
      <w:lang w:val="hr-HR" w:eastAsia="hr-HR" w:bidi="ar-SA"/>
    </w:rPr>
  </w:style>
  <w:style w:type="character" w:styleId="Referencafusnote">
    <w:name w:val="footnote reference"/>
    <w:semiHidden/>
    <w:rsid w:val="006428B4"/>
    <w:rPr>
      <w:rFonts w:cs="Times New Roman"/>
      <w:vertAlign w:val="superscript"/>
    </w:rPr>
  </w:style>
  <w:style w:type="character" w:styleId="Naglaeno">
    <w:name w:val="Strong"/>
    <w:uiPriority w:val="22"/>
    <w:qFormat/>
    <w:rsid w:val="005C7221"/>
    <w:rPr>
      <w:b/>
      <w:bCs/>
    </w:rPr>
  </w:style>
  <w:style w:type="character" w:styleId="Hiperveza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Referencakomentara">
    <w:name w:val="annotation reference"/>
    <w:semiHidden/>
    <w:rsid w:val="00426567"/>
    <w:rPr>
      <w:sz w:val="16"/>
      <w:szCs w:val="16"/>
    </w:rPr>
  </w:style>
  <w:style w:type="paragraph" w:styleId="Tekstkomentara">
    <w:name w:val="annotation text"/>
    <w:basedOn w:val="Normal"/>
    <w:semiHidden/>
    <w:rsid w:val="004265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Reetkatablice">
    <w:name w:val="Table Grid"/>
    <w:basedOn w:val="Obinatablica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TijelotekstaChar">
    <w:name w:val="Tijelo teksta Char"/>
    <w:link w:val="Tijeloteksta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5B3E7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5B3E79"/>
    <w:rPr>
      <w:sz w:val="24"/>
      <w:szCs w:val="24"/>
      <w:lang w:val="hr-HR" w:eastAsia="hr-HR"/>
    </w:rPr>
  </w:style>
  <w:style w:type="character" w:customStyle="1" w:styleId="PodnojeChar">
    <w:name w:val="Podnožje Char"/>
    <w:link w:val="Podnoje"/>
    <w:uiPriority w:val="99"/>
    <w:rsid w:val="00BC44A4"/>
    <w:rPr>
      <w:sz w:val="24"/>
      <w:szCs w:val="24"/>
    </w:rPr>
  </w:style>
  <w:style w:type="paragraph" w:customStyle="1" w:styleId="klasa2">
    <w:name w:val="klasa2"/>
    <w:basedOn w:val="Normal"/>
    <w:uiPriority w:val="99"/>
    <w:rsid w:val="006648F8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CD7C18"/>
    <w:rPr>
      <w:sz w:val="24"/>
      <w:szCs w:val="24"/>
    </w:rPr>
  </w:style>
  <w:style w:type="paragraph" w:customStyle="1" w:styleId="box472401">
    <w:name w:val="box_472401"/>
    <w:basedOn w:val="Normal"/>
    <w:rsid w:val="001938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C2D3-1079-499D-85B2-1AA9427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PRIJEDLOG ODLUKE O SUDJELOVANJU</vt:lpstr>
      <vt:lpstr>USTAVNA OSNOVA ZA DONOŠENJE ODLUKE</vt:lpstr>
      <vt:lpstr>PRIJEDLOG ODLUKE O SUDJELOVANJU</vt:lpstr>
    </vt:vector>
  </TitlesOfParts>
  <Company>RH - TDU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Silvija Bartolec</cp:lastModifiedBy>
  <cp:revision>12</cp:revision>
  <cp:lastPrinted>2020-10-02T08:54:00Z</cp:lastPrinted>
  <dcterms:created xsi:type="dcterms:W3CDTF">2024-09-13T11:36:00Z</dcterms:created>
  <dcterms:modified xsi:type="dcterms:W3CDTF">2024-10-03T08:31:00Z</dcterms:modified>
</cp:coreProperties>
</file>