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4BA29" w14:textId="77777777" w:rsidR="004A07D8" w:rsidRDefault="004A07D8" w:rsidP="004A07D8">
      <w:pPr>
        <w:jc w:val="center"/>
        <w:rPr>
          <w:rFonts w:eastAsia="Calibri"/>
          <w:b/>
          <w:color w:val="000000"/>
          <w:lang w:eastAsia="en-US"/>
        </w:rPr>
      </w:pPr>
    </w:p>
    <w:p w14:paraId="642827A3" w14:textId="77777777" w:rsidR="004A07D8" w:rsidRDefault="004A07D8" w:rsidP="004A07D8">
      <w:pPr>
        <w:jc w:val="center"/>
        <w:rPr>
          <w:rFonts w:eastAsia="Calibri"/>
          <w:b/>
          <w:color w:val="000000"/>
          <w:lang w:eastAsia="en-US"/>
        </w:rPr>
      </w:pPr>
    </w:p>
    <w:p w14:paraId="1063F940" w14:textId="77777777" w:rsidR="004A07D8" w:rsidRDefault="004A07D8" w:rsidP="004A07D8">
      <w:pPr>
        <w:jc w:val="center"/>
        <w:rPr>
          <w:rFonts w:eastAsia="Calibri"/>
          <w:b/>
          <w:color w:val="000000"/>
          <w:lang w:eastAsia="en-US"/>
        </w:rPr>
      </w:pPr>
    </w:p>
    <w:p w14:paraId="3814F746" w14:textId="77777777" w:rsidR="004A07D8" w:rsidRDefault="004A07D8" w:rsidP="004A07D8">
      <w:pPr>
        <w:jc w:val="center"/>
        <w:rPr>
          <w:rFonts w:eastAsia="Calibri"/>
          <w:b/>
          <w:color w:val="000000"/>
          <w:lang w:eastAsia="en-US"/>
        </w:rPr>
      </w:pPr>
    </w:p>
    <w:p w14:paraId="34DF77A7" w14:textId="77777777" w:rsidR="004A07D8" w:rsidRDefault="004A07D8" w:rsidP="004A07D8">
      <w:pPr>
        <w:jc w:val="center"/>
        <w:rPr>
          <w:rFonts w:eastAsia="Calibri"/>
          <w:b/>
          <w:color w:val="000000"/>
          <w:lang w:eastAsia="en-US"/>
        </w:rPr>
      </w:pPr>
    </w:p>
    <w:p w14:paraId="5ED9973E" w14:textId="77777777" w:rsidR="004A07D8" w:rsidRDefault="004A07D8" w:rsidP="004A07D8">
      <w:pPr>
        <w:jc w:val="center"/>
        <w:rPr>
          <w:rFonts w:eastAsia="Calibri"/>
          <w:b/>
          <w:color w:val="000000"/>
          <w:lang w:eastAsia="en-US"/>
        </w:rPr>
      </w:pPr>
    </w:p>
    <w:p w14:paraId="4A263A38" w14:textId="7BFE1E33" w:rsidR="004A07D8" w:rsidRDefault="004A07D8" w:rsidP="004A07D8">
      <w:pPr>
        <w:jc w:val="center"/>
        <w:rPr>
          <w:rFonts w:ascii="Calibri" w:eastAsia="Calibri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/>
          <w:noProof/>
        </w:rPr>
        <w:drawing>
          <wp:inline distT="0" distB="0" distL="0" distR="0" wp14:anchorId="187135B6" wp14:editId="0DBC4DAD">
            <wp:extent cx="50482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44B8A" w14:textId="77777777" w:rsidR="004A07D8" w:rsidRDefault="004A07D8" w:rsidP="004A07D8">
      <w:pPr>
        <w:spacing w:before="60" w:after="1680"/>
        <w:jc w:val="center"/>
        <w:rPr>
          <w:rFonts w:eastAsia="Calibri"/>
        </w:rPr>
      </w:pPr>
      <w:r>
        <w:rPr>
          <w:rFonts w:eastAsia="Calibri"/>
          <w:sz w:val="28"/>
        </w:rPr>
        <w:t>VLADA REPUBLIKE HRVATSKE</w:t>
      </w:r>
    </w:p>
    <w:p w14:paraId="4F22B4C3" w14:textId="77777777" w:rsidR="004A07D8" w:rsidRDefault="004A07D8" w:rsidP="004A07D8">
      <w:pPr>
        <w:spacing w:after="2400"/>
        <w:jc w:val="right"/>
        <w:rPr>
          <w:rFonts w:eastAsia="Calibri"/>
        </w:rPr>
      </w:pPr>
      <w:r>
        <w:rPr>
          <w:rFonts w:eastAsia="Calibri"/>
        </w:rPr>
        <w:t>Zagreb, 3. listopada 2024.</w:t>
      </w:r>
    </w:p>
    <w:p w14:paraId="017D8F8F" w14:textId="77777777" w:rsidR="004A07D8" w:rsidRDefault="004A07D8" w:rsidP="004A07D8">
      <w:pPr>
        <w:spacing w:line="360" w:lineRule="auto"/>
        <w:rPr>
          <w:rFonts w:eastAsia="Calibri"/>
        </w:rPr>
      </w:pPr>
    </w:p>
    <w:p w14:paraId="48F917F2" w14:textId="77777777" w:rsidR="004A07D8" w:rsidRDefault="004A07D8" w:rsidP="004A07D8">
      <w:pPr>
        <w:spacing w:line="360" w:lineRule="auto"/>
        <w:rPr>
          <w:rFonts w:eastAsia="Calibri"/>
        </w:rPr>
        <w:sectPr w:rsidR="004A07D8">
          <w:pgSz w:w="11906" w:h="16838"/>
          <w:pgMar w:top="993" w:right="1417" w:bottom="1417" w:left="1417" w:header="709" w:footer="658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4A07D8" w14:paraId="69914F78" w14:textId="77777777" w:rsidTr="004A07D8">
        <w:trPr>
          <w:trHeight w:val="60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188532" w14:textId="77777777" w:rsidR="004A07D8" w:rsidRDefault="004A07D8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</w:rPr>
            </w:pPr>
            <w:r>
              <w:rPr>
                <w:rFonts w:eastAsia="Calibri"/>
                <w:b/>
                <w:smallCaps/>
              </w:rPr>
              <w:t>Predlagatelj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BA8BC8" w14:textId="77777777" w:rsidR="004A07D8" w:rsidRDefault="004A07D8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Ministarstvo obrane</w:t>
            </w:r>
          </w:p>
        </w:tc>
      </w:tr>
      <w:tr w:rsidR="004A07D8" w14:paraId="6C2B396B" w14:textId="77777777" w:rsidTr="004A07D8">
        <w:trPr>
          <w:trHeight w:val="193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A2AA4E" w14:textId="77777777" w:rsidR="004A07D8" w:rsidRDefault="004A07D8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  <w:b/>
                <w:smallCaps/>
              </w:rPr>
              <w:t>Predmet</w:t>
            </w:r>
            <w:r>
              <w:rPr>
                <w:rFonts w:eastAsia="Calibri"/>
                <w:b/>
              </w:rPr>
              <w:t xml:space="preserve">: </w:t>
            </w:r>
          </w:p>
          <w:p w14:paraId="296C218B" w14:textId="77777777" w:rsidR="004A07D8" w:rsidRDefault="004A07D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8F15AE" w14:textId="3736135B" w:rsidR="004A07D8" w:rsidRPr="004A07D8" w:rsidRDefault="004A07D8" w:rsidP="004A07D8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N</w:t>
            </w:r>
            <w:r w:rsidRPr="004A07D8">
              <w:rPr>
                <w:rFonts w:eastAsia="Calibri"/>
                <w:color w:val="000000"/>
                <w:lang w:eastAsia="en-US"/>
              </w:rPr>
              <w:t xml:space="preserve">acrt prijedloga odluke o </w:t>
            </w:r>
            <w:r>
              <w:rPr>
                <w:rFonts w:eastAsia="Calibri"/>
                <w:color w:val="000000"/>
                <w:lang w:eastAsia="en-US"/>
              </w:rPr>
              <w:t>sudjelovanju pripadnika Oružanih snaga Republike H</w:t>
            </w:r>
            <w:r w:rsidRPr="004A07D8">
              <w:rPr>
                <w:rFonts w:eastAsia="Calibri"/>
                <w:color w:val="000000"/>
                <w:lang w:eastAsia="en-US"/>
              </w:rPr>
              <w:t xml:space="preserve">rvatske u aktivnosti </w:t>
            </w:r>
            <w:r w:rsidR="00D36BC6">
              <w:rPr>
                <w:rFonts w:eastAsia="Calibri"/>
                <w:color w:val="000000"/>
                <w:lang w:eastAsia="en-US"/>
              </w:rPr>
              <w:t>S</w:t>
            </w:r>
            <w:bookmarkStart w:id="0" w:name="_GoBack"/>
            <w:bookmarkEnd w:id="0"/>
            <w:r w:rsidRPr="004A07D8">
              <w:t xml:space="preserve">talne NATO skupine </w:t>
            </w:r>
            <w:proofErr w:type="spellStart"/>
            <w:r w:rsidRPr="004A07D8">
              <w:t>protuminskih</w:t>
            </w:r>
            <w:proofErr w:type="spellEnd"/>
            <w:r w:rsidRPr="004A07D8">
              <w:t xml:space="preserve"> snaga 2</w:t>
            </w:r>
          </w:p>
          <w:p w14:paraId="344F959B" w14:textId="1C3A3EFC" w:rsidR="004A07D8" w:rsidRDefault="004A07D8">
            <w:pPr>
              <w:autoSpaceDE w:val="0"/>
              <w:autoSpaceDN w:val="0"/>
              <w:adjustRightInd w:val="0"/>
              <w:jc w:val="both"/>
            </w:pPr>
          </w:p>
        </w:tc>
      </w:tr>
      <w:tr w:rsidR="004A07D8" w14:paraId="06DDB0C6" w14:textId="77777777" w:rsidTr="004A07D8">
        <w:trPr>
          <w:trHeight w:val="193"/>
        </w:trPr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69D1B" w14:textId="77777777" w:rsidR="004A07D8" w:rsidRDefault="004A07D8">
            <w:pPr>
              <w:spacing w:line="360" w:lineRule="auto"/>
              <w:rPr>
                <w:rFonts w:eastAsia="Calibri"/>
                <w:b/>
                <w:smallCaps/>
                <w:noProof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05E98E" w14:textId="77777777" w:rsidR="004A07D8" w:rsidRDefault="004A07D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475908AF" w14:textId="35D351F0" w:rsidR="004A07D8" w:rsidRDefault="004A07D8" w:rsidP="004A07D8">
      <w:pPr>
        <w:rPr>
          <w:rFonts w:eastAsia="Calibri"/>
        </w:rPr>
      </w:pPr>
    </w:p>
    <w:p w14:paraId="75348556" w14:textId="3A62629C" w:rsidR="004A07D8" w:rsidRDefault="004A07D8" w:rsidP="004A07D8">
      <w:pPr>
        <w:rPr>
          <w:rFonts w:eastAsia="Calibri"/>
        </w:rPr>
      </w:pPr>
    </w:p>
    <w:p w14:paraId="6B6DCEBD" w14:textId="0657205A" w:rsidR="004A07D8" w:rsidRDefault="004A07D8" w:rsidP="004A07D8">
      <w:pPr>
        <w:rPr>
          <w:rFonts w:eastAsia="Calibri"/>
        </w:rPr>
      </w:pPr>
    </w:p>
    <w:p w14:paraId="5780D770" w14:textId="5AAF5A8E" w:rsidR="004A07D8" w:rsidRDefault="004A07D8" w:rsidP="004A07D8">
      <w:pPr>
        <w:rPr>
          <w:rFonts w:eastAsia="Calibri"/>
        </w:rPr>
      </w:pPr>
    </w:p>
    <w:p w14:paraId="1431E27D" w14:textId="00603E19" w:rsidR="004A07D8" w:rsidRDefault="004A07D8" w:rsidP="004A07D8">
      <w:pPr>
        <w:rPr>
          <w:rFonts w:eastAsia="Calibri"/>
        </w:rPr>
      </w:pPr>
    </w:p>
    <w:p w14:paraId="073AF8B6" w14:textId="70E3F842" w:rsidR="004A07D8" w:rsidRDefault="004A07D8" w:rsidP="004A07D8">
      <w:pPr>
        <w:rPr>
          <w:rFonts w:eastAsia="Calibri"/>
        </w:rPr>
      </w:pPr>
    </w:p>
    <w:p w14:paraId="74B7F968" w14:textId="29108C20" w:rsidR="004A07D8" w:rsidRDefault="004A07D8" w:rsidP="004A07D8">
      <w:pPr>
        <w:rPr>
          <w:rFonts w:eastAsia="Calibri"/>
        </w:rPr>
      </w:pPr>
    </w:p>
    <w:p w14:paraId="7ADC6BE2" w14:textId="6D91A8B2" w:rsidR="004A07D8" w:rsidRDefault="004A07D8" w:rsidP="004A07D8">
      <w:pPr>
        <w:rPr>
          <w:rFonts w:eastAsia="Calibri"/>
        </w:rPr>
      </w:pPr>
    </w:p>
    <w:p w14:paraId="0801AD14" w14:textId="029B05EC" w:rsidR="004A07D8" w:rsidRDefault="004A07D8" w:rsidP="004A07D8">
      <w:pPr>
        <w:rPr>
          <w:rFonts w:eastAsia="Calibri"/>
        </w:rPr>
      </w:pPr>
    </w:p>
    <w:p w14:paraId="0BD6CD7B" w14:textId="40088C2B" w:rsidR="004A07D8" w:rsidRDefault="004A07D8" w:rsidP="004A07D8">
      <w:pPr>
        <w:rPr>
          <w:rFonts w:eastAsia="Calibri"/>
        </w:rPr>
      </w:pPr>
    </w:p>
    <w:p w14:paraId="22F61854" w14:textId="77777777" w:rsidR="004A07D8" w:rsidRDefault="004A07D8" w:rsidP="004A07D8">
      <w:pPr>
        <w:rPr>
          <w:rFonts w:eastAsia="Calibri"/>
        </w:rPr>
      </w:pPr>
    </w:p>
    <w:p w14:paraId="7140F054" w14:textId="77777777" w:rsidR="004A07D8" w:rsidRDefault="004A07D8" w:rsidP="004A07D8">
      <w:pPr>
        <w:rPr>
          <w:rFonts w:eastAsia="Calibri"/>
        </w:rPr>
      </w:pPr>
    </w:p>
    <w:p w14:paraId="3DAF0ED2" w14:textId="77777777" w:rsidR="004A07D8" w:rsidRDefault="004A07D8" w:rsidP="004A07D8">
      <w:pPr>
        <w:rPr>
          <w:rFonts w:eastAsia="Calibri"/>
        </w:rPr>
      </w:pPr>
    </w:p>
    <w:p w14:paraId="7FD861AE" w14:textId="77777777" w:rsidR="004A07D8" w:rsidRDefault="004A07D8" w:rsidP="004A07D8">
      <w:pPr>
        <w:rPr>
          <w:rFonts w:ascii="Calibri" w:eastAsia="Calibri" w:hAnsi="Calibri"/>
        </w:rPr>
      </w:pPr>
    </w:p>
    <w:p w14:paraId="2B2856C9" w14:textId="77777777" w:rsidR="004A07D8" w:rsidRDefault="004A07D8" w:rsidP="004A07D8">
      <w:pPr>
        <w:pBdr>
          <w:top w:val="single" w:sz="4" w:space="1" w:color="404040"/>
        </w:pBdr>
        <w:tabs>
          <w:tab w:val="center" w:pos="4536"/>
          <w:tab w:val="right" w:pos="9072"/>
        </w:tabs>
        <w:rPr>
          <w:rFonts w:eastAsia="Calibri"/>
          <w:b/>
          <w:i/>
          <w:color w:val="404040"/>
          <w:spacing w:val="20"/>
          <w:sz w:val="20"/>
        </w:rPr>
      </w:pPr>
      <w:r>
        <w:rPr>
          <w:rFonts w:eastAsia="Calibri"/>
        </w:rPr>
        <w:t xml:space="preserve">        </w:t>
      </w:r>
      <w:r>
        <w:rPr>
          <w:rFonts w:eastAsia="Calibri"/>
          <w:color w:val="404040"/>
          <w:spacing w:val="20"/>
          <w:sz w:val="20"/>
        </w:rPr>
        <w:t>Banski dvori | Trg Sv. Marka 2  | 10000 Zagreb | tel. 01 4569 222 | vlada.gov.hr</w:t>
      </w:r>
    </w:p>
    <w:p w14:paraId="45961930" w14:textId="77777777" w:rsidR="004A07D8" w:rsidRDefault="004A07D8" w:rsidP="004A07D8">
      <w:pPr>
        <w:rPr>
          <w:rFonts w:eastAsia="Calibri"/>
          <w:b/>
          <w:i/>
          <w:color w:val="404040"/>
          <w:spacing w:val="20"/>
          <w:sz w:val="20"/>
        </w:rPr>
        <w:sectPr w:rsidR="004A07D8">
          <w:type w:val="continuous"/>
          <w:pgSz w:w="11906" w:h="16838"/>
          <w:pgMar w:top="993" w:right="1417" w:bottom="1417" w:left="1417" w:header="709" w:footer="658" w:gutter="0"/>
          <w:cols w:space="720"/>
        </w:sectPr>
      </w:pPr>
    </w:p>
    <w:p w14:paraId="2A511ACF" w14:textId="77777777" w:rsidR="004A07D8" w:rsidRDefault="004A07D8" w:rsidP="004A07D8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</w:rPr>
      </w:pPr>
    </w:p>
    <w:p w14:paraId="047E3EE9" w14:textId="77777777" w:rsidR="004A07D8" w:rsidRDefault="004A07D8" w:rsidP="004A07D8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</w:rPr>
      </w:pPr>
    </w:p>
    <w:p w14:paraId="7A401D99" w14:textId="77777777" w:rsidR="004A07D8" w:rsidRDefault="004A07D8" w:rsidP="004A07D8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VLADA REPUBLIKE HRVATSKE</w:t>
      </w:r>
    </w:p>
    <w:p w14:paraId="08BC7630" w14:textId="77777777" w:rsidR="004A07D8" w:rsidRDefault="004A07D8" w:rsidP="004A07D8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</w:rPr>
      </w:pPr>
    </w:p>
    <w:p w14:paraId="410ECFCD" w14:textId="77777777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7046C66F" w14:textId="77777777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66377DCB" w14:textId="77777777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79E1BD1E" w14:textId="77777777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64212913" w14:textId="77777777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67319D6F" w14:textId="77777777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75719BDD" w14:textId="77777777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227566BF" w14:textId="77777777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726172BA" w14:textId="7F4E4C08" w:rsidR="004A07D8" w:rsidRDefault="004A07D8" w:rsidP="004A07D8">
      <w:pPr>
        <w:autoSpaceDE w:val="0"/>
        <w:autoSpaceDN w:val="0"/>
        <w:adjustRightInd w:val="0"/>
        <w:rPr>
          <w:b/>
        </w:rPr>
      </w:pPr>
    </w:p>
    <w:p w14:paraId="1F7B3EB0" w14:textId="77777777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562095D1" w14:textId="77777777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3B204F63" w14:textId="77777777" w:rsidR="004A07D8" w:rsidRDefault="004A07D8" w:rsidP="004A07D8">
      <w:pPr>
        <w:autoSpaceDE w:val="0"/>
        <w:autoSpaceDN w:val="0"/>
        <w:adjustRightInd w:val="0"/>
        <w:rPr>
          <w:b/>
        </w:rPr>
      </w:pPr>
    </w:p>
    <w:p w14:paraId="61926859" w14:textId="77777777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6D3CE933" w14:textId="77777777" w:rsidR="004A07D8" w:rsidRPr="002C5267" w:rsidRDefault="004A07D8" w:rsidP="004A07D8">
      <w:pPr>
        <w:ind w:firstLine="708"/>
        <w:jc w:val="center"/>
        <w:rPr>
          <w:rFonts w:eastAsia="Calibri"/>
          <w:b/>
          <w:color w:val="000000"/>
          <w:lang w:eastAsia="en-US"/>
        </w:rPr>
      </w:pPr>
      <w:r w:rsidRPr="002C5267">
        <w:rPr>
          <w:rFonts w:eastAsia="Calibri"/>
          <w:b/>
          <w:color w:val="000000"/>
          <w:lang w:eastAsia="en-US"/>
        </w:rPr>
        <w:t xml:space="preserve">NACRT PRIJEDLOGA ODLUKE O SUDJELOVANJU </w:t>
      </w:r>
      <w:r>
        <w:rPr>
          <w:rFonts w:eastAsia="Calibri"/>
          <w:b/>
          <w:color w:val="000000"/>
          <w:lang w:eastAsia="en-US"/>
        </w:rPr>
        <w:t xml:space="preserve">PRIPADNIKA </w:t>
      </w:r>
      <w:r w:rsidRPr="002C5267">
        <w:rPr>
          <w:rFonts w:eastAsia="Calibri"/>
          <w:b/>
          <w:color w:val="000000"/>
          <w:lang w:eastAsia="en-US"/>
        </w:rPr>
        <w:t xml:space="preserve">ORUŽANIH SNAGA REPUBLIKE  HRVATSKE U AKTIVNOSTI </w:t>
      </w:r>
      <w:r w:rsidRPr="002C5267">
        <w:rPr>
          <w:b/>
        </w:rPr>
        <w:t>STALNE NATO SKUPINE PROTUMINSKIH SNAGA 2</w:t>
      </w:r>
    </w:p>
    <w:p w14:paraId="22C2D287" w14:textId="77777777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271348A1" w14:textId="77777777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29D61C2F" w14:textId="77777777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16040CCC" w14:textId="77777777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346B99CB" w14:textId="77777777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1EF7D69E" w14:textId="77777777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24F12505" w14:textId="77777777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5225FE71" w14:textId="77777777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169F15C9" w14:textId="77777777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70138699" w14:textId="77777777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381F9FD5" w14:textId="77777777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48AA1AEC" w14:textId="4D628AF3" w:rsidR="004A07D8" w:rsidRDefault="004A07D8" w:rsidP="004A07D8">
      <w:pPr>
        <w:autoSpaceDE w:val="0"/>
        <w:autoSpaceDN w:val="0"/>
        <w:adjustRightInd w:val="0"/>
        <w:rPr>
          <w:b/>
        </w:rPr>
      </w:pPr>
    </w:p>
    <w:p w14:paraId="40D7BE67" w14:textId="77777777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2FB05A1F" w14:textId="77777777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1B7E35E6" w14:textId="77777777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53E67BD7" w14:textId="77777777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4C29C54A" w14:textId="77777777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79828E15" w14:textId="77777777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2091B28B" w14:textId="77777777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107B3C2A" w14:textId="77777777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62BFDD8A" w14:textId="31595668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268E74C0" w14:textId="79257CFA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75A2DF81" w14:textId="77777777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0465590B" w14:textId="77777777" w:rsidR="004A07D8" w:rsidRDefault="004A07D8" w:rsidP="004A07D8">
      <w:pPr>
        <w:autoSpaceDE w:val="0"/>
        <w:autoSpaceDN w:val="0"/>
        <w:adjustRightInd w:val="0"/>
        <w:jc w:val="center"/>
        <w:rPr>
          <w:b/>
        </w:rPr>
      </w:pPr>
    </w:p>
    <w:p w14:paraId="3F15B42B" w14:textId="77777777" w:rsidR="004A07D8" w:rsidRDefault="004A07D8" w:rsidP="004A07D8">
      <w:pPr>
        <w:autoSpaceDE w:val="0"/>
        <w:autoSpaceDN w:val="0"/>
        <w:adjustRightInd w:val="0"/>
        <w:ind w:left="3540" w:firstLine="708"/>
        <w:jc w:val="both"/>
        <w:rPr>
          <w:b/>
          <w:bCs/>
        </w:rPr>
      </w:pPr>
      <w:r>
        <w:rPr>
          <w:bCs/>
        </w:rPr>
        <w:t>Zagreb, listopad 2024.</w:t>
      </w:r>
    </w:p>
    <w:p w14:paraId="3EAD9FCD" w14:textId="77777777" w:rsidR="004A07D8" w:rsidRDefault="004A07D8" w:rsidP="004A07D8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433A0C98" w14:textId="6A2D3DC4" w:rsidR="004A07D8" w:rsidRDefault="004A07D8">
      <w:pPr>
        <w:rPr>
          <w:rFonts w:eastAsia="Calibri"/>
          <w:b/>
          <w:color w:val="000000"/>
          <w:lang w:eastAsia="en-US"/>
        </w:rPr>
      </w:pPr>
    </w:p>
    <w:p w14:paraId="0C8AC81C" w14:textId="348656C9" w:rsidR="004A07D8" w:rsidRDefault="004A07D8">
      <w:pPr>
        <w:rPr>
          <w:rFonts w:eastAsia="Calibri"/>
          <w:b/>
          <w:color w:val="000000"/>
          <w:lang w:eastAsia="en-US"/>
        </w:rPr>
      </w:pPr>
    </w:p>
    <w:p w14:paraId="6BD9349C" w14:textId="175AAC25" w:rsidR="001C302F" w:rsidRPr="002C5267" w:rsidRDefault="00217AEE" w:rsidP="00911EBC">
      <w:pPr>
        <w:ind w:firstLine="708"/>
        <w:jc w:val="both"/>
        <w:rPr>
          <w:rFonts w:eastAsia="Calibri"/>
          <w:b/>
          <w:color w:val="000000"/>
          <w:lang w:eastAsia="en-US"/>
        </w:rPr>
      </w:pPr>
      <w:r w:rsidRPr="002C5267">
        <w:rPr>
          <w:rFonts w:eastAsia="Calibri"/>
          <w:b/>
          <w:color w:val="000000"/>
          <w:lang w:eastAsia="en-US"/>
        </w:rPr>
        <w:t xml:space="preserve">NACRT </w:t>
      </w:r>
      <w:r w:rsidR="001C302F" w:rsidRPr="002C5267">
        <w:rPr>
          <w:rFonts w:eastAsia="Calibri"/>
          <w:b/>
          <w:color w:val="000000"/>
          <w:lang w:eastAsia="en-US"/>
        </w:rPr>
        <w:t>PRIJEDLOG</w:t>
      </w:r>
      <w:r w:rsidRPr="002C5267">
        <w:rPr>
          <w:rFonts w:eastAsia="Calibri"/>
          <w:b/>
          <w:color w:val="000000"/>
          <w:lang w:eastAsia="en-US"/>
        </w:rPr>
        <w:t>A</w:t>
      </w:r>
      <w:r w:rsidR="001C302F" w:rsidRPr="002C5267">
        <w:rPr>
          <w:rFonts w:eastAsia="Calibri"/>
          <w:b/>
          <w:color w:val="000000"/>
          <w:lang w:eastAsia="en-US"/>
        </w:rPr>
        <w:t xml:space="preserve"> ODLUKE O SUDJELOVANJU</w:t>
      </w:r>
      <w:r w:rsidR="00CC13EF" w:rsidRPr="002C5267">
        <w:rPr>
          <w:rFonts w:eastAsia="Calibri"/>
          <w:b/>
          <w:color w:val="000000"/>
          <w:lang w:eastAsia="en-US"/>
        </w:rPr>
        <w:t xml:space="preserve"> </w:t>
      </w:r>
      <w:r w:rsidR="0095006C">
        <w:rPr>
          <w:rFonts w:eastAsia="Calibri"/>
          <w:b/>
          <w:color w:val="000000"/>
          <w:lang w:eastAsia="en-US"/>
        </w:rPr>
        <w:t xml:space="preserve">PRIPADNIKA </w:t>
      </w:r>
      <w:r w:rsidR="001C302F" w:rsidRPr="002C5267">
        <w:rPr>
          <w:rFonts w:eastAsia="Calibri"/>
          <w:b/>
          <w:color w:val="000000"/>
          <w:lang w:eastAsia="en-US"/>
        </w:rPr>
        <w:t xml:space="preserve">ORUŽANIH SNAGA REPUBLIKE </w:t>
      </w:r>
      <w:r w:rsidR="00EC10F1" w:rsidRPr="002C5267">
        <w:rPr>
          <w:rFonts w:eastAsia="Calibri"/>
          <w:b/>
          <w:color w:val="000000"/>
          <w:lang w:eastAsia="en-US"/>
        </w:rPr>
        <w:t xml:space="preserve"> </w:t>
      </w:r>
      <w:r w:rsidR="001C302F" w:rsidRPr="002C5267">
        <w:rPr>
          <w:rFonts w:eastAsia="Calibri"/>
          <w:b/>
          <w:color w:val="000000"/>
          <w:lang w:eastAsia="en-US"/>
        </w:rPr>
        <w:t>HRVATSKE</w:t>
      </w:r>
      <w:r w:rsidR="00CC13EF" w:rsidRPr="002C5267">
        <w:rPr>
          <w:rFonts w:eastAsia="Calibri"/>
          <w:b/>
          <w:color w:val="000000"/>
          <w:lang w:eastAsia="en-US"/>
        </w:rPr>
        <w:t xml:space="preserve"> </w:t>
      </w:r>
      <w:r w:rsidR="00FC5359" w:rsidRPr="002C5267">
        <w:rPr>
          <w:rFonts w:eastAsia="Calibri"/>
          <w:b/>
          <w:color w:val="000000"/>
          <w:lang w:eastAsia="en-US"/>
        </w:rPr>
        <w:t xml:space="preserve">U </w:t>
      </w:r>
      <w:r w:rsidR="009A3863" w:rsidRPr="002C5267">
        <w:rPr>
          <w:rFonts w:eastAsia="Calibri"/>
          <w:b/>
          <w:color w:val="000000"/>
          <w:lang w:eastAsia="en-US"/>
        </w:rPr>
        <w:t>AKTIVNOSTI</w:t>
      </w:r>
      <w:r w:rsidR="00EE6877" w:rsidRPr="002C5267">
        <w:rPr>
          <w:rFonts w:eastAsia="Calibri"/>
          <w:b/>
          <w:color w:val="000000"/>
          <w:lang w:eastAsia="en-US"/>
        </w:rPr>
        <w:t xml:space="preserve"> </w:t>
      </w:r>
      <w:r w:rsidR="004B04A8" w:rsidRPr="002C5267">
        <w:rPr>
          <w:b/>
        </w:rPr>
        <w:t xml:space="preserve">STALNE </w:t>
      </w:r>
      <w:r w:rsidR="00595366" w:rsidRPr="002C5267">
        <w:rPr>
          <w:b/>
        </w:rPr>
        <w:t xml:space="preserve">NATO SKUPINE PROTUMINSKIH SNAGA </w:t>
      </w:r>
      <w:r w:rsidR="00EE6877" w:rsidRPr="002C5267">
        <w:rPr>
          <w:b/>
        </w:rPr>
        <w:t>2</w:t>
      </w:r>
    </w:p>
    <w:p w14:paraId="6BD9349D" w14:textId="77777777" w:rsidR="001C302F" w:rsidRDefault="001C302F" w:rsidP="00BD03CD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</w:p>
    <w:p w14:paraId="6BD9349E" w14:textId="77777777" w:rsidR="00EF553A" w:rsidRPr="005E6CEB" w:rsidRDefault="00EF553A" w:rsidP="00BD03CD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</w:p>
    <w:p w14:paraId="6BD9349F" w14:textId="77777777" w:rsidR="001C302F" w:rsidRPr="005E6CEB" w:rsidRDefault="002C5267" w:rsidP="00BD03CD">
      <w:pPr>
        <w:pStyle w:val="Heading1"/>
        <w:keepNext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before="0" w:beforeAutospacing="0" w:after="0" w:afterAutospacing="0" w:line="276" w:lineRule="auto"/>
        <w:ind w:left="1440"/>
        <w:rPr>
          <w:color w:val="000000"/>
          <w:kern w:val="0"/>
          <w:sz w:val="24"/>
          <w:szCs w:val="24"/>
          <w:lang w:eastAsia="en-US"/>
        </w:rPr>
      </w:pPr>
      <w:r>
        <w:rPr>
          <w:color w:val="000000"/>
          <w:kern w:val="0"/>
          <w:sz w:val="24"/>
          <w:szCs w:val="24"/>
          <w:lang w:eastAsia="en-US"/>
        </w:rPr>
        <w:t xml:space="preserve">        </w:t>
      </w:r>
      <w:r w:rsidR="001C302F" w:rsidRPr="005E6CEB">
        <w:rPr>
          <w:color w:val="000000"/>
          <w:kern w:val="0"/>
          <w:sz w:val="24"/>
          <w:szCs w:val="24"/>
          <w:lang w:eastAsia="en-US"/>
        </w:rPr>
        <w:t>USTAVNA OSNOVA</w:t>
      </w:r>
      <w:r w:rsidR="00C74F36">
        <w:rPr>
          <w:color w:val="000000"/>
          <w:kern w:val="0"/>
          <w:sz w:val="24"/>
          <w:szCs w:val="24"/>
          <w:lang w:eastAsia="en-US"/>
        </w:rPr>
        <w:t xml:space="preserve"> ZA DONOŠENJE ODLUKE</w:t>
      </w:r>
    </w:p>
    <w:p w14:paraId="6BD934A0" w14:textId="77777777" w:rsidR="00050A7A" w:rsidRPr="005E6CEB" w:rsidRDefault="00050A7A" w:rsidP="00BD03C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6BD934A1" w14:textId="77777777" w:rsidR="00EC10F1" w:rsidRPr="005E6CEB" w:rsidRDefault="00EC3462" w:rsidP="00B73B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6CEB">
        <w:rPr>
          <w:color w:val="000000"/>
        </w:rPr>
        <w:t>Na temelju članka 7. stavka 5. Ustava Republike Hrvatske (Narodne novine, br. 85/10 – pročišćeni tekst i 5/14 – Odluka Ustavnog suda Republike Hrvatske)</w:t>
      </w:r>
      <w:r w:rsidR="00EF553A">
        <w:rPr>
          <w:color w:val="000000"/>
        </w:rPr>
        <w:t xml:space="preserve"> </w:t>
      </w:r>
      <w:r w:rsidRPr="005E6CEB">
        <w:rPr>
          <w:color w:val="000000"/>
        </w:rPr>
        <w:t>pokreće se postupak za donošenje Odluke o sudjelovanju</w:t>
      </w:r>
      <w:r w:rsidR="003A08D5">
        <w:rPr>
          <w:color w:val="000000"/>
        </w:rPr>
        <w:t xml:space="preserve"> </w:t>
      </w:r>
      <w:r w:rsidR="0095006C">
        <w:rPr>
          <w:color w:val="000000"/>
        </w:rPr>
        <w:t xml:space="preserve">pripadnika </w:t>
      </w:r>
      <w:r w:rsidRPr="005E6CEB">
        <w:rPr>
          <w:color w:val="000000"/>
        </w:rPr>
        <w:t>Oružanih snaga Republike Hrvatske u</w:t>
      </w:r>
      <w:r w:rsidR="009A3863">
        <w:rPr>
          <w:color w:val="000000"/>
        </w:rPr>
        <w:t xml:space="preserve"> aktivnosti</w:t>
      </w:r>
      <w:r w:rsidR="00EC10F1">
        <w:rPr>
          <w:color w:val="000000"/>
        </w:rPr>
        <w:t xml:space="preserve"> </w:t>
      </w:r>
      <w:r w:rsidR="004B04A8">
        <w:rPr>
          <w:color w:val="000000"/>
        </w:rPr>
        <w:t xml:space="preserve">Stalne </w:t>
      </w:r>
      <w:r w:rsidR="00595366">
        <w:t>NATO skupin</w:t>
      </w:r>
      <w:r w:rsidR="00D3340F">
        <w:t>e</w:t>
      </w:r>
      <w:r w:rsidR="00595366">
        <w:t xml:space="preserve"> </w:t>
      </w:r>
      <w:proofErr w:type="spellStart"/>
      <w:r w:rsidR="00595366">
        <w:t>protuminskih</w:t>
      </w:r>
      <w:proofErr w:type="spellEnd"/>
      <w:r w:rsidR="00595366">
        <w:t xml:space="preserve"> snaga </w:t>
      </w:r>
      <w:r w:rsidR="000E4C8F" w:rsidRPr="000E4C8F">
        <w:t xml:space="preserve">2 </w:t>
      </w:r>
      <w:r w:rsidRPr="005E6CEB">
        <w:rPr>
          <w:color w:val="000000"/>
        </w:rPr>
        <w:t>(u daljnjem tekstu</w:t>
      </w:r>
      <w:r w:rsidR="00BA08BB">
        <w:rPr>
          <w:color w:val="000000"/>
        </w:rPr>
        <w:t xml:space="preserve"> </w:t>
      </w:r>
      <w:r w:rsidRPr="005E6CEB">
        <w:rPr>
          <w:color w:val="000000"/>
        </w:rPr>
        <w:t>Odluka).</w:t>
      </w:r>
    </w:p>
    <w:p w14:paraId="6BD934A2" w14:textId="77777777" w:rsidR="00050A7A" w:rsidRPr="005E6CEB" w:rsidRDefault="00050A7A" w:rsidP="00304C94">
      <w:pPr>
        <w:autoSpaceDE w:val="0"/>
        <w:autoSpaceDN w:val="0"/>
        <w:adjustRightInd w:val="0"/>
        <w:jc w:val="both"/>
        <w:rPr>
          <w:color w:val="000000"/>
        </w:rPr>
      </w:pPr>
    </w:p>
    <w:p w14:paraId="6BD934A3" w14:textId="77777777" w:rsidR="00381721" w:rsidRDefault="00381721" w:rsidP="002C5267">
      <w:pPr>
        <w:autoSpaceDE w:val="0"/>
        <w:autoSpaceDN w:val="0"/>
        <w:adjustRightInd w:val="0"/>
        <w:ind w:left="708"/>
        <w:rPr>
          <w:b/>
          <w:bCs/>
          <w:color w:val="000000"/>
        </w:rPr>
      </w:pPr>
    </w:p>
    <w:p w14:paraId="6BD934A4" w14:textId="77777777" w:rsidR="001C302F" w:rsidRPr="005E6CEB" w:rsidRDefault="002C5267" w:rsidP="002C5267">
      <w:pPr>
        <w:autoSpaceDE w:val="0"/>
        <w:autoSpaceDN w:val="0"/>
        <w:adjustRightInd w:val="0"/>
        <w:ind w:left="708"/>
        <w:rPr>
          <w:b/>
          <w:bCs/>
          <w:color w:val="000000"/>
        </w:rPr>
      </w:pPr>
      <w:r>
        <w:rPr>
          <w:b/>
          <w:bCs/>
          <w:color w:val="000000"/>
        </w:rPr>
        <w:t>II.</w:t>
      </w:r>
      <w:r>
        <w:rPr>
          <w:b/>
          <w:bCs/>
          <w:color w:val="000000"/>
        </w:rPr>
        <w:tab/>
      </w:r>
      <w:r w:rsidR="001C302F" w:rsidRPr="005E6CEB">
        <w:rPr>
          <w:b/>
          <w:bCs/>
          <w:color w:val="000000"/>
        </w:rPr>
        <w:t>OCJENA DOSADAŠNJEG STANJA</w:t>
      </w:r>
    </w:p>
    <w:p w14:paraId="6BD934A5" w14:textId="77777777" w:rsidR="009C242A" w:rsidRPr="005E6CEB" w:rsidRDefault="009C242A" w:rsidP="00304C94">
      <w:pPr>
        <w:spacing w:before="120"/>
        <w:ind w:firstLine="709"/>
        <w:jc w:val="both"/>
        <w:rPr>
          <w:color w:val="000000"/>
        </w:rPr>
      </w:pPr>
    </w:p>
    <w:p w14:paraId="6BD934A6" w14:textId="77777777" w:rsidR="003F35AB" w:rsidRDefault="00D3340F" w:rsidP="00B73BC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 xml:space="preserve">Savezničko </w:t>
      </w:r>
      <w:r w:rsidR="00522FD7">
        <w:rPr>
          <w:color w:val="000000"/>
        </w:rPr>
        <w:t xml:space="preserve">pomorsko </w:t>
      </w:r>
      <w:r w:rsidR="00522FD7" w:rsidRPr="00CA448A">
        <w:rPr>
          <w:color w:val="000000"/>
        </w:rPr>
        <w:t>z</w:t>
      </w:r>
      <w:r w:rsidR="00E60883" w:rsidRPr="00CA448A">
        <w:rPr>
          <w:color w:val="000000"/>
        </w:rPr>
        <w:t xml:space="preserve">apovjedništvo </w:t>
      </w:r>
      <w:r w:rsidR="003B5C3E" w:rsidRPr="00CA448A">
        <w:rPr>
          <w:color w:val="000000"/>
        </w:rPr>
        <w:t xml:space="preserve"> </w:t>
      </w:r>
      <w:r w:rsidR="00E60883" w:rsidRPr="00CA448A">
        <w:rPr>
          <w:color w:val="000000"/>
        </w:rPr>
        <w:t>(</w:t>
      </w:r>
      <w:r w:rsidR="003B5C3E" w:rsidRPr="00CA448A">
        <w:rPr>
          <w:i/>
        </w:rPr>
        <w:t xml:space="preserve">Allied </w:t>
      </w:r>
      <w:proofErr w:type="spellStart"/>
      <w:r w:rsidR="003B5C3E" w:rsidRPr="00CA448A">
        <w:rPr>
          <w:i/>
        </w:rPr>
        <w:t>Maritime</w:t>
      </w:r>
      <w:proofErr w:type="spellEnd"/>
      <w:r w:rsidR="003B5C3E" w:rsidRPr="00CA448A">
        <w:rPr>
          <w:i/>
        </w:rPr>
        <w:t xml:space="preserve"> </w:t>
      </w:r>
      <w:proofErr w:type="spellStart"/>
      <w:r w:rsidR="003B5C3E" w:rsidRPr="00CA448A">
        <w:rPr>
          <w:i/>
        </w:rPr>
        <w:t>Command</w:t>
      </w:r>
      <w:proofErr w:type="spellEnd"/>
      <w:r w:rsidR="003B5C3E" w:rsidRPr="00CA448A">
        <w:rPr>
          <w:i/>
        </w:rPr>
        <w:t xml:space="preserve"> </w:t>
      </w:r>
      <w:r w:rsidR="00C645DD" w:rsidRPr="00CA448A">
        <w:rPr>
          <w:i/>
        </w:rPr>
        <w:t>–</w:t>
      </w:r>
      <w:r w:rsidR="003B5C3E" w:rsidRPr="00CA448A">
        <w:rPr>
          <w:i/>
        </w:rPr>
        <w:t xml:space="preserve"> </w:t>
      </w:r>
      <w:r w:rsidR="00E60883" w:rsidRPr="00CA448A">
        <w:rPr>
          <w:i/>
          <w:color w:val="000000"/>
        </w:rPr>
        <w:t>MARCOM</w:t>
      </w:r>
      <w:r w:rsidR="00B06D77" w:rsidRPr="00CA448A">
        <w:rPr>
          <w:i/>
          <w:color w:val="000000"/>
        </w:rPr>
        <w:t>)</w:t>
      </w:r>
      <w:r w:rsidR="00C645DD" w:rsidRPr="00CA448A">
        <w:rPr>
          <w:color w:val="000000"/>
        </w:rPr>
        <w:t xml:space="preserve"> </w:t>
      </w:r>
      <w:r w:rsidR="00287221" w:rsidRPr="00CA448A">
        <w:rPr>
          <w:color w:val="000000"/>
        </w:rPr>
        <w:t xml:space="preserve">provodi </w:t>
      </w:r>
      <w:r w:rsidR="00E60883" w:rsidRPr="00CA448A">
        <w:rPr>
          <w:color w:val="000000"/>
        </w:rPr>
        <w:t>operativni nadzor nad Stalni</w:t>
      </w:r>
      <w:r w:rsidR="00E2778A" w:rsidRPr="00CA448A">
        <w:rPr>
          <w:color w:val="000000"/>
        </w:rPr>
        <w:t>m</w:t>
      </w:r>
      <w:r w:rsidR="00E60883" w:rsidRPr="00CA448A">
        <w:rPr>
          <w:color w:val="000000"/>
        </w:rPr>
        <w:t xml:space="preserve"> pomorski</w:t>
      </w:r>
      <w:r w:rsidR="00E2778A" w:rsidRPr="00CA448A">
        <w:rPr>
          <w:color w:val="000000"/>
        </w:rPr>
        <w:t>m</w:t>
      </w:r>
      <w:r w:rsidR="00E60883" w:rsidRPr="00CA448A">
        <w:rPr>
          <w:color w:val="000000"/>
        </w:rPr>
        <w:t xml:space="preserve"> snaga</w:t>
      </w:r>
      <w:r w:rsidR="00E2778A" w:rsidRPr="00CA448A">
        <w:rPr>
          <w:color w:val="000000"/>
        </w:rPr>
        <w:t>ma</w:t>
      </w:r>
      <w:r w:rsidR="00E60883" w:rsidRPr="00CA448A">
        <w:rPr>
          <w:color w:val="000000"/>
        </w:rPr>
        <w:t xml:space="preserve"> koje se sastoje od dvije </w:t>
      </w:r>
      <w:r w:rsidR="00E2778A" w:rsidRPr="00CA448A">
        <w:rPr>
          <w:color w:val="000000"/>
        </w:rPr>
        <w:t xml:space="preserve">NATO </w:t>
      </w:r>
      <w:r w:rsidR="00E60883" w:rsidRPr="00CA448A">
        <w:rPr>
          <w:color w:val="000000"/>
        </w:rPr>
        <w:t>skupine brodova</w:t>
      </w:r>
      <w:r w:rsidR="00E2778A" w:rsidRPr="00CA448A">
        <w:rPr>
          <w:color w:val="000000"/>
        </w:rPr>
        <w:t xml:space="preserve"> </w:t>
      </w:r>
      <w:r w:rsidR="00E60883" w:rsidRPr="00CA448A">
        <w:rPr>
          <w:color w:val="000000"/>
        </w:rPr>
        <w:t>za površinska djelovanja</w:t>
      </w:r>
      <w:r w:rsidR="00273229" w:rsidRPr="00CA448A">
        <w:rPr>
          <w:color w:val="000000"/>
        </w:rPr>
        <w:t xml:space="preserve"> </w:t>
      </w:r>
      <w:r w:rsidR="00E60883" w:rsidRPr="00CA448A">
        <w:rPr>
          <w:color w:val="000000"/>
        </w:rPr>
        <w:t xml:space="preserve">i dvije </w:t>
      </w:r>
      <w:r w:rsidR="00595366" w:rsidRPr="00CA448A">
        <w:t xml:space="preserve">Stalne NATO skupine </w:t>
      </w:r>
      <w:proofErr w:type="spellStart"/>
      <w:r w:rsidR="00595366" w:rsidRPr="00CA448A">
        <w:t>protuminskih</w:t>
      </w:r>
      <w:proofErr w:type="spellEnd"/>
      <w:r w:rsidR="00595366" w:rsidRPr="00CA448A">
        <w:t xml:space="preserve"> snaga</w:t>
      </w:r>
      <w:r w:rsidR="00E60883" w:rsidRPr="00CA448A">
        <w:rPr>
          <w:color w:val="000000"/>
        </w:rPr>
        <w:t>.</w:t>
      </w:r>
      <w:r w:rsidR="00E60883" w:rsidRPr="004F61E1">
        <w:rPr>
          <w:color w:val="000000"/>
        </w:rPr>
        <w:t xml:space="preserve"> </w:t>
      </w:r>
    </w:p>
    <w:p w14:paraId="6BD934A7" w14:textId="77777777" w:rsidR="003F35AB" w:rsidRDefault="00E1325A" w:rsidP="00B73BC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 xml:space="preserve">Stalne pomorske snage </w:t>
      </w:r>
      <w:r w:rsidR="00E60883" w:rsidRPr="004F61E1">
        <w:rPr>
          <w:color w:val="000000"/>
        </w:rPr>
        <w:t xml:space="preserve">su integrirane pomorske snage koje čine brodovi </w:t>
      </w:r>
      <w:r>
        <w:rPr>
          <w:color w:val="000000"/>
        </w:rPr>
        <w:t>s</w:t>
      </w:r>
      <w:r w:rsidR="00E60883" w:rsidRPr="004F61E1">
        <w:rPr>
          <w:color w:val="000000"/>
        </w:rPr>
        <w:t xml:space="preserve">avezničkih </w:t>
      </w:r>
      <w:r w:rsidR="00304472">
        <w:rPr>
          <w:color w:val="000000"/>
        </w:rPr>
        <w:t>država</w:t>
      </w:r>
      <w:r w:rsidR="00304472" w:rsidRPr="004F61E1">
        <w:rPr>
          <w:color w:val="000000"/>
        </w:rPr>
        <w:t xml:space="preserve"> </w:t>
      </w:r>
      <w:r w:rsidR="000E4C8F">
        <w:rPr>
          <w:color w:val="000000"/>
        </w:rPr>
        <w:t>s</w:t>
      </w:r>
      <w:r w:rsidR="00E60883" w:rsidRPr="004F61E1">
        <w:rPr>
          <w:color w:val="000000"/>
        </w:rPr>
        <w:t xml:space="preserve"> prenesenim ovlastima operativnog nadzora nad snagama </w:t>
      </w:r>
      <w:r w:rsidR="00304472">
        <w:rPr>
          <w:color w:val="000000"/>
        </w:rPr>
        <w:t>država</w:t>
      </w:r>
      <w:r w:rsidR="00304472" w:rsidRPr="004F61E1">
        <w:rPr>
          <w:color w:val="000000"/>
        </w:rPr>
        <w:t xml:space="preserve"> </w:t>
      </w:r>
      <w:r w:rsidR="00E60883" w:rsidRPr="004F61E1">
        <w:rPr>
          <w:color w:val="000000"/>
        </w:rPr>
        <w:t xml:space="preserve">davateljica </w:t>
      </w:r>
      <w:r w:rsidR="00D3340F">
        <w:rPr>
          <w:color w:val="000000"/>
        </w:rPr>
        <w:t xml:space="preserve">zapovjedniku Savezničkog </w:t>
      </w:r>
      <w:r w:rsidR="00522FD7">
        <w:rPr>
          <w:color w:val="000000"/>
        </w:rPr>
        <w:t>z</w:t>
      </w:r>
      <w:r w:rsidR="00E60883" w:rsidRPr="004F61E1">
        <w:rPr>
          <w:color w:val="000000"/>
        </w:rPr>
        <w:t>apovjedništva za operacije</w:t>
      </w:r>
      <w:r w:rsidR="004B04A8">
        <w:rPr>
          <w:color w:val="000000"/>
        </w:rPr>
        <w:t xml:space="preserve"> </w:t>
      </w:r>
      <w:r w:rsidR="00E60883" w:rsidRPr="004F61E1">
        <w:rPr>
          <w:color w:val="000000"/>
        </w:rPr>
        <w:t>odnosno delegiran</w:t>
      </w:r>
      <w:r w:rsidR="00E2778A">
        <w:rPr>
          <w:color w:val="000000"/>
        </w:rPr>
        <w:t>im</w:t>
      </w:r>
      <w:r w:rsidR="00E60883" w:rsidRPr="004F61E1">
        <w:rPr>
          <w:color w:val="000000"/>
        </w:rPr>
        <w:t xml:space="preserve"> ovlasti</w:t>
      </w:r>
      <w:r w:rsidR="00E2778A">
        <w:rPr>
          <w:color w:val="000000"/>
        </w:rPr>
        <w:t>ma</w:t>
      </w:r>
      <w:r w:rsidR="00E60883" w:rsidRPr="004F61E1">
        <w:rPr>
          <w:color w:val="000000"/>
        </w:rPr>
        <w:t xml:space="preserve"> operativnom zapovjedniku</w:t>
      </w:r>
      <w:r w:rsidRPr="00E1325A">
        <w:rPr>
          <w:color w:val="000000"/>
        </w:rPr>
        <w:t xml:space="preserve"> </w:t>
      </w:r>
      <w:r w:rsidRPr="004F61E1">
        <w:rPr>
          <w:color w:val="000000"/>
        </w:rPr>
        <w:t>Savezničko</w:t>
      </w:r>
      <w:r>
        <w:rPr>
          <w:color w:val="000000"/>
        </w:rPr>
        <w:t>g</w:t>
      </w:r>
      <w:r w:rsidRPr="004F61E1">
        <w:rPr>
          <w:color w:val="000000"/>
        </w:rPr>
        <w:t xml:space="preserve"> </w:t>
      </w:r>
      <w:r w:rsidR="00522FD7">
        <w:rPr>
          <w:color w:val="000000"/>
        </w:rPr>
        <w:t>pomorskog z</w:t>
      </w:r>
      <w:r w:rsidRPr="004F61E1">
        <w:rPr>
          <w:color w:val="000000"/>
        </w:rPr>
        <w:t>apovjedništv</w:t>
      </w:r>
      <w:r>
        <w:rPr>
          <w:color w:val="000000"/>
        </w:rPr>
        <w:t>a</w:t>
      </w:r>
      <w:r w:rsidR="00E60883" w:rsidRPr="004F61E1">
        <w:rPr>
          <w:color w:val="000000"/>
        </w:rPr>
        <w:t>.</w:t>
      </w:r>
    </w:p>
    <w:p w14:paraId="6BD934A8" w14:textId="77777777" w:rsidR="003F35AB" w:rsidRDefault="00E60883" w:rsidP="00B73BC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 w:rsidRPr="004F61E1">
        <w:rPr>
          <w:color w:val="000000"/>
        </w:rPr>
        <w:t xml:space="preserve"> </w:t>
      </w:r>
      <w:r w:rsidR="00E1325A">
        <w:rPr>
          <w:color w:val="000000"/>
        </w:rPr>
        <w:t xml:space="preserve">Stalne pomorske snage </w:t>
      </w:r>
      <w:r w:rsidRPr="004F61E1">
        <w:rPr>
          <w:color w:val="000000"/>
        </w:rPr>
        <w:t>provode ak</w:t>
      </w:r>
      <w:r w:rsidR="00E1325A">
        <w:rPr>
          <w:color w:val="000000"/>
        </w:rPr>
        <w:t>tivnosti širokog spektra zadaća</w:t>
      </w:r>
      <w:r w:rsidRPr="004F61E1">
        <w:rPr>
          <w:color w:val="000000"/>
        </w:rPr>
        <w:t xml:space="preserve"> od prisutnosti i odvraćanja</w:t>
      </w:r>
      <w:r w:rsidR="00E76FC7">
        <w:rPr>
          <w:color w:val="000000"/>
        </w:rPr>
        <w:t xml:space="preserve"> ugroza</w:t>
      </w:r>
      <w:r w:rsidRPr="004F61E1">
        <w:rPr>
          <w:color w:val="000000"/>
        </w:rPr>
        <w:t xml:space="preserve">, stvaranja </w:t>
      </w:r>
      <w:r w:rsidR="00E76FC7">
        <w:rPr>
          <w:color w:val="000000"/>
        </w:rPr>
        <w:t xml:space="preserve">zajedničke </w:t>
      </w:r>
      <w:r w:rsidRPr="004F61E1">
        <w:rPr>
          <w:color w:val="000000"/>
        </w:rPr>
        <w:t>slike pomorske situacijske svjesnost</w:t>
      </w:r>
      <w:r w:rsidR="00CC03EA">
        <w:rPr>
          <w:color w:val="000000"/>
        </w:rPr>
        <w:t>i</w:t>
      </w:r>
      <w:r w:rsidRPr="004F61E1">
        <w:rPr>
          <w:color w:val="000000"/>
        </w:rPr>
        <w:t>, obuk</w:t>
      </w:r>
      <w:r w:rsidR="00C645DD">
        <w:rPr>
          <w:color w:val="000000"/>
        </w:rPr>
        <w:t>a</w:t>
      </w:r>
      <w:r w:rsidRPr="004F61E1">
        <w:rPr>
          <w:color w:val="000000"/>
        </w:rPr>
        <w:t xml:space="preserve"> i vježbi te provedbe</w:t>
      </w:r>
      <w:r w:rsidR="00C645DD">
        <w:rPr>
          <w:color w:val="000000"/>
        </w:rPr>
        <w:t xml:space="preserve"> ostalih</w:t>
      </w:r>
      <w:r w:rsidR="00E1325A">
        <w:rPr>
          <w:color w:val="000000"/>
        </w:rPr>
        <w:t xml:space="preserve"> zadaća u potpori s</w:t>
      </w:r>
      <w:r w:rsidRPr="004F61E1">
        <w:rPr>
          <w:color w:val="000000"/>
        </w:rPr>
        <w:t xml:space="preserve">avezničkih </w:t>
      </w:r>
      <w:r w:rsidR="00C645DD">
        <w:rPr>
          <w:color w:val="000000"/>
        </w:rPr>
        <w:t xml:space="preserve">pomorskih </w:t>
      </w:r>
      <w:r w:rsidRPr="004F61E1">
        <w:rPr>
          <w:color w:val="000000"/>
        </w:rPr>
        <w:t>operativnih zahtjeva.</w:t>
      </w:r>
    </w:p>
    <w:p w14:paraId="6BD934A9" w14:textId="77777777" w:rsidR="003F35AB" w:rsidRDefault="00E60883" w:rsidP="00B73BC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 w:rsidRPr="004F61E1">
        <w:rPr>
          <w:color w:val="000000"/>
        </w:rPr>
        <w:t xml:space="preserve"> </w:t>
      </w:r>
      <w:r w:rsidRPr="00B06D77">
        <w:rPr>
          <w:color w:val="000000"/>
        </w:rPr>
        <w:t xml:space="preserve">Skupine </w:t>
      </w:r>
      <w:r w:rsidR="00E1325A" w:rsidRPr="00B06D77">
        <w:rPr>
          <w:color w:val="000000"/>
        </w:rPr>
        <w:t xml:space="preserve">Stalnih pomorskih snaga </w:t>
      </w:r>
      <w:r w:rsidRPr="00B06D77">
        <w:rPr>
          <w:color w:val="000000"/>
        </w:rPr>
        <w:t xml:space="preserve">osiguravaju stalno raspoložive operativne sposobnosti u mirnodopsko vrijeme </w:t>
      </w:r>
      <w:r w:rsidR="00203463" w:rsidRPr="00B06D77">
        <w:rPr>
          <w:color w:val="000000"/>
        </w:rPr>
        <w:t>uključujući i krizne</w:t>
      </w:r>
      <w:r w:rsidRPr="00B06D77">
        <w:rPr>
          <w:color w:val="000000"/>
        </w:rPr>
        <w:t xml:space="preserve"> situacij</w:t>
      </w:r>
      <w:r w:rsidR="00203463" w:rsidRPr="00B06D77">
        <w:rPr>
          <w:color w:val="000000"/>
        </w:rPr>
        <w:t>e</w:t>
      </w:r>
      <w:r w:rsidRPr="00B06D77">
        <w:rPr>
          <w:color w:val="000000"/>
        </w:rPr>
        <w:t>.</w:t>
      </w:r>
      <w:r w:rsidR="00D7360A">
        <w:rPr>
          <w:color w:val="000000"/>
        </w:rPr>
        <w:t xml:space="preserve"> </w:t>
      </w:r>
      <w:r w:rsidR="00EC10F1">
        <w:rPr>
          <w:color w:val="000000"/>
        </w:rPr>
        <w:t>S</w:t>
      </w:r>
      <w:r w:rsidRPr="004F61E1">
        <w:rPr>
          <w:color w:val="000000"/>
        </w:rPr>
        <w:t xml:space="preserve">nage demonstriraju odlučnost Saveza i potiču </w:t>
      </w:r>
      <w:r w:rsidR="00203463">
        <w:rPr>
          <w:color w:val="000000"/>
        </w:rPr>
        <w:t>države</w:t>
      </w:r>
      <w:r w:rsidR="00203463" w:rsidRPr="004F61E1">
        <w:rPr>
          <w:color w:val="000000"/>
        </w:rPr>
        <w:t xml:space="preserve"> </w:t>
      </w:r>
      <w:r w:rsidRPr="004F61E1">
        <w:rPr>
          <w:color w:val="000000"/>
        </w:rPr>
        <w:t xml:space="preserve">članice na kolektivnu i kooperativnu suradnju te unaprjeđuju odnose Saveza s partnerskim </w:t>
      </w:r>
      <w:r w:rsidR="00203463">
        <w:rPr>
          <w:color w:val="000000"/>
        </w:rPr>
        <w:t>državama</w:t>
      </w:r>
      <w:r w:rsidR="00203463" w:rsidRPr="004F61E1">
        <w:rPr>
          <w:color w:val="000000"/>
        </w:rPr>
        <w:t xml:space="preserve"> </w:t>
      </w:r>
      <w:r w:rsidRPr="004F61E1">
        <w:rPr>
          <w:color w:val="000000"/>
        </w:rPr>
        <w:t xml:space="preserve">kroz posjete, razmjenu informacija i </w:t>
      </w:r>
      <w:r w:rsidR="00203463">
        <w:rPr>
          <w:color w:val="000000"/>
        </w:rPr>
        <w:t xml:space="preserve">ostale </w:t>
      </w:r>
      <w:r w:rsidRPr="004F61E1">
        <w:rPr>
          <w:color w:val="000000"/>
        </w:rPr>
        <w:t>zajedničke aktivnosti.</w:t>
      </w:r>
    </w:p>
    <w:p w14:paraId="6BD934AA" w14:textId="77777777" w:rsidR="003F35AB" w:rsidRDefault="009D4737" w:rsidP="00B73BC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 w:rsidRPr="004F61E1">
        <w:rPr>
          <w:color w:val="000000"/>
        </w:rPr>
        <w:t xml:space="preserve"> </w:t>
      </w:r>
      <w:r w:rsidR="00203463">
        <w:rPr>
          <w:color w:val="000000"/>
        </w:rPr>
        <w:t>Osim toga, s</w:t>
      </w:r>
      <w:r w:rsidRPr="004F61E1">
        <w:rPr>
          <w:color w:val="000000"/>
        </w:rPr>
        <w:t xml:space="preserve">kupine </w:t>
      </w:r>
      <w:r w:rsidR="00E1325A">
        <w:rPr>
          <w:color w:val="000000"/>
        </w:rPr>
        <w:t xml:space="preserve">Stalnih pomorskih snaga </w:t>
      </w:r>
      <w:r w:rsidR="00707EA5">
        <w:rPr>
          <w:color w:val="000000"/>
        </w:rPr>
        <w:t>čine</w:t>
      </w:r>
      <w:r w:rsidR="00203463" w:rsidRPr="004F61E1">
        <w:rPr>
          <w:color w:val="000000"/>
        </w:rPr>
        <w:t xml:space="preserve"> </w:t>
      </w:r>
      <w:r w:rsidR="000C10FA">
        <w:rPr>
          <w:color w:val="000000"/>
        </w:rPr>
        <w:t xml:space="preserve">jezgru </w:t>
      </w:r>
      <w:r w:rsidR="00F3384B">
        <w:rPr>
          <w:color w:val="000000"/>
        </w:rPr>
        <w:t>s</w:t>
      </w:r>
      <w:r w:rsidR="00F3384B" w:rsidRPr="004F61E1">
        <w:rPr>
          <w:color w:val="000000"/>
        </w:rPr>
        <w:t xml:space="preserve">avezničkih </w:t>
      </w:r>
      <w:r w:rsidR="00133684" w:rsidRPr="004F61E1">
        <w:rPr>
          <w:color w:val="000000"/>
        </w:rPr>
        <w:t xml:space="preserve">snaga </w:t>
      </w:r>
      <w:r w:rsidRPr="004F61E1">
        <w:rPr>
          <w:color w:val="000000"/>
        </w:rPr>
        <w:t>pomorske ko</w:t>
      </w:r>
      <w:r w:rsidR="00273229">
        <w:rPr>
          <w:color w:val="000000"/>
        </w:rPr>
        <w:t xml:space="preserve">mponente visoke spremnost </w:t>
      </w:r>
      <w:r w:rsidRPr="004F61E1">
        <w:rPr>
          <w:color w:val="000000"/>
        </w:rPr>
        <w:t xml:space="preserve"> pri NAT</w:t>
      </w:r>
      <w:r w:rsidR="00273229">
        <w:rPr>
          <w:color w:val="000000"/>
        </w:rPr>
        <w:t>O-ovim snagama za odgovor</w:t>
      </w:r>
      <w:r w:rsidRPr="004F61E1">
        <w:rPr>
          <w:color w:val="000000"/>
        </w:rPr>
        <w:t xml:space="preserve">, osiguravajući raspoloživost mornaričkih sposobnosti za pravovremenu reakciju NATO-a u izvanrednim </w:t>
      </w:r>
      <w:r w:rsidR="00E76FC7">
        <w:rPr>
          <w:color w:val="000000"/>
        </w:rPr>
        <w:t>okolnostima</w:t>
      </w:r>
      <w:r w:rsidRPr="004F61E1">
        <w:rPr>
          <w:color w:val="000000"/>
        </w:rPr>
        <w:t>.</w:t>
      </w:r>
    </w:p>
    <w:p w14:paraId="6BD934AB" w14:textId="77777777" w:rsidR="002B0399" w:rsidRDefault="009D4737" w:rsidP="00B73BC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rFonts w:ascii="Arial" w:hAnsi="Arial" w:cs="Arial"/>
        </w:rPr>
        <w:t xml:space="preserve"> </w:t>
      </w:r>
      <w:r w:rsidR="004B04A8">
        <w:t xml:space="preserve">Stalna </w:t>
      </w:r>
      <w:r w:rsidR="00F111B9">
        <w:t xml:space="preserve">NATO skupina </w:t>
      </w:r>
      <w:proofErr w:type="spellStart"/>
      <w:r w:rsidR="00F111B9">
        <w:t>protuminskih</w:t>
      </w:r>
      <w:proofErr w:type="spellEnd"/>
      <w:r w:rsidR="00F111B9">
        <w:t xml:space="preserve"> snaga </w:t>
      </w:r>
      <w:r w:rsidR="004F61E1" w:rsidRPr="000E4C8F">
        <w:rPr>
          <w:color w:val="000000"/>
        </w:rPr>
        <w:t xml:space="preserve">2 </w:t>
      </w:r>
      <w:r w:rsidR="004F61E1" w:rsidRPr="00CA448A">
        <w:rPr>
          <w:color w:val="000000"/>
        </w:rPr>
        <w:t>(</w:t>
      </w:r>
      <w:proofErr w:type="spellStart"/>
      <w:r w:rsidR="003B5C3E" w:rsidRPr="00CA448A">
        <w:rPr>
          <w:i/>
          <w:color w:val="000000"/>
        </w:rPr>
        <w:t>Standing</w:t>
      </w:r>
      <w:proofErr w:type="spellEnd"/>
      <w:r w:rsidR="003B5C3E" w:rsidRPr="00CA448A">
        <w:rPr>
          <w:i/>
          <w:color w:val="000000"/>
        </w:rPr>
        <w:t xml:space="preserve"> NATO Mine </w:t>
      </w:r>
      <w:proofErr w:type="spellStart"/>
      <w:r w:rsidR="003B5C3E" w:rsidRPr="00CA448A">
        <w:rPr>
          <w:i/>
          <w:color w:val="000000"/>
        </w:rPr>
        <w:t>Countermeasure</w:t>
      </w:r>
      <w:r w:rsidR="002E2FA1" w:rsidRPr="00CA448A">
        <w:rPr>
          <w:i/>
          <w:color w:val="000000"/>
        </w:rPr>
        <w:t>s</w:t>
      </w:r>
      <w:proofErr w:type="spellEnd"/>
      <w:r w:rsidR="004F61E1" w:rsidRPr="00CA448A">
        <w:rPr>
          <w:i/>
          <w:color w:val="000000"/>
        </w:rPr>
        <w:t xml:space="preserve"> </w:t>
      </w:r>
      <w:r w:rsidR="003B5C3E" w:rsidRPr="00CA448A">
        <w:rPr>
          <w:i/>
          <w:color w:val="000000"/>
        </w:rPr>
        <w:t xml:space="preserve">Group 2 </w:t>
      </w:r>
      <w:r w:rsidR="00FB418D" w:rsidRPr="00CA448A">
        <w:rPr>
          <w:i/>
          <w:color w:val="000000"/>
        </w:rPr>
        <w:t xml:space="preserve">– </w:t>
      </w:r>
      <w:r w:rsidR="004F61E1" w:rsidRPr="00CA448A">
        <w:rPr>
          <w:i/>
          <w:color w:val="000000"/>
        </w:rPr>
        <w:t>SNMCMG2</w:t>
      </w:r>
      <w:r w:rsidR="004F61E1" w:rsidRPr="00CA448A">
        <w:rPr>
          <w:color w:val="000000"/>
        </w:rPr>
        <w:t>)</w:t>
      </w:r>
      <w:r w:rsidR="004F61E1" w:rsidRPr="000E4C8F">
        <w:rPr>
          <w:color w:val="000000"/>
        </w:rPr>
        <w:t xml:space="preserve"> </w:t>
      </w:r>
      <w:r w:rsidR="00707EA5">
        <w:rPr>
          <w:color w:val="000000"/>
        </w:rPr>
        <w:t>su</w:t>
      </w:r>
      <w:r w:rsidR="004F61E1" w:rsidRPr="004F61E1">
        <w:rPr>
          <w:color w:val="000000"/>
        </w:rPr>
        <w:t xml:space="preserve"> namjensk</w:t>
      </w:r>
      <w:r w:rsidR="00203463">
        <w:rPr>
          <w:color w:val="000000"/>
        </w:rPr>
        <w:t xml:space="preserve">i </w:t>
      </w:r>
      <w:r w:rsidR="004F61E1" w:rsidRPr="004F61E1">
        <w:rPr>
          <w:color w:val="000000"/>
        </w:rPr>
        <w:t>organiz</w:t>
      </w:r>
      <w:r w:rsidR="00707EA5">
        <w:rPr>
          <w:color w:val="000000"/>
        </w:rPr>
        <w:t>irane</w:t>
      </w:r>
      <w:r w:rsidR="004F61E1" w:rsidRPr="004F61E1">
        <w:rPr>
          <w:color w:val="000000"/>
        </w:rPr>
        <w:t xml:space="preserve"> mornaričk</w:t>
      </w:r>
      <w:r w:rsidR="00707EA5">
        <w:rPr>
          <w:color w:val="000000"/>
        </w:rPr>
        <w:t>e</w:t>
      </w:r>
      <w:r w:rsidR="004F61E1" w:rsidRPr="004F61E1">
        <w:rPr>
          <w:color w:val="000000"/>
        </w:rPr>
        <w:t xml:space="preserve"> snag</w:t>
      </w:r>
      <w:r w:rsidR="00707EA5">
        <w:rPr>
          <w:color w:val="000000"/>
        </w:rPr>
        <w:t>e</w:t>
      </w:r>
      <w:r w:rsidR="004F61E1" w:rsidRPr="004F61E1">
        <w:rPr>
          <w:color w:val="000000"/>
        </w:rPr>
        <w:t xml:space="preserve"> trenut</w:t>
      </w:r>
      <w:r w:rsidR="00EC10F1">
        <w:rPr>
          <w:color w:val="000000"/>
        </w:rPr>
        <w:t>ač</w:t>
      </w:r>
      <w:r w:rsidR="004F61E1" w:rsidRPr="004F61E1">
        <w:rPr>
          <w:color w:val="000000"/>
        </w:rPr>
        <w:t>no raspoloživ</w:t>
      </w:r>
      <w:r w:rsidR="00707EA5">
        <w:rPr>
          <w:color w:val="000000"/>
        </w:rPr>
        <w:t>e</w:t>
      </w:r>
      <w:r w:rsidR="00AC7532">
        <w:rPr>
          <w:color w:val="000000"/>
        </w:rPr>
        <w:t xml:space="preserve"> za s</w:t>
      </w:r>
      <w:r w:rsidR="004F61E1" w:rsidRPr="004F61E1">
        <w:rPr>
          <w:color w:val="000000"/>
        </w:rPr>
        <w:t xml:space="preserve">aveznička </w:t>
      </w:r>
      <w:proofErr w:type="spellStart"/>
      <w:r w:rsidR="004F61E1" w:rsidRPr="004F61E1">
        <w:rPr>
          <w:color w:val="000000"/>
        </w:rPr>
        <w:t>protuminska</w:t>
      </w:r>
      <w:proofErr w:type="spellEnd"/>
      <w:r w:rsidR="004F61E1" w:rsidRPr="004F61E1">
        <w:rPr>
          <w:color w:val="000000"/>
        </w:rPr>
        <w:t xml:space="preserve"> djelovanja na moru, težišno angažiran</w:t>
      </w:r>
      <w:r w:rsidR="00707EA5">
        <w:rPr>
          <w:color w:val="000000"/>
        </w:rPr>
        <w:t>e</w:t>
      </w:r>
      <w:r w:rsidR="004F61E1" w:rsidRPr="004F61E1">
        <w:rPr>
          <w:color w:val="000000"/>
        </w:rPr>
        <w:t xml:space="preserve"> u području </w:t>
      </w:r>
      <w:r w:rsidR="000E4C8F">
        <w:rPr>
          <w:color w:val="000000"/>
        </w:rPr>
        <w:t>Sredozemlja</w:t>
      </w:r>
      <w:r w:rsidR="00D7360A">
        <w:rPr>
          <w:color w:val="000000"/>
        </w:rPr>
        <w:t xml:space="preserve"> i Crnog m</w:t>
      </w:r>
      <w:r w:rsidR="004F61E1" w:rsidRPr="004F61E1">
        <w:rPr>
          <w:color w:val="000000"/>
        </w:rPr>
        <w:t xml:space="preserve">ora. </w:t>
      </w:r>
    </w:p>
    <w:p w14:paraId="6BD934AC" w14:textId="77777777" w:rsidR="003F35AB" w:rsidRDefault="002659F9" w:rsidP="00B73BCD">
      <w:pPr>
        <w:spacing w:after="120"/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Protuminsko</w:t>
      </w:r>
      <w:proofErr w:type="spellEnd"/>
      <w:r>
        <w:rPr>
          <w:color w:val="000000"/>
        </w:rPr>
        <w:t xml:space="preserve"> djelovanje jedna je od ključnih sposobnosti pomorskih snaga u kontekstu doprinosa sigurnosti na moru. Sposobnosti iz ovog</w:t>
      </w:r>
      <w:r w:rsidR="000138AD">
        <w:rPr>
          <w:color w:val="000000"/>
        </w:rPr>
        <w:t>a</w:t>
      </w:r>
      <w:r>
        <w:rPr>
          <w:color w:val="000000"/>
        </w:rPr>
        <w:t xml:space="preserve"> područja relevantne su ne samo u slučajevima ugroze nacionalnog suvereniteta i zaštite interesa na moru, već i u mirnodopskim okolnostima. </w:t>
      </w:r>
    </w:p>
    <w:p w14:paraId="6BD934AD" w14:textId="77777777" w:rsidR="00FE5CC4" w:rsidRDefault="00FE5CC4" w:rsidP="00FE5CC4">
      <w:pPr>
        <w:spacing w:after="120"/>
        <w:ind w:firstLine="709"/>
        <w:jc w:val="both"/>
        <w:rPr>
          <w:color w:val="000000"/>
        </w:rPr>
      </w:pPr>
    </w:p>
    <w:p w14:paraId="6BD934AE" w14:textId="77777777" w:rsidR="00381721" w:rsidRDefault="004B04A8" w:rsidP="00FE5CC4">
      <w:pPr>
        <w:spacing w:after="12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Stalne </w:t>
      </w:r>
      <w:r w:rsidR="000138AD">
        <w:rPr>
          <w:color w:val="000000"/>
        </w:rPr>
        <w:t>NATO s</w:t>
      </w:r>
      <w:r w:rsidR="002659F9">
        <w:rPr>
          <w:color w:val="000000"/>
        </w:rPr>
        <w:t xml:space="preserve">kupine </w:t>
      </w:r>
      <w:proofErr w:type="spellStart"/>
      <w:r w:rsidR="002659F9">
        <w:rPr>
          <w:color w:val="000000"/>
        </w:rPr>
        <w:t>protuminskih</w:t>
      </w:r>
      <w:proofErr w:type="spellEnd"/>
      <w:r w:rsidR="002659F9">
        <w:rPr>
          <w:color w:val="000000"/>
        </w:rPr>
        <w:t xml:space="preserve"> snaga aktivno </w:t>
      </w:r>
      <w:r w:rsidR="00BA08BB">
        <w:rPr>
          <w:color w:val="000000"/>
        </w:rPr>
        <w:t>pri</w:t>
      </w:r>
      <w:r w:rsidR="00FB418D">
        <w:rPr>
          <w:color w:val="000000"/>
        </w:rPr>
        <w:t>do</w:t>
      </w:r>
      <w:r w:rsidR="002659F9">
        <w:rPr>
          <w:color w:val="000000"/>
        </w:rPr>
        <w:t>nose povećanju razine sigurnosti na moru.</w:t>
      </w:r>
      <w:r>
        <w:rPr>
          <w:color w:val="000000"/>
        </w:rPr>
        <w:t xml:space="preserve"> </w:t>
      </w:r>
      <w:r w:rsidR="002659F9">
        <w:rPr>
          <w:color w:val="000000"/>
        </w:rPr>
        <w:t xml:space="preserve">Uklanjanjem podmorskih mina, streljiva i ostalih eksplozivnih sredstava omogućuje se sigurno korištenje </w:t>
      </w:r>
      <w:r w:rsidR="00905F3B">
        <w:rPr>
          <w:color w:val="000000"/>
        </w:rPr>
        <w:t>plovnih put</w:t>
      </w:r>
      <w:r w:rsidR="00BA08BB">
        <w:rPr>
          <w:color w:val="000000"/>
        </w:rPr>
        <w:t>o</w:t>
      </w:r>
      <w:r w:rsidR="00905F3B">
        <w:rPr>
          <w:color w:val="000000"/>
        </w:rPr>
        <w:t>va i iskorištavanje prirodnih resursa</w:t>
      </w:r>
      <w:r w:rsidR="002659F9">
        <w:rPr>
          <w:color w:val="000000"/>
        </w:rPr>
        <w:t>.</w:t>
      </w:r>
      <w:r>
        <w:rPr>
          <w:color w:val="000000"/>
        </w:rPr>
        <w:t xml:space="preserve"> </w:t>
      </w:r>
    </w:p>
    <w:p w14:paraId="6BD934AF" w14:textId="77777777" w:rsidR="002659F9" w:rsidRDefault="001C7599" w:rsidP="00FE5CC4">
      <w:pPr>
        <w:spacing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S obzirom </w:t>
      </w:r>
      <w:r w:rsidR="00B06D77">
        <w:rPr>
          <w:color w:val="000000"/>
        </w:rPr>
        <w:t xml:space="preserve">na to </w:t>
      </w:r>
      <w:r>
        <w:rPr>
          <w:color w:val="000000"/>
        </w:rPr>
        <w:t>da razvoj i održavanje sposobnosti pomorskog</w:t>
      </w:r>
      <w:r w:rsidR="00FC453C">
        <w:rPr>
          <w:color w:val="000000"/>
        </w:rPr>
        <w:t>a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pr</w:t>
      </w:r>
      <w:r w:rsidR="00D7360A">
        <w:rPr>
          <w:color w:val="000000"/>
        </w:rPr>
        <w:t>otuminskog</w:t>
      </w:r>
      <w:proofErr w:type="spellEnd"/>
      <w:r w:rsidR="00D7360A">
        <w:rPr>
          <w:color w:val="000000"/>
        </w:rPr>
        <w:t xml:space="preserve"> djelovanja zahtijeva </w:t>
      </w:r>
      <w:r>
        <w:rPr>
          <w:color w:val="000000"/>
        </w:rPr>
        <w:t>kontinuirana ulaganja, razvoj tih sposobnosti unutar</w:t>
      </w:r>
      <w:r w:rsidR="00B06D77">
        <w:rPr>
          <w:color w:val="000000"/>
        </w:rPr>
        <w:t xml:space="preserve"> </w:t>
      </w:r>
      <w:r>
        <w:rPr>
          <w:color w:val="000000"/>
        </w:rPr>
        <w:t xml:space="preserve">Hrvatske ratne mornarice može </w:t>
      </w:r>
      <w:r w:rsidR="00D7360A">
        <w:rPr>
          <w:color w:val="000000"/>
        </w:rPr>
        <w:t xml:space="preserve">se </w:t>
      </w:r>
      <w:r w:rsidR="00FB418D">
        <w:rPr>
          <w:color w:val="000000"/>
        </w:rPr>
        <w:t>ostvariti suradnjom</w:t>
      </w:r>
      <w:r w:rsidR="00B06D77">
        <w:rPr>
          <w:color w:val="000000"/>
        </w:rPr>
        <w:t xml:space="preserve"> sa s</w:t>
      </w:r>
      <w:r>
        <w:rPr>
          <w:color w:val="000000"/>
        </w:rPr>
        <w:t>avezničkim mornaricama i sudjelovanjem u zajedničkim aktivnostima.</w:t>
      </w:r>
    </w:p>
    <w:p w14:paraId="6BD934B0" w14:textId="77777777" w:rsidR="003F35AB" w:rsidRDefault="00C76F54" w:rsidP="00B73BCD">
      <w:pPr>
        <w:spacing w:after="120"/>
        <w:ind w:firstLine="709"/>
        <w:jc w:val="both"/>
        <w:rPr>
          <w:color w:val="000000"/>
        </w:rPr>
      </w:pPr>
      <w:r>
        <w:rPr>
          <w:color w:val="000000"/>
        </w:rPr>
        <w:t>Odlukom Hrvatskog</w:t>
      </w:r>
      <w:r w:rsidR="00381721">
        <w:rPr>
          <w:color w:val="000000"/>
        </w:rPr>
        <w:t>a</w:t>
      </w:r>
      <w:r>
        <w:rPr>
          <w:color w:val="000000"/>
        </w:rPr>
        <w:t xml:space="preserve"> sabora </w:t>
      </w:r>
      <w:r w:rsidR="00381721">
        <w:rPr>
          <w:color w:val="000000"/>
        </w:rPr>
        <w:t xml:space="preserve">o </w:t>
      </w:r>
      <w:r w:rsidR="00381721" w:rsidRPr="005E6CEB">
        <w:rPr>
          <w:color w:val="000000"/>
        </w:rPr>
        <w:t>sudjelovanju</w:t>
      </w:r>
      <w:r w:rsidR="00381721">
        <w:rPr>
          <w:color w:val="000000"/>
        </w:rPr>
        <w:t xml:space="preserve"> </w:t>
      </w:r>
      <w:r w:rsidR="0095006C">
        <w:rPr>
          <w:color w:val="000000"/>
        </w:rPr>
        <w:t xml:space="preserve">pripadnika </w:t>
      </w:r>
      <w:r w:rsidR="00381721" w:rsidRPr="005E6CEB">
        <w:rPr>
          <w:color w:val="000000"/>
        </w:rPr>
        <w:t>Oružanih snaga Republike Hrvatske u</w:t>
      </w:r>
      <w:r w:rsidR="00381721">
        <w:rPr>
          <w:color w:val="000000"/>
        </w:rPr>
        <w:t xml:space="preserve"> aktivnosti Stalne </w:t>
      </w:r>
      <w:r w:rsidR="00381721">
        <w:t xml:space="preserve">NATO skupine </w:t>
      </w:r>
      <w:proofErr w:type="spellStart"/>
      <w:r w:rsidR="00381721">
        <w:t>protuminskih</w:t>
      </w:r>
      <w:proofErr w:type="spellEnd"/>
      <w:r w:rsidR="00381721">
        <w:t xml:space="preserve"> snaga </w:t>
      </w:r>
      <w:r w:rsidR="00381721" w:rsidRPr="000E4C8F">
        <w:t xml:space="preserve">2 </w:t>
      </w:r>
      <w:r w:rsidR="00381721" w:rsidRPr="005E6CEB">
        <w:rPr>
          <w:color w:val="000000"/>
        </w:rPr>
        <w:t>(</w:t>
      </w:r>
      <w:r>
        <w:rPr>
          <w:color w:val="000000"/>
        </w:rPr>
        <w:t>Narodne novine</w:t>
      </w:r>
      <w:r w:rsidRPr="003F35AB">
        <w:rPr>
          <w:color w:val="000000"/>
        </w:rPr>
        <w:t>, br. 133/20)</w:t>
      </w:r>
      <w:r w:rsidR="00381721">
        <w:rPr>
          <w:color w:val="000000"/>
        </w:rPr>
        <w:t>,</w:t>
      </w:r>
      <w:r w:rsidRPr="003F35AB">
        <w:rPr>
          <w:color w:val="000000"/>
        </w:rPr>
        <w:t xml:space="preserve"> </w:t>
      </w:r>
      <w:r>
        <w:rPr>
          <w:color w:val="000000"/>
        </w:rPr>
        <w:t xml:space="preserve">Republika Hrvatska se u provedbu ove aktivnosti uključila 2021. godine. </w:t>
      </w:r>
      <w:r w:rsidR="003F35AB">
        <w:rPr>
          <w:color w:val="000000"/>
        </w:rPr>
        <w:t xml:space="preserve">Realizacija hrvatskoga sudjelovanja u aktivnostima SNMCMG2 odvija se </w:t>
      </w:r>
      <w:r w:rsidR="0008635E">
        <w:rPr>
          <w:color w:val="000000"/>
        </w:rPr>
        <w:t>kroz</w:t>
      </w:r>
      <w:r w:rsidR="003F35AB">
        <w:rPr>
          <w:color w:val="000000"/>
        </w:rPr>
        <w:t xml:space="preserve"> bilateraln</w:t>
      </w:r>
      <w:r w:rsidR="0008635E">
        <w:rPr>
          <w:color w:val="000000"/>
        </w:rPr>
        <w:t>u</w:t>
      </w:r>
      <w:r w:rsidR="003F35AB">
        <w:rPr>
          <w:color w:val="000000"/>
        </w:rPr>
        <w:t xml:space="preserve"> suradnj</w:t>
      </w:r>
      <w:r w:rsidR="0008635E">
        <w:rPr>
          <w:color w:val="000000"/>
        </w:rPr>
        <w:t>u</w:t>
      </w:r>
      <w:r w:rsidR="003F35AB">
        <w:rPr>
          <w:color w:val="000000"/>
        </w:rPr>
        <w:t xml:space="preserve"> s Talijanskom Republikom </w:t>
      </w:r>
      <w:r w:rsidR="00FB418D">
        <w:rPr>
          <w:color w:val="000000"/>
        </w:rPr>
        <w:t xml:space="preserve">tako </w:t>
      </w:r>
      <w:r w:rsidR="003F35AB">
        <w:rPr>
          <w:color w:val="000000"/>
        </w:rPr>
        <w:t xml:space="preserve">da se pripadnici Oružanih snaga Republike Hrvatske dva puta godišnje u trajanju </w:t>
      </w:r>
      <w:r w:rsidR="00522FD7">
        <w:rPr>
          <w:color w:val="000000"/>
        </w:rPr>
        <w:t xml:space="preserve">do </w:t>
      </w:r>
      <w:r w:rsidR="003F35AB">
        <w:rPr>
          <w:color w:val="000000"/>
        </w:rPr>
        <w:t>četiri mjeseca upućuju na brodove</w:t>
      </w:r>
      <w:r w:rsidR="00522FD7">
        <w:rPr>
          <w:color w:val="000000"/>
        </w:rPr>
        <w:t>-minolovce</w:t>
      </w:r>
      <w:r w:rsidR="003F35AB">
        <w:rPr>
          <w:color w:val="000000"/>
        </w:rPr>
        <w:t xml:space="preserve"> Ratne mornarice Talijanske Republike, na kojima s talijanskim kolegama izvršavaju zadaće u području provedbe aktivnosti. Jedan tim </w:t>
      </w:r>
      <w:r w:rsidR="00354F14">
        <w:rPr>
          <w:color w:val="000000"/>
        </w:rPr>
        <w:t xml:space="preserve">sastoji </w:t>
      </w:r>
      <w:r w:rsidR="00381721">
        <w:rPr>
          <w:color w:val="000000"/>
        </w:rPr>
        <w:t xml:space="preserve">se </w:t>
      </w:r>
      <w:r w:rsidR="00354F14">
        <w:rPr>
          <w:color w:val="000000"/>
        </w:rPr>
        <w:t xml:space="preserve">od </w:t>
      </w:r>
      <w:r w:rsidR="003F35AB">
        <w:rPr>
          <w:color w:val="000000"/>
        </w:rPr>
        <w:t xml:space="preserve">četiri </w:t>
      </w:r>
      <w:proofErr w:type="spellStart"/>
      <w:r w:rsidR="003F35AB">
        <w:rPr>
          <w:color w:val="000000"/>
        </w:rPr>
        <w:t>protuminska</w:t>
      </w:r>
      <w:proofErr w:type="spellEnd"/>
      <w:r w:rsidR="003F35AB">
        <w:rPr>
          <w:color w:val="000000"/>
        </w:rPr>
        <w:t xml:space="preserve"> </w:t>
      </w:r>
      <w:proofErr w:type="spellStart"/>
      <w:r w:rsidR="003F35AB">
        <w:rPr>
          <w:color w:val="000000"/>
        </w:rPr>
        <w:t>ronitelja</w:t>
      </w:r>
      <w:proofErr w:type="spellEnd"/>
      <w:r w:rsidR="003F35AB">
        <w:rPr>
          <w:color w:val="000000"/>
        </w:rPr>
        <w:t xml:space="preserve"> iz sastava Flote Hrvatske ratne mornarice.</w:t>
      </w:r>
    </w:p>
    <w:p w14:paraId="6BD934B1" w14:textId="77777777" w:rsidR="003F35AB" w:rsidRPr="003F35AB" w:rsidRDefault="003F35AB" w:rsidP="00B73BCD">
      <w:pPr>
        <w:spacing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B73BCD" w:rsidRPr="00B73BCD">
        <w:rPr>
          <w:color w:val="000000"/>
        </w:rPr>
        <w:t>Prema Odluci Hrvatskog</w:t>
      </w:r>
      <w:r w:rsidR="00FE5CC4">
        <w:rPr>
          <w:color w:val="000000"/>
        </w:rPr>
        <w:t>a</w:t>
      </w:r>
      <w:r w:rsidR="00B73BCD" w:rsidRPr="00B73BCD">
        <w:rPr>
          <w:color w:val="000000"/>
        </w:rPr>
        <w:t xml:space="preserve"> sabora </w:t>
      </w:r>
      <w:r w:rsidR="00381721">
        <w:rPr>
          <w:color w:val="000000"/>
        </w:rPr>
        <w:t xml:space="preserve">o </w:t>
      </w:r>
      <w:r w:rsidR="00381721" w:rsidRPr="005E6CEB">
        <w:rPr>
          <w:color w:val="000000"/>
        </w:rPr>
        <w:t>sudjelovanju</w:t>
      </w:r>
      <w:r w:rsidR="00381721">
        <w:rPr>
          <w:color w:val="000000"/>
        </w:rPr>
        <w:t xml:space="preserve"> </w:t>
      </w:r>
      <w:r w:rsidR="0095006C">
        <w:rPr>
          <w:color w:val="000000"/>
        </w:rPr>
        <w:t xml:space="preserve">pripadnika </w:t>
      </w:r>
      <w:r w:rsidR="00381721" w:rsidRPr="005E6CEB">
        <w:rPr>
          <w:color w:val="000000"/>
        </w:rPr>
        <w:t>Oružanih snaga Republike Hrvatske u</w:t>
      </w:r>
      <w:r w:rsidR="00381721">
        <w:rPr>
          <w:color w:val="000000"/>
        </w:rPr>
        <w:t xml:space="preserve"> aktivnosti Stalne </w:t>
      </w:r>
      <w:r w:rsidR="00381721">
        <w:t xml:space="preserve">NATO skupine </w:t>
      </w:r>
      <w:proofErr w:type="spellStart"/>
      <w:r w:rsidR="00381721">
        <w:t>protuminskih</w:t>
      </w:r>
      <w:proofErr w:type="spellEnd"/>
      <w:r w:rsidR="00381721">
        <w:t xml:space="preserve"> snaga 2</w:t>
      </w:r>
      <w:r w:rsidR="00B73BCD" w:rsidRPr="00B73BCD">
        <w:rPr>
          <w:color w:val="000000"/>
        </w:rPr>
        <w:t>(Narodne novine, br. 1</w:t>
      </w:r>
      <w:r w:rsidR="00B73BCD">
        <w:rPr>
          <w:color w:val="000000"/>
        </w:rPr>
        <w:t>18</w:t>
      </w:r>
      <w:r w:rsidR="00B73BCD" w:rsidRPr="00B73BCD">
        <w:rPr>
          <w:color w:val="000000"/>
        </w:rPr>
        <w:t>/2</w:t>
      </w:r>
      <w:r w:rsidR="00B73BCD">
        <w:rPr>
          <w:color w:val="000000"/>
        </w:rPr>
        <w:t>2</w:t>
      </w:r>
      <w:r w:rsidR="00B73BCD" w:rsidRPr="00B73BCD">
        <w:rPr>
          <w:color w:val="000000"/>
        </w:rPr>
        <w:t>)</w:t>
      </w:r>
      <w:r w:rsidR="00381721">
        <w:rPr>
          <w:color w:val="000000"/>
        </w:rPr>
        <w:t>,</w:t>
      </w:r>
      <w:r w:rsidR="00B73BCD" w:rsidRPr="00B73BCD">
        <w:rPr>
          <w:color w:val="000000"/>
        </w:rPr>
        <w:t xml:space="preserve"> Republik</w:t>
      </w:r>
      <w:r w:rsidR="00381721">
        <w:rPr>
          <w:color w:val="000000"/>
        </w:rPr>
        <w:t>a</w:t>
      </w:r>
      <w:r w:rsidR="00B73BCD" w:rsidRPr="00B73BCD">
        <w:rPr>
          <w:color w:val="000000"/>
        </w:rPr>
        <w:t xml:space="preserve"> Hrvatsk</w:t>
      </w:r>
      <w:r w:rsidR="00381721">
        <w:rPr>
          <w:color w:val="000000"/>
        </w:rPr>
        <w:t>a</w:t>
      </w:r>
      <w:r w:rsidR="00B73BCD" w:rsidRPr="00B73BCD">
        <w:rPr>
          <w:color w:val="000000"/>
        </w:rPr>
        <w:t xml:space="preserve"> u aktivnost</w:t>
      </w:r>
      <w:r w:rsidR="00381721">
        <w:rPr>
          <w:color w:val="000000"/>
        </w:rPr>
        <w:t xml:space="preserve"> </w:t>
      </w:r>
      <w:r w:rsidR="00B73BCD" w:rsidRPr="00B73BCD">
        <w:rPr>
          <w:color w:val="000000"/>
        </w:rPr>
        <w:t xml:space="preserve">Stalne NATO skupine </w:t>
      </w:r>
      <w:proofErr w:type="spellStart"/>
      <w:r w:rsidR="00B73BCD" w:rsidRPr="00B73BCD">
        <w:rPr>
          <w:color w:val="000000"/>
        </w:rPr>
        <w:t>protuminskih</w:t>
      </w:r>
      <w:proofErr w:type="spellEnd"/>
      <w:r w:rsidR="00B73BCD" w:rsidRPr="00B73BCD">
        <w:rPr>
          <w:color w:val="000000"/>
        </w:rPr>
        <w:t xml:space="preserve"> snaga 2</w:t>
      </w:r>
      <w:r w:rsidR="00B73BCD">
        <w:rPr>
          <w:color w:val="000000"/>
        </w:rPr>
        <w:t xml:space="preserve"> </w:t>
      </w:r>
      <w:r w:rsidR="00B73BCD" w:rsidRPr="00B73BCD">
        <w:rPr>
          <w:color w:val="000000"/>
        </w:rPr>
        <w:t xml:space="preserve">u </w:t>
      </w:r>
      <w:r w:rsidR="00B73BCD">
        <w:rPr>
          <w:color w:val="000000"/>
        </w:rPr>
        <w:t xml:space="preserve">2023. i </w:t>
      </w:r>
      <w:r w:rsidR="00B73BCD" w:rsidRPr="00B73BCD">
        <w:rPr>
          <w:color w:val="000000"/>
        </w:rPr>
        <w:t xml:space="preserve">2024. </w:t>
      </w:r>
      <w:r w:rsidR="00381721">
        <w:rPr>
          <w:color w:val="000000"/>
        </w:rPr>
        <w:t xml:space="preserve">godini mogla je </w:t>
      </w:r>
      <w:r w:rsidR="00B73BCD" w:rsidRPr="00B73BCD">
        <w:rPr>
          <w:color w:val="000000"/>
        </w:rPr>
        <w:t xml:space="preserve">uputiti do </w:t>
      </w:r>
      <w:r w:rsidR="00FE5CC4">
        <w:rPr>
          <w:color w:val="000000"/>
        </w:rPr>
        <w:t xml:space="preserve">pet </w:t>
      </w:r>
      <w:r w:rsidR="00B73BCD" w:rsidRPr="00B73BCD">
        <w:rPr>
          <w:color w:val="000000"/>
        </w:rPr>
        <w:t>pripadnika Oružanih snaga Republike Hrvatske, uz mogućnost rotacije.</w:t>
      </w:r>
    </w:p>
    <w:p w14:paraId="6BD934B2" w14:textId="77777777" w:rsidR="003F35AB" w:rsidRDefault="003F35AB" w:rsidP="0038172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Sudjelovanjem hrvatskih </w:t>
      </w:r>
      <w:proofErr w:type="spellStart"/>
      <w:r>
        <w:rPr>
          <w:color w:val="000000"/>
        </w:rPr>
        <w:t>protuminskih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ronitelja</w:t>
      </w:r>
      <w:proofErr w:type="spellEnd"/>
      <w:r>
        <w:rPr>
          <w:color w:val="000000"/>
        </w:rPr>
        <w:t xml:space="preserve"> u ovoj NATO aktivnosti, Hrvatska ratna mornarica potvrđuje deklarirane sposobnosti iz područja </w:t>
      </w:r>
      <w:proofErr w:type="spellStart"/>
      <w:r>
        <w:rPr>
          <w:color w:val="000000"/>
        </w:rPr>
        <w:t>protuminskog</w:t>
      </w:r>
      <w:proofErr w:type="spellEnd"/>
      <w:r>
        <w:rPr>
          <w:color w:val="000000"/>
        </w:rPr>
        <w:t xml:space="preserve"> ratovanja, </w:t>
      </w:r>
      <w:r w:rsidR="00BA08BB">
        <w:rPr>
          <w:color w:val="000000"/>
        </w:rPr>
        <w:t>p</w:t>
      </w:r>
      <w:r>
        <w:rPr>
          <w:color w:val="000000"/>
        </w:rPr>
        <w:t>ri</w:t>
      </w:r>
      <w:r w:rsidR="00BA08BB">
        <w:rPr>
          <w:color w:val="000000"/>
        </w:rPr>
        <w:t>do</w:t>
      </w:r>
      <w:r>
        <w:rPr>
          <w:color w:val="000000"/>
        </w:rPr>
        <w:t>nosi međunarodnoj sigurnosti i stabilnosti, podiže međunarodn</w:t>
      </w:r>
      <w:r w:rsidR="00FB418D">
        <w:rPr>
          <w:color w:val="000000"/>
        </w:rPr>
        <w:t xml:space="preserve">i ugled Republike Hrvatske te </w:t>
      </w:r>
      <w:r>
        <w:rPr>
          <w:color w:val="000000"/>
        </w:rPr>
        <w:t>pri</w:t>
      </w:r>
      <w:r w:rsidR="00FB418D">
        <w:rPr>
          <w:color w:val="000000"/>
        </w:rPr>
        <w:t>do</w:t>
      </w:r>
      <w:r>
        <w:rPr>
          <w:color w:val="000000"/>
        </w:rPr>
        <w:t>nosi bilateralnim odnosima Republike Hrvatske i Talijanske Republike.</w:t>
      </w:r>
      <w:r w:rsidR="00381721">
        <w:rPr>
          <w:color w:val="000000"/>
        </w:rPr>
        <w:t xml:space="preserve"> </w:t>
      </w:r>
      <w:r>
        <w:rPr>
          <w:color w:val="000000"/>
        </w:rPr>
        <w:t>Slij</w:t>
      </w:r>
      <w:r w:rsidR="00BA08BB">
        <w:rPr>
          <w:color w:val="000000"/>
        </w:rPr>
        <w:t>e</w:t>
      </w:r>
      <w:r>
        <w:rPr>
          <w:color w:val="000000"/>
        </w:rPr>
        <w:t>dom navedenoga, predlaže se</w:t>
      </w:r>
      <w:r w:rsidRPr="003F35AB">
        <w:rPr>
          <w:color w:val="000000"/>
        </w:rPr>
        <w:t xml:space="preserve"> da do pet pripadnika </w:t>
      </w:r>
      <w:r>
        <w:rPr>
          <w:color w:val="000000"/>
        </w:rPr>
        <w:t>Oružanih snaga Republike Hrvatske</w:t>
      </w:r>
      <w:r w:rsidR="0095006C">
        <w:rPr>
          <w:color w:val="000000"/>
        </w:rPr>
        <w:t xml:space="preserve"> </w:t>
      </w:r>
      <w:r w:rsidRPr="003F35AB">
        <w:rPr>
          <w:color w:val="000000"/>
        </w:rPr>
        <w:t>nastavi sudjelovati u aktivnostima SNMCMG2</w:t>
      </w:r>
      <w:r>
        <w:rPr>
          <w:color w:val="000000"/>
        </w:rPr>
        <w:t xml:space="preserve"> i</w:t>
      </w:r>
      <w:r w:rsidRPr="003F35AB">
        <w:rPr>
          <w:color w:val="000000"/>
        </w:rPr>
        <w:t xml:space="preserve"> </w:t>
      </w:r>
      <w:r w:rsidR="00BA08BB">
        <w:rPr>
          <w:color w:val="000000"/>
        </w:rPr>
        <w:t xml:space="preserve">u </w:t>
      </w:r>
      <w:r w:rsidR="00C76F54">
        <w:rPr>
          <w:color w:val="000000"/>
        </w:rPr>
        <w:t xml:space="preserve">2025 </w:t>
      </w:r>
      <w:r w:rsidR="00BA08BB">
        <w:rPr>
          <w:color w:val="000000"/>
        </w:rPr>
        <w:t xml:space="preserve">i </w:t>
      </w:r>
      <w:r w:rsidR="00C76F54">
        <w:rPr>
          <w:color w:val="000000"/>
        </w:rPr>
        <w:t>2026</w:t>
      </w:r>
      <w:r w:rsidR="00BA08BB">
        <w:rPr>
          <w:color w:val="000000"/>
        </w:rPr>
        <w:t xml:space="preserve">. </w:t>
      </w:r>
      <w:r w:rsidR="0095006C">
        <w:rPr>
          <w:color w:val="000000"/>
        </w:rPr>
        <w:t>g</w:t>
      </w:r>
      <w:r w:rsidRPr="003F35AB">
        <w:rPr>
          <w:color w:val="000000"/>
        </w:rPr>
        <w:t>odin</w:t>
      </w:r>
      <w:r w:rsidR="00BA08BB">
        <w:rPr>
          <w:color w:val="000000"/>
        </w:rPr>
        <w:t>i</w:t>
      </w:r>
      <w:r w:rsidR="0095006C">
        <w:rPr>
          <w:color w:val="000000"/>
        </w:rPr>
        <w:t>, uz mogućnost rotacije.</w:t>
      </w:r>
    </w:p>
    <w:p w14:paraId="6BD934B3" w14:textId="77777777" w:rsidR="00EE2D1B" w:rsidRDefault="00EE2D1B" w:rsidP="00BA08BB">
      <w:pPr>
        <w:ind w:firstLine="709"/>
        <w:jc w:val="both"/>
        <w:rPr>
          <w:color w:val="000000"/>
        </w:rPr>
      </w:pPr>
    </w:p>
    <w:p w14:paraId="6BD934B4" w14:textId="77777777" w:rsidR="000E4C8F" w:rsidRPr="000E4C8F" w:rsidRDefault="00FE5CC4" w:rsidP="00FE5CC4">
      <w:pPr>
        <w:spacing w:before="120"/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III.</w:t>
      </w:r>
      <w:r>
        <w:rPr>
          <w:b/>
          <w:bCs/>
          <w:color w:val="000000"/>
        </w:rPr>
        <w:tab/>
      </w:r>
      <w:r w:rsidR="001C302F" w:rsidRPr="005E6CEB">
        <w:rPr>
          <w:b/>
          <w:bCs/>
          <w:color w:val="000000"/>
        </w:rPr>
        <w:t>RAZLOZI I CILJEVI DONOŠENJA ODLUKE</w:t>
      </w:r>
    </w:p>
    <w:p w14:paraId="6BD934B5" w14:textId="77777777" w:rsidR="001C302F" w:rsidRPr="005E6CEB" w:rsidRDefault="001C302F" w:rsidP="00304C94">
      <w:pPr>
        <w:autoSpaceDE w:val="0"/>
        <w:autoSpaceDN w:val="0"/>
        <w:adjustRightInd w:val="0"/>
        <w:ind w:left="360"/>
        <w:rPr>
          <w:b/>
          <w:bCs/>
          <w:color w:val="000000"/>
        </w:rPr>
      </w:pPr>
    </w:p>
    <w:p w14:paraId="6BD934B6" w14:textId="77777777" w:rsidR="003F35AB" w:rsidRDefault="00D7360A" w:rsidP="002E11FC">
      <w:pPr>
        <w:spacing w:after="120"/>
        <w:ind w:firstLine="709"/>
        <w:jc w:val="both"/>
        <w:rPr>
          <w:color w:val="000000"/>
        </w:rPr>
      </w:pPr>
      <w:r>
        <w:rPr>
          <w:color w:val="000000"/>
        </w:rPr>
        <w:t>D</w:t>
      </w:r>
      <w:r w:rsidR="00507914" w:rsidRPr="005E6CEB">
        <w:rPr>
          <w:color w:val="000000"/>
        </w:rPr>
        <w:t xml:space="preserve">inamika sigurnosnih izazova u području </w:t>
      </w:r>
      <w:r w:rsidR="00BD03CD">
        <w:rPr>
          <w:color w:val="000000"/>
        </w:rPr>
        <w:t>Sredozemlja</w:t>
      </w:r>
      <w:r w:rsidR="00507914" w:rsidRPr="005E6CEB">
        <w:rPr>
          <w:color w:val="000000"/>
        </w:rPr>
        <w:t xml:space="preserve"> zaht</w:t>
      </w:r>
      <w:r w:rsidR="00BC1C10">
        <w:rPr>
          <w:color w:val="000000"/>
        </w:rPr>
        <w:t>i</w:t>
      </w:r>
      <w:r w:rsidR="00507914" w:rsidRPr="005E6CEB">
        <w:rPr>
          <w:color w:val="000000"/>
        </w:rPr>
        <w:t xml:space="preserve">jeva stalnu </w:t>
      </w:r>
      <w:r w:rsidR="00381721">
        <w:rPr>
          <w:color w:val="000000"/>
        </w:rPr>
        <w:t>prisutnost</w:t>
      </w:r>
      <w:r w:rsidR="00507914" w:rsidRPr="005E6CEB">
        <w:rPr>
          <w:color w:val="000000"/>
        </w:rPr>
        <w:t xml:space="preserve"> snaga na moru </w:t>
      </w:r>
      <w:r w:rsidR="00B06D77">
        <w:rPr>
          <w:color w:val="000000"/>
        </w:rPr>
        <w:t xml:space="preserve">radi </w:t>
      </w:r>
      <w:r w:rsidR="0011442C">
        <w:rPr>
          <w:color w:val="000000"/>
        </w:rPr>
        <w:t>zaštite</w:t>
      </w:r>
      <w:r w:rsidR="00C86B17" w:rsidRPr="005E6CEB">
        <w:rPr>
          <w:color w:val="000000"/>
        </w:rPr>
        <w:t xml:space="preserve"> zajedničkih interesa</w:t>
      </w:r>
      <w:r w:rsidR="00CC03EA">
        <w:rPr>
          <w:color w:val="000000"/>
        </w:rPr>
        <w:t>,</w:t>
      </w:r>
      <w:r w:rsidR="00BA08BB">
        <w:rPr>
          <w:color w:val="000000"/>
        </w:rPr>
        <w:t xml:space="preserve"> </w:t>
      </w:r>
      <w:r w:rsidR="00BC1C10" w:rsidRPr="005E6CEB">
        <w:rPr>
          <w:color w:val="000000"/>
        </w:rPr>
        <w:t>odvraćanja potencijalnih prijetnji</w:t>
      </w:r>
      <w:r w:rsidR="00CC03EA">
        <w:rPr>
          <w:color w:val="000000"/>
        </w:rPr>
        <w:t xml:space="preserve"> te</w:t>
      </w:r>
      <w:r w:rsidR="00BC1C10" w:rsidRPr="005E6CEB">
        <w:rPr>
          <w:color w:val="000000"/>
        </w:rPr>
        <w:t xml:space="preserve"> nadzora i osiguranja slobode plovidbe</w:t>
      </w:r>
      <w:r w:rsidR="00BA08BB">
        <w:rPr>
          <w:color w:val="000000"/>
        </w:rPr>
        <w:t>, korištenje plovnih puto</w:t>
      </w:r>
      <w:r w:rsidR="00905F3B">
        <w:rPr>
          <w:color w:val="000000"/>
        </w:rPr>
        <w:t>va i iskorištavanje prirodnih resursa.</w:t>
      </w:r>
    </w:p>
    <w:p w14:paraId="6BD934B7" w14:textId="77777777" w:rsidR="00B77B9B" w:rsidRDefault="00BC1C10" w:rsidP="002E11FC">
      <w:pPr>
        <w:spacing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Djelovanje </w:t>
      </w:r>
      <w:r w:rsidR="00B06D77">
        <w:t xml:space="preserve">Stalne NATO skupine </w:t>
      </w:r>
      <w:proofErr w:type="spellStart"/>
      <w:r w:rsidR="00B06D77">
        <w:t>protuminskih</w:t>
      </w:r>
      <w:proofErr w:type="spellEnd"/>
      <w:r w:rsidR="00B06D77">
        <w:t xml:space="preserve"> snaga </w:t>
      </w:r>
      <w:r w:rsidR="00B06D77" w:rsidRPr="000E4C8F">
        <w:rPr>
          <w:color w:val="000000"/>
        </w:rPr>
        <w:t xml:space="preserve">2 </w:t>
      </w:r>
      <w:r>
        <w:rPr>
          <w:color w:val="000000"/>
        </w:rPr>
        <w:t xml:space="preserve">kao sastavnice </w:t>
      </w:r>
      <w:r w:rsidR="00B06D77">
        <w:rPr>
          <w:color w:val="000000"/>
        </w:rPr>
        <w:t xml:space="preserve">Snaga brzog odgovora </w:t>
      </w:r>
      <w:r w:rsidR="00FC453C">
        <w:rPr>
          <w:color w:val="000000"/>
        </w:rPr>
        <w:t>ima izrav</w:t>
      </w:r>
      <w:r w:rsidR="00D7360A">
        <w:rPr>
          <w:color w:val="000000"/>
        </w:rPr>
        <w:t xml:space="preserve">an </w:t>
      </w:r>
      <w:r w:rsidRPr="005E6CEB">
        <w:rPr>
          <w:color w:val="000000"/>
        </w:rPr>
        <w:t>učinak na potencijalne sigurnosne prijetnje i održavanje sigurno</w:t>
      </w:r>
      <w:r w:rsidR="0011442C">
        <w:rPr>
          <w:color w:val="000000"/>
        </w:rPr>
        <w:t>sti</w:t>
      </w:r>
      <w:r w:rsidRPr="005E6CEB">
        <w:rPr>
          <w:color w:val="000000"/>
        </w:rPr>
        <w:t xml:space="preserve"> i stabilno</w:t>
      </w:r>
      <w:r w:rsidR="00DE6A45">
        <w:rPr>
          <w:color w:val="000000"/>
        </w:rPr>
        <w:t>sti</w:t>
      </w:r>
      <w:r w:rsidRPr="005E6CEB">
        <w:rPr>
          <w:color w:val="000000"/>
        </w:rPr>
        <w:t xml:space="preserve"> </w:t>
      </w:r>
      <w:r w:rsidR="00DE6A45">
        <w:rPr>
          <w:color w:val="000000"/>
        </w:rPr>
        <w:t xml:space="preserve">kako </w:t>
      </w:r>
      <w:r w:rsidR="00354F14">
        <w:rPr>
          <w:color w:val="000000"/>
        </w:rPr>
        <w:t xml:space="preserve">u </w:t>
      </w:r>
      <w:r w:rsidR="00D7360A">
        <w:rPr>
          <w:color w:val="000000"/>
        </w:rPr>
        <w:t>Sredozemlju</w:t>
      </w:r>
      <w:r w:rsidR="00DE6A45">
        <w:rPr>
          <w:color w:val="000000"/>
        </w:rPr>
        <w:t xml:space="preserve"> tako i na J</w:t>
      </w:r>
      <w:r w:rsidR="000F1539">
        <w:rPr>
          <w:color w:val="000000"/>
        </w:rPr>
        <w:t>adranskom moru. Sigurnost i stabilnost Jadranskog mora</w:t>
      </w:r>
      <w:r w:rsidR="00DE6A45">
        <w:rPr>
          <w:color w:val="000000"/>
        </w:rPr>
        <w:t xml:space="preserve"> </w:t>
      </w:r>
      <w:r w:rsidR="000F1539">
        <w:rPr>
          <w:color w:val="000000"/>
        </w:rPr>
        <w:t xml:space="preserve">značajno </w:t>
      </w:r>
      <w:r w:rsidR="00BA08BB">
        <w:rPr>
          <w:color w:val="000000"/>
        </w:rPr>
        <w:t>pri</w:t>
      </w:r>
      <w:r w:rsidR="00B06D77">
        <w:rPr>
          <w:color w:val="000000"/>
        </w:rPr>
        <w:t>do</w:t>
      </w:r>
      <w:r w:rsidR="00DE6A45">
        <w:rPr>
          <w:color w:val="000000"/>
        </w:rPr>
        <w:t xml:space="preserve">nosi </w:t>
      </w:r>
      <w:r w:rsidR="00905F3B">
        <w:rPr>
          <w:color w:val="000000"/>
        </w:rPr>
        <w:t>razvoju i gospodarskom rastu Republike Hrvatske</w:t>
      </w:r>
      <w:r w:rsidRPr="005E6CEB">
        <w:rPr>
          <w:color w:val="000000"/>
        </w:rPr>
        <w:t xml:space="preserve">. </w:t>
      </w:r>
    </w:p>
    <w:p w14:paraId="6BD934B8" w14:textId="77777777" w:rsidR="003F35AB" w:rsidRPr="005E6CEB" w:rsidRDefault="00BC1C10" w:rsidP="00BF57D9">
      <w:pPr>
        <w:spacing w:after="120"/>
        <w:ind w:firstLine="709"/>
        <w:jc w:val="both"/>
        <w:rPr>
          <w:color w:val="000000"/>
        </w:rPr>
      </w:pPr>
      <w:r w:rsidRPr="005E6CEB">
        <w:rPr>
          <w:color w:val="000000"/>
        </w:rPr>
        <w:t xml:space="preserve">Oružane snage Republike Hrvatske, kroz </w:t>
      </w:r>
      <w:r w:rsidR="00CC03EA">
        <w:rPr>
          <w:color w:val="000000"/>
        </w:rPr>
        <w:t>aktivnosti</w:t>
      </w:r>
      <w:r w:rsidRPr="005E6CEB">
        <w:rPr>
          <w:color w:val="000000"/>
        </w:rPr>
        <w:t xml:space="preserve"> Hrvatske ratne mornarice, održavaju </w:t>
      </w:r>
      <w:r w:rsidR="00B77B9B">
        <w:rPr>
          <w:color w:val="000000"/>
        </w:rPr>
        <w:t>kontinuiranu</w:t>
      </w:r>
      <w:r w:rsidR="0095006C">
        <w:rPr>
          <w:color w:val="000000"/>
        </w:rPr>
        <w:t xml:space="preserve"> </w:t>
      </w:r>
      <w:r w:rsidRPr="005E6CEB">
        <w:rPr>
          <w:color w:val="000000"/>
        </w:rPr>
        <w:t>vezu</w:t>
      </w:r>
      <w:r>
        <w:rPr>
          <w:color w:val="000000"/>
        </w:rPr>
        <w:t xml:space="preserve"> s</w:t>
      </w:r>
      <w:r w:rsidR="00381721">
        <w:rPr>
          <w:color w:val="000000"/>
        </w:rPr>
        <w:t>a</w:t>
      </w:r>
      <w:r w:rsidRPr="005E6CEB">
        <w:rPr>
          <w:color w:val="000000"/>
        </w:rPr>
        <w:t xml:space="preserve"> </w:t>
      </w:r>
      <w:r w:rsidR="00B06D77" w:rsidRPr="004F61E1">
        <w:rPr>
          <w:color w:val="000000"/>
        </w:rPr>
        <w:t>Savezničk</w:t>
      </w:r>
      <w:r w:rsidR="00B06D77">
        <w:rPr>
          <w:color w:val="000000"/>
        </w:rPr>
        <w:t>im</w:t>
      </w:r>
      <w:r w:rsidR="00B06D77" w:rsidRPr="004F61E1">
        <w:rPr>
          <w:color w:val="000000"/>
        </w:rPr>
        <w:t xml:space="preserve"> </w:t>
      </w:r>
      <w:r w:rsidR="00354F14">
        <w:rPr>
          <w:color w:val="000000"/>
        </w:rPr>
        <w:t>pomorskim z</w:t>
      </w:r>
      <w:r w:rsidR="00B06D77" w:rsidRPr="004F61E1">
        <w:rPr>
          <w:color w:val="000000"/>
        </w:rPr>
        <w:t>apovjedništvo</w:t>
      </w:r>
      <w:r w:rsidR="00B06D77">
        <w:rPr>
          <w:color w:val="000000"/>
        </w:rPr>
        <w:t xml:space="preserve">m i regionalnim </w:t>
      </w:r>
      <w:r w:rsidR="00354F14">
        <w:rPr>
          <w:color w:val="000000"/>
        </w:rPr>
        <w:t xml:space="preserve">ratnim </w:t>
      </w:r>
      <w:r w:rsidR="00B06D77">
        <w:rPr>
          <w:color w:val="000000"/>
        </w:rPr>
        <w:t xml:space="preserve">mornaricama </w:t>
      </w:r>
      <w:r w:rsidRPr="005E6CEB">
        <w:rPr>
          <w:color w:val="000000"/>
        </w:rPr>
        <w:t>razmjen</w:t>
      </w:r>
      <w:r w:rsidR="00BA08BB">
        <w:rPr>
          <w:color w:val="000000"/>
        </w:rPr>
        <w:t>om</w:t>
      </w:r>
      <w:r w:rsidRPr="005E6CEB">
        <w:rPr>
          <w:color w:val="000000"/>
        </w:rPr>
        <w:t xml:space="preserve"> informacija o sigurnosnoj situacij</w:t>
      </w:r>
      <w:r w:rsidR="00CC03EA">
        <w:rPr>
          <w:color w:val="000000"/>
        </w:rPr>
        <w:t>i</w:t>
      </w:r>
      <w:r w:rsidR="00C86B17" w:rsidRPr="005E6CEB">
        <w:rPr>
          <w:color w:val="000000"/>
        </w:rPr>
        <w:t xml:space="preserve">. </w:t>
      </w:r>
      <w:r w:rsidR="000A0BC3" w:rsidRPr="005E6CEB">
        <w:rPr>
          <w:color w:val="000000"/>
        </w:rPr>
        <w:t>Sudjelovanje u</w:t>
      </w:r>
      <w:r w:rsidR="00B06D77" w:rsidRPr="00B06D77">
        <w:t xml:space="preserve"> </w:t>
      </w:r>
      <w:r w:rsidR="00B06D77">
        <w:t xml:space="preserve">Stalnoj NATO skupini </w:t>
      </w:r>
      <w:proofErr w:type="spellStart"/>
      <w:r w:rsidR="00B06D77">
        <w:t>protuminskih</w:t>
      </w:r>
      <w:proofErr w:type="spellEnd"/>
      <w:r w:rsidR="00B06D77">
        <w:t xml:space="preserve"> snaga </w:t>
      </w:r>
      <w:r w:rsidR="00B06D77">
        <w:rPr>
          <w:color w:val="000000"/>
        </w:rPr>
        <w:t xml:space="preserve">2 </w:t>
      </w:r>
      <w:r w:rsidR="000A0BC3" w:rsidRPr="005E6CEB">
        <w:rPr>
          <w:color w:val="000000"/>
        </w:rPr>
        <w:t xml:space="preserve">podrazumijeva provedbu zadaća neborbenih djelovanja s težištem na </w:t>
      </w:r>
      <w:r w:rsidR="0014680F">
        <w:rPr>
          <w:color w:val="000000"/>
        </w:rPr>
        <w:t xml:space="preserve">zajedničkom uvježbavanju i održavanju sposobnosti snaga te </w:t>
      </w:r>
      <w:r w:rsidR="000A0BC3" w:rsidRPr="005E6CEB">
        <w:rPr>
          <w:color w:val="000000"/>
        </w:rPr>
        <w:t>pri</w:t>
      </w:r>
      <w:r w:rsidR="00381721">
        <w:rPr>
          <w:color w:val="000000"/>
        </w:rPr>
        <w:t>do</w:t>
      </w:r>
      <w:r w:rsidR="000A0BC3" w:rsidRPr="005E6CEB">
        <w:rPr>
          <w:color w:val="000000"/>
        </w:rPr>
        <w:t>nos</w:t>
      </w:r>
      <w:r w:rsidR="00354F14">
        <w:rPr>
          <w:color w:val="000000"/>
        </w:rPr>
        <w:t>i</w:t>
      </w:r>
      <w:r w:rsidR="000A0BC3" w:rsidRPr="005E6CEB">
        <w:rPr>
          <w:color w:val="000000"/>
        </w:rPr>
        <w:t xml:space="preserve"> stvaranj</w:t>
      </w:r>
      <w:r w:rsidR="006D2D5A">
        <w:rPr>
          <w:color w:val="000000"/>
        </w:rPr>
        <w:t>u</w:t>
      </w:r>
      <w:r w:rsidR="000A0BC3" w:rsidRPr="005E6CEB">
        <w:rPr>
          <w:color w:val="000000"/>
        </w:rPr>
        <w:t xml:space="preserve"> cjelovite pomorske situacijske slike u realnom vremenu</w:t>
      </w:r>
      <w:r w:rsidR="00B06D77">
        <w:rPr>
          <w:color w:val="000000"/>
        </w:rPr>
        <w:t xml:space="preserve">. </w:t>
      </w:r>
      <w:r w:rsidR="00B06D77">
        <w:t xml:space="preserve">Stalna NATO skupina </w:t>
      </w:r>
      <w:proofErr w:type="spellStart"/>
      <w:r w:rsidR="00B06D77">
        <w:t>protuminskih</w:t>
      </w:r>
      <w:proofErr w:type="spellEnd"/>
      <w:r w:rsidR="00B06D77">
        <w:t xml:space="preserve"> snaga </w:t>
      </w:r>
      <w:r w:rsidR="00B06D77" w:rsidRPr="000E4C8F">
        <w:rPr>
          <w:color w:val="000000"/>
        </w:rPr>
        <w:t xml:space="preserve">2 </w:t>
      </w:r>
      <w:r w:rsidR="006A0F13">
        <w:rPr>
          <w:color w:val="000000"/>
        </w:rPr>
        <w:t xml:space="preserve"> ostvaruje značajan doprinos vidljivosti Saveza kao primjer suradnje </w:t>
      </w:r>
      <w:r w:rsidR="00381721">
        <w:rPr>
          <w:color w:val="000000"/>
        </w:rPr>
        <w:t xml:space="preserve">radi </w:t>
      </w:r>
      <w:r w:rsidR="006A0F13">
        <w:rPr>
          <w:color w:val="000000"/>
        </w:rPr>
        <w:t>ostvarivanja zajedničkih interesa u području pomorske sigurnosti.</w:t>
      </w:r>
    </w:p>
    <w:p w14:paraId="6BD934B9" w14:textId="77777777" w:rsidR="005C1A06" w:rsidRDefault="006D2D5A" w:rsidP="002E11FC">
      <w:pPr>
        <w:spacing w:after="12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S obzirom</w:t>
      </w:r>
      <w:r w:rsidR="00FB418D">
        <w:rPr>
          <w:color w:val="000000"/>
        </w:rPr>
        <w:t xml:space="preserve"> na to</w:t>
      </w:r>
      <w:r w:rsidR="00B06D77">
        <w:rPr>
          <w:color w:val="000000"/>
        </w:rPr>
        <w:t xml:space="preserve"> </w:t>
      </w:r>
      <w:r w:rsidR="00147666" w:rsidRPr="005E6CEB">
        <w:rPr>
          <w:color w:val="000000"/>
        </w:rPr>
        <w:t>da je</w:t>
      </w:r>
      <w:r w:rsidR="003F35AB">
        <w:rPr>
          <w:color w:val="000000"/>
        </w:rPr>
        <w:t xml:space="preserve"> u SNMCMG2</w:t>
      </w:r>
      <w:r w:rsidR="00147666" w:rsidRPr="005E6CEB">
        <w:rPr>
          <w:color w:val="000000"/>
        </w:rPr>
        <w:t xml:space="preserve"> riječ o </w:t>
      </w:r>
      <w:r w:rsidR="00104B16">
        <w:rPr>
          <w:color w:val="000000"/>
        </w:rPr>
        <w:t>s</w:t>
      </w:r>
      <w:r w:rsidR="00811953" w:rsidRPr="005E6CEB">
        <w:rPr>
          <w:color w:val="000000"/>
        </w:rPr>
        <w:t>avezničk</w:t>
      </w:r>
      <w:r w:rsidR="00811953">
        <w:rPr>
          <w:color w:val="000000"/>
        </w:rPr>
        <w:t>im</w:t>
      </w:r>
      <w:r w:rsidR="00811953" w:rsidRPr="005E6CEB">
        <w:rPr>
          <w:color w:val="000000"/>
        </w:rPr>
        <w:t xml:space="preserve"> </w:t>
      </w:r>
      <w:r w:rsidR="00811953">
        <w:rPr>
          <w:color w:val="000000"/>
        </w:rPr>
        <w:t xml:space="preserve">aktivnostima </w:t>
      </w:r>
      <w:r w:rsidR="00147666" w:rsidRPr="005E6CEB">
        <w:rPr>
          <w:color w:val="000000"/>
        </w:rPr>
        <w:t xml:space="preserve">zaštite zajedničkih interesa </w:t>
      </w:r>
      <w:r w:rsidR="00381721">
        <w:rPr>
          <w:color w:val="000000"/>
        </w:rPr>
        <w:t xml:space="preserve">i </w:t>
      </w:r>
      <w:r w:rsidR="00147666" w:rsidRPr="005E6CEB">
        <w:rPr>
          <w:color w:val="000000"/>
        </w:rPr>
        <w:t xml:space="preserve">mogućnosti angažiranja Oružanih snaga </w:t>
      </w:r>
      <w:r w:rsidR="00C4600F" w:rsidRPr="005E6CEB">
        <w:rPr>
          <w:color w:val="000000"/>
        </w:rPr>
        <w:t>Republike Hrvatske</w:t>
      </w:r>
      <w:r w:rsidR="00147666" w:rsidRPr="005E6CEB">
        <w:rPr>
          <w:color w:val="000000"/>
        </w:rPr>
        <w:t xml:space="preserve"> u </w:t>
      </w:r>
      <w:r w:rsidR="00E855E4">
        <w:rPr>
          <w:color w:val="000000"/>
        </w:rPr>
        <w:t>doprinosu kolektivnim djelovanjima kojima se osigurava miroljubivo korištenj</w:t>
      </w:r>
      <w:r w:rsidR="0005544B">
        <w:rPr>
          <w:color w:val="000000"/>
        </w:rPr>
        <w:t>e</w:t>
      </w:r>
      <w:r w:rsidR="00E855E4">
        <w:rPr>
          <w:color w:val="000000"/>
        </w:rPr>
        <w:t xml:space="preserve"> </w:t>
      </w:r>
      <w:r w:rsidR="009F3CC2">
        <w:rPr>
          <w:color w:val="000000"/>
        </w:rPr>
        <w:t>mor</w:t>
      </w:r>
      <w:r w:rsidR="0005544B">
        <w:rPr>
          <w:color w:val="000000"/>
        </w:rPr>
        <w:t>skih resursa</w:t>
      </w:r>
      <w:r w:rsidR="00255C4B">
        <w:rPr>
          <w:color w:val="000000"/>
        </w:rPr>
        <w:t>,</w:t>
      </w:r>
      <w:r w:rsidR="006A0193">
        <w:rPr>
          <w:color w:val="000000"/>
        </w:rPr>
        <w:t xml:space="preserve"> predlaže se</w:t>
      </w:r>
      <w:r w:rsidR="003F35AB">
        <w:rPr>
          <w:color w:val="000000"/>
        </w:rPr>
        <w:t xml:space="preserve"> nastavak sudjelovanja </w:t>
      </w:r>
      <w:r w:rsidR="0095006C">
        <w:rPr>
          <w:color w:val="000000"/>
        </w:rPr>
        <w:t xml:space="preserve">pripadnika Oružanih snaga Republike Hrvatske </w:t>
      </w:r>
      <w:r w:rsidR="003F35AB">
        <w:rPr>
          <w:color w:val="000000"/>
        </w:rPr>
        <w:t>u aktivnostima SNMCMG2.</w:t>
      </w:r>
    </w:p>
    <w:p w14:paraId="6BD934BA" w14:textId="77777777" w:rsidR="003F35AB" w:rsidRPr="005E6CEB" w:rsidRDefault="002F4DCB" w:rsidP="002E11FC">
      <w:pPr>
        <w:spacing w:after="120"/>
        <w:ind w:firstLine="709"/>
        <w:jc w:val="both"/>
        <w:rPr>
          <w:color w:val="000000"/>
        </w:rPr>
      </w:pPr>
      <w:r w:rsidRPr="005E6CEB">
        <w:rPr>
          <w:color w:val="000000"/>
        </w:rPr>
        <w:t>Uz izravnu zaštitu nacionalnih</w:t>
      </w:r>
      <w:r w:rsidR="00BD03CD">
        <w:rPr>
          <w:color w:val="000000"/>
        </w:rPr>
        <w:t xml:space="preserve"> interesa na moru, sudjelovanje</w:t>
      </w:r>
      <w:r w:rsidRPr="005E6CEB">
        <w:rPr>
          <w:color w:val="000000"/>
        </w:rPr>
        <w:t xml:space="preserve"> Oružanih snaga </w:t>
      </w:r>
      <w:r w:rsidR="00C4600F" w:rsidRPr="005E6CEB">
        <w:rPr>
          <w:color w:val="000000"/>
        </w:rPr>
        <w:t>Republike Hrvatske</w:t>
      </w:r>
      <w:r w:rsidRPr="005E6CEB">
        <w:rPr>
          <w:color w:val="000000"/>
        </w:rPr>
        <w:t xml:space="preserve"> u </w:t>
      </w:r>
      <w:r w:rsidR="009A3863">
        <w:rPr>
          <w:color w:val="000000"/>
        </w:rPr>
        <w:t>aktivnosti</w:t>
      </w:r>
      <w:r w:rsidR="00D7360A">
        <w:rPr>
          <w:color w:val="000000"/>
        </w:rPr>
        <w:t xml:space="preserve"> </w:t>
      </w:r>
      <w:r w:rsidR="00F6452B">
        <w:t xml:space="preserve">Stalne NATO skupine </w:t>
      </w:r>
      <w:proofErr w:type="spellStart"/>
      <w:r w:rsidR="00F6452B">
        <w:t>protuminskih</w:t>
      </w:r>
      <w:proofErr w:type="spellEnd"/>
      <w:r w:rsidR="00F6452B">
        <w:t xml:space="preserve"> snaga </w:t>
      </w:r>
      <w:r w:rsidR="00F6452B" w:rsidRPr="000E4C8F">
        <w:rPr>
          <w:color w:val="000000"/>
        </w:rPr>
        <w:t xml:space="preserve">2 </w:t>
      </w:r>
      <w:r w:rsidR="00381721">
        <w:rPr>
          <w:color w:val="000000"/>
        </w:rPr>
        <w:t>bilo</w:t>
      </w:r>
      <w:r w:rsidRPr="005E6CEB">
        <w:rPr>
          <w:color w:val="000000"/>
        </w:rPr>
        <w:t xml:space="preserve"> bi </w:t>
      </w:r>
      <w:r w:rsidR="00F35027">
        <w:rPr>
          <w:color w:val="000000"/>
        </w:rPr>
        <w:t xml:space="preserve">nastavak </w:t>
      </w:r>
      <w:r w:rsidRPr="005E6CEB">
        <w:rPr>
          <w:color w:val="000000"/>
        </w:rPr>
        <w:t>doprinos</w:t>
      </w:r>
      <w:r w:rsidR="00F35027">
        <w:rPr>
          <w:color w:val="000000"/>
        </w:rPr>
        <w:t>a</w:t>
      </w:r>
      <w:r w:rsidR="00BD03CD">
        <w:rPr>
          <w:color w:val="000000"/>
        </w:rPr>
        <w:t xml:space="preserve"> Republike Hrvatske s</w:t>
      </w:r>
      <w:r w:rsidRPr="005E6CEB">
        <w:rPr>
          <w:color w:val="000000"/>
        </w:rPr>
        <w:t xml:space="preserve">avezničkim naporima </w:t>
      </w:r>
      <w:r w:rsidR="00BD03CD">
        <w:rPr>
          <w:color w:val="000000"/>
        </w:rPr>
        <w:t>pružanja</w:t>
      </w:r>
      <w:r w:rsidR="001B692B" w:rsidRPr="005E6CEB">
        <w:rPr>
          <w:color w:val="000000"/>
        </w:rPr>
        <w:t xml:space="preserve"> zajedničke sigurnosti </w:t>
      </w:r>
      <w:r w:rsidR="000C382D" w:rsidRPr="005E6CEB">
        <w:rPr>
          <w:color w:val="000000"/>
        </w:rPr>
        <w:t xml:space="preserve">na moru </w:t>
      </w:r>
      <w:r w:rsidR="0005544B">
        <w:rPr>
          <w:color w:val="000000"/>
        </w:rPr>
        <w:t>u skladu s</w:t>
      </w:r>
      <w:r w:rsidR="0005544B" w:rsidRPr="005E6CEB">
        <w:rPr>
          <w:color w:val="000000"/>
        </w:rPr>
        <w:t xml:space="preserve"> </w:t>
      </w:r>
      <w:r w:rsidR="00BD03CD">
        <w:rPr>
          <w:color w:val="000000"/>
        </w:rPr>
        <w:t>nacionalnim</w:t>
      </w:r>
      <w:r w:rsidR="000C382D" w:rsidRPr="005E6CEB">
        <w:rPr>
          <w:color w:val="000000"/>
        </w:rPr>
        <w:t xml:space="preserve"> </w:t>
      </w:r>
      <w:r w:rsidR="001B692B" w:rsidRPr="005E6CEB">
        <w:rPr>
          <w:color w:val="000000"/>
        </w:rPr>
        <w:t>mogućnosti</w:t>
      </w:r>
      <w:r w:rsidR="00BD03CD">
        <w:rPr>
          <w:color w:val="000000"/>
        </w:rPr>
        <w:t>ma i raspoloživim</w:t>
      </w:r>
      <w:r w:rsidR="001B692B" w:rsidRPr="005E6CEB">
        <w:rPr>
          <w:color w:val="000000"/>
        </w:rPr>
        <w:t xml:space="preserve"> resurs</w:t>
      </w:r>
      <w:r w:rsidR="00BD03CD">
        <w:rPr>
          <w:color w:val="000000"/>
        </w:rPr>
        <w:t>im</w:t>
      </w:r>
      <w:r w:rsidR="001B692B" w:rsidRPr="005E6CEB">
        <w:rPr>
          <w:color w:val="000000"/>
        </w:rPr>
        <w:t>a</w:t>
      </w:r>
      <w:r w:rsidR="00BD03CD">
        <w:rPr>
          <w:color w:val="000000"/>
        </w:rPr>
        <w:t>.</w:t>
      </w:r>
    </w:p>
    <w:p w14:paraId="6BD934BB" w14:textId="77777777" w:rsidR="0057050A" w:rsidRDefault="0095006C" w:rsidP="002E11FC">
      <w:pPr>
        <w:spacing w:after="120"/>
        <w:ind w:firstLine="709"/>
        <w:jc w:val="both"/>
        <w:rPr>
          <w:color w:val="000000"/>
        </w:rPr>
      </w:pPr>
      <w:r>
        <w:rPr>
          <w:color w:val="000000"/>
        </w:rPr>
        <w:t>S</w:t>
      </w:r>
      <w:r w:rsidR="000C382D" w:rsidRPr="005E6CEB">
        <w:rPr>
          <w:color w:val="000000"/>
        </w:rPr>
        <w:t xml:space="preserve">udjelovanjem </w:t>
      </w:r>
      <w:proofErr w:type="spellStart"/>
      <w:r w:rsidR="00C002C1">
        <w:rPr>
          <w:color w:val="000000"/>
        </w:rPr>
        <w:t>protuminskih</w:t>
      </w:r>
      <w:proofErr w:type="spellEnd"/>
      <w:r w:rsidR="00C002C1">
        <w:rPr>
          <w:color w:val="000000"/>
        </w:rPr>
        <w:t xml:space="preserve"> snaga</w:t>
      </w:r>
      <w:r w:rsidR="000C382D" w:rsidRPr="005E6CEB">
        <w:rPr>
          <w:color w:val="000000"/>
        </w:rPr>
        <w:t xml:space="preserve"> Hrvatske ratne mornarice u </w:t>
      </w:r>
      <w:r w:rsidR="009A3863">
        <w:rPr>
          <w:color w:val="000000"/>
        </w:rPr>
        <w:t>aktivnosti</w:t>
      </w:r>
      <w:r w:rsidR="00F6452B">
        <w:rPr>
          <w:color w:val="000000"/>
        </w:rPr>
        <w:t xml:space="preserve"> </w:t>
      </w:r>
      <w:r w:rsidR="003F35AB">
        <w:t>SNMCMG2</w:t>
      </w:r>
      <w:r w:rsidR="00F6452B" w:rsidRPr="000E4C8F">
        <w:rPr>
          <w:color w:val="000000"/>
        </w:rPr>
        <w:t xml:space="preserve"> </w:t>
      </w:r>
      <w:r w:rsidR="003F35AB">
        <w:rPr>
          <w:color w:val="000000"/>
        </w:rPr>
        <w:t>nastavit će se</w:t>
      </w:r>
      <w:r w:rsidR="000C382D" w:rsidRPr="005E6CEB">
        <w:rPr>
          <w:color w:val="000000"/>
        </w:rPr>
        <w:t xml:space="preserve"> </w:t>
      </w:r>
      <w:r w:rsidR="008C0A76" w:rsidRPr="005E6CEB">
        <w:rPr>
          <w:color w:val="000000"/>
        </w:rPr>
        <w:t xml:space="preserve">proces </w:t>
      </w:r>
      <w:r w:rsidR="000C382D" w:rsidRPr="005E6CEB">
        <w:rPr>
          <w:color w:val="000000"/>
        </w:rPr>
        <w:t>razvoj</w:t>
      </w:r>
      <w:r w:rsidR="008C0A76" w:rsidRPr="005E6CEB">
        <w:rPr>
          <w:color w:val="000000"/>
        </w:rPr>
        <w:t>a</w:t>
      </w:r>
      <w:r w:rsidR="00FC4FA3">
        <w:rPr>
          <w:color w:val="000000"/>
        </w:rPr>
        <w:t xml:space="preserve"> i konkretnog angažiranja</w:t>
      </w:r>
      <w:r w:rsidR="000C382D" w:rsidRPr="005E6CEB">
        <w:rPr>
          <w:color w:val="000000"/>
        </w:rPr>
        <w:t xml:space="preserve"> </w:t>
      </w:r>
      <w:r w:rsidR="00FC4FA3">
        <w:rPr>
          <w:color w:val="000000"/>
        </w:rPr>
        <w:t xml:space="preserve">značajnih </w:t>
      </w:r>
      <w:r w:rsidR="000C382D" w:rsidRPr="005E6CEB">
        <w:rPr>
          <w:color w:val="000000"/>
        </w:rPr>
        <w:t xml:space="preserve">sposobnosti Oružanih snaga Republike Hrvatske za </w:t>
      </w:r>
      <w:r w:rsidR="008C0A76" w:rsidRPr="005E6CEB">
        <w:rPr>
          <w:color w:val="000000"/>
        </w:rPr>
        <w:t>zajedničko djelovanje sa</w:t>
      </w:r>
      <w:r w:rsidR="000C382D" w:rsidRPr="005E6CEB">
        <w:rPr>
          <w:color w:val="000000"/>
        </w:rPr>
        <w:t xml:space="preserve"> </w:t>
      </w:r>
      <w:r w:rsidR="008C0A76" w:rsidRPr="005E6CEB">
        <w:rPr>
          <w:color w:val="000000"/>
        </w:rPr>
        <w:t>snagama država članica NATO-a.</w:t>
      </w:r>
    </w:p>
    <w:p w14:paraId="6BD934BC" w14:textId="77777777" w:rsidR="0095006C" w:rsidRDefault="003F35AB" w:rsidP="00FC4FA3">
      <w:pPr>
        <w:spacing w:after="120"/>
        <w:ind w:firstLine="708"/>
        <w:jc w:val="both"/>
        <w:rPr>
          <w:color w:val="000000"/>
        </w:rPr>
      </w:pPr>
      <w:r>
        <w:rPr>
          <w:color w:val="000000"/>
        </w:rPr>
        <w:t>Slijedom navedenoga, predlaže se</w:t>
      </w:r>
      <w:r w:rsidRPr="005E6CEB">
        <w:rPr>
          <w:color w:val="000000"/>
        </w:rPr>
        <w:t xml:space="preserve"> donošenje Odluke</w:t>
      </w:r>
      <w:r>
        <w:rPr>
          <w:color w:val="000000"/>
        </w:rPr>
        <w:t xml:space="preserve"> o sudjelovanju </w:t>
      </w:r>
      <w:r w:rsidR="0095006C">
        <w:rPr>
          <w:color w:val="000000"/>
        </w:rPr>
        <w:t xml:space="preserve">pripadnika </w:t>
      </w:r>
      <w:r>
        <w:rPr>
          <w:color w:val="000000"/>
        </w:rPr>
        <w:t xml:space="preserve">Oružanih snaga Republike Hrvatske u aktivnosti Stalne NATO skupine </w:t>
      </w:r>
      <w:proofErr w:type="spellStart"/>
      <w:r>
        <w:rPr>
          <w:color w:val="000000"/>
        </w:rPr>
        <w:t>protumin</w:t>
      </w:r>
      <w:r w:rsidR="0057050A">
        <w:rPr>
          <w:color w:val="000000"/>
        </w:rPr>
        <w:t>skih</w:t>
      </w:r>
      <w:proofErr w:type="spellEnd"/>
      <w:r w:rsidR="0057050A">
        <w:rPr>
          <w:color w:val="000000"/>
        </w:rPr>
        <w:t xml:space="preserve"> snaga 2 </w:t>
      </w:r>
      <w:r w:rsidR="0095006C">
        <w:rPr>
          <w:color w:val="000000"/>
        </w:rPr>
        <w:t xml:space="preserve">u </w:t>
      </w:r>
      <w:r w:rsidR="0057050A">
        <w:rPr>
          <w:color w:val="000000"/>
        </w:rPr>
        <w:t>202</w:t>
      </w:r>
      <w:r w:rsidR="00B73BCD">
        <w:rPr>
          <w:color w:val="000000"/>
        </w:rPr>
        <w:t>5</w:t>
      </w:r>
      <w:r w:rsidR="0057050A">
        <w:rPr>
          <w:color w:val="000000"/>
        </w:rPr>
        <w:t>. i 202</w:t>
      </w:r>
      <w:r w:rsidR="00B73BCD">
        <w:rPr>
          <w:color w:val="000000"/>
        </w:rPr>
        <w:t>6</w:t>
      </w:r>
      <w:r w:rsidR="0057050A">
        <w:rPr>
          <w:color w:val="000000"/>
        </w:rPr>
        <w:t>.</w:t>
      </w:r>
      <w:r>
        <w:rPr>
          <w:color w:val="000000"/>
        </w:rPr>
        <w:t xml:space="preserve"> </w:t>
      </w:r>
      <w:r w:rsidR="00BF57D9">
        <w:rPr>
          <w:color w:val="000000"/>
        </w:rPr>
        <w:t>godin</w:t>
      </w:r>
      <w:r w:rsidR="0095006C">
        <w:rPr>
          <w:color w:val="000000"/>
        </w:rPr>
        <w:t>i</w:t>
      </w:r>
      <w:r w:rsidR="00BF57D9">
        <w:rPr>
          <w:color w:val="000000"/>
        </w:rPr>
        <w:t xml:space="preserve"> </w:t>
      </w:r>
      <w:r>
        <w:rPr>
          <w:color w:val="000000"/>
        </w:rPr>
        <w:t xml:space="preserve">na temelju koje će u aktivnosti </w:t>
      </w:r>
      <w:r>
        <w:t xml:space="preserve">Stalne NATO skupinu </w:t>
      </w:r>
      <w:proofErr w:type="spellStart"/>
      <w:r>
        <w:t>protuminskih</w:t>
      </w:r>
      <w:proofErr w:type="spellEnd"/>
      <w:r>
        <w:t xml:space="preserve"> snaga </w:t>
      </w:r>
      <w:r w:rsidRPr="000E4C8F">
        <w:rPr>
          <w:color w:val="000000"/>
        </w:rPr>
        <w:t xml:space="preserve">2 </w:t>
      </w:r>
      <w:r>
        <w:rPr>
          <w:color w:val="000000"/>
        </w:rPr>
        <w:t>biti</w:t>
      </w:r>
      <w:r w:rsidRPr="005E6CEB">
        <w:rPr>
          <w:color w:val="000000"/>
        </w:rPr>
        <w:t xml:space="preserve"> upuć</w:t>
      </w:r>
      <w:r>
        <w:rPr>
          <w:color w:val="000000"/>
        </w:rPr>
        <w:t>eni timovi do pet pripadnika</w:t>
      </w:r>
      <w:r w:rsidRPr="005E6CEB">
        <w:rPr>
          <w:color w:val="000000"/>
        </w:rPr>
        <w:t xml:space="preserve"> </w:t>
      </w:r>
      <w:proofErr w:type="spellStart"/>
      <w:r>
        <w:rPr>
          <w:color w:val="000000"/>
        </w:rPr>
        <w:t>protuminskih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ronitelja</w:t>
      </w:r>
      <w:proofErr w:type="spellEnd"/>
      <w:r w:rsidRPr="005E6CEB">
        <w:rPr>
          <w:color w:val="000000"/>
        </w:rPr>
        <w:t xml:space="preserve"> Hrvatske ratne mornarice</w:t>
      </w:r>
      <w:r>
        <w:rPr>
          <w:color w:val="000000"/>
        </w:rPr>
        <w:t>, uz mogućnost rotacije.</w:t>
      </w:r>
      <w:r w:rsidR="00BF57D9">
        <w:rPr>
          <w:color w:val="000000"/>
        </w:rPr>
        <w:t xml:space="preserve"> </w:t>
      </w:r>
    </w:p>
    <w:p w14:paraId="6BD934BD" w14:textId="77777777" w:rsidR="00F01AD7" w:rsidRPr="005E6CEB" w:rsidRDefault="00BF57D9" w:rsidP="00FC4FA3">
      <w:pPr>
        <w:spacing w:after="120"/>
        <w:ind w:firstLine="708"/>
        <w:jc w:val="both"/>
        <w:rPr>
          <w:color w:val="000000"/>
        </w:rPr>
      </w:pPr>
      <w:r>
        <w:rPr>
          <w:color w:val="000000"/>
        </w:rPr>
        <w:t xml:space="preserve">S </w:t>
      </w:r>
      <w:r w:rsidR="003F35AB">
        <w:rPr>
          <w:color w:val="000000"/>
        </w:rPr>
        <w:t>obzirom na dosadašnje uspješno provođenje ove aktivnosti po mod</w:t>
      </w:r>
      <w:r w:rsidR="00FB418D">
        <w:rPr>
          <w:color w:val="000000"/>
        </w:rPr>
        <w:t>elu</w:t>
      </w:r>
      <w:r w:rsidR="003F35AB">
        <w:rPr>
          <w:color w:val="000000"/>
        </w:rPr>
        <w:t xml:space="preserve"> boravka i rada hrvatskih </w:t>
      </w:r>
      <w:proofErr w:type="spellStart"/>
      <w:r w:rsidR="003F35AB">
        <w:rPr>
          <w:color w:val="000000"/>
        </w:rPr>
        <w:t>protuminskih</w:t>
      </w:r>
      <w:proofErr w:type="spellEnd"/>
      <w:r w:rsidR="003F35AB">
        <w:rPr>
          <w:color w:val="000000"/>
        </w:rPr>
        <w:t xml:space="preserve"> </w:t>
      </w:r>
      <w:proofErr w:type="spellStart"/>
      <w:r w:rsidR="003F35AB">
        <w:rPr>
          <w:color w:val="000000"/>
        </w:rPr>
        <w:t>ronitelja</w:t>
      </w:r>
      <w:proofErr w:type="spellEnd"/>
      <w:r w:rsidR="003F35AB">
        <w:rPr>
          <w:color w:val="000000"/>
        </w:rPr>
        <w:t xml:space="preserve"> na brodovima Ratne mornarice Talijanske Republike, predlaže se nastavak provedbe aktivnosti po istom mod</w:t>
      </w:r>
      <w:r w:rsidR="0057050A">
        <w:rPr>
          <w:color w:val="000000"/>
        </w:rPr>
        <w:t>elu</w:t>
      </w:r>
      <w:r w:rsidR="003F35AB">
        <w:rPr>
          <w:color w:val="000000"/>
        </w:rPr>
        <w:t>, čime se dodatno unaprjeđuje bilateralna obrambena suradnja s Talijanskom Republikom.</w:t>
      </w:r>
      <w:r w:rsidR="003A08D5">
        <w:rPr>
          <w:color w:val="000000"/>
        </w:rPr>
        <w:t xml:space="preserve"> </w:t>
      </w:r>
    </w:p>
    <w:p w14:paraId="6BD934BE" w14:textId="77777777" w:rsidR="00C30C3E" w:rsidRPr="005E6CEB" w:rsidRDefault="00C30C3E" w:rsidP="00304C94">
      <w:pPr>
        <w:jc w:val="both"/>
        <w:rPr>
          <w:color w:val="000000"/>
        </w:rPr>
      </w:pPr>
    </w:p>
    <w:p w14:paraId="6BD934BF" w14:textId="77777777" w:rsidR="001C302F" w:rsidRPr="005E6CEB" w:rsidRDefault="00BF57D9" w:rsidP="00BF57D9">
      <w:pPr>
        <w:autoSpaceDE w:val="0"/>
        <w:autoSpaceDN w:val="0"/>
        <w:adjustRightInd w:val="0"/>
        <w:ind w:firstLine="708"/>
        <w:rPr>
          <w:b/>
          <w:bCs/>
          <w:color w:val="000000"/>
        </w:rPr>
      </w:pPr>
      <w:r>
        <w:rPr>
          <w:b/>
          <w:bCs/>
          <w:color w:val="000000"/>
        </w:rPr>
        <w:t>IV.</w:t>
      </w:r>
      <w:r>
        <w:rPr>
          <w:b/>
          <w:bCs/>
          <w:color w:val="000000"/>
        </w:rPr>
        <w:tab/>
      </w:r>
      <w:r w:rsidR="001C302F" w:rsidRPr="005E6CEB">
        <w:rPr>
          <w:b/>
          <w:bCs/>
          <w:color w:val="000000"/>
        </w:rPr>
        <w:t>POTREBNA FINANCIJSKA SREDSTVA</w:t>
      </w:r>
    </w:p>
    <w:p w14:paraId="6BD934C0" w14:textId="77777777" w:rsidR="00B845F9" w:rsidRPr="005E6CEB" w:rsidRDefault="00B845F9" w:rsidP="00304C94">
      <w:pPr>
        <w:rPr>
          <w:color w:val="000000"/>
        </w:rPr>
      </w:pPr>
    </w:p>
    <w:p w14:paraId="6BD934C1" w14:textId="77777777" w:rsidR="003C70A6" w:rsidRDefault="006D5F66" w:rsidP="002E11FC">
      <w:pPr>
        <w:autoSpaceDE w:val="0"/>
        <w:autoSpaceDN w:val="0"/>
        <w:adjustRightInd w:val="0"/>
        <w:ind w:firstLine="708"/>
        <w:jc w:val="both"/>
      </w:pPr>
      <w:r w:rsidRPr="006D5F66">
        <w:rPr>
          <w:bCs/>
        </w:rPr>
        <w:t>Potrebna sredstva za provedbu ove Odluke osigurana su na razdjelu i glavi Ministarstva obrane u Državnom proračunu za 2024. godinu i projekcijama za 2025. i 2026. godinu.</w:t>
      </w:r>
    </w:p>
    <w:p w14:paraId="6BD934C2" w14:textId="77777777" w:rsidR="00D03F2E" w:rsidRDefault="00D03F2E" w:rsidP="00D03F2E"/>
    <w:p w14:paraId="6BD934C3" w14:textId="77777777" w:rsidR="002E11FC" w:rsidRDefault="002E11FC">
      <w:r>
        <w:br w:type="page"/>
      </w:r>
    </w:p>
    <w:p w14:paraId="6BD934C4" w14:textId="027A7B75" w:rsidR="00EE2D1B" w:rsidRDefault="00EE2D1B" w:rsidP="00304C94">
      <w:pPr>
        <w:autoSpaceDE w:val="0"/>
        <w:autoSpaceDN w:val="0"/>
        <w:adjustRightInd w:val="0"/>
        <w:jc w:val="right"/>
        <w:rPr>
          <w:color w:val="000000"/>
        </w:rPr>
      </w:pPr>
    </w:p>
    <w:p w14:paraId="2FDED69A" w14:textId="7FF79835" w:rsidR="004A07D8" w:rsidRDefault="004A07D8" w:rsidP="00304C94">
      <w:pPr>
        <w:autoSpaceDE w:val="0"/>
        <w:autoSpaceDN w:val="0"/>
        <w:adjustRightInd w:val="0"/>
        <w:jc w:val="right"/>
        <w:rPr>
          <w:color w:val="000000"/>
        </w:rPr>
      </w:pPr>
    </w:p>
    <w:p w14:paraId="58973631" w14:textId="0FEA722F" w:rsidR="004A07D8" w:rsidRDefault="004A07D8" w:rsidP="00304C94">
      <w:pPr>
        <w:autoSpaceDE w:val="0"/>
        <w:autoSpaceDN w:val="0"/>
        <w:adjustRightInd w:val="0"/>
        <w:jc w:val="right"/>
        <w:rPr>
          <w:color w:val="000000"/>
        </w:rPr>
      </w:pPr>
    </w:p>
    <w:p w14:paraId="302B2D46" w14:textId="77777777" w:rsidR="004A07D8" w:rsidRDefault="004A07D8" w:rsidP="00304C94">
      <w:pPr>
        <w:autoSpaceDE w:val="0"/>
        <w:autoSpaceDN w:val="0"/>
        <w:adjustRightInd w:val="0"/>
        <w:jc w:val="right"/>
        <w:rPr>
          <w:color w:val="000000"/>
        </w:rPr>
      </w:pPr>
    </w:p>
    <w:p w14:paraId="6BD934C5" w14:textId="77777777" w:rsidR="00F61B09" w:rsidRPr="005E6CEB" w:rsidRDefault="00F6452B" w:rsidP="00304C9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EC618B" w:rsidRPr="005E6CEB">
        <w:rPr>
          <w:color w:val="000000"/>
        </w:rPr>
        <w:t>Na temelju članka 54. stavka 2. Zakona o obrani (Narodne novine, br. 73/13, 75/15, 27/16, 110/17</w:t>
      </w:r>
      <w:r w:rsidR="000D047F" w:rsidRPr="00456593">
        <w:t xml:space="preserve"> </w:t>
      </w:r>
      <w:r w:rsidR="000D047F" w:rsidRPr="000D047F">
        <w:t>– Odluka Ustavnog suda Republike Hrvatske,</w:t>
      </w:r>
      <w:r w:rsidR="00EC618B" w:rsidRPr="005E6CEB">
        <w:rPr>
          <w:color w:val="000000"/>
        </w:rPr>
        <w:t xml:space="preserve"> 30/18</w:t>
      </w:r>
      <w:r w:rsidR="00331A6A">
        <w:rPr>
          <w:color w:val="000000"/>
        </w:rPr>
        <w:t>,</w:t>
      </w:r>
      <w:r w:rsidR="000D047F">
        <w:rPr>
          <w:color w:val="000000"/>
        </w:rPr>
        <w:t xml:space="preserve"> 70/19</w:t>
      </w:r>
      <w:r w:rsidR="00331A6A">
        <w:rPr>
          <w:color w:val="000000"/>
        </w:rPr>
        <w:t xml:space="preserve"> i 155/23</w:t>
      </w:r>
      <w:r w:rsidR="00EC618B" w:rsidRPr="005E6CEB">
        <w:rPr>
          <w:color w:val="000000"/>
        </w:rPr>
        <w:t xml:space="preserve">), na prijedlog Vlade Republike Hrvatske i uz prethodnu suglasnost </w:t>
      </w:r>
      <w:r w:rsidR="0000323F" w:rsidRPr="005E6CEB">
        <w:rPr>
          <w:color w:val="000000"/>
        </w:rPr>
        <w:t>Predsjedni</w:t>
      </w:r>
      <w:r w:rsidR="0000323F">
        <w:rPr>
          <w:color w:val="000000"/>
        </w:rPr>
        <w:t>ka</w:t>
      </w:r>
      <w:r w:rsidR="0000323F" w:rsidRPr="005E6CEB">
        <w:rPr>
          <w:color w:val="000000"/>
        </w:rPr>
        <w:t xml:space="preserve"> </w:t>
      </w:r>
      <w:r w:rsidR="00EC618B" w:rsidRPr="005E6CEB">
        <w:rPr>
          <w:color w:val="000000"/>
        </w:rPr>
        <w:t>Republike Hrvatske, Hrvatski sabor na sjednici _______________ donio je</w:t>
      </w:r>
    </w:p>
    <w:p w14:paraId="6BD934C6" w14:textId="77777777" w:rsidR="00EC618B" w:rsidRPr="005E6CEB" w:rsidRDefault="00EC618B" w:rsidP="00304C94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</w:rPr>
      </w:pPr>
    </w:p>
    <w:p w14:paraId="6BD934C7" w14:textId="77777777" w:rsidR="00AD25FC" w:rsidRDefault="00AD25FC" w:rsidP="00F4633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BD934C8" w14:textId="77777777" w:rsidR="00E2531D" w:rsidRDefault="00E2531D" w:rsidP="00F4633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521DC">
        <w:rPr>
          <w:b/>
          <w:bCs/>
          <w:color w:val="000000"/>
        </w:rPr>
        <w:t>O</w:t>
      </w:r>
      <w:r w:rsidR="004071ED" w:rsidRPr="00D521DC">
        <w:rPr>
          <w:b/>
          <w:bCs/>
          <w:color w:val="000000"/>
        </w:rPr>
        <w:t xml:space="preserve"> </w:t>
      </w:r>
      <w:r w:rsidRPr="00D521DC">
        <w:rPr>
          <w:b/>
          <w:bCs/>
          <w:color w:val="000000"/>
        </w:rPr>
        <w:t>D</w:t>
      </w:r>
      <w:r w:rsidR="004071ED" w:rsidRPr="00D521DC">
        <w:rPr>
          <w:b/>
          <w:bCs/>
          <w:color w:val="000000"/>
        </w:rPr>
        <w:t xml:space="preserve"> </w:t>
      </w:r>
      <w:r w:rsidRPr="00D521DC">
        <w:rPr>
          <w:b/>
          <w:bCs/>
          <w:color w:val="000000"/>
        </w:rPr>
        <w:t>L</w:t>
      </w:r>
      <w:r w:rsidR="004071ED" w:rsidRPr="00D521DC">
        <w:rPr>
          <w:b/>
          <w:bCs/>
          <w:color w:val="000000"/>
        </w:rPr>
        <w:t xml:space="preserve"> </w:t>
      </w:r>
      <w:r w:rsidRPr="00D521DC">
        <w:rPr>
          <w:b/>
          <w:bCs/>
          <w:color w:val="000000"/>
        </w:rPr>
        <w:t>U</w:t>
      </w:r>
      <w:r w:rsidR="004071ED" w:rsidRPr="00D521DC">
        <w:rPr>
          <w:b/>
          <w:bCs/>
          <w:color w:val="000000"/>
        </w:rPr>
        <w:t xml:space="preserve"> </w:t>
      </w:r>
      <w:r w:rsidRPr="00D521DC">
        <w:rPr>
          <w:b/>
          <w:bCs/>
          <w:color w:val="000000"/>
        </w:rPr>
        <w:t>K</w:t>
      </w:r>
      <w:r w:rsidR="004071ED" w:rsidRPr="00D521DC">
        <w:rPr>
          <w:b/>
          <w:bCs/>
          <w:color w:val="000000"/>
        </w:rPr>
        <w:t xml:space="preserve"> </w:t>
      </w:r>
      <w:r w:rsidRPr="00D521DC">
        <w:rPr>
          <w:b/>
          <w:bCs/>
          <w:color w:val="000000"/>
        </w:rPr>
        <w:t>U</w:t>
      </w:r>
    </w:p>
    <w:p w14:paraId="6BD934C9" w14:textId="77777777" w:rsidR="00F6452B" w:rsidRPr="00D521DC" w:rsidRDefault="00F6452B" w:rsidP="00304C94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</w:rPr>
      </w:pPr>
    </w:p>
    <w:p w14:paraId="6BD934CA" w14:textId="77777777" w:rsidR="005E5880" w:rsidRPr="00D521DC" w:rsidRDefault="005E5880" w:rsidP="00304C9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521DC">
        <w:rPr>
          <w:b/>
          <w:bCs/>
          <w:color w:val="000000"/>
        </w:rPr>
        <w:t xml:space="preserve">O SUDJELOVANJU </w:t>
      </w:r>
      <w:r w:rsidR="0095006C">
        <w:rPr>
          <w:b/>
          <w:bCs/>
          <w:color w:val="000000"/>
        </w:rPr>
        <w:t xml:space="preserve">PRIPADNIKA </w:t>
      </w:r>
      <w:r w:rsidRPr="00D521DC">
        <w:rPr>
          <w:b/>
          <w:bCs/>
          <w:color w:val="000000"/>
        </w:rPr>
        <w:t xml:space="preserve">ORUŽANIH SNAGA </w:t>
      </w:r>
      <w:r w:rsidRPr="00D521DC">
        <w:rPr>
          <w:rFonts w:eastAsia="Calibri"/>
          <w:b/>
          <w:color w:val="000000"/>
          <w:lang w:eastAsia="en-US"/>
        </w:rPr>
        <w:t xml:space="preserve">REPUBLIKE HRVATSKE </w:t>
      </w:r>
      <w:r w:rsidR="00595366">
        <w:rPr>
          <w:rFonts w:eastAsia="Calibri"/>
          <w:b/>
          <w:color w:val="000000"/>
          <w:lang w:eastAsia="en-US"/>
        </w:rPr>
        <w:t xml:space="preserve">U </w:t>
      </w:r>
      <w:r w:rsidR="0022745E">
        <w:rPr>
          <w:rFonts w:eastAsia="Calibri"/>
          <w:b/>
          <w:color w:val="000000"/>
          <w:lang w:eastAsia="en-US"/>
        </w:rPr>
        <w:t>AKTIVNOSTI</w:t>
      </w:r>
      <w:r w:rsidR="003A08D5">
        <w:rPr>
          <w:rFonts w:eastAsia="Calibri"/>
          <w:b/>
          <w:color w:val="000000"/>
          <w:lang w:eastAsia="en-US"/>
        </w:rPr>
        <w:t xml:space="preserve"> </w:t>
      </w:r>
      <w:r w:rsidR="00634EB3">
        <w:rPr>
          <w:b/>
        </w:rPr>
        <w:t xml:space="preserve">STALNE </w:t>
      </w:r>
      <w:r w:rsidR="00595366">
        <w:rPr>
          <w:b/>
        </w:rPr>
        <w:t>NATO SKUPINE</w:t>
      </w:r>
      <w:r w:rsidR="00595366" w:rsidRPr="00595366">
        <w:rPr>
          <w:b/>
        </w:rPr>
        <w:t xml:space="preserve"> PROTUMINSKIH SNAGA </w:t>
      </w:r>
      <w:r w:rsidR="00C06A12" w:rsidRPr="00146F3A">
        <w:rPr>
          <w:b/>
        </w:rPr>
        <w:t>2</w:t>
      </w:r>
      <w:r w:rsidR="00D863FC">
        <w:rPr>
          <w:b/>
        </w:rPr>
        <w:t xml:space="preserve"> </w:t>
      </w:r>
    </w:p>
    <w:p w14:paraId="6BD934CB" w14:textId="77777777" w:rsidR="00E2531D" w:rsidRPr="005E6CEB" w:rsidRDefault="00E2531D" w:rsidP="00304C94">
      <w:pPr>
        <w:pStyle w:val="NormalWeb"/>
        <w:jc w:val="center"/>
        <w:rPr>
          <w:b/>
          <w:color w:val="000000"/>
        </w:rPr>
      </w:pPr>
      <w:r w:rsidRPr="005E6CEB">
        <w:rPr>
          <w:b/>
          <w:color w:val="000000"/>
        </w:rPr>
        <w:t>I.</w:t>
      </w:r>
    </w:p>
    <w:p w14:paraId="6BD934CC" w14:textId="77777777" w:rsidR="00BE72F5" w:rsidRPr="005E6CEB" w:rsidRDefault="004071ED" w:rsidP="00304C94">
      <w:pPr>
        <w:pStyle w:val="t-9-8"/>
        <w:jc w:val="both"/>
        <w:rPr>
          <w:rFonts w:eastAsia="Times New Roman"/>
          <w:color w:val="000000"/>
          <w:lang w:eastAsia="hr-HR" w:bidi="ta-IN"/>
        </w:rPr>
      </w:pPr>
      <w:r w:rsidRPr="005E6CEB">
        <w:rPr>
          <w:color w:val="000000"/>
        </w:rPr>
        <w:tab/>
      </w:r>
      <w:r w:rsidR="00BE72F5" w:rsidRPr="005E6CEB">
        <w:rPr>
          <w:rFonts w:eastAsia="Times New Roman"/>
          <w:color w:val="000000"/>
          <w:lang w:eastAsia="hr-HR" w:bidi="ta-IN"/>
        </w:rPr>
        <w:t xml:space="preserve">U </w:t>
      </w:r>
      <w:r w:rsidR="003A08D5">
        <w:rPr>
          <w:rFonts w:eastAsia="Times New Roman"/>
          <w:color w:val="000000"/>
          <w:lang w:eastAsia="hr-HR" w:bidi="ta-IN"/>
        </w:rPr>
        <w:t xml:space="preserve">aktivnosti </w:t>
      </w:r>
      <w:r w:rsidR="00634EB3">
        <w:rPr>
          <w:rFonts w:eastAsia="Times New Roman"/>
          <w:color w:val="000000"/>
          <w:lang w:eastAsia="hr-HR" w:bidi="ta-IN"/>
        </w:rPr>
        <w:t xml:space="preserve">Stalne </w:t>
      </w:r>
      <w:r w:rsidR="00595366">
        <w:t xml:space="preserve">NATO skupine </w:t>
      </w:r>
      <w:proofErr w:type="spellStart"/>
      <w:r w:rsidR="00595366">
        <w:t>protuminskih</w:t>
      </w:r>
      <w:proofErr w:type="spellEnd"/>
      <w:r w:rsidR="00595366">
        <w:t xml:space="preserve"> snaga </w:t>
      </w:r>
      <w:r w:rsidR="0002625C">
        <w:rPr>
          <w:color w:val="000000"/>
        </w:rPr>
        <w:t>2</w:t>
      </w:r>
      <w:r w:rsidR="00776E21">
        <w:rPr>
          <w:color w:val="000000"/>
        </w:rPr>
        <w:t xml:space="preserve"> </w:t>
      </w:r>
      <w:r w:rsidR="00BE72F5" w:rsidRPr="005E6CEB">
        <w:rPr>
          <w:rFonts w:eastAsia="Times New Roman"/>
          <w:color w:val="000000"/>
          <w:lang w:eastAsia="hr-HR" w:bidi="ta-IN"/>
        </w:rPr>
        <w:t>upućuj</w:t>
      </w:r>
      <w:r w:rsidR="004031EF">
        <w:rPr>
          <w:rFonts w:eastAsia="Times New Roman"/>
          <w:color w:val="000000"/>
          <w:lang w:eastAsia="hr-HR" w:bidi="ta-IN"/>
        </w:rPr>
        <w:t>e</w:t>
      </w:r>
      <w:r w:rsidR="00BE72F5" w:rsidRPr="005E6CEB">
        <w:rPr>
          <w:rFonts w:eastAsia="Times New Roman"/>
          <w:color w:val="000000"/>
          <w:lang w:eastAsia="hr-HR" w:bidi="ta-IN"/>
        </w:rPr>
        <w:t xml:space="preserve"> se u</w:t>
      </w:r>
      <w:r w:rsidR="004031EF">
        <w:rPr>
          <w:rFonts w:eastAsia="Times New Roman"/>
          <w:color w:val="000000"/>
          <w:lang w:eastAsia="hr-HR" w:bidi="ta-IN"/>
        </w:rPr>
        <w:t xml:space="preserve"> 202</w:t>
      </w:r>
      <w:r w:rsidR="00EE2D1B">
        <w:rPr>
          <w:rFonts w:eastAsia="Times New Roman"/>
          <w:color w:val="000000"/>
          <w:lang w:eastAsia="hr-HR" w:bidi="ta-IN"/>
        </w:rPr>
        <w:t>5</w:t>
      </w:r>
      <w:r w:rsidR="004031EF">
        <w:rPr>
          <w:rFonts w:eastAsia="Times New Roman"/>
          <w:color w:val="000000"/>
          <w:lang w:eastAsia="hr-HR" w:bidi="ta-IN"/>
        </w:rPr>
        <w:t>. i</w:t>
      </w:r>
      <w:r w:rsidR="00BE72F5" w:rsidRPr="005E6CEB">
        <w:rPr>
          <w:rFonts w:eastAsia="Times New Roman"/>
          <w:color w:val="000000"/>
          <w:lang w:eastAsia="hr-HR" w:bidi="ta-IN"/>
        </w:rPr>
        <w:t xml:space="preserve"> 20</w:t>
      </w:r>
      <w:r w:rsidR="00A87643">
        <w:rPr>
          <w:rFonts w:eastAsia="Times New Roman"/>
          <w:color w:val="000000"/>
          <w:lang w:eastAsia="hr-HR" w:bidi="ta-IN"/>
        </w:rPr>
        <w:t>2</w:t>
      </w:r>
      <w:r w:rsidR="00EE2D1B">
        <w:rPr>
          <w:rFonts w:eastAsia="Times New Roman"/>
          <w:color w:val="000000"/>
          <w:lang w:eastAsia="hr-HR" w:bidi="ta-IN"/>
        </w:rPr>
        <w:t>6</w:t>
      </w:r>
      <w:r w:rsidR="00BE72F5" w:rsidRPr="005E6CEB">
        <w:rPr>
          <w:rFonts w:eastAsia="Times New Roman"/>
          <w:color w:val="000000"/>
          <w:lang w:eastAsia="hr-HR" w:bidi="ta-IN"/>
        </w:rPr>
        <w:t>.</w:t>
      </w:r>
      <w:r w:rsidR="00BF57D9">
        <w:rPr>
          <w:rFonts w:eastAsia="Times New Roman"/>
          <w:color w:val="000000"/>
          <w:lang w:eastAsia="hr-HR" w:bidi="ta-IN"/>
        </w:rPr>
        <w:t xml:space="preserve"> godini</w:t>
      </w:r>
      <w:r w:rsidR="00BE72F5" w:rsidRPr="005E6CEB">
        <w:rPr>
          <w:rFonts w:eastAsia="Times New Roman"/>
          <w:color w:val="000000"/>
          <w:lang w:eastAsia="hr-HR" w:bidi="ta-IN"/>
        </w:rPr>
        <w:t xml:space="preserve"> </w:t>
      </w:r>
      <w:r w:rsidR="004031EF">
        <w:rPr>
          <w:rFonts w:eastAsia="Times New Roman"/>
          <w:color w:val="000000"/>
          <w:lang w:eastAsia="hr-HR" w:bidi="ta-IN"/>
        </w:rPr>
        <w:t>d</w:t>
      </w:r>
      <w:r w:rsidR="00F6452B">
        <w:rPr>
          <w:rFonts w:eastAsia="Times New Roman"/>
          <w:color w:val="000000"/>
          <w:lang w:eastAsia="hr-HR" w:bidi="ta-IN"/>
        </w:rPr>
        <w:t>o pet</w:t>
      </w:r>
      <w:r w:rsidR="008F3641">
        <w:rPr>
          <w:rFonts w:eastAsia="Times New Roman"/>
          <w:color w:val="000000"/>
          <w:lang w:eastAsia="hr-HR" w:bidi="ta-IN"/>
        </w:rPr>
        <w:t xml:space="preserve"> </w:t>
      </w:r>
      <w:r w:rsidR="00BE72F5" w:rsidRPr="005E6CEB">
        <w:rPr>
          <w:rFonts w:eastAsia="Times New Roman"/>
          <w:color w:val="000000"/>
          <w:lang w:eastAsia="hr-HR" w:bidi="ta-IN"/>
        </w:rPr>
        <w:t>pripadnika Oružanih snaga Republike</w:t>
      </w:r>
      <w:r w:rsidR="004D2422">
        <w:rPr>
          <w:rFonts w:eastAsia="Times New Roman"/>
          <w:color w:val="000000"/>
          <w:lang w:eastAsia="hr-HR" w:bidi="ta-IN"/>
        </w:rPr>
        <w:t xml:space="preserve"> Hrvatske</w:t>
      </w:r>
      <w:r w:rsidR="00F6452B">
        <w:rPr>
          <w:rFonts w:eastAsia="Times New Roman"/>
          <w:color w:val="000000"/>
          <w:lang w:eastAsia="hr-HR" w:bidi="ta-IN"/>
        </w:rPr>
        <w:t xml:space="preserve">, </w:t>
      </w:r>
      <w:r w:rsidR="00984734">
        <w:rPr>
          <w:rFonts w:eastAsia="Times New Roman"/>
          <w:color w:val="000000"/>
          <w:lang w:eastAsia="hr-HR" w:bidi="ta-IN"/>
        </w:rPr>
        <w:t>uz</w:t>
      </w:r>
      <w:r w:rsidR="004031EF">
        <w:rPr>
          <w:rFonts w:eastAsia="Times New Roman"/>
          <w:color w:val="000000"/>
          <w:lang w:eastAsia="hr-HR" w:bidi="ta-IN"/>
        </w:rPr>
        <w:t xml:space="preserve"> mogućno</w:t>
      </w:r>
      <w:r w:rsidR="00984734">
        <w:rPr>
          <w:rFonts w:eastAsia="Times New Roman"/>
          <w:color w:val="000000"/>
          <w:lang w:eastAsia="hr-HR" w:bidi="ta-IN"/>
        </w:rPr>
        <w:t>st</w:t>
      </w:r>
      <w:r w:rsidR="004031EF">
        <w:rPr>
          <w:rFonts w:eastAsia="Times New Roman"/>
          <w:color w:val="000000"/>
          <w:lang w:eastAsia="hr-HR" w:bidi="ta-IN"/>
        </w:rPr>
        <w:t xml:space="preserve"> rotaci</w:t>
      </w:r>
      <w:r w:rsidR="00BC1C10">
        <w:rPr>
          <w:rFonts w:eastAsia="Times New Roman"/>
          <w:color w:val="000000"/>
          <w:lang w:eastAsia="hr-HR" w:bidi="ta-IN"/>
        </w:rPr>
        <w:t>j</w:t>
      </w:r>
      <w:r w:rsidR="004031EF">
        <w:rPr>
          <w:rFonts w:eastAsia="Times New Roman"/>
          <w:color w:val="000000"/>
          <w:lang w:eastAsia="hr-HR" w:bidi="ta-IN"/>
        </w:rPr>
        <w:t xml:space="preserve">e. </w:t>
      </w:r>
      <w:r w:rsidR="008F3641">
        <w:rPr>
          <w:rFonts w:eastAsia="Times New Roman"/>
          <w:color w:val="000000"/>
          <w:lang w:eastAsia="hr-HR" w:bidi="ta-IN"/>
        </w:rPr>
        <w:t xml:space="preserve"> </w:t>
      </w:r>
    </w:p>
    <w:p w14:paraId="6BD934CD" w14:textId="77777777" w:rsidR="00BE72F5" w:rsidRPr="005E6CEB" w:rsidRDefault="00BE72F5" w:rsidP="00304C94">
      <w:pPr>
        <w:spacing w:before="100" w:beforeAutospacing="1" w:after="100" w:afterAutospacing="1"/>
        <w:jc w:val="center"/>
        <w:rPr>
          <w:b/>
          <w:color w:val="000000"/>
          <w:lang w:bidi="ta-IN"/>
        </w:rPr>
      </w:pPr>
      <w:r w:rsidRPr="005E6CEB">
        <w:rPr>
          <w:b/>
          <w:color w:val="000000"/>
          <w:lang w:bidi="ta-IN"/>
        </w:rPr>
        <w:t>II.</w:t>
      </w:r>
    </w:p>
    <w:p w14:paraId="6BD934CE" w14:textId="77777777" w:rsidR="00D053ED" w:rsidRPr="00154F1B" w:rsidRDefault="00D053ED" w:rsidP="00304C94">
      <w:pPr>
        <w:spacing w:before="100" w:beforeAutospacing="1" w:after="100" w:afterAutospacing="1"/>
        <w:ind w:firstLine="708"/>
        <w:jc w:val="both"/>
        <w:rPr>
          <w:color w:val="000000"/>
          <w:lang w:bidi="ta-IN"/>
        </w:rPr>
      </w:pPr>
      <w:r w:rsidRPr="00154F1B">
        <w:rPr>
          <w:color w:val="000000"/>
          <w:lang w:bidi="ta-IN"/>
        </w:rPr>
        <w:t xml:space="preserve">Izvješće o sudjelovanju </w:t>
      </w:r>
      <w:r w:rsidR="00D1012A">
        <w:rPr>
          <w:color w:val="000000"/>
          <w:lang w:bidi="ta-IN"/>
        </w:rPr>
        <w:t xml:space="preserve">pripadnika </w:t>
      </w:r>
      <w:r w:rsidRPr="00154F1B">
        <w:t>Oružanih snaga R</w:t>
      </w:r>
      <w:r w:rsidR="00F4633A">
        <w:t xml:space="preserve">epublike Hrvatske u aktivnosti iz točke </w:t>
      </w:r>
      <w:r w:rsidRPr="00154F1B">
        <w:rPr>
          <w:color w:val="000000"/>
          <w:lang w:bidi="ta-IN"/>
        </w:rPr>
        <w:t xml:space="preserve">I. ove Odluke </w:t>
      </w:r>
      <w:r w:rsidR="00675891">
        <w:rPr>
          <w:color w:val="000000"/>
          <w:lang w:bidi="ta-IN"/>
        </w:rPr>
        <w:t xml:space="preserve">bit će </w:t>
      </w:r>
      <w:r w:rsidR="00C01303">
        <w:rPr>
          <w:color w:val="000000"/>
          <w:lang w:bidi="ta-IN"/>
        </w:rPr>
        <w:t xml:space="preserve">dio </w:t>
      </w:r>
      <w:r w:rsidR="00154F1B">
        <w:rPr>
          <w:color w:val="000000"/>
          <w:lang w:bidi="ta-IN"/>
        </w:rPr>
        <w:t>G</w:t>
      </w:r>
      <w:r w:rsidRPr="00154F1B">
        <w:rPr>
          <w:color w:val="000000"/>
          <w:lang w:bidi="ta-IN"/>
        </w:rPr>
        <w:t>odi</w:t>
      </w:r>
      <w:r w:rsidR="00C01303">
        <w:rPr>
          <w:color w:val="000000"/>
          <w:lang w:bidi="ta-IN"/>
        </w:rPr>
        <w:t>šnjeg izvješća</w:t>
      </w:r>
      <w:r w:rsidR="00154F1B">
        <w:rPr>
          <w:color w:val="000000"/>
          <w:lang w:bidi="ta-IN"/>
        </w:rPr>
        <w:t xml:space="preserve"> </w:t>
      </w:r>
      <w:r w:rsidRPr="00154F1B">
        <w:rPr>
          <w:color w:val="000000"/>
          <w:lang w:bidi="ta-IN"/>
        </w:rPr>
        <w:t xml:space="preserve">o obrani koje Vlada Republike Hrvatske </w:t>
      </w:r>
      <w:r w:rsidR="00154F1B">
        <w:rPr>
          <w:color w:val="000000"/>
          <w:lang w:bidi="ta-IN"/>
        </w:rPr>
        <w:t xml:space="preserve">podnosi </w:t>
      </w:r>
      <w:r w:rsidRPr="00154F1B">
        <w:rPr>
          <w:color w:val="000000"/>
          <w:lang w:bidi="ta-IN"/>
        </w:rPr>
        <w:t xml:space="preserve">Hrvatskome saboru. </w:t>
      </w:r>
    </w:p>
    <w:p w14:paraId="6BD934CF" w14:textId="77777777" w:rsidR="00BE72F5" w:rsidRPr="005E6CEB" w:rsidRDefault="004F0831" w:rsidP="00304C94">
      <w:pPr>
        <w:spacing w:before="100" w:beforeAutospacing="1" w:after="100" w:afterAutospacing="1"/>
        <w:jc w:val="center"/>
        <w:rPr>
          <w:b/>
          <w:color w:val="000000"/>
          <w:lang w:bidi="ta-IN"/>
        </w:rPr>
      </w:pPr>
      <w:r w:rsidRPr="005E6CEB">
        <w:rPr>
          <w:b/>
          <w:color w:val="000000"/>
          <w:lang w:bidi="ta-IN"/>
        </w:rPr>
        <w:t>III</w:t>
      </w:r>
      <w:r w:rsidR="00BE72F5" w:rsidRPr="005E6CEB">
        <w:rPr>
          <w:b/>
          <w:color w:val="000000"/>
          <w:lang w:bidi="ta-IN"/>
        </w:rPr>
        <w:t>.</w:t>
      </w:r>
    </w:p>
    <w:p w14:paraId="6BD934D0" w14:textId="77777777" w:rsidR="00E95A4A" w:rsidRPr="005E6CEB" w:rsidRDefault="0087329E" w:rsidP="00304C94">
      <w:pPr>
        <w:spacing w:before="120"/>
        <w:ind w:firstLine="708"/>
        <w:jc w:val="both"/>
        <w:rPr>
          <w:color w:val="000000"/>
        </w:rPr>
      </w:pPr>
      <w:r w:rsidRPr="005E6CEB">
        <w:rPr>
          <w:color w:val="000000"/>
        </w:rPr>
        <w:t>Ova Odluka stupa na snagu osmoga dana od dana objave u Narodnim novinama.</w:t>
      </w:r>
    </w:p>
    <w:p w14:paraId="6BD934D1" w14:textId="77777777" w:rsidR="0087329E" w:rsidRPr="005E6CEB" w:rsidRDefault="0087329E" w:rsidP="00304C9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BD934D2" w14:textId="77777777" w:rsidR="00E95A4A" w:rsidRPr="00BF57D9" w:rsidRDefault="00E95A4A" w:rsidP="00304C94">
      <w:pPr>
        <w:spacing w:before="120"/>
        <w:ind w:firstLine="708"/>
        <w:jc w:val="both"/>
        <w:rPr>
          <w:b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520"/>
        <w:gridCol w:w="3574"/>
      </w:tblGrid>
      <w:tr w:rsidR="00F6452B" w:rsidRPr="00BF57D9" w14:paraId="6BD934DB" w14:textId="77777777" w:rsidTr="005F4BD8">
        <w:tc>
          <w:tcPr>
            <w:tcW w:w="3528" w:type="dxa"/>
            <w:shd w:val="clear" w:color="auto" w:fill="auto"/>
          </w:tcPr>
          <w:p w14:paraId="6BD934D3" w14:textId="77777777" w:rsidR="00F6452B" w:rsidRPr="00BF57D9" w:rsidRDefault="00BF57D9" w:rsidP="00304C94">
            <w:pPr>
              <w:rPr>
                <w:b/>
                <w:color w:val="000000"/>
              </w:rPr>
            </w:pPr>
            <w:r w:rsidRPr="00BF57D9">
              <w:rPr>
                <w:b/>
                <w:color w:val="000000"/>
              </w:rPr>
              <w:t>KLASA:</w:t>
            </w:r>
          </w:p>
          <w:p w14:paraId="6BD934D4" w14:textId="77777777" w:rsidR="00F6452B" w:rsidRPr="00BF57D9" w:rsidRDefault="00F6452B" w:rsidP="00304C94">
            <w:pPr>
              <w:rPr>
                <w:b/>
                <w:color w:val="000000"/>
              </w:rPr>
            </w:pPr>
            <w:r w:rsidRPr="00BF57D9">
              <w:rPr>
                <w:b/>
                <w:color w:val="000000"/>
              </w:rPr>
              <w:t>Zagreb,</w:t>
            </w:r>
          </w:p>
          <w:p w14:paraId="6BD934D5" w14:textId="77777777" w:rsidR="00F6452B" w:rsidRPr="00BF57D9" w:rsidRDefault="00F6452B" w:rsidP="00304C94">
            <w:pPr>
              <w:pStyle w:val="NormalWeb"/>
              <w:rPr>
                <w:b/>
                <w:color w:val="000000"/>
              </w:rPr>
            </w:pPr>
          </w:p>
        </w:tc>
        <w:tc>
          <w:tcPr>
            <w:tcW w:w="2520" w:type="dxa"/>
            <w:shd w:val="clear" w:color="auto" w:fill="auto"/>
          </w:tcPr>
          <w:p w14:paraId="6BD934D6" w14:textId="77777777" w:rsidR="00F6452B" w:rsidRPr="00BF57D9" w:rsidRDefault="00F6452B" w:rsidP="00304C94">
            <w:pPr>
              <w:jc w:val="center"/>
              <w:rPr>
                <w:b/>
                <w:color w:val="000000"/>
              </w:rPr>
            </w:pPr>
          </w:p>
          <w:p w14:paraId="6BD934D7" w14:textId="77777777" w:rsidR="00F6452B" w:rsidRPr="00BF57D9" w:rsidRDefault="00F6452B" w:rsidP="00304C94">
            <w:pPr>
              <w:jc w:val="center"/>
              <w:rPr>
                <w:b/>
                <w:color w:val="000000"/>
              </w:rPr>
            </w:pPr>
          </w:p>
          <w:p w14:paraId="6BD934D8" w14:textId="77777777" w:rsidR="00F6452B" w:rsidRPr="00BF57D9" w:rsidRDefault="00F6452B" w:rsidP="00304C9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74" w:type="dxa"/>
            <w:shd w:val="clear" w:color="auto" w:fill="auto"/>
          </w:tcPr>
          <w:p w14:paraId="6BD934D9" w14:textId="77777777" w:rsidR="00F6452B" w:rsidRPr="00BF57D9" w:rsidRDefault="00F6452B" w:rsidP="00304C94">
            <w:pPr>
              <w:pStyle w:val="NormalWeb"/>
              <w:jc w:val="center"/>
              <w:rPr>
                <w:b/>
                <w:color w:val="000000"/>
              </w:rPr>
            </w:pPr>
          </w:p>
          <w:p w14:paraId="6BD934DA" w14:textId="77777777" w:rsidR="00F6452B" w:rsidRPr="00BF57D9" w:rsidRDefault="00F6452B" w:rsidP="00304C94">
            <w:pPr>
              <w:pStyle w:val="NormalWeb"/>
              <w:jc w:val="center"/>
              <w:rPr>
                <w:b/>
                <w:color w:val="000000"/>
              </w:rPr>
            </w:pPr>
          </w:p>
        </w:tc>
      </w:tr>
      <w:tr w:rsidR="00F6452B" w:rsidRPr="005E6CEB" w14:paraId="6BD934DF" w14:textId="77777777" w:rsidTr="00BA5EA4">
        <w:trPr>
          <w:trHeight w:val="310"/>
        </w:trPr>
        <w:tc>
          <w:tcPr>
            <w:tcW w:w="3528" w:type="dxa"/>
            <w:shd w:val="clear" w:color="auto" w:fill="auto"/>
          </w:tcPr>
          <w:p w14:paraId="6BD934DC" w14:textId="77777777" w:rsidR="00F6452B" w:rsidRPr="005E6CEB" w:rsidRDefault="00F6452B" w:rsidP="00304C94">
            <w:pPr>
              <w:rPr>
                <w:b/>
                <w:color w:val="000000"/>
              </w:rPr>
            </w:pPr>
          </w:p>
        </w:tc>
        <w:tc>
          <w:tcPr>
            <w:tcW w:w="2520" w:type="dxa"/>
            <w:shd w:val="clear" w:color="auto" w:fill="auto"/>
          </w:tcPr>
          <w:p w14:paraId="6BD934DD" w14:textId="77777777" w:rsidR="00F6452B" w:rsidRPr="005E6CEB" w:rsidRDefault="00F6452B" w:rsidP="00304C94">
            <w:pPr>
              <w:pStyle w:val="NormalWeb"/>
              <w:rPr>
                <w:b/>
                <w:color w:val="000000"/>
              </w:rPr>
            </w:pPr>
            <w:r w:rsidRPr="005E6CEB">
              <w:rPr>
                <w:b/>
                <w:color w:val="000000"/>
              </w:rPr>
              <w:t>HRVATSKI SABOR</w:t>
            </w:r>
          </w:p>
        </w:tc>
        <w:tc>
          <w:tcPr>
            <w:tcW w:w="3574" w:type="dxa"/>
            <w:shd w:val="clear" w:color="auto" w:fill="auto"/>
          </w:tcPr>
          <w:p w14:paraId="6BD934DE" w14:textId="77777777" w:rsidR="00F6452B" w:rsidRPr="005E6CEB" w:rsidRDefault="00F6452B" w:rsidP="00304C94">
            <w:pPr>
              <w:pStyle w:val="NormalWeb"/>
              <w:rPr>
                <w:b/>
                <w:color w:val="000000"/>
              </w:rPr>
            </w:pPr>
          </w:p>
        </w:tc>
      </w:tr>
      <w:tr w:rsidR="00F6452B" w:rsidRPr="005E6CEB" w14:paraId="6BD934E5" w14:textId="77777777" w:rsidTr="005F4BD8">
        <w:tc>
          <w:tcPr>
            <w:tcW w:w="3528" w:type="dxa"/>
            <w:shd w:val="clear" w:color="auto" w:fill="auto"/>
          </w:tcPr>
          <w:p w14:paraId="6BD934E0" w14:textId="77777777" w:rsidR="00F6452B" w:rsidRPr="005E6CEB" w:rsidRDefault="00F6452B" w:rsidP="00304C94">
            <w:pPr>
              <w:pStyle w:val="NormalWeb"/>
              <w:jc w:val="center"/>
              <w:rPr>
                <w:b/>
                <w:color w:val="000000"/>
              </w:rPr>
            </w:pPr>
          </w:p>
        </w:tc>
        <w:tc>
          <w:tcPr>
            <w:tcW w:w="2520" w:type="dxa"/>
            <w:shd w:val="clear" w:color="auto" w:fill="auto"/>
          </w:tcPr>
          <w:p w14:paraId="6BD934E1" w14:textId="77777777" w:rsidR="00F6452B" w:rsidRPr="005E6CEB" w:rsidRDefault="00F6452B" w:rsidP="00304C94">
            <w:pPr>
              <w:pStyle w:val="NormalWeb"/>
              <w:jc w:val="center"/>
              <w:rPr>
                <w:b/>
                <w:color w:val="000000"/>
              </w:rPr>
            </w:pPr>
          </w:p>
        </w:tc>
        <w:tc>
          <w:tcPr>
            <w:tcW w:w="3574" w:type="dxa"/>
            <w:shd w:val="clear" w:color="auto" w:fill="auto"/>
          </w:tcPr>
          <w:p w14:paraId="6BD934E2" w14:textId="77777777" w:rsidR="00BF57D9" w:rsidRDefault="00BF57D9" w:rsidP="00304C9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6BD934E3" w14:textId="77777777" w:rsidR="00F6452B" w:rsidRPr="00BF57D9" w:rsidRDefault="00F6452B" w:rsidP="00BF57D9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57D9">
              <w:rPr>
                <w:b/>
                <w:color w:val="000000"/>
              </w:rPr>
              <w:t xml:space="preserve">Predsjednik Hrvatskoga sabora </w:t>
            </w:r>
          </w:p>
          <w:p w14:paraId="6BD934E4" w14:textId="77777777" w:rsidR="00F6452B" w:rsidRPr="00F6452B" w:rsidRDefault="00F6452B" w:rsidP="00FD3D1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F57D9">
              <w:rPr>
                <w:b/>
                <w:color w:val="000000"/>
              </w:rPr>
              <w:t>Gordan Jandroković</w:t>
            </w:r>
            <w:r w:rsidR="00FD3D1E">
              <w:rPr>
                <w:color w:val="000000"/>
              </w:rPr>
              <w:t xml:space="preserve"> </w:t>
            </w:r>
            <w:r w:rsidRPr="00F6452B">
              <w:rPr>
                <w:color w:val="000000"/>
              </w:rPr>
              <w:t xml:space="preserve"> </w:t>
            </w:r>
            <w:r w:rsidRPr="00F6452B">
              <w:rPr>
                <w:color w:val="000000"/>
              </w:rPr>
              <w:br/>
            </w:r>
          </w:p>
        </w:tc>
      </w:tr>
    </w:tbl>
    <w:p w14:paraId="6BD934E6" w14:textId="77777777" w:rsidR="00E95A4A" w:rsidRPr="005E6CEB" w:rsidRDefault="00E95A4A" w:rsidP="002E11FC">
      <w:pPr>
        <w:rPr>
          <w:rFonts w:eastAsia="Calibri"/>
          <w:b/>
          <w:color w:val="000000"/>
          <w:lang w:eastAsia="en-US"/>
        </w:rPr>
      </w:pPr>
    </w:p>
    <w:p w14:paraId="6BD934E7" w14:textId="77777777" w:rsidR="002E11FC" w:rsidRDefault="002E11FC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br w:type="page"/>
      </w:r>
    </w:p>
    <w:p w14:paraId="6BD934E8" w14:textId="77777777" w:rsidR="00163CB7" w:rsidRPr="005E6CEB" w:rsidRDefault="001C302F" w:rsidP="00304C94">
      <w:pPr>
        <w:jc w:val="center"/>
        <w:rPr>
          <w:rFonts w:eastAsia="Calibri"/>
          <w:b/>
          <w:color w:val="000000"/>
          <w:lang w:eastAsia="en-US"/>
        </w:rPr>
      </w:pPr>
      <w:r w:rsidRPr="005E6CEB">
        <w:rPr>
          <w:rFonts w:eastAsia="Calibri"/>
          <w:b/>
          <w:color w:val="000000"/>
          <w:lang w:eastAsia="en-US"/>
        </w:rPr>
        <w:lastRenderedPageBreak/>
        <w:t>O B R A Z L O Ž E NJ E</w:t>
      </w:r>
    </w:p>
    <w:p w14:paraId="6BD934E9" w14:textId="77777777" w:rsidR="00163CB7" w:rsidRPr="005E6CEB" w:rsidRDefault="00163CB7" w:rsidP="00304C94">
      <w:pPr>
        <w:autoSpaceDE w:val="0"/>
        <w:autoSpaceDN w:val="0"/>
        <w:adjustRightInd w:val="0"/>
        <w:rPr>
          <w:b/>
          <w:bCs/>
          <w:color w:val="000000"/>
        </w:rPr>
      </w:pPr>
    </w:p>
    <w:p w14:paraId="6BD934EA" w14:textId="77777777" w:rsidR="00154F1B" w:rsidRDefault="00CD7394" w:rsidP="00BF57D9">
      <w:pPr>
        <w:pStyle w:val="t-9-8"/>
        <w:ind w:firstLine="708"/>
        <w:jc w:val="both"/>
        <w:rPr>
          <w:rFonts w:eastAsia="Times New Roman"/>
          <w:color w:val="000000"/>
          <w:lang w:eastAsia="hr-HR" w:bidi="ta-IN"/>
        </w:rPr>
      </w:pPr>
      <w:r w:rsidRPr="005E6CEB">
        <w:rPr>
          <w:b/>
          <w:bCs/>
          <w:color w:val="000000"/>
        </w:rPr>
        <w:t>Točkom</w:t>
      </w:r>
      <w:r w:rsidR="001C302F" w:rsidRPr="005E6CEB">
        <w:rPr>
          <w:b/>
          <w:bCs/>
          <w:color w:val="000000"/>
        </w:rPr>
        <w:t xml:space="preserve"> I. </w:t>
      </w:r>
      <w:r w:rsidR="00BF57D9">
        <w:rPr>
          <w:b/>
          <w:bCs/>
          <w:color w:val="000000"/>
        </w:rPr>
        <w:tab/>
      </w:r>
      <w:r w:rsidR="00E00518" w:rsidRPr="005E6CEB">
        <w:rPr>
          <w:bCs/>
          <w:color w:val="000000"/>
        </w:rPr>
        <w:t>o</w:t>
      </w:r>
      <w:r w:rsidR="00BB5395" w:rsidRPr="005E6CEB">
        <w:rPr>
          <w:color w:val="000000"/>
        </w:rPr>
        <w:t xml:space="preserve">dređuje se da Hrvatski sabor donosi </w:t>
      </w:r>
      <w:r w:rsidR="00BF4D84" w:rsidRPr="005E6CEB">
        <w:rPr>
          <w:color w:val="000000"/>
        </w:rPr>
        <w:t>O</w:t>
      </w:r>
      <w:r w:rsidR="00BB5395" w:rsidRPr="005E6CEB">
        <w:rPr>
          <w:color w:val="000000"/>
        </w:rPr>
        <w:t xml:space="preserve">dluku o sudjelovanju </w:t>
      </w:r>
      <w:r w:rsidR="0095006C">
        <w:rPr>
          <w:color w:val="000000"/>
        </w:rPr>
        <w:t xml:space="preserve">pripadnika </w:t>
      </w:r>
      <w:r w:rsidR="00BB5395" w:rsidRPr="005E6CEB">
        <w:rPr>
          <w:color w:val="000000"/>
        </w:rPr>
        <w:t xml:space="preserve">Oružanih snaga Republike Hrvatske </w:t>
      </w:r>
      <w:r w:rsidR="009A3863">
        <w:rPr>
          <w:color w:val="000000"/>
        </w:rPr>
        <w:t>u aktivnosti</w:t>
      </w:r>
      <w:r w:rsidR="003A08D5">
        <w:rPr>
          <w:color w:val="000000"/>
        </w:rPr>
        <w:t xml:space="preserve"> </w:t>
      </w:r>
      <w:r w:rsidR="00634EB3">
        <w:rPr>
          <w:rFonts w:eastAsia="Times New Roman"/>
          <w:color w:val="000000"/>
          <w:lang w:eastAsia="hr-HR" w:bidi="ta-IN"/>
        </w:rPr>
        <w:t xml:space="preserve">Stalne </w:t>
      </w:r>
      <w:r w:rsidR="00595366">
        <w:t xml:space="preserve">NATO skupine </w:t>
      </w:r>
      <w:proofErr w:type="spellStart"/>
      <w:r w:rsidR="00595366">
        <w:t>protuminskih</w:t>
      </w:r>
      <w:proofErr w:type="spellEnd"/>
      <w:r w:rsidR="00595366">
        <w:t xml:space="preserve"> snaga</w:t>
      </w:r>
      <w:r w:rsidR="004D2422">
        <w:t xml:space="preserve"> 2</w:t>
      </w:r>
      <w:r w:rsidR="00C270AA" w:rsidRPr="005E6CEB">
        <w:rPr>
          <w:color w:val="000000"/>
        </w:rPr>
        <w:t xml:space="preserve">. </w:t>
      </w:r>
      <w:r w:rsidR="00BB5395" w:rsidRPr="005E6CEB">
        <w:rPr>
          <w:color w:val="000000"/>
        </w:rPr>
        <w:t xml:space="preserve">Pravni temelj za donošenje </w:t>
      </w:r>
      <w:r w:rsidR="00BF4D84" w:rsidRPr="005E6CEB">
        <w:rPr>
          <w:color w:val="000000"/>
        </w:rPr>
        <w:t>O</w:t>
      </w:r>
      <w:r w:rsidR="00BB5395" w:rsidRPr="005E6CEB">
        <w:rPr>
          <w:color w:val="000000"/>
        </w:rPr>
        <w:t>dluke Hrvatskog</w:t>
      </w:r>
      <w:r w:rsidR="00DF660B">
        <w:rPr>
          <w:color w:val="000000"/>
        </w:rPr>
        <w:t>a</w:t>
      </w:r>
      <w:r w:rsidR="00BB5395" w:rsidRPr="005E6CEB">
        <w:rPr>
          <w:color w:val="000000"/>
        </w:rPr>
        <w:t xml:space="preserve"> sabora je članak 7. stav</w:t>
      </w:r>
      <w:r w:rsidR="00C270AA" w:rsidRPr="005E6CEB">
        <w:rPr>
          <w:color w:val="000000"/>
        </w:rPr>
        <w:t>ak 5. Ustava Republike Hrvatske</w:t>
      </w:r>
      <w:r w:rsidR="00BB5395" w:rsidRPr="005E6CEB">
        <w:rPr>
          <w:color w:val="000000"/>
        </w:rPr>
        <w:t xml:space="preserve"> </w:t>
      </w:r>
      <w:r w:rsidR="00251ACC" w:rsidRPr="005E6CEB">
        <w:rPr>
          <w:color w:val="000000"/>
        </w:rPr>
        <w:t xml:space="preserve">(Narodne novine, br. 85/10 – pročišćeni tekst i 5/14 – Odluka Ustavnog suda Republike Hrvatske) </w:t>
      </w:r>
      <w:r w:rsidR="00BB5395" w:rsidRPr="005E6CEB">
        <w:rPr>
          <w:color w:val="000000"/>
        </w:rPr>
        <w:t>koji propisuje da Oružane snage Republike Hrvatske mogu prijeći njezine granice ili djelovati preko njezinih granica na temelju Odluke Hrvatskog</w:t>
      </w:r>
      <w:r w:rsidR="00DF660B">
        <w:rPr>
          <w:color w:val="000000"/>
        </w:rPr>
        <w:t>a</w:t>
      </w:r>
      <w:r w:rsidR="00BB5395" w:rsidRPr="005E6CEB">
        <w:rPr>
          <w:color w:val="000000"/>
        </w:rPr>
        <w:t xml:space="preserve"> sabora, koju predlaže Vlada Republike Hrvatske, uz prethodnu suglasnost </w:t>
      </w:r>
      <w:r w:rsidR="0000323F" w:rsidRPr="005E6CEB">
        <w:rPr>
          <w:color w:val="000000"/>
        </w:rPr>
        <w:t>Predsjedni</w:t>
      </w:r>
      <w:r w:rsidR="0000323F">
        <w:rPr>
          <w:color w:val="000000"/>
        </w:rPr>
        <w:t>ka</w:t>
      </w:r>
      <w:r w:rsidR="0000323F" w:rsidRPr="005E6CEB">
        <w:rPr>
          <w:color w:val="000000"/>
        </w:rPr>
        <w:t xml:space="preserve"> </w:t>
      </w:r>
      <w:r w:rsidR="00BB5395" w:rsidRPr="005E6CEB">
        <w:rPr>
          <w:color w:val="000000"/>
        </w:rPr>
        <w:t>Republike Hrvatske. Zakon o obr</w:t>
      </w:r>
      <w:r w:rsidR="00E00518" w:rsidRPr="005E6CEB">
        <w:rPr>
          <w:color w:val="000000"/>
        </w:rPr>
        <w:t xml:space="preserve">ani </w:t>
      </w:r>
      <w:r w:rsidR="00F23299" w:rsidRPr="005E6CEB">
        <w:rPr>
          <w:color w:val="000000"/>
        </w:rPr>
        <w:t>(Narodne novine, br. 73/13, 75/15, 27/16, 110/17</w:t>
      </w:r>
      <w:r w:rsidR="00F23299" w:rsidRPr="00456593">
        <w:t xml:space="preserve"> </w:t>
      </w:r>
      <w:r w:rsidR="00F23299" w:rsidRPr="000D047F">
        <w:t>– Odluka Ustavnog suda Republike Hrvatske,</w:t>
      </w:r>
      <w:r w:rsidR="00F23299" w:rsidRPr="005E6CEB">
        <w:rPr>
          <w:color w:val="000000"/>
        </w:rPr>
        <w:t xml:space="preserve"> 30/18</w:t>
      </w:r>
      <w:r w:rsidR="002E2FA1">
        <w:rPr>
          <w:color w:val="000000"/>
        </w:rPr>
        <w:t>,</w:t>
      </w:r>
      <w:r w:rsidR="0095006C">
        <w:rPr>
          <w:color w:val="000000"/>
        </w:rPr>
        <w:t xml:space="preserve"> </w:t>
      </w:r>
      <w:r w:rsidR="00F23299">
        <w:rPr>
          <w:color w:val="000000"/>
        </w:rPr>
        <w:t>70/19</w:t>
      </w:r>
      <w:r w:rsidR="002E2FA1">
        <w:rPr>
          <w:color w:val="000000"/>
        </w:rPr>
        <w:t xml:space="preserve"> i 155/23</w:t>
      </w:r>
      <w:r w:rsidR="00F23299" w:rsidRPr="005E6CEB">
        <w:rPr>
          <w:color w:val="000000"/>
        </w:rPr>
        <w:t>)</w:t>
      </w:r>
      <w:r w:rsidR="00BB5395" w:rsidRPr="005E6CEB">
        <w:rPr>
          <w:color w:val="000000"/>
        </w:rPr>
        <w:t xml:space="preserve"> u članku 54. stavku 2. na istovjetan način uređuje ovo područje. </w:t>
      </w:r>
      <w:r w:rsidR="008561E5" w:rsidRPr="005E6CEB">
        <w:rPr>
          <w:rFonts w:eastAsia="Times New Roman"/>
          <w:color w:val="000000"/>
          <w:lang w:eastAsia="hr-HR" w:bidi="ta-IN"/>
        </w:rPr>
        <w:t xml:space="preserve">U </w:t>
      </w:r>
      <w:r w:rsidR="003A08D5">
        <w:rPr>
          <w:rFonts w:eastAsia="Times New Roman"/>
          <w:color w:val="000000"/>
          <w:lang w:eastAsia="hr-HR" w:bidi="ta-IN"/>
        </w:rPr>
        <w:t xml:space="preserve">aktivnosti </w:t>
      </w:r>
      <w:r w:rsidR="00776E21" w:rsidRPr="00776E21">
        <w:rPr>
          <w:rFonts w:eastAsia="Times New Roman"/>
          <w:color w:val="000000"/>
          <w:lang w:eastAsia="hr-HR" w:bidi="ta-IN"/>
        </w:rPr>
        <w:t xml:space="preserve"> </w:t>
      </w:r>
      <w:r w:rsidR="00595366">
        <w:t xml:space="preserve">NATO skupine </w:t>
      </w:r>
      <w:proofErr w:type="spellStart"/>
      <w:r w:rsidR="00595366">
        <w:t>protuminskih</w:t>
      </w:r>
      <w:proofErr w:type="spellEnd"/>
      <w:r w:rsidR="00595366">
        <w:t xml:space="preserve"> snaga</w:t>
      </w:r>
      <w:r w:rsidR="004D2422">
        <w:t xml:space="preserve"> 2</w:t>
      </w:r>
      <w:r w:rsidR="00595366">
        <w:t xml:space="preserve"> </w:t>
      </w:r>
      <w:r w:rsidR="008F3641">
        <w:rPr>
          <w:rFonts w:eastAsia="Times New Roman"/>
          <w:color w:val="000000"/>
          <w:lang w:eastAsia="hr-HR" w:bidi="ta-IN"/>
        </w:rPr>
        <w:t>upućuj</w:t>
      </w:r>
      <w:r w:rsidR="004031EF">
        <w:rPr>
          <w:rFonts w:eastAsia="Times New Roman"/>
          <w:color w:val="000000"/>
          <w:lang w:eastAsia="hr-HR" w:bidi="ta-IN"/>
        </w:rPr>
        <w:t>e</w:t>
      </w:r>
      <w:r w:rsidR="008561E5" w:rsidRPr="005E6CEB">
        <w:rPr>
          <w:rFonts w:eastAsia="Times New Roman"/>
          <w:color w:val="000000"/>
          <w:lang w:eastAsia="hr-HR" w:bidi="ta-IN"/>
        </w:rPr>
        <w:t xml:space="preserve"> se u</w:t>
      </w:r>
      <w:r w:rsidR="004031EF">
        <w:rPr>
          <w:rFonts w:eastAsia="Times New Roman"/>
          <w:color w:val="000000"/>
          <w:lang w:eastAsia="hr-HR" w:bidi="ta-IN"/>
        </w:rPr>
        <w:t xml:space="preserve"> 202</w:t>
      </w:r>
      <w:r w:rsidR="00EE2D1B">
        <w:rPr>
          <w:rFonts w:eastAsia="Times New Roman"/>
          <w:color w:val="000000"/>
          <w:lang w:eastAsia="hr-HR" w:bidi="ta-IN"/>
        </w:rPr>
        <w:t>5</w:t>
      </w:r>
      <w:r w:rsidR="004031EF">
        <w:rPr>
          <w:rFonts w:eastAsia="Times New Roman"/>
          <w:color w:val="000000"/>
          <w:lang w:eastAsia="hr-HR" w:bidi="ta-IN"/>
        </w:rPr>
        <w:t>. i</w:t>
      </w:r>
      <w:r w:rsidR="008561E5" w:rsidRPr="005E6CEB">
        <w:rPr>
          <w:rFonts w:eastAsia="Times New Roman"/>
          <w:color w:val="000000"/>
          <w:lang w:eastAsia="hr-HR" w:bidi="ta-IN"/>
        </w:rPr>
        <w:t xml:space="preserve"> </w:t>
      </w:r>
      <w:r w:rsidR="009C5204" w:rsidRPr="005E6CEB">
        <w:rPr>
          <w:rFonts w:eastAsia="Times New Roman"/>
          <w:color w:val="000000"/>
          <w:lang w:eastAsia="hr-HR" w:bidi="ta-IN"/>
        </w:rPr>
        <w:t>20</w:t>
      </w:r>
      <w:r w:rsidR="00A87643">
        <w:rPr>
          <w:rFonts w:eastAsia="Times New Roman"/>
          <w:color w:val="000000"/>
          <w:lang w:eastAsia="hr-HR" w:bidi="ta-IN"/>
        </w:rPr>
        <w:t>2</w:t>
      </w:r>
      <w:r w:rsidR="00EE2D1B">
        <w:rPr>
          <w:rFonts w:eastAsia="Times New Roman"/>
          <w:color w:val="000000"/>
          <w:lang w:eastAsia="hr-HR" w:bidi="ta-IN"/>
        </w:rPr>
        <w:t>6</w:t>
      </w:r>
      <w:r w:rsidR="005E6F99" w:rsidRPr="005E6CEB">
        <w:rPr>
          <w:rFonts w:eastAsia="Times New Roman"/>
          <w:color w:val="000000"/>
          <w:lang w:eastAsia="hr-HR" w:bidi="ta-IN"/>
        </w:rPr>
        <w:t>.</w:t>
      </w:r>
      <w:r w:rsidR="003E7DCD">
        <w:rPr>
          <w:rFonts w:eastAsia="Times New Roman"/>
          <w:color w:val="000000"/>
          <w:lang w:eastAsia="hr-HR" w:bidi="ta-IN"/>
        </w:rPr>
        <w:t xml:space="preserve"> </w:t>
      </w:r>
      <w:r w:rsidR="004031EF">
        <w:rPr>
          <w:rFonts w:eastAsia="Times New Roman"/>
          <w:color w:val="000000"/>
          <w:lang w:eastAsia="hr-HR" w:bidi="ta-IN"/>
        </w:rPr>
        <w:t>d</w:t>
      </w:r>
      <w:r w:rsidR="00F6452B">
        <w:rPr>
          <w:rFonts w:eastAsia="Times New Roman"/>
          <w:color w:val="000000"/>
          <w:lang w:eastAsia="hr-HR" w:bidi="ta-IN"/>
        </w:rPr>
        <w:t xml:space="preserve">o pet </w:t>
      </w:r>
      <w:r w:rsidR="003E7DCD" w:rsidRPr="005E6CEB">
        <w:rPr>
          <w:rFonts w:eastAsia="Times New Roman"/>
          <w:color w:val="000000"/>
          <w:lang w:eastAsia="hr-HR" w:bidi="ta-IN"/>
        </w:rPr>
        <w:t>pripadnika Oružanih snaga Republike Hrvatske</w:t>
      </w:r>
      <w:r w:rsidR="004031EF">
        <w:rPr>
          <w:rFonts w:eastAsia="Times New Roman"/>
          <w:color w:val="000000"/>
          <w:lang w:eastAsia="hr-HR" w:bidi="ta-IN"/>
        </w:rPr>
        <w:t xml:space="preserve"> </w:t>
      </w:r>
      <w:r w:rsidR="004D2422">
        <w:rPr>
          <w:rFonts w:eastAsia="Times New Roman"/>
          <w:color w:val="000000"/>
          <w:lang w:eastAsia="hr-HR" w:bidi="ta-IN"/>
        </w:rPr>
        <w:t>uz mogućnost</w:t>
      </w:r>
      <w:r w:rsidR="004031EF">
        <w:rPr>
          <w:rFonts w:eastAsia="Times New Roman"/>
          <w:color w:val="000000"/>
          <w:lang w:eastAsia="hr-HR" w:bidi="ta-IN"/>
        </w:rPr>
        <w:t xml:space="preserve"> rotacije. </w:t>
      </w:r>
    </w:p>
    <w:p w14:paraId="6BD934EB" w14:textId="77777777" w:rsidR="00E95A4A" w:rsidRPr="00154F1B" w:rsidRDefault="00E95A4A" w:rsidP="00BF57D9">
      <w:pPr>
        <w:pStyle w:val="t-9-8"/>
        <w:ind w:firstLine="708"/>
        <w:jc w:val="both"/>
        <w:rPr>
          <w:rFonts w:eastAsia="Times New Roman"/>
          <w:color w:val="000000"/>
          <w:lang w:eastAsia="hr-HR" w:bidi="ta-IN"/>
        </w:rPr>
      </w:pPr>
      <w:r w:rsidRPr="005E6CEB">
        <w:rPr>
          <w:b/>
          <w:color w:val="000000"/>
        </w:rPr>
        <w:t>Točkom</w:t>
      </w:r>
      <w:r w:rsidRPr="005E6CEB">
        <w:rPr>
          <w:color w:val="000000"/>
        </w:rPr>
        <w:t xml:space="preserve"> </w:t>
      </w:r>
      <w:r w:rsidRPr="005E6CEB">
        <w:rPr>
          <w:b/>
          <w:bCs/>
          <w:color w:val="000000"/>
        </w:rPr>
        <w:t xml:space="preserve">II. </w:t>
      </w:r>
      <w:r w:rsidR="00F6452B">
        <w:rPr>
          <w:b/>
          <w:bCs/>
          <w:color w:val="000000"/>
        </w:rPr>
        <w:t xml:space="preserve"> </w:t>
      </w:r>
      <w:r w:rsidR="00154F1B" w:rsidRPr="00154F1B">
        <w:rPr>
          <w:color w:val="000000"/>
          <w:lang w:bidi="ta-IN"/>
        </w:rPr>
        <w:t xml:space="preserve"> </w:t>
      </w:r>
      <w:r w:rsidR="00154F1B">
        <w:rPr>
          <w:color w:val="000000"/>
          <w:lang w:bidi="ta-IN"/>
        </w:rPr>
        <w:t>utvrđuje se da će i</w:t>
      </w:r>
      <w:r w:rsidR="00154F1B" w:rsidRPr="00154F1B">
        <w:rPr>
          <w:color w:val="000000"/>
          <w:lang w:bidi="ta-IN"/>
        </w:rPr>
        <w:t xml:space="preserve">zvješće o sudjelovanju </w:t>
      </w:r>
      <w:r w:rsidR="0095006C">
        <w:rPr>
          <w:color w:val="000000"/>
          <w:lang w:bidi="ta-IN"/>
        </w:rPr>
        <w:t xml:space="preserve">pripadnika </w:t>
      </w:r>
      <w:r w:rsidR="00154F1B" w:rsidRPr="00154F1B">
        <w:t>Oružanih snaga R</w:t>
      </w:r>
      <w:r w:rsidR="00F4633A">
        <w:t>epublike Hrvatske u aktivnosti</w:t>
      </w:r>
      <w:r w:rsidR="00154F1B" w:rsidRPr="00154F1B">
        <w:t xml:space="preserve"> </w:t>
      </w:r>
      <w:r w:rsidR="00154F1B" w:rsidRPr="00154F1B">
        <w:rPr>
          <w:color w:val="000000"/>
          <w:lang w:bidi="ta-IN"/>
        </w:rPr>
        <w:t xml:space="preserve">iz točke I. ove Odluke </w:t>
      </w:r>
      <w:r w:rsidR="00154F1B">
        <w:rPr>
          <w:color w:val="000000"/>
          <w:lang w:bidi="ta-IN"/>
        </w:rPr>
        <w:t>biti</w:t>
      </w:r>
      <w:r w:rsidR="0082199C">
        <w:rPr>
          <w:color w:val="000000"/>
          <w:lang w:bidi="ta-IN"/>
        </w:rPr>
        <w:t xml:space="preserve"> dio </w:t>
      </w:r>
      <w:r w:rsidR="00F4633A">
        <w:rPr>
          <w:color w:val="000000"/>
          <w:lang w:bidi="ta-IN"/>
        </w:rPr>
        <w:t>G</w:t>
      </w:r>
      <w:r w:rsidR="00154F1B" w:rsidRPr="00154F1B">
        <w:rPr>
          <w:color w:val="000000"/>
          <w:lang w:bidi="ta-IN"/>
        </w:rPr>
        <w:t>odi</w:t>
      </w:r>
      <w:r w:rsidR="0082199C">
        <w:rPr>
          <w:color w:val="000000"/>
          <w:lang w:bidi="ta-IN"/>
        </w:rPr>
        <w:t>šnjeg</w:t>
      </w:r>
      <w:r w:rsidR="00154F1B">
        <w:rPr>
          <w:color w:val="000000"/>
          <w:lang w:bidi="ta-IN"/>
        </w:rPr>
        <w:t xml:space="preserve"> izvješć</w:t>
      </w:r>
      <w:r w:rsidR="0082199C">
        <w:rPr>
          <w:color w:val="000000"/>
          <w:lang w:bidi="ta-IN"/>
        </w:rPr>
        <w:t>a</w:t>
      </w:r>
      <w:r w:rsidR="00154F1B">
        <w:rPr>
          <w:color w:val="000000"/>
          <w:lang w:bidi="ta-IN"/>
        </w:rPr>
        <w:t xml:space="preserve"> </w:t>
      </w:r>
      <w:r w:rsidR="00154F1B" w:rsidRPr="00154F1B">
        <w:rPr>
          <w:color w:val="000000"/>
          <w:lang w:bidi="ta-IN"/>
        </w:rPr>
        <w:t xml:space="preserve">o obrani koje Vlada Republike Hrvatske </w:t>
      </w:r>
      <w:r w:rsidR="00154F1B">
        <w:rPr>
          <w:color w:val="000000"/>
          <w:lang w:bidi="ta-IN"/>
        </w:rPr>
        <w:t xml:space="preserve">podnosi </w:t>
      </w:r>
      <w:r w:rsidR="00154F1B" w:rsidRPr="00154F1B">
        <w:rPr>
          <w:color w:val="000000"/>
          <w:lang w:bidi="ta-IN"/>
        </w:rPr>
        <w:t xml:space="preserve">Hrvatskome saboru. </w:t>
      </w:r>
    </w:p>
    <w:p w14:paraId="6BD934EC" w14:textId="77777777" w:rsidR="00E95A4A" w:rsidRPr="005E6CEB" w:rsidRDefault="00E95A4A" w:rsidP="00BF57D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E6CEB">
        <w:rPr>
          <w:b/>
          <w:color w:val="000000"/>
        </w:rPr>
        <w:t>Točkom III.</w:t>
      </w:r>
      <w:r w:rsidRPr="005E6CEB">
        <w:rPr>
          <w:color w:val="000000"/>
        </w:rPr>
        <w:t xml:space="preserve"> </w:t>
      </w:r>
      <w:r w:rsidR="00F6452B">
        <w:rPr>
          <w:color w:val="000000"/>
        </w:rPr>
        <w:t xml:space="preserve"> </w:t>
      </w:r>
      <w:r w:rsidR="00BF57D9">
        <w:rPr>
          <w:color w:val="000000"/>
        </w:rPr>
        <w:tab/>
      </w:r>
      <w:r w:rsidR="00F6452B">
        <w:rPr>
          <w:color w:val="000000"/>
        </w:rPr>
        <w:t xml:space="preserve">određuje </w:t>
      </w:r>
      <w:r w:rsidR="00E00518" w:rsidRPr="005E6CEB">
        <w:rPr>
          <w:color w:val="000000"/>
        </w:rPr>
        <w:t xml:space="preserve">se stupanje na snagu </w:t>
      </w:r>
      <w:r w:rsidR="00FD3D1E">
        <w:rPr>
          <w:color w:val="000000"/>
        </w:rPr>
        <w:t xml:space="preserve">ove </w:t>
      </w:r>
      <w:r w:rsidR="00E00518" w:rsidRPr="005E6CEB">
        <w:rPr>
          <w:color w:val="000000"/>
        </w:rPr>
        <w:t>Odluke.</w:t>
      </w:r>
    </w:p>
    <w:p w14:paraId="6BD934ED" w14:textId="77777777" w:rsidR="00843105" w:rsidRDefault="00843105" w:rsidP="00843105">
      <w:pPr>
        <w:pStyle w:val="klasa2"/>
        <w:jc w:val="both"/>
        <w:rPr>
          <w:color w:val="000000"/>
        </w:rPr>
      </w:pPr>
    </w:p>
    <w:sectPr w:rsidR="00843105" w:rsidSect="00A268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934F0" w14:textId="77777777" w:rsidR="00235352" w:rsidRDefault="00235352">
      <w:r>
        <w:separator/>
      </w:r>
    </w:p>
  </w:endnote>
  <w:endnote w:type="continuationSeparator" w:id="0">
    <w:p w14:paraId="6BD934F1" w14:textId="77777777" w:rsidR="00235352" w:rsidRDefault="0023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934F4" w14:textId="77777777" w:rsidR="00563A49" w:rsidRDefault="00563A49" w:rsidP="006E42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D934F5" w14:textId="77777777" w:rsidR="00563A49" w:rsidRDefault="00563A49" w:rsidP="008D1E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3531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D934F6" w14:textId="76E0E5C6" w:rsidR="002606F6" w:rsidRDefault="002606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7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D934F7" w14:textId="77777777" w:rsidR="00563A49" w:rsidRDefault="00563A49" w:rsidP="008D1EC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934F9" w14:textId="77777777" w:rsidR="002606F6" w:rsidRDefault="00260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934EE" w14:textId="77777777" w:rsidR="00235352" w:rsidRDefault="00235352">
      <w:r>
        <w:separator/>
      </w:r>
    </w:p>
  </w:footnote>
  <w:footnote w:type="continuationSeparator" w:id="0">
    <w:p w14:paraId="6BD934EF" w14:textId="77777777" w:rsidR="00235352" w:rsidRDefault="00235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934F2" w14:textId="77777777" w:rsidR="002606F6" w:rsidRDefault="002606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934F3" w14:textId="77777777" w:rsidR="002606F6" w:rsidRDefault="002606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934F8" w14:textId="77777777" w:rsidR="002606F6" w:rsidRDefault="002606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0A9A"/>
    <w:multiLevelType w:val="hybridMultilevel"/>
    <w:tmpl w:val="D71005E4"/>
    <w:lvl w:ilvl="0" w:tplc="FB3490C2">
      <w:start w:val="1"/>
      <w:numFmt w:val="upperRoman"/>
      <w:lvlText w:val="%1.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832"/>
        </w:tabs>
        <w:ind w:left="283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552"/>
        </w:tabs>
        <w:ind w:left="355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272"/>
        </w:tabs>
        <w:ind w:left="427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992"/>
        </w:tabs>
        <w:ind w:left="499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712"/>
        </w:tabs>
        <w:ind w:left="571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432"/>
        </w:tabs>
        <w:ind w:left="643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152"/>
        </w:tabs>
        <w:ind w:left="715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872"/>
        </w:tabs>
        <w:ind w:left="7872" w:hanging="180"/>
      </w:pPr>
    </w:lvl>
  </w:abstractNum>
  <w:abstractNum w:abstractNumId="1" w15:restartNumberingAfterBreak="0">
    <w:nsid w:val="098A2B9F"/>
    <w:multiLevelType w:val="hybridMultilevel"/>
    <w:tmpl w:val="5FDAAF4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CA23CA"/>
    <w:multiLevelType w:val="hybridMultilevel"/>
    <w:tmpl w:val="62FAAC22"/>
    <w:lvl w:ilvl="0" w:tplc="2FE49F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B88B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A4E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90CD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589E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34B4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D28B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6A17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B0A1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8B5321"/>
    <w:multiLevelType w:val="hybridMultilevel"/>
    <w:tmpl w:val="C8A4E84C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21543C4"/>
    <w:multiLevelType w:val="hybridMultilevel"/>
    <w:tmpl w:val="F7D0A6C0"/>
    <w:lvl w:ilvl="0" w:tplc="C5A29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1AD9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8CC2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088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84FA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AA6D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5072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C044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EC2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3063A29"/>
    <w:multiLevelType w:val="hybridMultilevel"/>
    <w:tmpl w:val="BFEA18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734B3D"/>
    <w:multiLevelType w:val="hybridMultilevel"/>
    <w:tmpl w:val="72B06B4C"/>
    <w:lvl w:ilvl="0" w:tplc="041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EE65C7E"/>
    <w:multiLevelType w:val="hybridMultilevel"/>
    <w:tmpl w:val="0CC8A2D0"/>
    <w:lvl w:ilvl="0" w:tplc="F2B49EF8">
      <w:start w:val="2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8" w15:restartNumberingAfterBreak="0">
    <w:nsid w:val="5F52251A"/>
    <w:multiLevelType w:val="hybridMultilevel"/>
    <w:tmpl w:val="064830E6"/>
    <w:lvl w:ilvl="0" w:tplc="5F72F4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2EC65C">
      <w:start w:val="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3856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4EB4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0CE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601E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4C3B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52D9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3214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A0E6A52"/>
    <w:multiLevelType w:val="hybridMultilevel"/>
    <w:tmpl w:val="DBECA836"/>
    <w:lvl w:ilvl="0" w:tplc="4F04B492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7DA1514C"/>
    <w:multiLevelType w:val="hybridMultilevel"/>
    <w:tmpl w:val="3C98F9B0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E67779A"/>
    <w:multiLevelType w:val="multilevel"/>
    <w:tmpl w:val="064830E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1"/>
  </w:num>
  <w:num w:numId="5">
    <w:abstractNumId w:val="2"/>
  </w:num>
  <w:num w:numId="6">
    <w:abstractNumId w:val="4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02F"/>
    <w:rsid w:val="0000137C"/>
    <w:rsid w:val="0000323F"/>
    <w:rsid w:val="0001036C"/>
    <w:rsid w:val="00011605"/>
    <w:rsid w:val="00011B20"/>
    <w:rsid w:val="000138AD"/>
    <w:rsid w:val="000147E8"/>
    <w:rsid w:val="00016F9D"/>
    <w:rsid w:val="00017DD9"/>
    <w:rsid w:val="00020773"/>
    <w:rsid w:val="000211B6"/>
    <w:rsid w:val="000234DC"/>
    <w:rsid w:val="0002625C"/>
    <w:rsid w:val="00027065"/>
    <w:rsid w:val="00030421"/>
    <w:rsid w:val="00032A7D"/>
    <w:rsid w:val="00041483"/>
    <w:rsid w:val="00042316"/>
    <w:rsid w:val="00044140"/>
    <w:rsid w:val="00050A7A"/>
    <w:rsid w:val="0005178E"/>
    <w:rsid w:val="00052A45"/>
    <w:rsid w:val="00053D73"/>
    <w:rsid w:val="0005544B"/>
    <w:rsid w:val="000564C9"/>
    <w:rsid w:val="000675E8"/>
    <w:rsid w:val="000707C9"/>
    <w:rsid w:val="00075B7D"/>
    <w:rsid w:val="000806A9"/>
    <w:rsid w:val="00080981"/>
    <w:rsid w:val="00080E1A"/>
    <w:rsid w:val="0008635E"/>
    <w:rsid w:val="0009061E"/>
    <w:rsid w:val="000939B3"/>
    <w:rsid w:val="00094364"/>
    <w:rsid w:val="00096913"/>
    <w:rsid w:val="00097376"/>
    <w:rsid w:val="00097D94"/>
    <w:rsid w:val="000A0BC3"/>
    <w:rsid w:val="000B0397"/>
    <w:rsid w:val="000B4161"/>
    <w:rsid w:val="000B6F3B"/>
    <w:rsid w:val="000C06FF"/>
    <w:rsid w:val="000C10FA"/>
    <w:rsid w:val="000C382D"/>
    <w:rsid w:val="000C538A"/>
    <w:rsid w:val="000D047F"/>
    <w:rsid w:val="000D0DED"/>
    <w:rsid w:val="000D1D0D"/>
    <w:rsid w:val="000D2948"/>
    <w:rsid w:val="000D62B1"/>
    <w:rsid w:val="000D7BAA"/>
    <w:rsid w:val="000E4C8F"/>
    <w:rsid w:val="000F09CB"/>
    <w:rsid w:val="000F1539"/>
    <w:rsid w:val="000F1831"/>
    <w:rsid w:val="000F3341"/>
    <w:rsid w:val="000F35AB"/>
    <w:rsid w:val="000F5CD3"/>
    <w:rsid w:val="00100013"/>
    <w:rsid w:val="0010380E"/>
    <w:rsid w:val="00104B16"/>
    <w:rsid w:val="0010746B"/>
    <w:rsid w:val="00113DEC"/>
    <w:rsid w:val="0011442C"/>
    <w:rsid w:val="00116E57"/>
    <w:rsid w:val="00120E8C"/>
    <w:rsid w:val="001226CC"/>
    <w:rsid w:val="0012283A"/>
    <w:rsid w:val="00126646"/>
    <w:rsid w:val="00133684"/>
    <w:rsid w:val="0013403A"/>
    <w:rsid w:val="00135A49"/>
    <w:rsid w:val="0013650B"/>
    <w:rsid w:val="00137175"/>
    <w:rsid w:val="0013781C"/>
    <w:rsid w:val="00137FA8"/>
    <w:rsid w:val="00140270"/>
    <w:rsid w:val="001424BA"/>
    <w:rsid w:val="00142F56"/>
    <w:rsid w:val="0014680F"/>
    <w:rsid w:val="00146B48"/>
    <w:rsid w:val="00146F3A"/>
    <w:rsid w:val="00147666"/>
    <w:rsid w:val="00151145"/>
    <w:rsid w:val="00154EFF"/>
    <w:rsid w:val="00154F1B"/>
    <w:rsid w:val="00157705"/>
    <w:rsid w:val="001621FB"/>
    <w:rsid w:val="00163BE8"/>
    <w:rsid w:val="00163CB7"/>
    <w:rsid w:val="001655AD"/>
    <w:rsid w:val="001666ED"/>
    <w:rsid w:val="00180894"/>
    <w:rsid w:val="00180D2F"/>
    <w:rsid w:val="00181587"/>
    <w:rsid w:val="001837B6"/>
    <w:rsid w:val="00184206"/>
    <w:rsid w:val="001855C0"/>
    <w:rsid w:val="00187462"/>
    <w:rsid w:val="001925B3"/>
    <w:rsid w:val="001934DB"/>
    <w:rsid w:val="001A14AB"/>
    <w:rsid w:val="001A276D"/>
    <w:rsid w:val="001A331C"/>
    <w:rsid w:val="001A365F"/>
    <w:rsid w:val="001A38C8"/>
    <w:rsid w:val="001A52AB"/>
    <w:rsid w:val="001A68BE"/>
    <w:rsid w:val="001B1E0C"/>
    <w:rsid w:val="001B692B"/>
    <w:rsid w:val="001C209B"/>
    <w:rsid w:val="001C302F"/>
    <w:rsid w:val="001C5B87"/>
    <w:rsid w:val="001C625D"/>
    <w:rsid w:val="001C64AA"/>
    <w:rsid w:val="001C6E1E"/>
    <w:rsid w:val="001C7599"/>
    <w:rsid w:val="001D2D44"/>
    <w:rsid w:val="001E1933"/>
    <w:rsid w:val="001E2AC9"/>
    <w:rsid w:val="001E31B4"/>
    <w:rsid w:val="001E3C16"/>
    <w:rsid w:val="001E554D"/>
    <w:rsid w:val="001E660A"/>
    <w:rsid w:val="001F11D6"/>
    <w:rsid w:val="001F216D"/>
    <w:rsid w:val="001F7E46"/>
    <w:rsid w:val="00203463"/>
    <w:rsid w:val="00204536"/>
    <w:rsid w:val="002108AC"/>
    <w:rsid w:val="0021460F"/>
    <w:rsid w:val="00217AEE"/>
    <w:rsid w:val="002206AA"/>
    <w:rsid w:val="00221A73"/>
    <w:rsid w:val="00226234"/>
    <w:rsid w:val="0022673B"/>
    <w:rsid w:val="0022745E"/>
    <w:rsid w:val="0022780F"/>
    <w:rsid w:val="00231921"/>
    <w:rsid w:val="00234ED2"/>
    <w:rsid w:val="00235352"/>
    <w:rsid w:val="0024062B"/>
    <w:rsid w:val="0024245C"/>
    <w:rsid w:val="002475C6"/>
    <w:rsid w:val="002506FE"/>
    <w:rsid w:val="00250E8C"/>
    <w:rsid w:val="00251ACC"/>
    <w:rsid w:val="00251F6A"/>
    <w:rsid w:val="002520A0"/>
    <w:rsid w:val="002520AD"/>
    <w:rsid w:val="00252155"/>
    <w:rsid w:val="00255C4B"/>
    <w:rsid w:val="002564EF"/>
    <w:rsid w:val="00257B9E"/>
    <w:rsid w:val="00257E84"/>
    <w:rsid w:val="002606F6"/>
    <w:rsid w:val="002659F9"/>
    <w:rsid w:val="00267A79"/>
    <w:rsid w:val="00271768"/>
    <w:rsid w:val="00273229"/>
    <w:rsid w:val="00273A04"/>
    <w:rsid w:val="002763A3"/>
    <w:rsid w:val="002835D8"/>
    <w:rsid w:val="00287221"/>
    <w:rsid w:val="00287C91"/>
    <w:rsid w:val="00297DE6"/>
    <w:rsid w:val="002A2FEF"/>
    <w:rsid w:val="002A3174"/>
    <w:rsid w:val="002A5604"/>
    <w:rsid w:val="002B0399"/>
    <w:rsid w:val="002B4E99"/>
    <w:rsid w:val="002C021B"/>
    <w:rsid w:val="002C128B"/>
    <w:rsid w:val="002C3042"/>
    <w:rsid w:val="002C346F"/>
    <w:rsid w:val="002C5267"/>
    <w:rsid w:val="002D0673"/>
    <w:rsid w:val="002D17E2"/>
    <w:rsid w:val="002D581F"/>
    <w:rsid w:val="002D6964"/>
    <w:rsid w:val="002D70AE"/>
    <w:rsid w:val="002D7903"/>
    <w:rsid w:val="002D7B28"/>
    <w:rsid w:val="002E11FC"/>
    <w:rsid w:val="002E2CCE"/>
    <w:rsid w:val="002E2FA1"/>
    <w:rsid w:val="002E3F58"/>
    <w:rsid w:val="002E6C43"/>
    <w:rsid w:val="002F4DCB"/>
    <w:rsid w:val="002F72F5"/>
    <w:rsid w:val="003019AA"/>
    <w:rsid w:val="00304472"/>
    <w:rsid w:val="00304C94"/>
    <w:rsid w:val="0030625E"/>
    <w:rsid w:val="00317FFB"/>
    <w:rsid w:val="00331973"/>
    <w:rsid w:val="00331A6A"/>
    <w:rsid w:val="00334CC2"/>
    <w:rsid w:val="0033725F"/>
    <w:rsid w:val="00351CC0"/>
    <w:rsid w:val="00354F14"/>
    <w:rsid w:val="00360014"/>
    <w:rsid w:val="00364DC7"/>
    <w:rsid w:val="00370529"/>
    <w:rsid w:val="00375852"/>
    <w:rsid w:val="0037636B"/>
    <w:rsid w:val="00381721"/>
    <w:rsid w:val="0038331A"/>
    <w:rsid w:val="00385F4C"/>
    <w:rsid w:val="003873AE"/>
    <w:rsid w:val="00393A28"/>
    <w:rsid w:val="00393FC5"/>
    <w:rsid w:val="00394EF3"/>
    <w:rsid w:val="00397007"/>
    <w:rsid w:val="003A08D5"/>
    <w:rsid w:val="003A427C"/>
    <w:rsid w:val="003A66DB"/>
    <w:rsid w:val="003B0959"/>
    <w:rsid w:val="003B42D1"/>
    <w:rsid w:val="003B4D27"/>
    <w:rsid w:val="003B5C3E"/>
    <w:rsid w:val="003B7463"/>
    <w:rsid w:val="003C70A6"/>
    <w:rsid w:val="003D523D"/>
    <w:rsid w:val="003D540D"/>
    <w:rsid w:val="003D7698"/>
    <w:rsid w:val="003E26D5"/>
    <w:rsid w:val="003E361A"/>
    <w:rsid w:val="003E46C5"/>
    <w:rsid w:val="003E7DCD"/>
    <w:rsid w:val="003F06CF"/>
    <w:rsid w:val="003F35AB"/>
    <w:rsid w:val="004005CE"/>
    <w:rsid w:val="00402F98"/>
    <w:rsid w:val="004031D5"/>
    <w:rsid w:val="004031EF"/>
    <w:rsid w:val="00403D48"/>
    <w:rsid w:val="00404E11"/>
    <w:rsid w:val="004056EA"/>
    <w:rsid w:val="004071ED"/>
    <w:rsid w:val="00420645"/>
    <w:rsid w:val="00424BA1"/>
    <w:rsid w:val="00426567"/>
    <w:rsid w:val="00432403"/>
    <w:rsid w:val="00442959"/>
    <w:rsid w:val="00445110"/>
    <w:rsid w:val="00445725"/>
    <w:rsid w:val="00445BB1"/>
    <w:rsid w:val="00445E94"/>
    <w:rsid w:val="0044688C"/>
    <w:rsid w:val="00453E70"/>
    <w:rsid w:val="00456593"/>
    <w:rsid w:val="004601C7"/>
    <w:rsid w:val="004613E7"/>
    <w:rsid w:val="004626E2"/>
    <w:rsid w:val="0046394C"/>
    <w:rsid w:val="004644CB"/>
    <w:rsid w:val="004649F0"/>
    <w:rsid w:val="00466463"/>
    <w:rsid w:val="00466C70"/>
    <w:rsid w:val="004708E6"/>
    <w:rsid w:val="004716BC"/>
    <w:rsid w:val="00473A19"/>
    <w:rsid w:val="00473C88"/>
    <w:rsid w:val="00474573"/>
    <w:rsid w:val="00487C3C"/>
    <w:rsid w:val="00493D27"/>
    <w:rsid w:val="004968D8"/>
    <w:rsid w:val="004A07D8"/>
    <w:rsid w:val="004A18BD"/>
    <w:rsid w:val="004A2CC1"/>
    <w:rsid w:val="004A7583"/>
    <w:rsid w:val="004A7733"/>
    <w:rsid w:val="004A79D4"/>
    <w:rsid w:val="004B04A8"/>
    <w:rsid w:val="004B78CC"/>
    <w:rsid w:val="004C07FB"/>
    <w:rsid w:val="004C1AA1"/>
    <w:rsid w:val="004C2551"/>
    <w:rsid w:val="004C285A"/>
    <w:rsid w:val="004C5137"/>
    <w:rsid w:val="004D1BBB"/>
    <w:rsid w:val="004D2422"/>
    <w:rsid w:val="004D5206"/>
    <w:rsid w:val="004E01AB"/>
    <w:rsid w:val="004E0CD6"/>
    <w:rsid w:val="004E1115"/>
    <w:rsid w:val="004E2777"/>
    <w:rsid w:val="004E6424"/>
    <w:rsid w:val="004E74A0"/>
    <w:rsid w:val="004E7DA3"/>
    <w:rsid w:val="004F0831"/>
    <w:rsid w:val="004F5A25"/>
    <w:rsid w:val="004F5DF6"/>
    <w:rsid w:val="004F61E1"/>
    <w:rsid w:val="004F6BBB"/>
    <w:rsid w:val="00503403"/>
    <w:rsid w:val="00504979"/>
    <w:rsid w:val="00504A50"/>
    <w:rsid w:val="0050747A"/>
    <w:rsid w:val="00507914"/>
    <w:rsid w:val="00514708"/>
    <w:rsid w:val="00514B8F"/>
    <w:rsid w:val="005158A3"/>
    <w:rsid w:val="005204C6"/>
    <w:rsid w:val="00520FF5"/>
    <w:rsid w:val="005215EB"/>
    <w:rsid w:val="00522FD7"/>
    <w:rsid w:val="005230C7"/>
    <w:rsid w:val="00523840"/>
    <w:rsid w:val="005254C9"/>
    <w:rsid w:val="00525D6A"/>
    <w:rsid w:val="005264E1"/>
    <w:rsid w:val="00536FFD"/>
    <w:rsid w:val="0054140F"/>
    <w:rsid w:val="005437F4"/>
    <w:rsid w:val="005500E4"/>
    <w:rsid w:val="00550709"/>
    <w:rsid w:val="0055095F"/>
    <w:rsid w:val="005519AC"/>
    <w:rsid w:val="00551AE1"/>
    <w:rsid w:val="00563A49"/>
    <w:rsid w:val="00563BC7"/>
    <w:rsid w:val="005655EF"/>
    <w:rsid w:val="0057050A"/>
    <w:rsid w:val="0057183A"/>
    <w:rsid w:val="0057239B"/>
    <w:rsid w:val="00574FBB"/>
    <w:rsid w:val="0057734E"/>
    <w:rsid w:val="005777B5"/>
    <w:rsid w:val="00581539"/>
    <w:rsid w:val="005829D7"/>
    <w:rsid w:val="00585964"/>
    <w:rsid w:val="00587229"/>
    <w:rsid w:val="0059018F"/>
    <w:rsid w:val="00592A50"/>
    <w:rsid w:val="00595366"/>
    <w:rsid w:val="005A2207"/>
    <w:rsid w:val="005A3E57"/>
    <w:rsid w:val="005B20F0"/>
    <w:rsid w:val="005B38F8"/>
    <w:rsid w:val="005C1A06"/>
    <w:rsid w:val="005C29B6"/>
    <w:rsid w:val="005C353C"/>
    <w:rsid w:val="005C3BA8"/>
    <w:rsid w:val="005C59F1"/>
    <w:rsid w:val="005C5B1C"/>
    <w:rsid w:val="005C7221"/>
    <w:rsid w:val="005D0069"/>
    <w:rsid w:val="005D009F"/>
    <w:rsid w:val="005D7AFE"/>
    <w:rsid w:val="005D7DCF"/>
    <w:rsid w:val="005E2A2E"/>
    <w:rsid w:val="005E32AD"/>
    <w:rsid w:val="005E4FEA"/>
    <w:rsid w:val="005E5880"/>
    <w:rsid w:val="005E6CEB"/>
    <w:rsid w:val="005E6F99"/>
    <w:rsid w:val="005E7D27"/>
    <w:rsid w:val="005F4BD8"/>
    <w:rsid w:val="005F6F67"/>
    <w:rsid w:val="0060255B"/>
    <w:rsid w:val="00603861"/>
    <w:rsid w:val="006049F4"/>
    <w:rsid w:val="00605DE9"/>
    <w:rsid w:val="0060655A"/>
    <w:rsid w:val="00607043"/>
    <w:rsid w:val="0061159F"/>
    <w:rsid w:val="00612EB7"/>
    <w:rsid w:val="00613133"/>
    <w:rsid w:val="0061584C"/>
    <w:rsid w:val="00617AA7"/>
    <w:rsid w:val="00624555"/>
    <w:rsid w:val="00624771"/>
    <w:rsid w:val="00625303"/>
    <w:rsid w:val="006259C6"/>
    <w:rsid w:val="00626D8E"/>
    <w:rsid w:val="00627D97"/>
    <w:rsid w:val="00632750"/>
    <w:rsid w:val="00634EB3"/>
    <w:rsid w:val="00636146"/>
    <w:rsid w:val="00636256"/>
    <w:rsid w:val="006366A3"/>
    <w:rsid w:val="006428B4"/>
    <w:rsid w:val="00643102"/>
    <w:rsid w:val="00643DC7"/>
    <w:rsid w:val="00645187"/>
    <w:rsid w:val="00647F4F"/>
    <w:rsid w:val="00654B6E"/>
    <w:rsid w:val="00662C6E"/>
    <w:rsid w:val="00663368"/>
    <w:rsid w:val="00670023"/>
    <w:rsid w:val="00670505"/>
    <w:rsid w:val="00671431"/>
    <w:rsid w:val="00673B7C"/>
    <w:rsid w:val="00675891"/>
    <w:rsid w:val="00677716"/>
    <w:rsid w:val="00681267"/>
    <w:rsid w:val="0068155A"/>
    <w:rsid w:val="00685432"/>
    <w:rsid w:val="00695348"/>
    <w:rsid w:val="006A0193"/>
    <w:rsid w:val="006A01E7"/>
    <w:rsid w:val="006A0713"/>
    <w:rsid w:val="006A0F13"/>
    <w:rsid w:val="006A3F29"/>
    <w:rsid w:val="006B0332"/>
    <w:rsid w:val="006B0C65"/>
    <w:rsid w:val="006B1577"/>
    <w:rsid w:val="006B2686"/>
    <w:rsid w:val="006B2D56"/>
    <w:rsid w:val="006B4F50"/>
    <w:rsid w:val="006C11B3"/>
    <w:rsid w:val="006C2DF2"/>
    <w:rsid w:val="006C5560"/>
    <w:rsid w:val="006C7AF4"/>
    <w:rsid w:val="006D2D5A"/>
    <w:rsid w:val="006D338C"/>
    <w:rsid w:val="006D5F66"/>
    <w:rsid w:val="006D68DF"/>
    <w:rsid w:val="006E1BDE"/>
    <w:rsid w:val="006E39C1"/>
    <w:rsid w:val="006E4227"/>
    <w:rsid w:val="00702EAC"/>
    <w:rsid w:val="00707EA5"/>
    <w:rsid w:val="00712283"/>
    <w:rsid w:val="007122E2"/>
    <w:rsid w:val="007129A5"/>
    <w:rsid w:val="007161B4"/>
    <w:rsid w:val="007171F7"/>
    <w:rsid w:val="00717EF8"/>
    <w:rsid w:val="007228F0"/>
    <w:rsid w:val="00723C50"/>
    <w:rsid w:val="00727AAD"/>
    <w:rsid w:val="00731243"/>
    <w:rsid w:val="007333B8"/>
    <w:rsid w:val="00734F19"/>
    <w:rsid w:val="0074165A"/>
    <w:rsid w:val="0074754E"/>
    <w:rsid w:val="00750F29"/>
    <w:rsid w:val="007516D0"/>
    <w:rsid w:val="007517C8"/>
    <w:rsid w:val="00756061"/>
    <w:rsid w:val="007654AD"/>
    <w:rsid w:val="00766DCA"/>
    <w:rsid w:val="007673CC"/>
    <w:rsid w:val="007709B6"/>
    <w:rsid w:val="00771DC4"/>
    <w:rsid w:val="007738B5"/>
    <w:rsid w:val="00773F90"/>
    <w:rsid w:val="007746F1"/>
    <w:rsid w:val="007754F9"/>
    <w:rsid w:val="007763ED"/>
    <w:rsid w:val="00776E21"/>
    <w:rsid w:val="00780166"/>
    <w:rsid w:val="00787DF5"/>
    <w:rsid w:val="007922F6"/>
    <w:rsid w:val="007A0310"/>
    <w:rsid w:val="007A06B8"/>
    <w:rsid w:val="007A0B78"/>
    <w:rsid w:val="007A1833"/>
    <w:rsid w:val="007A3D7A"/>
    <w:rsid w:val="007A7083"/>
    <w:rsid w:val="007A7EBE"/>
    <w:rsid w:val="007B38C6"/>
    <w:rsid w:val="007C7444"/>
    <w:rsid w:val="007D3CC2"/>
    <w:rsid w:val="007D3EBD"/>
    <w:rsid w:val="007D5818"/>
    <w:rsid w:val="007D5B82"/>
    <w:rsid w:val="007D6271"/>
    <w:rsid w:val="007D7697"/>
    <w:rsid w:val="007E0034"/>
    <w:rsid w:val="007E14A5"/>
    <w:rsid w:val="007E76E0"/>
    <w:rsid w:val="007F2958"/>
    <w:rsid w:val="007F34AA"/>
    <w:rsid w:val="007F4CE0"/>
    <w:rsid w:val="007F7331"/>
    <w:rsid w:val="0080056A"/>
    <w:rsid w:val="00801ADB"/>
    <w:rsid w:val="00804E02"/>
    <w:rsid w:val="00810F84"/>
    <w:rsid w:val="00811953"/>
    <w:rsid w:val="008123C9"/>
    <w:rsid w:val="00815F72"/>
    <w:rsid w:val="0082199C"/>
    <w:rsid w:val="00823B18"/>
    <w:rsid w:val="00825B4A"/>
    <w:rsid w:val="008271F5"/>
    <w:rsid w:val="0083168C"/>
    <w:rsid w:val="00832113"/>
    <w:rsid w:val="00833207"/>
    <w:rsid w:val="00837A8D"/>
    <w:rsid w:val="00841328"/>
    <w:rsid w:val="00843105"/>
    <w:rsid w:val="008561E5"/>
    <w:rsid w:val="00856EA9"/>
    <w:rsid w:val="00856EB9"/>
    <w:rsid w:val="00857FFA"/>
    <w:rsid w:val="00867741"/>
    <w:rsid w:val="0087329E"/>
    <w:rsid w:val="00883EAD"/>
    <w:rsid w:val="00891CD8"/>
    <w:rsid w:val="00896DBD"/>
    <w:rsid w:val="008A6FFA"/>
    <w:rsid w:val="008B2AD0"/>
    <w:rsid w:val="008B38B7"/>
    <w:rsid w:val="008B4032"/>
    <w:rsid w:val="008C0A76"/>
    <w:rsid w:val="008C17DA"/>
    <w:rsid w:val="008C3BCD"/>
    <w:rsid w:val="008C615C"/>
    <w:rsid w:val="008D1EC5"/>
    <w:rsid w:val="008D38EA"/>
    <w:rsid w:val="008D4A42"/>
    <w:rsid w:val="008D5651"/>
    <w:rsid w:val="008E2D80"/>
    <w:rsid w:val="008F3641"/>
    <w:rsid w:val="008F3ED6"/>
    <w:rsid w:val="008F5C16"/>
    <w:rsid w:val="0090269F"/>
    <w:rsid w:val="009044C2"/>
    <w:rsid w:val="00905F3B"/>
    <w:rsid w:val="00906805"/>
    <w:rsid w:val="009069B0"/>
    <w:rsid w:val="00911EBC"/>
    <w:rsid w:val="00913993"/>
    <w:rsid w:val="00913B5C"/>
    <w:rsid w:val="00915525"/>
    <w:rsid w:val="009256E9"/>
    <w:rsid w:val="00926CDD"/>
    <w:rsid w:val="00926FF3"/>
    <w:rsid w:val="0092773D"/>
    <w:rsid w:val="0092784E"/>
    <w:rsid w:val="009278C8"/>
    <w:rsid w:val="00930E5E"/>
    <w:rsid w:val="009317D7"/>
    <w:rsid w:val="009368BA"/>
    <w:rsid w:val="00940221"/>
    <w:rsid w:val="00941757"/>
    <w:rsid w:val="00944BC2"/>
    <w:rsid w:val="0095006C"/>
    <w:rsid w:val="00950A6A"/>
    <w:rsid w:val="00955A99"/>
    <w:rsid w:val="00962E65"/>
    <w:rsid w:val="0096339E"/>
    <w:rsid w:val="00965BCB"/>
    <w:rsid w:val="00967FC5"/>
    <w:rsid w:val="009706A0"/>
    <w:rsid w:val="00971AA0"/>
    <w:rsid w:val="00984734"/>
    <w:rsid w:val="00986E9B"/>
    <w:rsid w:val="00987C08"/>
    <w:rsid w:val="009946F8"/>
    <w:rsid w:val="00994D5B"/>
    <w:rsid w:val="009A3863"/>
    <w:rsid w:val="009A6FE8"/>
    <w:rsid w:val="009B3818"/>
    <w:rsid w:val="009B5F21"/>
    <w:rsid w:val="009C0272"/>
    <w:rsid w:val="009C242A"/>
    <w:rsid w:val="009C5204"/>
    <w:rsid w:val="009C5482"/>
    <w:rsid w:val="009C57E4"/>
    <w:rsid w:val="009C6CD6"/>
    <w:rsid w:val="009D45D9"/>
    <w:rsid w:val="009D4737"/>
    <w:rsid w:val="009D574E"/>
    <w:rsid w:val="009D5A98"/>
    <w:rsid w:val="009D77E6"/>
    <w:rsid w:val="009D7B55"/>
    <w:rsid w:val="009E1554"/>
    <w:rsid w:val="009E1E44"/>
    <w:rsid w:val="009E7C0C"/>
    <w:rsid w:val="009F0EA9"/>
    <w:rsid w:val="009F1A84"/>
    <w:rsid w:val="009F2297"/>
    <w:rsid w:val="009F2F0D"/>
    <w:rsid w:val="009F3CC2"/>
    <w:rsid w:val="009F4161"/>
    <w:rsid w:val="00A00DAB"/>
    <w:rsid w:val="00A024D7"/>
    <w:rsid w:val="00A0403A"/>
    <w:rsid w:val="00A07502"/>
    <w:rsid w:val="00A102C3"/>
    <w:rsid w:val="00A1253A"/>
    <w:rsid w:val="00A15EFD"/>
    <w:rsid w:val="00A21C80"/>
    <w:rsid w:val="00A228BE"/>
    <w:rsid w:val="00A22F7B"/>
    <w:rsid w:val="00A23A4E"/>
    <w:rsid w:val="00A265DC"/>
    <w:rsid w:val="00A268F7"/>
    <w:rsid w:val="00A306E5"/>
    <w:rsid w:val="00A323A9"/>
    <w:rsid w:val="00A35E37"/>
    <w:rsid w:val="00A37E97"/>
    <w:rsid w:val="00A435F6"/>
    <w:rsid w:val="00A468D7"/>
    <w:rsid w:val="00A47402"/>
    <w:rsid w:val="00A52148"/>
    <w:rsid w:val="00A52CA6"/>
    <w:rsid w:val="00A6016A"/>
    <w:rsid w:val="00A6450F"/>
    <w:rsid w:val="00A6772F"/>
    <w:rsid w:val="00A731C2"/>
    <w:rsid w:val="00A73D20"/>
    <w:rsid w:val="00A74222"/>
    <w:rsid w:val="00A82B38"/>
    <w:rsid w:val="00A83E6B"/>
    <w:rsid w:val="00A853D6"/>
    <w:rsid w:val="00A87643"/>
    <w:rsid w:val="00A87904"/>
    <w:rsid w:val="00A902B4"/>
    <w:rsid w:val="00A91526"/>
    <w:rsid w:val="00A918FA"/>
    <w:rsid w:val="00A91B7D"/>
    <w:rsid w:val="00A92120"/>
    <w:rsid w:val="00A9259D"/>
    <w:rsid w:val="00A93CFF"/>
    <w:rsid w:val="00AA351A"/>
    <w:rsid w:val="00AB28BF"/>
    <w:rsid w:val="00AB5166"/>
    <w:rsid w:val="00AB64F0"/>
    <w:rsid w:val="00AC0D19"/>
    <w:rsid w:val="00AC1B8B"/>
    <w:rsid w:val="00AC53CB"/>
    <w:rsid w:val="00AC5BCA"/>
    <w:rsid w:val="00AC7532"/>
    <w:rsid w:val="00AD220D"/>
    <w:rsid w:val="00AD25FC"/>
    <w:rsid w:val="00AD4D2D"/>
    <w:rsid w:val="00AE1236"/>
    <w:rsid w:val="00AE14C2"/>
    <w:rsid w:val="00AE39D3"/>
    <w:rsid w:val="00AF056C"/>
    <w:rsid w:val="00AF0607"/>
    <w:rsid w:val="00AF2C64"/>
    <w:rsid w:val="00AF3C93"/>
    <w:rsid w:val="00AF4F2B"/>
    <w:rsid w:val="00AF7658"/>
    <w:rsid w:val="00B036E1"/>
    <w:rsid w:val="00B0539C"/>
    <w:rsid w:val="00B05B8E"/>
    <w:rsid w:val="00B06D77"/>
    <w:rsid w:val="00B075AF"/>
    <w:rsid w:val="00B106DD"/>
    <w:rsid w:val="00B126CE"/>
    <w:rsid w:val="00B16D27"/>
    <w:rsid w:val="00B23B8A"/>
    <w:rsid w:val="00B23E4B"/>
    <w:rsid w:val="00B24269"/>
    <w:rsid w:val="00B32EC1"/>
    <w:rsid w:val="00B36CB2"/>
    <w:rsid w:val="00B464C5"/>
    <w:rsid w:val="00B50ED9"/>
    <w:rsid w:val="00B51E39"/>
    <w:rsid w:val="00B55267"/>
    <w:rsid w:val="00B56D97"/>
    <w:rsid w:val="00B57FD5"/>
    <w:rsid w:val="00B66022"/>
    <w:rsid w:val="00B674CA"/>
    <w:rsid w:val="00B73BCD"/>
    <w:rsid w:val="00B74C40"/>
    <w:rsid w:val="00B75048"/>
    <w:rsid w:val="00B75B97"/>
    <w:rsid w:val="00B76A4C"/>
    <w:rsid w:val="00B76B68"/>
    <w:rsid w:val="00B77B9B"/>
    <w:rsid w:val="00B77BE8"/>
    <w:rsid w:val="00B83A3C"/>
    <w:rsid w:val="00B845F9"/>
    <w:rsid w:val="00B925C5"/>
    <w:rsid w:val="00BA08BB"/>
    <w:rsid w:val="00BA336A"/>
    <w:rsid w:val="00BA5EA4"/>
    <w:rsid w:val="00BB0F1D"/>
    <w:rsid w:val="00BB2B54"/>
    <w:rsid w:val="00BB5395"/>
    <w:rsid w:val="00BB5856"/>
    <w:rsid w:val="00BB6F01"/>
    <w:rsid w:val="00BC1C10"/>
    <w:rsid w:val="00BC303D"/>
    <w:rsid w:val="00BC3D9B"/>
    <w:rsid w:val="00BD03CD"/>
    <w:rsid w:val="00BE074E"/>
    <w:rsid w:val="00BE2092"/>
    <w:rsid w:val="00BE2A95"/>
    <w:rsid w:val="00BE72F5"/>
    <w:rsid w:val="00BF2B71"/>
    <w:rsid w:val="00BF4D84"/>
    <w:rsid w:val="00BF57D9"/>
    <w:rsid w:val="00C002C1"/>
    <w:rsid w:val="00C0031B"/>
    <w:rsid w:val="00C004EC"/>
    <w:rsid w:val="00C01303"/>
    <w:rsid w:val="00C032DE"/>
    <w:rsid w:val="00C038C6"/>
    <w:rsid w:val="00C06A12"/>
    <w:rsid w:val="00C07011"/>
    <w:rsid w:val="00C075AA"/>
    <w:rsid w:val="00C12923"/>
    <w:rsid w:val="00C130A9"/>
    <w:rsid w:val="00C1457A"/>
    <w:rsid w:val="00C20D39"/>
    <w:rsid w:val="00C24C8A"/>
    <w:rsid w:val="00C270AA"/>
    <w:rsid w:val="00C30C3E"/>
    <w:rsid w:val="00C30F6D"/>
    <w:rsid w:val="00C32DA1"/>
    <w:rsid w:val="00C368EE"/>
    <w:rsid w:val="00C440B7"/>
    <w:rsid w:val="00C4600F"/>
    <w:rsid w:val="00C477A4"/>
    <w:rsid w:val="00C5254A"/>
    <w:rsid w:val="00C5457C"/>
    <w:rsid w:val="00C5493D"/>
    <w:rsid w:val="00C549FD"/>
    <w:rsid w:val="00C623FD"/>
    <w:rsid w:val="00C62AED"/>
    <w:rsid w:val="00C63FB5"/>
    <w:rsid w:val="00C645DD"/>
    <w:rsid w:val="00C72D8F"/>
    <w:rsid w:val="00C74F36"/>
    <w:rsid w:val="00C756CA"/>
    <w:rsid w:val="00C76CF1"/>
    <w:rsid w:val="00C76F54"/>
    <w:rsid w:val="00C82702"/>
    <w:rsid w:val="00C83752"/>
    <w:rsid w:val="00C86B17"/>
    <w:rsid w:val="00C91683"/>
    <w:rsid w:val="00C9433F"/>
    <w:rsid w:val="00C96697"/>
    <w:rsid w:val="00CA1E1C"/>
    <w:rsid w:val="00CA3FB6"/>
    <w:rsid w:val="00CA448A"/>
    <w:rsid w:val="00CB66AC"/>
    <w:rsid w:val="00CB72A2"/>
    <w:rsid w:val="00CB7665"/>
    <w:rsid w:val="00CB7688"/>
    <w:rsid w:val="00CB7F93"/>
    <w:rsid w:val="00CC03EA"/>
    <w:rsid w:val="00CC13EF"/>
    <w:rsid w:val="00CC3917"/>
    <w:rsid w:val="00CC3EBE"/>
    <w:rsid w:val="00CC740D"/>
    <w:rsid w:val="00CD36EC"/>
    <w:rsid w:val="00CD72A3"/>
    <w:rsid w:val="00CD7394"/>
    <w:rsid w:val="00CE015D"/>
    <w:rsid w:val="00CE4EA1"/>
    <w:rsid w:val="00CE5477"/>
    <w:rsid w:val="00CE5798"/>
    <w:rsid w:val="00CE5D8F"/>
    <w:rsid w:val="00CE67F4"/>
    <w:rsid w:val="00CF000B"/>
    <w:rsid w:val="00CF0A48"/>
    <w:rsid w:val="00CF1728"/>
    <w:rsid w:val="00CF60C6"/>
    <w:rsid w:val="00D0053C"/>
    <w:rsid w:val="00D01774"/>
    <w:rsid w:val="00D03F2E"/>
    <w:rsid w:val="00D053ED"/>
    <w:rsid w:val="00D1012A"/>
    <w:rsid w:val="00D22062"/>
    <w:rsid w:val="00D3267E"/>
    <w:rsid w:val="00D3340F"/>
    <w:rsid w:val="00D348CB"/>
    <w:rsid w:val="00D36BC6"/>
    <w:rsid w:val="00D401C3"/>
    <w:rsid w:val="00D4323D"/>
    <w:rsid w:val="00D447FC"/>
    <w:rsid w:val="00D45A1E"/>
    <w:rsid w:val="00D50962"/>
    <w:rsid w:val="00D51C18"/>
    <w:rsid w:val="00D521DC"/>
    <w:rsid w:val="00D569AD"/>
    <w:rsid w:val="00D611BB"/>
    <w:rsid w:val="00D62EAD"/>
    <w:rsid w:val="00D64F39"/>
    <w:rsid w:val="00D66F72"/>
    <w:rsid w:val="00D72800"/>
    <w:rsid w:val="00D7360A"/>
    <w:rsid w:val="00D77B0B"/>
    <w:rsid w:val="00D845C5"/>
    <w:rsid w:val="00D857E0"/>
    <w:rsid w:val="00D85A08"/>
    <w:rsid w:val="00D85D01"/>
    <w:rsid w:val="00D863FC"/>
    <w:rsid w:val="00D869E5"/>
    <w:rsid w:val="00D86C87"/>
    <w:rsid w:val="00D9132E"/>
    <w:rsid w:val="00D92A3F"/>
    <w:rsid w:val="00D9304A"/>
    <w:rsid w:val="00D93823"/>
    <w:rsid w:val="00D96041"/>
    <w:rsid w:val="00D960ED"/>
    <w:rsid w:val="00D964C6"/>
    <w:rsid w:val="00DA00D0"/>
    <w:rsid w:val="00DA535B"/>
    <w:rsid w:val="00DB1A36"/>
    <w:rsid w:val="00DB1C6A"/>
    <w:rsid w:val="00DB2B7B"/>
    <w:rsid w:val="00DB48F5"/>
    <w:rsid w:val="00DB5FEA"/>
    <w:rsid w:val="00DC0994"/>
    <w:rsid w:val="00DC47A8"/>
    <w:rsid w:val="00DC4F89"/>
    <w:rsid w:val="00DC59C1"/>
    <w:rsid w:val="00DD06F8"/>
    <w:rsid w:val="00DE1451"/>
    <w:rsid w:val="00DE322B"/>
    <w:rsid w:val="00DE5527"/>
    <w:rsid w:val="00DE6A45"/>
    <w:rsid w:val="00DF498B"/>
    <w:rsid w:val="00DF6600"/>
    <w:rsid w:val="00DF660B"/>
    <w:rsid w:val="00E00518"/>
    <w:rsid w:val="00E0061B"/>
    <w:rsid w:val="00E04419"/>
    <w:rsid w:val="00E067E8"/>
    <w:rsid w:val="00E0691C"/>
    <w:rsid w:val="00E12CBD"/>
    <w:rsid w:val="00E1325A"/>
    <w:rsid w:val="00E21584"/>
    <w:rsid w:val="00E238E2"/>
    <w:rsid w:val="00E23EEC"/>
    <w:rsid w:val="00E2531D"/>
    <w:rsid w:val="00E274BC"/>
    <w:rsid w:val="00E2778A"/>
    <w:rsid w:val="00E31E1B"/>
    <w:rsid w:val="00E3505F"/>
    <w:rsid w:val="00E40D8C"/>
    <w:rsid w:val="00E42DDC"/>
    <w:rsid w:val="00E518EB"/>
    <w:rsid w:val="00E523A5"/>
    <w:rsid w:val="00E54FFF"/>
    <w:rsid w:val="00E55314"/>
    <w:rsid w:val="00E572E9"/>
    <w:rsid w:val="00E60883"/>
    <w:rsid w:val="00E63EC4"/>
    <w:rsid w:val="00E64208"/>
    <w:rsid w:val="00E64DB2"/>
    <w:rsid w:val="00E721E2"/>
    <w:rsid w:val="00E738C1"/>
    <w:rsid w:val="00E76FC7"/>
    <w:rsid w:val="00E855E4"/>
    <w:rsid w:val="00E909A5"/>
    <w:rsid w:val="00E90A28"/>
    <w:rsid w:val="00E91528"/>
    <w:rsid w:val="00E9258F"/>
    <w:rsid w:val="00E9329F"/>
    <w:rsid w:val="00E95A4A"/>
    <w:rsid w:val="00EA0BE5"/>
    <w:rsid w:val="00EA272E"/>
    <w:rsid w:val="00EA30E4"/>
    <w:rsid w:val="00EA48E1"/>
    <w:rsid w:val="00EA584C"/>
    <w:rsid w:val="00EA6F41"/>
    <w:rsid w:val="00EC10F1"/>
    <w:rsid w:val="00EC14B2"/>
    <w:rsid w:val="00EC2028"/>
    <w:rsid w:val="00EC3462"/>
    <w:rsid w:val="00EC618B"/>
    <w:rsid w:val="00EC6C6A"/>
    <w:rsid w:val="00ED25D7"/>
    <w:rsid w:val="00EE0DA5"/>
    <w:rsid w:val="00EE2775"/>
    <w:rsid w:val="00EE2D1B"/>
    <w:rsid w:val="00EE5E58"/>
    <w:rsid w:val="00EE6877"/>
    <w:rsid w:val="00EE7320"/>
    <w:rsid w:val="00EE756E"/>
    <w:rsid w:val="00EF553A"/>
    <w:rsid w:val="00F01AD7"/>
    <w:rsid w:val="00F02CB6"/>
    <w:rsid w:val="00F06557"/>
    <w:rsid w:val="00F111B9"/>
    <w:rsid w:val="00F11E1A"/>
    <w:rsid w:val="00F12B36"/>
    <w:rsid w:val="00F23299"/>
    <w:rsid w:val="00F27E49"/>
    <w:rsid w:val="00F311DC"/>
    <w:rsid w:val="00F31A1B"/>
    <w:rsid w:val="00F3384B"/>
    <w:rsid w:val="00F35027"/>
    <w:rsid w:val="00F35A17"/>
    <w:rsid w:val="00F46185"/>
    <w:rsid w:val="00F4633A"/>
    <w:rsid w:val="00F54523"/>
    <w:rsid w:val="00F55C88"/>
    <w:rsid w:val="00F61B09"/>
    <w:rsid w:val="00F6452B"/>
    <w:rsid w:val="00F6487E"/>
    <w:rsid w:val="00F64E2C"/>
    <w:rsid w:val="00F66FC1"/>
    <w:rsid w:val="00F674DB"/>
    <w:rsid w:val="00F7051E"/>
    <w:rsid w:val="00F73B3C"/>
    <w:rsid w:val="00F74E61"/>
    <w:rsid w:val="00F75A27"/>
    <w:rsid w:val="00F767F2"/>
    <w:rsid w:val="00F77017"/>
    <w:rsid w:val="00F84B13"/>
    <w:rsid w:val="00F872F8"/>
    <w:rsid w:val="00F87541"/>
    <w:rsid w:val="00F87AE3"/>
    <w:rsid w:val="00F9180D"/>
    <w:rsid w:val="00F93217"/>
    <w:rsid w:val="00F93266"/>
    <w:rsid w:val="00F93C10"/>
    <w:rsid w:val="00FA1D45"/>
    <w:rsid w:val="00FA20BB"/>
    <w:rsid w:val="00FA3408"/>
    <w:rsid w:val="00FA34FC"/>
    <w:rsid w:val="00FB3BF5"/>
    <w:rsid w:val="00FB40B4"/>
    <w:rsid w:val="00FB418D"/>
    <w:rsid w:val="00FC236C"/>
    <w:rsid w:val="00FC453C"/>
    <w:rsid w:val="00FC4FA3"/>
    <w:rsid w:val="00FC5359"/>
    <w:rsid w:val="00FC638F"/>
    <w:rsid w:val="00FD0F68"/>
    <w:rsid w:val="00FD13C8"/>
    <w:rsid w:val="00FD1F8A"/>
    <w:rsid w:val="00FD3740"/>
    <w:rsid w:val="00FD3D1E"/>
    <w:rsid w:val="00FD50C7"/>
    <w:rsid w:val="00FE23BD"/>
    <w:rsid w:val="00FE2705"/>
    <w:rsid w:val="00FE42CC"/>
    <w:rsid w:val="00FE4887"/>
    <w:rsid w:val="00FE4E95"/>
    <w:rsid w:val="00FE5CC4"/>
    <w:rsid w:val="00FE60B8"/>
    <w:rsid w:val="00FF02DB"/>
    <w:rsid w:val="00FF0D2C"/>
    <w:rsid w:val="00FF118B"/>
    <w:rsid w:val="00FF2C14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9349C"/>
  <w15:docId w15:val="{2BE204CA-B6C2-4733-BA7B-F641749E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E253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E253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E253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D64F39"/>
    <w:pPr>
      <w:spacing w:after="192"/>
    </w:pPr>
    <w:rPr>
      <w:rFonts w:ascii="Trebuchet MS" w:hAnsi="Trebuchet MS"/>
      <w:color w:val="000000"/>
      <w:sz w:val="22"/>
      <w:szCs w:val="22"/>
      <w:lang w:val="en-GB" w:eastAsia="en-US"/>
    </w:rPr>
  </w:style>
  <w:style w:type="paragraph" w:styleId="BalloonText">
    <w:name w:val="Balloon Text"/>
    <w:basedOn w:val="Normal"/>
    <w:semiHidden/>
    <w:rsid w:val="000C538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D1E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D1EC5"/>
  </w:style>
  <w:style w:type="paragraph" w:styleId="NormalWeb">
    <w:name w:val="Normal (Web)"/>
    <w:basedOn w:val="Normal"/>
    <w:rsid w:val="00E2531D"/>
    <w:pPr>
      <w:spacing w:before="100" w:beforeAutospacing="1" w:after="100" w:afterAutospacing="1"/>
    </w:pPr>
  </w:style>
  <w:style w:type="paragraph" w:customStyle="1" w:styleId="Default">
    <w:name w:val="Default"/>
    <w:rsid w:val="006428B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428B4"/>
    <w:rPr>
      <w:color w:val="000000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428B4"/>
    <w:rPr>
      <w:color w:val="000000"/>
      <w:lang w:val="hr-HR" w:eastAsia="hr-HR" w:bidi="ar-SA"/>
    </w:rPr>
  </w:style>
  <w:style w:type="character" w:styleId="FootnoteReference">
    <w:name w:val="footnote reference"/>
    <w:uiPriority w:val="99"/>
    <w:semiHidden/>
    <w:rsid w:val="006428B4"/>
    <w:rPr>
      <w:rFonts w:cs="Times New Roman"/>
      <w:vertAlign w:val="superscript"/>
    </w:rPr>
  </w:style>
  <w:style w:type="character" w:styleId="Strong">
    <w:name w:val="Strong"/>
    <w:uiPriority w:val="22"/>
    <w:qFormat/>
    <w:rsid w:val="005C7221"/>
    <w:rPr>
      <w:b/>
      <w:bCs/>
    </w:rPr>
  </w:style>
  <w:style w:type="character" w:styleId="Hyperlink">
    <w:name w:val="Hyperlink"/>
    <w:uiPriority w:val="99"/>
    <w:unhideWhenUsed/>
    <w:rsid w:val="005C7221"/>
    <w:rPr>
      <w:color w:val="0000FF"/>
      <w:u w:val="single"/>
    </w:rPr>
  </w:style>
  <w:style w:type="paragraph" w:customStyle="1" w:styleId="t-9-8">
    <w:name w:val="t-9-8"/>
    <w:basedOn w:val="Normal"/>
    <w:rsid w:val="00D447FC"/>
    <w:pPr>
      <w:spacing w:before="100" w:beforeAutospacing="1" w:after="100" w:afterAutospacing="1"/>
    </w:pPr>
    <w:rPr>
      <w:rFonts w:eastAsia="MS Mincho"/>
      <w:lang w:eastAsia="ja-JP"/>
    </w:rPr>
  </w:style>
  <w:style w:type="character" w:styleId="CommentReference">
    <w:name w:val="annotation reference"/>
    <w:semiHidden/>
    <w:rsid w:val="00426567"/>
    <w:rPr>
      <w:sz w:val="16"/>
      <w:szCs w:val="16"/>
    </w:rPr>
  </w:style>
  <w:style w:type="paragraph" w:styleId="CommentText">
    <w:name w:val="annotation text"/>
    <w:basedOn w:val="Normal"/>
    <w:semiHidden/>
    <w:rsid w:val="0042656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26567"/>
    <w:rPr>
      <w:b/>
      <w:bCs/>
    </w:rPr>
  </w:style>
  <w:style w:type="paragraph" w:customStyle="1" w:styleId="clanak">
    <w:name w:val="clanak"/>
    <w:basedOn w:val="Normal"/>
    <w:rsid w:val="00BE72F5"/>
    <w:pPr>
      <w:spacing w:before="100" w:beforeAutospacing="1" w:after="100" w:afterAutospacing="1"/>
      <w:jc w:val="center"/>
    </w:pPr>
    <w:rPr>
      <w:lang w:bidi="ta-IN"/>
    </w:rPr>
  </w:style>
  <w:style w:type="table" w:styleId="TableGrid">
    <w:name w:val="Table Grid"/>
    <w:basedOn w:val="TableNormal"/>
    <w:rsid w:val="00BE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link w:val="NormalChar"/>
    <w:rsid w:val="00930E5E"/>
    <w:pPr>
      <w:widowControl w:val="0"/>
      <w:autoSpaceDE w:val="0"/>
      <w:autoSpaceDN w:val="0"/>
      <w:adjustRightInd w:val="0"/>
    </w:pPr>
    <w:rPr>
      <w:rFonts w:ascii="Arial" w:hAnsi="Arial" w:cs="Arial"/>
      <w:lang w:val="de-DE" w:eastAsia="de-DE"/>
    </w:rPr>
  </w:style>
  <w:style w:type="character" w:customStyle="1" w:styleId="NormalChar">
    <w:name w:val="[Normal] Char"/>
    <w:link w:val="Normal0"/>
    <w:rsid w:val="00930E5E"/>
    <w:rPr>
      <w:rFonts w:ascii="Arial" w:hAnsi="Arial" w:cs="Arial"/>
      <w:lang w:val="de-DE" w:eastAsia="de-DE" w:bidi="ar-SA"/>
    </w:rPr>
  </w:style>
  <w:style w:type="character" w:customStyle="1" w:styleId="h14">
    <w:name w:val="h14"/>
    <w:rsid w:val="00930E5E"/>
    <w:rPr>
      <w:b/>
      <w:bCs/>
      <w:vanish w:val="0"/>
      <w:webHidden w:val="0"/>
      <w:sz w:val="18"/>
      <w:szCs w:val="18"/>
      <w:specVanish w:val="0"/>
    </w:rPr>
  </w:style>
  <w:style w:type="paragraph" w:customStyle="1" w:styleId="Char">
    <w:name w:val="Char"/>
    <w:basedOn w:val="Normal"/>
    <w:rsid w:val="002520A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Normal"/>
    <w:qFormat/>
    <w:rsid w:val="00466C70"/>
    <w:pPr>
      <w:ind w:left="708"/>
    </w:pPr>
  </w:style>
  <w:style w:type="paragraph" w:customStyle="1" w:styleId="tb-na16">
    <w:name w:val="tb-na16"/>
    <w:basedOn w:val="Normal"/>
    <w:rsid w:val="00AC53C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050A7A"/>
    <w:pPr>
      <w:jc w:val="center"/>
    </w:pPr>
    <w:rPr>
      <w:rFonts w:ascii="Arial" w:hAnsi="Arial" w:cs="Arial"/>
      <w:b/>
      <w:bCs/>
      <w:iCs/>
      <w:lang w:eastAsia="en-US"/>
    </w:rPr>
  </w:style>
  <w:style w:type="character" w:customStyle="1" w:styleId="BodyTextChar">
    <w:name w:val="Body Text Char"/>
    <w:link w:val="BodyText"/>
    <w:rsid w:val="00050A7A"/>
    <w:rPr>
      <w:rFonts w:ascii="Arial" w:hAnsi="Arial" w:cs="Arial"/>
      <w:b/>
      <w:bCs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AF2C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F2C64"/>
    <w:rPr>
      <w:sz w:val="24"/>
      <w:szCs w:val="24"/>
      <w:lang w:val="hr-HR" w:eastAsia="hr-HR"/>
    </w:rPr>
  </w:style>
  <w:style w:type="character" w:customStyle="1" w:styleId="FooterChar">
    <w:name w:val="Footer Char"/>
    <w:link w:val="Footer"/>
    <w:uiPriority w:val="99"/>
    <w:rsid w:val="00C20D39"/>
    <w:rPr>
      <w:sz w:val="24"/>
      <w:szCs w:val="24"/>
    </w:rPr>
  </w:style>
  <w:style w:type="paragraph" w:customStyle="1" w:styleId="klasa2">
    <w:name w:val="klasa2"/>
    <w:basedOn w:val="Normal"/>
    <w:uiPriority w:val="99"/>
    <w:rsid w:val="008431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554">
              <w:marLeft w:val="0"/>
              <w:marRight w:val="0"/>
              <w:marTop w:val="25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3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6184">
              <w:marLeft w:val="0"/>
              <w:marRight w:val="0"/>
              <w:marTop w:val="4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0E4A9-A504-4DC0-A886-3AC2D030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1585</Words>
  <Characters>9041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PRIJEDLOG ODLUKE O SUDJELOVANJU</vt:lpstr>
      <vt:lpstr>PRIJEDLOG ODLUKE O SUDJELOVANJU</vt:lpstr>
    </vt:vector>
  </TitlesOfParts>
  <Company>RH - TDU</Company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ODLUKE O SUDJELOVANJU</dc:title>
  <dc:creator>Davor Pohovski</dc:creator>
  <cp:lastModifiedBy>Snježana Skakelja</cp:lastModifiedBy>
  <cp:revision>6</cp:revision>
  <cp:lastPrinted>2024-08-28T14:08:00Z</cp:lastPrinted>
  <dcterms:created xsi:type="dcterms:W3CDTF">2024-09-13T11:39:00Z</dcterms:created>
  <dcterms:modified xsi:type="dcterms:W3CDTF">2024-10-03T09:32:00Z</dcterms:modified>
</cp:coreProperties>
</file>