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A64C" w14:textId="77777777" w:rsidR="006F3C0E" w:rsidRPr="00E260E1" w:rsidRDefault="006F3C0E" w:rsidP="006F3C0E"/>
    <w:p w14:paraId="19B29DCF" w14:textId="77777777" w:rsidR="006F3C0E" w:rsidRPr="006F3C0E" w:rsidRDefault="006F3C0E" w:rsidP="006F3C0E">
      <w:pPr>
        <w:autoSpaceDE w:val="0"/>
        <w:autoSpaceDN w:val="0"/>
        <w:spacing w:after="0" w:line="240" w:lineRule="auto"/>
        <w:jc w:val="center"/>
        <w:rPr>
          <w:rFonts w:ascii="Times New Roman" w:eastAsia="Times New Roman" w:hAnsi="Times New Roman" w:cs="Times New Roman"/>
          <w:b/>
          <w:bCs/>
          <w:spacing w:val="6"/>
          <w:sz w:val="24"/>
          <w:szCs w:val="24"/>
        </w:rPr>
      </w:pPr>
      <w:r w:rsidRPr="006F3C0E">
        <w:rPr>
          <w:rFonts w:ascii="Times New Roman" w:eastAsia="Times New Roman" w:hAnsi="Times New Roman" w:cs="Times New Roman"/>
          <w:b/>
          <w:bCs/>
          <w:spacing w:val="6"/>
          <w:sz w:val="24"/>
          <w:szCs w:val="24"/>
        </w:rPr>
        <w:t xml:space="preserve">   </w:t>
      </w:r>
      <w:r w:rsidRPr="006F3C0E">
        <w:rPr>
          <w:rFonts w:ascii="Times New Roman" w:eastAsia="Times New Roman" w:hAnsi="Times New Roman" w:cs="Times New Roman"/>
          <w:b/>
          <w:bCs/>
          <w:noProof/>
          <w:spacing w:val="6"/>
          <w:sz w:val="24"/>
          <w:szCs w:val="24"/>
          <w:lang w:eastAsia="hr-HR"/>
        </w:rPr>
        <w:drawing>
          <wp:inline distT="0" distB="0" distL="0" distR="0" wp14:anchorId="124A78FC" wp14:editId="4E1019E3">
            <wp:extent cx="5016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1650" cy="685800"/>
                    </a:xfrm>
                    <a:prstGeom prst="rect">
                      <a:avLst/>
                    </a:prstGeom>
                    <a:noFill/>
                    <a:ln w="9525">
                      <a:noFill/>
                      <a:miter lim="800000"/>
                      <a:headEnd/>
                      <a:tailEnd/>
                    </a:ln>
                  </pic:spPr>
                </pic:pic>
              </a:graphicData>
            </a:graphic>
          </wp:inline>
        </w:drawing>
      </w:r>
      <w:r w:rsidRPr="006F3C0E">
        <w:rPr>
          <w:rFonts w:ascii="Times New Roman" w:eastAsia="Times New Roman" w:hAnsi="Times New Roman" w:cs="Times New Roman"/>
          <w:b/>
          <w:bCs/>
          <w:spacing w:val="6"/>
          <w:sz w:val="24"/>
          <w:szCs w:val="24"/>
        </w:rPr>
        <w:fldChar w:fldCharType="begin"/>
      </w:r>
      <w:r w:rsidRPr="006F3C0E">
        <w:rPr>
          <w:rFonts w:ascii="Times New Roman" w:eastAsia="Times New Roman" w:hAnsi="Times New Roman" w:cs="Times New Roman"/>
          <w:b/>
          <w:bCs/>
          <w:spacing w:val="6"/>
          <w:sz w:val="24"/>
          <w:szCs w:val="24"/>
        </w:rPr>
        <w:instrText xml:space="preserve"> INCLUDEPICTURE "http://www.inet.hr/~box/images/grb-rh.gif" \* MERGEFORMATINET </w:instrText>
      </w:r>
      <w:r w:rsidRPr="006F3C0E">
        <w:rPr>
          <w:rFonts w:ascii="Times New Roman" w:eastAsia="Times New Roman" w:hAnsi="Times New Roman" w:cs="Times New Roman"/>
          <w:b/>
          <w:bCs/>
          <w:spacing w:val="6"/>
          <w:sz w:val="24"/>
          <w:szCs w:val="24"/>
        </w:rPr>
        <w:fldChar w:fldCharType="end"/>
      </w:r>
    </w:p>
    <w:p w14:paraId="745CCCC3" w14:textId="77777777" w:rsidR="006F3C0E" w:rsidRPr="006F3C0E" w:rsidRDefault="006F3C0E" w:rsidP="006F3C0E">
      <w:pPr>
        <w:spacing w:before="60" w:after="1680"/>
        <w:contextualSpacing/>
        <w:jc w:val="center"/>
        <w:rPr>
          <w:rFonts w:ascii="Times New Roman" w:hAnsi="Times New Roman" w:cs="Times New Roman"/>
          <w:sz w:val="24"/>
          <w:szCs w:val="24"/>
        </w:rPr>
      </w:pPr>
      <w:r w:rsidRPr="006F3C0E">
        <w:rPr>
          <w:rFonts w:ascii="Times New Roman" w:hAnsi="Times New Roman" w:cs="Times New Roman"/>
          <w:sz w:val="24"/>
          <w:szCs w:val="24"/>
        </w:rPr>
        <w:t>VLADA REPUBLIKE HRVATSKE</w:t>
      </w:r>
    </w:p>
    <w:p w14:paraId="27284862" w14:textId="77777777" w:rsidR="006F3C0E" w:rsidRPr="006F3C0E" w:rsidRDefault="006F3C0E" w:rsidP="006F3C0E">
      <w:pPr>
        <w:spacing w:before="60" w:after="1680"/>
        <w:contextualSpacing/>
        <w:jc w:val="center"/>
      </w:pPr>
    </w:p>
    <w:p w14:paraId="4F6D8EAC" w14:textId="77777777" w:rsidR="006F3C0E" w:rsidRPr="006F3C0E" w:rsidRDefault="006F3C0E" w:rsidP="006F3C0E">
      <w:pPr>
        <w:spacing w:before="60" w:after="1680"/>
        <w:contextualSpacing/>
        <w:jc w:val="center"/>
      </w:pPr>
    </w:p>
    <w:p w14:paraId="390749BB" w14:textId="77777777" w:rsidR="006F3C0E" w:rsidRPr="006F3C0E" w:rsidRDefault="006F3C0E" w:rsidP="006F3C0E">
      <w:pPr>
        <w:spacing w:before="60" w:after="1680"/>
        <w:contextualSpacing/>
        <w:jc w:val="center"/>
      </w:pPr>
    </w:p>
    <w:p w14:paraId="67A45E54" w14:textId="77777777" w:rsidR="006F3C0E" w:rsidRPr="006F3C0E" w:rsidRDefault="006F3C0E" w:rsidP="006F3C0E">
      <w:pPr>
        <w:spacing w:before="60" w:after="1680"/>
        <w:contextualSpacing/>
        <w:jc w:val="center"/>
      </w:pPr>
    </w:p>
    <w:p w14:paraId="27C39CBA" w14:textId="77777777" w:rsidR="006F3C0E" w:rsidRPr="006F3C0E" w:rsidRDefault="006F3C0E" w:rsidP="006F3C0E">
      <w:pPr>
        <w:spacing w:before="60" w:after="1680"/>
        <w:contextualSpacing/>
      </w:pPr>
    </w:p>
    <w:p w14:paraId="166047BE" w14:textId="77777777" w:rsidR="006F3C0E" w:rsidRPr="006F3C0E" w:rsidRDefault="006F3C0E" w:rsidP="006F3C0E">
      <w:pPr>
        <w:spacing w:before="60" w:after="1680"/>
        <w:contextualSpacing/>
      </w:pPr>
    </w:p>
    <w:p w14:paraId="06ACF209" w14:textId="0B5A4A1D" w:rsidR="006F3C0E" w:rsidRPr="006F3C0E" w:rsidRDefault="006F3C0E" w:rsidP="006F3C0E">
      <w:pPr>
        <w:contextualSpacing/>
        <w:jc w:val="right"/>
        <w:rPr>
          <w:rFonts w:ascii="Times New Roman" w:hAnsi="Times New Roman" w:cs="Times New Roman"/>
          <w:sz w:val="24"/>
          <w:szCs w:val="24"/>
        </w:rPr>
      </w:pPr>
      <w:r w:rsidRPr="006F3C0E">
        <w:rPr>
          <w:rFonts w:ascii="Times New Roman" w:hAnsi="Times New Roman" w:cs="Times New Roman"/>
          <w:sz w:val="24"/>
          <w:szCs w:val="24"/>
        </w:rPr>
        <w:t xml:space="preserve">Zagreb, </w:t>
      </w:r>
      <w:r w:rsidR="00895235">
        <w:rPr>
          <w:rFonts w:ascii="Times New Roman" w:hAnsi="Times New Roman" w:cs="Times New Roman"/>
          <w:sz w:val="24"/>
          <w:szCs w:val="24"/>
        </w:rPr>
        <w:t>10</w:t>
      </w:r>
      <w:r w:rsidR="00FD75DE">
        <w:rPr>
          <w:rFonts w:ascii="Times New Roman" w:hAnsi="Times New Roman" w:cs="Times New Roman"/>
          <w:sz w:val="24"/>
          <w:szCs w:val="24"/>
        </w:rPr>
        <w:t xml:space="preserve">. </w:t>
      </w:r>
      <w:r w:rsidR="00895235">
        <w:rPr>
          <w:rFonts w:ascii="Times New Roman" w:hAnsi="Times New Roman" w:cs="Times New Roman"/>
          <w:sz w:val="24"/>
          <w:szCs w:val="24"/>
        </w:rPr>
        <w:t>listopada</w:t>
      </w:r>
      <w:bookmarkStart w:id="0" w:name="_GoBack"/>
      <w:bookmarkEnd w:id="0"/>
      <w:r w:rsidR="00D42367">
        <w:rPr>
          <w:rFonts w:ascii="Times New Roman" w:hAnsi="Times New Roman" w:cs="Times New Roman"/>
          <w:sz w:val="24"/>
          <w:szCs w:val="24"/>
        </w:rPr>
        <w:t xml:space="preserve"> </w:t>
      </w:r>
      <w:r w:rsidRPr="006F3C0E">
        <w:rPr>
          <w:rFonts w:ascii="Times New Roman" w:hAnsi="Times New Roman" w:cs="Times New Roman"/>
          <w:sz w:val="24"/>
          <w:szCs w:val="24"/>
        </w:rPr>
        <w:t>202</w:t>
      </w:r>
      <w:r w:rsidR="001776D7">
        <w:rPr>
          <w:rFonts w:ascii="Times New Roman" w:hAnsi="Times New Roman" w:cs="Times New Roman"/>
          <w:sz w:val="24"/>
          <w:szCs w:val="24"/>
        </w:rPr>
        <w:t>4</w:t>
      </w:r>
      <w:r w:rsidRPr="006F3C0E">
        <w:rPr>
          <w:rFonts w:ascii="Times New Roman" w:hAnsi="Times New Roman" w:cs="Times New Roman"/>
          <w:sz w:val="24"/>
          <w:szCs w:val="24"/>
        </w:rPr>
        <w:t xml:space="preserve">. </w:t>
      </w:r>
    </w:p>
    <w:p w14:paraId="33CDE49D" w14:textId="77777777" w:rsidR="006F3C0E" w:rsidRPr="006F3C0E" w:rsidRDefault="006F3C0E" w:rsidP="006F3C0E">
      <w:pPr>
        <w:contextualSpacing/>
        <w:jc w:val="right"/>
      </w:pPr>
    </w:p>
    <w:p w14:paraId="7CC82E5A" w14:textId="77777777" w:rsidR="006F3C0E" w:rsidRPr="006F3C0E" w:rsidRDefault="006F3C0E" w:rsidP="006F3C0E">
      <w:pPr>
        <w:contextualSpacing/>
        <w:jc w:val="right"/>
      </w:pPr>
    </w:p>
    <w:p w14:paraId="26A7324D" w14:textId="77777777" w:rsidR="006F3C0E" w:rsidRPr="006F3C0E" w:rsidRDefault="006F3C0E" w:rsidP="006F3C0E">
      <w:pPr>
        <w:contextualSpacing/>
        <w:jc w:val="right"/>
      </w:pPr>
    </w:p>
    <w:p w14:paraId="77417455" w14:textId="77777777" w:rsidR="006F3C0E" w:rsidRPr="006F3C0E" w:rsidRDefault="006F3C0E" w:rsidP="006F3C0E">
      <w:pPr>
        <w:contextualSpacing/>
        <w:jc w:val="right"/>
      </w:pPr>
    </w:p>
    <w:p w14:paraId="2518E235" w14:textId="77777777" w:rsidR="006F3C0E" w:rsidRPr="006F3C0E" w:rsidRDefault="006F3C0E" w:rsidP="006F3C0E">
      <w:pPr>
        <w:contextualSpacing/>
        <w:jc w:val="right"/>
      </w:pPr>
    </w:p>
    <w:p w14:paraId="46AAD283" w14:textId="77777777" w:rsidR="006F3C0E" w:rsidRPr="006F3C0E" w:rsidRDefault="006F3C0E" w:rsidP="006F3C0E">
      <w:pPr>
        <w:contextualSpacing/>
        <w:jc w:val="right"/>
      </w:pPr>
    </w:p>
    <w:p w14:paraId="225ABB77" w14:textId="77777777" w:rsidR="006F3C0E" w:rsidRPr="006F3C0E" w:rsidRDefault="006F3C0E" w:rsidP="006F3C0E">
      <w:pPr>
        <w:contextualSpacing/>
      </w:pPr>
    </w:p>
    <w:p w14:paraId="0DD68FD6" w14:textId="77777777" w:rsidR="006F3C0E" w:rsidRPr="006F3C0E" w:rsidRDefault="006F3C0E" w:rsidP="006F3C0E">
      <w:pPr>
        <w:contextualSpacing/>
      </w:pPr>
    </w:p>
    <w:p w14:paraId="7B58C2C8" w14:textId="77777777" w:rsidR="006F3C0E" w:rsidRPr="006F3C0E" w:rsidRDefault="006F3C0E" w:rsidP="006F3C0E">
      <w:pPr>
        <w:contextualSpacing/>
      </w:pPr>
      <w:r w:rsidRPr="006F3C0E">
        <w:t>_________________________________________________________________________________</w:t>
      </w:r>
    </w:p>
    <w:tbl>
      <w:tblPr>
        <w:tblW w:w="0" w:type="auto"/>
        <w:tblLook w:val="04A0" w:firstRow="1" w:lastRow="0" w:firstColumn="1" w:lastColumn="0" w:noHBand="0" w:noVBand="1"/>
      </w:tblPr>
      <w:tblGrid>
        <w:gridCol w:w="1949"/>
        <w:gridCol w:w="7123"/>
      </w:tblGrid>
      <w:tr w:rsidR="006F3C0E" w:rsidRPr="006F3C0E" w14:paraId="077C8A9B" w14:textId="77777777">
        <w:tc>
          <w:tcPr>
            <w:tcW w:w="1951" w:type="dxa"/>
          </w:tcPr>
          <w:p w14:paraId="17355BC9" w14:textId="77777777" w:rsidR="006F3C0E" w:rsidRPr="006F3C0E" w:rsidRDefault="006F3C0E" w:rsidP="006F3C0E">
            <w:pPr>
              <w:contextualSpacing/>
              <w:jc w:val="right"/>
              <w:rPr>
                <w:rFonts w:ascii="Times New Roman" w:hAnsi="Times New Roman" w:cs="Times New Roman"/>
                <w:sz w:val="24"/>
                <w:szCs w:val="24"/>
              </w:rPr>
            </w:pPr>
            <w:r w:rsidRPr="006F3C0E">
              <w:rPr>
                <w:rFonts w:ascii="Times New Roman" w:hAnsi="Times New Roman" w:cs="Times New Roman"/>
                <w:sz w:val="24"/>
                <w:szCs w:val="24"/>
              </w:rPr>
              <w:t xml:space="preserve"> </w:t>
            </w:r>
          </w:p>
          <w:p w14:paraId="750EDB80" w14:textId="77777777" w:rsidR="006F3C0E" w:rsidRPr="006F3C0E" w:rsidRDefault="006F3C0E" w:rsidP="006F3C0E">
            <w:pPr>
              <w:contextualSpacing/>
              <w:rPr>
                <w:rFonts w:ascii="Times New Roman" w:hAnsi="Times New Roman" w:cs="Times New Roman"/>
                <w:sz w:val="24"/>
                <w:szCs w:val="24"/>
              </w:rPr>
            </w:pPr>
            <w:r w:rsidRPr="006F3C0E">
              <w:rPr>
                <w:rFonts w:ascii="Times New Roman" w:hAnsi="Times New Roman" w:cs="Times New Roman"/>
                <w:b/>
                <w:smallCaps/>
                <w:sz w:val="24"/>
                <w:szCs w:val="24"/>
              </w:rPr>
              <w:t>Predlagatelj</w:t>
            </w:r>
            <w:r w:rsidRPr="006F3C0E">
              <w:rPr>
                <w:rFonts w:ascii="Times New Roman" w:hAnsi="Times New Roman" w:cs="Times New Roman"/>
                <w:b/>
                <w:sz w:val="24"/>
                <w:szCs w:val="24"/>
              </w:rPr>
              <w:t>:</w:t>
            </w:r>
          </w:p>
        </w:tc>
        <w:tc>
          <w:tcPr>
            <w:tcW w:w="7229" w:type="dxa"/>
          </w:tcPr>
          <w:p w14:paraId="5607A127" w14:textId="77777777" w:rsidR="006F3C0E" w:rsidRPr="006F3C0E" w:rsidRDefault="006F3C0E" w:rsidP="006F3C0E">
            <w:pPr>
              <w:contextualSpacing/>
              <w:rPr>
                <w:rFonts w:ascii="Times New Roman" w:hAnsi="Times New Roman" w:cs="Times New Roman"/>
                <w:sz w:val="24"/>
                <w:szCs w:val="24"/>
              </w:rPr>
            </w:pPr>
          </w:p>
          <w:p w14:paraId="7DBE457B" w14:textId="35B891A3" w:rsidR="006F3C0E" w:rsidRPr="006F3C0E" w:rsidRDefault="006F3C0E" w:rsidP="006F3C0E">
            <w:pPr>
              <w:contextualSpacing/>
              <w:rPr>
                <w:rFonts w:ascii="Times New Roman" w:hAnsi="Times New Roman" w:cs="Times New Roman"/>
                <w:sz w:val="24"/>
                <w:szCs w:val="24"/>
              </w:rPr>
            </w:pPr>
            <w:r w:rsidRPr="006F3C0E">
              <w:rPr>
                <w:rFonts w:ascii="Times New Roman" w:hAnsi="Times New Roman" w:cs="Times New Roman"/>
                <w:sz w:val="24"/>
                <w:szCs w:val="24"/>
              </w:rPr>
              <w:t xml:space="preserve">Ministarstvo gospodarstva </w:t>
            </w:r>
          </w:p>
        </w:tc>
      </w:tr>
    </w:tbl>
    <w:p w14:paraId="4FDE06CB" w14:textId="77777777" w:rsidR="006F3C0E" w:rsidRPr="006F3C0E" w:rsidRDefault="006F3C0E" w:rsidP="006F3C0E">
      <w:pPr>
        <w:contextualSpacing/>
      </w:pPr>
      <w:r w:rsidRPr="006F3C0E">
        <w:t>_________________________________________________________________________________</w:t>
      </w:r>
    </w:p>
    <w:p w14:paraId="13B77337" w14:textId="77777777" w:rsidR="006F3C0E" w:rsidRPr="006F3C0E" w:rsidRDefault="006F3C0E" w:rsidP="006F3C0E">
      <w:pPr>
        <w:contextualSpacing/>
        <w:rPr>
          <w:rFonts w:ascii="Times New Roman" w:hAnsi="Times New Roman" w:cs="Times New Roman"/>
          <w:b/>
          <w:smallCaps/>
          <w:sz w:val="24"/>
          <w:szCs w:val="24"/>
        </w:rPr>
      </w:pPr>
    </w:p>
    <w:p w14:paraId="7FCBB3CF" w14:textId="073BE8B1" w:rsidR="006F3C0E" w:rsidRPr="006F3C0E" w:rsidRDefault="006F3C0E" w:rsidP="006F3C0E">
      <w:pPr>
        <w:ind w:left="1410" w:hanging="1410"/>
        <w:contextualSpacing/>
        <w:jc w:val="both"/>
        <w:rPr>
          <w:rFonts w:ascii="Times New Roman" w:hAnsi="Times New Roman" w:cs="Times New Roman"/>
          <w:sz w:val="24"/>
          <w:szCs w:val="24"/>
        </w:rPr>
      </w:pPr>
      <w:r w:rsidRPr="006F3C0E">
        <w:rPr>
          <w:rFonts w:ascii="Times New Roman" w:hAnsi="Times New Roman" w:cs="Times New Roman"/>
          <w:b/>
          <w:smallCaps/>
          <w:sz w:val="24"/>
          <w:szCs w:val="24"/>
        </w:rPr>
        <w:t>Predmet</w:t>
      </w:r>
      <w:r w:rsidRPr="006F3C0E">
        <w:rPr>
          <w:rFonts w:ascii="Times New Roman" w:hAnsi="Times New Roman" w:cs="Times New Roman"/>
          <w:b/>
          <w:sz w:val="24"/>
          <w:szCs w:val="24"/>
        </w:rPr>
        <w:t>:</w:t>
      </w:r>
      <w:r w:rsidRPr="006F3C0E">
        <w:rPr>
          <w:rFonts w:ascii="Times New Roman" w:hAnsi="Times New Roman" w:cs="Times New Roman"/>
          <w:sz w:val="24"/>
          <w:szCs w:val="24"/>
        </w:rPr>
        <w:tab/>
        <w:t xml:space="preserve">Prijedlog </w:t>
      </w:r>
      <w:r w:rsidR="00247DFA">
        <w:rPr>
          <w:rFonts w:ascii="Times New Roman" w:hAnsi="Times New Roman" w:cs="Times New Roman"/>
          <w:sz w:val="24"/>
          <w:szCs w:val="24"/>
        </w:rPr>
        <w:t>o</w:t>
      </w:r>
      <w:r w:rsidRPr="006F3C0E">
        <w:rPr>
          <w:rFonts w:ascii="Times New Roman" w:hAnsi="Times New Roman" w:cs="Times New Roman"/>
          <w:sz w:val="24"/>
          <w:szCs w:val="24"/>
        </w:rPr>
        <w:t xml:space="preserve">dluke o </w:t>
      </w:r>
      <w:r w:rsidR="00E8789D">
        <w:rPr>
          <w:rFonts w:ascii="Times New Roman" w:hAnsi="Times New Roman" w:cs="Times New Roman"/>
          <w:sz w:val="24"/>
          <w:szCs w:val="24"/>
        </w:rPr>
        <w:t xml:space="preserve">odobrenju istražnog prostora ugljikovodika „SA-10“ </w:t>
      </w:r>
      <w:r w:rsidR="00973BA9">
        <w:rPr>
          <w:rFonts w:ascii="Times New Roman" w:hAnsi="Times New Roman" w:cs="Times New Roman"/>
          <w:sz w:val="24"/>
          <w:szCs w:val="24"/>
        </w:rPr>
        <w:t>-</w:t>
      </w:r>
      <w:r w:rsidR="00E8789D">
        <w:rPr>
          <w:rFonts w:ascii="Times New Roman" w:hAnsi="Times New Roman" w:cs="Times New Roman"/>
          <w:sz w:val="24"/>
          <w:szCs w:val="24"/>
        </w:rPr>
        <w:t xml:space="preserve"> područje napuštanja</w:t>
      </w:r>
    </w:p>
    <w:p w14:paraId="44BDFA32" w14:textId="77777777" w:rsidR="006F3C0E" w:rsidRPr="006F3C0E" w:rsidRDefault="006F3C0E" w:rsidP="006F3C0E">
      <w:pPr>
        <w:contextualSpacing/>
      </w:pPr>
      <w:r w:rsidRPr="006F3C0E">
        <w:t>_________________________________________________________________________________</w:t>
      </w:r>
    </w:p>
    <w:p w14:paraId="47341C84" w14:textId="77777777" w:rsidR="006F3C0E" w:rsidRPr="006F3C0E" w:rsidRDefault="006F3C0E" w:rsidP="006F3C0E">
      <w:pPr>
        <w:contextualSpacing/>
      </w:pPr>
    </w:p>
    <w:p w14:paraId="3536D151" w14:textId="77777777" w:rsidR="006F3C0E" w:rsidRPr="006F3C0E" w:rsidRDefault="006F3C0E" w:rsidP="006F3C0E">
      <w:pPr>
        <w:contextualSpacing/>
      </w:pPr>
    </w:p>
    <w:p w14:paraId="1308D058" w14:textId="77777777" w:rsidR="006F3C0E" w:rsidRPr="006F3C0E" w:rsidRDefault="006F3C0E" w:rsidP="006F3C0E">
      <w:pPr>
        <w:contextualSpacing/>
      </w:pPr>
    </w:p>
    <w:p w14:paraId="542D711F" w14:textId="77777777" w:rsidR="006F3C0E" w:rsidRPr="006F3C0E" w:rsidRDefault="006F3C0E" w:rsidP="006F3C0E">
      <w:pPr>
        <w:contextualSpacing/>
      </w:pPr>
    </w:p>
    <w:p w14:paraId="6E599218" w14:textId="77777777" w:rsidR="006F3C0E" w:rsidRPr="006F3C0E" w:rsidRDefault="006F3C0E" w:rsidP="006F3C0E">
      <w:pPr>
        <w:contextualSpacing/>
      </w:pPr>
    </w:p>
    <w:p w14:paraId="7D4688C5" w14:textId="77777777" w:rsidR="006F3C0E" w:rsidRPr="006F3C0E" w:rsidRDefault="006F3C0E" w:rsidP="006F3C0E">
      <w:pPr>
        <w:contextualSpacing/>
      </w:pPr>
    </w:p>
    <w:p w14:paraId="15F9D6B2" w14:textId="77777777" w:rsidR="006F3C0E" w:rsidRPr="006F3C0E" w:rsidRDefault="006F3C0E" w:rsidP="006F3C0E">
      <w:pPr>
        <w:contextualSpacing/>
      </w:pPr>
    </w:p>
    <w:p w14:paraId="2CAE1826" w14:textId="77777777" w:rsidR="006F3C0E" w:rsidRPr="006F3C0E" w:rsidRDefault="006F3C0E" w:rsidP="006F3C0E">
      <w:pPr>
        <w:contextualSpacing/>
      </w:pPr>
    </w:p>
    <w:p w14:paraId="2DE12719" w14:textId="77777777" w:rsidR="006F3C0E" w:rsidRPr="006F3C0E" w:rsidRDefault="006F3C0E" w:rsidP="006F3C0E">
      <w:pPr>
        <w:contextualSpacing/>
      </w:pPr>
    </w:p>
    <w:p w14:paraId="31A5B3E3" w14:textId="77777777" w:rsidR="006F3C0E" w:rsidRPr="006F3C0E" w:rsidRDefault="006F3C0E" w:rsidP="006F3C0E">
      <w:pPr>
        <w:contextualSpacing/>
      </w:pPr>
    </w:p>
    <w:p w14:paraId="3CF2E215" w14:textId="77777777" w:rsidR="006F3C0E" w:rsidRPr="006F3C0E" w:rsidRDefault="006F3C0E" w:rsidP="006F3C0E">
      <w:pPr>
        <w:contextualSpacing/>
      </w:pPr>
    </w:p>
    <w:p w14:paraId="4CD81891" w14:textId="77777777" w:rsidR="006F3C0E" w:rsidRPr="006F3C0E" w:rsidRDefault="006F3C0E" w:rsidP="006F3C0E">
      <w:pPr>
        <w:contextualSpacing/>
      </w:pPr>
    </w:p>
    <w:p w14:paraId="193363D2" w14:textId="77777777" w:rsidR="006F3C0E" w:rsidRPr="006F3C0E" w:rsidRDefault="006F3C0E" w:rsidP="006F3C0E">
      <w:pPr>
        <w:contextualSpacing/>
      </w:pPr>
    </w:p>
    <w:p w14:paraId="63892D67" w14:textId="77777777" w:rsidR="006F3C0E" w:rsidRPr="006F3C0E" w:rsidRDefault="006F3C0E" w:rsidP="006F3C0E">
      <w:pPr>
        <w:contextualSpacing/>
      </w:pPr>
    </w:p>
    <w:p w14:paraId="209FB883" w14:textId="77777777" w:rsidR="006F3C0E" w:rsidRPr="006F3C0E" w:rsidRDefault="006F3C0E" w:rsidP="006F3C0E">
      <w:pPr>
        <w:contextualSpacing/>
      </w:pPr>
    </w:p>
    <w:p w14:paraId="2A76493E" w14:textId="77777777" w:rsidR="006F3C0E" w:rsidRPr="006F3C0E" w:rsidRDefault="006F3C0E" w:rsidP="006F3C0E">
      <w:pPr>
        <w:contextualSpacing/>
      </w:pPr>
    </w:p>
    <w:p w14:paraId="16E48639" w14:textId="77777777" w:rsidR="006F3C0E" w:rsidRPr="006F3C0E" w:rsidRDefault="006F3C0E" w:rsidP="006F3C0E">
      <w:pPr>
        <w:contextualSpacing/>
      </w:pPr>
    </w:p>
    <w:p w14:paraId="46CA312C" w14:textId="77777777" w:rsidR="006F3C0E" w:rsidRPr="006F3C0E" w:rsidRDefault="006F3C0E" w:rsidP="006F3C0E">
      <w:pPr>
        <w:contextualSpacing/>
      </w:pPr>
    </w:p>
    <w:p w14:paraId="55CD4351" w14:textId="77777777" w:rsidR="006F3C0E" w:rsidRPr="006F3C0E" w:rsidRDefault="006F3C0E" w:rsidP="006F3C0E">
      <w:pPr>
        <w:pBdr>
          <w:top w:val="single" w:sz="4" w:space="1" w:color="404040"/>
        </w:pBdr>
        <w:tabs>
          <w:tab w:val="center" w:pos="4536"/>
          <w:tab w:val="right" w:pos="9072"/>
        </w:tabs>
        <w:spacing w:after="0" w:line="240" w:lineRule="auto"/>
        <w:contextualSpacing/>
        <w:jc w:val="center"/>
        <w:rPr>
          <w:rFonts w:ascii="Times New Roman" w:hAnsi="Times New Roman" w:cs="Times New Roman"/>
          <w:spacing w:val="20"/>
        </w:rPr>
      </w:pPr>
      <w:r w:rsidRPr="006F3C0E">
        <w:rPr>
          <w:rFonts w:ascii="Times New Roman" w:hAnsi="Times New Roman" w:cs="Times New Roman"/>
          <w:spacing w:val="20"/>
        </w:rPr>
        <w:t>Banski dvori | Trg Sv. Marka 2 | 10000 Zagreb | tel. 01 4569 222 | vlada.gov.hr</w:t>
      </w:r>
    </w:p>
    <w:p w14:paraId="3031D319" w14:textId="77777777" w:rsidR="00F73F3D" w:rsidRDefault="00F73F3D" w:rsidP="008B3CA5">
      <w:pPr>
        <w:spacing w:before="100" w:beforeAutospacing="1" w:after="100" w:afterAutospacing="1" w:line="240" w:lineRule="auto"/>
        <w:jc w:val="right"/>
        <w:rPr>
          <w:rFonts w:ascii="Times New Roman" w:eastAsia="Times New Roman" w:hAnsi="Times New Roman" w:cs="Times New Roman"/>
          <w:sz w:val="24"/>
          <w:szCs w:val="24"/>
          <w:lang w:eastAsia="hr-HR"/>
        </w:rPr>
      </w:pPr>
    </w:p>
    <w:p w14:paraId="7314B942" w14:textId="77777777" w:rsidR="00F73F3D" w:rsidRDefault="00F73F3D" w:rsidP="008B3CA5">
      <w:pPr>
        <w:spacing w:before="100" w:beforeAutospacing="1" w:after="100" w:afterAutospacing="1" w:line="240" w:lineRule="auto"/>
        <w:jc w:val="right"/>
        <w:rPr>
          <w:rFonts w:ascii="Times New Roman" w:eastAsia="Times New Roman" w:hAnsi="Times New Roman" w:cs="Times New Roman"/>
          <w:sz w:val="24"/>
          <w:szCs w:val="24"/>
          <w:lang w:eastAsia="hr-HR"/>
        </w:rPr>
      </w:pPr>
    </w:p>
    <w:p w14:paraId="6FB127F7" w14:textId="16F6A999" w:rsidR="00B8008A" w:rsidRDefault="008B3CA5" w:rsidP="003765BD">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PRIJEDLOG</w:t>
      </w:r>
    </w:p>
    <w:p w14:paraId="56C72B5F" w14:textId="77777777" w:rsidR="003765BD" w:rsidRDefault="003765BD" w:rsidP="003765BD">
      <w:pPr>
        <w:spacing w:after="0" w:line="240" w:lineRule="auto"/>
        <w:jc w:val="right"/>
        <w:rPr>
          <w:rFonts w:ascii="Times New Roman" w:eastAsia="Times New Roman" w:hAnsi="Times New Roman" w:cs="Times New Roman"/>
          <w:sz w:val="24"/>
          <w:szCs w:val="24"/>
          <w:lang w:eastAsia="hr-HR"/>
        </w:rPr>
      </w:pPr>
    </w:p>
    <w:p w14:paraId="3FB05D30" w14:textId="77777777" w:rsidR="003765BD" w:rsidRPr="003E624E" w:rsidRDefault="003765BD" w:rsidP="003765BD">
      <w:pPr>
        <w:spacing w:after="0" w:line="240" w:lineRule="auto"/>
        <w:jc w:val="right"/>
        <w:rPr>
          <w:rFonts w:ascii="Times New Roman" w:eastAsia="Times New Roman" w:hAnsi="Times New Roman" w:cs="Times New Roman"/>
          <w:sz w:val="24"/>
          <w:szCs w:val="24"/>
          <w:lang w:eastAsia="hr-HR"/>
        </w:rPr>
      </w:pPr>
    </w:p>
    <w:p w14:paraId="5090B15C" w14:textId="42985D6A" w:rsidR="006532A7" w:rsidRPr="006532A7" w:rsidRDefault="006532A7" w:rsidP="007B46D9">
      <w:pPr>
        <w:spacing w:after="0" w:line="240" w:lineRule="auto"/>
        <w:ind w:firstLine="1418"/>
        <w:jc w:val="both"/>
        <w:rPr>
          <w:rFonts w:ascii="Times New Roman" w:hAnsi="Times New Roman" w:cs="Times New Roman"/>
          <w:sz w:val="24"/>
          <w:szCs w:val="24"/>
        </w:rPr>
      </w:pPr>
      <w:r w:rsidRPr="006532A7">
        <w:rPr>
          <w:rFonts w:ascii="Times New Roman" w:eastAsia="Times New Roman" w:hAnsi="Times New Roman" w:cs="Times New Roman"/>
          <w:sz w:val="24"/>
          <w:szCs w:val="24"/>
          <w:lang w:eastAsia="hr-HR"/>
        </w:rPr>
        <w:t xml:space="preserve">Na temelju </w:t>
      </w:r>
      <w:r w:rsidRPr="006532A7">
        <w:rPr>
          <w:rFonts w:ascii="Times New Roman" w:hAnsi="Times New Roman" w:cs="Times New Roman"/>
          <w:sz w:val="24"/>
          <w:szCs w:val="24"/>
        </w:rPr>
        <w:t xml:space="preserve">članka 36. </w:t>
      </w:r>
      <w:r w:rsidR="00B45733">
        <w:rPr>
          <w:rFonts w:ascii="Times New Roman" w:hAnsi="Times New Roman" w:cs="Times New Roman"/>
          <w:sz w:val="24"/>
          <w:szCs w:val="24"/>
        </w:rPr>
        <w:t>stavka 5.</w:t>
      </w:r>
      <w:r w:rsidRPr="006532A7">
        <w:rPr>
          <w:rFonts w:ascii="Times New Roman" w:hAnsi="Times New Roman" w:cs="Times New Roman"/>
          <w:sz w:val="24"/>
          <w:szCs w:val="24"/>
        </w:rPr>
        <w:t xml:space="preserve"> Zakona o istraživanju i eksploataciji ugljikovodika („Narodne novine“, br. 52/18., 52/19. i 30/21.), Vlada Republike Hrvatske je na sjednici održanoj ____________ 2024. donijela</w:t>
      </w:r>
    </w:p>
    <w:p w14:paraId="59F0F368" w14:textId="77777777" w:rsidR="006532A7" w:rsidRPr="006532A7" w:rsidRDefault="006532A7" w:rsidP="007B46D9">
      <w:pPr>
        <w:spacing w:after="0" w:line="240" w:lineRule="auto"/>
        <w:ind w:firstLine="708"/>
        <w:jc w:val="both"/>
        <w:rPr>
          <w:rFonts w:ascii="Times New Roman" w:hAnsi="Times New Roman" w:cs="Times New Roman"/>
          <w:sz w:val="24"/>
          <w:szCs w:val="24"/>
        </w:rPr>
      </w:pPr>
    </w:p>
    <w:p w14:paraId="0BB6C695" w14:textId="659EE256" w:rsidR="006532A7" w:rsidRDefault="006532A7" w:rsidP="007B46D9">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O</w:t>
      </w:r>
      <w:r w:rsidR="000C5618">
        <w:rPr>
          <w:rFonts w:ascii="Times New Roman" w:hAnsi="Times New Roman" w:cs="Times New Roman"/>
          <w:b/>
          <w:bCs/>
          <w:sz w:val="24"/>
          <w:szCs w:val="24"/>
        </w:rPr>
        <w:t xml:space="preserve"> </w:t>
      </w:r>
      <w:r w:rsidRPr="006532A7">
        <w:rPr>
          <w:rFonts w:ascii="Times New Roman" w:hAnsi="Times New Roman" w:cs="Times New Roman"/>
          <w:b/>
          <w:bCs/>
          <w:sz w:val="24"/>
          <w:szCs w:val="24"/>
        </w:rPr>
        <w:t>D</w:t>
      </w:r>
      <w:r w:rsidR="000C5618">
        <w:rPr>
          <w:rFonts w:ascii="Times New Roman" w:hAnsi="Times New Roman" w:cs="Times New Roman"/>
          <w:b/>
          <w:bCs/>
          <w:sz w:val="24"/>
          <w:szCs w:val="24"/>
        </w:rPr>
        <w:t xml:space="preserve"> </w:t>
      </w:r>
      <w:r w:rsidRPr="006532A7">
        <w:rPr>
          <w:rFonts w:ascii="Times New Roman" w:hAnsi="Times New Roman" w:cs="Times New Roman"/>
          <w:b/>
          <w:bCs/>
          <w:sz w:val="24"/>
          <w:szCs w:val="24"/>
        </w:rPr>
        <w:t>L</w:t>
      </w:r>
      <w:r w:rsidR="000C5618">
        <w:rPr>
          <w:rFonts w:ascii="Times New Roman" w:hAnsi="Times New Roman" w:cs="Times New Roman"/>
          <w:b/>
          <w:bCs/>
          <w:sz w:val="24"/>
          <w:szCs w:val="24"/>
        </w:rPr>
        <w:t xml:space="preserve"> </w:t>
      </w:r>
      <w:r w:rsidRPr="006532A7">
        <w:rPr>
          <w:rFonts w:ascii="Times New Roman" w:hAnsi="Times New Roman" w:cs="Times New Roman"/>
          <w:b/>
          <w:bCs/>
          <w:sz w:val="24"/>
          <w:szCs w:val="24"/>
        </w:rPr>
        <w:t>U</w:t>
      </w:r>
      <w:r w:rsidR="000C5618">
        <w:rPr>
          <w:rFonts w:ascii="Times New Roman" w:hAnsi="Times New Roman" w:cs="Times New Roman"/>
          <w:b/>
          <w:bCs/>
          <w:sz w:val="24"/>
          <w:szCs w:val="24"/>
        </w:rPr>
        <w:t xml:space="preserve"> </w:t>
      </w:r>
      <w:r w:rsidRPr="006532A7">
        <w:rPr>
          <w:rFonts w:ascii="Times New Roman" w:hAnsi="Times New Roman" w:cs="Times New Roman"/>
          <w:b/>
          <w:bCs/>
          <w:sz w:val="24"/>
          <w:szCs w:val="24"/>
        </w:rPr>
        <w:t>K</w:t>
      </w:r>
      <w:r w:rsidR="000C5618">
        <w:rPr>
          <w:rFonts w:ascii="Times New Roman" w:hAnsi="Times New Roman" w:cs="Times New Roman"/>
          <w:b/>
          <w:bCs/>
          <w:sz w:val="24"/>
          <w:szCs w:val="24"/>
        </w:rPr>
        <w:t xml:space="preserve"> </w:t>
      </w:r>
      <w:r w:rsidRPr="006532A7">
        <w:rPr>
          <w:rFonts w:ascii="Times New Roman" w:hAnsi="Times New Roman" w:cs="Times New Roman"/>
          <w:b/>
          <w:bCs/>
          <w:sz w:val="24"/>
          <w:szCs w:val="24"/>
        </w:rPr>
        <w:t>U</w:t>
      </w:r>
    </w:p>
    <w:p w14:paraId="1B5DF9C7" w14:textId="77777777" w:rsidR="007B46D9" w:rsidRPr="006532A7" w:rsidRDefault="007B46D9" w:rsidP="007B46D9">
      <w:pPr>
        <w:spacing w:after="0" w:line="240" w:lineRule="auto"/>
        <w:jc w:val="center"/>
        <w:rPr>
          <w:rFonts w:ascii="Times New Roman" w:hAnsi="Times New Roman" w:cs="Times New Roman"/>
          <w:b/>
          <w:bCs/>
          <w:sz w:val="24"/>
          <w:szCs w:val="24"/>
        </w:rPr>
      </w:pPr>
    </w:p>
    <w:p w14:paraId="7DED07E2" w14:textId="77777777" w:rsidR="006532A7" w:rsidRPr="006532A7" w:rsidRDefault="006532A7" w:rsidP="007B46D9">
      <w:pPr>
        <w:spacing w:after="0" w:line="240" w:lineRule="auto"/>
        <w:jc w:val="center"/>
        <w:rPr>
          <w:rFonts w:ascii="Times New Roman" w:hAnsi="Times New Roman" w:cs="Times New Roman"/>
          <w:b/>
          <w:bCs/>
          <w:sz w:val="24"/>
          <w:szCs w:val="24"/>
        </w:rPr>
      </w:pPr>
      <w:bookmarkStart w:id="1" w:name="_Hlk21967522"/>
      <w:r w:rsidRPr="006532A7">
        <w:rPr>
          <w:rFonts w:ascii="Times New Roman" w:hAnsi="Times New Roman" w:cs="Times New Roman"/>
          <w:b/>
          <w:bCs/>
          <w:sz w:val="24"/>
          <w:szCs w:val="24"/>
        </w:rPr>
        <w:t xml:space="preserve">o odobrenju istražnog prostora ugljikovodika „SA-10“ - područje napuštanja </w:t>
      </w:r>
    </w:p>
    <w:p w14:paraId="09546D6E" w14:textId="77777777" w:rsidR="006532A7" w:rsidRPr="006532A7" w:rsidRDefault="006532A7" w:rsidP="007B46D9">
      <w:pPr>
        <w:spacing w:after="0" w:line="240" w:lineRule="auto"/>
        <w:jc w:val="center"/>
        <w:rPr>
          <w:rFonts w:ascii="Times New Roman" w:hAnsi="Times New Roman" w:cs="Times New Roman"/>
          <w:b/>
          <w:bCs/>
          <w:sz w:val="24"/>
          <w:szCs w:val="24"/>
        </w:rPr>
      </w:pPr>
    </w:p>
    <w:p w14:paraId="06F6C00C" w14:textId="0203FD92" w:rsidR="006532A7" w:rsidRDefault="006532A7" w:rsidP="007B46D9">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I.</w:t>
      </w:r>
    </w:p>
    <w:p w14:paraId="6E23781E" w14:textId="77777777" w:rsidR="007B46D9" w:rsidRPr="006532A7" w:rsidRDefault="007B46D9" w:rsidP="007B46D9">
      <w:pPr>
        <w:spacing w:after="0" w:line="240" w:lineRule="auto"/>
        <w:jc w:val="center"/>
        <w:rPr>
          <w:rFonts w:ascii="Times New Roman" w:hAnsi="Times New Roman" w:cs="Times New Roman"/>
          <w:b/>
          <w:bCs/>
          <w:sz w:val="24"/>
          <w:szCs w:val="24"/>
        </w:rPr>
      </w:pPr>
    </w:p>
    <w:p w14:paraId="433250D8" w14:textId="7A34D610" w:rsidR="006532A7" w:rsidRDefault="000C5618" w:rsidP="007B46D9">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Vlada Republike Hrvatske o</w:t>
      </w:r>
      <w:r w:rsidR="006532A7" w:rsidRPr="006532A7">
        <w:rPr>
          <w:rFonts w:ascii="Times New Roman" w:hAnsi="Times New Roman" w:cs="Times New Roman"/>
          <w:sz w:val="24"/>
          <w:szCs w:val="24"/>
        </w:rPr>
        <w:t>dobrava</w:t>
      </w:r>
      <w:r w:rsidR="00D61744">
        <w:rPr>
          <w:rFonts w:ascii="Times New Roman" w:hAnsi="Times New Roman" w:cs="Times New Roman"/>
          <w:sz w:val="24"/>
          <w:szCs w:val="24"/>
        </w:rPr>
        <w:t xml:space="preserve"> </w:t>
      </w:r>
      <w:r w:rsidR="006532A7" w:rsidRPr="006532A7">
        <w:rPr>
          <w:rFonts w:ascii="Times New Roman" w:hAnsi="Times New Roman" w:cs="Times New Roman"/>
          <w:sz w:val="24"/>
          <w:szCs w:val="24"/>
        </w:rPr>
        <w:t>istražni prostor ugljikovodika „SA-10“ - područje napuštanja, koji ostaje nakon napuštanja istražnog prostora ugljikovodika „SA-10“ druge istražne faze utvrđenog Odlukom o odobrenju istražnog prostora ugljikovodika „SA-10“ druge istražne faze</w:t>
      </w:r>
      <w:r>
        <w:rPr>
          <w:rFonts w:ascii="Times New Roman" w:hAnsi="Times New Roman" w:cs="Times New Roman"/>
          <w:sz w:val="24"/>
          <w:szCs w:val="24"/>
        </w:rPr>
        <w:t xml:space="preserve">, </w:t>
      </w:r>
      <w:r w:rsidR="006532A7" w:rsidRPr="006532A7">
        <w:rPr>
          <w:rFonts w:ascii="Times New Roman" w:hAnsi="Times New Roman" w:cs="Times New Roman"/>
          <w:sz w:val="24"/>
          <w:szCs w:val="24"/>
        </w:rPr>
        <w:t xml:space="preserve">KLASA: 022-03/19-04/225, URBROJ: 50301-25/05-19-2, od 6. lipnja 2019.) od strane društva </w:t>
      </w:r>
      <w:bookmarkStart w:id="2" w:name="_Hlk133403867"/>
      <w:r w:rsidR="006532A7" w:rsidRPr="006532A7">
        <w:rPr>
          <w:rFonts w:ascii="Times New Roman" w:hAnsi="Times New Roman" w:cs="Times New Roman"/>
          <w:sz w:val="24"/>
          <w:szCs w:val="24"/>
        </w:rPr>
        <w:t xml:space="preserve">Vermilion Zagreb Exploration d.o.o., </w:t>
      </w:r>
      <w:r w:rsidR="003846F0">
        <w:rPr>
          <w:rFonts w:ascii="Times New Roman" w:hAnsi="Times New Roman" w:cs="Times New Roman"/>
          <w:sz w:val="24"/>
          <w:szCs w:val="24"/>
        </w:rPr>
        <w:t>Strojarska cesta 20</w:t>
      </w:r>
      <w:r w:rsidR="006532A7" w:rsidRPr="006532A7">
        <w:rPr>
          <w:rFonts w:ascii="Times New Roman" w:hAnsi="Times New Roman" w:cs="Times New Roman"/>
          <w:sz w:val="24"/>
          <w:szCs w:val="24"/>
        </w:rPr>
        <w:t>, Zagreb, OIB: 29241599964</w:t>
      </w:r>
      <w:bookmarkEnd w:id="2"/>
      <w:r w:rsidR="006532A7" w:rsidRPr="006532A7">
        <w:rPr>
          <w:rFonts w:ascii="Times New Roman" w:hAnsi="Times New Roman" w:cs="Times New Roman"/>
          <w:sz w:val="24"/>
          <w:szCs w:val="24"/>
        </w:rPr>
        <w:t xml:space="preserve"> (u daljnjem tekstu: društvo Vermilion) temeljem Odluke o izdavanju dozvole za istraživanje i eksploataciju ugljikovodika na kopnu u istražnom prostoru ugljikovodika „SA-10“ („Narodne novine“, br. </w:t>
      </w:r>
      <w:bookmarkStart w:id="3" w:name="_Hlk133403824"/>
      <w:r w:rsidR="006532A7" w:rsidRPr="006532A7">
        <w:rPr>
          <w:rFonts w:ascii="Times New Roman" w:hAnsi="Times New Roman" w:cs="Times New Roman"/>
          <w:sz w:val="24"/>
          <w:szCs w:val="24"/>
        </w:rPr>
        <w:t>63/15. i 61/16</w:t>
      </w:r>
      <w:bookmarkEnd w:id="3"/>
      <w:r w:rsidR="006532A7" w:rsidRPr="006532A7">
        <w:rPr>
          <w:rFonts w:ascii="Times New Roman" w:hAnsi="Times New Roman" w:cs="Times New Roman"/>
          <w:sz w:val="24"/>
          <w:szCs w:val="24"/>
        </w:rPr>
        <w:t>.) i Ugovora o istraživanju i podjeli eksploatacije ugljikovodika za istražni prostor SA-10 zaključenog između Vlade Republike Hrvatske i društva Vermilion (u daljnjem tekstu: Ugovor).</w:t>
      </w:r>
    </w:p>
    <w:p w14:paraId="74C8B738" w14:textId="77777777" w:rsidR="007B46D9" w:rsidRPr="006532A7" w:rsidRDefault="007B46D9" w:rsidP="007B46D9">
      <w:pPr>
        <w:spacing w:after="0" w:line="240" w:lineRule="auto"/>
        <w:ind w:firstLine="1418"/>
        <w:jc w:val="both"/>
        <w:rPr>
          <w:rFonts w:ascii="Times New Roman" w:hAnsi="Times New Roman" w:cs="Times New Roman"/>
          <w:b/>
          <w:bCs/>
          <w:sz w:val="24"/>
          <w:szCs w:val="24"/>
        </w:rPr>
      </w:pPr>
    </w:p>
    <w:p w14:paraId="7C54490E" w14:textId="5329C578" w:rsidR="006532A7" w:rsidRDefault="006532A7" w:rsidP="007B46D9">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II.</w:t>
      </w:r>
    </w:p>
    <w:p w14:paraId="04897C9E" w14:textId="77777777" w:rsidR="007B46D9" w:rsidRPr="006532A7" w:rsidRDefault="007B46D9" w:rsidP="007B46D9">
      <w:pPr>
        <w:spacing w:after="0" w:line="240" w:lineRule="auto"/>
        <w:jc w:val="center"/>
        <w:rPr>
          <w:rFonts w:ascii="Times New Roman" w:hAnsi="Times New Roman" w:cs="Times New Roman"/>
          <w:b/>
          <w:bCs/>
          <w:sz w:val="24"/>
          <w:szCs w:val="24"/>
        </w:rPr>
      </w:pPr>
    </w:p>
    <w:p w14:paraId="48838F14" w14:textId="778AB024" w:rsidR="006532A7" w:rsidRDefault="007B46D9" w:rsidP="007B46D9">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Vlada Republike Hrvatske o</w:t>
      </w:r>
      <w:r w:rsidR="006532A7" w:rsidRPr="006532A7">
        <w:rPr>
          <w:rFonts w:ascii="Times New Roman" w:hAnsi="Times New Roman" w:cs="Times New Roman"/>
          <w:sz w:val="24"/>
          <w:szCs w:val="24"/>
        </w:rPr>
        <w:t>dobrava</w:t>
      </w:r>
      <w:r w:rsidR="00D61744">
        <w:rPr>
          <w:rFonts w:ascii="Times New Roman" w:hAnsi="Times New Roman" w:cs="Times New Roman"/>
          <w:sz w:val="24"/>
          <w:szCs w:val="24"/>
        </w:rPr>
        <w:t xml:space="preserve"> </w:t>
      </w:r>
      <w:r w:rsidR="006532A7" w:rsidRPr="006532A7">
        <w:rPr>
          <w:rFonts w:ascii="Times New Roman" w:hAnsi="Times New Roman" w:cs="Times New Roman"/>
          <w:sz w:val="24"/>
          <w:szCs w:val="24"/>
        </w:rPr>
        <w:t>odgod</w:t>
      </w:r>
      <w:r>
        <w:rPr>
          <w:rFonts w:ascii="Times New Roman" w:hAnsi="Times New Roman" w:cs="Times New Roman"/>
          <w:sz w:val="24"/>
          <w:szCs w:val="24"/>
        </w:rPr>
        <w:t>u</w:t>
      </w:r>
      <w:r w:rsidR="006532A7" w:rsidRPr="006532A7">
        <w:rPr>
          <w:rFonts w:ascii="Times New Roman" w:hAnsi="Times New Roman" w:cs="Times New Roman"/>
          <w:sz w:val="24"/>
          <w:szCs w:val="24"/>
        </w:rPr>
        <w:t xml:space="preserve"> napuštanja područja istražnog prostora SA-10“ druge istražne faze koje je određeno kao istražni prostor ugljikovodika „SA-10“ druge istražne faze - ocjensko područje Opatovac</w:t>
      </w:r>
      <w:r w:rsidR="006532A7" w:rsidRPr="006532A7">
        <w:t xml:space="preserve"> </w:t>
      </w:r>
      <w:r w:rsidR="006532A7" w:rsidRPr="006532A7">
        <w:rPr>
          <w:rFonts w:asciiTheme="majorBidi" w:hAnsiTheme="majorBidi" w:cstheme="majorBidi"/>
        </w:rPr>
        <w:t>(</w:t>
      </w:r>
      <w:r w:rsidR="006532A7" w:rsidRPr="006532A7">
        <w:rPr>
          <w:rFonts w:ascii="Times New Roman" w:hAnsi="Times New Roman" w:cs="Times New Roman"/>
          <w:sz w:val="24"/>
          <w:szCs w:val="24"/>
        </w:rPr>
        <w:t xml:space="preserve">u daljnjem tekstu: ocjensko područje Opatovac) u korist društva Vermilion </w:t>
      </w:r>
      <w:bookmarkStart w:id="4" w:name="_Hlk133401818"/>
      <w:r w:rsidR="006532A7" w:rsidRPr="006532A7">
        <w:rPr>
          <w:rFonts w:ascii="Times New Roman" w:hAnsi="Times New Roman" w:cs="Times New Roman"/>
          <w:sz w:val="24"/>
          <w:szCs w:val="24"/>
        </w:rPr>
        <w:t>do 31. prosinca 2025. temeljem Ugovora, a sukladno radnom programu ocjene i dijelova istražnog prostora za koje je utvrđeno eksploatacijsko polje ugljikovodika Berak (u daljnjem tekstu: EPU „Berak“) i eksploatacijsko polje ugljikovodika Cerić (u daljnjem tekstu: EPU „Cerić“).</w:t>
      </w:r>
      <w:bookmarkEnd w:id="4"/>
    </w:p>
    <w:p w14:paraId="33749F7E" w14:textId="77777777" w:rsidR="007B46D9" w:rsidRPr="006532A7" w:rsidRDefault="007B46D9" w:rsidP="007B46D9">
      <w:pPr>
        <w:spacing w:after="0" w:line="240" w:lineRule="auto"/>
        <w:ind w:firstLine="1418"/>
        <w:jc w:val="both"/>
        <w:rPr>
          <w:rFonts w:ascii="Times New Roman" w:hAnsi="Times New Roman" w:cs="Times New Roman"/>
          <w:sz w:val="24"/>
          <w:szCs w:val="24"/>
        </w:rPr>
      </w:pPr>
    </w:p>
    <w:p w14:paraId="7A14C8CE" w14:textId="013329AB" w:rsidR="006532A7" w:rsidRDefault="006532A7" w:rsidP="007B46D9">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III.</w:t>
      </w:r>
    </w:p>
    <w:p w14:paraId="22D23C69" w14:textId="77777777" w:rsidR="007B46D9" w:rsidRPr="006532A7" w:rsidRDefault="007B46D9" w:rsidP="007B46D9">
      <w:pPr>
        <w:spacing w:after="0" w:line="240" w:lineRule="auto"/>
        <w:jc w:val="center"/>
        <w:rPr>
          <w:rFonts w:ascii="Times New Roman" w:hAnsi="Times New Roman" w:cs="Times New Roman"/>
          <w:b/>
          <w:bCs/>
          <w:sz w:val="24"/>
          <w:szCs w:val="24"/>
        </w:rPr>
      </w:pPr>
    </w:p>
    <w:p w14:paraId="0A687F2D" w14:textId="7F43F66B" w:rsidR="006532A7" w:rsidRDefault="006532A7" w:rsidP="007B46D9">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Dio istražnog prostora ugljikovodika „SA-10“ druge istražne faze koji se napušta, površine 1</w:t>
      </w:r>
      <w:r w:rsidR="007B46D9">
        <w:rPr>
          <w:rFonts w:ascii="Times New Roman" w:hAnsi="Times New Roman" w:cs="Times New Roman"/>
          <w:sz w:val="24"/>
          <w:szCs w:val="24"/>
        </w:rPr>
        <w:t>.</w:t>
      </w:r>
      <w:r w:rsidRPr="006532A7">
        <w:rPr>
          <w:rFonts w:ascii="Times New Roman" w:hAnsi="Times New Roman" w:cs="Times New Roman"/>
          <w:sz w:val="24"/>
          <w:szCs w:val="24"/>
        </w:rPr>
        <w:t>842,65 km</w:t>
      </w:r>
      <w:r w:rsidRPr="006532A7">
        <w:rPr>
          <w:rFonts w:ascii="Times New Roman" w:hAnsi="Times New Roman" w:cs="Times New Roman"/>
          <w:sz w:val="24"/>
          <w:szCs w:val="24"/>
          <w:vertAlign w:val="superscript"/>
        </w:rPr>
        <w:t>2</w:t>
      </w:r>
      <w:r w:rsidRPr="006532A7">
        <w:rPr>
          <w:rFonts w:ascii="Times New Roman" w:hAnsi="Times New Roman" w:cs="Times New Roman"/>
          <w:sz w:val="24"/>
          <w:szCs w:val="24"/>
        </w:rPr>
        <w:t xml:space="preserve"> ima oblik nepravilnog poligona i omeđen je koordinatama vršnih točaka koje se, zajedno s kartom dijela istražnog prostora ugljikovodika „SA-10“ - područje napuštanja, nalaze u Prilogu 1. ove Odluke i čine njezin sastavni dio.</w:t>
      </w:r>
    </w:p>
    <w:p w14:paraId="7E9F155F" w14:textId="77777777" w:rsidR="007B46D9" w:rsidRPr="006532A7" w:rsidRDefault="007B46D9" w:rsidP="007B46D9">
      <w:pPr>
        <w:spacing w:after="0" w:line="240" w:lineRule="auto"/>
        <w:ind w:firstLine="709"/>
        <w:jc w:val="both"/>
        <w:rPr>
          <w:rFonts w:ascii="Times New Roman" w:hAnsi="Times New Roman" w:cs="Times New Roman"/>
          <w:sz w:val="24"/>
          <w:szCs w:val="24"/>
        </w:rPr>
      </w:pPr>
    </w:p>
    <w:p w14:paraId="65E38A08" w14:textId="19750AB4" w:rsidR="006532A7" w:rsidRDefault="006532A7" w:rsidP="007B46D9">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IV.</w:t>
      </w:r>
    </w:p>
    <w:p w14:paraId="3A285CBB" w14:textId="77777777" w:rsidR="007B46D9" w:rsidRPr="006532A7" w:rsidRDefault="007B46D9" w:rsidP="007B46D9">
      <w:pPr>
        <w:spacing w:after="0" w:line="240" w:lineRule="auto"/>
        <w:jc w:val="center"/>
        <w:rPr>
          <w:rFonts w:ascii="Times New Roman" w:hAnsi="Times New Roman" w:cs="Times New Roman"/>
          <w:b/>
          <w:bCs/>
          <w:sz w:val="24"/>
          <w:szCs w:val="24"/>
        </w:rPr>
      </w:pPr>
    </w:p>
    <w:p w14:paraId="653346F2" w14:textId="10D2C3BD" w:rsidR="006532A7" w:rsidRDefault="006532A7" w:rsidP="007B46D9">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Ocjensko područje Opatovac koj</w:t>
      </w:r>
      <w:r w:rsidR="007B46D9">
        <w:rPr>
          <w:rFonts w:ascii="Times New Roman" w:hAnsi="Times New Roman" w:cs="Times New Roman"/>
          <w:sz w:val="24"/>
          <w:szCs w:val="24"/>
        </w:rPr>
        <w:t>e</w:t>
      </w:r>
      <w:r w:rsidRPr="006532A7">
        <w:rPr>
          <w:rFonts w:ascii="Times New Roman" w:hAnsi="Times New Roman" w:cs="Times New Roman"/>
          <w:sz w:val="24"/>
          <w:szCs w:val="24"/>
        </w:rPr>
        <w:t xml:space="preserve"> se zadržava, površine 25,82 km</w:t>
      </w:r>
      <w:r w:rsidRPr="006532A7">
        <w:rPr>
          <w:rFonts w:ascii="Times New Roman" w:hAnsi="Times New Roman" w:cs="Times New Roman"/>
          <w:sz w:val="24"/>
          <w:szCs w:val="24"/>
          <w:vertAlign w:val="superscript"/>
        </w:rPr>
        <w:t>2</w:t>
      </w:r>
      <w:r w:rsidRPr="006532A7">
        <w:rPr>
          <w:rFonts w:ascii="Times New Roman" w:hAnsi="Times New Roman" w:cs="Times New Roman"/>
          <w:sz w:val="24"/>
          <w:szCs w:val="24"/>
        </w:rPr>
        <w:t xml:space="preserve"> ima oblik nepravilnog poligona i omeđen je koordinatama vršnih točaka koje se, zajedno s kartom ocjensko područje Opatovac nalaze u Prilogu 2. ove Odluke i čine njezin sastavni dio.</w:t>
      </w:r>
    </w:p>
    <w:p w14:paraId="37F3A734" w14:textId="77777777" w:rsidR="007B46D9" w:rsidRPr="006532A7" w:rsidRDefault="007B46D9" w:rsidP="007B46D9">
      <w:pPr>
        <w:spacing w:after="0" w:line="240" w:lineRule="auto"/>
        <w:ind w:firstLine="709"/>
        <w:jc w:val="both"/>
        <w:rPr>
          <w:rFonts w:ascii="Times New Roman" w:hAnsi="Times New Roman" w:cs="Times New Roman"/>
          <w:sz w:val="24"/>
          <w:szCs w:val="24"/>
        </w:rPr>
      </w:pPr>
    </w:p>
    <w:p w14:paraId="5CD11590" w14:textId="4C1713B8" w:rsidR="00286BAB" w:rsidRDefault="00286BAB" w:rsidP="00286BAB">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EPU </w:t>
      </w:r>
      <w:r>
        <w:rPr>
          <w:rFonts w:ascii="Times New Roman" w:hAnsi="Times New Roman" w:cs="Times New Roman"/>
          <w:sz w:val="24"/>
          <w:szCs w:val="24"/>
        </w:rPr>
        <w:t>„</w:t>
      </w:r>
      <w:r w:rsidRPr="006532A7">
        <w:rPr>
          <w:rFonts w:ascii="Times New Roman" w:hAnsi="Times New Roman" w:cs="Times New Roman"/>
          <w:sz w:val="24"/>
          <w:szCs w:val="24"/>
        </w:rPr>
        <w:t>Berak</w:t>
      </w:r>
      <w:r>
        <w:rPr>
          <w:rFonts w:ascii="Times New Roman" w:hAnsi="Times New Roman" w:cs="Times New Roman"/>
          <w:sz w:val="24"/>
          <w:szCs w:val="24"/>
        </w:rPr>
        <w:t>“</w:t>
      </w:r>
      <w:r w:rsidRPr="006532A7">
        <w:rPr>
          <w:rFonts w:ascii="Times New Roman" w:hAnsi="Times New Roman" w:cs="Times New Roman"/>
          <w:sz w:val="24"/>
          <w:szCs w:val="24"/>
        </w:rPr>
        <w:t xml:space="preserve"> koje se zadržava, površine 11,15 km</w:t>
      </w:r>
      <w:r w:rsidRPr="006532A7">
        <w:rPr>
          <w:rFonts w:ascii="Times New Roman" w:hAnsi="Times New Roman" w:cs="Times New Roman"/>
          <w:sz w:val="24"/>
          <w:szCs w:val="24"/>
          <w:vertAlign w:val="superscript"/>
        </w:rPr>
        <w:t>2</w:t>
      </w:r>
      <w:r w:rsidRPr="006532A7">
        <w:rPr>
          <w:rFonts w:ascii="Times New Roman" w:hAnsi="Times New Roman" w:cs="Times New Roman"/>
          <w:sz w:val="24"/>
          <w:szCs w:val="24"/>
        </w:rPr>
        <w:t xml:space="preserve"> ima oblik nepravilnog poligona i omeđen je koordinatama vršnih točaka koje se, zajedno s kartom EPU </w:t>
      </w:r>
      <w:r>
        <w:rPr>
          <w:rFonts w:ascii="Times New Roman" w:hAnsi="Times New Roman" w:cs="Times New Roman"/>
          <w:sz w:val="24"/>
          <w:szCs w:val="24"/>
        </w:rPr>
        <w:t>„Berak“</w:t>
      </w:r>
      <w:r w:rsidRPr="006532A7">
        <w:rPr>
          <w:rFonts w:ascii="Times New Roman" w:hAnsi="Times New Roman" w:cs="Times New Roman"/>
          <w:sz w:val="24"/>
          <w:szCs w:val="24"/>
        </w:rPr>
        <w:t>, nalaze u Prilogu 2. ove Odluke i čine njezin sastavni dio.</w:t>
      </w:r>
    </w:p>
    <w:p w14:paraId="0D71E48A" w14:textId="77777777" w:rsidR="00286BAB" w:rsidRDefault="00286BAB" w:rsidP="007B46D9">
      <w:pPr>
        <w:spacing w:after="0" w:line="240" w:lineRule="auto"/>
        <w:ind w:firstLine="1418"/>
        <w:jc w:val="both"/>
        <w:rPr>
          <w:rFonts w:ascii="Times New Roman" w:hAnsi="Times New Roman" w:cs="Times New Roman"/>
          <w:sz w:val="24"/>
          <w:szCs w:val="24"/>
        </w:rPr>
      </w:pPr>
    </w:p>
    <w:p w14:paraId="7B359D48" w14:textId="49F66AF4" w:rsidR="006532A7" w:rsidRDefault="006532A7" w:rsidP="007B46D9">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EPU </w:t>
      </w:r>
      <w:r w:rsidR="007B46D9">
        <w:rPr>
          <w:rFonts w:ascii="Times New Roman" w:hAnsi="Times New Roman" w:cs="Times New Roman"/>
          <w:sz w:val="24"/>
          <w:szCs w:val="24"/>
        </w:rPr>
        <w:t>„</w:t>
      </w:r>
      <w:r w:rsidRPr="006532A7">
        <w:rPr>
          <w:rFonts w:ascii="Times New Roman" w:hAnsi="Times New Roman" w:cs="Times New Roman"/>
          <w:sz w:val="24"/>
          <w:szCs w:val="24"/>
        </w:rPr>
        <w:t>Cerić</w:t>
      </w:r>
      <w:r w:rsidR="007B46D9">
        <w:rPr>
          <w:rFonts w:ascii="Times New Roman" w:hAnsi="Times New Roman" w:cs="Times New Roman"/>
          <w:sz w:val="24"/>
          <w:szCs w:val="24"/>
        </w:rPr>
        <w:t>“</w:t>
      </w:r>
      <w:r w:rsidRPr="006532A7">
        <w:rPr>
          <w:rFonts w:ascii="Times New Roman" w:hAnsi="Times New Roman" w:cs="Times New Roman"/>
          <w:sz w:val="24"/>
          <w:szCs w:val="24"/>
        </w:rPr>
        <w:t xml:space="preserve"> koje se zadržava, površine 34,04 km</w:t>
      </w:r>
      <w:r w:rsidRPr="006532A7">
        <w:rPr>
          <w:rFonts w:ascii="Times New Roman" w:hAnsi="Times New Roman" w:cs="Times New Roman"/>
          <w:sz w:val="24"/>
          <w:szCs w:val="24"/>
          <w:vertAlign w:val="superscript"/>
        </w:rPr>
        <w:t>2</w:t>
      </w:r>
      <w:r w:rsidRPr="006532A7">
        <w:rPr>
          <w:rFonts w:ascii="Times New Roman" w:hAnsi="Times New Roman" w:cs="Times New Roman"/>
          <w:sz w:val="24"/>
          <w:szCs w:val="24"/>
        </w:rPr>
        <w:t xml:space="preserve"> ima oblik nepravilnog poligona i omeđen je koordinatama vršnih točaka koje se, zajedno s kartom EPU </w:t>
      </w:r>
      <w:r w:rsidR="007B46D9">
        <w:rPr>
          <w:rFonts w:ascii="Times New Roman" w:hAnsi="Times New Roman" w:cs="Times New Roman"/>
          <w:sz w:val="24"/>
          <w:szCs w:val="24"/>
        </w:rPr>
        <w:t>„</w:t>
      </w:r>
      <w:r w:rsidRPr="006532A7">
        <w:rPr>
          <w:rFonts w:ascii="Times New Roman" w:hAnsi="Times New Roman" w:cs="Times New Roman"/>
          <w:sz w:val="24"/>
          <w:szCs w:val="24"/>
        </w:rPr>
        <w:t>Cerić</w:t>
      </w:r>
      <w:r w:rsidR="007B46D9">
        <w:rPr>
          <w:rFonts w:ascii="Times New Roman" w:hAnsi="Times New Roman" w:cs="Times New Roman"/>
          <w:sz w:val="24"/>
          <w:szCs w:val="24"/>
        </w:rPr>
        <w:t>“</w:t>
      </w:r>
      <w:r w:rsidRPr="006532A7">
        <w:rPr>
          <w:rFonts w:ascii="Times New Roman" w:hAnsi="Times New Roman" w:cs="Times New Roman"/>
          <w:sz w:val="24"/>
          <w:szCs w:val="24"/>
        </w:rPr>
        <w:t xml:space="preserve"> nalaze u Prilogu 2. ove Odluke i čine njezin sastavni dio.</w:t>
      </w:r>
    </w:p>
    <w:p w14:paraId="0542578B" w14:textId="77777777" w:rsidR="00F73F3D" w:rsidRPr="006532A7" w:rsidRDefault="00F73F3D" w:rsidP="007B46D9">
      <w:pPr>
        <w:spacing w:after="0" w:line="240" w:lineRule="auto"/>
        <w:ind w:firstLine="709"/>
        <w:jc w:val="both"/>
        <w:rPr>
          <w:rFonts w:ascii="Times New Roman" w:hAnsi="Times New Roman" w:cs="Times New Roman"/>
          <w:sz w:val="24"/>
          <w:szCs w:val="24"/>
        </w:rPr>
      </w:pPr>
    </w:p>
    <w:p w14:paraId="5B38AC03" w14:textId="77777777" w:rsidR="007B46D9" w:rsidRPr="006532A7" w:rsidRDefault="007B46D9" w:rsidP="007B46D9">
      <w:pPr>
        <w:spacing w:after="0" w:line="240" w:lineRule="auto"/>
        <w:ind w:firstLine="709"/>
        <w:jc w:val="both"/>
        <w:rPr>
          <w:rFonts w:ascii="Times New Roman" w:hAnsi="Times New Roman" w:cs="Times New Roman"/>
          <w:sz w:val="24"/>
          <w:szCs w:val="24"/>
        </w:rPr>
      </w:pPr>
    </w:p>
    <w:p w14:paraId="533C0DD1" w14:textId="7718FC7B" w:rsidR="006532A7" w:rsidRDefault="006532A7" w:rsidP="00D16E84">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V.</w:t>
      </w:r>
    </w:p>
    <w:p w14:paraId="149AFD36" w14:textId="77777777" w:rsidR="00D16E84" w:rsidRPr="006532A7" w:rsidRDefault="00D16E84" w:rsidP="00D16E84">
      <w:pPr>
        <w:spacing w:after="0" w:line="240" w:lineRule="auto"/>
        <w:jc w:val="center"/>
        <w:rPr>
          <w:rFonts w:ascii="Times New Roman" w:hAnsi="Times New Roman" w:cs="Times New Roman"/>
          <w:b/>
          <w:bCs/>
          <w:sz w:val="24"/>
          <w:szCs w:val="24"/>
        </w:rPr>
      </w:pPr>
    </w:p>
    <w:p w14:paraId="41EAEAC2" w14:textId="2B0E450E" w:rsidR="006532A7" w:rsidRDefault="006532A7" w:rsidP="00D16E84">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Ocjensko područje Opatovac bit će upisan u digitalnom obliku </w:t>
      </w:r>
      <w:r w:rsidR="00D16E84">
        <w:rPr>
          <w:rFonts w:ascii="Times New Roman" w:hAnsi="Times New Roman" w:cs="Times New Roman"/>
          <w:sz w:val="24"/>
          <w:szCs w:val="24"/>
        </w:rPr>
        <w:t>R</w:t>
      </w:r>
      <w:r w:rsidRPr="006532A7">
        <w:rPr>
          <w:rFonts w:ascii="Times New Roman" w:hAnsi="Times New Roman" w:cs="Times New Roman"/>
          <w:sz w:val="24"/>
          <w:szCs w:val="24"/>
        </w:rPr>
        <w:t xml:space="preserve">egistra istražnih prostora </w:t>
      </w:r>
      <w:r w:rsidR="006C6423">
        <w:rPr>
          <w:rFonts w:ascii="Times New Roman" w:hAnsi="Times New Roman" w:cs="Times New Roman"/>
          <w:sz w:val="24"/>
          <w:szCs w:val="24"/>
        </w:rPr>
        <w:t xml:space="preserve">ugljikovodika </w:t>
      </w:r>
      <w:r w:rsidRPr="006532A7">
        <w:rPr>
          <w:rFonts w:ascii="Times New Roman" w:hAnsi="Times New Roman" w:cs="Times New Roman"/>
          <w:sz w:val="24"/>
          <w:szCs w:val="24"/>
        </w:rPr>
        <w:t>koji se vodi kod Ministarstva gospodarstva.</w:t>
      </w:r>
    </w:p>
    <w:p w14:paraId="67A6B274" w14:textId="77777777" w:rsidR="00D16E84" w:rsidRPr="006532A7" w:rsidRDefault="00D16E84" w:rsidP="00D16E84">
      <w:pPr>
        <w:spacing w:after="0" w:line="240" w:lineRule="auto"/>
        <w:ind w:firstLine="709"/>
        <w:jc w:val="both"/>
        <w:rPr>
          <w:rFonts w:ascii="Times New Roman" w:hAnsi="Times New Roman" w:cs="Times New Roman"/>
          <w:sz w:val="24"/>
          <w:szCs w:val="24"/>
        </w:rPr>
      </w:pPr>
    </w:p>
    <w:p w14:paraId="6C3CFA87" w14:textId="7A19C7FB" w:rsidR="006532A7" w:rsidRDefault="006532A7" w:rsidP="00D16E84">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EPU „Berak“ bit će upisan u digitalnom obliku </w:t>
      </w:r>
      <w:r w:rsidR="00D16E84">
        <w:rPr>
          <w:rFonts w:ascii="Times New Roman" w:hAnsi="Times New Roman" w:cs="Times New Roman"/>
          <w:sz w:val="24"/>
          <w:szCs w:val="24"/>
        </w:rPr>
        <w:t>R</w:t>
      </w:r>
      <w:r w:rsidRPr="006532A7">
        <w:rPr>
          <w:rFonts w:ascii="Times New Roman" w:hAnsi="Times New Roman" w:cs="Times New Roman"/>
          <w:sz w:val="24"/>
          <w:szCs w:val="24"/>
        </w:rPr>
        <w:t xml:space="preserve">egistra eksploatacijskih polja </w:t>
      </w:r>
      <w:r w:rsidR="005F368D">
        <w:rPr>
          <w:rFonts w:ascii="Times New Roman" w:hAnsi="Times New Roman" w:cs="Times New Roman"/>
          <w:sz w:val="24"/>
          <w:szCs w:val="24"/>
        </w:rPr>
        <w:t xml:space="preserve">ugljikovodika </w:t>
      </w:r>
      <w:r w:rsidRPr="006532A7">
        <w:rPr>
          <w:rFonts w:ascii="Times New Roman" w:hAnsi="Times New Roman" w:cs="Times New Roman"/>
          <w:sz w:val="24"/>
          <w:szCs w:val="24"/>
        </w:rPr>
        <w:t>koji se vodi kod Ministarstva gospodarstva.</w:t>
      </w:r>
    </w:p>
    <w:p w14:paraId="37BF2BDE" w14:textId="77777777" w:rsidR="00D16E84" w:rsidRPr="006532A7" w:rsidRDefault="00D16E84" w:rsidP="00D16E84">
      <w:pPr>
        <w:spacing w:after="0" w:line="240" w:lineRule="auto"/>
        <w:ind w:firstLine="709"/>
        <w:jc w:val="both"/>
        <w:rPr>
          <w:rFonts w:ascii="Times New Roman" w:hAnsi="Times New Roman" w:cs="Times New Roman"/>
          <w:sz w:val="24"/>
          <w:szCs w:val="24"/>
        </w:rPr>
      </w:pPr>
    </w:p>
    <w:p w14:paraId="7A63F604" w14:textId="5F090EE1" w:rsidR="006532A7" w:rsidRDefault="006532A7" w:rsidP="00D16E84">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EPU „Cerić“ bit će upisan u digitalnom obliku </w:t>
      </w:r>
      <w:r w:rsidR="00D16E84">
        <w:rPr>
          <w:rFonts w:ascii="Times New Roman" w:hAnsi="Times New Roman" w:cs="Times New Roman"/>
          <w:sz w:val="24"/>
          <w:szCs w:val="24"/>
        </w:rPr>
        <w:t>R</w:t>
      </w:r>
      <w:r w:rsidRPr="006532A7">
        <w:rPr>
          <w:rFonts w:ascii="Times New Roman" w:hAnsi="Times New Roman" w:cs="Times New Roman"/>
          <w:sz w:val="24"/>
          <w:szCs w:val="24"/>
        </w:rPr>
        <w:t xml:space="preserve">egistra eksploatacijskih polja </w:t>
      </w:r>
      <w:r w:rsidR="005F368D">
        <w:rPr>
          <w:rFonts w:ascii="Times New Roman" w:hAnsi="Times New Roman" w:cs="Times New Roman"/>
          <w:sz w:val="24"/>
          <w:szCs w:val="24"/>
        </w:rPr>
        <w:t xml:space="preserve">ugljikovodika </w:t>
      </w:r>
      <w:r w:rsidRPr="006532A7">
        <w:rPr>
          <w:rFonts w:ascii="Times New Roman" w:hAnsi="Times New Roman" w:cs="Times New Roman"/>
          <w:sz w:val="24"/>
          <w:szCs w:val="24"/>
        </w:rPr>
        <w:t>koji se vodi kod Ministarstva gospodarstva.</w:t>
      </w:r>
    </w:p>
    <w:p w14:paraId="4F0CCE7A" w14:textId="77777777" w:rsidR="00D16E84" w:rsidRPr="006532A7" w:rsidRDefault="00D16E84" w:rsidP="00D16E84">
      <w:pPr>
        <w:spacing w:after="0" w:line="240" w:lineRule="auto"/>
        <w:ind w:firstLine="709"/>
        <w:jc w:val="both"/>
        <w:rPr>
          <w:rFonts w:ascii="Times New Roman" w:hAnsi="Times New Roman" w:cs="Times New Roman"/>
          <w:sz w:val="24"/>
          <w:szCs w:val="24"/>
        </w:rPr>
      </w:pPr>
    </w:p>
    <w:p w14:paraId="67E1E3B9" w14:textId="395A0C2A" w:rsidR="006532A7" w:rsidRDefault="006532A7" w:rsidP="00D16E84">
      <w:pPr>
        <w:spacing w:after="0" w:line="240" w:lineRule="auto"/>
        <w:jc w:val="center"/>
        <w:rPr>
          <w:rFonts w:ascii="Times New Roman" w:hAnsi="Times New Roman" w:cs="Times New Roman"/>
          <w:b/>
          <w:bCs/>
          <w:sz w:val="24"/>
          <w:szCs w:val="24"/>
        </w:rPr>
      </w:pPr>
      <w:r w:rsidRPr="006532A7">
        <w:rPr>
          <w:rFonts w:ascii="Times New Roman" w:hAnsi="Times New Roman" w:cs="Times New Roman"/>
          <w:b/>
          <w:bCs/>
          <w:sz w:val="24"/>
          <w:szCs w:val="24"/>
        </w:rPr>
        <w:t>VI.</w:t>
      </w:r>
    </w:p>
    <w:p w14:paraId="4E918C09" w14:textId="77777777" w:rsidR="00D16E84" w:rsidRPr="006532A7" w:rsidRDefault="00D16E84" w:rsidP="00D16E84">
      <w:pPr>
        <w:spacing w:after="0" w:line="240" w:lineRule="auto"/>
        <w:jc w:val="center"/>
        <w:rPr>
          <w:rFonts w:ascii="Times New Roman" w:hAnsi="Times New Roman" w:cs="Times New Roman"/>
          <w:sz w:val="24"/>
          <w:szCs w:val="24"/>
        </w:rPr>
      </w:pPr>
    </w:p>
    <w:p w14:paraId="5FEA1C2D" w14:textId="40B61ADF" w:rsidR="006532A7" w:rsidRDefault="006532A7" w:rsidP="0060117A">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 xml:space="preserve">Nakon završetka ocjenskih radova, sukladno Zakonu o istraživanju i eksploataciji ugljikovodika društvo Vermilion dužno je napustiti ocjensko područje Opatovac, osim onog područja za koje bude utvrđeno jedno ili više eksploatacijskih polja ugljikovodika. </w:t>
      </w:r>
    </w:p>
    <w:p w14:paraId="2531C28B" w14:textId="77777777" w:rsidR="00D16E84" w:rsidRPr="006532A7" w:rsidRDefault="00D16E84" w:rsidP="00D16E84">
      <w:pPr>
        <w:spacing w:after="0" w:line="240" w:lineRule="auto"/>
        <w:ind w:firstLine="709"/>
        <w:jc w:val="both"/>
        <w:rPr>
          <w:rFonts w:ascii="Times New Roman" w:hAnsi="Times New Roman" w:cs="Times New Roman"/>
          <w:sz w:val="24"/>
          <w:szCs w:val="24"/>
        </w:rPr>
      </w:pPr>
    </w:p>
    <w:bookmarkEnd w:id="1"/>
    <w:p w14:paraId="3347E0BC" w14:textId="10E0566B" w:rsidR="006532A7" w:rsidRDefault="006532A7" w:rsidP="00D16E84">
      <w:pPr>
        <w:spacing w:after="0" w:line="240" w:lineRule="auto"/>
        <w:jc w:val="center"/>
        <w:rPr>
          <w:rFonts w:ascii="Times New Roman" w:eastAsia="Calibri" w:hAnsi="Times New Roman" w:cs="Times New Roman"/>
          <w:b/>
          <w:bCs/>
          <w:noProof/>
          <w:sz w:val="24"/>
          <w:szCs w:val="24"/>
        </w:rPr>
      </w:pPr>
      <w:r w:rsidRPr="006532A7">
        <w:rPr>
          <w:rFonts w:ascii="Times New Roman" w:eastAsia="Calibri" w:hAnsi="Times New Roman" w:cs="Times New Roman"/>
          <w:b/>
          <w:bCs/>
          <w:noProof/>
          <w:sz w:val="24"/>
          <w:szCs w:val="24"/>
        </w:rPr>
        <w:t>VII.</w:t>
      </w:r>
    </w:p>
    <w:p w14:paraId="096009C9" w14:textId="77777777" w:rsidR="00D16E84" w:rsidRPr="006532A7" w:rsidRDefault="00D16E84" w:rsidP="00D16E84">
      <w:pPr>
        <w:spacing w:after="0" w:line="240" w:lineRule="auto"/>
        <w:jc w:val="center"/>
        <w:rPr>
          <w:rFonts w:ascii="Calibri" w:eastAsia="Calibri" w:hAnsi="Calibri" w:cs="Arial"/>
          <w:noProof/>
        </w:rPr>
      </w:pPr>
    </w:p>
    <w:p w14:paraId="678565D6" w14:textId="2B66311C" w:rsidR="006532A7" w:rsidRDefault="006532A7" w:rsidP="0060117A">
      <w:pPr>
        <w:spacing w:after="0" w:line="240" w:lineRule="auto"/>
        <w:ind w:firstLine="1418"/>
        <w:jc w:val="both"/>
        <w:rPr>
          <w:rFonts w:ascii="Times New Roman" w:eastAsia="Calibri" w:hAnsi="Times New Roman" w:cs="Times New Roman"/>
          <w:b/>
          <w:bCs/>
          <w:noProof/>
          <w:sz w:val="24"/>
          <w:szCs w:val="24"/>
        </w:rPr>
      </w:pPr>
      <w:bookmarkStart w:id="5" w:name="_Hlk165644904"/>
      <w:r w:rsidRPr="006532A7">
        <w:rPr>
          <w:rFonts w:ascii="Times New Roman" w:eastAsia="Calibri" w:hAnsi="Times New Roman" w:cs="Times New Roman"/>
          <w:noProof/>
          <w:sz w:val="24"/>
          <w:szCs w:val="24"/>
        </w:rPr>
        <w:t xml:space="preserve">U Registru istražnih prostora </w:t>
      </w:r>
      <w:r w:rsidR="00412106">
        <w:rPr>
          <w:rFonts w:ascii="Times New Roman" w:eastAsia="Calibri" w:hAnsi="Times New Roman" w:cs="Times New Roman"/>
          <w:noProof/>
          <w:sz w:val="24"/>
          <w:szCs w:val="24"/>
        </w:rPr>
        <w:t xml:space="preserve">ugljikovodika </w:t>
      </w:r>
      <w:r w:rsidR="00FF7C90">
        <w:rPr>
          <w:rFonts w:ascii="Times New Roman" w:eastAsia="Calibri" w:hAnsi="Times New Roman" w:cs="Times New Roman"/>
          <w:noProof/>
          <w:sz w:val="24"/>
          <w:szCs w:val="24"/>
        </w:rPr>
        <w:t>na</w:t>
      </w:r>
      <w:r w:rsidRPr="006532A7">
        <w:rPr>
          <w:rFonts w:ascii="Times New Roman" w:eastAsia="Calibri" w:hAnsi="Times New Roman" w:cs="Times New Roman"/>
          <w:noProof/>
          <w:sz w:val="24"/>
          <w:szCs w:val="24"/>
        </w:rPr>
        <w:t xml:space="preserve"> istražn</w:t>
      </w:r>
      <w:r w:rsidR="00FF7C90">
        <w:rPr>
          <w:rFonts w:ascii="Times New Roman" w:eastAsia="Calibri" w:hAnsi="Times New Roman" w:cs="Times New Roman"/>
          <w:noProof/>
          <w:sz w:val="24"/>
          <w:szCs w:val="24"/>
        </w:rPr>
        <w:t>i</w:t>
      </w:r>
      <w:r w:rsidRPr="006532A7">
        <w:rPr>
          <w:rFonts w:ascii="Times New Roman" w:eastAsia="Calibri" w:hAnsi="Times New Roman" w:cs="Times New Roman"/>
          <w:noProof/>
          <w:sz w:val="24"/>
          <w:szCs w:val="24"/>
        </w:rPr>
        <w:t xml:space="preserve"> prostor ugljikovodika „SA-10“ - područje napuštanja upisuje se Republika Hrvatska kao nositelj istražnog prostora.</w:t>
      </w:r>
      <w:r w:rsidRPr="006532A7">
        <w:rPr>
          <w:rFonts w:ascii="Times New Roman" w:eastAsia="Calibri" w:hAnsi="Times New Roman" w:cs="Times New Roman"/>
          <w:b/>
          <w:bCs/>
          <w:noProof/>
          <w:sz w:val="24"/>
          <w:szCs w:val="24"/>
        </w:rPr>
        <w:t xml:space="preserve"> </w:t>
      </w:r>
    </w:p>
    <w:p w14:paraId="0A76CE60" w14:textId="77777777" w:rsidR="00D16E84" w:rsidRPr="006532A7" w:rsidRDefault="00D16E84" w:rsidP="00D16E84">
      <w:pPr>
        <w:spacing w:after="0" w:line="240" w:lineRule="auto"/>
        <w:ind w:firstLine="709"/>
        <w:jc w:val="both"/>
        <w:rPr>
          <w:rFonts w:ascii="Times New Roman" w:eastAsia="Calibri" w:hAnsi="Times New Roman" w:cs="Times New Roman"/>
          <w:b/>
          <w:bCs/>
          <w:noProof/>
          <w:sz w:val="24"/>
          <w:szCs w:val="24"/>
        </w:rPr>
      </w:pPr>
    </w:p>
    <w:bookmarkEnd w:id="5"/>
    <w:p w14:paraId="03A09EE8" w14:textId="395438C0" w:rsidR="006532A7" w:rsidRDefault="006532A7" w:rsidP="00D16E84">
      <w:pPr>
        <w:spacing w:after="0" w:line="240" w:lineRule="auto"/>
        <w:jc w:val="center"/>
        <w:rPr>
          <w:rFonts w:ascii="Times New Roman" w:eastAsia="Calibri" w:hAnsi="Times New Roman" w:cs="Times New Roman"/>
          <w:b/>
          <w:bCs/>
          <w:noProof/>
          <w:sz w:val="24"/>
          <w:szCs w:val="24"/>
        </w:rPr>
      </w:pPr>
      <w:r w:rsidRPr="006532A7">
        <w:rPr>
          <w:rFonts w:ascii="Times New Roman" w:eastAsia="Calibri" w:hAnsi="Times New Roman" w:cs="Times New Roman"/>
          <w:b/>
          <w:bCs/>
          <w:noProof/>
          <w:sz w:val="24"/>
          <w:szCs w:val="24"/>
        </w:rPr>
        <w:t>VIII.</w:t>
      </w:r>
    </w:p>
    <w:p w14:paraId="6F11F411" w14:textId="77777777" w:rsidR="00D16E84" w:rsidRPr="006532A7" w:rsidRDefault="00D16E84" w:rsidP="00D16E84">
      <w:pPr>
        <w:spacing w:after="0" w:line="240" w:lineRule="auto"/>
        <w:jc w:val="center"/>
        <w:rPr>
          <w:rFonts w:ascii="Times New Roman" w:eastAsia="Calibri" w:hAnsi="Times New Roman" w:cs="Arial"/>
          <w:noProof/>
          <w:sz w:val="24"/>
          <w:szCs w:val="24"/>
        </w:rPr>
      </w:pPr>
    </w:p>
    <w:p w14:paraId="43FCEDCB" w14:textId="77777777" w:rsidR="006532A7" w:rsidRPr="006532A7" w:rsidRDefault="006532A7" w:rsidP="0060117A">
      <w:pPr>
        <w:spacing w:after="0" w:line="240" w:lineRule="auto"/>
        <w:ind w:firstLine="1418"/>
        <w:rPr>
          <w:rFonts w:ascii="Times New Roman" w:hAnsi="Times New Roman" w:cs="Times New Roman"/>
          <w:b/>
          <w:iCs/>
          <w:sz w:val="24"/>
          <w:szCs w:val="24"/>
        </w:rPr>
      </w:pPr>
      <w:r w:rsidRPr="006532A7">
        <w:rPr>
          <w:rFonts w:ascii="Times New Roman" w:eastAsia="Calibri" w:hAnsi="Times New Roman" w:cs="Times New Roman"/>
          <w:noProof/>
          <w:sz w:val="24"/>
          <w:szCs w:val="24"/>
        </w:rPr>
        <w:t xml:space="preserve">Ova Odluka objavit će se u „Narodnim novinama“. </w:t>
      </w:r>
    </w:p>
    <w:p w14:paraId="593B5179" w14:textId="77777777" w:rsidR="006532A7" w:rsidRPr="006532A7" w:rsidRDefault="006532A7" w:rsidP="0060117A">
      <w:pPr>
        <w:spacing w:after="0" w:line="240" w:lineRule="auto"/>
        <w:rPr>
          <w:rFonts w:ascii="Times New Roman" w:hAnsi="Times New Roman" w:cs="Times New Roman"/>
          <w:b/>
          <w:iCs/>
          <w:sz w:val="24"/>
          <w:szCs w:val="24"/>
        </w:rPr>
      </w:pPr>
    </w:p>
    <w:p w14:paraId="53B168CC" w14:textId="63A4B1FF" w:rsidR="006532A7" w:rsidRPr="006532A7" w:rsidRDefault="0060117A" w:rsidP="0060117A">
      <w:pPr>
        <w:spacing w:after="0" w:line="240" w:lineRule="auto"/>
        <w:jc w:val="center"/>
        <w:rPr>
          <w:rFonts w:ascii="Times New Roman" w:hAnsi="Times New Roman" w:cs="Times New Roman"/>
          <w:b/>
          <w:iCs/>
          <w:sz w:val="24"/>
          <w:szCs w:val="24"/>
        </w:rPr>
      </w:pPr>
      <w:r w:rsidRPr="006532A7">
        <w:rPr>
          <w:rFonts w:ascii="Times New Roman" w:hAnsi="Times New Roman" w:cs="Times New Roman"/>
          <w:b/>
          <w:iCs/>
          <w:sz w:val="24"/>
          <w:szCs w:val="24"/>
        </w:rPr>
        <w:t>O</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b</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r</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a</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z</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l</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o</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ž</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e</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n</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j</w:t>
      </w:r>
      <w:r>
        <w:rPr>
          <w:rFonts w:ascii="Times New Roman" w:hAnsi="Times New Roman" w:cs="Times New Roman"/>
          <w:b/>
          <w:iCs/>
          <w:sz w:val="24"/>
          <w:szCs w:val="24"/>
        </w:rPr>
        <w:t xml:space="preserve"> </w:t>
      </w:r>
      <w:r w:rsidRPr="006532A7">
        <w:rPr>
          <w:rFonts w:ascii="Times New Roman" w:hAnsi="Times New Roman" w:cs="Times New Roman"/>
          <w:b/>
          <w:iCs/>
          <w:sz w:val="24"/>
          <w:szCs w:val="24"/>
        </w:rPr>
        <w:t>e</w:t>
      </w:r>
    </w:p>
    <w:p w14:paraId="580E2BC8" w14:textId="77777777" w:rsidR="006532A7" w:rsidRPr="006532A7" w:rsidRDefault="006532A7" w:rsidP="0060117A">
      <w:pPr>
        <w:spacing w:after="0" w:line="240" w:lineRule="auto"/>
        <w:jc w:val="both"/>
        <w:rPr>
          <w:rFonts w:ascii="Times New Roman" w:hAnsi="Times New Roman" w:cs="Times New Roman"/>
          <w:color w:val="FF0000"/>
          <w:sz w:val="24"/>
          <w:szCs w:val="24"/>
        </w:rPr>
      </w:pPr>
    </w:p>
    <w:p w14:paraId="32B2710C" w14:textId="66CC09D1" w:rsidR="006532A7" w:rsidRDefault="006532A7" w:rsidP="0060117A">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Vlada Republike Hrvatske donijela je Odluku o izdavanju dozvole za istraživanje i eksploataciju ugljikovodika na kopnu u istražnom prostoru ugljikovodika „SA-10“ („Narodne novine“, br. 63/15. i 61/16.)</w:t>
      </w:r>
      <w:r w:rsidR="0060117A">
        <w:rPr>
          <w:rFonts w:ascii="Times New Roman" w:hAnsi="Times New Roman" w:cs="Times New Roman"/>
          <w:sz w:val="24"/>
          <w:szCs w:val="24"/>
        </w:rPr>
        <w:t>,</w:t>
      </w:r>
      <w:r w:rsidRPr="006532A7">
        <w:rPr>
          <w:rFonts w:ascii="Times New Roman" w:hAnsi="Times New Roman" w:cs="Times New Roman"/>
          <w:sz w:val="24"/>
          <w:szCs w:val="24"/>
        </w:rPr>
        <w:t xml:space="preserve"> kojom je Dozvola </w:t>
      </w:r>
      <w:r w:rsidR="00FF7F8B" w:rsidRPr="006532A7">
        <w:rPr>
          <w:rFonts w:ascii="Times New Roman" w:hAnsi="Times New Roman" w:cs="Times New Roman"/>
          <w:sz w:val="24"/>
          <w:szCs w:val="24"/>
        </w:rPr>
        <w:t>za istraživanje i eksploataciju ugljikovodika na kopnu u istražnom prostoru ugljikovodika „SA-10“</w:t>
      </w:r>
      <w:r w:rsidR="00FF7F8B">
        <w:rPr>
          <w:rFonts w:ascii="Times New Roman" w:hAnsi="Times New Roman" w:cs="Times New Roman"/>
          <w:sz w:val="24"/>
          <w:szCs w:val="24"/>
        </w:rPr>
        <w:t xml:space="preserve"> (u daljnjem tekstu: Dozvola) </w:t>
      </w:r>
      <w:r w:rsidRPr="006532A7">
        <w:rPr>
          <w:rFonts w:ascii="Times New Roman" w:hAnsi="Times New Roman" w:cs="Times New Roman"/>
          <w:sz w:val="24"/>
          <w:szCs w:val="24"/>
        </w:rPr>
        <w:t xml:space="preserve">izdana društvu Vermilion Zagreb Exploration d.o.o., </w:t>
      </w:r>
      <w:r w:rsidR="003846F0">
        <w:rPr>
          <w:rFonts w:ascii="Times New Roman" w:hAnsi="Times New Roman" w:cs="Times New Roman"/>
          <w:sz w:val="24"/>
          <w:szCs w:val="24"/>
        </w:rPr>
        <w:t>Strojarska cesta 20</w:t>
      </w:r>
      <w:r w:rsidRPr="006532A7">
        <w:rPr>
          <w:rFonts w:ascii="Times New Roman" w:hAnsi="Times New Roman" w:cs="Times New Roman"/>
          <w:sz w:val="24"/>
          <w:szCs w:val="24"/>
        </w:rPr>
        <w:t>, Zagreb, OIB: 29241599964 (u daljnjem tekstu: društvo Vermilion).</w:t>
      </w:r>
    </w:p>
    <w:p w14:paraId="559A4925" w14:textId="77777777" w:rsidR="0060117A" w:rsidRPr="006532A7" w:rsidRDefault="0060117A" w:rsidP="0060117A">
      <w:pPr>
        <w:spacing w:after="0" w:line="240" w:lineRule="auto"/>
        <w:ind w:firstLine="709"/>
        <w:jc w:val="both"/>
        <w:rPr>
          <w:rFonts w:ascii="Times New Roman" w:hAnsi="Times New Roman" w:cs="Times New Roman"/>
          <w:sz w:val="24"/>
          <w:szCs w:val="24"/>
        </w:rPr>
      </w:pPr>
    </w:p>
    <w:p w14:paraId="02A7A797" w14:textId="1405B9AB" w:rsidR="006532A7" w:rsidRDefault="006532A7" w:rsidP="0060117A">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Na temelju izdane Dozvole društvo Vermilion je potpisalo 10. lipnja 2016. Ugovor o istraživanju i podjeli eksploatacije ugljikovodika za istražni prostor SA-10 s Vladom Republike Hrvatske (u daljnjem tekstu: Ugovor).</w:t>
      </w:r>
    </w:p>
    <w:p w14:paraId="3AB08CA5" w14:textId="77777777" w:rsidR="00FF7F8B" w:rsidRPr="006532A7" w:rsidRDefault="00FF7F8B" w:rsidP="0060117A">
      <w:pPr>
        <w:spacing w:after="0" w:line="240" w:lineRule="auto"/>
        <w:ind w:firstLine="1418"/>
        <w:jc w:val="both"/>
        <w:rPr>
          <w:rFonts w:ascii="Times New Roman" w:hAnsi="Times New Roman" w:cs="Times New Roman"/>
          <w:sz w:val="24"/>
          <w:szCs w:val="24"/>
        </w:rPr>
      </w:pPr>
    </w:p>
    <w:p w14:paraId="74D4F13E" w14:textId="5A8B5989" w:rsidR="006532A7" w:rsidRDefault="006532A7" w:rsidP="00FF7F8B">
      <w:pPr>
        <w:spacing w:after="0" w:line="240" w:lineRule="auto"/>
        <w:ind w:firstLine="1418"/>
        <w:jc w:val="both"/>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Istražno razdoblje sukladno Ugovoru i Zakonu o istraživanju i eksploataciji ugljikovodika (u daljnjem tekstu: Zakon) traje najdulje pet godina te se dijeli na dvije istražne faze pri čemu prva istražna faza traje tri godine i počinje od datuma stupanja Ugovora na snagu, dok druga istražna faza traje dvije godine, a započinje nepos</w:t>
      </w:r>
      <w:r w:rsidR="00FF7F8B">
        <w:rPr>
          <w:rFonts w:ascii="Times New Roman" w:eastAsia="Times New Roman" w:hAnsi="Times New Roman" w:cs="Times New Roman"/>
          <w:sz w:val="24"/>
          <w:szCs w:val="24"/>
          <w:lang w:eastAsia="hr-HR"/>
        </w:rPr>
        <w:t>redno nakon prve istražne faze.</w:t>
      </w:r>
    </w:p>
    <w:p w14:paraId="2EF6D089" w14:textId="77777777" w:rsidR="00FF7F8B" w:rsidRPr="006532A7" w:rsidRDefault="00FF7F8B" w:rsidP="00A43FBE">
      <w:pPr>
        <w:spacing w:after="0" w:line="240" w:lineRule="auto"/>
        <w:ind w:firstLine="709"/>
        <w:jc w:val="both"/>
        <w:rPr>
          <w:rFonts w:ascii="Times New Roman" w:eastAsia="Times New Roman" w:hAnsi="Times New Roman" w:cs="Times New Roman"/>
          <w:sz w:val="24"/>
          <w:szCs w:val="24"/>
          <w:lang w:eastAsia="hr-HR"/>
        </w:rPr>
      </w:pPr>
    </w:p>
    <w:p w14:paraId="2837C9DE" w14:textId="0C50B5F1" w:rsidR="006532A7" w:rsidRDefault="006532A7" w:rsidP="007A4253">
      <w:pPr>
        <w:spacing w:after="0" w:line="240" w:lineRule="auto"/>
        <w:ind w:firstLine="1418"/>
        <w:jc w:val="both"/>
        <w:rPr>
          <w:rFonts w:ascii="Times New Roman" w:hAnsi="Times New Roman"/>
          <w:sz w:val="24"/>
          <w:szCs w:val="24"/>
        </w:rPr>
      </w:pPr>
      <w:r w:rsidRPr="006532A7">
        <w:rPr>
          <w:rFonts w:ascii="Times New Roman" w:eastAsia="Times New Roman" w:hAnsi="Times New Roman" w:cs="Times New Roman"/>
          <w:sz w:val="24"/>
          <w:szCs w:val="24"/>
          <w:lang w:eastAsia="hr-HR"/>
        </w:rPr>
        <w:t xml:space="preserve">U razdoblju od lipnja 2016. do ožujka 2023. društvo Vermilion je ispunilo minimalne radne obveze prve i druge istražne faze za istražni prostor ugljikovodika „SA-10“, na koje se obvezao temeljem članaka 5.2.2 i 5.2.3 Ugovora. Društvo Vermilion je izradilo 2019. dvije istražne bušotine: Cerić-1 i Berak-1 kojima su utvrđena komercijalna otkrića plina. Nakon ishođenja sve potrebne dokumentacije </w:t>
      </w:r>
      <w:r w:rsidR="00FF7F8B">
        <w:rPr>
          <w:rFonts w:ascii="Times New Roman" w:eastAsia="Times New Roman" w:hAnsi="Times New Roman" w:cs="Times New Roman"/>
          <w:sz w:val="24"/>
          <w:szCs w:val="24"/>
          <w:lang w:eastAsia="hr-HR"/>
        </w:rPr>
        <w:t xml:space="preserve">tadašnje </w:t>
      </w:r>
      <w:r w:rsidRPr="006532A7">
        <w:rPr>
          <w:rFonts w:ascii="Times New Roman" w:eastAsia="Times New Roman" w:hAnsi="Times New Roman" w:cs="Times New Roman"/>
          <w:sz w:val="24"/>
          <w:szCs w:val="24"/>
          <w:lang w:eastAsia="hr-HR"/>
        </w:rPr>
        <w:t xml:space="preserve">Ministarstvo gospodarstva i održivog razvoja, izdalo je Rješenje o utvrđivanju </w:t>
      </w:r>
      <w:r w:rsidR="000C4BCE">
        <w:rPr>
          <w:rFonts w:ascii="Times New Roman" w:eastAsia="Times New Roman" w:hAnsi="Times New Roman" w:cs="Times New Roman"/>
          <w:sz w:val="24"/>
          <w:szCs w:val="24"/>
          <w:lang w:eastAsia="hr-HR"/>
        </w:rPr>
        <w:t>eksploatacijskog polja ugljikovodika</w:t>
      </w:r>
      <w:r w:rsidRPr="006532A7">
        <w:rPr>
          <w:rFonts w:ascii="Times New Roman" w:eastAsia="Times New Roman" w:hAnsi="Times New Roman" w:cs="Times New Roman"/>
          <w:sz w:val="24"/>
          <w:szCs w:val="24"/>
          <w:lang w:eastAsia="hr-HR"/>
        </w:rPr>
        <w:t xml:space="preserve"> </w:t>
      </w:r>
      <w:r w:rsidR="000C4BCE">
        <w:rPr>
          <w:rFonts w:ascii="Times New Roman" w:eastAsia="Times New Roman" w:hAnsi="Times New Roman" w:cs="Times New Roman"/>
          <w:sz w:val="24"/>
          <w:szCs w:val="24"/>
          <w:lang w:eastAsia="hr-HR"/>
        </w:rPr>
        <w:t>„</w:t>
      </w:r>
      <w:r w:rsidRPr="006532A7">
        <w:rPr>
          <w:rFonts w:ascii="Times New Roman" w:eastAsia="Times New Roman" w:hAnsi="Times New Roman" w:cs="Times New Roman"/>
          <w:sz w:val="24"/>
          <w:szCs w:val="24"/>
          <w:lang w:eastAsia="hr-HR"/>
        </w:rPr>
        <w:t>Berak</w:t>
      </w:r>
      <w:r w:rsidR="000C4BCE">
        <w:rPr>
          <w:rFonts w:ascii="Times New Roman" w:eastAsia="Times New Roman" w:hAnsi="Times New Roman" w:cs="Times New Roman"/>
          <w:sz w:val="24"/>
          <w:szCs w:val="24"/>
          <w:lang w:eastAsia="hr-HR"/>
        </w:rPr>
        <w:t>“</w:t>
      </w:r>
      <w:r w:rsidR="00FF7F8B">
        <w:rPr>
          <w:rFonts w:ascii="Times New Roman" w:eastAsia="Times New Roman" w:hAnsi="Times New Roman" w:cs="Times New Roman"/>
          <w:sz w:val="24"/>
          <w:szCs w:val="24"/>
          <w:lang w:eastAsia="hr-HR"/>
        </w:rPr>
        <w:t xml:space="preserve">, </w:t>
      </w:r>
      <w:r w:rsidRPr="006532A7">
        <w:rPr>
          <w:rFonts w:ascii="Times New Roman" w:eastAsia="Times New Roman" w:hAnsi="Times New Roman" w:cs="Times New Roman"/>
          <w:sz w:val="24"/>
          <w:szCs w:val="24"/>
          <w:lang w:eastAsia="hr-HR"/>
        </w:rPr>
        <w:t>KLASA: UP/I-391-01/22-01/56, URBROJ: 517-07-3-2-22-2</w:t>
      </w:r>
      <w:r w:rsidR="00FF7F8B">
        <w:rPr>
          <w:rFonts w:ascii="Times New Roman" w:eastAsia="Times New Roman" w:hAnsi="Times New Roman" w:cs="Times New Roman"/>
          <w:sz w:val="24"/>
          <w:szCs w:val="24"/>
          <w:lang w:eastAsia="hr-HR"/>
        </w:rPr>
        <w:t>, od</w:t>
      </w:r>
      <w:r w:rsidR="00F63C3A">
        <w:rPr>
          <w:rFonts w:ascii="Times New Roman" w:eastAsia="Times New Roman" w:hAnsi="Times New Roman" w:cs="Times New Roman"/>
          <w:sz w:val="24"/>
          <w:szCs w:val="24"/>
          <w:lang w:eastAsia="hr-HR"/>
        </w:rPr>
        <w:t xml:space="preserve"> 28. studenoga 2022.</w:t>
      </w:r>
      <w:r w:rsidRPr="006532A7">
        <w:rPr>
          <w:rFonts w:ascii="Times New Roman" w:eastAsia="Times New Roman" w:hAnsi="Times New Roman" w:cs="Times New Roman"/>
          <w:sz w:val="24"/>
          <w:szCs w:val="24"/>
          <w:lang w:eastAsia="hr-HR"/>
        </w:rPr>
        <w:t xml:space="preserve"> i Rješenje o utvrđivanju </w:t>
      </w:r>
      <w:r w:rsidR="000C4BCE">
        <w:rPr>
          <w:rFonts w:ascii="Times New Roman" w:eastAsia="Times New Roman" w:hAnsi="Times New Roman" w:cs="Times New Roman"/>
          <w:sz w:val="24"/>
          <w:szCs w:val="24"/>
          <w:lang w:eastAsia="hr-HR"/>
        </w:rPr>
        <w:t>eksploatacijskog polja ugljikovodika „</w:t>
      </w:r>
      <w:r w:rsidRPr="006532A7">
        <w:rPr>
          <w:rFonts w:ascii="Times New Roman" w:eastAsia="Times New Roman" w:hAnsi="Times New Roman" w:cs="Times New Roman"/>
          <w:sz w:val="24"/>
          <w:szCs w:val="24"/>
          <w:lang w:eastAsia="hr-HR"/>
        </w:rPr>
        <w:t>Cerić</w:t>
      </w:r>
      <w:r w:rsidR="000C4BCE">
        <w:rPr>
          <w:rFonts w:ascii="Times New Roman" w:eastAsia="Times New Roman" w:hAnsi="Times New Roman" w:cs="Times New Roman"/>
          <w:sz w:val="24"/>
          <w:szCs w:val="24"/>
          <w:lang w:eastAsia="hr-HR"/>
        </w:rPr>
        <w:t>“</w:t>
      </w:r>
      <w:r w:rsidR="00FF7F8B">
        <w:rPr>
          <w:rFonts w:ascii="Times New Roman" w:eastAsia="Times New Roman" w:hAnsi="Times New Roman" w:cs="Times New Roman"/>
          <w:sz w:val="24"/>
          <w:szCs w:val="24"/>
          <w:lang w:eastAsia="hr-HR"/>
        </w:rPr>
        <w:t xml:space="preserve">, </w:t>
      </w:r>
      <w:r w:rsidRPr="006532A7">
        <w:rPr>
          <w:rFonts w:ascii="Times New Roman" w:eastAsia="Times New Roman" w:hAnsi="Times New Roman" w:cs="Times New Roman"/>
          <w:sz w:val="24"/>
          <w:szCs w:val="24"/>
          <w:lang w:eastAsia="hr-HR"/>
        </w:rPr>
        <w:t>KLASA: UP/I-392-01/22-01/127, URBROJ: 517-07-3-2-22-2</w:t>
      </w:r>
      <w:r w:rsidR="00DD4D74">
        <w:rPr>
          <w:rFonts w:ascii="Times New Roman" w:eastAsia="Times New Roman" w:hAnsi="Times New Roman" w:cs="Times New Roman"/>
          <w:sz w:val="24"/>
          <w:szCs w:val="24"/>
          <w:lang w:eastAsia="hr-HR"/>
        </w:rPr>
        <w:t>, od 28. studenoga 2022</w:t>
      </w:r>
      <w:r w:rsidR="00FF7F8B">
        <w:rPr>
          <w:rFonts w:ascii="Times New Roman" w:eastAsia="Times New Roman" w:hAnsi="Times New Roman" w:cs="Times New Roman"/>
          <w:sz w:val="24"/>
          <w:szCs w:val="24"/>
          <w:lang w:eastAsia="hr-HR"/>
        </w:rPr>
        <w:t>.</w:t>
      </w:r>
      <w:r w:rsidRPr="006532A7">
        <w:rPr>
          <w:rFonts w:ascii="Times New Roman" w:hAnsi="Times New Roman"/>
          <w:sz w:val="24"/>
          <w:szCs w:val="24"/>
        </w:rPr>
        <w:t xml:space="preserve"> Sukladno obuhvatu količine i kakvoće </w:t>
      </w:r>
      <w:r w:rsidR="00380EC5">
        <w:rPr>
          <w:rFonts w:ascii="Times New Roman" w:hAnsi="Times New Roman"/>
          <w:sz w:val="24"/>
          <w:szCs w:val="24"/>
        </w:rPr>
        <w:t xml:space="preserve">rezervi </w:t>
      </w:r>
      <w:r w:rsidRPr="006532A7">
        <w:rPr>
          <w:rFonts w:ascii="Times New Roman" w:hAnsi="Times New Roman"/>
          <w:sz w:val="24"/>
          <w:szCs w:val="24"/>
        </w:rPr>
        <w:t xml:space="preserve">potvrđenih </w:t>
      </w:r>
      <w:r w:rsidR="00FF7F8B">
        <w:rPr>
          <w:rFonts w:ascii="Times New Roman" w:hAnsi="Times New Roman"/>
          <w:sz w:val="24"/>
          <w:szCs w:val="24"/>
        </w:rPr>
        <w:t>R</w:t>
      </w:r>
      <w:r w:rsidRPr="006532A7">
        <w:rPr>
          <w:rFonts w:ascii="Times New Roman" w:hAnsi="Times New Roman"/>
          <w:sz w:val="24"/>
          <w:szCs w:val="24"/>
        </w:rPr>
        <w:t>ješenjem o utvrđivanju količina i kakvoći rezervi</w:t>
      </w:r>
      <w:r w:rsidR="00FF7F8B">
        <w:rPr>
          <w:rFonts w:ascii="Times New Roman" w:hAnsi="Times New Roman"/>
          <w:sz w:val="24"/>
          <w:szCs w:val="24"/>
        </w:rPr>
        <w:t xml:space="preserve">, </w:t>
      </w:r>
      <w:r w:rsidRPr="006532A7">
        <w:rPr>
          <w:rFonts w:ascii="Times New Roman" w:hAnsi="Times New Roman"/>
          <w:sz w:val="24"/>
          <w:szCs w:val="24"/>
        </w:rPr>
        <w:t>KLASA: UP/I-392-01/23-</w:t>
      </w:r>
      <w:r w:rsidRPr="006532A7">
        <w:rPr>
          <w:rFonts w:ascii="Times New Roman" w:hAnsi="Times New Roman"/>
          <w:sz w:val="24"/>
          <w:szCs w:val="24"/>
        </w:rPr>
        <w:t xml:space="preserve">01/73, URBROJ: 517-07-3-2-23-9, od 11. prosinca 2023. te nakon ishođenja sve potrebne dokumentacije, Ministarstvo gospodarstva i održivog razvoja, izdalo je Rješenje o utvrđivanju </w:t>
      </w:r>
      <w:r w:rsidR="00326ED4">
        <w:rPr>
          <w:rFonts w:ascii="Times New Roman" w:hAnsi="Times New Roman"/>
          <w:sz w:val="24"/>
          <w:szCs w:val="24"/>
        </w:rPr>
        <w:t>eksploatacijskog polja ugljikovodika</w:t>
      </w:r>
      <w:r w:rsidRPr="006532A7">
        <w:rPr>
          <w:rFonts w:ascii="Times New Roman" w:hAnsi="Times New Roman"/>
          <w:sz w:val="24"/>
          <w:szCs w:val="24"/>
        </w:rPr>
        <w:t xml:space="preserve"> </w:t>
      </w:r>
      <w:r w:rsidR="00326ED4">
        <w:rPr>
          <w:rFonts w:ascii="Times New Roman" w:hAnsi="Times New Roman"/>
          <w:sz w:val="24"/>
          <w:szCs w:val="24"/>
        </w:rPr>
        <w:t>„</w:t>
      </w:r>
      <w:r w:rsidRPr="006532A7">
        <w:rPr>
          <w:rFonts w:ascii="Times New Roman" w:hAnsi="Times New Roman"/>
          <w:sz w:val="24"/>
          <w:szCs w:val="24"/>
        </w:rPr>
        <w:t>Cerić</w:t>
      </w:r>
      <w:r w:rsidR="00326ED4">
        <w:rPr>
          <w:rFonts w:ascii="Times New Roman" w:hAnsi="Times New Roman"/>
          <w:sz w:val="24"/>
          <w:szCs w:val="24"/>
        </w:rPr>
        <w:t>“</w:t>
      </w:r>
      <w:r w:rsidR="00A43FBE">
        <w:rPr>
          <w:rFonts w:ascii="Times New Roman" w:hAnsi="Times New Roman"/>
          <w:sz w:val="24"/>
          <w:szCs w:val="24"/>
        </w:rPr>
        <w:t xml:space="preserve">, </w:t>
      </w:r>
      <w:r w:rsidRPr="006532A7">
        <w:rPr>
          <w:rFonts w:ascii="Times New Roman" w:hAnsi="Times New Roman"/>
          <w:sz w:val="24"/>
          <w:szCs w:val="24"/>
        </w:rPr>
        <w:t>KLASA: UP/I-392-01/24-01/30, URBROJ: 517-07-3-2-24-2</w:t>
      </w:r>
      <w:r w:rsidR="00A43FBE">
        <w:rPr>
          <w:rFonts w:ascii="Times New Roman" w:hAnsi="Times New Roman"/>
          <w:sz w:val="24"/>
          <w:szCs w:val="24"/>
        </w:rPr>
        <w:t>, od</w:t>
      </w:r>
      <w:r w:rsidR="00DE432C">
        <w:rPr>
          <w:rFonts w:ascii="Times New Roman" w:hAnsi="Times New Roman"/>
          <w:sz w:val="24"/>
          <w:szCs w:val="24"/>
        </w:rPr>
        <w:t xml:space="preserve"> </w:t>
      </w:r>
      <w:r w:rsidR="00E839CA">
        <w:rPr>
          <w:rFonts w:ascii="Times New Roman" w:hAnsi="Times New Roman"/>
          <w:sz w:val="24"/>
          <w:szCs w:val="24"/>
        </w:rPr>
        <w:t>10. travnja 2024.</w:t>
      </w:r>
    </w:p>
    <w:p w14:paraId="256C6612" w14:textId="77777777" w:rsidR="00A43FBE" w:rsidRPr="00FF7F8B" w:rsidRDefault="00A43FBE" w:rsidP="00A43FBE">
      <w:pPr>
        <w:spacing w:after="0" w:line="240" w:lineRule="auto"/>
        <w:ind w:firstLine="1418"/>
        <w:jc w:val="both"/>
        <w:rPr>
          <w:rFonts w:ascii="Times New Roman" w:eastAsia="Times New Roman" w:hAnsi="Times New Roman" w:cs="Times New Roman"/>
          <w:sz w:val="24"/>
          <w:szCs w:val="24"/>
          <w:lang w:eastAsia="hr-HR"/>
        </w:rPr>
      </w:pPr>
    </w:p>
    <w:p w14:paraId="7F481B3E" w14:textId="3A4EFA37" w:rsidR="006532A7" w:rsidRDefault="006532A7" w:rsidP="00A43FBE">
      <w:pPr>
        <w:spacing w:after="0" w:line="240" w:lineRule="auto"/>
        <w:ind w:firstLine="1418"/>
        <w:jc w:val="both"/>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 xml:space="preserve">Krajem 2022. izrađene su još dvije istražne bušotine: Novi Jankovci-1 i Opatovac-1. Potonja je potvrdila postojanje ležišta ugljikovodika te je društvo Vermilion 16. studenoga 2022. obavijestilo Ministarstvo </w:t>
      </w:r>
      <w:r w:rsidR="00A43FBE">
        <w:rPr>
          <w:rFonts w:ascii="Times New Roman" w:eastAsia="Times New Roman" w:hAnsi="Times New Roman" w:cs="Times New Roman"/>
          <w:sz w:val="24"/>
          <w:szCs w:val="24"/>
          <w:lang w:eastAsia="hr-HR"/>
        </w:rPr>
        <w:t xml:space="preserve">gospodarstva i održivog razvoja </w:t>
      </w:r>
      <w:r w:rsidRPr="006532A7">
        <w:rPr>
          <w:rFonts w:ascii="Times New Roman" w:eastAsia="Times New Roman" w:hAnsi="Times New Roman" w:cs="Times New Roman"/>
          <w:sz w:val="24"/>
          <w:szCs w:val="24"/>
          <w:lang w:eastAsia="hr-HR"/>
        </w:rPr>
        <w:t xml:space="preserve">i Agenciju za ugljikovodike (u daljnjem tekstu: Agencija) o plinskom otkriću koje zahtijeva dodatne ocjenske radove u smislu ispitivanja komercijalnosti predmetnog otkrića. Društvo Vermilion je 16. ožujka 2023. (prije isteka istražnog razdoblja) dostavilo Agenciji Radni program i budžet sa predloženim ocjenskim prostorom SA-10, a Agencija je uz prethodnu suglasnost tadašnjeg Ministarstva gospodarstva i održivog razvoja, dala </w:t>
      </w:r>
      <w:r w:rsidR="00D00D66">
        <w:rPr>
          <w:rFonts w:ascii="Times New Roman" w:eastAsia="Times New Roman" w:hAnsi="Times New Roman" w:cs="Times New Roman"/>
          <w:sz w:val="24"/>
          <w:szCs w:val="24"/>
          <w:lang w:eastAsia="hr-HR"/>
        </w:rPr>
        <w:t>P</w:t>
      </w:r>
      <w:r w:rsidRPr="006532A7">
        <w:rPr>
          <w:rFonts w:ascii="Times New Roman" w:eastAsia="Times New Roman" w:hAnsi="Times New Roman" w:cs="Times New Roman"/>
          <w:sz w:val="24"/>
          <w:szCs w:val="24"/>
          <w:lang w:eastAsia="hr-HR"/>
        </w:rPr>
        <w:t xml:space="preserve">ozitivno </w:t>
      </w:r>
      <w:r w:rsidR="00D00D66">
        <w:rPr>
          <w:rFonts w:ascii="Times New Roman" w:eastAsia="Times New Roman" w:hAnsi="Times New Roman" w:cs="Times New Roman"/>
          <w:sz w:val="24"/>
          <w:szCs w:val="24"/>
          <w:lang w:eastAsia="hr-HR"/>
        </w:rPr>
        <w:t xml:space="preserve">pisano </w:t>
      </w:r>
      <w:r w:rsidRPr="006532A7">
        <w:rPr>
          <w:rFonts w:ascii="Times New Roman" w:eastAsia="Times New Roman" w:hAnsi="Times New Roman" w:cs="Times New Roman"/>
          <w:sz w:val="24"/>
          <w:szCs w:val="24"/>
          <w:lang w:eastAsia="hr-HR"/>
        </w:rPr>
        <w:t>mišljenje na Radni program i budžet za ocjenski prostor SA-10 za 2023. godinu</w:t>
      </w:r>
      <w:r w:rsidR="00A43FBE">
        <w:rPr>
          <w:rFonts w:ascii="Times New Roman" w:eastAsia="Times New Roman" w:hAnsi="Times New Roman" w:cs="Times New Roman"/>
          <w:sz w:val="24"/>
          <w:szCs w:val="24"/>
          <w:lang w:eastAsia="hr-HR"/>
        </w:rPr>
        <w:t xml:space="preserve">, </w:t>
      </w:r>
      <w:r w:rsidRPr="006532A7">
        <w:rPr>
          <w:rFonts w:ascii="Times New Roman" w:eastAsia="Times New Roman" w:hAnsi="Times New Roman" w:cs="Times New Roman"/>
          <w:sz w:val="24"/>
          <w:szCs w:val="24"/>
          <w:lang w:eastAsia="hr-HR"/>
        </w:rPr>
        <w:t>KLASA: 310-05/16-01/06, URBROJ: 405-04/01-23-366, od 12. travnja 2023</w:t>
      </w:r>
      <w:r w:rsidR="00A43FBE">
        <w:rPr>
          <w:rFonts w:ascii="Times New Roman" w:eastAsia="Times New Roman" w:hAnsi="Times New Roman" w:cs="Times New Roman"/>
          <w:sz w:val="24"/>
          <w:szCs w:val="24"/>
          <w:lang w:eastAsia="hr-HR"/>
        </w:rPr>
        <w:t>.</w:t>
      </w:r>
    </w:p>
    <w:p w14:paraId="3712F8DC" w14:textId="77777777" w:rsidR="00A43FBE" w:rsidRPr="006532A7" w:rsidRDefault="00A43FBE" w:rsidP="00A43FBE">
      <w:pPr>
        <w:spacing w:after="0" w:line="240" w:lineRule="auto"/>
        <w:ind w:firstLine="1418"/>
        <w:jc w:val="both"/>
        <w:rPr>
          <w:rFonts w:ascii="Times New Roman" w:eastAsia="Times New Roman" w:hAnsi="Times New Roman" w:cs="Times New Roman"/>
          <w:sz w:val="24"/>
          <w:szCs w:val="24"/>
          <w:lang w:eastAsia="hr-HR"/>
        </w:rPr>
      </w:pPr>
    </w:p>
    <w:p w14:paraId="0C4A1250" w14:textId="1D1EE2CA" w:rsidR="006532A7" w:rsidRDefault="00C11402" w:rsidP="00A43FBE">
      <w:pPr>
        <w:spacing w:after="0" w:line="240" w:lineRule="auto"/>
        <w:ind w:firstLine="141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004B2938" w:rsidRPr="006532A7">
        <w:rPr>
          <w:rFonts w:ascii="Times New Roman" w:eastAsia="Times New Roman" w:hAnsi="Times New Roman" w:cs="Times New Roman"/>
          <w:sz w:val="24"/>
          <w:szCs w:val="24"/>
          <w:lang w:eastAsia="hr-HR"/>
        </w:rPr>
        <w:t>ruštvo Vermilion</w:t>
      </w:r>
      <w:r w:rsidR="00CE1A50">
        <w:rPr>
          <w:rFonts w:ascii="Times New Roman" w:eastAsia="Times New Roman" w:hAnsi="Times New Roman" w:cs="Times New Roman"/>
          <w:sz w:val="24"/>
          <w:szCs w:val="24"/>
          <w:lang w:eastAsia="hr-HR"/>
        </w:rPr>
        <w:t xml:space="preserve"> </w:t>
      </w:r>
      <w:r w:rsidR="00CD6FC7">
        <w:rPr>
          <w:rFonts w:ascii="Times New Roman" w:eastAsia="Times New Roman" w:hAnsi="Times New Roman" w:cs="Times New Roman"/>
          <w:sz w:val="24"/>
          <w:szCs w:val="24"/>
          <w:lang w:eastAsia="hr-HR"/>
        </w:rPr>
        <w:t xml:space="preserve">je </w:t>
      </w:r>
      <w:r w:rsidR="006532A7" w:rsidRPr="006532A7">
        <w:rPr>
          <w:rFonts w:ascii="Times New Roman" w:eastAsia="Times New Roman" w:hAnsi="Times New Roman" w:cs="Times New Roman"/>
          <w:sz w:val="24"/>
          <w:szCs w:val="24"/>
          <w:lang w:eastAsia="hr-HR"/>
        </w:rPr>
        <w:t xml:space="preserve">16. listopada 2023. dostavilo Obavijest o sanaciji istražne bušotine Novi Jankovci-1 </w:t>
      </w:r>
      <w:r w:rsidR="00A1418C">
        <w:rPr>
          <w:rFonts w:ascii="Times New Roman" w:eastAsia="Times New Roman" w:hAnsi="Times New Roman" w:cs="Times New Roman"/>
          <w:sz w:val="24"/>
          <w:szCs w:val="24"/>
          <w:lang w:eastAsia="hr-HR"/>
        </w:rPr>
        <w:t xml:space="preserve">na istražnom prostoru ugljikovodika SA-10, </w:t>
      </w:r>
      <w:r w:rsidR="006532A7" w:rsidRPr="006532A7">
        <w:rPr>
          <w:rFonts w:ascii="Times New Roman" w:eastAsia="Times New Roman" w:hAnsi="Times New Roman" w:cs="Times New Roman"/>
          <w:sz w:val="24"/>
          <w:szCs w:val="24"/>
          <w:lang w:eastAsia="hr-HR"/>
        </w:rPr>
        <w:t>čime je investitor ispunio sve obveze iz Ugovora, odnosno osim što su obavljeni svi istražni radovi iz Ugovora, izvršena je i zakonska obveza sanacije za područje koje se napušta. Energetska inspekcija u području naftnog rudarstva i inspekcija zaštite okoliša Državnog inspektorata utvrdile su da su provedene mjere osiguranja, zaštite prirode i okoliša i sanacije prostora na kojem je smješten naftno-rudarski objekt dovoljne, te su o tome izdali potvrde</w:t>
      </w:r>
      <w:r w:rsidR="00A43FBE">
        <w:rPr>
          <w:rFonts w:ascii="Times New Roman" w:eastAsia="Times New Roman" w:hAnsi="Times New Roman" w:cs="Times New Roman"/>
          <w:sz w:val="24"/>
          <w:szCs w:val="24"/>
          <w:lang w:eastAsia="hr-HR"/>
        </w:rPr>
        <w:t xml:space="preserve">, </w:t>
      </w:r>
      <w:r w:rsidR="006532A7" w:rsidRPr="006532A7">
        <w:rPr>
          <w:rFonts w:ascii="Times New Roman" w:eastAsia="Times New Roman" w:hAnsi="Times New Roman" w:cs="Times New Roman"/>
          <w:sz w:val="24"/>
          <w:szCs w:val="24"/>
          <w:lang w:eastAsia="hr-HR"/>
        </w:rPr>
        <w:t>KLASA: 312-02/23-06/39, URBROJ: 443-01-12-23-3</w:t>
      </w:r>
      <w:r w:rsidR="00A43FBE">
        <w:rPr>
          <w:rFonts w:ascii="Times New Roman" w:eastAsia="Times New Roman" w:hAnsi="Times New Roman" w:cs="Times New Roman"/>
          <w:sz w:val="24"/>
          <w:szCs w:val="24"/>
          <w:lang w:eastAsia="hr-HR"/>
        </w:rPr>
        <w:t>, od 8. rujna 2023.</w:t>
      </w:r>
      <w:r w:rsidR="006532A7" w:rsidRPr="006532A7">
        <w:rPr>
          <w:rFonts w:ascii="Times New Roman" w:eastAsia="Times New Roman" w:hAnsi="Times New Roman" w:cs="Times New Roman"/>
          <w:sz w:val="24"/>
          <w:szCs w:val="24"/>
          <w:lang w:eastAsia="hr-HR"/>
        </w:rPr>
        <w:t xml:space="preserve"> </w:t>
      </w:r>
      <w:r w:rsidR="00A43FBE">
        <w:rPr>
          <w:rFonts w:ascii="Times New Roman" w:eastAsia="Times New Roman" w:hAnsi="Times New Roman" w:cs="Times New Roman"/>
          <w:sz w:val="24"/>
          <w:szCs w:val="24"/>
          <w:lang w:eastAsia="hr-HR"/>
        </w:rPr>
        <w:t>i</w:t>
      </w:r>
      <w:r w:rsidR="006532A7" w:rsidRPr="006532A7">
        <w:rPr>
          <w:rFonts w:ascii="Times New Roman" w:eastAsia="Times New Roman" w:hAnsi="Times New Roman" w:cs="Times New Roman"/>
          <w:sz w:val="24"/>
          <w:szCs w:val="24"/>
          <w:lang w:eastAsia="hr-HR"/>
        </w:rPr>
        <w:t xml:space="preserve"> KLASA: 351-02/23-11/47, URBROJ: 443-01-16-01-23-3</w:t>
      </w:r>
      <w:r w:rsidR="00A43FBE">
        <w:rPr>
          <w:rFonts w:ascii="Times New Roman" w:eastAsia="Times New Roman" w:hAnsi="Times New Roman" w:cs="Times New Roman"/>
          <w:sz w:val="24"/>
          <w:szCs w:val="24"/>
          <w:lang w:eastAsia="hr-HR"/>
        </w:rPr>
        <w:t>,</w:t>
      </w:r>
      <w:r w:rsidR="00A43FBE" w:rsidRPr="00A43FBE">
        <w:t xml:space="preserve"> </w:t>
      </w:r>
      <w:r w:rsidR="00A43FBE" w:rsidRPr="00A43FBE">
        <w:rPr>
          <w:rFonts w:ascii="Times New Roman" w:eastAsia="Times New Roman" w:hAnsi="Times New Roman" w:cs="Times New Roman"/>
          <w:sz w:val="24"/>
          <w:szCs w:val="24"/>
          <w:lang w:eastAsia="hr-HR"/>
        </w:rPr>
        <w:t>29. rujna 2023.</w:t>
      </w:r>
      <w:r w:rsidR="006532A7" w:rsidRPr="006532A7">
        <w:rPr>
          <w:rFonts w:ascii="Times New Roman" w:eastAsia="Times New Roman" w:hAnsi="Times New Roman" w:cs="Times New Roman"/>
          <w:sz w:val="24"/>
          <w:szCs w:val="24"/>
          <w:lang w:eastAsia="hr-HR"/>
        </w:rPr>
        <w:t xml:space="preserve"> i o tome izvijestili nadležno ministarstvo.</w:t>
      </w:r>
    </w:p>
    <w:p w14:paraId="0D5C0054" w14:textId="77777777" w:rsidR="00A43FBE" w:rsidRPr="006532A7" w:rsidRDefault="00A43FBE" w:rsidP="00A43FBE">
      <w:pPr>
        <w:spacing w:after="0" w:line="240" w:lineRule="auto"/>
        <w:ind w:firstLine="1418"/>
        <w:jc w:val="both"/>
        <w:rPr>
          <w:rFonts w:ascii="Times New Roman" w:eastAsia="Times New Roman" w:hAnsi="Times New Roman" w:cs="Times New Roman"/>
          <w:sz w:val="24"/>
          <w:szCs w:val="24"/>
          <w:lang w:eastAsia="hr-HR"/>
        </w:rPr>
      </w:pPr>
    </w:p>
    <w:p w14:paraId="10AD330C" w14:textId="59EC19B1" w:rsidR="006532A7" w:rsidRDefault="006532A7" w:rsidP="00A43FBE">
      <w:pPr>
        <w:spacing w:after="0" w:line="240" w:lineRule="auto"/>
        <w:ind w:firstLine="1418"/>
        <w:jc w:val="both"/>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Sukladno odredbi članka 36. stavka 2. Zakona, investitor, društvo Vermilion po isteku istražnog razdoblja nije obvezan napustiti dio istražnog prostora ugljikovodika koje je određeno kao ocjensko područje niti dijelove istražnog prostora za koje je utvrđeno eksploatacijsko polje ugljikovodika. Također, članak 37. stavak 4. Zakona propisuje da će se investitoru, ako je nakon isteka istražnog razdoblja radni program ocjene u tijeku, dozvoliti dovršetak radova radnog programa ocjene i shodno tome odgoditi obvezu napuštanja istražnog prostora.</w:t>
      </w:r>
    </w:p>
    <w:p w14:paraId="7A1182CC" w14:textId="77777777" w:rsidR="00A43FBE" w:rsidRPr="006532A7" w:rsidRDefault="00A43FBE" w:rsidP="00A43FBE">
      <w:pPr>
        <w:spacing w:after="0" w:line="240" w:lineRule="auto"/>
        <w:ind w:firstLine="1418"/>
        <w:jc w:val="both"/>
        <w:rPr>
          <w:rFonts w:ascii="Times New Roman" w:eastAsia="Times New Roman" w:hAnsi="Times New Roman" w:cs="Times New Roman"/>
          <w:sz w:val="24"/>
          <w:szCs w:val="24"/>
          <w:lang w:eastAsia="hr-HR"/>
        </w:rPr>
      </w:pPr>
    </w:p>
    <w:p w14:paraId="06D0D9C9" w14:textId="23D90BB8" w:rsidR="00C31953" w:rsidRPr="006532A7" w:rsidRDefault="006532A7" w:rsidP="00A43FBE">
      <w:pPr>
        <w:spacing w:after="0" w:line="240" w:lineRule="auto"/>
        <w:ind w:firstLine="1418"/>
        <w:jc w:val="both"/>
        <w:rPr>
          <w:rFonts w:ascii="Times New Roman" w:hAnsi="Times New Roman" w:cs="Times New Roman"/>
          <w:sz w:val="24"/>
          <w:szCs w:val="24"/>
        </w:rPr>
      </w:pPr>
      <w:r w:rsidRPr="006532A7">
        <w:rPr>
          <w:rFonts w:ascii="Times New Roman" w:hAnsi="Times New Roman" w:cs="Times New Roman"/>
          <w:sz w:val="24"/>
          <w:szCs w:val="24"/>
        </w:rPr>
        <w:t>Slijedom navedenog</w:t>
      </w:r>
      <w:r w:rsidR="00924666">
        <w:rPr>
          <w:rFonts w:ascii="Times New Roman" w:hAnsi="Times New Roman" w:cs="Times New Roman"/>
          <w:sz w:val="24"/>
          <w:szCs w:val="24"/>
        </w:rPr>
        <w:t>a</w:t>
      </w:r>
      <w:r w:rsidRPr="006532A7">
        <w:rPr>
          <w:rFonts w:ascii="Times New Roman" w:hAnsi="Times New Roman" w:cs="Times New Roman"/>
          <w:sz w:val="24"/>
          <w:szCs w:val="24"/>
        </w:rPr>
        <w:t>, predlaže se donošenje predmetne Odluke.</w:t>
      </w:r>
    </w:p>
    <w:p w14:paraId="2C29699D" w14:textId="033984DC" w:rsidR="00AC50ED" w:rsidRDefault="00AC50ED" w:rsidP="00AF706D">
      <w:pPr>
        <w:spacing w:after="0" w:line="240" w:lineRule="auto"/>
        <w:ind w:right="226" w:firstLine="708"/>
        <w:rPr>
          <w:rFonts w:ascii="Times New Roman" w:eastAsia="Times New Roman" w:hAnsi="Times New Roman"/>
          <w:b/>
          <w:sz w:val="24"/>
          <w:szCs w:val="24"/>
          <w:lang w:eastAsia="hr-HR"/>
        </w:rPr>
      </w:pPr>
    </w:p>
    <w:p w14:paraId="72774203" w14:textId="77777777" w:rsidR="00AC50ED" w:rsidRDefault="00AC50ED" w:rsidP="00AF706D">
      <w:pPr>
        <w:spacing w:after="0" w:line="240" w:lineRule="auto"/>
        <w:ind w:right="226" w:firstLine="708"/>
        <w:rPr>
          <w:rFonts w:ascii="Times New Roman" w:eastAsia="Times New Roman" w:hAnsi="Times New Roman"/>
          <w:b/>
          <w:sz w:val="24"/>
          <w:szCs w:val="24"/>
          <w:lang w:eastAsia="hr-HR"/>
        </w:rPr>
      </w:pPr>
    </w:p>
    <w:p w14:paraId="59E7B025" w14:textId="50AA9FEC" w:rsidR="006532A7" w:rsidRDefault="006532A7" w:rsidP="00AF706D">
      <w:pPr>
        <w:spacing w:after="0" w:line="240" w:lineRule="auto"/>
        <w:ind w:right="226" w:firstLine="1418"/>
        <w:rPr>
          <w:rFonts w:ascii="Times New Roman" w:eastAsia="Times New Roman" w:hAnsi="Times New Roman"/>
          <w:b/>
          <w:sz w:val="24"/>
          <w:szCs w:val="24"/>
          <w:u w:val="single"/>
          <w:lang w:eastAsia="hr-HR"/>
        </w:rPr>
      </w:pPr>
      <w:r w:rsidRPr="0060117A">
        <w:rPr>
          <w:rFonts w:ascii="Times New Roman" w:eastAsia="Times New Roman" w:hAnsi="Times New Roman"/>
          <w:b/>
          <w:sz w:val="24"/>
          <w:szCs w:val="24"/>
          <w:u w:val="single"/>
          <w:lang w:eastAsia="hr-HR"/>
        </w:rPr>
        <w:t>Uputa o pravnom lijeku</w:t>
      </w:r>
      <w:r w:rsidR="0060117A" w:rsidRPr="0060117A">
        <w:rPr>
          <w:rFonts w:ascii="Times New Roman" w:eastAsia="Times New Roman" w:hAnsi="Times New Roman"/>
          <w:b/>
          <w:sz w:val="24"/>
          <w:szCs w:val="24"/>
          <w:u w:val="single"/>
          <w:lang w:eastAsia="hr-HR"/>
        </w:rPr>
        <w:t>:</w:t>
      </w:r>
    </w:p>
    <w:p w14:paraId="3CC5FCD3" w14:textId="77777777" w:rsidR="00AF706D" w:rsidRPr="0060117A" w:rsidRDefault="00AF706D" w:rsidP="00AF706D">
      <w:pPr>
        <w:spacing w:after="0" w:line="240" w:lineRule="auto"/>
        <w:ind w:right="226" w:firstLine="1418"/>
        <w:rPr>
          <w:rFonts w:ascii="Times New Roman" w:eastAsia="Times New Roman" w:hAnsi="Times New Roman"/>
          <w:b/>
          <w:sz w:val="24"/>
          <w:szCs w:val="24"/>
          <w:u w:val="single"/>
          <w:lang w:eastAsia="hr-HR"/>
        </w:rPr>
      </w:pPr>
    </w:p>
    <w:p w14:paraId="285D6E4F" w14:textId="77777777" w:rsidR="006532A7" w:rsidRPr="006532A7" w:rsidRDefault="006532A7" w:rsidP="00AF706D">
      <w:pPr>
        <w:spacing w:after="0" w:line="240" w:lineRule="auto"/>
        <w:ind w:right="-2" w:firstLine="1418"/>
        <w:jc w:val="both"/>
        <w:rPr>
          <w:rFonts w:ascii="Times New Roman" w:hAnsi="Times New Roman" w:cs="Times New Roman"/>
          <w:sz w:val="24"/>
          <w:szCs w:val="24"/>
        </w:rPr>
      </w:pPr>
      <w:r w:rsidRPr="006532A7">
        <w:rPr>
          <w:rFonts w:ascii="Times New Roman" w:hAnsi="Times New Roman"/>
          <w:sz w:val="24"/>
          <w:szCs w:val="24"/>
        </w:rPr>
        <w:t>Protiv ove Odluke žalba nije dopuštena, ali se mo</w:t>
      </w:r>
      <w:r w:rsidRPr="006532A7">
        <w:rPr>
          <w:rFonts w:ascii="Times New Roman" w:hAnsi="Times New Roman" w:hint="eastAsia"/>
          <w:sz w:val="24"/>
          <w:szCs w:val="24"/>
        </w:rPr>
        <w:t>ž</w:t>
      </w:r>
      <w:r w:rsidRPr="006532A7">
        <w:rPr>
          <w:rFonts w:ascii="Times New Roman" w:hAnsi="Times New Roman"/>
          <w:sz w:val="24"/>
          <w:szCs w:val="24"/>
        </w:rPr>
        <w:t>e pokrenuti upravni spor podnošenjem tužbe Upravnom sudu u Zagrebu, u roku od 30 dana od dana primitka ove Odluke.</w:t>
      </w:r>
      <w:r w:rsidRPr="006532A7">
        <w:rPr>
          <w:rFonts w:ascii="Times New Roman" w:eastAsia="Times New Roman" w:hAnsi="Times New Roman"/>
          <w:sz w:val="24"/>
          <w:szCs w:val="24"/>
          <w:lang w:eastAsia="hr-HR" w:bidi="hi-IN"/>
        </w:rPr>
        <w:t xml:space="preserve"> </w:t>
      </w:r>
    </w:p>
    <w:p w14:paraId="235D91A3" w14:textId="77777777" w:rsidR="006532A7" w:rsidRPr="006532A7" w:rsidRDefault="006532A7" w:rsidP="00AF706D">
      <w:pPr>
        <w:spacing w:after="0" w:line="240" w:lineRule="auto"/>
        <w:ind w:left="4956" w:right="226"/>
        <w:jc w:val="center"/>
        <w:rPr>
          <w:rFonts w:ascii="Times New Roman" w:hAnsi="Times New Roman" w:cs="Times New Roman"/>
          <w:b/>
          <w:sz w:val="24"/>
          <w:szCs w:val="24"/>
        </w:rPr>
      </w:pPr>
    </w:p>
    <w:p w14:paraId="57A8D1E3" w14:textId="6DCE69F8" w:rsidR="006532A7" w:rsidRPr="006532A7" w:rsidRDefault="006532A7" w:rsidP="00AF706D">
      <w:pPr>
        <w:tabs>
          <w:tab w:val="left" w:pos="851"/>
        </w:tabs>
        <w:spacing w:after="0" w:line="240" w:lineRule="auto"/>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K</w:t>
      </w:r>
      <w:r w:rsidR="00C31953">
        <w:rPr>
          <w:rFonts w:ascii="Times New Roman" w:eastAsia="Times New Roman" w:hAnsi="Times New Roman" w:cs="Times New Roman"/>
          <w:sz w:val="24"/>
          <w:szCs w:val="24"/>
          <w:lang w:eastAsia="hr-HR"/>
        </w:rPr>
        <w:t>LASA</w:t>
      </w:r>
      <w:r w:rsidRPr="006532A7">
        <w:rPr>
          <w:rFonts w:ascii="Times New Roman" w:eastAsia="Times New Roman" w:hAnsi="Times New Roman" w:cs="Times New Roman"/>
          <w:sz w:val="24"/>
          <w:szCs w:val="24"/>
          <w:lang w:eastAsia="hr-HR"/>
        </w:rPr>
        <w:t xml:space="preserve">: </w:t>
      </w:r>
    </w:p>
    <w:p w14:paraId="0288C9BC" w14:textId="51F7FE0C" w:rsidR="006532A7" w:rsidRDefault="006532A7" w:rsidP="006532A7">
      <w:pPr>
        <w:tabs>
          <w:tab w:val="left" w:pos="851"/>
        </w:tabs>
        <w:spacing w:after="0" w:line="240" w:lineRule="auto"/>
        <w:jc w:val="both"/>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U</w:t>
      </w:r>
      <w:r w:rsidR="00C31953">
        <w:rPr>
          <w:rFonts w:ascii="Times New Roman" w:eastAsia="Times New Roman" w:hAnsi="Times New Roman" w:cs="Times New Roman"/>
          <w:sz w:val="24"/>
          <w:szCs w:val="24"/>
          <w:lang w:eastAsia="hr-HR"/>
        </w:rPr>
        <w:t>RBROJ</w:t>
      </w:r>
      <w:r w:rsidRPr="006532A7">
        <w:rPr>
          <w:rFonts w:ascii="Times New Roman" w:eastAsia="Times New Roman" w:hAnsi="Times New Roman" w:cs="Times New Roman"/>
          <w:sz w:val="24"/>
          <w:szCs w:val="24"/>
          <w:lang w:eastAsia="hr-HR"/>
        </w:rPr>
        <w:t xml:space="preserve">: </w:t>
      </w:r>
    </w:p>
    <w:p w14:paraId="13DF08D1" w14:textId="77777777" w:rsidR="00C31953" w:rsidRPr="006532A7" w:rsidRDefault="00C31953" w:rsidP="006532A7">
      <w:pPr>
        <w:tabs>
          <w:tab w:val="left" w:pos="851"/>
        </w:tabs>
        <w:spacing w:after="0" w:line="240" w:lineRule="auto"/>
        <w:jc w:val="both"/>
        <w:rPr>
          <w:rFonts w:ascii="Times New Roman" w:eastAsia="Times New Roman" w:hAnsi="Times New Roman" w:cs="Times New Roman"/>
          <w:color w:val="FF0000"/>
          <w:sz w:val="24"/>
          <w:szCs w:val="24"/>
          <w:lang w:eastAsia="hr-HR"/>
        </w:rPr>
      </w:pPr>
    </w:p>
    <w:p w14:paraId="7AC01369" w14:textId="47875B6C" w:rsidR="006532A7" w:rsidRPr="00AF706D" w:rsidRDefault="00AF706D" w:rsidP="00AF706D">
      <w:pPr>
        <w:tabs>
          <w:tab w:val="left" w:pos="851"/>
        </w:tabs>
        <w:spacing w:after="36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Zagreb,</w:t>
      </w:r>
    </w:p>
    <w:p w14:paraId="35B5A6DF" w14:textId="77777777" w:rsidR="006532A7" w:rsidRPr="006532A7" w:rsidRDefault="006532A7" w:rsidP="006532A7">
      <w:pPr>
        <w:spacing w:after="0" w:line="480" w:lineRule="auto"/>
        <w:ind w:left="5664" w:firstLine="708"/>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PREDSJEDNIK</w:t>
      </w:r>
    </w:p>
    <w:p w14:paraId="14CF7914" w14:textId="77777777" w:rsidR="006532A7" w:rsidRPr="006532A7" w:rsidRDefault="006532A7" w:rsidP="006532A7">
      <w:pPr>
        <w:spacing w:after="0" w:line="360" w:lineRule="auto"/>
        <w:ind w:left="5664" w:firstLine="708"/>
        <w:rPr>
          <w:rFonts w:ascii="Times New Roman" w:eastAsia="Times New Roman" w:hAnsi="Times New Roman" w:cs="Times New Roman"/>
          <w:sz w:val="24"/>
          <w:szCs w:val="24"/>
          <w:lang w:eastAsia="hr-HR"/>
        </w:rPr>
      </w:pPr>
    </w:p>
    <w:p w14:paraId="7664B35A" w14:textId="3E95B786" w:rsidR="006532A7" w:rsidRPr="006532A7" w:rsidRDefault="006532A7" w:rsidP="006532A7">
      <w:pPr>
        <w:spacing w:after="240" w:line="360" w:lineRule="auto"/>
        <w:rPr>
          <w:rFonts w:ascii="Times New Roman" w:eastAsia="Times New Roman" w:hAnsi="Times New Roman" w:cs="Times New Roman"/>
          <w:sz w:val="24"/>
          <w:szCs w:val="24"/>
          <w:lang w:eastAsia="hr-HR"/>
        </w:rPr>
      </w:pP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r>
      <w:r w:rsidRPr="006532A7">
        <w:rPr>
          <w:rFonts w:ascii="Times New Roman" w:eastAsia="Times New Roman" w:hAnsi="Times New Roman" w:cs="Times New Roman"/>
          <w:sz w:val="24"/>
          <w:szCs w:val="24"/>
          <w:lang w:eastAsia="hr-HR"/>
        </w:rPr>
        <w:tab/>
        <w:t xml:space="preserve">    mr. sc. Andrej Plenković</w:t>
      </w:r>
    </w:p>
    <w:p w14:paraId="104181A7" w14:textId="77777777" w:rsidR="006532A7" w:rsidRPr="006532A7" w:rsidRDefault="006532A7" w:rsidP="006532A7">
      <w:pPr>
        <w:spacing w:after="240" w:line="240" w:lineRule="auto"/>
        <w:ind w:right="227"/>
        <w:rPr>
          <w:rFonts w:ascii="Times New Roman" w:hAnsi="Times New Roman" w:cs="Times New Roman"/>
          <w:sz w:val="24"/>
          <w:szCs w:val="24"/>
        </w:rPr>
      </w:pPr>
    </w:p>
    <w:p w14:paraId="3C17A42F" w14:textId="77777777" w:rsidR="006532A7" w:rsidRPr="006532A7" w:rsidRDefault="006532A7" w:rsidP="006532A7">
      <w:pPr>
        <w:spacing w:after="240" w:line="240" w:lineRule="auto"/>
        <w:ind w:right="227"/>
        <w:rPr>
          <w:rFonts w:ascii="Times New Roman" w:hAnsi="Times New Roman" w:cs="Times New Roman"/>
          <w:sz w:val="24"/>
          <w:szCs w:val="24"/>
        </w:rPr>
      </w:pPr>
    </w:p>
    <w:p w14:paraId="606782E6" w14:textId="77777777" w:rsidR="006532A7" w:rsidRPr="006532A7" w:rsidRDefault="006532A7" w:rsidP="006532A7">
      <w:pPr>
        <w:spacing w:after="240" w:line="240" w:lineRule="auto"/>
        <w:ind w:firstLine="708"/>
        <w:jc w:val="both"/>
        <w:rPr>
          <w:rFonts w:ascii="Times New Roman" w:hAnsi="Times New Roman" w:cs="Times New Roman"/>
          <w:sz w:val="24"/>
          <w:szCs w:val="24"/>
        </w:rPr>
      </w:pPr>
      <w:r w:rsidRPr="006532A7">
        <w:rPr>
          <w:rFonts w:ascii="Times New Roman" w:hAnsi="Times New Roman" w:cs="Times New Roman"/>
          <w:sz w:val="24"/>
          <w:szCs w:val="24"/>
        </w:rPr>
        <w:t xml:space="preserve">Prilog 1. Karta i koordinate vršnih točaka istražnog prostora ugljikovodika SA-10 - područje napuštanja </w:t>
      </w:r>
    </w:p>
    <w:p w14:paraId="7E159AAD" w14:textId="77777777" w:rsidR="006532A7" w:rsidRPr="006532A7" w:rsidRDefault="006532A7" w:rsidP="006532A7">
      <w:pPr>
        <w:spacing w:after="240" w:line="240" w:lineRule="auto"/>
        <w:ind w:firstLine="708"/>
        <w:jc w:val="center"/>
        <w:rPr>
          <w:rFonts w:ascii="Times New Roman" w:hAnsi="Times New Roman" w:cs="Times New Roman"/>
          <w:sz w:val="24"/>
          <w:szCs w:val="24"/>
        </w:rPr>
      </w:pPr>
      <w:r w:rsidRPr="006532A7">
        <w:rPr>
          <w:rFonts w:ascii="Times New Roman" w:hAnsi="Times New Roman" w:cs="Times New Roman"/>
          <w:noProof/>
          <w:sz w:val="24"/>
          <w:szCs w:val="24"/>
          <w:lang w:eastAsia="hr-HR"/>
          <w14:ligatures w14:val="standardContextual"/>
        </w:rPr>
        <w:drawing>
          <wp:inline distT="0" distB="0" distL="0" distR="0" wp14:anchorId="08E43636" wp14:editId="3600614D">
            <wp:extent cx="5303520" cy="3750814"/>
            <wp:effectExtent l="0" t="0" r="0" b="2540"/>
            <wp:docPr id="362263731"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63731" name="Picture 1" descr="A map of the united stat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2216" cy="3756964"/>
                    </a:xfrm>
                    <a:prstGeom prst="rect">
                      <a:avLst/>
                    </a:prstGeom>
                  </pic:spPr>
                </pic:pic>
              </a:graphicData>
            </a:graphic>
          </wp:inline>
        </w:drawing>
      </w:r>
    </w:p>
    <w:tbl>
      <w:tblPr>
        <w:tblW w:w="6660" w:type="dxa"/>
        <w:jc w:val="center"/>
        <w:tblLook w:val="04A0" w:firstRow="1" w:lastRow="0" w:firstColumn="1" w:lastColumn="0" w:noHBand="0" w:noVBand="1"/>
      </w:tblPr>
      <w:tblGrid>
        <w:gridCol w:w="1580"/>
        <w:gridCol w:w="2349"/>
        <w:gridCol w:w="2731"/>
      </w:tblGrid>
      <w:tr w:rsidR="006532A7" w:rsidRPr="006532A7" w14:paraId="629485AD" w14:textId="77777777">
        <w:trPr>
          <w:trHeight w:val="600"/>
          <w:jc w:val="center"/>
        </w:trPr>
        <w:tc>
          <w:tcPr>
            <w:tcW w:w="1580" w:type="dxa"/>
            <w:tcBorders>
              <w:top w:val="single" w:sz="8" w:space="0" w:color="auto"/>
              <w:left w:val="single" w:sz="8" w:space="0" w:color="auto"/>
              <w:bottom w:val="single" w:sz="4" w:space="0" w:color="12501A"/>
              <w:right w:val="single" w:sz="4" w:space="0" w:color="12501A"/>
            </w:tcBorders>
            <w:shd w:val="clear" w:color="000000" w:fill="F2F2F2"/>
            <w:vAlign w:val="center"/>
            <w:hideMark/>
          </w:tcPr>
          <w:p w14:paraId="1DDBD8FC"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ISTRAŽNI PROSTOR</w:t>
            </w:r>
          </w:p>
        </w:tc>
        <w:tc>
          <w:tcPr>
            <w:tcW w:w="5080" w:type="dxa"/>
            <w:gridSpan w:val="2"/>
            <w:tcBorders>
              <w:top w:val="single" w:sz="8" w:space="0" w:color="auto"/>
              <w:left w:val="nil"/>
              <w:bottom w:val="single" w:sz="4" w:space="0" w:color="auto"/>
              <w:right w:val="single" w:sz="8" w:space="0" w:color="000000"/>
            </w:tcBorders>
            <w:shd w:val="clear" w:color="000000" w:fill="F2F2F2"/>
            <w:vAlign w:val="center"/>
            <w:hideMark/>
          </w:tcPr>
          <w:p w14:paraId="161FF206"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 xml:space="preserve">SAVA-10 </w:t>
            </w:r>
            <w:r w:rsidRPr="006532A7">
              <w:rPr>
                <w:rFonts w:ascii="Aptos Narrow" w:eastAsia="Times New Roman" w:hAnsi="Aptos Narrow" w:cs="Times New Roman"/>
                <w:b/>
                <w:bCs/>
                <w:color w:val="000000"/>
                <w:lang w:eastAsia="hr-HR"/>
              </w:rPr>
              <w:br/>
              <w:t>(SA-10)</w:t>
            </w:r>
          </w:p>
        </w:tc>
      </w:tr>
      <w:tr w:rsidR="006532A7" w:rsidRPr="006532A7" w14:paraId="0673835C" w14:textId="77777777">
        <w:trPr>
          <w:trHeight w:val="315"/>
          <w:jc w:val="center"/>
        </w:trPr>
        <w:tc>
          <w:tcPr>
            <w:tcW w:w="1580" w:type="dxa"/>
            <w:vMerge w:val="restart"/>
            <w:tcBorders>
              <w:top w:val="nil"/>
              <w:left w:val="single" w:sz="8" w:space="0" w:color="auto"/>
              <w:bottom w:val="single" w:sz="4" w:space="0" w:color="12501A"/>
              <w:right w:val="single" w:sz="4" w:space="0" w:color="12501A"/>
            </w:tcBorders>
            <w:shd w:val="clear" w:color="000000" w:fill="F2F2F2"/>
            <w:vAlign w:val="center"/>
            <w:hideMark/>
          </w:tcPr>
          <w:p w14:paraId="76D93235"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 xml:space="preserve">OZNAKA TOČKE </w:t>
            </w:r>
          </w:p>
        </w:tc>
        <w:tc>
          <w:tcPr>
            <w:tcW w:w="5080" w:type="dxa"/>
            <w:gridSpan w:val="2"/>
            <w:tcBorders>
              <w:top w:val="nil"/>
              <w:left w:val="nil"/>
              <w:bottom w:val="single" w:sz="8" w:space="0" w:color="A6A6A6"/>
              <w:right w:val="single" w:sz="8" w:space="0" w:color="000000"/>
            </w:tcBorders>
            <w:shd w:val="clear" w:color="000000" w:fill="F2F2F2"/>
            <w:noWrap/>
            <w:vAlign w:val="center"/>
            <w:hideMark/>
          </w:tcPr>
          <w:p w14:paraId="05681ED5"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KOORDINATE</w:t>
            </w:r>
          </w:p>
        </w:tc>
      </w:tr>
      <w:tr w:rsidR="006532A7" w:rsidRPr="006532A7" w14:paraId="38C4A7D3" w14:textId="77777777">
        <w:trPr>
          <w:trHeight w:val="300"/>
          <w:jc w:val="center"/>
        </w:trPr>
        <w:tc>
          <w:tcPr>
            <w:tcW w:w="1580" w:type="dxa"/>
            <w:vMerge/>
            <w:tcBorders>
              <w:top w:val="nil"/>
              <w:left w:val="single" w:sz="8" w:space="0" w:color="auto"/>
              <w:bottom w:val="single" w:sz="4" w:space="0" w:color="12501A"/>
              <w:right w:val="single" w:sz="4" w:space="0" w:color="12501A"/>
            </w:tcBorders>
            <w:vAlign w:val="center"/>
            <w:hideMark/>
          </w:tcPr>
          <w:p w14:paraId="188319D2"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5080" w:type="dxa"/>
            <w:gridSpan w:val="2"/>
            <w:tcBorders>
              <w:top w:val="single" w:sz="8" w:space="0" w:color="A6A6A6"/>
              <w:left w:val="nil"/>
              <w:bottom w:val="single" w:sz="4" w:space="0" w:color="A6A6A6"/>
              <w:right w:val="single" w:sz="8" w:space="0" w:color="000000"/>
            </w:tcBorders>
            <w:shd w:val="clear" w:color="000000" w:fill="F2F2F2"/>
            <w:noWrap/>
            <w:vAlign w:val="bottom"/>
            <w:hideMark/>
          </w:tcPr>
          <w:p w14:paraId="78824602"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HTRS96/TM</w:t>
            </w:r>
          </w:p>
        </w:tc>
      </w:tr>
      <w:tr w:rsidR="006532A7" w:rsidRPr="006532A7" w14:paraId="2AB5E5BA" w14:textId="77777777">
        <w:trPr>
          <w:trHeight w:val="300"/>
          <w:jc w:val="center"/>
        </w:trPr>
        <w:tc>
          <w:tcPr>
            <w:tcW w:w="1580" w:type="dxa"/>
            <w:vMerge/>
            <w:tcBorders>
              <w:top w:val="nil"/>
              <w:left w:val="single" w:sz="8" w:space="0" w:color="auto"/>
              <w:bottom w:val="single" w:sz="4" w:space="0" w:color="12501A"/>
              <w:right w:val="single" w:sz="4" w:space="0" w:color="12501A"/>
            </w:tcBorders>
            <w:vAlign w:val="center"/>
            <w:hideMark/>
          </w:tcPr>
          <w:p w14:paraId="6B670F1C"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2349" w:type="dxa"/>
            <w:tcBorders>
              <w:top w:val="nil"/>
              <w:left w:val="nil"/>
              <w:bottom w:val="nil"/>
              <w:right w:val="single" w:sz="4" w:space="0" w:color="A6A6A6"/>
            </w:tcBorders>
            <w:shd w:val="clear" w:color="000000" w:fill="F2F2F2"/>
            <w:noWrap/>
            <w:vAlign w:val="center"/>
            <w:hideMark/>
          </w:tcPr>
          <w:p w14:paraId="6BBB8D9F"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E</w:t>
            </w:r>
          </w:p>
        </w:tc>
        <w:tc>
          <w:tcPr>
            <w:tcW w:w="2731" w:type="dxa"/>
            <w:tcBorders>
              <w:top w:val="nil"/>
              <w:left w:val="nil"/>
              <w:bottom w:val="single" w:sz="4" w:space="0" w:color="12501A"/>
              <w:right w:val="single" w:sz="8" w:space="0" w:color="auto"/>
            </w:tcBorders>
            <w:shd w:val="clear" w:color="000000" w:fill="F2F2F2"/>
            <w:noWrap/>
            <w:vAlign w:val="center"/>
            <w:hideMark/>
          </w:tcPr>
          <w:p w14:paraId="1534EEB2"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N</w:t>
            </w:r>
          </w:p>
        </w:tc>
      </w:tr>
      <w:tr w:rsidR="006532A7" w:rsidRPr="006532A7" w14:paraId="411F9AD7" w14:textId="77777777">
        <w:trPr>
          <w:trHeight w:val="300"/>
          <w:jc w:val="center"/>
        </w:trPr>
        <w:tc>
          <w:tcPr>
            <w:tcW w:w="1580" w:type="dxa"/>
            <w:tcBorders>
              <w:top w:val="nil"/>
              <w:left w:val="single" w:sz="8" w:space="0" w:color="auto"/>
              <w:bottom w:val="single" w:sz="4" w:space="0" w:color="auto"/>
              <w:right w:val="single" w:sz="4" w:space="0" w:color="12501A"/>
            </w:tcBorders>
            <w:shd w:val="clear" w:color="auto" w:fill="auto"/>
            <w:noWrap/>
            <w:vAlign w:val="center"/>
            <w:hideMark/>
          </w:tcPr>
          <w:p w14:paraId="1F3AD9DA"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349" w:type="dxa"/>
            <w:tcBorders>
              <w:top w:val="single" w:sz="4" w:space="0" w:color="12501A"/>
              <w:left w:val="nil"/>
              <w:bottom w:val="single" w:sz="4" w:space="0" w:color="auto"/>
              <w:right w:val="single" w:sz="4" w:space="0" w:color="12501A"/>
            </w:tcBorders>
            <w:shd w:val="clear" w:color="auto" w:fill="auto"/>
            <w:noWrap/>
            <w:vAlign w:val="center"/>
            <w:hideMark/>
          </w:tcPr>
          <w:p w14:paraId="2FC44C6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658.484,00</w:t>
            </w:r>
          </w:p>
        </w:tc>
        <w:tc>
          <w:tcPr>
            <w:tcW w:w="2731" w:type="dxa"/>
            <w:tcBorders>
              <w:top w:val="nil"/>
              <w:left w:val="nil"/>
              <w:bottom w:val="single" w:sz="4" w:space="0" w:color="auto"/>
              <w:right w:val="single" w:sz="8" w:space="0" w:color="auto"/>
            </w:tcBorders>
            <w:shd w:val="clear" w:color="auto" w:fill="auto"/>
            <w:noWrap/>
            <w:vAlign w:val="center"/>
            <w:hideMark/>
          </w:tcPr>
          <w:p w14:paraId="18B3B47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5.035.657,00</w:t>
            </w:r>
          </w:p>
        </w:tc>
      </w:tr>
      <w:tr w:rsidR="006532A7" w:rsidRPr="006532A7" w14:paraId="511666E2" w14:textId="77777777">
        <w:trPr>
          <w:trHeight w:val="300"/>
          <w:jc w:val="center"/>
        </w:trPr>
        <w:tc>
          <w:tcPr>
            <w:tcW w:w="1580" w:type="dxa"/>
            <w:tcBorders>
              <w:top w:val="nil"/>
              <w:left w:val="single" w:sz="8" w:space="0" w:color="auto"/>
              <w:bottom w:val="single" w:sz="4" w:space="0" w:color="auto"/>
              <w:right w:val="single" w:sz="4" w:space="0" w:color="12501A"/>
            </w:tcBorders>
            <w:shd w:val="clear" w:color="auto" w:fill="auto"/>
            <w:noWrap/>
            <w:vAlign w:val="center"/>
            <w:hideMark/>
          </w:tcPr>
          <w:p w14:paraId="748400D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2*</w:t>
            </w:r>
          </w:p>
        </w:tc>
        <w:tc>
          <w:tcPr>
            <w:tcW w:w="2349" w:type="dxa"/>
            <w:tcBorders>
              <w:top w:val="nil"/>
              <w:left w:val="nil"/>
              <w:bottom w:val="single" w:sz="4" w:space="0" w:color="auto"/>
              <w:right w:val="single" w:sz="4" w:space="0" w:color="12501A"/>
            </w:tcBorders>
            <w:shd w:val="clear" w:color="auto" w:fill="auto"/>
            <w:noWrap/>
            <w:vAlign w:val="center"/>
            <w:hideMark/>
          </w:tcPr>
          <w:p w14:paraId="072251E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697.988,77</w:t>
            </w:r>
          </w:p>
        </w:tc>
        <w:tc>
          <w:tcPr>
            <w:tcW w:w="2731" w:type="dxa"/>
            <w:tcBorders>
              <w:top w:val="nil"/>
              <w:left w:val="nil"/>
              <w:bottom w:val="single" w:sz="4" w:space="0" w:color="auto"/>
              <w:right w:val="single" w:sz="8" w:space="0" w:color="auto"/>
            </w:tcBorders>
            <w:shd w:val="clear" w:color="auto" w:fill="auto"/>
            <w:noWrap/>
            <w:vAlign w:val="center"/>
            <w:hideMark/>
          </w:tcPr>
          <w:p w14:paraId="4AAC5A7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5.034.022,07</w:t>
            </w:r>
          </w:p>
        </w:tc>
      </w:tr>
      <w:tr w:rsidR="006532A7" w:rsidRPr="006532A7" w14:paraId="23DFBF52" w14:textId="77777777">
        <w:trPr>
          <w:trHeight w:val="300"/>
          <w:jc w:val="center"/>
        </w:trPr>
        <w:tc>
          <w:tcPr>
            <w:tcW w:w="1580" w:type="dxa"/>
            <w:tcBorders>
              <w:top w:val="nil"/>
              <w:left w:val="single" w:sz="8" w:space="0" w:color="auto"/>
              <w:bottom w:val="single" w:sz="4" w:space="0" w:color="auto"/>
              <w:right w:val="single" w:sz="4" w:space="0" w:color="12501A"/>
            </w:tcBorders>
            <w:shd w:val="clear" w:color="auto" w:fill="auto"/>
            <w:noWrap/>
            <w:vAlign w:val="center"/>
            <w:hideMark/>
          </w:tcPr>
          <w:p w14:paraId="6375D10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3*</w:t>
            </w:r>
          </w:p>
        </w:tc>
        <w:tc>
          <w:tcPr>
            <w:tcW w:w="2349" w:type="dxa"/>
            <w:tcBorders>
              <w:top w:val="nil"/>
              <w:left w:val="nil"/>
              <w:bottom w:val="single" w:sz="4" w:space="0" w:color="auto"/>
              <w:right w:val="single" w:sz="4" w:space="0" w:color="12501A"/>
            </w:tcBorders>
            <w:shd w:val="clear" w:color="auto" w:fill="auto"/>
            <w:noWrap/>
            <w:vAlign w:val="center"/>
            <w:hideMark/>
          </w:tcPr>
          <w:p w14:paraId="39E0ED1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704.043,97</w:t>
            </w:r>
          </w:p>
        </w:tc>
        <w:tc>
          <w:tcPr>
            <w:tcW w:w="2731" w:type="dxa"/>
            <w:tcBorders>
              <w:top w:val="nil"/>
              <w:left w:val="nil"/>
              <w:bottom w:val="single" w:sz="4" w:space="0" w:color="auto"/>
              <w:right w:val="single" w:sz="8" w:space="0" w:color="auto"/>
            </w:tcBorders>
            <w:shd w:val="clear" w:color="auto" w:fill="auto"/>
            <w:noWrap/>
            <w:vAlign w:val="center"/>
            <w:hideMark/>
          </w:tcPr>
          <w:p w14:paraId="04F41BE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4.998.184,23</w:t>
            </w:r>
          </w:p>
        </w:tc>
      </w:tr>
      <w:tr w:rsidR="006532A7" w:rsidRPr="006532A7" w14:paraId="513EC1CB" w14:textId="77777777">
        <w:trPr>
          <w:trHeight w:val="300"/>
          <w:jc w:val="center"/>
        </w:trPr>
        <w:tc>
          <w:tcPr>
            <w:tcW w:w="1580" w:type="dxa"/>
            <w:tcBorders>
              <w:top w:val="nil"/>
              <w:left w:val="single" w:sz="8" w:space="0" w:color="auto"/>
              <w:bottom w:val="single" w:sz="4" w:space="0" w:color="auto"/>
              <w:right w:val="single" w:sz="4" w:space="0" w:color="12501A"/>
            </w:tcBorders>
            <w:shd w:val="clear" w:color="auto" w:fill="auto"/>
            <w:noWrap/>
            <w:vAlign w:val="center"/>
            <w:hideMark/>
          </w:tcPr>
          <w:p w14:paraId="59BB621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w:t>
            </w:r>
          </w:p>
        </w:tc>
        <w:tc>
          <w:tcPr>
            <w:tcW w:w="2349" w:type="dxa"/>
            <w:tcBorders>
              <w:top w:val="nil"/>
              <w:left w:val="nil"/>
              <w:bottom w:val="single" w:sz="4" w:space="0" w:color="auto"/>
              <w:right w:val="single" w:sz="4" w:space="0" w:color="12501A"/>
            </w:tcBorders>
            <w:shd w:val="clear" w:color="auto" w:fill="auto"/>
            <w:noWrap/>
            <w:vAlign w:val="center"/>
            <w:hideMark/>
          </w:tcPr>
          <w:p w14:paraId="04ADDF4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672.220,58</w:t>
            </w:r>
          </w:p>
        </w:tc>
        <w:tc>
          <w:tcPr>
            <w:tcW w:w="2731" w:type="dxa"/>
            <w:tcBorders>
              <w:top w:val="nil"/>
              <w:left w:val="nil"/>
              <w:bottom w:val="single" w:sz="4" w:space="0" w:color="auto"/>
              <w:right w:val="single" w:sz="8" w:space="0" w:color="auto"/>
            </w:tcBorders>
            <w:shd w:val="clear" w:color="auto" w:fill="auto"/>
            <w:noWrap/>
            <w:vAlign w:val="center"/>
            <w:hideMark/>
          </w:tcPr>
          <w:p w14:paraId="1D5B43A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4.995.433,40</w:t>
            </w:r>
          </w:p>
        </w:tc>
      </w:tr>
      <w:tr w:rsidR="006532A7" w:rsidRPr="006532A7" w14:paraId="188204E2" w14:textId="77777777">
        <w:trPr>
          <w:trHeight w:val="315"/>
          <w:jc w:val="center"/>
        </w:trPr>
        <w:tc>
          <w:tcPr>
            <w:tcW w:w="1580" w:type="dxa"/>
            <w:tcBorders>
              <w:top w:val="nil"/>
              <w:left w:val="single" w:sz="8" w:space="0" w:color="auto"/>
              <w:bottom w:val="nil"/>
              <w:right w:val="single" w:sz="4" w:space="0" w:color="12501A"/>
            </w:tcBorders>
            <w:shd w:val="clear" w:color="auto" w:fill="auto"/>
            <w:noWrap/>
            <w:vAlign w:val="center"/>
            <w:hideMark/>
          </w:tcPr>
          <w:p w14:paraId="6F9D7311"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w:t>
            </w:r>
          </w:p>
        </w:tc>
        <w:tc>
          <w:tcPr>
            <w:tcW w:w="2349" w:type="dxa"/>
            <w:tcBorders>
              <w:top w:val="nil"/>
              <w:left w:val="nil"/>
              <w:bottom w:val="nil"/>
              <w:right w:val="single" w:sz="4" w:space="0" w:color="12501A"/>
            </w:tcBorders>
            <w:shd w:val="clear" w:color="auto" w:fill="auto"/>
            <w:noWrap/>
            <w:vAlign w:val="center"/>
            <w:hideMark/>
          </w:tcPr>
          <w:p w14:paraId="065449B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656.252,84</w:t>
            </w:r>
          </w:p>
        </w:tc>
        <w:tc>
          <w:tcPr>
            <w:tcW w:w="2731" w:type="dxa"/>
            <w:tcBorders>
              <w:top w:val="nil"/>
              <w:left w:val="nil"/>
              <w:bottom w:val="nil"/>
              <w:right w:val="single" w:sz="8" w:space="0" w:color="auto"/>
            </w:tcBorders>
            <w:shd w:val="clear" w:color="auto" w:fill="auto"/>
            <w:noWrap/>
            <w:vAlign w:val="center"/>
            <w:hideMark/>
          </w:tcPr>
          <w:p w14:paraId="6A9CB2B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4.993.165,52</w:t>
            </w:r>
          </w:p>
        </w:tc>
      </w:tr>
      <w:tr w:rsidR="006532A7" w:rsidRPr="006532A7" w14:paraId="768AAE9A" w14:textId="77777777">
        <w:trPr>
          <w:trHeight w:val="315"/>
          <w:jc w:val="center"/>
        </w:trPr>
        <w:tc>
          <w:tcPr>
            <w:tcW w:w="1580" w:type="dxa"/>
            <w:tcBorders>
              <w:top w:val="single" w:sz="8" w:space="0" w:color="auto"/>
              <w:left w:val="single" w:sz="8" w:space="0" w:color="auto"/>
              <w:bottom w:val="single" w:sz="8" w:space="0" w:color="auto"/>
              <w:right w:val="single" w:sz="4" w:space="0" w:color="12501A"/>
            </w:tcBorders>
            <w:shd w:val="clear" w:color="auto" w:fill="auto"/>
            <w:noWrap/>
            <w:vAlign w:val="center"/>
            <w:hideMark/>
          </w:tcPr>
          <w:p w14:paraId="4F020E1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349" w:type="dxa"/>
            <w:tcBorders>
              <w:top w:val="single" w:sz="8" w:space="0" w:color="auto"/>
              <w:left w:val="nil"/>
              <w:bottom w:val="single" w:sz="8" w:space="0" w:color="auto"/>
              <w:right w:val="single" w:sz="4" w:space="0" w:color="12501A"/>
            </w:tcBorders>
            <w:shd w:val="clear" w:color="auto" w:fill="auto"/>
            <w:noWrap/>
            <w:vAlign w:val="center"/>
            <w:hideMark/>
          </w:tcPr>
          <w:p w14:paraId="1CE481B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658.484,00</w:t>
            </w:r>
          </w:p>
        </w:tc>
        <w:tc>
          <w:tcPr>
            <w:tcW w:w="2731" w:type="dxa"/>
            <w:tcBorders>
              <w:top w:val="single" w:sz="8" w:space="0" w:color="auto"/>
              <w:left w:val="nil"/>
              <w:bottom w:val="single" w:sz="8" w:space="0" w:color="auto"/>
              <w:right w:val="single" w:sz="8" w:space="0" w:color="auto"/>
            </w:tcBorders>
            <w:shd w:val="clear" w:color="auto" w:fill="auto"/>
            <w:noWrap/>
            <w:vAlign w:val="center"/>
            <w:hideMark/>
          </w:tcPr>
          <w:p w14:paraId="0550599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5.035.657,00</w:t>
            </w:r>
          </w:p>
        </w:tc>
      </w:tr>
      <w:tr w:rsidR="006532A7" w:rsidRPr="006532A7" w14:paraId="1A759A6F" w14:textId="77777777">
        <w:trPr>
          <w:trHeight w:val="315"/>
          <w:jc w:val="center"/>
        </w:trPr>
        <w:tc>
          <w:tcPr>
            <w:tcW w:w="66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59509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P=1842,65 km</w:t>
            </w:r>
            <w:r w:rsidRPr="006532A7">
              <w:rPr>
                <w:rFonts w:ascii="Calibri" w:eastAsia="Times New Roman" w:hAnsi="Calibri" w:cs="Calibri"/>
                <w:color w:val="000000"/>
                <w:lang w:eastAsia="hr-HR"/>
              </w:rPr>
              <w:t>²</w:t>
            </w:r>
          </w:p>
        </w:tc>
      </w:tr>
    </w:tbl>
    <w:p w14:paraId="2CB2452E" w14:textId="77777777" w:rsidR="006532A7" w:rsidRPr="006532A7" w:rsidRDefault="006532A7" w:rsidP="006532A7">
      <w:pPr>
        <w:rPr>
          <w:rFonts w:ascii="Times New Roman" w:hAnsi="Times New Roman" w:cs="Times New Roman"/>
          <w:sz w:val="24"/>
          <w:szCs w:val="24"/>
        </w:rPr>
      </w:pPr>
    </w:p>
    <w:p w14:paraId="4E14B9AC" w14:textId="77777777" w:rsidR="006532A7" w:rsidRPr="006532A7" w:rsidRDefault="006532A7" w:rsidP="006532A7">
      <w:pPr>
        <w:rPr>
          <w:rFonts w:ascii="Times New Roman" w:hAnsi="Times New Roman" w:cs="Times New Roman"/>
          <w:sz w:val="24"/>
          <w:szCs w:val="24"/>
        </w:rPr>
      </w:pPr>
      <w:r w:rsidRPr="006532A7">
        <w:rPr>
          <w:rFonts w:ascii="Times New Roman" w:hAnsi="Times New Roman" w:cs="Times New Roman"/>
          <w:sz w:val="24"/>
          <w:szCs w:val="24"/>
        </w:rPr>
        <w:t>*Stranica između vršnih točaka 2 i 3 predstavlja državnu granicu između Republike Hrvatske i Republike Srbije.</w:t>
      </w:r>
    </w:p>
    <w:p w14:paraId="0C23CBA9" w14:textId="77777777" w:rsidR="006532A7" w:rsidRPr="006532A7" w:rsidRDefault="006532A7" w:rsidP="006532A7">
      <w:pPr>
        <w:rPr>
          <w:rFonts w:ascii="Times New Roman" w:hAnsi="Times New Roman" w:cs="Times New Roman"/>
          <w:sz w:val="24"/>
          <w:szCs w:val="24"/>
        </w:rPr>
      </w:pPr>
      <w:r w:rsidRPr="006532A7">
        <w:rPr>
          <w:rFonts w:ascii="Times New Roman" w:hAnsi="Times New Roman" w:cs="Times New Roman"/>
          <w:sz w:val="24"/>
          <w:szCs w:val="24"/>
        </w:rPr>
        <w:t>*Stranica između vršnih točaka 4 i 5 predstavlja državnu granicu između Republike Hrvatske i Republike Bosne i Hercegovine.</w:t>
      </w:r>
      <w:r w:rsidRPr="006532A7">
        <w:rPr>
          <w:rFonts w:ascii="Times New Roman" w:hAnsi="Times New Roman" w:cs="Times New Roman"/>
          <w:sz w:val="24"/>
          <w:szCs w:val="24"/>
        </w:rPr>
        <w:br w:type="page"/>
      </w:r>
    </w:p>
    <w:p w14:paraId="5448D382" w14:textId="77777777" w:rsidR="006532A7" w:rsidRPr="006532A7" w:rsidRDefault="006532A7" w:rsidP="006532A7">
      <w:pPr>
        <w:spacing w:after="240" w:line="240" w:lineRule="auto"/>
        <w:ind w:firstLine="708"/>
        <w:jc w:val="both"/>
        <w:rPr>
          <w:rFonts w:ascii="Times New Roman" w:hAnsi="Times New Roman" w:cs="Times New Roman"/>
          <w:sz w:val="24"/>
          <w:szCs w:val="24"/>
        </w:rPr>
      </w:pPr>
      <w:r w:rsidRPr="006532A7">
        <w:rPr>
          <w:rFonts w:ascii="Times New Roman" w:hAnsi="Times New Roman" w:cs="Times New Roman"/>
          <w:sz w:val="24"/>
          <w:szCs w:val="24"/>
        </w:rPr>
        <w:lastRenderedPageBreak/>
        <w:t xml:space="preserve">Prilog 2. Karta i koordinate vršnih točaka EPU Berak i EPU Cerić i ocjenskog područja Opatovac; koja se zadržavaju </w:t>
      </w:r>
    </w:p>
    <w:p w14:paraId="08E6F626" w14:textId="77777777" w:rsidR="006532A7" w:rsidRPr="006532A7" w:rsidRDefault="006532A7" w:rsidP="006532A7">
      <w:pPr>
        <w:spacing w:after="240" w:line="240" w:lineRule="auto"/>
        <w:ind w:firstLine="708"/>
        <w:jc w:val="both"/>
        <w:rPr>
          <w:rFonts w:ascii="Times New Roman" w:hAnsi="Times New Roman" w:cs="Times New Roman"/>
          <w:sz w:val="24"/>
          <w:szCs w:val="24"/>
        </w:rPr>
      </w:pPr>
      <w:r w:rsidRPr="006532A7">
        <w:rPr>
          <w:rFonts w:ascii="Times New Roman" w:hAnsi="Times New Roman" w:cs="Times New Roman"/>
          <w:noProof/>
          <w:sz w:val="24"/>
          <w:szCs w:val="24"/>
          <w:lang w:eastAsia="hr-HR"/>
          <w14:ligatures w14:val="standardContextual"/>
        </w:rPr>
        <w:drawing>
          <wp:inline distT="0" distB="0" distL="0" distR="0" wp14:anchorId="47A19CD7" wp14:editId="1E0AC417">
            <wp:extent cx="5325465" cy="3766334"/>
            <wp:effectExtent l="0" t="0" r="8890" b="5715"/>
            <wp:docPr id="1355709515" name="Picture 2" descr="A map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09515" name="Picture 2" descr="A map of different colored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5959" cy="3773755"/>
                    </a:xfrm>
                    <a:prstGeom prst="rect">
                      <a:avLst/>
                    </a:prstGeom>
                  </pic:spPr>
                </pic:pic>
              </a:graphicData>
            </a:graphic>
          </wp:inline>
        </w:drawing>
      </w:r>
    </w:p>
    <w:p w14:paraId="1F7DD411" w14:textId="77777777" w:rsidR="006532A7" w:rsidRPr="006532A7" w:rsidRDefault="006532A7" w:rsidP="006532A7">
      <w:pPr>
        <w:spacing w:after="240" w:line="240" w:lineRule="auto"/>
        <w:jc w:val="both"/>
        <w:rPr>
          <w:rFonts w:ascii="Times New Roman" w:hAnsi="Times New Roman" w:cs="Times New Roman"/>
          <w:color w:val="FF0000"/>
          <w:sz w:val="24"/>
          <w:szCs w:val="24"/>
        </w:rPr>
      </w:pP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r w:rsidRPr="006532A7">
        <w:rPr>
          <w:rFonts w:ascii="Times New Roman" w:hAnsi="Times New Roman" w:cs="Times New Roman"/>
          <w:color w:val="FF0000"/>
          <w:sz w:val="24"/>
          <w:szCs w:val="24"/>
        </w:rPr>
        <w:tab/>
      </w:r>
    </w:p>
    <w:p w14:paraId="393D55DC" w14:textId="77777777" w:rsidR="006532A7" w:rsidRPr="006532A7" w:rsidRDefault="006532A7" w:rsidP="006532A7">
      <w:pPr>
        <w:spacing w:after="240" w:line="240" w:lineRule="auto"/>
        <w:jc w:val="both"/>
        <w:rPr>
          <w:rFonts w:ascii="Times New Roman" w:hAnsi="Times New Roman" w:cs="Times New Roman"/>
          <w:sz w:val="24"/>
          <w:szCs w:val="24"/>
        </w:rPr>
      </w:pPr>
    </w:p>
    <w:tbl>
      <w:tblPr>
        <w:tblW w:w="6860" w:type="dxa"/>
        <w:jc w:val="center"/>
        <w:tblLook w:val="04A0" w:firstRow="1" w:lastRow="0" w:firstColumn="1" w:lastColumn="0" w:noHBand="0" w:noVBand="1"/>
      </w:tblPr>
      <w:tblGrid>
        <w:gridCol w:w="2500"/>
        <w:gridCol w:w="2016"/>
        <w:gridCol w:w="2344"/>
      </w:tblGrid>
      <w:tr w:rsidR="006532A7" w:rsidRPr="006532A7" w14:paraId="094F2724" w14:textId="77777777">
        <w:trPr>
          <w:trHeight w:val="600"/>
          <w:jc w:val="center"/>
        </w:trPr>
        <w:tc>
          <w:tcPr>
            <w:tcW w:w="2500" w:type="dxa"/>
            <w:tcBorders>
              <w:top w:val="single" w:sz="8" w:space="0" w:color="auto"/>
              <w:left w:val="single" w:sz="8" w:space="0" w:color="auto"/>
              <w:bottom w:val="single" w:sz="4" w:space="0" w:color="12501A"/>
              <w:right w:val="single" w:sz="4" w:space="0" w:color="12501A"/>
            </w:tcBorders>
            <w:shd w:val="clear" w:color="000000" w:fill="F2F2F2"/>
            <w:vAlign w:val="center"/>
            <w:hideMark/>
          </w:tcPr>
          <w:p w14:paraId="0113AFEB"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EKSPLOATACIJSKO POLJE</w:t>
            </w:r>
          </w:p>
        </w:tc>
        <w:tc>
          <w:tcPr>
            <w:tcW w:w="4360" w:type="dxa"/>
            <w:gridSpan w:val="2"/>
            <w:tcBorders>
              <w:top w:val="single" w:sz="8" w:space="0" w:color="auto"/>
              <w:left w:val="nil"/>
              <w:bottom w:val="single" w:sz="4" w:space="0" w:color="auto"/>
              <w:right w:val="single" w:sz="8" w:space="0" w:color="000000"/>
            </w:tcBorders>
            <w:shd w:val="clear" w:color="000000" w:fill="F2F2F2"/>
            <w:vAlign w:val="center"/>
            <w:hideMark/>
          </w:tcPr>
          <w:p w14:paraId="6B50796C"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BERAK</w:t>
            </w:r>
          </w:p>
        </w:tc>
      </w:tr>
      <w:tr w:rsidR="006532A7" w:rsidRPr="006532A7" w14:paraId="5CDDD623" w14:textId="77777777">
        <w:trPr>
          <w:trHeight w:val="315"/>
          <w:jc w:val="center"/>
        </w:trPr>
        <w:tc>
          <w:tcPr>
            <w:tcW w:w="2500" w:type="dxa"/>
            <w:vMerge w:val="restart"/>
            <w:tcBorders>
              <w:top w:val="nil"/>
              <w:left w:val="single" w:sz="8" w:space="0" w:color="auto"/>
              <w:bottom w:val="single" w:sz="4" w:space="0" w:color="12501A"/>
              <w:right w:val="single" w:sz="4" w:space="0" w:color="12501A"/>
            </w:tcBorders>
            <w:shd w:val="clear" w:color="000000" w:fill="F2F2F2"/>
            <w:vAlign w:val="center"/>
            <w:hideMark/>
          </w:tcPr>
          <w:p w14:paraId="3C9D3551"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 xml:space="preserve">OZNAKA TOČKE </w:t>
            </w:r>
          </w:p>
        </w:tc>
        <w:tc>
          <w:tcPr>
            <w:tcW w:w="4360" w:type="dxa"/>
            <w:gridSpan w:val="2"/>
            <w:tcBorders>
              <w:top w:val="nil"/>
              <w:left w:val="nil"/>
              <w:bottom w:val="single" w:sz="8" w:space="0" w:color="A6A6A6"/>
              <w:right w:val="single" w:sz="8" w:space="0" w:color="000000"/>
            </w:tcBorders>
            <w:shd w:val="clear" w:color="000000" w:fill="F2F2F2"/>
            <w:noWrap/>
            <w:vAlign w:val="center"/>
            <w:hideMark/>
          </w:tcPr>
          <w:p w14:paraId="761348D4"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KOORDINATE</w:t>
            </w:r>
          </w:p>
        </w:tc>
      </w:tr>
      <w:tr w:rsidR="006532A7" w:rsidRPr="006532A7" w14:paraId="23748922"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456CF6EC"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4360" w:type="dxa"/>
            <w:gridSpan w:val="2"/>
            <w:tcBorders>
              <w:top w:val="single" w:sz="8" w:space="0" w:color="A6A6A6"/>
              <w:left w:val="nil"/>
              <w:bottom w:val="single" w:sz="4" w:space="0" w:color="A6A6A6"/>
              <w:right w:val="single" w:sz="8" w:space="0" w:color="000000"/>
            </w:tcBorders>
            <w:shd w:val="clear" w:color="000000" w:fill="F2F2F2"/>
            <w:noWrap/>
            <w:vAlign w:val="bottom"/>
            <w:hideMark/>
          </w:tcPr>
          <w:p w14:paraId="00499F65"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HTRS96/TM</w:t>
            </w:r>
          </w:p>
        </w:tc>
      </w:tr>
      <w:tr w:rsidR="006532A7" w:rsidRPr="006532A7" w14:paraId="696109D8"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48BDB3F8"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2016" w:type="dxa"/>
            <w:tcBorders>
              <w:top w:val="nil"/>
              <w:left w:val="nil"/>
              <w:bottom w:val="nil"/>
              <w:right w:val="single" w:sz="4" w:space="0" w:color="A6A6A6"/>
            </w:tcBorders>
            <w:shd w:val="clear" w:color="000000" w:fill="F2F2F2"/>
            <w:noWrap/>
            <w:vAlign w:val="center"/>
            <w:hideMark/>
          </w:tcPr>
          <w:p w14:paraId="30AE186C"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E</w:t>
            </w:r>
          </w:p>
        </w:tc>
        <w:tc>
          <w:tcPr>
            <w:tcW w:w="2344" w:type="dxa"/>
            <w:tcBorders>
              <w:top w:val="nil"/>
              <w:left w:val="nil"/>
              <w:bottom w:val="single" w:sz="4" w:space="0" w:color="12501A"/>
              <w:right w:val="single" w:sz="8" w:space="0" w:color="auto"/>
            </w:tcBorders>
            <w:shd w:val="clear" w:color="000000" w:fill="F2F2F2"/>
            <w:noWrap/>
            <w:vAlign w:val="center"/>
            <w:hideMark/>
          </w:tcPr>
          <w:p w14:paraId="21EBAD38"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N</w:t>
            </w:r>
          </w:p>
        </w:tc>
      </w:tr>
      <w:tr w:rsidR="006532A7" w:rsidRPr="006532A7" w14:paraId="02766564"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4AC38EC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4" w:space="0" w:color="12501A"/>
              <w:left w:val="nil"/>
              <w:bottom w:val="single" w:sz="4" w:space="0" w:color="auto"/>
              <w:right w:val="single" w:sz="4" w:space="0" w:color="12501A"/>
            </w:tcBorders>
            <w:shd w:val="clear" w:color="auto" w:fill="auto"/>
            <w:noWrap/>
            <w:vAlign w:val="center"/>
            <w:hideMark/>
          </w:tcPr>
          <w:p w14:paraId="4B48D33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695.543,45</w:t>
            </w:r>
          </w:p>
        </w:tc>
        <w:tc>
          <w:tcPr>
            <w:tcW w:w="2344" w:type="dxa"/>
            <w:tcBorders>
              <w:top w:val="nil"/>
              <w:left w:val="nil"/>
              <w:bottom w:val="single" w:sz="4" w:space="0" w:color="auto"/>
              <w:right w:val="single" w:sz="8" w:space="0" w:color="auto"/>
            </w:tcBorders>
            <w:shd w:val="clear" w:color="auto" w:fill="auto"/>
            <w:noWrap/>
            <w:vAlign w:val="center"/>
            <w:hideMark/>
          </w:tcPr>
          <w:p w14:paraId="43DCA36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5.012.946,02</w:t>
            </w:r>
          </w:p>
        </w:tc>
      </w:tr>
      <w:tr w:rsidR="006532A7" w:rsidRPr="006532A7" w14:paraId="72DBB143"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131C6A2C"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2</w:t>
            </w:r>
          </w:p>
        </w:tc>
        <w:tc>
          <w:tcPr>
            <w:tcW w:w="2016" w:type="dxa"/>
            <w:tcBorders>
              <w:top w:val="nil"/>
              <w:left w:val="nil"/>
              <w:bottom w:val="single" w:sz="4" w:space="0" w:color="auto"/>
              <w:right w:val="single" w:sz="4" w:space="0" w:color="12501A"/>
            </w:tcBorders>
            <w:shd w:val="clear" w:color="auto" w:fill="auto"/>
            <w:noWrap/>
            <w:vAlign w:val="center"/>
            <w:hideMark/>
          </w:tcPr>
          <w:p w14:paraId="4421E05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695.198,84</w:t>
            </w:r>
          </w:p>
        </w:tc>
        <w:tc>
          <w:tcPr>
            <w:tcW w:w="2344" w:type="dxa"/>
            <w:tcBorders>
              <w:top w:val="nil"/>
              <w:left w:val="nil"/>
              <w:bottom w:val="single" w:sz="4" w:space="0" w:color="auto"/>
              <w:right w:val="single" w:sz="8" w:space="0" w:color="auto"/>
            </w:tcBorders>
            <w:shd w:val="clear" w:color="auto" w:fill="auto"/>
            <w:noWrap/>
            <w:vAlign w:val="center"/>
            <w:hideMark/>
          </w:tcPr>
          <w:p w14:paraId="62A86FF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5.012.045,03</w:t>
            </w:r>
          </w:p>
        </w:tc>
      </w:tr>
      <w:tr w:rsidR="006532A7" w:rsidRPr="006532A7" w14:paraId="79B6A5BA"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712C5E6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3</w:t>
            </w:r>
          </w:p>
        </w:tc>
        <w:tc>
          <w:tcPr>
            <w:tcW w:w="2016" w:type="dxa"/>
            <w:tcBorders>
              <w:top w:val="nil"/>
              <w:left w:val="nil"/>
              <w:bottom w:val="single" w:sz="4" w:space="0" w:color="auto"/>
              <w:right w:val="single" w:sz="4" w:space="0" w:color="12501A"/>
            </w:tcBorders>
            <w:shd w:val="clear" w:color="auto" w:fill="auto"/>
            <w:noWrap/>
            <w:vAlign w:val="center"/>
            <w:hideMark/>
          </w:tcPr>
          <w:p w14:paraId="4E2FB55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698.788,63</w:t>
            </w:r>
          </w:p>
        </w:tc>
        <w:tc>
          <w:tcPr>
            <w:tcW w:w="2344" w:type="dxa"/>
            <w:tcBorders>
              <w:top w:val="nil"/>
              <w:left w:val="nil"/>
              <w:bottom w:val="single" w:sz="4" w:space="0" w:color="auto"/>
              <w:right w:val="single" w:sz="8" w:space="0" w:color="auto"/>
            </w:tcBorders>
            <w:shd w:val="clear" w:color="auto" w:fill="auto"/>
            <w:noWrap/>
            <w:vAlign w:val="center"/>
            <w:hideMark/>
          </w:tcPr>
          <w:p w14:paraId="174CD5E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5.010.328,35</w:t>
            </w:r>
          </w:p>
        </w:tc>
      </w:tr>
      <w:tr w:rsidR="006532A7" w:rsidRPr="006532A7" w14:paraId="057DB28F"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6F00D43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w:t>
            </w:r>
          </w:p>
        </w:tc>
        <w:tc>
          <w:tcPr>
            <w:tcW w:w="2016" w:type="dxa"/>
            <w:tcBorders>
              <w:top w:val="nil"/>
              <w:left w:val="nil"/>
              <w:bottom w:val="single" w:sz="4" w:space="0" w:color="auto"/>
              <w:right w:val="single" w:sz="4" w:space="0" w:color="12501A"/>
            </w:tcBorders>
            <w:shd w:val="clear" w:color="auto" w:fill="auto"/>
            <w:noWrap/>
            <w:vAlign w:val="center"/>
            <w:hideMark/>
          </w:tcPr>
          <w:p w14:paraId="0DDA47B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699.727,42</w:t>
            </w:r>
          </w:p>
        </w:tc>
        <w:tc>
          <w:tcPr>
            <w:tcW w:w="2344" w:type="dxa"/>
            <w:tcBorders>
              <w:top w:val="nil"/>
              <w:left w:val="nil"/>
              <w:bottom w:val="single" w:sz="4" w:space="0" w:color="auto"/>
              <w:right w:val="single" w:sz="8" w:space="0" w:color="auto"/>
            </w:tcBorders>
            <w:shd w:val="clear" w:color="auto" w:fill="auto"/>
            <w:noWrap/>
            <w:vAlign w:val="center"/>
            <w:hideMark/>
          </w:tcPr>
          <w:p w14:paraId="09FE8D41"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5.011.961,36</w:t>
            </w:r>
          </w:p>
        </w:tc>
      </w:tr>
      <w:tr w:rsidR="006532A7" w:rsidRPr="006532A7" w14:paraId="0EBA7D40"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4237D76A"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w:t>
            </w:r>
          </w:p>
        </w:tc>
        <w:tc>
          <w:tcPr>
            <w:tcW w:w="2016" w:type="dxa"/>
            <w:tcBorders>
              <w:top w:val="nil"/>
              <w:left w:val="nil"/>
              <w:bottom w:val="single" w:sz="4" w:space="0" w:color="auto"/>
              <w:right w:val="single" w:sz="4" w:space="0" w:color="12501A"/>
            </w:tcBorders>
            <w:shd w:val="clear" w:color="auto" w:fill="auto"/>
            <w:noWrap/>
            <w:vAlign w:val="center"/>
            <w:hideMark/>
          </w:tcPr>
          <w:p w14:paraId="734FD19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695.867,00</w:t>
            </w:r>
          </w:p>
        </w:tc>
        <w:tc>
          <w:tcPr>
            <w:tcW w:w="2344" w:type="dxa"/>
            <w:tcBorders>
              <w:top w:val="nil"/>
              <w:left w:val="nil"/>
              <w:bottom w:val="single" w:sz="4" w:space="0" w:color="auto"/>
              <w:right w:val="single" w:sz="8" w:space="0" w:color="auto"/>
            </w:tcBorders>
            <w:shd w:val="clear" w:color="auto" w:fill="auto"/>
            <w:noWrap/>
            <w:vAlign w:val="center"/>
            <w:hideMark/>
          </w:tcPr>
          <w:p w14:paraId="5827ECF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5.013.791,94</w:t>
            </w:r>
          </w:p>
        </w:tc>
      </w:tr>
      <w:tr w:rsidR="006532A7" w:rsidRPr="006532A7" w14:paraId="1C376B6A"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2363B899"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w:t>
            </w:r>
          </w:p>
        </w:tc>
        <w:tc>
          <w:tcPr>
            <w:tcW w:w="2016" w:type="dxa"/>
            <w:tcBorders>
              <w:top w:val="nil"/>
              <w:left w:val="nil"/>
              <w:bottom w:val="single" w:sz="4" w:space="0" w:color="auto"/>
              <w:right w:val="single" w:sz="4" w:space="0" w:color="12501A"/>
            </w:tcBorders>
            <w:shd w:val="clear" w:color="auto" w:fill="auto"/>
            <w:noWrap/>
            <w:vAlign w:val="center"/>
            <w:hideMark/>
          </w:tcPr>
          <w:p w14:paraId="43AD8FD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695.652,65</w:t>
            </w:r>
          </w:p>
        </w:tc>
        <w:tc>
          <w:tcPr>
            <w:tcW w:w="2344" w:type="dxa"/>
            <w:tcBorders>
              <w:top w:val="nil"/>
              <w:left w:val="nil"/>
              <w:bottom w:val="single" w:sz="4" w:space="0" w:color="auto"/>
              <w:right w:val="single" w:sz="8" w:space="0" w:color="auto"/>
            </w:tcBorders>
            <w:shd w:val="clear" w:color="auto" w:fill="auto"/>
            <w:noWrap/>
            <w:vAlign w:val="center"/>
            <w:hideMark/>
          </w:tcPr>
          <w:p w14:paraId="7473DEC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5.013.231,50</w:t>
            </w:r>
          </w:p>
        </w:tc>
      </w:tr>
      <w:tr w:rsidR="006532A7" w:rsidRPr="006532A7" w14:paraId="3EDB89DE"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15208E9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w:t>
            </w:r>
          </w:p>
        </w:tc>
        <w:tc>
          <w:tcPr>
            <w:tcW w:w="2016" w:type="dxa"/>
            <w:tcBorders>
              <w:top w:val="nil"/>
              <w:left w:val="nil"/>
              <w:bottom w:val="single" w:sz="4" w:space="0" w:color="auto"/>
              <w:right w:val="single" w:sz="4" w:space="0" w:color="12501A"/>
            </w:tcBorders>
            <w:shd w:val="clear" w:color="auto" w:fill="auto"/>
            <w:noWrap/>
            <w:vAlign w:val="center"/>
            <w:hideMark/>
          </w:tcPr>
          <w:p w14:paraId="1D0BCCF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695.342,06</w:t>
            </w:r>
          </w:p>
        </w:tc>
        <w:tc>
          <w:tcPr>
            <w:tcW w:w="2344" w:type="dxa"/>
            <w:tcBorders>
              <w:top w:val="nil"/>
              <w:left w:val="nil"/>
              <w:bottom w:val="single" w:sz="4" w:space="0" w:color="auto"/>
              <w:right w:val="single" w:sz="8" w:space="0" w:color="auto"/>
            </w:tcBorders>
            <w:shd w:val="clear" w:color="auto" w:fill="auto"/>
            <w:noWrap/>
            <w:vAlign w:val="center"/>
            <w:hideMark/>
          </w:tcPr>
          <w:p w14:paraId="68C3E95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5.015.771,37</w:t>
            </w:r>
          </w:p>
        </w:tc>
      </w:tr>
      <w:tr w:rsidR="006532A7" w:rsidRPr="006532A7" w14:paraId="3AA48DDB"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0744ECA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8</w:t>
            </w:r>
          </w:p>
        </w:tc>
        <w:tc>
          <w:tcPr>
            <w:tcW w:w="2016" w:type="dxa"/>
            <w:tcBorders>
              <w:top w:val="nil"/>
              <w:left w:val="nil"/>
              <w:bottom w:val="single" w:sz="4" w:space="0" w:color="auto"/>
              <w:right w:val="single" w:sz="4" w:space="0" w:color="12501A"/>
            </w:tcBorders>
            <w:shd w:val="clear" w:color="auto" w:fill="auto"/>
            <w:noWrap/>
            <w:vAlign w:val="center"/>
            <w:hideMark/>
          </w:tcPr>
          <w:p w14:paraId="7A36B44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690.425,63</w:t>
            </w:r>
          </w:p>
        </w:tc>
        <w:tc>
          <w:tcPr>
            <w:tcW w:w="2344" w:type="dxa"/>
            <w:tcBorders>
              <w:top w:val="nil"/>
              <w:left w:val="nil"/>
              <w:bottom w:val="single" w:sz="4" w:space="0" w:color="auto"/>
              <w:right w:val="single" w:sz="8" w:space="0" w:color="auto"/>
            </w:tcBorders>
            <w:shd w:val="clear" w:color="auto" w:fill="auto"/>
            <w:noWrap/>
            <w:vAlign w:val="center"/>
            <w:hideMark/>
          </w:tcPr>
          <w:p w14:paraId="1FAFE9A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5.017.787,94</w:t>
            </w:r>
          </w:p>
        </w:tc>
      </w:tr>
      <w:tr w:rsidR="006532A7" w:rsidRPr="006532A7" w14:paraId="4463A9A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55E2D5A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9</w:t>
            </w:r>
          </w:p>
        </w:tc>
        <w:tc>
          <w:tcPr>
            <w:tcW w:w="2016" w:type="dxa"/>
            <w:tcBorders>
              <w:top w:val="nil"/>
              <w:left w:val="nil"/>
              <w:bottom w:val="single" w:sz="4" w:space="0" w:color="auto"/>
              <w:right w:val="single" w:sz="4" w:space="0" w:color="12501A"/>
            </w:tcBorders>
            <w:shd w:val="clear" w:color="auto" w:fill="auto"/>
            <w:noWrap/>
            <w:vAlign w:val="center"/>
            <w:hideMark/>
          </w:tcPr>
          <w:p w14:paraId="7A2AA83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690.229,64</w:t>
            </w:r>
          </w:p>
        </w:tc>
        <w:tc>
          <w:tcPr>
            <w:tcW w:w="2344" w:type="dxa"/>
            <w:tcBorders>
              <w:top w:val="nil"/>
              <w:left w:val="nil"/>
              <w:bottom w:val="single" w:sz="4" w:space="0" w:color="auto"/>
              <w:right w:val="single" w:sz="8" w:space="0" w:color="auto"/>
            </w:tcBorders>
            <w:shd w:val="clear" w:color="auto" w:fill="auto"/>
            <w:noWrap/>
            <w:vAlign w:val="center"/>
            <w:hideMark/>
          </w:tcPr>
          <w:p w14:paraId="5183B28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5.017.419,46</w:t>
            </w:r>
          </w:p>
        </w:tc>
      </w:tr>
      <w:tr w:rsidR="006532A7" w:rsidRPr="006532A7" w14:paraId="2FF851EC"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3E70144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10</w:t>
            </w:r>
          </w:p>
        </w:tc>
        <w:tc>
          <w:tcPr>
            <w:tcW w:w="2016" w:type="dxa"/>
            <w:tcBorders>
              <w:top w:val="nil"/>
              <w:left w:val="nil"/>
              <w:bottom w:val="single" w:sz="4" w:space="0" w:color="auto"/>
              <w:right w:val="single" w:sz="4" w:space="0" w:color="12501A"/>
            </w:tcBorders>
            <w:shd w:val="clear" w:color="auto" w:fill="auto"/>
            <w:noWrap/>
            <w:vAlign w:val="center"/>
            <w:hideMark/>
          </w:tcPr>
          <w:p w14:paraId="6CC6D2D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694.833,54</w:t>
            </w:r>
          </w:p>
        </w:tc>
        <w:tc>
          <w:tcPr>
            <w:tcW w:w="2344" w:type="dxa"/>
            <w:tcBorders>
              <w:top w:val="nil"/>
              <w:left w:val="nil"/>
              <w:bottom w:val="single" w:sz="4" w:space="0" w:color="auto"/>
              <w:right w:val="single" w:sz="8" w:space="0" w:color="auto"/>
            </w:tcBorders>
            <w:shd w:val="clear" w:color="auto" w:fill="auto"/>
            <w:noWrap/>
            <w:vAlign w:val="center"/>
            <w:hideMark/>
          </w:tcPr>
          <w:p w14:paraId="229457C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5.015.585,37</w:t>
            </w:r>
          </w:p>
        </w:tc>
      </w:tr>
      <w:tr w:rsidR="006532A7" w:rsidRPr="006532A7" w14:paraId="0E5E3498" w14:textId="77777777">
        <w:trPr>
          <w:trHeight w:val="315"/>
          <w:jc w:val="center"/>
        </w:trPr>
        <w:tc>
          <w:tcPr>
            <w:tcW w:w="2500" w:type="dxa"/>
            <w:tcBorders>
              <w:top w:val="nil"/>
              <w:left w:val="single" w:sz="8" w:space="0" w:color="auto"/>
              <w:bottom w:val="nil"/>
              <w:right w:val="single" w:sz="4" w:space="0" w:color="12501A"/>
            </w:tcBorders>
            <w:shd w:val="clear" w:color="auto" w:fill="auto"/>
            <w:noWrap/>
            <w:vAlign w:val="center"/>
            <w:hideMark/>
          </w:tcPr>
          <w:p w14:paraId="646BA26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11</w:t>
            </w:r>
          </w:p>
        </w:tc>
        <w:tc>
          <w:tcPr>
            <w:tcW w:w="2016" w:type="dxa"/>
            <w:tcBorders>
              <w:top w:val="nil"/>
              <w:left w:val="nil"/>
              <w:bottom w:val="nil"/>
              <w:right w:val="single" w:sz="4" w:space="0" w:color="12501A"/>
            </w:tcBorders>
            <w:shd w:val="clear" w:color="auto" w:fill="auto"/>
            <w:noWrap/>
            <w:vAlign w:val="center"/>
            <w:hideMark/>
          </w:tcPr>
          <w:p w14:paraId="104210D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695.164,72</w:t>
            </w:r>
          </w:p>
        </w:tc>
        <w:tc>
          <w:tcPr>
            <w:tcW w:w="2344" w:type="dxa"/>
            <w:tcBorders>
              <w:top w:val="nil"/>
              <w:left w:val="nil"/>
              <w:bottom w:val="nil"/>
              <w:right w:val="single" w:sz="8" w:space="0" w:color="auto"/>
            </w:tcBorders>
            <w:shd w:val="clear" w:color="auto" w:fill="auto"/>
            <w:noWrap/>
            <w:vAlign w:val="center"/>
            <w:hideMark/>
          </w:tcPr>
          <w:p w14:paraId="518C4C7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5.012.903,27</w:t>
            </w:r>
          </w:p>
        </w:tc>
      </w:tr>
      <w:tr w:rsidR="006532A7" w:rsidRPr="006532A7" w14:paraId="224773B2" w14:textId="77777777">
        <w:trPr>
          <w:trHeight w:val="315"/>
          <w:jc w:val="center"/>
        </w:trPr>
        <w:tc>
          <w:tcPr>
            <w:tcW w:w="2500" w:type="dxa"/>
            <w:tcBorders>
              <w:top w:val="single" w:sz="8" w:space="0" w:color="auto"/>
              <w:left w:val="single" w:sz="8" w:space="0" w:color="auto"/>
              <w:bottom w:val="single" w:sz="8" w:space="0" w:color="auto"/>
              <w:right w:val="single" w:sz="4" w:space="0" w:color="12501A"/>
            </w:tcBorders>
            <w:shd w:val="clear" w:color="auto" w:fill="auto"/>
            <w:noWrap/>
            <w:vAlign w:val="center"/>
            <w:hideMark/>
          </w:tcPr>
          <w:p w14:paraId="4F146A0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8" w:space="0" w:color="auto"/>
              <w:left w:val="nil"/>
              <w:bottom w:val="single" w:sz="8" w:space="0" w:color="auto"/>
              <w:right w:val="single" w:sz="4" w:space="0" w:color="12501A"/>
            </w:tcBorders>
            <w:shd w:val="clear" w:color="auto" w:fill="auto"/>
            <w:noWrap/>
            <w:vAlign w:val="center"/>
            <w:hideMark/>
          </w:tcPr>
          <w:p w14:paraId="5D33B0C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695.543,45</w:t>
            </w:r>
          </w:p>
        </w:tc>
        <w:tc>
          <w:tcPr>
            <w:tcW w:w="2344" w:type="dxa"/>
            <w:tcBorders>
              <w:top w:val="single" w:sz="8" w:space="0" w:color="auto"/>
              <w:left w:val="nil"/>
              <w:bottom w:val="single" w:sz="8" w:space="0" w:color="auto"/>
              <w:right w:val="single" w:sz="8" w:space="0" w:color="auto"/>
            </w:tcBorders>
            <w:shd w:val="clear" w:color="auto" w:fill="auto"/>
            <w:noWrap/>
            <w:vAlign w:val="center"/>
            <w:hideMark/>
          </w:tcPr>
          <w:p w14:paraId="2312C62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5.012.946,02</w:t>
            </w:r>
          </w:p>
        </w:tc>
      </w:tr>
      <w:tr w:rsidR="006532A7" w:rsidRPr="006532A7" w14:paraId="4C0FCEAA" w14:textId="77777777">
        <w:trPr>
          <w:trHeight w:val="315"/>
          <w:jc w:val="center"/>
        </w:trPr>
        <w:tc>
          <w:tcPr>
            <w:tcW w:w="68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2E44B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P=11,15 km</w:t>
            </w:r>
            <w:r w:rsidRPr="006532A7">
              <w:rPr>
                <w:rFonts w:ascii="Calibri" w:eastAsia="Times New Roman" w:hAnsi="Calibri" w:cs="Calibri"/>
                <w:color w:val="000000"/>
                <w:lang w:eastAsia="hr-HR"/>
              </w:rPr>
              <w:t>²</w:t>
            </w:r>
          </w:p>
        </w:tc>
      </w:tr>
    </w:tbl>
    <w:p w14:paraId="15783EF4" w14:textId="77777777" w:rsidR="006532A7" w:rsidRDefault="006532A7" w:rsidP="006532A7"/>
    <w:p w14:paraId="60B40D3F" w14:textId="77777777" w:rsidR="002517D9" w:rsidRDefault="002517D9" w:rsidP="006532A7"/>
    <w:p w14:paraId="4F0F69EC" w14:textId="77777777" w:rsidR="002517D9" w:rsidRDefault="002517D9" w:rsidP="006532A7"/>
    <w:p w14:paraId="70A86B77" w14:textId="77777777" w:rsidR="002517D9" w:rsidRPr="006532A7" w:rsidRDefault="002517D9" w:rsidP="006532A7"/>
    <w:tbl>
      <w:tblPr>
        <w:tblW w:w="6860" w:type="dxa"/>
        <w:jc w:val="center"/>
        <w:tblLook w:val="04A0" w:firstRow="1" w:lastRow="0" w:firstColumn="1" w:lastColumn="0" w:noHBand="0" w:noVBand="1"/>
      </w:tblPr>
      <w:tblGrid>
        <w:gridCol w:w="2500"/>
        <w:gridCol w:w="2016"/>
        <w:gridCol w:w="2344"/>
      </w:tblGrid>
      <w:tr w:rsidR="006532A7" w:rsidRPr="006532A7" w14:paraId="4315DD61" w14:textId="77777777">
        <w:trPr>
          <w:trHeight w:val="600"/>
          <w:jc w:val="center"/>
        </w:trPr>
        <w:tc>
          <w:tcPr>
            <w:tcW w:w="2500" w:type="dxa"/>
            <w:tcBorders>
              <w:top w:val="single" w:sz="8" w:space="0" w:color="auto"/>
              <w:left w:val="single" w:sz="8" w:space="0" w:color="auto"/>
              <w:bottom w:val="single" w:sz="4" w:space="0" w:color="12501A"/>
              <w:right w:val="single" w:sz="4" w:space="0" w:color="12501A"/>
            </w:tcBorders>
            <w:shd w:val="clear" w:color="000000" w:fill="F2F2F2"/>
            <w:vAlign w:val="center"/>
            <w:hideMark/>
          </w:tcPr>
          <w:p w14:paraId="4113DF65"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lastRenderedPageBreak/>
              <w:t>EKSPLOATACIJSKO POLJE</w:t>
            </w:r>
          </w:p>
        </w:tc>
        <w:tc>
          <w:tcPr>
            <w:tcW w:w="4360" w:type="dxa"/>
            <w:gridSpan w:val="2"/>
            <w:tcBorders>
              <w:top w:val="single" w:sz="8" w:space="0" w:color="auto"/>
              <w:left w:val="nil"/>
              <w:bottom w:val="single" w:sz="4" w:space="0" w:color="auto"/>
              <w:right w:val="single" w:sz="8" w:space="0" w:color="000000"/>
            </w:tcBorders>
            <w:shd w:val="clear" w:color="000000" w:fill="F2F2F2"/>
            <w:vAlign w:val="center"/>
            <w:hideMark/>
          </w:tcPr>
          <w:p w14:paraId="326E0DD8"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CERIĆ</w:t>
            </w:r>
          </w:p>
        </w:tc>
      </w:tr>
      <w:tr w:rsidR="006532A7" w:rsidRPr="006532A7" w14:paraId="74F25434" w14:textId="77777777">
        <w:trPr>
          <w:trHeight w:val="315"/>
          <w:jc w:val="center"/>
        </w:trPr>
        <w:tc>
          <w:tcPr>
            <w:tcW w:w="2500" w:type="dxa"/>
            <w:vMerge w:val="restart"/>
            <w:tcBorders>
              <w:top w:val="nil"/>
              <w:left w:val="single" w:sz="8" w:space="0" w:color="auto"/>
              <w:bottom w:val="single" w:sz="4" w:space="0" w:color="12501A"/>
              <w:right w:val="single" w:sz="4" w:space="0" w:color="12501A"/>
            </w:tcBorders>
            <w:shd w:val="clear" w:color="000000" w:fill="F2F2F2"/>
            <w:vAlign w:val="center"/>
            <w:hideMark/>
          </w:tcPr>
          <w:p w14:paraId="38DA97C6"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 xml:space="preserve">OZNAKA TOČKE </w:t>
            </w:r>
          </w:p>
        </w:tc>
        <w:tc>
          <w:tcPr>
            <w:tcW w:w="4360" w:type="dxa"/>
            <w:gridSpan w:val="2"/>
            <w:tcBorders>
              <w:top w:val="nil"/>
              <w:left w:val="nil"/>
              <w:bottom w:val="single" w:sz="8" w:space="0" w:color="A6A6A6"/>
              <w:right w:val="single" w:sz="8" w:space="0" w:color="000000"/>
            </w:tcBorders>
            <w:shd w:val="clear" w:color="000000" w:fill="F2F2F2"/>
            <w:noWrap/>
            <w:vAlign w:val="center"/>
            <w:hideMark/>
          </w:tcPr>
          <w:p w14:paraId="34FD4FFC"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KOORDINATE</w:t>
            </w:r>
          </w:p>
        </w:tc>
      </w:tr>
      <w:tr w:rsidR="006532A7" w:rsidRPr="006532A7" w14:paraId="7B85FFBE"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0F95510B"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4360" w:type="dxa"/>
            <w:gridSpan w:val="2"/>
            <w:tcBorders>
              <w:top w:val="single" w:sz="8" w:space="0" w:color="A6A6A6"/>
              <w:left w:val="nil"/>
              <w:bottom w:val="single" w:sz="4" w:space="0" w:color="A6A6A6"/>
              <w:right w:val="single" w:sz="8" w:space="0" w:color="000000"/>
            </w:tcBorders>
            <w:shd w:val="clear" w:color="000000" w:fill="F2F2F2"/>
            <w:noWrap/>
            <w:vAlign w:val="bottom"/>
            <w:hideMark/>
          </w:tcPr>
          <w:p w14:paraId="6E52DA1A"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HTRS96/TM</w:t>
            </w:r>
          </w:p>
        </w:tc>
      </w:tr>
      <w:tr w:rsidR="006532A7" w:rsidRPr="006532A7" w14:paraId="6FEB7266"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5EB1163B"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2016" w:type="dxa"/>
            <w:tcBorders>
              <w:top w:val="nil"/>
              <w:left w:val="nil"/>
              <w:bottom w:val="nil"/>
              <w:right w:val="single" w:sz="4" w:space="0" w:color="A6A6A6"/>
            </w:tcBorders>
            <w:shd w:val="clear" w:color="000000" w:fill="F2F2F2"/>
            <w:noWrap/>
            <w:vAlign w:val="center"/>
            <w:hideMark/>
          </w:tcPr>
          <w:p w14:paraId="4AAEB92A"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E</w:t>
            </w:r>
          </w:p>
        </w:tc>
        <w:tc>
          <w:tcPr>
            <w:tcW w:w="2344" w:type="dxa"/>
            <w:tcBorders>
              <w:top w:val="nil"/>
              <w:left w:val="nil"/>
              <w:bottom w:val="single" w:sz="4" w:space="0" w:color="12501A"/>
              <w:right w:val="single" w:sz="8" w:space="0" w:color="auto"/>
            </w:tcBorders>
            <w:shd w:val="clear" w:color="000000" w:fill="F2F2F2"/>
            <w:noWrap/>
            <w:vAlign w:val="center"/>
            <w:hideMark/>
          </w:tcPr>
          <w:p w14:paraId="2C025108"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N</w:t>
            </w:r>
          </w:p>
        </w:tc>
      </w:tr>
      <w:tr w:rsidR="006532A7" w:rsidRPr="006532A7" w14:paraId="335C1A79"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3690B2BC"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4" w:space="0" w:color="12501A"/>
              <w:left w:val="nil"/>
              <w:bottom w:val="single" w:sz="4" w:space="0" w:color="auto"/>
              <w:right w:val="single" w:sz="4" w:space="0" w:color="12501A"/>
            </w:tcBorders>
            <w:shd w:val="clear" w:color="auto" w:fill="auto"/>
            <w:noWrap/>
            <w:vAlign w:val="center"/>
            <w:hideMark/>
          </w:tcPr>
          <w:p w14:paraId="68259D8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690.953,22</w:t>
            </w:r>
          </w:p>
        </w:tc>
        <w:tc>
          <w:tcPr>
            <w:tcW w:w="2344" w:type="dxa"/>
            <w:tcBorders>
              <w:top w:val="nil"/>
              <w:left w:val="nil"/>
              <w:bottom w:val="single" w:sz="4" w:space="0" w:color="auto"/>
              <w:right w:val="single" w:sz="8" w:space="0" w:color="auto"/>
            </w:tcBorders>
            <w:shd w:val="clear" w:color="auto" w:fill="auto"/>
            <w:noWrap/>
            <w:vAlign w:val="center"/>
            <w:hideMark/>
          </w:tcPr>
          <w:p w14:paraId="061A207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5.018.811,71</w:t>
            </w:r>
          </w:p>
        </w:tc>
      </w:tr>
      <w:tr w:rsidR="006532A7" w:rsidRPr="006532A7" w14:paraId="20B5653B"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6F7051F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2</w:t>
            </w:r>
          </w:p>
        </w:tc>
        <w:tc>
          <w:tcPr>
            <w:tcW w:w="2016" w:type="dxa"/>
            <w:tcBorders>
              <w:top w:val="nil"/>
              <w:left w:val="nil"/>
              <w:bottom w:val="single" w:sz="4" w:space="0" w:color="auto"/>
              <w:right w:val="single" w:sz="4" w:space="0" w:color="12501A"/>
            </w:tcBorders>
            <w:shd w:val="clear" w:color="auto" w:fill="auto"/>
            <w:noWrap/>
            <w:vAlign w:val="center"/>
            <w:hideMark/>
          </w:tcPr>
          <w:p w14:paraId="43068CC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687.936,24</w:t>
            </w:r>
          </w:p>
        </w:tc>
        <w:tc>
          <w:tcPr>
            <w:tcW w:w="2344" w:type="dxa"/>
            <w:tcBorders>
              <w:top w:val="nil"/>
              <w:left w:val="nil"/>
              <w:bottom w:val="single" w:sz="4" w:space="0" w:color="auto"/>
              <w:right w:val="single" w:sz="8" w:space="0" w:color="auto"/>
            </w:tcBorders>
            <w:shd w:val="clear" w:color="auto" w:fill="auto"/>
            <w:noWrap/>
            <w:vAlign w:val="center"/>
            <w:hideMark/>
          </w:tcPr>
          <w:p w14:paraId="6D52E8A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5.019.992,80</w:t>
            </w:r>
          </w:p>
        </w:tc>
      </w:tr>
      <w:tr w:rsidR="006532A7" w:rsidRPr="006532A7" w14:paraId="49526BFB"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69F9526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3</w:t>
            </w:r>
          </w:p>
        </w:tc>
        <w:tc>
          <w:tcPr>
            <w:tcW w:w="2016" w:type="dxa"/>
            <w:tcBorders>
              <w:top w:val="nil"/>
              <w:left w:val="nil"/>
              <w:bottom w:val="single" w:sz="4" w:space="0" w:color="auto"/>
              <w:right w:val="single" w:sz="4" w:space="0" w:color="12501A"/>
            </w:tcBorders>
            <w:shd w:val="clear" w:color="auto" w:fill="auto"/>
            <w:noWrap/>
            <w:vAlign w:val="center"/>
            <w:hideMark/>
          </w:tcPr>
          <w:p w14:paraId="1CDA848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688.094,35</w:t>
            </w:r>
          </w:p>
        </w:tc>
        <w:tc>
          <w:tcPr>
            <w:tcW w:w="2344" w:type="dxa"/>
            <w:tcBorders>
              <w:top w:val="nil"/>
              <w:left w:val="nil"/>
              <w:bottom w:val="single" w:sz="4" w:space="0" w:color="auto"/>
              <w:right w:val="single" w:sz="8" w:space="0" w:color="auto"/>
            </w:tcBorders>
            <w:shd w:val="clear" w:color="auto" w:fill="auto"/>
            <w:noWrap/>
            <w:vAlign w:val="center"/>
            <w:hideMark/>
          </w:tcPr>
          <w:p w14:paraId="061AB30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5.020.464,64</w:t>
            </w:r>
          </w:p>
        </w:tc>
      </w:tr>
      <w:tr w:rsidR="006532A7" w:rsidRPr="006532A7" w14:paraId="30C36331"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7A05599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w:t>
            </w:r>
          </w:p>
        </w:tc>
        <w:tc>
          <w:tcPr>
            <w:tcW w:w="2016" w:type="dxa"/>
            <w:tcBorders>
              <w:top w:val="nil"/>
              <w:left w:val="nil"/>
              <w:bottom w:val="single" w:sz="4" w:space="0" w:color="auto"/>
              <w:right w:val="single" w:sz="4" w:space="0" w:color="12501A"/>
            </w:tcBorders>
            <w:shd w:val="clear" w:color="auto" w:fill="auto"/>
            <w:noWrap/>
            <w:vAlign w:val="center"/>
            <w:hideMark/>
          </w:tcPr>
          <w:p w14:paraId="3A4BEFA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684.662,93</w:t>
            </w:r>
          </w:p>
        </w:tc>
        <w:tc>
          <w:tcPr>
            <w:tcW w:w="2344" w:type="dxa"/>
            <w:tcBorders>
              <w:top w:val="nil"/>
              <w:left w:val="nil"/>
              <w:bottom w:val="single" w:sz="4" w:space="0" w:color="auto"/>
              <w:right w:val="single" w:sz="8" w:space="0" w:color="auto"/>
            </w:tcBorders>
            <w:shd w:val="clear" w:color="auto" w:fill="auto"/>
            <w:noWrap/>
            <w:vAlign w:val="center"/>
            <w:hideMark/>
          </w:tcPr>
          <w:p w14:paraId="0E35607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5.021.828,53</w:t>
            </w:r>
          </w:p>
        </w:tc>
      </w:tr>
      <w:tr w:rsidR="006532A7" w:rsidRPr="006532A7" w14:paraId="1EA9080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52C1291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w:t>
            </w:r>
          </w:p>
        </w:tc>
        <w:tc>
          <w:tcPr>
            <w:tcW w:w="2016" w:type="dxa"/>
            <w:tcBorders>
              <w:top w:val="nil"/>
              <w:left w:val="nil"/>
              <w:bottom w:val="single" w:sz="4" w:space="0" w:color="auto"/>
              <w:right w:val="single" w:sz="4" w:space="0" w:color="12501A"/>
            </w:tcBorders>
            <w:shd w:val="clear" w:color="auto" w:fill="auto"/>
            <w:noWrap/>
            <w:vAlign w:val="center"/>
            <w:hideMark/>
          </w:tcPr>
          <w:p w14:paraId="57522C79"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683.742,06</w:t>
            </w:r>
          </w:p>
        </w:tc>
        <w:tc>
          <w:tcPr>
            <w:tcW w:w="2344" w:type="dxa"/>
            <w:tcBorders>
              <w:top w:val="nil"/>
              <w:left w:val="nil"/>
              <w:bottom w:val="single" w:sz="4" w:space="0" w:color="auto"/>
              <w:right w:val="single" w:sz="8" w:space="0" w:color="auto"/>
            </w:tcBorders>
            <w:shd w:val="clear" w:color="auto" w:fill="auto"/>
            <w:noWrap/>
            <w:vAlign w:val="center"/>
            <w:hideMark/>
          </w:tcPr>
          <w:p w14:paraId="068104F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5.019.618,73</w:t>
            </w:r>
          </w:p>
        </w:tc>
      </w:tr>
      <w:tr w:rsidR="006532A7" w:rsidRPr="006532A7" w14:paraId="17B12C6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55A584C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w:t>
            </w:r>
          </w:p>
        </w:tc>
        <w:tc>
          <w:tcPr>
            <w:tcW w:w="2016" w:type="dxa"/>
            <w:tcBorders>
              <w:top w:val="nil"/>
              <w:left w:val="nil"/>
              <w:bottom w:val="single" w:sz="4" w:space="0" w:color="auto"/>
              <w:right w:val="single" w:sz="4" w:space="0" w:color="12501A"/>
            </w:tcBorders>
            <w:shd w:val="clear" w:color="auto" w:fill="auto"/>
            <w:noWrap/>
            <w:vAlign w:val="center"/>
            <w:hideMark/>
          </w:tcPr>
          <w:p w14:paraId="49E4964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681.805,62</w:t>
            </w:r>
          </w:p>
        </w:tc>
        <w:tc>
          <w:tcPr>
            <w:tcW w:w="2344" w:type="dxa"/>
            <w:tcBorders>
              <w:top w:val="nil"/>
              <w:left w:val="nil"/>
              <w:bottom w:val="single" w:sz="4" w:space="0" w:color="auto"/>
              <w:right w:val="single" w:sz="8" w:space="0" w:color="auto"/>
            </w:tcBorders>
            <w:shd w:val="clear" w:color="auto" w:fill="auto"/>
            <w:noWrap/>
            <w:vAlign w:val="center"/>
            <w:hideMark/>
          </w:tcPr>
          <w:p w14:paraId="6165C13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5.018.428,20</w:t>
            </w:r>
          </w:p>
        </w:tc>
      </w:tr>
      <w:tr w:rsidR="006532A7" w:rsidRPr="006532A7" w14:paraId="00191DF7"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0301165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w:t>
            </w:r>
          </w:p>
        </w:tc>
        <w:tc>
          <w:tcPr>
            <w:tcW w:w="2016" w:type="dxa"/>
            <w:tcBorders>
              <w:top w:val="nil"/>
              <w:left w:val="nil"/>
              <w:bottom w:val="single" w:sz="4" w:space="0" w:color="auto"/>
              <w:right w:val="single" w:sz="4" w:space="0" w:color="12501A"/>
            </w:tcBorders>
            <w:shd w:val="clear" w:color="auto" w:fill="auto"/>
            <w:noWrap/>
            <w:vAlign w:val="center"/>
            <w:hideMark/>
          </w:tcPr>
          <w:p w14:paraId="5BC3579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681.786,62</w:t>
            </w:r>
          </w:p>
        </w:tc>
        <w:tc>
          <w:tcPr>
            <w:tcW w:w="2344" w:type="dxa"/>
            <w:tcBorders>
              <w:top w:val="nil"/>
              <w:left w:val="nil"/>
              <w:bottom w:val="single" w:sz="4" w:space="0" w:color="auto"/>
              <w:right w:val="single" w:sz="8" w:space="0" w:color="auto"/>
            </w:tcBorders>
            <w:shd w:val="clear" w:color="auto" w:fill="auto"/>
            <w:noWrap/>
            <w:vAlign w:val="center"/>
            <w:hideMark/>
          </w:tcPr>
          <w:p w14:paraId="7004B82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5.017.408,36</w:t>
            </w:r>
          </w:p>
        </w:tc>
      </w:tr>
      <w:tr w:rsidR="006532A7" w:rsidRPr="006532A7" w14:paraId="1C4F1EE8"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5E9F3AF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8</w:t>
            </w:r>
          </w:p>
        </w:tc>
        <w:tc>
          <w:tcPr>
            <w:tcW w:w="2016" w:type="dxa"/>
            <w:tcBorders>
              <w:top w:val="nil"/>
              <w:left w:val="nil"/>
              <w:bottom w:val="single" w:sz="4" w:space="0" w:color="auto"/>
              <w:right w:val="single" w:sz="4" w:space="0" w:color="12501A"/>
            </w:tcBorders>
            <w:shd w:val="clear" w:color="auto" w:fill="auto"/>
            <w:noWrap/>
            <w:vAlign w:val="center"/>
            <w:hideMark/>
          </w:tcPr>
          <w:p w14:paraId="1DA5CBF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686.980,66</w:t>
            </w:r>
          </w:p>
        </w:tc>
        <w:tc>
          <w:tcPr>
            <w:tcW w:w="2344" w:type="dxa"/>
            <w:tcBorders>
              <w:top w:val="nil"/>
              <w:left w:val="nil"/>
              <w:bottom w:val="single" w:sz="4" w:space="0" w:color="auto"/>
              <w:right w:val="single" w:sz="8" w:space="0" w:color="auto"/>
            </w:tcBorders>
            <w:shd w:val="clear" w:color="auto" w:fill="auto"/>
            <w:noWrap/>
            <w:vAlign w:val="center"/>
            <w:hideMark/>
          </w:tcPr>
          <w:p w14:paraId="7C8F30C6"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5.014.446,30</w:t>
            </w:r>
          </w:p>
        </w:tc>
      </w:tr>
      <w:tr w:rsidR="006532A7" w:rsidRPr="006532A7" w14:paraId="4BBB151C"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2261713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9</w:t>
            </w:r>
          </w:p>
        </w:tc>
        <w:tc>
          <w:tcPr>
            <w:tcW w:w="2016" w:type="dxa"/>
            <w:tcBorders>
              <w:top w:val="nil"/>
              <w:left w:val="nil"/>
              <w:bottom w:val="single" w:sz="4" w:space="0" w:color="auto"/>
              <w:right w:val="single" w:sz="4" w:space="0" w:color="12501A"/>
            </w:tcBorders>
            <w:shd w:val="clear" w:color="auto" w:fill="auto"/>
            <w:noWrap/>
            <w:vAlign w:val="center"/>
            <w:hideMark/>
          </w:tcPr>
          <w:p w14:paraId="0F420B8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688.822,19</w:t>
            </w:r>
          </w:p>
        </w:tc>
        <w:tc>
          <w:tcPr>
            <w:tcW w:w="2344" w:type="dxa"/>
            <w:tcBorders>
              <w:top w:val="nil"/>
              <w:left w:val="nil"/>
              <w:bottom w:val="single" w:sz="4" w:space="0" w:color="auto"/>
              <w:right w:val="single" w:sz="8" w:space="0" w:color="auto"/>
            </w:tcBorders>
            <w:shd w:val="clear" w:color="auto" w:fill="auto"/>
            <w:noWrap/>
            <w:vAlign w:val="center"/>
            <w:hideMark/>
          </w:tcPr>
          <w:p w14:paraId="73C0EFC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5.017.788,64</w:t>
            </w:r>
          </w:p>
        </w:tc>
      </w:tr>
      <w:tr w:rsidR="006532A7" w:rsidRPr="006532A7" w14:paraId="66C75C53"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6325A40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10</w:t>
            </w:r>
          </w:p>
        </w:tc>
        <w:tc>
          <w:tcPr>
            <w:tcW w:w="2016" w:type="dxa"/>
            <w:tcBorders>
              <w:top w:val="nil"/>
              <w:left w:val="nil"/>
              <w:bottom w:val="single" w:sz="4" w:space="0" w:color="auto"/>
              <w:right w:val="single" w:sz="4" w:space="0" w:color="12501A"/>
            </w:tcBorders>
            <w:shd w:val="clear" w:color="auto" w:fill="auto"/>
            <w:noWrap/>
            <w:vAlign w:val="center"/>
            <w:hideMark/>
          </w:tcPr>
          <w:p w14:paraId="36122D4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689.552,09</w:t>
            </w:r>
          </w:p>
        </w:tc>
        <w:tc>
          <w:tcPr>
            <w:tcW w:w="2344" w:type="dxa"/>
            <w:tcBorders>
              <w:top w:val="nil"/>
              <w:left w:val="nil"/>
              <w:bottom w:val="single" w:sz="4" w:space="0" w:color="auto"/>
              <w:right w:val="single" w:sz="8" w:space="0" w:color="auto"/>
            </w:tcBorders>
            <w:shd w:val="clear" w:color="auto" w:fill="auto"/>
            <w:noWrap/>
            <w:vAlign w:val="center"/>
            <w:hideMark/>
          </w:tcPr>
          <w:p w14:paraId="725FF859"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5.017.513,40</w:t>
            </w:r>
          </w:p>
        </w:tc>
      </w:tr>
      <w:tr w:rsidR="006532A7" w:rsidRPr="006532A7" w14:paraId="69923CE1"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092DCED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11</w:t>
            </w:r>
          </w:p>
        </w:tc>
        <w:tc>
          <w:tcPr>
            <w:tcW w:w="2016" w:type="dxa"/>
            <w:tcBorders>
              <w:top w:val="nil"/>
              <w:left w:val="nil"/>
              <w:bottom w:val="single" w:sz="4" w:space="0" w:color="auto"/>
              <w:right w:val="single" w:sz="4" w:space="0" w:color="12501A"/>
            </w:tcBorders>
            <w:shd w:val="clear" w:color="auto" w:fill="auto"/>
            <w:noWrap/>
            <w:vAlign w:val="center"/>
            <w:hideMark/>
          </w:tcPr>
          <w:p w14:paraId="3D65F80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689.449,73</w:t>
            </w:r>
          </w:p>
        </w:tc>
        <w:tc>
          <w:tcPr>
            <w:tcW w:w="2344" w:type="dxa"/>
            <w:tcBorders>
              <w:top w:val="nil"/>
              <w:left w:val="nil"/>
              <w:bottom w:val="single" w:sz="4" w:space="0" w:color="auto"/>
              <w:right w:val="single" w:sz="8" w:space="0" w:color="auto"/>
            </w:tcBorders>
            <w:shd w:val="clear" w:color="auto" w:fill="auto"/>
            <w:noWrap/>
            <w:vAlign w:val="center"/>
            <w:hideMark/>
          </w:tcPr>
          <w:p w14:paraId="0BE84B0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5.016.926,57</w:t>
            </w:r>
          </w:p>
        </w:tc>
      </w:tr>
      <w:tr w:rsidR="006532A7" w:rsidRPr="006532A7" w14:paraId="3B2DBFB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2A36639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12</w:t>
            </w:r>
          </w:p>
        </w:tc>
        <w:tc>
          <w:tcPr>
            <w:tcW w:w="2016" w:type="dxa"/>
            <w:tcBorders>
              <w:top w:val="nil"/>
              <w:left w:val="nil"/>
              <w:bottom w:val="single" w:sz="4" w:space="0" w:color="auto"/>
              <w:right w:val="single" w:sz="4" w:space="0" w:color="12501A"/>
            </w:tcBorders>
            <w:shd w:val="clear" w:color="auto" w:fill="auto"/>
            <w:noWrap/>
            <w:vAlign w:val="center"/>
            <w:hideMark/>
          </w:tcPr>
          <w:p w14:paraId="0396BE1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689.494,79</w:t>
            </w:r>
          </w:p>
        </w:tc>
        <w:tc>
          <w:tcPr>
            <w:tcW w:w="2344" w:type="dxa"/>
            <w:tcBorders>
              <w:top w:val="nil"/>
              <w:left w:val="nil"/>
              <w:bottom w:val="single" w:sz="4" w:space="0" w:color="auto"/>
              <w:right w:val="single" w:sz="8" w:space="0" w:color="auto"/>
            </w:tcBorders>
            <w:shd w:val="clear" w:color="auto" w:fill="auto"/>
            <w:noWrap/>
            <w:vAlign w:val="center"/>
            <w:hideMark/>
          </w:tcPr>
          <w:p w14:paraId="4907615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5.016.898,98</w:t>
            </w:r>
          </w:p>
        </w:tc>
      </w:tr>
      <w:tr w:rsidR="006532A7" w:rsidRPr="006532A7" w14:paraId="0A2C906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65208E0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13</w:t>
            </w:r>
          </w:p>
        </w:tc>
        <w:tc>
          <w:tcPr>
            <w:tcW w:w="2016" w:type="dxa"/>
            <w:tcBorders>
              <w:top w:val="nil"/>
              <w:left w:val="nil"/>
              <w:bottom w:val="single" w:sz="4" w:space="0" w:color="auto"/>
              <w:right w:val="single" w:sz="4" w:space="0" w:color="12501A"/>
            </w:tcBorders>
            <w:shd w:val="clear" w:color="auto" w:fill="auto"/>
            <w:noWrap/>
            <w:vAlign w:val="center"/>
            <w:hideMark/>
          </w:tcPr>
          <w:p w14:paraId="2CF62F89"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689.704,69</w:t>
            </w:r>
          </w:p>
        </w:tc>
        <w:tc>
          <w:tcPr>
            <w:tcW w:w="2344" w:type="dxa"/>
            <w:tcBorders>
              <w:top w:val="nil"/>
              <w:left w:val="nil"/>
              <w:bottom w:val="single" w:sz="4" w:space="0" w:color="auto"/>
              <w:right w:val="single" w:sz="8" w:space="0" w:color="auto"/>
            </w:tcBorders>
            <w:shd w:val="clear" w:color="auto" w:fill="auto"/>
            <w:noWrap/>
            <w:vAlign w:val="center"/>
            <w:hideMark/>
          </w:tcPr>
          <w:p w14:paraId="7B8A780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5.017.455,85</w:t>
            </w:r>
          </w:p>
        </w:tc>
      </w:tr>
      <w:tr w:rsidR="006532A7" w:rsidRPr="006532A7" w14:paraId="4A947F33" w14:textId="77777777">
        <w:trPr>
          <w:trHeight w:val="315"/>
          <w:jc w:val="center"/>
        </w:trPr>
        <w:tc>
          <w:tcPr>
            <w:tcW w:w="2500" w:type="dxa"/>
            <w:tcBorders>
              <w:top w:val="nil"/>
              <w:left w:val="single" w:sz="8" w:space="0" w:color="auto"/>
              <w:bottom w:val="nil"/>
              <w:right w:val="single" w:sz="4" w:space="0" w:color="12501A"/>
            </w:tcBorders>
            <w:shd w:val="clear" w:color="auto" w:fill="auto"/>
            <w:noWrap/>
            <w:vAlign w:val="center"/>
            <w:hideMark/>
          </w:tcPr>
          <w:p w14:paraId="6AAC4E5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14</w:t>
            </w:r>
          </w:p>
        </w:tc>
        <w:tc>
          <w:tcPr>
            <w:tcW w:w="2016" w:type="dxa"/>
            <w:tcBorders>
              <w:top w:val="nil"/>
              <w:left w:val="nil"/>
              <w:bottom w:val="nil"/>
              <w:right w:val="single" w:sz="4" w:space="0" w:color="12501A"/>
            </w:tcBorders>
            <w:shd w:val="clear" w:color="auto" w:fill="auto"/>
            <w:noWrap/>
            <w:vAlign w:val="center"/>
            <w:hideMark/>
          </w:tcPr>
          <w:p w14:paraId="6F45CBF9"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690.161,59</w:t>
            </w:r>
          </w:p>
        </w:tc>
        <w:tc>
          <w:tcPr>
            <w:tcW w:w="2344" w:type="dxa"/>
            <w:tcBorders>
              <w:top w:val="nil"/>
              <w:left w:val="nil"/>
              <w:bottom w:val="nil"/>
              <w:right w:val="single" w:sz="8" w:space="0" w:color="auto"/>
            </w:tcBorders>
            <w:shd w:val="clear" w:color="auto" w:fill="auto"/>
            <w:noWrap/>
            <w:vAlign w:val="center"/>
            <w:hideMark/>
          </w:tcPr>
          <w:p w14:paraId="63AEF90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5.017.283,54</w:t>
            </w:r>
          </w:p>
        </w:tc>
      </w:tr>
      <w:tr w:rsidR="006532A7" w:rsidRPr="006532A7" w14:paraId="61C97A3C" w14:textId="77777777">
        <w:trPr>
          <w:trHeight w:val="315"/>
          <w:jc w:val="center"/>
        </w:trPr>
        <w:tc>
          <w:tcPr>
            <w:tcW w:w="2500" w:type="dxa"/>
            <w:tcBorders>
              <w:top w:val="single" w:sz="8" w:space="0" w:color="auto"/>
              <w:left w:val="single" w:sz="8" w:space="0" w:color="auto"/>
              <w:bottom w:val="single" w:sz="8" w:space="0" w:color="auto"/>
              <w:right w:val="single" w:sz="4" w:space="0" w:color="12501A"/>
            </w:tcBorders>
            <w:shd w:val="clear" w:color="auto" w:fill="auto"/>
            <w:noWrap/>
            <w:vAlign w:val="center"/>
            <w:hideMark/>
          </w:tcPr>
          <w:p w14:paraId="3DE0927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8" w:space="0" w:color="auto"/>
              <w:left w:val="nil"/>
              <w:bottom w:val="single" w:sz="8" w:space="0" w:color="auto"/>
              <w:right w:val="single" w:sz="4" w:space="0" w:color="12501A"/>
            </w:tcBorders>
            <w:shd w:val="clear" w:color="auto" w:fill="auto"/>
            <w:noWrap/>
            <w:vAlign w:val="center"/>
            <w:hideMark/>
          </w:tcPr>
          <w:p w14:paraId="6B5F5E8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690.953,22</w:t>
            </w:r>
          </w:p>
        </w:tc>
        <w:tc>
          <w:tcPr>
            <w:tcW w:w="2344" w:type="dxa"/>
            <w:tcBorders>
              <w:top w:val="single" w:sz="8" w:space="0" w:color="auto"/>
              <w:left w:val="nil"/>
              <w:bottom w:val="single" w:sz="8" w:space="0" w:color="auto"/>
              <w:right w:val="single" w:sz="8" w:space="0" w:color="auto"/>
            </w:tcBorders>
            <w:shd w:val="clear" w:color="auto" w:fill="auto"/>
            <w:noWrap/>
            <w:vAlign w:val="center"/>
            <w:hideMark/>
          </w:tcPr>
          <w:p w14:paraId="44BB557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5.018.811,71</w:t>
            </w:r>
          </w:p>
        </w:tc>
      </w:tr>
      <w:tr w:rsidR="006532A7" w:rsidRPr="006532A7" w14:paraId="3DC5326E" w14:textId="77777777">
        <w:trPr>
          <w:trHeight w:val="315"/>
          <w:jc w:val="center"/>
        </w:trPr>
        <w:tc>
          <w:tcPr>
            <w:tcW w:w="68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6333C1"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P=34,04 km</w:t>
            </w:r>
            <w:r w:rsidRPr="006532A7">
              <w:rPr>
                <w:rFonts w:ascii="Calibri" w:eastAsia="Times New Roman" w:hAnsi="Calibri" w:cs="Calibri"/>
                <w:color w:val="000000"/>
                <w:lang w:eastAsia="hr-HR"/>
              </w:rPr>
              <w:t>²</w:t>
            </w:r>
          </w:p>
        </w:tc>
      </w:tr>
    </w:tbl>
    <w:p w14:paraId="512C6C18" w14:textId="77777777" w:rsidR="006532A7" w:rsidRPr="006532A7" w:rsidRDefault="006532A7" w:rsidP="006532A7"/>
    <w:tbl>
      <w:tblPr>
        <w:tblW w:w="6860" w:type="dxa"/>
        <w:jc w:val="center"/>
        <w:tblLook w:val="04A0" w:firstRow="1" w:lastRow="0" w:firstColumn="1" w:lastColumn="0" w:noHBand="0" w:noVBand="1"/>
      </w:tblPr>
      <w:tblGrid>
        <w:gridCol w:w="2500"/>
        <w:gridCol w:w="2016"/>
        <w:gridCol w:w="2344"/>
      </w:tblGrid>
      <w:tr w:rsidR="006532A7" w:rsidRPr="006532A7" w14:paraId="3E747D47" w14:textId="77777777">
        <w:trPr>
          <w:trHeight w:val="300"/>
          <w:jc w:val="center"/>
        </w:trPr>
        <w:tc>
          <w:tcPr>
            <w:tcW w:w="2500" w:type="dxa"/>
            <w:tcBorders>
              <w:top w:val="single" w:sz="8" w:space="0" w:color="auto"/>
              <w:left w:val="single" w:sz="8" w:space="0" w:color="auto"/>
              <w:bottom w:val="single" w:sz="4" w:space="0" w:color="12501A"/>
              <w:right w:val="single" w:sz="4" w:space="0" w:color="12501A"/>
            </w:tcBorders>
            <w:shd w:val="clear" w:color="000000" w:fill="F2F2F2"/>
            <w:vAlign w:val="center"/>
            <w:hideMark/>
          </w:tcPr>
          <w:p w14:paraId="303BAF29"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OCJENSKO PODRUČJE</w:t>
            </w:r>
          </w:p>
        </w:tc>
        <w:tc>
          <w:tcPr>
            <w:tcW w:w="4360" w:type="dxa"/>
            <w:gridSpan w:val="2"/>
            <w:tcBorders>
              <w:top w:val="single" w:sz="8" w:space="0" w:color="auto"/>
              <w:left w:val="nil"/>
              <w:bottom w:val="single" w:sz="4" w:space="0" w:color="auto"/>
              <w:right w:val="single" w:sz="8" w:space="0" w:color="000000"/>
            </w:tcBorders>
            <w:shd w:val="clear" w:color="000000" w:fill="F2F2F2"/>
            <w:vAlign w:val="center"/>
            <w:hideMark/>
          </w:tcPr>
          <w:p w14:paraId="7CBB7495"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OPATOVAC</w:t>
            </w:r>
          </w:p>
        </w:tc>
      </w:tr>
      <w:tr w:rsidR="006532A7" w:rsidRPr="006532A7" w14:paraId="7E781488" w14:textId="77777777">
        <w:trPr>
          <w:trHeight w:val="315"/>
          <w:jc w:val="center"/>
        </w:trPr>
        <w:tc>
          <w:tcPr>
            <w:tcW w:w="2500" w:type="dxa"/>
            <w:vMerge w:val="restart"/>
            <w:tcBorders>
              <w:top w:val="nil"/>
              <w:left w:val="single" w:sz="8" w:space="0" w:color="auto"/>
              <w:bottom w:val="single" w:sz="4" w:space="0" w:color="12501A"/>
              <w:right w:val="single" w:sz="4" w:space="0" w:color="12501A"/>
            </w:tcBorders>
            <w:shd w:val="clear" w:color="000000" w:fill="F2F2F2"/>
            <w:vAlign w:val="center"/>
            <w:hideMark/>
          </w:tcPr>
          <w:p w14:paraId="15F6DE18"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 xml:space="preserve">OZNAKA TOČKE </w:t>
            </w:r>
          </w:p>
        </w:tc>
        <w:tc>
          <w:tcPr>
            <w:tcW w:w="4360" w:type="dxa"/>
            <w:gridSpan w:val="2"/>
            <w:tcBorders>
              <w:top w:val="nil"/>
              <w:left w:val="nil"/>
              <w:bottom w:val="single" w:sz="8" w:space="0" w:color="A6A6A6"/>
              <w:right w:val="single" w:sz="8" w:space="0" w:color="000000"/>
            </w:tcBorders>
            <w:shd w:val="clear" w:color="000000" w:fill="F2F2F2"/>
            <w:noWrap/>
            <w:vAlign w:val="center"/>
            <w:hideMark/>
          </w:tcPr>
          <w:p w14:paraId="3AB2F544"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KOORDINATE</w:t>
            </w:r>
          </w:p>
        </w:tc>
      </w:tr>
      <w:tr w:rsidR="006532A7" w:rsidRPr="006532A7" w14:paraId="2AE66564"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5FB895A6"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4360" w:type="dxa"/>
            <w:gridSpan w:val="2"/>
            <w:tcBorders>
              <w:top w:val="single" w:sz="8" w:space="0" w:color="A6A6A6"/>
              <w:left w:val="nil"/>
              <w:bottom w:val="single" w:sz="4" w:space="0" w:color="A6A6A6"/>
              <w:right w:val="single" w:sz="8" w:space="0" w:color="000000"/>
            </w:tcBorders>
            <w:shd w:val="clear" w:color="000000" w:fill="F2F2F2"/>
            <w:noWrap/>
            <w:vAlign w:val="bottom"/>
            <w:hideMark/>
          </w:tcPr>
          <w:p w14:paraId="4751DF0A"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HTRS96/TM</w:t>
            </w:r>
          </w:p>
        </w:tc>
      </w:tr>
      <w:tr w:rsidR="006532A7" w:rsidRPr="006532A7" w14:paraId="0DFE9966" w14:textId="77777777">
        <w:trPr>
          <w:trHeight w:val="300"/>
          <w:jc w:val="center"/>
        </w:trPr>
        <w:tc>
          <w:tcPr>
            <w:tcW w:w="2500" w:type="dxa"/>
            <w:vMerge/>
            <w:tcBorders>
              <w:top w:val="nil"/>
              <w:left w:val="single" w:sz="8" w:space="0" w:color="auto"/>
              <w:bottom w:val="single" w:sz="4" w:space="0" w:color="12501A"/>
              <w:right w:val="single" w:sz="4" w:space="0" w:color="12501A"/>
            </w:tcBorders>
            <w:vAlign w:val="center"/>
            <w:hideMark/>
          </w:tcPr>
          <w:p w14:paraId="63CC703D" w14:textId="77777777" w:rsidR="006532A7" w:rsidRPr="006532A7" w:rsidRDefault="006532A7" w:rsidP="006532A7">
            <w:pPr>
              <w:spacing w:after="0" w:line="240" w:lineRule="auto"/>
              <w:rPr>
                <w:rFonts w:ascii="Aptos Narrow" w:eastAsia="Times New Roman" w:hAnsi="Aptos Narrow" w:cs="Times New Roman"/>
                <w:b/>
                <w:bCs/>
                <w:color w:val="000000"/>
                <w:lang w:eastAsia="hr-HR"/>
              </w:rPr>
            </w:pPr>
          </w:p>
        </w:tc>
        <w:tc>
          <w:tcPr>
            <w:tcW w:w="2016" w:type="dxa"/>
            <w:tcBorders>
              <w:top w:val="nil"/>
              <w:left w:val="nil"/>
              <w:bottom w:val="nil"/>
              <w:right w:val="single" w:sz="4" w:space="0" w:color="A6A6A6"/>
            </w:tcBorders>
            <w:shd w:val="clear" w:color="000000" w:fill="F2F2F2"/>
            <w:noWrap/>
            <w:vAlign w:val="center"/>
            <w:hideMark/>
          </w:tcPr>
          <w:p w14:paraId="34FAB5DE"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E</w:t>
            </w:r>
          </w:p>
        </w:tc>
        <w:tc>
          <w:tcPr>
            <w:tcW w:w="2344" w:type="dxa"/>
            <w:tcBorders>
              <w:top w:val="nil"/>
              <w:left w:val="nil"/>
              <w:bottom w:val="single" w:sz="4" w:space="0" w:color="12501A"/>
              <w:right w:val="single" w:sz="8" w:space="0" w:color="auto"/>
            </w:tcBorders>
            <w:shd w:val="clear" w:color="000000" w:fill="F2F2F2"/>
            <w:noWrap/>
            <w:vAlign w:val="center"/>
            <w:hideMark/>
          </w:tcPr>
          <w:p w14:paraId="111FDA19" w14:textId="77777777" w:rsidR="006532A7" w:rsidRPr="006532A7" w:rsidRDefault="006532A7" w:rsidP="006532A7">
            <w:pPr>
              <w:spacing w:after="0" w:line="240" w:lineRule="auto"/>
              <w:jc w:val="center"/>
              <w:rPr>
                <w:rFonts w:ascii="Aptos Narrow" w:eastAsia="Times New Roman" w:hAnsi="Aptos Narrow" w:cs="Times New Roman"/>
                <w:b/>
                <w:bCs/>
                <w:color w:val="000000"/>
                <w:lang w:eastAsia="hr-HR"/>
              </w:rPr>
            </w:pPr>
            <w:r w:rsidRPr="006532A7">
              <w:rPr>
                <w:rFonts w:ascii="Aptos Narrow" w:eastAsia="Times New Roman" w:hAnsi="Aptos Narrow" w:cs="Times New Roman"/>
                <w:b/>
                <w:bCs/>
                <w:color w:val="000000"/>
                <w:lang w:eastAsia="hr-HR"/>
              </w:rPr>
              <w:t>N</w:t>
            </w:r>
          </w:p>
        </w:tc>
      </w:tr>
      <w:tr w:rsidR="006532A7" w:rsidRPr="006532A7" w14:paraId="6730D676"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7B4F86E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4" w:space="0" w:color="12501A"/>
              <w:left w:val="nil"/>
              <w:bottom w:val="single" w:sz="4" w:space="0" w:color="auto"/>
              <w:right w:val="single" w:sz="4" w:space="0" w:color="12501A"/>
            </w:tcBorders>
            <w:shd w:val="clear" w:color="auto" w:fill="auto"/>
            <w:noWrap/>
            <w:vAlign w:val="center"/>
            <w:hideMark/>
          </w:tcPr>
          <w:p w14:paraId="34F6B27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699.964,73</w:t>
            </w:r>
          </w:p>
        </w:tc>
        <w:tc>
          <w:tcPr>
            <w:tcW w:w="2344" w:type="dxa"/>
            <w:tcBorders>
              <w:top w:val="nil"/>
              <w:left w:val="nil"/>
              <w:bottom w:val="single" w:sz="4" w:space="0" w:color="auto"/>
              <w:right w:val="single" w:sz="8" w:space="0" w:color="auto"/>
            </w:tcBorders>
            <w:shd w:val="clear" w:color="auto" w:fill="auto"/>
            <w:noWrap/>
            <w:vAlign w:val="center"/>
            <w:hideMark/>
          </w:tcPr>
          <w:p w14:paraId="77287C2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5.015.210,59</w:t>
            </w:r>
          </w:p>
        </w:tc>
      </w:tr>
      <w:tr w:rsidR="006532A7" w:rsidRPr="006532A7" w14:paraId="7546CAE2"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57A0607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2</w:t>
            </w:r>
          </w:p>
        </w:tc>
        <w:tc>
          <w:tcPr>
            <w:tcW w:w="2016" w:type="dxa"/>
            <w:tcBorders>
              <w:top w:val="nil"/>
              <w:left w:val="nil"/>
              <w:bottom w:val="single" w:sz="4" w:space="0" w:color="auto"/>
              <w:right w:val="single" w:sz="4" w:space="0" w:color="12501A"/>
            </w:tcBorders>
            <w:shd w:val="clear" w:color="auto" w:fill="auto"/>
            <w:noWrap/>
            <w:vAlign w:val="center"/>
            <w:hideMark/>
          </w:tcPr>
          <w:p w14:paraId="3EA232F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702.477,54</w:t>
            </w:r>
          </w:p>
        </w:tc>
        <w:tc>
          <w:tcPr>
            <w:tcW w:w="2344" w:type="dxa"/>
            <w:tcBorders>
              <w:top w:val="nil"/>
              <w:left w:val="nil"/>
              <w:bottom w:val="single" w:sz="4" w:space="0" w:color="auto"/>
              <w:right w:val="single" w:sz="8" w:space="0" w:color="auto"/>
            </w:tcBorders>
            <w:shd w:val="clear" w:color="auto" w:fill="auto"/>
            <w:noWrap/>
            <w:vAlign w:val="center"/>
            <w:hideMark/>
          </w:tcPr>
          <w:p w14:paraId="6F88FC5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5.017.224,52</w:t>
            </w:r>
          </w:p>
        </w:tc>
      </w:tr>
      <w:tr w:rsidR="006532A7" w:rsidRPr="006532A7" w14:paraId="22BE9CD8"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37E24267"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3</w:t>
            </w:r>
          </w:p>
        </w:tc>
        <w:tc>
          <w:tcPr>
            <w:tcW w:w="2016" w:type="dxa"/>
            <w:tcBorders>
              <w:top w:val="nil"/>
              <w:left w:val="nil"/>
              <w:bottom w:val="single" w:sz="4" w:space="0" w:color="auto"/>
              <w:right w:val="single" w:sz="4" w:space="0" w:color="12501A"/>
            </w:tcBorders>
            <w:shd w:val="clear" w:color="auto" w:fill="auto"/>
            <w:noWrap/>
            <w:vAlign w:val="center"/>
            <w:hideMark/>
          </w:tcPr>
          <w:p w14:paraId="7E1A3E75"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705.080,27</w:t>
            </w:r>
          </w:p>
        </w:tc>
        <w:tc>
          <w:tcPr>
            <w:tcW w:w="2344" w:type="dxa"/>
            <w:tcBorders>
              <w:top w:val="nil"/>
              <w:left w:val="nil"/>
              <w:bottom w:val="single" w:sz="4" w:space="0" w:color="auto"/>
              <w:right w:val="single" w:sz="8" w:space="0" w:color="auto"/>
            </w:tcBorders>
            <w:shd w:val="clear" w:color="auto" w:fill="auto"/>
            <w:noWrap/>
            <w:vAlign w:val="center"/>
            <w:hideMark/>
          </w:tcPr>
          <w:p w14:paraId="4FDB14E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5.018.631,77</w:t>
            </w:r>
          </w:p>
        </w:tc>
      </w:tr>
      <w:tr w:rsidR="006532A7" w:rsidRPr="006532A7" w14:paraId="2464DE8C"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0593CEA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4</w:t>
            </w:r>
          </w:p>
        </w:tc>
        <w:tc>
          <w:tcPr>
            <w:tcW w:w="2016" w:type="dxa"/>
            <w:tcBorders>
              <w:top w:val="nil"/>
              <w:left w:val="nil"/>
              <w:bottom w:val="single" w:sz="4" w:space="0" w:color="auto"/>
              <w:right w:val="single" w:sz="4" w:space="0" w:color="12501A"/>
            </w:tcBorders>
            <w:shd w:val="clear" w:color="auto" w:fill="auto"/>
            <w:noWrap/>
            <w:vAlign w:val="center"/>
            <w:hideMark/>
          </w:tcPr>
          <w:p w14:paraId="126BC1C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705.569,96</w:t>
            </w:r>
          </w:p>
        </w:tc>
        <w:tc>
          <w:tcPr>
            <w:tcW w:w="2344" w:type="dxa"/>
            <w:tcBorders>
              <w:top w:val="nil"/>
              <w:left w:val="nil"/>
              <w:bottom w:val="single" w:sz="4" w:space="0" w:color="auto"/>
              <w:right w:val="single" w:sz="8" w:space="0" w:color="auto"/>
            </w:tcBorders>
            <w:shd w:val="clear" w:color="auto" w:fill="auto"/>
            <w:noWrap/>
            <w:vAlign w:val="center"/>
            <w:hideMark/>
          </w:tcPr>
          <w:p w14:paraId="4AF4978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5.018.682,89</w:t>
            </w:r>
          </w:p>
        </w:tc>
      </w:tr>
      <w:tr w:rsidR="006532A7" w:rsidRPr="006532A7" w14:paraId="0454121D"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4CBA5A8E"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w:t>
            </w:r>
          </w:p>
        </w:tc>
        <w:tc>
          <w:tcPr>
            <w:tcW w:w="2016" w:type="dxa"/>
            <w:tcBorders>
              <w:top w:val="nil"/>
              <w:left w:val="nil"/>
              <w:bottom w:val="single" w:sz="4" w:space="0" w:color="auto"/>
              <w:right w:val="single" w:sz="4" w:space="0" w:color="12501A"/>
            </w:tcBorders>
            <w:shd w:val="clear" w:color="auto" w:fill="auto"/>
            <w:noWrap/>
            <w:vAlign w:val="center"/>
            <w:hideMark/>
          </w:tcPr>
          <w:p w14:paraId="2430CE2F"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708.899,96</w:t>
            </w:r>
          </w:p>
        </w:tc>
        <w:tc>
          <w:tcPr>
            <w:tcW w:w="2344" w:type="dxa"/>
            <w:tcBorders>
              <w:top w:val="nil"/>
              <w:left w:val="nil"/>
              <w:bottom w:val="single" w:sz="4" w:space="0" w:color="auto"/>
              <w:right w:val="single" w:sz="8" w:space="0" w:color="auto"/>
            </w:tcBorders>
            <w:shd w:val="clear" w:color="auto" w:fill="auto"/>
            <w:noWrap/>
            <w:vAlign w:val="center"/>
            <w:hideMark/>
          </w:tcPr>
          <w:p w14:paraId="7F629752"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5.016.115,85</w:t>
            </w:r>
          </w:p>
        </w:tc>
      </w:tr>
      <w:tr w:rsidR="006532A7" w:rsidRPr="006532A7" w14:paraId="6FA10347"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2847969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w:t>
            </w:r>
          </w:p>
        </w:tc>
        <w:tc>
          <w:tcPr>
            <w:tcW w:w="2016" w:type="dxa"/>
            <w:tcBorders>
              <w:top w:val="nil"/>
              <w:left w:val="nil"/>
              <w:bottom w:val="single" w:sz="4" w:space="0" w:color="auto"/>
              <w:right w:val="single" w:sz="4" w:space="0" w:color="12501A"/>
            </w:tcBorders>
            <w:shd w:val="clear" w:color="auto" w:fill="auto"/>
            <w:noWrap/>
            <w:vAlign w:val="center"/>
            <w:hideMark/>
          </w:tcPr>
          <w:p w14:paraId="5D69C1BA"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706.569,76</w:t>
            </w:r>
          </w:p>
        </w:tc>
        <w:tc>
          <w:tcPr>
            <w:tcW w:w="2344" w:type="dxa"/>
            <w:tcBorders>
              <w:top w:val="nil"/>
              <w:left w:val="nil"/>
              <w:bottom w:val="single" w:sz="4" w:space="0" w:color="auto"/>
              <w:right w:val="single" w:sz="8" w:space="0" w:color="auto"/>
            </w:tcBorders>
            <w:shd w:val="clear" w:color="auto" w:fill="auto"/>
            <w:noWrap/>
            <w:vAlign w:val="center"/>
            <w:hideMark/>
          </w:tcPr>
          <w:p w14:paraId="3D39DB5B"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5.013.835,94</w:t>
            </w:r>
          </w:p>
        </w:tc>
      </w:tr>
      <w:tr w:rsidR="006532A7" w:rsidRPr="006532A7" w14:paraId="025E39EE" w14:textId="77777777">
        <w:trPr>
          <w:trHeight w:val="300"/>
          <w:jc w:val="center"/>
        </w:trPr>
        <w:tc>
          <w:tcPr>
            <w:tcW w:w="2500" w:type="dxa"/>
            <w:tcBorders>
              <w:top w:val="nil"/>
              <w:left w:val="single" w:sz="8" w:space="0" w:color="auto"/>
              <w:bottom w:val="single" w:sz="4" w:space="0" w:color="auto"/>
              <w:right w:val="single" w:sz="4" w:space="0" w:color="12501A"/>
            </w:tcBorders>
            <w:shd w:val="clear" w:color="auto" w:fill="auto"/>
            <w:noWrap/>
            <w:vAlign w:val="center"/>
            <w:hideMark/>
          </w:tcPr>
          <w:p w14:paraId="0F07B71A"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w:t>
            </w:r>
          </w:p>
        </w:tc>
        <w:tc>
          <w:tcPr>
            <w:tcW w:w="2016" w:type="dxa"/>
            <w:tcBorders>
              <w:top w:val="nil"/>
              <w:left w:val="nil"/>
              <w:bottom w:val="single" w:sz="4" w:space="0" w:color="auto"/>
              <w:right w:val="single" w:sz="4" w:space="0" w:color="12501A"/>
            </w:tcBorders>
            <w:shd w:val="clear" w:color="auto" w:fill="auto"/>
            <w:noWrap/>
            <w:vAlign w:val="center"/>
            <w:hideMark/>
          </w:tcPr>
          <w:p w14:paraId="3608211C"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705.027,47</w:t>
            </w:r>
          </w:p>
        </w:tc>
        <w:tc>
          <w:tcPr>
            <w:tcW w:w="2344" w:type="dxa"/>
            <w:tcBorders>
              <w:top w:val="nil"/>
              <w:left w:val="nil"/>
              <w:bottom w:val="single" w:sz="4" w:space="0" w:color="auto"/>
              <w:right w:val="single" w:sz="8" w:space="0" w:color="auto"/>
            </w:tcBorders>
            <w:shd w:val="clear" w:color="auto" w:fill="auto"/>
            <w:noWrap/>
            <w:vAlign w:val="center"/>
            <w:hideMark/>
          </w:tcPr>
          <w:p w14:paraId="70EAFFA4"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5.015.210,59</w:t>
            </w:r>
          </w:p>
        </w:tc>
      </w:tr>
      <w:tr w:rsidR="006532A7" w:rsidRPr="006532A7" w14:paraId="116E7DDA" w14:textId="77777777">
        <w:trPr>
          <w:trHeight w:val="315"/>
          <w:jc w:val="center"/>
        </w:trPr>
        <w:tc>
          <w:tcPr>
            <w:tcW w:w="2500" w:type="dxa"/>
            <w:tcBorders>
              <w:top w:val="nil"/>
              <w:left w:val="single" w:sz="8" w:space="0" w:color="auto"/>
              <w:bottom w:val="nil"/>
              <w:right w:val="single" w:sz="4" w:space="0" w:color="12501A"/>
            </w:tcBorders>
            <w:shd w:val="clear" w:color="auto" w:fill="auto"/>
            <w:noWrap/>
            <w:vAlign w:val="center"/>
            <w:hideMark/>
          </w:tcPr>
          <w:p w14:paraId="73E122F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8</w:t>
            </w:r>
          </w:p>
        </w:tc>
        <w:tc>
          <w:tcPr>
            <w:tcW w:w="2016" w:type="dxa"/>
            <w:tcBorders>
              <w:top w:val="nil"/>
              <w:left w:val="nil"/>
              <w:bottom w:val="nil"/>
              <w:right w:val="single" w:sz="4" w:space="0" w:color="12501A"/>
            </w:tcBorders>
            <w:shd w:val="clear" w:color="auto" w:fill="auto"/>
            <w:noWrap/>
            <w:vAlign w:val="center"/>
            <w:hideMark/>
          </w:tcPr>
          <w:p w14:paraId="1F077730"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702.030,79</w:t>
            </w:r>
          </w:p>
        </w:tc>
        <w:tc>
          <w:tcPr>
            <w:tcW w:w="2344" w:type="dxa"/>
            <w:tcBorders>
              <w:top w:val="nil"/>
              <w:left w:val="nil"/>
              <w:bottom w:val="nil"/>
              <w:right w:val="single" w:sz="8" w:space="0" w:color="auto"/>
            </w:tcBorders>
            <w:shd w:val="clear" w:color="auto" w:fill="auto"/>
            <w:noWrap/>
            <w:vAlign w:val="center"/>
            <w:hideMark/>
          </w:tcPr>
          <w:p w14:paraId="7C7436F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5.012.984,25</w:t>
            </w:r>
          </w:p>
        </w:tc>
      </w:tr>
      <w:tr w:rsidR="006532A7" w:rsidRPr="006532A7" w14:paraId="18FA783B" w14:textId="77777777">
        <w:trPr>
          <w:trHeight w:val="315"/>
          <w:jc w:val="center"/>
        </w:trPr>
        <w:tc>
          <w:tcPr>
            <w:tcW w:w="2500" w:type="dxa"/>
            <w:tcBorders>
              <w:top w:val="single" w:sz="8" w:space="0" w:color="auto"/>
              <w:left w:val="single" w:sz="8" w:space="0" w:color="auto"/>
              <w:bottom w:val="single" w:sz="8" w:space="0" w:color="auto"/>
              <w:right w:val="single" w:sz="4" w:space="0" w:color="12501A"/>
            </w:tcBorders>
            <w:shd w:val="clear" w:color="auto" w:fill="auto"/>
            <w:noWrap/>
            <w:vAlign w:val="center"/>
            <w:hideMark/>
          </w:tcPr>
          <w:p w14:paraId="56DEC413"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1</w:t>
            </w:r>
          </w:p>
        </w:tc>
        <w:tc>
          <w:tcPr>
            <w:tcW w:w="2016" w:type="dxa"/>
            <w:tcBorders>
              <w:top w:val="single" w:sz="8" w:space="0" w:color="auto"/>
              <w:left w:val="nil"/>
              <w:bottom w:val="single" w:sz="8" w:space="0" w:color="auto"/>
              <w:right w:val="single" w:sz="4" w:space="0" w:color="12501A"/>
            </w:tcBorders>
            <w:shd w:val="clear" w:color="auto" w:fill="auto"/>
            <w:noWrap/>
            <w:vAlign w:val="center"/>
            <w:hideMark/>
          </w:tcPr>
          <w:p w14:paraId="3B14E95D"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699.964,73</w:t>
            </w:r>
          </w:p>
        </w:tc>
        <w:tc>
          <w:tcPr>
            <w:tcW w:w="2344" w:type="dxa"/>
            <w:tcBorders>
              <w:top w:val="single" w:sz="8" w:space="0" w:color="auto"/>
              <w:left w:val="nil"/>
              <w:bottom w:val="single" w:sz="8" w:space="0" w:color="auto"/>
              <w:right w:val="single" w:sz="8" w:space="0" w:color="auto"/>
            </w:tcBorders>
            <w:shd w:val="clear" w:color="auto" w:fill="auto"/>
            <w:noWrap/>
            <w:vAlign w:val="center"/>
            <w:hideMark/>
          </w:tcPr>
          <w:p w14:paraId="2C49742C"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5.015.210,59</w:t>
            </w:r>
          </w:p>
        </w:tc>
      </w:tr>
      <w:tr w:rsidR="006532A7" w:rsidRPr="006532A7" w14:paraId="33F893BB" w14:textId="77777777">
        <w:trPr>
          <w:trHeight w:val="315"/>
          <w:jc w:val="center"/>
        </w:trPr>
        <w:tc>
          <w:tcPr>
            <w:tcW w:w="68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BE32468" w14:textId="77777777" w:rsidR="006532A7" w:rsidRPr="006532A7" w:rsidRDefault="006532A7" w:rsidP="006532A7">
            <w:pPr>
              <w:spacing w:after="0" w:line="240" w:lineRule="auto"/>
              <w:jc w:val="center"/>
              <w:rPr>
                <w:rFonts w:ascii="Aptos Narrow" w:eastAsia="Times New Roman" w:hAnsi="Aptos Narrow" w:cs="Times New Roman"/>
                <w:color w:val="000000"/>
                <w:lang w:eastAsia="hr-HR"/>
              </w:rPr>
            </w:pPr>
            <w:r w:rsidRPr="006532A7">
              <w:rPr>
                <w:rFonts w:ascii="Aptos Narrow" w:eastAsia="Times New Roman" w:hAnsi="Aptos Narrow" w:cs="Times New Roman"/>
                <w:color w:val="000000"/>
                <w:lang w:eastAsia="hr-HR"/>
              </w:rPr>
              <w:t>P=25,82 km</w:t>
            </w:r>
            <w:r w:rsidRPr="006532A7">
              <w:rPr>
                <w:rFonts w:ascii="Calibri" w:eastAsia="Times New Roman" w:hAnsi="Calibri" w:cs="Calibri"/>
                <w:color w:val="000000"/>
                <w:lang w:eastAsia="hr-HR"/>
              </w:rPr>
              <w:t>²</w:t>
            </w:r>
          </w:p>
        </w:tc>
      </w:tr>
    </w:tbl>
    <w:p w14:paraId="624840A0" w14:textId="77777777" w:rsidR="006532A7" w:rsidRPr="006532A7" w:rsidRDefault="006532A7" w:rsidP="006532A7"/>
    <w:p w14:paraId="18CE8EAE" w14:textId="50DD303F" w:rsidR="00B77715" w:rsidRPr="00B77715" w:rsidRDefault="00B77715" w:rsidP="00D42367">
      <w:pPr>
        <w:jc w:val="both"/>
        <w:rPr>
          <w:rFonts w:ascii="Times New Roman" w:hAnsi="Times New Roman" w:cs="Times New Roman"/>
          <w:sz w:val="24"/>
          <w:szCs w:val="24"/>
        </w:rPr>
      </w:pPr>
      <w:r w:rsidRPr="00B77715">
        <w:rPr>
          <w:rFonts w:ascii="Times New Roman" w:hAnsi="Times New Roman" w:cs="Times New Roman"/>
          <w:sz w:val="24"/>
          <w:szCs w:val="24"/>
        </w:rPr>
        <w:t>.</w:t>
      </w:r>
    </w:p>
    <w:p w14:paraId="48610ECC" w14:textId="77777777" w:rsidR="009532E1" w:rsidRDefault="009532E1" w:rsidP="00D42367">
      <w:pPr>
        <w:jc w:val="both"/>
        <w:rPr>
          <w:rFonts w:ascii="Times New Roman" w:hAnsi="Times New Roman" w:cs="Times New Roman"/>
          <w:sz w:val="24"/>
          <w:szCs w:val="24"/>
          <w:u w:val="single"/>
        </w:rPr>
      </w:pPr>
    </w:p>
    <w:p w14:paraId="3DF40EC1" w14:textId="5D47B2AA" w:rsidR="00276433" w:rsidRPr="00B075F5" w:rsidRDefault="00276433" w:rsidP="00570127">
      <w:pPr>
        <w:jc w:val="both"/>
        <w:rPr>
          <w:rFonts w:ascii="Times New Roman" w:hAnsi="Times New Roman" w:cs="Times New Roman"/>
          <w:b/>
          <w:bCs/>
          <w:sz w:val="24"/>
          <w:szCs w:val="24"/>
        </w:rPr>
      </w:pPr>
    </w:p>
    <w:sectPr w:rsidR="00276433" w:rsidRPr="00B075F5" w:rsidSect="00033AD6">
      <w:headerReference w:type="default" r:id="rId14"/>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6283" w14:textId="77777777" w:rsidR="00217A55" w:rsidRDefault="00217A55" w:rsidP="000F0781">
      <w:pPr>
        <w:spacing w:after="0" w:line="240" w:lineRule="auto"/>
      </w:pPr>
      <w:r>
        <w:separator/>
      </w:r>
    </w:p>
  </w:endnote>
  <w:endnote w:type="continuationSeparator" w:id="0">
    <w:p w14:paraId="2DB18408" w14:textId="77777777" w:rsidR="00217A55" w:rsidRDefault="00217A55" w:rsidP="000F0781">
      <w:pPr>
        <w:spacing w:after="0" w:line="240" w:lineRule="auto"/>
      </w:pPr>
      <w:r>
        <w:continuationSeparator/>
      </w:r>
    </w:p>
  </w:endnote>
  <w:endnote w:type="continuationNotice" w:id="1">
    <w:p w14:paraId="6E45638D" w14:textId="77777777" w:rsidR="00217A55" w:rsidRDefault="00217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E4AA" w14:textId="77777777" w:rsidR="00217A55" w:rsidRDefault="00217A55" w:rsidP="000F0781">
      <w:pPr>
        <w:spacing w:after="0" w:line="240" w:lineRule="auto"/>
      </w:pPr>
      <w:r>
        <w:separator/>
      </w:r>
    </w:p>
  </w:footnote>
  <w:footnote w:type="continuationSeparator" w:id="0">
    <w:p w14:paraId="45E370FB" w14:textId="77777777" w:rsidR="00217A55" w:rsidRDefault="00217A55" w:rsidP="000F0781">
      <w:pPr>
        <w:spacing w:after="0" w:line="240" w:lineRule="auto"/>
      </w:pPr>
      <w:r>
        <w:continuationSeparator/>
      </w:r>
    </w:p>
  </w:footnote>
  <w:footnote w:type="continuationNotice" w:id="1">
    <w:p w14:paraId="50DD3F0B" w14:textId="77777777" w:rsidR="00217A55" w:rsidRDefault="00217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36E6" w14:textId="4224438D" w:rsidR="00DD484F" w:rsidRPr="00DD484F" w:rsidRDefault="00DD484F">
    <w:pPr>
      <w:pStyle w:val="Header"/>
      <w:jc w:val="center"/>
      <w:rPr>
        <w:rFonts w:ascii="Times New Roman" w:hAnsi="Times New Roman" w:cs="Times New Roman"/>
        <w:sz w:val="24"/>
        <w:szCs w:val="24"/>
      </w:rPr>
    </w:pPr>
  </w:p>
  <w:p w14:paraId="44AF8539" w14:textId="77777777" w:rsidR="00212D20" w:rsidRDefault="0021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522"/>
    <w:multiLevelType w:val="hybridMultilevel"/>
    <w:tmpl w:val="FE84D31A"/>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D567E"/>
    <w:multiLevelType w:val="hybridMultilevel"/>
    <w:tmpl w:val="342CC756"/>
    <w:lvl w:ilvl="0" w:tplc="A74CC06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BAC08B7"/>
    <w:multiLevelType w:val="hybridMultilevel"/>
    <w:tmpl w:val="FEFE1C96"/>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0511527"/>
    <w:multiLevelType w:val="hybridMultilevel"/>
    <w:tmpl w:val="3EA6DBEC"/>
    <w:lvl w:ilvl="0" w:tplc="BAD034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FCC4D3F"/>
    <w:multiLevelType w:val="hybridMultilevel"/>
    <w:tmpl w:val="3F6A53A0"/>
    <w:lvl w:ilvl="0" w:tplc="FFF2A8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4E"/>
    <w:rsid w:val="0000648D"/>
    <w:rsid w:val="000174A9"/>
    <w:rsid w:val="0002706A"/>
    <w:rsid w:val="00027BF7"/>
    <w:rsid w:val="00032467"/>
    <w:rsid w:val="00033AD6"/>
    <w:rsid w:val="000407D7"/>
    <w:rsid w:val="000418DC"/>
    <w:rsid w:val="000434FE"/>
    <w:rsid w:val="000514B7"/>
    <w:rsid w:val="00060684"/>
    <w:rsid w:val="00065820"/>
    <w:rsid w:val="00074ECC"/>
    <w:rsid w:val="00095D62"/>
    <w:rsid w:val="000A0264"/>
    <w:rsid w:val="000A6D62"/>
    <w:rsid w:val="000B01E5"/>
    <w:rsid w:val="000B4856"/>
    <w:rsid w:val="000C4BCE"/>
    <w:rsid w:val="000C5618"/>
    <w:rsid w:val="000C571F"/>
    <w:rsid w:val="000C77C4"/>
    <w:rsid w:val="000E1421"/>
    <w:rsid w:val="000E45A3"/>
    <w:rsid w:val="000E6369"/>
    <w:rsid w:val="000F0781"/>
    <w:rsid w:val="000F526F"/>
    <w:rsid w:val="000F72D7"/>
    <w:rsid w:val="001009DB"/>
    <w:rsid w:val="0010344C"/>
    <w:rsid w:val="0010405E"/>
    <w:rsid w:val="00104E7A"/>
    <w:rsid w:val="00110359"/>
    <w:rsid w:val="001112BB"/>
    <w:rsid w:val="00114C5C"/>
    <w:rsid w:val="00117C5B"/>
    <w:rsid w:val="00117D77"/>
    <w:rsid w:val="00121B09"/>
    <w:rsid w:val="00136577"/>
    <w:rsid w:val="0014387E"/>
    <w:rsid w:val="00153E31"/>
    <w:rsid w:val="00157CB3"/>
    <w:rsid w:val="0016324E"/>
    <w:rsid w:val="00174EE1"/>
    <w:rsid w:val="0017737C"/>
    <w:rsid w:val="001776D7"/>
    <w:rsid w:val="00191B65"/>
    <w:rsid w:val="00197558"/>
    <w:rsid w:val="0019755D"/>
    <w:rsid w:val="001A4EFA"/>
    <w:rsid w:val="001B4218"/>
    <w:rsid w:val="001C34FC"/>
    <w:rsid w:val="001C687C"/>
    <w:rsid w:val="001C6C01"/>
    <w:rsid w:val="001D5DB3"/>
    <w:rsid w:val="001D63D8"/>
    <w:rsid w:val="001E13F9"/>
    <w:rsid w:val="001F3428"/>
    <w:rsid w:val="001F37F7"/>
    <w:rsid w:val="001F3D43"/>
    <w:rsid w:val="001F435C"/>
    <w:rsid w:val="001F51A5"/>
    <w:rsid w:val="001F7510"/>
    <w:rsid w:val="00205130"/>
    <w:rsid w:val="00212178"/>
    <w:rsid w:val="00212D20"/>
    <w:rsid w:val="00217A55"/>
    <w:rsid w:val="00223A5C"/>
    <w:rsid w:val="00224053"/>
    <w:rsid w:val="00225E0D"/>
    <w:rsid w:val="00227893"/>
    <w:rsid w:val="0023534B"/>
    <w:rsid w:val="00235362"/>
    <w:rsid w:val="0024187D"/>
    <w:rsid w:val="00244524"/>
    <w:rsid w:val="00247DFA"/>
    <w:rsid w:val="002517D9"/>
    <w:rsid w:val="0025274A"/>
    <w:rsid w:val="0025511F"/>
    <w:rsid w:val="00262BF2"/>
    <w:rsid w:val="002716EB"/>
    <w:rsid w:val="00276433"/>
    <w:rsid w:val="00286BAB"/>
    <w:rsid w:val="002877D0"/>
    <w:rsid w:val="00297D0C"/>
    <w:rsid w:val="002A222F"/>
    <w:rsid w:val="002A22F0"/>
    <w:rsid w:val="002A3C7F"/>
    <w:rsid w:val="002A72FB"/>
    <w:rsid w:val="002B1401"/>
    <w:rsid w:val="002B354A"/>
    <w:rsid w:val="002B3BDA"/>
    <w:rsid w:val="002B69AA"/>
    <w:rsid w:val="002B6F9A"/>
    <w:rsid w:val="002D31ED"/>
    <w:rsid w:val="002E515E"/>
    <w:rsid w:val="003129B4"/>
    <w:rsid w:val="00317900"/>
    <w:rsid w:val="003211A3"/>
    <w:rsid w:val="003242C5"/>
    <w:rsid w:val="00326ED4"/>
    <w:rsid w:val="0033032C"/>
    <w:rsid w:val="003401E8"/>
    <w:rsid w:val="003464B2"/>
    <w:rsid w:val="00362A81"/>
    <w:rsid w:val="00362D59"/>
    <w:rsid w:val="00362F5D"/>
    <w:rsid w:val="003735D8"/>
    <w:rsid w:val="00373B96"/>
    <w:rsid w:val="003765BD"/>
    <w:rsid w:val="00380EC5"/>
    <w:rsid w:val="00382273"/>
    <w:rsid w:val="00384429"/>
    <w:rsid w:val="003846F0"/>
    <w:rsid w:val="003A39EB"/>
    <w:rsid w:val="003A4987"/>
    <w:rsid w:val="003B6BCA"/>
    <w:rsid w:val="003B7511"/>
    <w:rsid w:val="003C6E27"/>
    <w:rsid w:val="003D1922"/>
    <w:rsid w:val="003D569B"/>
    <w:rsid w:val="003D5D2C"/>
    <w:rsid w:val="003E624E"/>
    <w:rsid w:val="004003DD"/>
    <w:rsid w:val="00406071"/>
    <w:rsid w:val="00407484"/>
    <w:rsid w:val="00412106"/>
    <w:rsid w:val="00421B46"/>
    <w:rsid w:val="00425475"/>
    <w:rsid w:val="00434F3D"/>
    <w:rsid w:val="00442D73"/>
    <w:rsid w:val="004436B0"/>
    <w:rsid w:val="00481E33"/>
    <w:rsid w:val="004860A4"/>
    <w:rsid w:val="004A2E3B"/>
    <w:rsid w:val="004A5505"/>
    <w:rsid w:val="004A7DFB"/>
    <w:rsid w:val="004B0F09"/>
    <w:rsid w:val="004B2938"/>
    <w:rsid w:val="004B39CD"/>
    <w:rsid w:val="004B7100"/>
    <w:rsid w:val="004C3E9E"/>
    <w:rsid w:val="004D178D"/>
    <w:rsid w:val="004D24FF"/>
    <w:rsid w:val="004D3251"/>
    <w:rsid w:val="004D5D45"/>
    <w:rsid w:val="004E6D6E"/>
    <w:rsid w:val="004F11D9"/>
    <w:rsid w:val="00500580"/>
    <w:rsid w:val="0051098C"/>
    <w:rsid w:val="00516BCD"/>
    <w:rsid w:val="005221F2"/>
    <w:rsid w:val="005268FF"/>
    <w:rsid w:val="00536B1A"/>
    <w:rsid w:val="00540BAF"/>
    <w:rsid w:val="00540EF7"/>
    <w:rsid w:val="00544C49"/>
    <w:rsid w:val="00550F59"/>
    <w:rsid w:val="0055627B"/>
    <w:rsid w:val="00556CDA"/>
    <w:rsid w:val="0056093D"/>
    <w:rsid w:val="0056326F"/>
    <w:rsid w:val="00564FC5"/>
    <w:rsid w:val="00570127"/>
    <w:rsid w:val="00581761"/>
    <w:rsid w:val="0058522F"/>
    <w:rsid w:val="00590C8F"/>
    <w:rsid w:val="005964A8"/>
    <w:rsid w:val="00597FB4"/>
    <w:rsid w:val="005A3225"/>
    <w:rsid w:val="005A35DE"/>
    <w:rsid w:val="005A6767"/>
    <w:rsid w:val="005A6B57"/>
    <w:rsid w:val="005B203C"/>
    <w:rsid w:val="005B6034"/>
    <w:rsid w:val="005C5C83"/>
    <w:rsid w:val="005C7183"/>
    <w:rsid w:val="005D0503"/>
    <w:rsid w:val="005D6A2E"/>
    <w:rsid w:val="005E5413"/>
    <w:rsid w:val="005F368D"/>
    <w:rsid w:val="0060117A"/>
    <w:rsid w:val="0060258E"/>
    <w:rsid w:val="00603B34"/>
    <w:rsid w:val="00613989"/>
    <w:rsid w:val="00650F85"/>
    <w:rsid w:val="006529A0"/>
    <w:rsid w:val="006532A7"/>
    <w:rsid w:val="00656C20"/>
    <w:rsid w:val="00670464"/>
    <w:rsid w:val="00671BFC"/>
    <w:rsid w:val="00680F86"/>
    <w:rsid w:val="00681FC7"/>
    <w:rsid w:val="0068608C"/>
    <w:rsid w:val="00686202"/>
    <w:rsid w:val="00687183"/>
    <w:rsid w:val="006A10A5"/>
    <w:rsid w:val="006A26DB"/>
    <w:rsid w:val="006A3599"/>
    <w:rsid w:val="006A7180"/>
    <w:rsid w:val="006B43D9"/>
    <w:rsid w:val="006B4D21"/>
    <w:rsid w:val="006C63B3"/>
    <w:rsid w:val="006C6423"/>
    <w:rsid w:val="006C656A"/>
    <w:rsid w:val="006C66FB"/>
    <w:rsid w:val="006D41BF"/>
    <w:rsid w:val="006E3E03"/>
    <w:rsid w:val="006E55D9"/>
    <w:rsid w:val="006F3AC5"/>
    <w:rsid w:val="006F3C0E"/>
    <w:rsid w:val="006F78C8"/>
    <w:rsid w:val="00701FEB"/>
    <w:rsid w:val="00703165"/>
    <w:rsid w:val="007055FC"/>
    <w:rsid w:val="00705B01"/>
    <w:rsid w:val="007063C4"/>
    <w:rsid w:val="007149E6"/>
    <w:rsid w:val="0071557B"/>
    <w:rsid w:val="00723BC0"/>
    <w:rsid w:val="007324A5"/>
    <w:rsid w:val="0073285A"/>
    <w:rsid w:val="00732ECF"/>
    <w:rsid w:val="007340A3"/>
    <w:rsid w:val="00736CBF"/>
    <w:rsid w:val="00737E3D"/>
    <w:rsid w:val="00746AD2"/>
    <w:rsid w:val="0075056B"/>
    <w:rsid w:val="0075723D"/>
    <w:rsid w:val="00765DAD"/>
    <w:rsid w:val="00775A93"/>
    <w:rsid w:val="0078316B"/>
    <w:rsid w:val="0078733C"/>
    <w:rsid w:val="007A0160"/>
    <w:rsid w:val="007A1FB7"/>
    <w:rsid w:val="007A4253"/>
    <w:rsid w:val="007A49E3"/>
    <w:rsid w:val="007A6521"/>
    <w:rsid w:val="007B16B0"/>
    <w:rsid w:val="007B46D9"/>
    <w:rsid w:val="007C450D"/>
    <w:rsid w:val="007D2798"/>
    <w:rsid w:val="007E7316"/>
    <w:rsid w:val="007F5BF7"/>
    <w:rsid w:val="008034B1"/>
    <w:rsid w:val="008158B8"/>
    <w:rsid w:val="00826003"/>
    <w:rsid w:val="0082707E"/>
    <w:rsid w:val="00827526"/>
    <w:rsid w:val="00832F67"/>
    <w:rsid w:val="008335BF"/>
    <w:rsid w:val="008367FE"/>
    <w:rsid w:val="00847CD9"/>
    <w:rsid w:val="008556F2"/>
    <w:rsid w:val="00857EA7"/>
    <w:rsid w:val="008755B8"/>
    <w:rsid w:val="00880735"/>
    <w:rsid w:val="008856F7"/>
    <w:rsid w:val="00891971"/>
    <w:rsid w:val="00893BD6"/>
    <w:rsid w:val="00895235"/>
    <w:rsid w:val="008A1CA8"/>
    <w:rsid w:val="008A63B0"/>
    <w:rsid w:val="008A71BD"/>
    <w:rsid w:val="008A7514"/>
    <w:rsid w:val="008B160D"/>
    <w:rsid w:val="008B3CA5"/>
    <w:rsid w:val="008B562F"/>
    <w:rsid w:val="008C2998"/>
    <w:rsid w:val="008C4337"/>
    <w:rsid w:val="008C628E"/>
    <w:rsid w:val="008C7FE6"/>
    <w:rsid w:val="008D1999"/>
    <w:rsid w:val="008D456C"/>
    <w:rsid w:val="008D7092"/>
    <w:rsid w:val="008F41E0"/>
    <w:rsid w:val="00900BB6"/>
    <w:rsid w:val="00924666"/>
    <w:rsid w:val="00930957"/>
    <w:rsid w:val="0093273D"/>
    <w:rsid w:val="009371C2"/>
    <w:rsid w:val="00937642"/>
    <w:rsid w:val="0094009D"/>
    <w:rsid w:val="00940C48"/>
    <w:rsid w:val="00945167"/>
    <w:rsid w:val="00950BA3"/>
    <w:rsid w:val="009522BB"/>
    <w:rsid w:val="00952586"/>
    <w:rsid w:val="00952D54"/>
    <w:rsid w:val="009532E1"/>
    <w:rsid w:val="009572F3"/>
    <w:rsid w:val="00957EAE"/>
    <w:rsid w:val="00961012"/>
    <w:rsid w:val="00973BA9"/>
    <w:rsid w:val="009912A7"/>
    <w:rsid w:val="009944F3"/>
    <w:rsid w:val="009A5764"/>
    <w:rsid w:val="009B2943"/>
    <w:rsid w:val="009C3A9C"/>
    <w:rsid w:val="009C5BD3"/>
    <w:rsid w:val="009C708E"/>
    <w:rsid w:val="009C7B98"/>
    <w:rsid w:val="009E589F"/>
    <w:rsid w:val="00A1418C"/>
    <w:rsid w:val="00A15576"/>
    <w:rsid w:val="00A22A7A"/>
    <w:rsid w:val="00A3555E"/>
    <w:rsid w:val="00A37678"/>
    <w:rsid w:val="00A43FBE"/>
    <w:rsid w:val="00A47E9E"/>
    <w:rsid w:val="00A505D0"/>
    <w:rsid w:val="00A56C81"/>
    <w:rsid w:val="00A60DF8"/>
    <w:rsid w:val="00A701CA"/>
    <w:rsid w:val="00A71355"/>
    <w:rsid w:val="00A73120"/>
    <w:rsid w:val="00A759CE"/>
    <w:rsid w:val="00A83265"/>
    <w:rsid w:val="00A87A72"/>
    <w:rsid w:val="00A93607"/>
    <w:rsid w:val="00A9363A"/>
    <w:rsid w:val="00A95903"/>
    <w:rsid w:val="00AA7E39"/>
    <w:rsid w:val="00AC50ED"/>
    <w:rsid w:val="00AD5071"/>
    <w:rsid w:val="00AE3455"/>
    <w:rsid w:val="00AF08E2"/>
    <w:rsid w:val="00AF30F0"/>
    <w:rsid w:val="00AF40D3"/>
    <w:rsid w:val="00AF587B"/>
    <w:rsid w:val="00AF706D"/>
    <w:rsid w:val="00B075F5"/>
    <w:rsid w:val="00B10174"/>
    <w:rsid w:val="00B21374"/>
    <w:rsid w:val="00B23B65"/>
    <w:rsid w:val="00B24A65"/>
    <w:rsid w:val="00B26136"/>
    <w:rsid w:val="00B261D5"/>
    <w:rsid w:val="00B2760A"/>
    <w:rsid w:val="00B31471"/>
    <w:rsid w:val="00B3175F"/>
    <w:rsid w:val="00B40FC5"/>
    <w:rsid w:val="00B45733"/>
    <w:rsid w:val="00B46980"/>
    <w:rsid w:val="00B47227"/>
    <w:rsid w:val="00B54850"/>
    <w:rsid w:val="00B54CD7"/>
    <w:rsid w:val="00B77715"/>
    <w:rsid w:val="00B77723"/>
    <w:rsid w:val="00B8008A"/>
    <w:rsid w:val="00B826FE"/>
    <w:rsid w:val="00B9083B"/>
    <w:rsid w:val="00B9545F"/>
    <w:rsid w:val="00B95D94"/>
    <w:rsid w:val="00BB32B4"/>
    <w:rsid w:val="00BB4C06"/>
    <w:rsid w:val="00BC46AF"/>
    <w:rsid w:val="00BC53B5"/>
    <w:rsid w:val="00BC5B7E"/>
    <w:rsid w:val="00BC6CC2"/>
    <w:rsid w:val="00BD5314"/>
    <w:rsid w:val="00BE723F"/>
    <w:rsid w:val="00BF0487"/>
    <w:rsid w:val="00BF2010"/>
    <w:rsid w:val="00C04C50"/>
    <w:rsid w:val="00C10A94"/>
    <w:rsid w:val="00C11402"/>
    <w:rsid w:val="00C1527B"/>
    <w:rsid w:val="00C152A4"/>
    <w:rsid w:val="00C21833"/>
    <w:rsid w:val="00C25CDF"/>
    <w:rsid w:val="00C31441"/>
    <w:rsid w:val="00C31953"/>
    <w:rsid w:val="00C34496"/>
    <w:rsid w:val="00C35244"/>
    <w:rsid w:val="00C46029"/>
    <w:rsid w:val="00C54DB3"/>
    <w:rsid w:val="00C672D8"/>
    <w:rsid w:val="00C7331B"/>
    <w:rsid w:val="00C750F2"/>
    <w:rsid w:val="00C8525C"/>
    <w:rsid w:val="00C96116"/>
    <w:rsid w:val="00CB04BF"/>
    <w:rsid w:val="00CB22A5"/>
    <w:rsid w:val="00CB48BD"/>
    <w:rsid w:val="00CC2F71"/>
    <w:rsid w:val="00CC3C15"/>
    <w:rsid w:val="00CC4AA9"/>
    <w:rsid w:val="00CD6FC7"/>
    <w:rsid w:val="00CE1A50"/>
    <w:rsid w:val="00CE455B"/>
    <w:rsid w:val="00CE515B"/>
    <w:rsid w:val="00CF072A"/>
    <w:rsid w:val="00D003DD"/>
    <w:rsid w:val="00D00D66"/>
    <w:rsid w:val="00D06A8C"/>
    <w:rsid w:val="00D11450"/>
    <w:rsid w:val="00D1444D"/>
    <w:rsid w:val="00D1524C"/>
    <w:rsid w:val="00D16E84"/>
    <w:rsid w:val="00D24ADC"/>
    <w:rsid w:val="00D26A3C"/>
    <w:rsid w:val="00D42367"/>
    <w:rsid w:val="00D4541A"/>
    <w:rsid w:val="00D61744"/>
    <w:rsid w:val="00D66980"/>
    <w:rsid w:val="00D7062A"/>
    <w:rsid w:val="00D8625B"/>
    <w:rsid w:val="00D86A55"/>
    <w:rsid w:val="00DB2AA8"/>
    <w:rsid w:val="00DB3AF2"/>
    <w:rsid w:val="00DB4BC0"/>
    <w:rsid w:val="00DB7771"/>
    <w:rsid w:val="00DB783F"/>
    <w:rsid w:val="00DC12E8"/>
    <w:rsid w:val="00DC3CDD"/>
    <w:rsid w:val="00DD0609"/>
    <w:rsid w:val="00DD427C"/>
    <w:rsid w:val="00DD484F"/>
    <w:rsid w:val="00DD4D74"/>
    <w:rsid w:val="00DE432C"/>
    <w:rsid w:val="00DE57F8"/>
    <w:rsid w:val="00DF50D8"/>
    <w:rsid w:val="00DF777A"/>
    <w:rsid w:val="00E00FAA"/>
    <w:rsid w:val="00E166E9"/>
    <w:rsid w:val="00E20076"/>
    <w:rsid w:val="00E23865"/>
    <w:rsid w:val="00E260E1"/>
    <w:rsid w:val="00E275AE"/>
    <w:rsid w:val="00E37A45"/>
    <w:rsid w:val="00E44F39"/>
    <w:rsid w:val="00E5185E"/>
    <w:rsid w:val="00E62AE2"/>
    <w:rsid w:val="00E631B2"/>
    <w:rsid w:val="00E6462F"/>
    <w:rsid w:val="00E71226"/>
    <w:rsid w:val="00E73796"/>
    <w:rsid w:val="00E76D2A"/>
    <w:rsid w:val="00E81A43"/>
    <w:rsid w:val="00E839CA"/>
    <w:rsid w:val="00E8477F"/>
    <w:rsid w:val="00E84BC7"/>
    <w:rsid w:val="00E87692"/>
    <w:rsid w:val="00E8789D"/>
    <w:rsid w:val="00E90C05"/>
    <w:rsid w:val="00EA2EEC"/>
    <w:rsid w:val="00EA39AC"/>
    <w:rsid w:val="00EA5FB4"/>
    <w:rsid w:val="00EB1B5A"/>
    <w:rsid w:val="00ED6327"/>
    <w:rsid w:val="00EE0DF0"/>
    <w:rsid w:val="00EE2B1D"/>
    <w:rsid w:val="00EF28F9"/>
    <w:rsid w:val="00EF3925"/>
    <w:rsid w:val="00F03689"/>
    <w:rsid w:val="00F03CF0"/>
    <w:rsid w:val="00F04110"/>
    <w:rsid w:val="00F112C4"/>
    <w:rsid w:val="00F125C8"/>
    <w:rsid w:val="00F13615"/>
    <w:rsid w:val="00F22041"/>
    <w:rsid w:val="00F3374D"/>
    <w:rsid w:val="00F345DA"/>
    <w:rsid w:val="00F34601"/>
    <w:rsid w:val="00F35847"/>
    <w:rsid w:val="00F4238B"/>
    <w:rsid w:val="00F44997"/>
    <w:rsid w:val="00F45BCE"/>
    <w:rsid w:val="00F4650C"/>
    <w:rsid w:val="00F46D79"/>
    <w:rsid w:val="00F479C3"/>
    <w:rsid w:val="00F55FF0"/>
    <w:rsid w:val="00F5780C"/>
    <w:rsid w:val="00F63C3A"/>
    <w:rsid w:val="00F73F3D"/>
    <w:rsid w:val="00F74339"/>
    <w:rsid w:val="00F74F1D"/>
    <w:rsid w:val="00F76107"/>
    <w:rsid w:val="00F8278C"/>
    <w:rsid w:val="00F947AF"/>
    <w:rsid w:val="00F96A82"/>
    <w:rsid w:val="00FA00C2"/>
    <w:rsid w:val="00FA18F1"/>
    <w:rsid w:val="00FA4A8F"/>
    <w:rsid w:val="00FB04D1"/>
    <w:rsid w:val="00FB571D"/>
    <w:rsid w:val="00FC04B6"/>
    <w:rsid w:val="00FC23EA"/>
    <w:rsid w:val="00FD3B27"/>
    <w:rsid w:val="00FD3F88"/>
    <w:rsid w:val="00FD75DE"/>
    <w:rsid w:val="00FF6FE4"/>
    <w:rsid w:val="00FF7663"/>
    <w:rsid w:val="00FF7C90"/>
    <w:rsid w:val="00FF7F8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BD7B"/>
  <w15:chartTrackingRefBased/>
  <w15:docId w15:val="{9EB2716E-35B5-4E64-8A1E-BFE7418E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FB4"/>
    <w:rPr>
      <w:sz w:val="16"/>
      <w:szCs w:val="16"/>
    </w:rPr>
  </w:style>
  <w:style w:type="paragraph" w:styleId="CommentText">
    <w:name w:val="annotation text"/>
    <w:basedOn w:val="Normal"/>
    <w:link w:val="CommentTextChar"/>
    <w:uiPriority w:val="99"/>
    <w:semiHidden/>
    <w:unhideWhenUsed/>
    <w:rsid w:val="00597FB4"/>
    <w:pPr>
      <w:spacing w:line="240" w:lineRule="auto"/>
    </w:pPr>
    <w:rPr>
      <w:sz w:val="20"/>
      <w:szCs w:val="20"/>
    </w:rPr>
  </w:style>
  <w:style w:type="character" w:customStyle="1" w:styleId="CommentTextChar">
    <w:name w:val="Comment Text Char"/>
    <w:basedOn w:val="DefaultParagraphFont"/>
    <w:link w:val="CommentText"/>
    <w:uiPriority w:val="99"/>
    <w:semiHidden/>
    <w:rsid w:val="00597FB4"/>
    <w:rPr>
      <w:sz w:val="20"/>
      <w:szCs w:val="20"/>
    </w:rPr>
  </w:style>
  <w:style w:type="paragraph" w:styleId="CommentSubject">
    <w:name w:val="annotation subject"/>
    <w:basedOn w:val="CommentText"/>
    <w:next w:val="CommentText"/>
    <w:link w:val="CommentSubjectChar"/>
    <w:uiPriority w:val="99"/>
    <w:semiHidden/>
    <w:unhideWhenUsed/>
    <w:rsid w:val="00597FB4"/>
    <w:rPr>
      <w:b/>
      <w:bCs/>
    </w:rPr>
  </w:style>
  <w:style w:type="character" w:customStyle="1" w:styleId="CommentSubjectChar">
    <w:name w:val="Comment Subject Char"/>
    <w:basedOn w:val="CommentTextChar"/>
    <w:link w:val="CommentSubject"/>
    <w:uiPriority w:val="99"/>
    <w:semiHidden/>
    <w:rsid w:val="00597FB4"/>
    <w:rPr>
      <w:b/>
      <w:bCs/>
      <w:sz w:val="20"/>
      <w:szCs w:val="20"/>
    </w:rPr>
  </w:style>
  <w:style w:type="paragraph" w:styleId="BalloonText">
    <w:name w:val="Balloon Text"/>
    <w:basedOn w:val="Normal"/>
    <w:link w:val="BalloonTextChar"/>
    <w:uiPriority w:val="99"/>
    <w:semiHidden/>
    <w:unhideWhenUsed/>
    <w:rsid w:val="00597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FB4"/>
    <w:rPr>
      <w:rFonts w:ascii="Segoe UI" w:hAnsi="Segoe UI" w:cs="Segoe UI"/>
      <w:sz w:val="18"/>
      <w:szCs w:val="18"/>
    </w:rPr>
  </w:style>
  <w:style w:type="paragraph" w:styleId="Revision">
    <w:name w:val="Revision"/>
    <w:hidden/>
    <w:uiPriority w:val="99"/>
    <w:semiHidden/>
    <w:rsid w:val="00DF777A"/>
    <w:pPr>
      <w:spacing w:after="0" w:line="240" w:lineRule="auto"/>
    </w:pPr>
  </w:style>
  <w:style w:type="paragraph" w:styleId="ListParagraph">
    <w:name w:val="List Paragraph"/>
    <w:basedOn w:val="Normal"/>
    <w:uiPriority w:val="34"/>
    <w:qFormat/>
    <w:rsid w:val="00A759CE"/>
    <w:pPr>
      <w:ind w:left="720"/>
      <w:contextualSpacing/>
    </w:pPr>
  </w:style>
  <w:style w:type="table" w:styleId="TableGrid">
    <w:name w:val="Table Grid"/>
    <w:basedOn w:val="TableNormal"/>
    <w:uiPriority w:val="39"/>
    <w:rsid w:val="0065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7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781"/>
  </w:style>
  <w:style w:type="paragraph" w:styleId="Footer">
    <w:name w:val="footer"/>
    <w:basedOn w:val="Normal"/>
    <w:link w:val="FooterChar"/>
    <w:uiPriority w:val="99"/>
    <w:unhideWhenUsed/>
    <w:rsid w:val="000F07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0781"/>
  </w:style>
  <w:style w:type="paragraph" w:styleId="NoSpacing">
    <w:name w:val="No Spacing"/>
    <w:uiPriority w:val="1"/>
    <w:qFormat/>
    <w:rsid w:val="00D86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06907">
      <w:bodyDiv w:val="1"/>
      <w:marLeft w:val="0"/>
      <w:marRight w:val="0"/>
      <w:marTop w:val="0"/>
      <w:marBottom w:val="0"/>
      <w:divBdr>
        <w:top w:val="none" w:sz="0" w:space="0" w:color="auto"/>
        <w:left w:val="none" w:sz="0" w:space="0" w:color="auto"/>
        <w:bottom w:val="none" w:sz="0" w:space="0" w:color="auto"/>
        <w:right w:val="none" w:sz="0" w:space="0" w:color="auto"/>
      </w:divBdr>
    </w:div>
    <w:div w:id="1358581398">
      <w:bodyDiv w:val="1"/>
      <w:marLeft w:val="0"/>
      <w:marRight w:val="0"/>
      <w:marTop w:val="0"/>
      <w:marBottom w:val="0"/>
      <w:divBdr>
        <w:top w:val="none" w:sz="0" w:space="0" w:color="auto"/>
        <w:left w:val="none" w:sz="0" w:space="0" w:color="auto"/>
        <w:bottom w:val="none" w:sz="0" w:space="0" w:color="auto"/>
        <w:right w:val="none" w:sz="0" w:space="0" w:color="auto"/>
      </w:divBdr>
      <w:divsChild>
        <w:div w:id="1614753344">
          <w:marLeft w:val="0"/>
          <w:marRight w:val="0"/>
          <w:marTop w:val="0"/>
          <w:marBottom w:val="0"/>
          <w:divBdr>
            <w:top w:val="none" w:sz="0" w:space="0" w:color="auto"/>
            <w:left w:val="none" w:sz="0" w:space="0" w:color="auto"/>
            <w:bottom w:val="none" w:sz="0" w:space="0" w:color="auto"/>
            <w:right w:val="none" w:sz="0" w:space="0" w:color="auto"/>
          </w:divBdr>
          <w:divsChild>
            <w:div w:id="14382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AZJMDCZ6QSYZ-1849078857-40434</_dlc_DocId>
    <_dlc_DocIdUrl xmlns="a494813a-d0d8-4dad-94cb-0d196f36ba15">
      <Url>https://ekoordinacije.vlada.hr/koordinacija-gospodarstvo/_layouts/15/DocIdRedir.aspx?ID=AZJMDCZ6QSYZ-1849078857-40434</Url>
      <Description>AZJMDCZ6QSYZ-1849078857-40434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430C9-72A4-4EBB-BB86-C01F2D0F21C6}">
  <ds:schemaRefs>
    <ds:schemaRef ds:uri="http://purl.org/dc/terms/"/>
    <ds:schemaRef ds:uri="http://schemas.openxmlformats.org/package/2006/metadata/core-properties"/>
    <ds:schemaRef ds:uri="a494813a-d0d8-4dad-94cb-0d196f36ba1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B8C4316-F11D-4B5F-B1BD-B084327E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71A4D-4D9D-4C14-ADDC-1D62EE1A2205}">
  <ds:schemaRefs>
    <ds:schemaRef ds:uri="http://schemas.microsoft.com/sharepoint/events"/>
  </ds:schemaRefs>
</ds:datastoreItem>
</file>

<file path=customXml/itemProps4.xml><?xml version="1.0" encoding="utf-8"?>
<ds:datastoreItem xmlns:ds="http://schemas.openxmlformats.org/officeDocument/2006/customXml" ds:itemID="{4894AF5F-081C-434A-828F-1AEAEE4CC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1655</Words>
  <Characters>9439</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Karamović</dc:creator>
  <cp:keywords/>
  <dc:description/>
  <cp:lastModifiedBy>Sonja Tučkar</cp:lastModifiedBy>
  <cp:revision>18</cp:revision>
  <cp:lastPrinted>2024-10-02T09:43:00Z</cp:lastPrinted>
  <dcterms:created xsi:type="dcterms:W3CDTF">2024-09-26T12:16:00Z</dcterms:created>
  <dcterms:modified xsi:type="dcterms:W3CDTF">2024-10-02T09:45:00Z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3176a48a-0721-4fec-b90b-fb9d4956f1e0</vt:lpwstr>
  </property>
</Properties>
</file>