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EDB899" w14:textId="77777777" w:rsidR="00AF3B9A" w:rsidRPr="00AF3B9A" w:rsidRDefault="00AF3B9A" w:rsidP="00C941CE">
      <w:pPr>
        <w:spacing w:after="200" w:line="276" w:lineRule="auto"/>
        <w:rPr>
          <w:rFonts w:eastAsiaTheme="minorHAnsi"/>
          <w:b/>
          <w:lang w:eastAsia="en-US"/>
        </w:rPr>
      </w:pPr>
    </w:p>
    <w:p w14:paraId="5FCFC5EF" w14:textId="77777777" w:rsidR="00C941CE" w:rsidRPr="00C208B8" w:rsidRDefault="00C941CE" w:rsidP="00C941CE">
      <w:pPr>
        <w:jc w:val="center"/>
      </w:pPr>
      <w:r>
        <w:rPr>
          <w:noProof/>
        </w:rPr>
        <w:drawing>
          <wp:inline distT="0" distB="0" distL="0" distR="0" wp14:anchorId="074FE2E8" wp14:editId="1EC08A31">
            <wp:extent cx="502942" cy="684000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8B8">
        <w:fldChar w:fldCharType="begin"/>
      </w:r>
      <w:r w:rsidRPr="00C208B8">
        <w:instrText xml:space="preserve"> INCLUDEPICTURE "http://www.inet.hr/~box/images/grb-rh.gif" \* MERGEFORMATINET </w:instrText>
      </w:r>
      <w:r w:rsidRPr="00C208B8">
        <w:fldChar w:fldCharType="end"/>
      </w:r>
    </w:p>
    <w:p w14:paraId="40E9416F" w14:textId="77777777" w:rsidR="00C941CE" w:rsidRPr="0023763F" w:rsidRDefault="00C941CE" w:rsidP="00C941CE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4F801079" w14:textId="77777777" w:rsidR="00C941CE" w:rsidRDefault="00C941CE" w:rsidP="00C941CE"/>
    <w:p w14:paraId="7F04C0EE" w14:textId="3E924D9A" w:rsidR="00C941CE" w:rsidRPr="003A2F05" w:rsidRDefault="00C941CE" w:rsidP="00C941CE">
      <w:pPr>
        <w:spacing w:after="2400"/>
        <w:jc w:val="right"/>
      </w:pPr>
      <w:r w:rsidRPr="003A2F05">
        <w:t xml:space="preserve">Zagreb, </w:t>
      </w:r>
      <w:r w:rsidR="00A62CC5">
        <w:t>10.</w:t>
      </w:r>
      <w:r w:rsidR="006F4C0E">
        <w:t xml:space="preserve"> listopada</w:t>
      </w:r>
      <w:r w:rsidR="00C962AA">
        <w:t xml:space="preserve"> 2024</w:t>
      </w:r>
      <w:r w:rsidRPr="003A2F05">
        <w:t>.</w:t>
      </w:r>
    </w:p>
    <w:p w14:paraId="746A5588" w14:textId="77777777" w:rsidR="00C941CE" w:rsidRPr="002179F8" w:rsidRDefault="00C941CE" w:rsidP="00C941CE">
      <w:pPr>
        <w:spacing w:line="360" w:lineRule="auto"/>
      </w:pPr>
      <w:r w:rsidRPr="002179F8">
        <w:t>__________________________________________________________________________</w:t>
      </w:r>
    </w:p>
    <w:p w14:paraId="0D2CE3A2" w14:textId="77777777" w:rsidR="00C941CE" w:rsidRDefault="00C941CE" w:rsidP="00C941CE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C941CE" w:rsidSect="005E7392">
          <w:footerReference w:type="first" r:id="rId9"/>
          <w:type w:val="continuous"/>
          <w:pgSz w:w="11906" w:h="16838"/>
          <w:pgMar w:top="993" w:right="1417" w:bottom="1417" w:left="1417" w:header="709" w:footer="658" w:gutter="0"/>
          <w:cols w:space="708"/>
          <w:titlePg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C941CE" w14:paraId="72620E16" w14:textId="77777777" w:rsidTr="00E92FE9">
        <w:tc>
          <w:tcPr>
            <w:tcW w:w="1951" w:type="dxa"/>
          </w:tcPr>
          <w:p w14:paraId="0E2585B6" w14:textId="77777777" w:rsidR="00C941CE" w:rsidRDefault="00C941CE" w:rsidP="00E92FE9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50875203" w14:textId="77777777" w:rsidR="00C941CE" w:rsidRDefault="00C941CE" w:rsidP="00E92FE9">
            <w:pPr>
              <w:spacing w:line="360" w:lineRule="auto"/>
            </w:pPr>
            <w:r>
              <w:t>Ministarstvo mora, prometa i infrastrukture</w:t>
            </w:r>
          </w:p>
        </w:tc>
      </w:tr>
    </w:tbl>
    <w:p w14:paraId="36C34965" w14:textId="77777777" w:rsidR="00C941CE" w:rsidRPr="002179F8" w:rsidRDefault="00C941CE" w:rsidP="00C941CE">
      <w:pPr>
        <w:spacing w:line="360" w:lineRule="auto"/>
      </w:pPr>
      <w:r w:rsidRPr="002179F8">
        <w:t>__________________________________________________________________________</w:t>
      </w:r>
    </w:p>
    <w:p w14:paraId="7CE374A4" w14:textId="77777777" w:rsidR="00C941CE" w:rsidRDefault="00C941CE" w:rsidP="00C941CE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C941CE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C941CE" w14:paraId="6FA8E01F" w14:textId="77777777" w:rsidTr="00E92FE9">
        <w:tc>
          <w:tcPr>
            <w:tcW w:w="1951" w:type="dxa"/>
          </w:tcPr>
          <w:p w14:paraId="3CFEA653" w14:textId="77777777" w:rsidR="00C941CE" w:rsidRDefault="00C941CE" w:rsidP="00E92FE9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103F839D" w14:textId="77777777" w:rsidR="00C941CE" w:rsidRDefault="00C941CE" w:rsidP="00E92FE9">
            <w:pPr>
              <w:spacing w:line="360" w:lineRule="auto"/>
              <w:jc w:val="both"/>
            </w:pPr>
            <w:r>
              <w:t>Prijedlog zaklj</w:t>
            </w:r>
            <w:r w:rsidR="00AD4F61">
              <w:t>učka kojim se prihvaća Izvješće</w:t>
            </w:r>
            <w:r>
              <w:t xml:space="preserve"> o radu </w:t>
            </w:r>
            <w:r w:rsidRPr="00AF3B9A">
              <w:rPr>
                <w:rFonts w:eastAsiaTheme="minorHAnsi"/>
                <w:lang w:eastAsia="en-US"/>
              </w:rPr>
              <w:t xml:space="preserve">Agencije za obalni </w:t>
            </w:r>
            <w:r w:rsidR="00C962AA">
              <w:rPr>
                <w:rFonts w:eastAsiaTheme="minorHAnsi"/>
                <w:lang w:eastAsia="en-US"/>
              </w:rPr>
              <w:t>linijski pomorski promet za 2023</w:t>
            </w:r>
            <w:r w:rsidRPr="00AF3B9A">
              <w:rPr>
                <w:rFonts w:eastAsiaTheme="minorHAnsi"/>
                <w:lang w:eastAsia="en-US"/>
              </w:rPr>
              <w:t>. godinu</w:t>
            </w:r>
          </w:p>
        </w:tc>
      </w:tr>
    </w:tbl>
    <w:p w14:paraId="3CAAE70B" w14:textId="77777777" w:rsidR="00C941CE" w:rsidRPr="002179F8" w:rsidRDefault="00C941CE" w:rsidP="00C941CE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036E6C7D" w14:textId="77777777" w:rsidR="00C941CE" w:rsidRDefault="00C941CE" w:rsidP="00C941CE"/>
    <w:p w14:paraId="3E44A292" w14:textId="77777777" w:rsidR="00C941CE" w:rsidRPr="00CE78D1" w:rsidRDefault="00C941CE" w:rsidP="00C941CE"/>
    <w:p w14:paraId="6A1D867D" w14:textId="77777777" w:rsidR="00C941CE" w:rsidRPr="00CE78D1" w:rsidRDefault="00C941CE" w:rsidP="00C941CE"/>
    <w:p w14:paraId="09BD663F" w14:textId="77777777" w:rsidR="00C941CE" w:rsidRPr="00CE78D1" w:rsidRDefault="00C941CE" w:rsidP="00C941CE"/>
    <w:p w14:paraId="42082387" w14:textId="77777777" w:rsidR="00C941CE" w:rsidRPr="00CE78D1" w:rsidRDefault="00C941CE" w:rsidP="00C941CE"/>
    <w:p w14:paraId="4D47C510" w14:textId="77777777" w:rsidR="00C941CE" w:rsidRPr="00CE78D1" w:rsidRDefault="00C941CE" w:rsidP="00C941CE"/>
    <w:p w14:paraId="555FDA8B" w14:textId="77777777" w:rsidR="00C941CE" w:rsidRPr="00CE78D1" w:rsidRDefault="00C941CE" w:rsidP="00C941CE"/>
    <w:p w14:paraId="594FD744" w14:textId="77777777" w:rsidR="00C941CE" w:rsidRDefault="00C941CE" w:rsidP="00C941CE">
      <w:pPr>
        <w:sectPr w:rsidR="00C941CE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6702448F" w14:textId="77777777" w:rsidR="00C941CE" w:rsidRPr="00CE78D1" w:rsidRDefault="00C941CE" w:rsidP="00C941CE"/>
    <w:p w14:paraId="5D0D21A0" w14:textId="77777777" w:rsidR="00C941CE" w:rsidRPr="00CE78D1" w:rsidRDefault="00C941CE" w:rsidP="00C941CE"/>
    <w:p w14:paraId="5BCFE4BE" w14:textId="77777777" w:rsidR="00C941CE" w:rsidRPr="00CE78D1" w:rsidRDefault="00C941CE" w:rsidP="00C941CE"/>
    <w:p w14:paraId="51874342" w14:textId="77777777" w:rsidR="00C941CE" w:rsidRPr="00CE78D1" w:rsidRDefault="00C941CE" w:rsidP="00C941CE"/>
    <w:p w14:paraId="4D2C2CF1" w14:textId="77777777" w:rsidR="00C941CE" w:rsidRPr="00CE78D1" w:rsidRDefault="00C941CE" w:rsidP="00C941CE"/>
    <w:p w14:paraId="32C4FDF5" w14:textId="77777777" w:rsidR="00C941CE" w:rsidRPr="00CE78D1" w:rsidRDefault="00C941CE" w:rsidP="00C941CE"/>
    <w:p w14:paraId="4A4F62C4" w14:textId="77777777" w:rsidR="00C941CE" w:rsidRDefault="00C941CE" w:rsidP="00C941CE"/>
    <w:p w14:paraId="628CCCF9" w14:textId="77777777" w:rsidR="00C941CE" w:rsidRDefault="00C941CE" w:rsidP="00C941CE"/>
    <w:p w14:paraId="4EA04925" w14:textId="77777777" w:rsidR="00C941CE" w:rsidRPr="00CE78D1" w:rsidRDefault="00C941CE" w:rsidP="00C941CE"/>
    <w:p w14:paraId="7622DE5D" w14:textId="77777777" w:rsidR="00C941CE" w:rsidRDefault="00C941CE" w:rsidP="00C941CE">
      <w:pPr>
        <w:jc w:val="both"/>
      </w:pPr>
    </w:p>
    <w:p w14:paraId="32B99264" w14:textId="77777777" w:rsidR="00C941CE" w:rsidRDefault="00C941CE" w:rsidP="00C941CE">
      <w:pPr>
        <w:spacing w:after="200" w:line="276" w:lineRule="auto"/>
        <w:rPr>
          <w:rFonts w:eastAsiaTheme="minorHAnsi"/>
          <w:b/>
          <w:lang w:eastAsia="en-US"/>
        </w:rPr>
      </w:pPr>
    </w:p>
    <w:p w14:paraId="1431E2DE" w14:textId="77777777" w:rsidR="00017262" w:rsidRPr="00AF3B9A" w:rsidRDefault="00017262" w:rsidP="00AF3B9A">
      <w:pPr>
        <w:spacing w:after="200" w:line="276" w:lineRule="auto"/>
        <w:rPr>
          <w:rFonts w:eastAsiaTheme="minorHAnsi"/>
          <w:b/>
          <w:lang w:eastAsia="en-US"/>
        </w:rPr>
      </w:pPr>
    </w:p>
    <w:p w14:paraId="58D91EA3" w14:textId="13AF102F" w:rsidR="00AF3B9A" w:rsidRDefault="006F4C0E" w:rsidP="006F4C0E">
      <w:pPr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ab/>
      </w:r>
      <w:r w:rsidR="00AF3B9A" w:rsidRPr="00AF3B9A">
        <w:rPr>
          <w:rFonts w:eastAsiaTheme="minorHAnsi"/>
          <w:lang w:eastAsia="en-US"/>
        </w:rPr>
        <w:t>Na temelju članka 31. stavka 3. Zakona o Vladi Republike Hrvatske (</w:t>
      </w:r>
      <w:r w:rsidR="00D56569">
        <w:rPr>
          <w:rFonts w:eastAsiaTheme="minorHAnsi"/>
          <w:lang w:eastAsia="en-US"/>
        </w:rPr>
        <w:t>„</w:t>
      </w:r>
      <w:r w:rsidR="00AF3B9A" w:rsidRPr="00AF3B9A">
        <w:rPr>
          <w:rFonts w:eastAsiaTheme="minorHAnsi"/>
          <w:lang w:eastAsia="en-US"/>
        </w:rPr>
        <w:t>Narodne novine</w:t>
      </w:r>
      <w:r w:rsidR="00D56569">
        <w:rPr>
          <w:rFonts w:eastAsiaTheme="minorHAnsi"/>
          <w:lang w:eastAsia="en-US"/>
        </w:rPr>
        <w:t>“</w:t>
      </w:r>
      <w:r w:rsidR="00AF3B9A" w:rsidRPr="00AF3B9A">
        <w:rPr>
          <w:rFonts w:eastAsiaTheme="minorHAnsi"/>
          <w:lang w:eastAsia="en-US"/>
        </w:rPr>
        <w:t>, br</w:t>
      </w:r>
      <w:r w:rsidR="00406F77">
        <w:rPr>
          <w:rFonts w:eastAsiaTheme="minorHAnsi"/>
          <w:lang w:eastAsia="en-US"/>
        </w:rPr>
        <w:t>.</w:t>
      </w:r>
      <w:r w:rsidR="00AF3B9A" w:rsidRPr="00AF3B9A">
        <w:rPr>
          <w:rFonts w:eastAsiaTheme="minorHAnsi"/>
          <w:lang w:eastAsia="en-US"/>
        </w:rPr>
        <w:t xml:space="preserve"> 150/11</w:t>
      </w:r>
      <w:r>
        <w:rPr>
          <w:rFonts w:eastAsiaTheme="minorHAnsi"/>
          <w:lang w:eastAsia="en-US"/>
        </w:rPr>
        <w:t>.</w:t>
      </w:r>
      <w:r w:rsidR="00AF3B9A" w:rsidRPr="00AF3B9A">
        <w:rPr>
          <w:rFonts w:eastAsiaTheme="minorHAnsi"/>
          <w:lang w:eastAsia="en-US"/>
        </w:rPr>
        <w:t>, 119</w:t>
      </w:r>
      <w:r w:rsidR="00341845">
        <w:rPr>
          <w:rFonts w:eastAsiaTheme="minorHAnsi"/>
          <w:lang w:eastAsia="en-US"/>
        </w:rPr>
        <w:t>/14</w:t>
      </w:r>
      <w:r>
        <w:rPr>
          <w:rFonts w:eastAsiaTheme="minorHAnsi"/>
          <w:lang w:eastAsia="en-US"/>
        </w:rPr>
        <w:t>.</w:t>
      </w:r>
      <w:r w:rsidR="00341845">
        <w:rPr>
          <w:rFonts w:eastAsiaTheme="minorHAnsi"/>
          <w:lang w:eastAsia="en-US"/>
        </w:rPr>
        <w:t>, 93/16</w:t>
      </w:r>
      <w:r>
        <w:rPr>
          <w:rFonts w:eastAsiaTheme="minorHAnsi"/>
          <w:lang w:eastAsia="en-US"/>
        </w:rPr>
        <w:t>.</w:t>
      </w:r>
      <w:r w:rsidR="00341845">
        <w:rPr>
          <w:rFonts w:eastAsiaTheme="minorHAnsi"/>
          <w:lang w:eastAsia="en-US"/>
        </w:rPr>
        <w:t xml:space="preserve">, </w:t>
      </w:r>
      <w:r w:rsidR="00244577">
        <w:rPr>
          <w:rFonts w:eastAsiaTheme="minorHAnsi"/>
          <w:lang w:eastAsia="en-US"/>
        </w:rPr>
        <w:t>116/18</w:t>
      </w:r>
      <w:r>
        <w:rPr>
          <w:rFonts w:eastAsiaTheme="minorHAnsi"/>
          <w:lang w:eastAsia="en-US"/>
        </w:rPr>
        <w:t xml:space="preserve">., </w:t>
      </w:r>
      <w:r w:rsidR="00341845">
        <w:rPr>
          <w:rFonts w:eastAsiaTheme="minorHAnsi"/>
          <w:lang w:eastAsia="en-US"/>
        </w:rPr>
        <w:t>80/22</w:t>
      </w:r>
      <w:r>
        <w:rPr>
          <w:rFonts w:eastAsiaTheme="minorHAnsi"/>
          <w:lang w:eastAsia="en-US"/>
        </w:rPr>
        <w:t>. i 78/24.</w:t>
      </w:r>
      <w:r w:rsidR="00244577">
        <w:rPr>
          <w:rFonts w:eastAsiaTheme="minorHAnsi"/>
          <w:lang w:eastAsia="en-US"/>
        </w:rPr>
        <w:t>),</w:t>
      </w:r>
      <w:r w:rsidR="00645855">
        <w:rPr>
          <w:rFonts w:eastAsiaTheme="minorHAnsi"/>
          <w:lang w:eastAsia="en-US"/>
        </w:rPr>
        <w:t xml:space="preserve"> u vezi s člankom 105</w:t>
      </w:r>
      <w:r w:rsidR="00B170AC">
        <w:rPr>
          <w:rFonts w:eastAsiaTheme="minorHAnsi"/>
          <w:lang w:eastAsia="en-US"/>
        </w:rPr>
        <w:t>. točkom</w:t>
      </w:r>
      <w:r w:rsidR="00645855">
        <w:rPr>
          <w:rFonts w:eastAsiaTheme="minorHAnsi"/>
          <w:lang w:eastAsia="en-US"/>
        </w:rPr>
        <w:t xml:space="preserve"> 5</w:t>
      </w:r>
      <w:r w:rsidR="00AF3B9A" w:rsidRPr="00AF3B9A">
        <w:rPr>
          <w:rFonts w:eastAsiaTheme="minorHAnsi"/>
          <w:lang w:eastAsia="en-US"/>
        </w:rPr>
        <w:t>. Zakona o prijevozu u linijskom i povremenom obalnom pomorskom prometu (</w:t>
      </w:r>
      <w:r w:rsidR="00D56569">
        <w:rPr>
          <w:rFonts w:eastAsiaTheme="minorHAnsi"/>
          <w:lang w:eastAsia="en-US"/>
        </w:rPr>
        <w:t>„</w:t>
      </w:r>
      <w:r w:rsidR="00AF3B9A" w:rsidRPr="00AF3B9A">
        <w:rPr>
          <w:rFonts w:eastAsiaTheme="minorHAnsi"/>
          <w:lang w:eastAsia="en-US"/>
        </w:rPr>
        <w:t>Narodne novin</w:t>
      </w:r>
      <w:r w:rsidR="00645855">
        <w:rPr>
          <w:rFonts w:eastAsiaTheme="minorHAnsi"/>
          <w:lang w:eastAsia="en-US"/>
        </w:rPr>
        <w:t>e</w:t>
      </w:r>
      <w:r w:rsidR="00D56569">
        <w:rPr>
          <w:rFonts w:eastAsiaTheme="minorHAnsi"/>
          <w:lang w:eastAsia="en-US"/>
        </w:rPr>
        <w:t>“, broj</w:t>
      </w:r>
      <w:r w:rsidR="00645855">
        <w:rPr>
          <w:rFonts w:eastAsiaTheme="minorHAnsi"/>
          <w:lang w:eastAsia="en-US"/>
        </w:rPr>
        <w:t xml:space="preserve"> 19/22</w:t>
      </w:r>
      <w:r>
        <w:rPr>
          <w:rFonts w:eastAsiaTheme="minorHAnsi"/>
          <w:lang w:eastAsia="en-US"/>
        </w:rPr>
        <w:t>.</w:t>
      </w:r>
      <w:r w:rsidR="00AF3B9A" w:rsidRPr="00AF3B9A">
        <w:rPr>
          <w:rFonts w:eastAsiaTheme="minorHAnsi"/>
          <w:lang w:eastAsia="en-US"/>
        </w:rPr>
        <w:t>)</w:t>
      </w:r>
      <w:r>
        <w:rPr>
          <w:rFonts w:eastAsiaTheme="minorHAnsi"/>
          <w:lang w:eastAsia="en-US"/>
        </w:rPr>
        <w:t>,</w:t>
      </w:r>
      <w:r w:rsidR="00AF3B9A" w:rsidRPr="00AF3B9A">
        <w:rPr>
          <w:rFonts w:eastAsiaTheme="minorHAnsi"/>
          <w:lang w:eastAsia="en-US"/>
        </w:rPr>
        <w:t xml:space="preserve"> Vlada Republike Hrvatske na sj</w:t>
      </w:r>
      <w:r w:rsidR="00C962AA">
        <w:rPr>
          <w:rFonts w:eastAsiaTheme="minorHAnsi"/>
          <w:lang w:eastAsia="en-US"/>
        </w:rPr>
        <w:t>ednici održanoj ___________ 2024</w:t>
      </w:r>
      <w:r w:rsidR="00AF3B9A" w:rsidRPr="00AF3B9A">
        <w:rPr>
          <w:rFonts w:eastAsiaTheme="minorHAnsi"/>
          <w:lang w:eastAsia="en-US"/>
        </w:rPr>
        <w:t xml:space="preserve">. donijela </w:t>
      </w:r>
    </w:p>
    <w:p w14:paraId="1C7931B4" w14:textId="77777777" w:rsidR="006F4C0E" w:rsidRPr="00AF3B9A" w:rsidRDefault="006F4C0E" w:rsidP="006F4C0E">
      <w:pPr>
        <w:ind w:firstLine="708"/>
        <w:jc w:val="both"/>
        <w:rPr>
          <w:rFonts w:eastAsiaTheme="minorHAnsi"/>
          <w:lang w:eastAsia="en-US"/>
        </w:rPr>
      </w:pPr>
    </w:p>
    <w:p w14:paraId="70747BBD" w14:textId="77777777" w:rsidR="00AF3B9A" w:rsidRPr="00AF3B9A" w:rsidRDefault="00AF3B9A" w:rsidP="00AF3B9A">
      <w:pPr>
        <w:jc w:val="both"/>
        <w:rPr>
          <w:rFonts w:eastAsiaTheme="minorHAnsi"/>
          <w:lang w:eastAsia="en-US"/>
        </w:rPr>
      </w:pPr>
    </w:p>
    <w:p w14:paraId="3FBBE816" w14:textId="77777777" w:rsidR="00AF3B9A" w:rsidRPr="00AF3B9A" w:rsidRDefault="00AF3B9A" w:rsidP="00AF3B9A">
      <w:pPr>
        <w:jc w:val="both"/>
        <w:rPr>
          <w:rFonts w:eastAsiaTheme="minorHAnsi"/>
          <w:lang w:eastAsia="en-US"/>
        </w:rPr>
      </w:pPr>
    </w:p>
    <w:p w14:paraId="26C37986" w14:textId="77777777" w:rsidR="00AF3B9A" w:rsidRPr="00AF3B9A" w:rsidRDefault="00AF3B9A" w:rsidP="00AF3B9A">
      <w:pPr>
        <w:jc w:val="both"/>
        <w:rPr>
          <w:rFonts w:eastAsiaTheme="minorHAnsi"/>
          <w:lang w:eastAsia="en-US"/>
        </w:rPr>
      </w:pPr>
    </w:p>
    <w:p w14:paraId="3419C1E1" w14:textId="0E06A54D" w:rsidR="00AF3B9A" w:rsidRPr="00AF3B9A" w:rsidRDefault="00AF3B9A" w:rsidP="00AF3B9A">
      <w:pPr>
        <w:jc w:val="center"/>
        <w:rPr>
          <w:rFonts w:eastAsiaTheme="minorHAnsi"/>
          <w:b/>
          <w:lang w:eastAsia="en-US"/>
        </w:rPr>
      </w:pPr>
      <w:r w:rsidRPr="00AF3B9A">
        <w:rPr>
          <w:rFonts w:eastAsiaTheme="minorHAnsi"/>
          <w:b/>
          <w:lang w:eastAsia="en-US"/>
        </w:rPr>
        <w:t>Z</w:t>
      </w:r>
      <w:r w:rsidR="00406F77">
        <w:rPr>
          <w:rFonts w:eastAsiaTheme="minorHAnsi"/>
          <w:b/>
          <w:lang w:eastAsia="en-US"/>
        </w:rPr>
        <w:t xml:space="preserve"> </w:t>
      </w:r>
      <w:r w:rsidRPr="00AF3B9A">
        <w:rPr>
          <w:rFonts w:eastAsiaTheme="minorHAnsi"/>
          <w:b/>
          <w:lang w:eastAsia="en-US"/>
        </w:rPr>
        <w:t>A</w:t>
      </w:r>
      <w:r w:rsidR="00406F77">
        <w:rPr>
          <w:rFonts w:eastAsiaTheme="minorHAnsi"/>
          <w:b/>
          <w:lang w:eastAsia="en-US"/>
        </w:rPr>
        <w:t xml:space="preserve"> </w:t>
      </w:r>
      <w:r w:rsidRPr="00AF3B9A">
        <w:rPr>
          <w:rFonts w:eastAsiaTheme="minorHAnsi"/>
          <w:b/>
          <w:lang w:eastAsia="en-US"/>
        </w:rPr>
        <w:t>K</w:t>
      </w:r>
      <w:r w:rsidR="00406F77">
        <w:rPr>
          <w:rFonts w:eastAsiaTheme="minorHAnsi"/>
          <w:b/>
          <w:lang w:eastAsia="en-US"/>
        </w:rPr>
        <w:t xml:space="preserve"> </w:t>
      </w:r>
      <w:r w:rsidRPr="00AF3B9A">
        <w:rPr>
          <w:rFonts w:eastAsiaTheme="minorHAnsi"/>
          <w:b/>
          <w:lang w:eastAsia="en-US"/>
        </w:rPr>
        <w:t>L</w:t>
      </w:r>
      <w:r w:rsidR="00406F77">
        <w:rPr>
          <w:rFonts w:eastAsiaTheme="minorHAnsi"/>
          <w:b/>
          <w:lang w:eastAsia="en-US"/>
        </w:rPr>
        <w:t xml:space="preserve"> </w:t>
      </w:r>
      <w:r w:rsidRPr="00AF3B9A">
        <w:rPr>
          <w:rFonts w:eastAsiaTheme="minorHAnsi"/>
          <w:b/>
          <w:lang w:eastAsia="en-US"/>
        </w:rPr>
        <w:t>J</w:t>
      </w:r>
      <w:r w:rsidR="00406F77">
        <w:rPr>
          <w:rFonts w:eastAsiaTheme="minorHAnsi"/>
          <w:b/>
          <w:lang w:eastAsia="en-US"/>
        </w:rPr>
        <w:t xml:space="preserve"> </w:t>
      </w:r>
      <w:r w:rsidRPr="00AF3B9A">
        <w:rPr>
          <w:rFonts w:eastAsiaTheme="minorHAnsi"/>
          <w:b/>
          <w:lang w:eastAsia="en-US"/>
        </w:rPr>
        <w:t>U</w:t>
      </w:r>
      <w:r w:rsidR="00406F77">
        <w:rPr>
          <w:rFonts w:eastAsiaTheme="minorHAnsi"/>
          <w:b/>
          <w:lang w:eastAsia="en-US"/>
        </w:rPr>
        <w:t xml:space="preserve"> </w:t>
      </w:r>
      <w:r w:rsidRPr="00AF3B9A">
        <w:rPr>
          <w:rFonts w:eastAsiaTheme="minorHAnsi"/>
          <w:b/>
          <w:lang w:eastAsia="en-US"/>
        </w:rPr>
        <w:t>Č</w:t>
      </w:r>
      <w:r w:rsidR="00406F77">
        <w:rPr>
          <w:rFonts w:eastAsiaTheme="minorHAnsi"/>
          <w:b/>
          <w:lang w:eastAsia="en-US"/>
        </w:rPr>
        <w:t xml:space="preserve"> </w:t>
      </w:r>
      <w:r w:rsidRPr="00AF3B9A">
        <w:rPr>
          <w:rFonts w:eastAsiaTheme="minorHAnsi"/>
          <w:b/>
          <w:lang w:eastAsia="en-US"/>
        </w:rPr>
        <w:t>A</w:t>
      </w:r>
      <w:r w:rsidR="00406F77">
        <w:rPr>
          <w:rFonts w:eastAsiaTheme="minorHAnsi"/>
          <w:b/>
          <w:lang w:eastAsia="en-US"/>
        </w:rPr>
        <w:t xml:space="preserve"> </w:t>
      </w:r>
      <w:r w:rsidRPr="00AF3B9A">
        <w:rPr>
          <w:rFonts w:eastAsiaTheme="minorHAnsi"/>
          <w:b/>
          <w:lang w:eastAsia="en-US"/>
        </w:rPr>
        <w:t>K</w:t>
      </w:r>
    </w:p>
    <w:p w14:paraId="5B2F910E" w14:textId="77777777" w:rsidR="00AF3B9A" w:rsidRDefault="00AF3B9A" w:rsidP="00AF3B9A">
      <w:pPr>
        <w:jc w:val="center"/>
        <w:rPr>
          <w:rFonts w:eastAsiaTheme="minorHAnsi"/>
          <w:b/>
          <w:lang w:eastAsia="en-US"/>
        </w:rPr>
      </w:pPr>
    </w:p>
    <w:p w14:paraId="4ADCA864" w14:textId="77777777" w:rsidR="006F4C0E" w:rsidRDefault="006F4C0E" w:rsidP="00AF3B9A">
      <w:pPr>
        <w:jc w:val="center"/>
        <w:rPr>
          <w:rFonts w:eastAsiaTheme="minorHAnsi"/>
          <w:b/>
          <w:lang w:eastAsia="en-US"/>
        </w:rPr>
      </w:pPr>
    </w:p>
    <w:p w14:paraId="0E34EA29" w14:textId="77777777" w:rsidR="006F4C0E" w:rsidRDefault="006F4C0E" w:rsidP="00AF3B9A">
      <w:pPr>
        <w:jc w:val="center"/>
        <w:rPr>
          <w:rFonts w:eastAsiaTheme="minorHAnsi"/>
          <w:b/>
          <w:lang w:eastAsia="en-US"/>
        </w:rPr>
      </w:pPr>
    </w:p>
    <w:p w14:paraId="1F07D49A" w14:textId="77777777" w:rsidR="006F4C0E" w:rsidRPr="00AF3B9A" w:rsidRDefault="006F4C0E" w:rsidP="00AF3B9A">
      <w:pPr>
        <w:jc w:val="center"/>
        <w:rPr>
          <w:rFonts w:eastAsiaTheme="minorHAnsi"/>
          <w:b/>
          <w:lang w:eastAsia="en-US"/>
        </w:rPr>
      </w:pPr>
    </w:p>
    <w:p w14:paraId="0A73EA25" w14:textId="206F5E2F" w:rsidR="00AF3B9A" w:rsidRPr="00AF3B9A" w:rsidRDefault="006F4C0E" w:rsidP="006F4C0E">
      <w:pPr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ab/>
      </w:r>
      <w:r w:rsidR="00AD4F61">
        <w:rPr>
          <w:rFonts w:eastAsiaTheme="minorHAnsi"/>
          <w:lang w:eastAsia="en-US"/>
        </w:rPr>
        <w:t>Prihvaća se Izvješ</w:t>
      </w:r>
      <w:r w:rsidR="005439AE">
        <w:rPr>
          <w:rFonts w:eastAsiaTheme="minorHAnsi"/>
          <w:lang w:eastAsia="en-US"/>
        </w:rPr>
        <w:t xml:space="preserve">će </w:t>
      </w:r>
      <w:r w:rsidR="00AF3B9A" w:rsidRPr="00AF3B9A">
        <w:rPr>
          <w:rFonts w:eastAsiaTheme="minorHAnsi"/>
          <w:lang w:eastAsia="en-US"/>
        </w:rPr>
        <w:t xml:space="preserve">o radu Agencije za obalni linijski pomorski promet za </w:t>
      </w:r>
      <w:r w:rsidR="00C962AA">
        <w:rPr>
          <w:rFonts w:eastAsiaTheme="minorHAnsi"/>
          <w:lang w:eastAsia="en-US"/>
        </w:rPr>
        <w:t>2023</w:t>
      </w:r>
      <w:r w:rsidR="00AF3B9A" w:rsidRPr="00AF3B9A">
        <w:rPr>
          <w:rFonts w:eastAsiaTheme="minorHAnsi"/>
          <w:lang w:eastAsia="en-US"/>
        </w:rPr>
        <w:t>. godinu</w:t>
      </w:r>
      <w:r w:rsidR="00772CAD">
        <w:rPr>
          <w:rFonts w:eastAsiaTheme="minorHAnsi"/>
          <w:lang w:eastAsia="en-US"/>
        </w:rPr>
        <w:t>,</w:t>
      </w:r>
      <w:r w:rsidR="00AF3B9A" w:rsidRPr="00AF3B9A">
        <w:rPr>
          <w:rFonts w:eastAsiaTheme="minorHAnsi"/>
          <w:lang w:eastAsia="en-US"/>
        </w:rPr>
        <w:t xml:space="preserve"> koj</w:t>
      </w:r>
      <w:r w:rsidR="00772CAD">
        <w:rPr>
          <w:rFonts w:eastAsiaTheme="minorHAnsi"/>
          <w:lang w:eastAsia="en-US"/>
        </w:rPr>
        <w:t>i</w:t>
      </w:r>
      <w:r w:rsidR="00AF3B9A" w:rsidRPr="00AF3B9A">
        <w:rPr>
          <w:rFonts w:eastAsiaTheme="minorHAnsi"/>
          <w:lang w:eastAsia="en-US"/>
        </w:rPr>
        <w:t xml:space="preserve"> je donijelo Upravno vijeće Agencije za obalni linij</w:t>
      </w:r>
      <w:r w:rsidR="00E0543D">
        <w:rPr>
          <w:rFonts w:eastAsiaTheme="minorHAnsi"/>
          <w:lang w:eastAsia="en-US"/>
        </w:rPr>
        <w:t>ski pomorski promet na sjednici</w:t>
      </w:r>
      <w:r w:rsidR="00C962AA">
        <w:rPr>
          <w:rFonts w:eastAsiaTheme="minorHAnsi"/>
          <w:lang w:eastAsia="en-US"/>
        </w:rPr>
        <w:t xml:space="preserve"> održanoj dana 30</w:t>
      </w:r>
      <w:r w:rsidR="00AF3B9A" w:rsidRPr="00AF3B9A">
        <w:rPr>
          <w:rFonts w:eastAsiaTheme="minorHAnsi"/>
          <w:lang w:eastAsia="en-US"/>
        </w:rPr>
        <w:t xml:space="preserve">. </w:t>
      </w:r>
      <w:r w:rsidR="00C962AA">
        <w:rPr>
          <w:rFonts w:eastAsiaTheme="minorHAnsi"/>
          <w:lang w:eastAsia="en-US"/>
        </w:rPr>
        <w:t>travnja 2024</w:t>
      </w:r>
      <w:r>
        <w:rPr>
          <w:rFonts w:eastAsiaTheme="minorHAnsi"/>
          <w:lang w:eastAsia="en-US"/>
        </w:rPr>
        <w:t>.</w:t>
      </w:r>
      <w:r w:rsidR="00E0543D">
        <w:rPr>
          <w:rFonts w:eastAsiaTheme="minorHAnsi"/>
          <w:lang w:eastAsia="en-US"/>
        </w:rPr>
        <w:t>,</w:t>
      </w:r>
      <w:r w:rsidR="00AF3B9A" w:rsidRPr="00AF3B9A">
        <w:rPr>
          <w:rFonts w:eastAsiaTheme="minorHAnsi"/>
          <w:lang w:eastAsia="en-US"/>
        </w:rPr>
        <w:t xml:space="preserve"> u tekstu koji je Vladi Republike Hrvatske dostavilo Ministarstvo mora, prome</w:t>
      </w:r>
      <w:r w:rsidR="006A0C59">
        <w:rPr>
          <w:rFonts w:eastAsiaTheme="minorHAnsi"/>
          <w:lang w:eastAsia="en-US"/>
        </w:rPr>
        <w:t>ta i infrastrukture aktom, KLASA</w:t>
      </w:r>
      <w:r w:rsidR="00C941CE">
        <w:rPr>
          <w:rFonts w:eastAsiaTheme="minorHAnsi"/>
          <w:lang w:eastAsia="en-US"/>
        </w:rPr>
        <w:t>:</w:t>
      </w:r>
      <w:r w:rsidR="00017262">
        <w:rPr>
          <w:rFonts w:eastAsiaTheme="minorHAnsi"/>
          <w:lang w:eastAsia="en-US"/>
        </w:rPr>
        <w:t>003-02/24-02/46</w:t>
      </w:r>
      <w:r w:rsidR="00C941CE">
        <w:rPr>
          <w:rFonts w:eastAsiaTheme="minorHAnsi"/>
          <w:lang w:eastAsia="en-US"/>
        </w:rPr>
        <w:t>,</w:t>
      </w:r>
      <w:r w:rsidR="00017262">
        <w:rPr>
          <w:rFonts w:eastAsiaTheme="minorHAnsi"/>
          <w:lang w:eastAsia="en-US"/>
        </w:rPr>
        <w:t xml:space="preserve"> </w:t>
      </w:r>
      <w:r w:rsidR="006A0C59">
        <w:rPr>
          <w:rFonts w:eastAsiaTheme="minorHAnsi"/>
          <w:lang w:eastAsia="en-US"/>
        </w:rPr>
        <w:t>URBROJ</w:t>
      </w:r>
      <w:r w:rsidR="00AF3B9A" w:rsidRPr="00AF3B9A">
        <w:rPr>
          <w:rFonts w:eastAsiaTheme="minorHAnsi"/>
          <w:lang w:eastAsia="en-US"/>
        </w:rPr>
        <w:t>:</w:t>
      </w:r>
      <w:r w:rsidR="00017262">
        <w:rPr>
          <w:rFonts w:eastAsiaTheme="minorHAnsi"/>
          <w:lang w:eastAsia="en-US"/>
        </w:rPr>
        <w:t xml:space="preserve"> 530-03-1-1-24-8, </w:t>
      </w:r>
      <w:r w:rsidR="00AF3B9A" w:rsidRPr="00AF3B9A">
        <w:rPr>
          <w:rFonts w:eastAsiaTheme="minorHAnsi"/>
          <w:lang w:eastAsia="en-US"/>
        </w:rPr>
        <w:t>od</w:t>
      </w:r>
      <w:r w:rsidR="00017262">
        <w:rPr>
          <w:rFonts w:eastAsiaTheme="minorHAnsi"/>
          <w:lang w:eastAsia="en-US"/>
        </w:rPr>
        <w:t xml:space="preserve"> 23. rujna 2024. </w:t>
      </w:r>
    </w:p>
    <w:p w14:paraId="1BEA4AE3" w14:textId="77777777" w:rsidR="00AF3B9A" w:rsidRPr="00AF3B9A" w:rsidRDefault="00AF3B9A" w:rsidP="006F4C0E">
      <w:pPr>
        <w:rPr>
          <w:rFonts w:eastAsiaTheme="minorHAnsi"/>
          <w:b/>
          <w:lang w:eastAsia="en-US"/>
        </w:rPr>
      </w:pPr>
    </w:p>
    <w:p w14:paraId="064797D9" w14:textId="77777777" w:rsidR="00AF3B9A" w:rsidRPr="00AF3B9A" w:rsidRDefault="00AF3B9A" w:rsidP="00AF3B9A">
      <w:pPr>
        <w:jc w:val="both"/>
        <w:rPr>
          <w:rFonts w:eastAsiaTheme="minorHAnsi"/>
          <w:lang w:eastAsia="en-US"/>
        </w:rPr>
      </w:pPr>
    </w:p>
    <w:p w14:paraId="039907D9" w14:textId="77777777" w:rsidR="00AF3B9A" w:rsidRPr="00AF3B9A" w:rsidRDefault="00AF3B9A" w:rsidP="00AF3B9A">
      <w:pPr>
        <w:jc w:val="both"/>
        <w:rPr>
          <w:rFonts w:eastAsiaTheme="minorHAnsi"/>
          <w:lang w:eastAsia="en-US"/>
        </w:rPr>
      </w:pPr>
    </w:p>
    <w:p w14:paraId="20CEC329" w14:textId="77777777" w:rsidR="00AF3B9A" w:rsidRPr="00AF3B9A" w:rsidRDefault="00AF3B9A" w:rsidP="00AF3B9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AF3B9A">
        <w:rPr>
          <w:rFonts w:eastAsiaTheme="minorHAnsi"/>
          <w:lang w:eastAsia="en-US"/>
        </w:rPr>
        <w:t>KLASA:</w:t>
      </w:r>
    </w:p>
    <w:p w14:paraId="3721BFA1" w14:textId="77777777" w:rsidR="00AF3B9A" w:rsidRPr="00AF3B9A" w:rsidRDefault="00AF3B9A" w:rsidP="00AF3B9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AF3B9A">
        <w:rPr>
          <w:rFonts w:eastAsiaTheme="minorHAnsi"/>
          <w:lang w:eastAsia="en-US"/>
        </w:rPr>
        <w:t>URBROJ:</w:t>
      </w:r>
    </w:p>
    <w:p w14:paraId="24C1651F" w14:textId="77777777" w:rsidR="00AF3B9A" w:rsidRPr="00AF3B9A" w:rsidRDefault="00AF3B9A" w:rsidP="00AF3B9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AF3B9A">
        <w:rPr>
          <w:rFonts w:eastAsiaTheme="minorHAnsi"/>
          <w:lang w:eastAsia="en-US"/>
        </w:rPr>
        <w:t>Zagreb,</w:t>
      </w:r>
    </w:p>
    <w:p w14:paraId="2A5123BD" w14:textId="77777777" w:rsidR="00AF3B9A" w:rsidRPr="00AF3B9A" w:rsidRDefault="00AF3B9A" w:rsidP="00AF3B9A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05D4DC76" w14:textId="77777777" w:rsidR="00AF3B9A" w:rsidRPr="00AF3B9A" w:rsidRDefault="00AF3B9A" w:rsidP="00AF3B9A">
      <w:pPr>
        <w:autoSpaceDE w:val="0"/>
        <w:autoSpaceDN w:val="0"/>
        <w:adjustRightInd w:val="0"/>
        <w:ind w:left="5664" w:firstLine="708"/>
        <w:jc w:val="center"/>
        <w:rPr>
          <w:rFonts w:eastAsiaTheme="minorHAnsi"/>
          <w:lang w:eastAsia="en-US"/>
        </w:rPr>
      </w:pPr>
    </w:p>
    <w:p w14:paraId="521A4354" w14:textId="77777777" w:rsidR="00AF3B9A" w:rsidRPr="00AF3B9A" w:rsidRDefault="00AF3B9A" w:rsidP="00AF3B9A">
      <w:pPr>
        <w:autoSpaceDE w:val="0"/>
        <w:autoSpaceDN w:val="0"/>
        <w:adjustRightInd w:val="0"/>
        <w:ind w:left="5664" w:firstLine="708"/>
        <w:jc w:val="center"/>
        <w:rPr>
          <w:rFonts w:eastAsiaTheme="minorHAnsi"/>
          <w:lang w:eastAsia="en-US"/>
        </w:rPr>
      </w:pPr>
    </w:p>
    <w:p w14:paraId="5495CAA7" w14:textId="77777777" w:rsidR="00AF3B9A" w:rsidRPr="006F4C0E" w:rsidRDefault="00AF3B9A" w:rsidP="006F4C0E">
      <w:pPr>
        <w:autoSpaceDE w:val="0"/>
        <w:autoSpaceDN w:val="0"/>
        <w:adjustRightInd w:val="0"/>
        <w:ind w:left="5664" w:firstLine="708"/>
        <w:rPr>
          <w:rFonts w:eastAsiaTheme="minorHAnsi"/>
          <w:lang w:eastAsia="en-US"/>
        </w:rPr>
      </w:pPr>
      <w:r w:rsidRPr="006F4C0E">
        <w:rPr>
          <w:rFonts w:eastAsiaTheme="minorHAnsi"/>
          <w:lang w:eastAsia="en-US"/>
        </w:rPr>
        <w:t>PREDSJEDNIK</w:t>
      </w:r>
    </w:p>
    <w:p w14:paraId="118C3A0B" w14:textId="77777777" w:rsidR="00AF3B9A" w:rsidRDefault="00AF3B9A" w:rsidP="00AF3B9A">
      <w:pPr>
        <w:autoSpaceDE w:val="0"/>
        <w:autoSpaceDN w:val="0"/>
        <w:adjustRightInd w:val="0"/>
        <w:ind w:left="5664" w:firstLine="708"/>
        <w:jc w:val="center"/>
        <w:rPr>
          <w:rFonts w:eastAsiaTheme="minorHAnsi"/>
          <w:lang w:eastAsia="en-US"/>
        </w:rPr>
      </w:pPr>
    </w:p>
    <w:p w14:paraId="4B9B7583" w14:textId="77777777" w:rsidR="006F4C0E" w:rsidRPr="006F4C0E" w:rsidRDefault="006F4C0E" w:rsidP="00AF3B9A">
      <w:pPr>
        <w:autoSpaceDE w:val="0"/>
        <w:autoSpaceDN w:val="0"/>
        <w:adjustRightInd w:val="0"/>
        <w:ind w:left="5664" w:firstLine="708"/>
        <w:jc w:val="center"/>
        <w:rPr>
          <w:rFonts w:eastAsiaTheme="minorHAnsi"/>
          <w:lang w:eastAsia="en-US"/>
        </w:rPr>
      </w:pPr>
    </w:p>
    <w:p w14:paraId="25F8014D" w14:textId="77777777" w:rsidR="00AF3B9A" w:rsidRPr="006F4C0E" w:rsidRDefault="004743AF" w:rsidP="004743AF">
      <w:pPr>
        <w:jc w:val="center"/>
        <w:rPr>
          <w:rFonts w:eastAsiaTheme="minorHAnsi"/>
          <w:lang w:eastAsia="en-US"/>
        </w:rPr>
      </w:pPr>
      <w:r w:rsidRPr="006F4C0E">
        <w:rPr>
          <w:rFonts w:eastAsiaTheme="minorHAnsi"/>
          <w:lang w:eastAsia="en-US"/>
        </w:rPr>
        <w:t xml:space="preserve">                                                                          </w:t>
      </w:r>
      <w:r w:rsidR="006F4C0E">
        <w:rPr>
          <w:rFonts w:eastAsiaTheme="minorHAnsi"/>
          <w:lang w:eastAsia="en-US"/>
        </w:rPr>
        <w:t xml:space="preserve">              </w:t>
      </w:r>
      <w:r w:rsidRPr="006F4C0E">
        <w:rPr>
          <w:rFonts w:eastAsiaTheme="minorHAnsi"/>
          <w:lang w:eastAsia="en-US"/>
        </w:rPr>
        <w:t xml:space="preserve"> </w:t>
      </w:r>
      <w:r w:rsidR="00AF3B9A" w:rsidRPr="006F4C0E">
        <w:rPr>
          <w:rFonts w:eastAsiaTheme="minorHAnsi"/>
          <w:lang w:eastAsia="en-US"/>
        </w:rPr>
        <w:t>mr. sc. Andrej Plenković</w:t>
      </w:r>
    </w:p>
    <w:p w14:paraId="3656B13A" w14:textId="77777777" w:rsidR="00AF3B9A" w:rsidRPr="004743AF" w:rsidRDefault="00AF3B9A" w:rsidP="00AF3B9A">
      <w:pPr>
        <w:jc w:val="right"/>
        <w:rPr>
          <w:rFonts w:eastAsiaTheme="minorHAnsi"/>
          <w:b/>
          <w:lang w:eastAsia="en-US"/>
        </w:rPr>
      </w:pPr>
    </w:p>
    <w:p w14:paraId="36D9D823" w14:textId="77777777" w:rsidR="00AF3B9A" w:rsidRPr="004743AF" w:rsidRDefault="00AF3B9A" w:rsidP="00AF3B9A">
      <w:pPr>
        <w:jc w:val="right"/>
        <w:rPr>
          <w:rFonts w:eastAsiaTheme="minorHAnsi"/>
          <w:b/>
          <w:lang w:eastAsia="en-US"/>
        </w:rPr>
      </w:pPr>
    </w:p>
    <w:p w14:paraId="5E4576ED" w14:textId="77777777" w:rsidR="00AF3B9A" w:rsidRPr="004743AF" w:rsidRDefault="00AF3B9A" w:rsidP="00AF3B9A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lang w:eastAsia="en-US"/>
        </w:rPr>
      </w:pPr>
    </w:p>
    <w:p w14:paraId="29F0557D" w14:textId="77777777" w:rsidR="00AF3B9A" w:rsidRPr="00AF3B9A" w:rsidRDefault="00AF3B9A" w:rsidP="00AF3B9A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lang w:eastAsia="en-US"/>
        </w:rPr>
      </w:pPr>
    </w:p>
    <w:p w14:paraId="040C6BC3" w14:textId="77777777" w:rsidR="00AF3B9A" w:rsidRPr="00AF3B9A" w:rsidRDefault="00AF3B9A" w:rsidP="00AF3B9A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lang w:eastAsia="en-US"/>
        </w:rPr>
      </w:pPr>
    </w:p>
    <w:p w14:paraId="6B8ED906" w14:textId="77777777" w:rsidR="00AF3B9A" w:rsidRPr="00AF3B9A" w:rsidRDefault="00AF3B9A" w:rsidP="00AF3B9A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lang w:eastAsia="en-US"/>
        </w:rPr>
      </w:pPr>
    </w:p>
    <w:p w14:paraId="6228BC6E" w14:textId="77777777" w:rsidR="00AF3B9A" w:rsidRPr="00AF3B9A" w:rsidRDefault="00AF3B9A" w:rsidP="00AF3B9A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lang w:eastAsia="en-US"/>
        </w:rPr>
      </w:pPr>
    </w:p>
    <w:p w14:paraId="4FD1AE8A" w14:textId="77777777" w:rsidR="00AF3B9A" w:rsidRPr="00AF3B9A" w:rsidRDefault="00AF3B9A" w:rsidP="00AF3B9A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lang w:eastAsia="en-US"/>
        </w:rPr>
      </w:pPr>
    </w:p>
    <w:p w14:paraId="3A21B129" w14:textId="77777777" w:rsidR="00AF3B9A" w:rsidRPr="00AF3B9A" w:rsidRDefault="00AF3B9A" w:rsidP="00AF3B9A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lang w:eastAsia="en-US"/>
        </w:rPr>
      </w:pPr>
    </w:p>
    <w:p w14:paraId="3996413F" w14:textId="77777777" w:rsidR="00AF3B9A" w:rsidRPr="00AF3B9A" w:rsidRDefault="00AF3B9A" w:rsidP="00AF3B9A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lang w:eastAsia="en-US"/>
        </w:rPr>
      </w:pPr>
    </w:p>
    <w:p w14:paraId="5451CF13" w14:textId="77777777" w:rsidR="00AF3B9A" w:rsidRPr="00AF3B9A" w:rsidRDefault="00AF3B9A" w:rsidP="00AF3B9A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lang w:eastAsia="en-US"/>
        </w:rPr>
      </w:pPr>
    </w:p>
    <w:p w14:paraId="6181E6CA" w14:textId="77777777" w:rsidR="00AF3B9A" w:rsidRDefault="00AF3B9A" w:rsidP="00AF3B9A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lang w:eastAsia="en-US"/>
        </w:rPr>
      </w:pPr>
    </w:p>
    <w:p w14:paraId="4F7FB9E2" w14:textId="77777777" w:rsidR="00017262" w:rsidRDefault="00017262" w:rsidP="00AF3B9A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lang w:eastAsia="en-US"/>
        </w:rPr>
      </w:pPr>
    </w:p>
    <w:p w14:paraId="720AFF85" w14:textId="77777777" w:rsidR="00AF3B9A" w:rsidRPr="00AF3B9A" w:rsidRDefault="00AF3B9A" w:rsidP="00AF3B9A">
      <w:pPr>
        <w:spacing w:after="200" w:line="276" w:lineRule="auto"/>
        <w:jc w:val="center"/>
        <w:rPr>
          <w:rFonts w:eastAsiaTheme="minorHAnsi"/>
          <w:b/>
          <w:lang w:eastAsia="en-US"/>
        </w:rPr>
      </w:pPr>
      <w:r w:rsidRPr="00AF3B9A">
        <w:rPr>
          <w:rFonts w:eastAsiaTheme="minorHAnsi"/>
          <w:b/>
          <w:lang w:eastAsia="en-US"/>
        </w:rPr>
        <w:t>OBRAZLOŽENJE</w:t>
      </w:r>
    </w:p>
    <w:p w14:paraId="2AF98B27" w14:textId="77777777" w:rsidR="00AF3B9A" w:rsidRPr="00AF3B9A" w:rsidRDefault="00AF3B9A" w:rsidP="00AF3B9A">
      <w:pPr>
        <w:ind w:right="43"/>
        <w:jc w:val="both"/>
        <w:rPr>
          <w:noProof/>
          <w:sz w:val="22"/>
          <w:szCs w:val="22"/>
        </w:rPr>
      </w:pPr>
    </w:p>
    <w:p w14:paraId="425C1822" w14:textId="77777777" w:rsidR="00AF3B9A" w:rsidRPr="00750FAC" w:rsidRDefault="00AF3B9A" w:rsidP="00AF3B9A">
      <w:pPr>
        <w:ind w:right="43"/>
        <w:jc w:val="both"/>
        <w:rPr>
          <w:noProof/>
        </w:rPr>
      </w:pPr>
      <w:r w:rsidRPr="00750FAC">
        <w:rPr>
          <w:noProof/>
        </w:rPr>
        <w:t>Agencija za obalni linijski pomorski promet (nadalje: Agencija) je neprofitna pra</w:t>
      </w:r>
      <w:r w:rsidR="005D2DFE">
        <w:rPr>
          <w:noProof/>
        </w:rPr>
        <w:t>vna osoba osnovana 2006. godine. O</w:t>
      </w:r>
      <w:r w:rsidRPr="00750FAC">
        <w:rPr>
          <w:noProof/>
        </w:rPr>
        <w:t>snivač Agencije je Republika Hrvatska, a osnivačka prava ostvaruje Vlada Republike Hrvatske.</w:t>
      </w:r>
      <w:r w:rsidR="005D2DFE">
        <w:rPr>
          <w:noProof/>
        </w:rPr>
        <w:t xml:space="preserve"> Rad Agencije kao javne ustanove</w:t>
      </w:r>
      <w:r w:rsidR="005D2DFE" w:rsidRPr="00750FAC">
        <w:rPr>
          <w:noProof/>
        </w:rPr>
        <w:t xml:space="preserve"> s</w:t>
      </w:r>
      <w:r w:rsidR="005D2DFE" w:rsidRPr="005D2DFE">
        <w:rPr>
          <w:noProof/>
        </w:rPr>
        <w:t xml:space="preserve"> </w:t>
      </w:r>
      <w:r w:rsidR="005D2DFE" w:rsidRPr="00750FAC">
        <w:rPr>
          <w:noProof/>
        </w:rPr>
        <w:t>javnim ovlastima</w:t>
      </w:r>
      <w:r w:rsidR="005D2DFE">
        <w:rPr>
          <w:noProof/>
        </w:rPr>
        <w:t xml:space="preserve"> je reguliran </w:t>
      </w:r>
      <w:r w:rsidR="005D2DFE" w:rsidRPr="00750FAC">
        <w:rPr>
          <w:noProof/>
        </w:rPr>
        <w:t>Zakon</w:t>
      </w:r>
      <w:r w:rsidR="005D2DFE">
        <w:rPr>
          <w:noProof/>
        </w:rPr>
        <w:t>om</w:t>
      </w:r>
      <w:r w:rsidR="005D2DFE" w:rsidRPr="00750FAC">
        <w:rPr>
          <w:noProof/>
        </w:rPr>
        <w:t xml:space="preserve"> o prijevozu u linijskom i povremenom obalnom pomorsko</w:t>
      </w:r>
      <w:r w:rsidR="005D2DFE">
        <w:rPr>
          <w:noProof/>
        </w:rPr>
        <w:t>m prometu („Narodne novine“, broj</w:t>
      </w:r>
      <w:r w:rsidR="005D2DFE" w:rsidRPr="00750FAC">
        <w:rPr>
          <w:noProof/>
        </w:rPr>
        <w:t xml:space="preserve"> 19/22</w:t>
      </w:r>
      <w:r w:rsidR="00977331">
        <w:rPr>
          <w:noProof/>
        </w:rPr>
        <w:t>.</w:t>
      </w:r>
      <w:r w:rsidR="005D2DFE" w:rsidRPr="00750FAC">
        <w:rPr>
          <w:noProof/>
        </w:rPr>
        <w:t>, u daljnjem tekstu: Zakon)</w:t>
      </w:r>
    </w:p>
    <w:p w14:paraId="62169655" w14:textId="77777777" w:rsidR="00AF3B9A" w:rsidRPr="00750FAC" w:rsidRDefault="00AF3B9A" w:rsidP="00AF3B9A">
      <w:pPr>
        <w:ind w:right="43"/>
        <w:jc w:val="both"/>
        <w:rPr>
          <w:noProof/>
        </w:rPr>
      </w:pPr>
    </w:p>
    <w:p w14:paraId="17922DBF" w14:textId="77777777" w:rsidR="00AF3B9A" w:rsidRPr="00AF3B9A" w:rsidRDefault="00AF3B9A" w:rsidP="00AF3B9A">
      <w:pPr>
        <w:jc w:val="both"/>
        <w:rPr>
          <w:rFonts w:eastAsiaTheme="minorHAnsi"/>
          <w:lang w:eastAsia="en-US"/>
        </w:rPr>
      </w:pPr>
      <w:r w:rsidRPr="00AF3B9A">
        <w:rPr>
          <w:rFonts w:eastAsiaTheme="minorHAnsi"/>
          <w:lang w:eastAsia="en-US"/>
        </w:rPr>
        <w:t>Agencija je dostavila Ministarstvu mora, prometa i infrastrukture Izvještaj o radu Agencije za obalni linijski pomorski promet za 2</w:t>
      </w:r>
      <w:r w:rsidR="00C962AA">
        <w:rPr>
          <w:rFonts w:eastAsiaTheme="minorHAnsi"/>
          <w:lang w:eastAsia="en-US"/>
        </w:rPr>
        <w:t>023</w:t>
      </w:r>
      <w:r w:rsidR="00A51D18">
        <w:rPr>
          <w:rFonts w:eastAsiaTheme="minorHAnsi"/>
          <w:lang w:eastAsia="en-US"/>
        </w:rPr>
        <w:t xml:space="preserve">. godinu, koje </w:t>
      </w:r>
      <w:r w:rsidR="00A51D18">
        <w:rPr>
          <w:rFonts w:eastAsiaTheme="minorHAnsi"/>
          <w:lang w:eastAsia="en-US"/>
        </w:rPr>
        <w:lastRenderedPageBreak/>
        <w:t>je Odlukom donijelo</w:t>
      </w:r>
      <w:r w:rsidRPr="00AF3B9A">
        <w:rPr>
          <w:rFonts w:eastAsiaTheme="minorHAnsi"/>
          <w:lang w:eastAsia="en-US"/>
        </w:rPr>
        <w:t xml:space="preserve"> Upra</w:t>
      </w:r>
      <w:r w:rsidR="00DF1761">
        <w:rPr>
          <w:rFonts w:eastAsiaTheme="minorHAnsi"/>
          <w:lang w:eastAsia="en-US"/>
        </w:rPr>
        <w:t xml:space="preserve">vno vijeće Agencije </w:t>
      </w:r>
      <w:r w:rsidR="00A51D18">
        <w:rPr>
          <w:rFonts w:eastAsiaTheme="minorHAnsi"/>
          <w:lang w:eastAsia="en-US"/>
        </w:rPr>
        <w:t xml:space="preserve"> </w:t>
      </w:r>
      <w:r w:rsidR="00C962AA">
        <w:rPr>
          <w:rFonts w:eastAsiaTheme="minorHAnsi"/>
          <w:lang w:eastAsia="en-US"/>
        </w:rPr>
        <w:t>na svojoj 51</w:t>
      </w:r>
      <w:r w:rsidRPr="00AF3B9A">
        <w:rPr>
          <w:rFonts w:eastAsiaTheme="minorHAnsi"/>
          <w:lang w:eastAsia="en-US"/>
        </w:rPr>
        <w:t>.</w:t>
      </w:r>
      <w:r w:rsidR="00DF1761">
        <w:rPr>
          <w:rFonts w:eastAsiaTheme="minorHAnsi"/>
          <w:lang w:eastAsia="en-US"/>
        </w:rPr>
        <w:t xml:space="preserve"> s</w:t>
      </w:r>
      <w:r w:rsidR="00C962AA">
        <w:rPr>
          <w:rFonts w:eastAsiaTheme="minorHAnsi"/>
          <w:lang w:eastAsia="en-US"/>
        </w:rPr>
        <w:t>jednici, održanoj dana 30. travnja</w:t>
      </w:r>
      <w:r w:rsidR="004359A3">
        <w:rPr>
          <w:rFonts w:eastAsiaTheme="minorHAnsi"/>
          <w:lang w:eastAsia="en-US"/>
        </w:rPr>
        <w:t xml:space="preserve"> </w:t>
      </w:r>
      <w:r w:rsidR="00C962AA">
        <w:rPr>
          <w:rFonts w:eastAsiaTheme="minorHAnsi"/>
          <w:lang w:eastAsia="en-US"/>
        </w:rPr>
        <w:t>2024., broj: 2347-51-2/2024</w:t>
      </w:r>
      <w:r w:rsidR="00A51D18">
        <w:rPr>
          <w:rFonts w:eastAsiaTheme="minorHAnsi"/>
          <w:lang w:eastAsia="en-US"/>
        </w:rPr>
        <w:t>.</w:t>
      </w:r>
    </w:p>
    <w:p w14:paraId="5DF1BD52" w14:textId="77777777" w:rsidR="00AF3B9A" w:rsidRPr="00AF3B9A" w:rsidRDefault="00AF3B9A" w:rsidP="00AF3B9A">
      <w:pPr>
        <w:spacing w:after="200" w:line="276" w:lineRule="auto"/>
        <w:contextualSpacing/>
        <w:jc w:val="both"/>
        <w:rPr>
          <w:noProof/>
          <w:lang w:eastAsia="en-US"/>
        </w:rPr>
      </w:pPr>
    </w:p>
    <w:p w14:paraId="1DF8D0D4" w14:textId="1C3C7138" w:rsidR="00AF3B9A" w:rsidRPr="00AF3B9A" w:rsidRDefault="00AF3B9A" w:rsidP="00AF3B9A">
      <w:pPr>
        <w:contextualSpacing/>
        <w:jc w:val="both"/>
        <w:rPr>
          <w:rFonts w:eastAsiaTheme="minorHAnsi"/>
          <w:lang w:eastAsia="en-US"/>
        </w:rPr>
      </w:pPr>
      <w:r w:rsidRPr="00AF3B9A">
        <w:rPr>
          <w:noProof/>
          <w:lang w:eastAsia="en-US"/>
        </w:rPr>
        <w:t>Izvješ</w:t>
      </w:r>
      <w:r w:rsidR="002E669F">
        <w:rPr>
          <w:noProof/>
          <w:lang w:eastAsia="en-US"/>
        </w:rPr>
        <w:t>će</w:t>
      </w:r>
      <w:r w:rsidRPr="00AF3B9A">
        <w:rPr>
          <w:noProof/>
          <w:lang w:eastAsia="en-US"/>
        </w:rPr>
        <w:t>m je obuhvaćeno cjelo</w:t>
      </w:r>
      <w:r w:rsidR="00C962AA">
        <w:rPr>
          <w:noProof/>
          <w:lang w:eastAsia="en-US"/>
        </w:rPr>
        <w:t>kupno poslovanje Agencije u 2023</w:t>
      </w:r>
      <w:r w:rsidRPr="00AF3B9A">
        <w:rPr>
          <w:noProof/>
          <w:lang w:eastAsia="en-US"/>
        </w:rPr>
        <w:t>. godini, a osobito predmet poslovanja i zakonska regulativa, opći akti Agencije, ustrojstvo i tijela Agencije kao i rad Upravnog vijeća. Obuhvaćeni su i podaci o prostorima koje Agencija koristi, kao i transparentnost poslovanja koja je osigurana dostupnim informacijama na službenim stranicama Agencije</w:t>
      </w:r>
      <w:r w:rsidRPr="00AF3B9A">
        <w:rPr>
          <w:rFonts w:eastAsiaTheme="minorHAnsi"/>
          <w:lang w:eastAsia="en-US"/>
        </w:rPr>
        <w:t>.</w:t>
      </w:r>
    </w:p>
    <w:p w14:paraId="6D7006EA" w14:textId="77777777" w:rsidR="00AF3B9A" w:rsidRPr="00AF3B9A" w:rsidRDefault="00AF3B9A" w:rsidP="00AF3B9A">
      <w:pPr>
        <w:ind w:right="43"/>
        <w:jc w:val="both"/>
        <w:rPr>
          <w:noProof/>
          <w:lang w:eastAsia="en-US"/>
        </w:rPr>
      </w:pPr>
    </w:p>
    <w:p w14:paraId="7DC63E28" w14:textId="2C4CA788" w:rsidR="00AF3B9A" w:rsidRPr="00AF3B9A" w:rsidRDefault="00AF3B9A" w:rsidP="00AF3B9A">
      <w:pPr>
        <w:ind w:right="43"/>
        <w:jc w:val="both"/>
        <w:rPr>
          <w:noProof/>
          <w:lang w:eastAsia="en-US"/>
        </w:rPr>
      </w:pPr>
      <w:r w:rsidRPr="00AF3B9A">
        <w:rPr>
          <w:noProof/>
          <w:lang w:eastAsia="en-US"/>
        </w:rPr>
        <w:t>U odnosu na poslovanje</w:t>
      </w:r>
      <w:r w:rsidR="00977331">
        <w:rPr>
          <w:noProof/>
          <w:lang w:eastAsia="en-US"/>
        </w:rPr>
        <w:t>,</w:t>
      </w:r>
      <w:r w:rsidRPr="00AF3B9A">
        <w:rPr>
          <w:noProof/>
          <w:lang w:eastAsia="en-US"/>
        </w:rPr>
        <w:t xml:space="preserve"> Izvješ</w:t>
      </w:r>
      <w:r w:rsidR="002E669F">
        <w:rPr>
          <w:noProof/>
          <w:lang w:eastAsia="en-US"/>
        </w:rPr>
        <w:t>ć</w:t>
      </w:r>
      <w:r w:rsidRPr="00AF3B9A">
        <w:rPr>
          <w:noProof/>
          <w:lang w:eastAsia="en-US"/>
        </w:rPr>
        <w:t>em je zasebno razrađeno područje usluge javnog prijevoza kao usluge od općeg gospodarskog interesa</w:t>
      </w:r>
      <w:r w:rsidR="00A51D18">
        <w:rPr>
          <w:noProof/>
          <w:lang w:eastAsia="en-US"/>
        </w:rPr>
        <w:t xml:space="preserve"> s obvezom javne usluge</w:t>
      </w:r>
      <w:r w:rsidR="00D53EAE">
        <w:rPr>
          <w:noProof/>
          <w:lang w:eastAsia="en-US"/>
        </w:rPr>
        <w:t xml:space="preserve">, </w:t>
      </w:r>
      <w:r w:rsidR="00A51D18">
        <w:rPr>
          <w:noProof/>
          <w:lang w:eastAsia="en-US"/>
        </w:rPr>
        <w:t xml:space="preserve">područje </w:t>
      </w:r>
      <w:r w:rsidR="00D53EAE">
        <w:rPr>
          <w:noProof/>
          <w:lang w:eastAsia="en-US"/>
        </w:rPr>
        <w:t>usluge javnog prijevoza bez obveze javne usluge</w:t>
      </w:r>
      <w:r w:rsidR="00750FAC">
        <w:rPr>
          <w:noProof/>
          <w:lang w:eastAsia="en-US"/>
        </w:rPr>
        <w:t xml:space="preserve"> i međunarodne linije</w:t>
      </w:r>
      <w:r w:rsidR="00D53EAE">
        <w:rPr>
          <w:noProof/>
          <w:lang w:eastAsia="en-US"/>
        </w:rPr>
        <w:t>,</w:t>
      </w:r>
      <w:r w:rsidRPr="00AF3B9A">
        <w:rPr>
          <w:noProof/>
          <w:lang w:eastAsia="en-US"/>
        </w:rPr>
        <w:t xml:space="preserve"> te informatički sustav javnog prijevoza (SEOP – sustav evidencije otočnih prava</w:t>
      </w:r>
      <w:r w:rsidR="00750FAC">
        <w:rPr>
          <w:noProof/>
          <w:lang w:eastAsia="en-US"/>
        </w:rPr>
        <w:t xml:space="preserve"> i POSI – sustav prava osoba s invaliditetom</w:t>
      </w:r>
      <w:r w:rsidRPr="00AF3B9A">
        <w:rPr>
          <w:noProof/>
          <w:lang w:eastAsia="en-US"/>
        </w:rPr>
        <w:t xml:space="preserve">) koji je Agencija uspostavila i u njenom je vlasništvu, a kojim se omogućava korištenje prava određenih kategorija putnika i vozila na povlašteni prijevoz, </w:t>
      </w:r>
      <w:r w:rsidR="005B1B38">
        <w:rPr>
          <w:noProof/>
          <w:lang w:eastAsia="en-US"/>
        </w:rPr>
        <w:t>uplate u državni pr</w:t>
      </w:r>
      <w:r w:rsidR="00BC7D90">
        <w:rPr>
          <w:noProof/>
          <w:lang w:eastAsia="en-US"/>
        </w:rPr>
        <w:t>oračun Republike Hrvatske u 2023. godini,</w:t>
      </w:r>
      <w:r w:rsidRPr="00AF3B9A">
        <w:rPr>
          <w:noProof/>
          <w:lang w:eastAsia="en-US"/>
        </w:rPr>
        <w:t xml:space="preserve"> kad</w:t>
      </w:r>
      <w:r w:rsidR="00BC7D90">
        <w:rPr>
          <w:noProof/>
          <w:lang w:eastAsia="en-US"/>
        </w:rPr>
        <w:t>rovska struktura Agencije te izvješće o realizaciji financijskih planova za 2023. godinu.</w:t>
      </w:r>
    </w:p>
    <w:p w14:paraId="394B8E2D" w14:textId="77777777" w:rsidR="00AF3B9A" w:rsidRPr="00AF3B9A" w:rsidRDefault="00AF3B9A" w:rsidP="00AF3B9A">
      <w:pPr>
        <w:ind w:right="43"/>
        <w:jc w:val="both"/>
        <w:rPr>
          <w:b/>
          <w:noProof/>
          <w:lang w:eastAsia="en-US"/>
        </w:rPr>
      </w:pPr>
    </w:p>
    <w:p w14:paraId="229A21C0" w14:textId="19191C40" w:rsidR="00AF3B9A" w:rsidRPr="00AF3B9A" w:rsidRDefault="00AF3B9A" w:rsidP="00AF3B9A">
      <w:pPr>
        <w:ind w:right="43"/>
        <w:jc w:val="both"/>
        <w:rPr>
          <w:noProof/>
          <w:lang w:eastAsia="en-US"/>
        </w:rPr>
      </w:pPr>
      <w:r w:rsidRPr="00AF3B9A">
        <w:rPr>
          <w:b/>
          <w:noProof/>
          <w:lang w:eastAsia="en-US"/>
        </w:rPr>
        <w:t xml:space="preserve">Financijski izvještaj Agencije za obalni </w:t>
      </w:r>
      <w:r w:rsidR="00D53EAE">
        <w:rPr>
          <w:b/>
          <w:noProof/>
          <w:lang w:eastAsia="en-US"/>
        </w:rPr>
        <w:t>linijski pomors</w:t>
      </w:r>
      <w:r w:rsidR="00BC7D90">
        <w:rPr>
          <w:b/>
          <w:noProof/>
          <w:lang w:eastAsia="en-US"/>
        </w:rPr>
        <w:t>ki promet za 2023</w:t>
      </w:r>
      <w:r w:rsidRPr="00AF3B9A">
        <w:rPr>
          <w:b/>
          <w:noProof/>
          <w:lang w:eastAsia="en-US"/>
        </w:rPr>
        <w:t xml:space="preserve">. godinu </w:t>
      </w:r>
      <w:r w:rsidRPr="00AF3B9A">
        <w:rPr>
          <w:noProof/>
          <w:lang w:eastAsia="en-US"/>
        </w:rPr>
        <w:t>detaljno je prikazan kroz Izvješće o realiz</w:t>
      </w:r>
      <w:r w:rsidR="00BC7D90">
        <w:rPr>
          <w:noProof/>
          <w:lang w:eastAsia="en-US"/>
        </w:rPr>
        <w:t>aciji financijskog plana za 2023</w:t>
      </w:r>
      <w:r w:rsidRPr="00AF3B9A">
        <w:rPr>
          <w:noProof/>
          <w:lang w:eastAsia="en-US"/>
        </w:rPr>
        <w:t>. godinu te kroz godišnj</w:t>
      </w:r>
      <w:r w:rsidR="00BC7D90">
        <w:rPr>
          <w:noProof/>
          <w:lang w:eastAsia="en-US"/>
        </w:rPr>
        <w:t>e financijske izvještaje za 2023</w:t>
      </w:r>
      <w:r w:rsidRPr="00AF3B9A">
        <w:rPr>
          <w:noProof/>
          <w:lang w:eastAsia="en-US"/>
        </w:rPr>
        <w:t>. godinu (Bilanca</w:t>
      </w:r>
      <w:r w:rsidR="00BC7D90">
        <w:rPr>
          <w:noProof/>
          <w:lang w:eastAsia="en-US"/>
        </w:rPr>
        <w:t xml:space="preserve"> stanja na dan 31. prosinca 2023</w:t>
      </w:r>
      <w:r w:rsidRPr="00AF3B9A">
        <w:rPr>
          <w:noProof/>
          <w:lang w:eastAsia="en-US"/>
        </w:rPr>
        <w:t xml:space="preserve">. godine i Izvještaj o prihodima i rashodima, primicima i izdacima za razdoblje od </w:t>
      </w:r>
      <w:r w:rsidR="00BC7D90">
        <w:rPr>
          <w:noProof/>
          <w:lang w:eastAsia="en-US"/>
        </w:rPr>
        <w:t>1. siječnja do 31. prosinca 2023</w:t>
      </w:r>
      <w:r w:rsidRPr="00AF3B9A">
        <w:rPr>
          <w:noProof/>
          <w:lang w:eastAsia="en-US"/>
        </w:rPr>
        <w:t>.).</w:t>
      </w:r>
    </w:p>
    <w:p w14:paraId="0E0D8E95" w14:textId="77777777" w:rsidR="003D0242" w:rsidRDefault="003D0242" w:rsidP="00AF3B9A">
      <w:pPr>
        <w:ind w:right="43"/>
        <w:jc w:val="both"/>
        <w:rPr>
          <w:noProof/>
          <w:lang w:eastAsia="en-US"/>
        </w:rPr>
      </w:pPr>
    </w:p>
    <w:p w14:paraId="392396B6" w14:textId="1766F3F4" w:rsidR="003D0242" w:rsidRDefault="003D0242" w:rsidP="003D0242">
      <w:pPr>
        <w:ind w:right="43"/>
        <w:jc w:val="both"/>
      </w:pPr>
      <w:r w:rsidRPr="003D0242">
        <w:t>Plan prihoda za 2023. godinu iznosio je 68.661.546 eura i u cijelosti je primljen iz Državnog proračuna. Planirani rashodi, koji su u cijelosti financirani iz izvora 11 Opći prihodi i primici, iznosili su 68.661.546 eura, a odnose se na rashode poslovanja u iznosu od 68.222.059 eura i na rashode za nabavu nefinancijske imovine u iznosu od 439.487 eura.</w:t>
      </w:r>
    </w:p>
    <w:p w14:paraId="63A9A7D0" w14:textId="77777777" w:rsidR="002B77D7" w:rsidRPr="003D0242" w:rsidRDefault="002B77D7" w:rsidP="003D0242">
      <w:pPr>
        <w:ind w:right="43"/>
        <w:jc w:val="both"/>
      </w:pPr>
    </w:p>
    <w:p w14:paraId="2559A0E1" w14:textId="77777777" w:rsidR="003D0242" w:rsidRPr="003D0242" w:rsidRDefault="003D0242" w:rsidP="003D0242">
      <w:pPr>
        <w:jc w:val="both"/>
      </w:pPr>
      <w:r w:rsidRPr="003D0242">
        <w:t>Izvršenje prihoda i rashoda u 2023. godini iznosilo je 68.650.117,18 eura ili 99,98% u odnosu na Tekući plan za 2023. godinu. Izvršenje prihoda i rashoda u 2023. godin</w:t>
      </w:r>
      <w:r w:rsidR="00977331">
        <w:t>i</w:t>
      </w:r>
      <w:r w:rsidRPr="003D0242">
        <w:t xml:space="preserve"> je za 4,78% veće u odnosu na 2022. godinu i to za plaćanja korekcije potpore u 2023. godini, kojom se nadoknađivala razlika između ugovorenih i stvarnih rashoda poslovanja, prije svega goriva.</w:t>
      </w:r>
    </w:p>
    <w:p w14:paraId="7A7DACA1" w14:textId="20DDE0F2" w:rsidR="003D0242" w:rsidRDefault="003D0242" w:rsidP="003D0242">
      <w:pPr>
        <w:jc w:val="both"/>
        <w:rPr>
          <w:color w:val="000000"/>
        </w:rPr>
      </w:pPr>
      <w:r w:rsidRPr="003D0242">
        <w:rPr>
          <w:color w:val="000000"/>
        </w:rPr>
        <w:lastRenderedPageBreak/>
        <w:t>Ostvareni rashodi za zaposlene u 2023. godini iznosili su 330.782,44 eura i 29,04% su veći u odnosu na iste rashode ostvarene u 2022. godini, i to prije svega što su u 2023. godini zaposlene dvije djelatnice.</w:t>
      </w:r>
    </w:p>
    <w:p w14:paraId="7B0B7954" w14:textId="77777777" w:rsidR="002B77D7" w:rsidRPr="003D0242" w:rsidRDefault="002B77D7" w:rsidP="003D0242">
      <w:pPr>
        <w:jc w:val="both"/>
        <w:rPr>
          <w:color w:val="000000"/>
        </w:rPr>
      </w:pPr>
    </w:p>
    <w:p w14:paraId="425494F9" w14:textId="2724DC48" w:rsidR="003D0242" w:rsidRDefault="003D0242" w:rsidP="003D0242">
      <w:pPr>
        <w:jc w:val="both"/>
      </w:pPr>
      <w:r w:rsidRPr="003D0242">
        <w:rPr>
          <w:color w:val="000000"/>
        </w:rPr>
        <w:t>Materijalni rashodi su veći za 22,71% u odnosu na isto razdoblje 2022. godine zbog rasta ostalih troškova zaposlenima (smrtni slučajevi u obiteljima djelatnika), rasta troškova energije, rasta troškova za zdravstvene i veterinarske usluge (sistematski pregledi djelatnika), rasta troškova intelektualnih usluga, izrada modela očekivanih rashoda u obalnom linijskom pomorskom prometu i rasta ostalih usluga zbog povećanog broja izdanih iskaznica za povlašteni prijevoz.</w:t>
      </w:r>
      <w:r w:rsidRPr="003D0242">
        <w:rPr>
          <w:color w:val="FF0000"/>
        </w:rPr>
        <w:t xml:space="preserve"> </w:t>
      </w:r>
      <w:r w:rsidRPr="003D0242">
        <w:rPr>
          <w:color w:val="000000"/>
        </w:rPr>
        <w:t>R</w:t>
      </w:r>
      <w:r w:rsidRPr="003D0242">
        <w:t>ealizirani materijalni rashodi u 2023. godini iznose 98,07% u odnosu na tekući plan za materijalne rashode.</w:t>
      </w:r>
    </w:p>
    <w:p w14:paraId="4C237E63" w14:textId="77777777" w:rsidR="002B77D7" w:rsidRPr="003D0242" w:rsidRDefault="002B77D7" w:rsidP="003D0242">
      <w:pPr>
        <w:jc w:val="both"/>
        <w:rPr>
          <w:color w:val="000000"/>
          <w:highlight w:val="yellow"/>
        </w:rPr>
      </w:pPr>
    </w:p>
    <w:p w14:paraId="41E3F14B" w14:textId="377DA3EE" w:rsidR="003D0242" w:rsidRDefault="003D0242" w:rsidP="003D0242">
      <w:pPr>
        <w:jc w:val="both"/>
      </w:pPr>
      <w:r w:rsidRPr="003D0242">
        <w:t>Rashodi za subvencije u 2023. godini su za 3,97% veći u odnosu na one iz 2022. godine jer su se kroz cijelu 2023. godinu brodarima isplaćivale korekcije potpore, kojima su se nadoknadile razlike između ugovorenih i stvarnih rashoda poslovanja, prije svega goriva.</w:t>
      </w:r>
    </w:p>
    <w:p w14:paraId="6A06C32A" w14:textId="77777777" w:rsidR="002B77D7" w:rsidRPr="003D0242" w:rsidRDefault="002B77D7" w:rsidP="003D0242">
      <w:pPr>
        <w:jc w:val="both"/>
      </w:pPr>
      <w:bookmarkStart w:id="0" w:name="_GoBack"/>
      <w:bookmarkEnd w:id="0"/>
    </w:p>
    <w:p w14:paraId="60ACA61B" w14:textId="77777777" w:rsidR="003D0242" w:rsidRPr="003D0242" w:rsidRDefault="003D0242" w:rsidP="003D0242">
      <w:pPr>
        <w:jc w:val="both"/>
      </w:pPr>
      <w:r w:rsidRPr="003D0242">
        <w:t>Rashodi za nabavu nefinancijske imovine u 2023. godini su značajno porasli u odnosu na one u 2022. godini i to zbog ulaganja u računalne programe, odnosno u Centralni informatički sustav koji je Agencija, prema Zakonu, bila u obvezi uvesti. Uz to, i ulaganje u uredsku opremu i namještaj je poraslo za 84,34 % ili 2.740,26 eura zbog nabavke nove opreme za novozaposlene djelatnice.</w:t>
      </w:r>
    </w:p>
    <w:p w14:paraId="5A6D4E2C" w14:textId="77777777" w:rsidR="00AF3B9A" w:rsidRPr="003D0242" w:rsidRDefault="00AF3B9A" w:rsidP="00AF3B9A">
      <w:pPr>
        <w:ind w:right="43"/>
        <w:jc w:val="both"/>
        <w:rPr>
          <w:b/>
          <w:noProof/>
          <w:lang w:eastAsia="en-US"/>
        </w:rPr>
      </w:pPr>
    </w:p>
    <w:p w14:paraId="2E5CCB32" w14:textId="77777777" w:rsidR="003D0242" w:rsidRDefault="00AF3B9A" w:rsidP="00AF3B9A">
      <w:pPr>
        <w:ind w:right="43"/>
        <w:jc w:val="both"/>
        <w:rPr>
          <w:noProof/>
          <w:lang w:eastAsia="en-US"/>
        </w:rPr>
      </w:pPr>
      <w:r w:rsidRPr="00AF3B9A">
        <w:rPr>
          <w:b/>
          <w:noProof/>
          <w:lang w:eastAsia="en-US"/>
        </w:rPr>
        <w:t>Pored financijskog izvještaja Agencije, prikazane su i uplate u državni proračun</w:t>
      </w:r>
      <w:r w:rsidRPr="00AF3B9A">
        <w:rPr>
          <w:noProof/>
          <w:lang w:eastAsia="en-US"/>
        </w:rPr>
        <w:t xml:space="preserve"> </w:t>
      </w:r>
      <w:r w:rsidRPr="00AF3B9A">
        <w:rPr>
          <w:b/>
          <w:noProof/>
          <w:lang w:eastAsia="en-US"/>
        </w:rPr>
        <w:t>Republike Hrvatske</w:t>
      </w:r>
      <w:r w:rsidRPr="00AF3B9A">
        <w:rPr>
          <w:noProof/>
          <w:lang w:eastAsia="en-US"/>
        </w:rPr>
        <w:t xml:space="preserve"> izvršene od strane brodara i korisnika povlaštenog prijevoza.</w:t>
      </w:r>
      <w:r w:rsidR="00977331">
        <w:rPr>
          <w:noProof/>
          <w:lang w:eastAsia="en-US"/>
        </w:rPr>
        <w:t xml:space="preserve"> </w:t>
      </w:r>
      <w:r w:rsidRPr="00AF3B9A">
        <w:rPr>
          <w:noProof/>
          <w:lang w:eastAsia="en-US"/>
        </w:rPr>
        <w:t>Brodari koji su održavali linije na kojima su prihodi od pružanja usluga veći od troškova koji su nastali kao posljedica obveze pružanja javnih usluga (profitabilne lini</w:t>
      </w:r>
      <w:r w:rsidR="003D0242">
        <w:rPr>
          <w:noProof/>
          <w:lang w:eastAsia="en-US"/>
        </w:rPr>
        <w:t>je) u Državni proračun RH u 2023</w:t>
      </w:r>
      <w:r w:rsidRPr="00AF3B9A">
        <w:rPr>
          <w:noProof/>
          <w:lang w:eastAsia="en-US"/>
        </w:rPr>
        <w:t>.</w:t>
      </w:r>
      <w:r w:rsidR="00536184">
        <w:rPr>
          <w:noProof/>
          <w:lang w:eastAsia="en-US"/>
        </w:rPr>
        <w:t xml:space="preserve"> godini uplatili su </w:t>
      </w:r>
      <w:r w:rsidR="003D0242">
        <w:rPr>
          <w:noProof/>
          <w:lang w:eastAsia="en-US"/>
        </w:rPr>
        <w:t>1.023.039,02 eura</w:t>
      </w:r>
      <w:r w:rsidRPr="00AF3B9A">
        <w:rPr>
          <w:noProof/>
          <w:lang w:eastAsia="en-US"/>
        </w:rPr>
        <w:t xml:space="preserve"> s osnova promje</w:t>
      </w:r>
      <w:r w:rsidR="003D0242">
        <w:rPr>
          <w:noProof/>
          <w:lang w:eastAsia="en-US"/>
        </w:rPr>
        <w:t>njive naknade za koncesiju i 15.926,76 eura</w:t>
      </w:r>
      <w:r w:rsidR="00A51D18">
        <w:rPr>
          <w:noProof/>
          <w:lang w:eastAsia="en-US"/>
        </w:rPr>
        <w:t xml:space="preserve"> s osnova</w:t>
      </w:r>
      <w:r w:rsidRPr="00AF3B9A">
        <w:rPr>
          <w:noProof/>
          <w:lang w:eastAsia="en-US"/>
        </w:rPr>
        <w:t xml:space="preserve"> fiksne naknade za koncesiju. </w:t>
      </w:r>
    </w:p>
    <w:p w14:paraId="38EC1581" w14:textId="77777777" w:rsidR="00AF3B9A" w:rsidRPr="00AF3B9A" w:rsidRDefault="00A034ED" w:rsidP="00AF3B9A">
      <w:pPr>
        <w:ind w:right="43"/>
        <w:jc w:val="both"/>
        <w:rPr>
          <w:noProof/>
          <w:lang w:eastAsia="en-US"/>
        </w:rPr>
      </w:pPr>
      <w:r>
        <w:rPr>
          <w:noProof/>
          <w:lang w:eastAsia="en-US"/>
        </w:rPr>
        <w:t>Na uplate u D</w:t>
      </w:r>
      <w:r w:rsidR="00AF3B9A" w:rsidRPr="00AF3B9A">
        <w:rPr>
          <w:noProof/>
          <w:lang w:eastAsia="en-US"/>
        </w:rPr>
        <w:t>ržavni proračun RH iz nadležnosti poslova Agencije odnose se i plaćanja za izdavanje otočnih iskaznica za povlašte</w:t>
      </w:r>
      <w:r w:rsidR="005E04C2">
        <w:rPr>
          <w:noProof/>
          <w:lang w:eastAsia="en-US"/>
        </w:rPr>
        <w:t>ni prije</w:t>
      </w:r>
      <w:r w:rsidR="003D0242">
        <w:rPr>
          <w:noProof/>
          <w:lang w:eastAsia="en-US"/>
        </w:rPr>
        <w:t>voz u 2023</w:t>
      </w:r>
      <w:r w:rsidR="00AF3B9A" w:rsidRPr="00AF3B9A">
        <w:rPr>
          <w:noProof/>
          <w:lang w:eastAsia="en-US"/>
        </w:rPr>
        <w:t xml:space="preserve">. godini s </w:t>
      </w:r>
      <w:r>
        <w:rPr>
          <w:noProof/>
          <w:lang w:eastAsia="en-US"/>
        </w:rPr>
        <w:t>te</w:t>
      </w:r>
      <w:r w:rsidR="005E04C2">
        <w:rPr>
          <w:noProof/>
          <w:lang w:eastAsia="en-US"/>
        </w:rPr>
        <w:t xml:space="preserve"> osnove uplaćeno je</w:t>
      </w:r>
      <w:r w:rsidR="003D0242">
        <w:rPr>
          <w:noProof/>
          <w:lang w:eastAsia="en-US"/>
        </w:rPr>
        <w:t xml:space="preserve"> 127.177,21 eura.</w:t>
      </w:r>
    </w:p>
    <w:p w14:paraId="5401D59F" w14:textId="77777777" w:rsidR="00AF3B9A" w:rsidRPr="00AF3B9A" w:rsidRDefault="00AF3B9A" w:rsidP="00AF3B9A">
      <w:pPr>
        <w:spacing w:after="200" w:line="276" w:lineRule="auto"/>
        <w:rPr>
          <w:rFonts w:eastAsiaTheme="minorHAnsi"/>
          <w:lang w:eastAsia="en-US"/>
        </w:rPr>
      </w:pPr>
    </w:p>
    <w:sectPr w:rsidR="00AF3B9A" w:rsidRPr="00AF3B9A" w:rsidSect="006F4C0E">
      <w:type w:val="continuous"/>
      <w:pgSz w:w="11906" w:h="16838"/>
      <w:pgMar w:top="1417" w:right="1417" w:bottom="1417" w:left="1417" w:header="709" w:footer="6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63AA23" w14:textId="77777777" w:rsidR="00CA069F" w:rsidRDefault="00CA069F" w:rsidP="0011560A">
      <w:r>
        <w:separator/>
      </w:r>
    </w:p>
  </w:endnote>
  <w:endnote w:type="continuationSeparator" w:id="0">
    <w:p w14:paraId="2C82C2CE" w14:textId="77777777" w:rsidR="00CA069F" w:rsidRDefault="00CA069F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6A0921" w14:textId="77777777" w:rsidR="005E7392" w:rsidRDefault="005E7392" w:rsidP="005E7392">
    <w:pPr>
      <w:pStyle w:val="Header"/>
    </w:pPr>
  </w:p>
  <w:p w14:paraId="6DED1180" w14:textId="77777777" w:rsidR="005E7392" w:rsidRDefault="005E7392" w:rsidP="005E7392"/>
  <w:p w14:paraId="3AC54586" w14:textId="77777777" w:rsidR="005E7392" w:rsidRDefault="005E7392" w:rsidP="005E7392">
    <w:pPr>
      <w:pStyle w:val="Footer"/>
    </w:pPr>
  </w:p>
  <w:p w14:paraId="3D09006B" w14:textId="77777777" w:rsidR="005E7392" w:rsidRDefault="005E7392" w:rsidP="005E7392"/>
  <w:p w14:paraId="1D61E170" w14:textId="77777777" w:rsidR="005E7392" w:rsidRPr="00CE78D1" w:rsidRDefault="005E7392" w:rsidP="005E7392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>
      <w:rPr>
        <w:color w:val="404040" w:themeColor="text1" w:themeTint="BF"/>
        <w:spacing w:val="20"/>
        <w:sz w:val="20"/>
      </w:rPr>
      <w:ptab w:relativeTo="margin" w:alignment="center" w:leader="none"/>
    </w: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  <w:p w14:paraId="4F1253FD" w14:textId="77777777" w:rsidR="005E7392" w:rsidRDefault="005E73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6D13D8" w14:textId="77777777" w:rsidR="00CA069F" w:rsidRDefault="00CA069F" w:rsidP="0011560A">
      <w:r>
        <w:separator/>
      </w:r>
    </w:p>
  </w:footnote>
  <w:footnote w:type="continuationSeparator" w:id="0">
    <w:p w14:paraId="249F3291" w14:textId="77777777" w:rsidR="00CA069F" w:rsidRDefault="00CA069F" w:rsidP="00115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B53D4"/>
    <w:multiLevelType w:val="hybridMultilevel"/>
    <w:tmpl w:val="45C29C5C"/>
    <w:lvl w:ilvl="0" w:tplc="715E97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2198C"/>
    <w:multiLevelType w:val="hybridMultilevel"/>
    <w:tmpl w:val="B898472E"/>
    <w:lvl w:ilvl="0" w:tplc="759EA8D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D546DB"/>
    <w:multiLevelType w:val="hybridMultilevel"/>
    <w:tmpl w:val="7414972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7C7A55"/>
    <w:multiLevelType w:val="hybridMultilevel"/>
    <w:tmpl w:val="C9C086A4"/>
    <w:lvl w:ilvl="0" w:tplc="A5D09C5A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12716"/>
    <w:rsid w:val="00017262"/>
    <w:rsid w:val="000350D9"/>
    <w:rsid w:val="00037697"/>
    <w:rsid w:val="00046936"/>
    <w:rsid w:val="00057310"/>
    <w:rsid w:val="00060087"/>
    <w:rsid w:val="00061832"/>
    <w:rsid w:val="00063520"/>
    <w:rsid w:val="00085D2A"/>
    <w:rsid w:val="00086A6C"/>
    <w:rsid w:val="000A1D60"/>
    <w:rsid w:val="000A3A3B"/>
    <w:rsid w:val="000B6B34"/>
    <w:rsid w:val="000D1A50"/>
    <w:rsid w:val="000D6CFD"/>
    <w:rsid w:val="000F6F07"/>
    <w:rsid w:val="001015C6"/>
    <w:rsid w:val="00110E6C"/>
    <w:rsid w:val="001149F1"/>
    <w:rsid w:val="0011560A"/>
    <w:rsid w:val="00135F1A"/>
    <w:rsid w:val="00140FFF"/>
    <w:rsid w:val="00146B79"/>
    <w:rsid w:val="00147DE9"/>
    <w:rsid w:val="00152483"/>
    <w:rsid w:val="001574AF"/>
    <w:rsid w:val="00160CD3"/>
    <w:rsid w:val="00170226"/>
    <w:rsid w:val="00171CEE"/>
    <w:rsid w:val="001741AA"/>
    <w:rsid w:val="00174830"/>
    <w:rsid w:val="001917B2"/>
    <w:rsid w:val="0019220D"/>
    <w:rsid w:val="00195575"/>
    <w:rsid w:val="001A13E7"/>
    <w:rsid w:val="001B281B"/>
    <w:rsid w:val="001B3A3A"/>
    <w:rsid w:val="001B55DF"/>
    <w:rsid w:val="001B7A97"/>
    <w:rsid w:val="001B7AA2"/>
    <w:rsid w:val="001D186E"/>
    <w:rsid w:val="001D68B1"/>
    <w:rsid w:val="001E17E0"/>
    <w:rsid w:val="001E7218"/>
    <w:rsid w:val="00200ADE"/>
    <w:rsid w:val="002179F8"/>
    <w:rsid w:val="00220956"/>
    <w:rsid w:val="002245C9"/>
    <w:rsid w:val="0023763F"/>
    <w:rsid w:val="00244577"/>
    <w:rsid w:val="0026193F"/>
    <w:rsid w:val="00266B93"/>
    <w:rsid w:val="0028608D"/>
    <w:rsid w:val="0029163B"/>
    <w:rsid w:val="002968FE"/>
    <w:rsid w:val="002A1D77"/>
    <w:rsid w:val="002B107A"/>
    <w:rsid w:val="002B2C62"/>
    <w:rsid w:val="002B77D7"/>
    <w:rsid w:val="002D1256"/>
    <w:rsid w:val="002D5EC9"/>
    <w:rsid w:val="002D6C51"/>
    <w:rsid w:val="002D7C91"/>
    <w:rsid w:val="002E5A0D"/>
    <w:rsid w:val="002E669F"/>
    <w:rsid w:val="00300CB0"/>
    <w:rsid w:val="003033E4"/>
    <w:rsid w:val="00304232"/>
    <w:rsid w:val="0030609C"/>
    <w:rsid w:val="00323C77"/>
    <w:rsid w:val="00326AC1"/>
    <w:rsid w:val="00336EE7"/>
    <w:rsid w:val="00336F96"/>
    <w:rsid w:val="00341845"/>
    <w:rsid w:val="0034351C"/>
    <w:rsid w:val="003541D2"/>
    <w:rsid w:val="00363638"/>
    <w:rsid w:val="00371CC5"/>
    <w:rsid w:val="00381F04"/>
    <w:rsid w:val="0038426B"/>
    <w:rsid w:val="003929F5"/>
    <w:rsid w:val="003A2F05"/>
    <w:rsid w:val="003B46A7"/>
    <w:rsid w:val="003B51BD"/>
    <w:rsid w:val="003C09D8"/>
    <w:rsid w:val="003C475E"/>
    <w:rsid w:val="003C7DBB"/>
    <w:rsid w:val="003D0242"/>
    <w:rsid w:val="003D2F5B"/>
    <w:rsid w:val="003D47D1"/>
    <w:rsid w:val="003E27C8"/>
    <w:rsid w:val="003E40E8"/>
    <w:rsid w:val="003F3B05"/>
    <w:rsid w:val="003F4B88"/>
    <w:rsid w:val="003F5623"/>
    <w:rsid w:val="0040115F"/>
    <w:rsid w:val="004039BD"/>
    <w:rsid w:val="00406F77"/>
    <w:rsid w:val="004359A3"/>
    <w:rsid w:val="00440D6D"/>
    <w:rsid w:val="00442367"/>
    <w:rsid w:val="004534DE"/>
    <w:rsid w:val="00454EEF"/>
    <w:rsid w:val="00461188"/>
    <w:rsid w:val="004743AF"/>
    <w:rsid w:val="004A776B"/>
    <w:rsid w:val="004B5450"/>
    <w:rsid w:val="004C1375"/>
    <w:rsid w:val="004C3324"/>
    <w:rsid w:val="004C4E0F"/>
    <w:rsid w:val="004C5354"/>
    <w:rsid w:val="004E0FE7"/>
    <w:rsid w:val="004E1300"/>
    <w:rsid w:val="004E4E34"/>
    <w:rsid w:val="00504248"/>
    <w:rsid w:val="00507C3E"/>
    <w:rsid w:val="005146D6"/>
    <w:rsid w:val="005164C2"/>
    <w:rsid w:val="00521BF2"/>
    <w:rsid w:val="00535408"/>
    <w:rsid w:val="00535E09"/>
    <w:rsid w:val="00536184"/>
    <w:rsid w:val="005439AE"/>
    <w:rsid w:val="00562C8C"/>
    <w:rsid w:val="0056365A"/>
    <w:rsid w:val="00571F6C"/>
    <w:rsid w:val="005861F2"/>
    <w:rsid w:val="005906BB"/>
    <w:rsid w:val="005B1B38"/>
    <w:rsid w:val="005B2BF2"/>
    <w:rsid w:val="005C3A4C"/>
    <w:rsid w:val="005D2DFE"/>
    <w:rsid w:val="005D7528"/>
    <w:rsid w:val="005E04C2"/>
    <w:rsid w:val="005E1331"/>
    <w:rsid w:val="005E7392"/>
    <w:rsid w:val="005E7CAB"/>
    <w:rsid w:val="005F4727"/>
    <w:rsid w:val="00614779"/>
    <w:rsid w:val="00633454"/>
    <w:rsid w:val="00642EA7"/>
    <w:rsid w:val="00645855"/>
    <w:rsid w:val="00647AD4"/>
    <w:rsid w:val="0065090C"/>
    <w:rsid w:val="00652604"/>
    <w:rsid w:val="006541DF"/>
    <w:rsid w:val="0066110E"/>
    <w:rsid w:val="0066348F"/>
    <w:rsid w:val="00675B44"/>
    <w:rsid w:val="0068013E"/>
    <w:rsid w:val="0068772B"/>
    <w:rsid w:val="00687788"/>
    <w:rsid w:val="00693A4D"/>
    <w:rsid w:val="00694D87"/>
    <w:rsid w:val="00695496"/>
    <w:rsid w:val="006A0C59"/>
    <w:rsid w:val="006A5712"/>
    <w:rsid w:val="006B7800"/>
    <w:rsid w:val="006C0CC3"/>
    <w:rsid w:val="006E14A9"/>
    <w:rsid w:val="006E611E"/>
    <w:rsid w:val="006F2078"/>
    <w:rsid w:val="006F4C0E"/>
    <w:rsid w:val="007010C7"/>
    <w:rsid w:val="00702CBC"/>
    <w:rsid w:val="007234AA"/>
    <w:rsid w:val="00726165"/>
    <w:rsid w:val="00731AC4"/>
    <w:rsid w:val="0075011C"/>
    <w:rsid w:val="00750FAC"/>
    <w:rsid w:val="007616B4"/>
    <w:rsid w:val="007638D8"/>
    <w:rsid w:val="00772CAD"/>
    <w:rsid w:val="00776753"/>
    <w:rsid w:val="00777CAA"/>
    <w:rsid w:val="0078648A"/>
    <w:rsid w:val="00792C11"/>
    <w:rsid w:val="007A1768"/>
    <w:rsid w:val="007A1881"/>
    <w:rsid w:val="007B53A6"/>
    <w:rsid w:val="007C354D"/>
    <w:rsid w:val="007C4A46"/>
    <w:rsid w:val="007C75CD"/>
    <w:rsid w:val="007D6A19"/>
    <w:rsid w:val="007E3480"/>
    <w:rsid w:val="007E3965"/>
    <w:rsid w:val="008054CE"/>
    <w:rsid w:val="008137B5"/>
    <w:rsid w:val="00825BA4"/>
    <w:rsid w:val="00833808"/>
    <w:rsid w:val="008353A1"/>
    <w:rsid w:val="008365FD"/>
    <w:rsid w:val="0085401A"/>
    <w:rsid w:val="00857BE3"/>
    <w:rsid w:val="00864D64"/>
    <w:rsid w:val="00881BBB"/>
    <w:rsid w:val="00884144"/>
    <w:rsid w:val="0089283D"/>
    <w:rsid w:val="00893283"/>
    <w:rsid w:val="0089343D"/>
    <w:rsid w:val="008B268B"/>
    <w:rsid w:val="008C0041"/>
    <w:rsid w:val="008C0768"/>
    <w:rsid w:val="008C1D0A"/>
    <w:rsid w:val="008D1E25"/>
    <w:rsid w:val="008D7FA4"/>
    <w:rsid w:val="008F0DD4"/>
    <w:rsid w:val="0090200F"/>
    <w:rsid w:val="0090476E"/>
    <w:rsid w:val="009047E4"/>
    <w:rsid w:val="009126B3"/>
    <w:rsid w:val="009152C4"/>
    <w:rsid w:val="0094664F"/>
    <w:rsid w:val="0095079B"/>
    <w:rsid w:val="00952995"/>
    <w:rsid w:val="009535FD"/>
    <w:rsid w:val="00953BA1"/>
    <w:rsid w:val="00954D08"/>
    <w:rsid w:val="009577E2"/>
    <w:rsid w:val="00977331"/>
    <w:rsid w:val="0098376C"/>
    <w:rsid w:val="009930CA"/>
    <w:rsid w:val="009A5424"/>
    <w:rsid w:val="009C33E1"/>
    <w:rsid w:val="009C7815"/>
    <w:rsid w:val="009F601D"/>
    <w:rsid w:val="00A00C2C"/>
    <w:rsid w:val="00A034ED"/>
    <w:rsid w:val="00A03B25"/>
    <w:rsid w:val="00A07941"/>
    <w:rsid w:val="00A15642"/>
    <w:rsid w:val="00A15F08"/>
    <w:rsid w:val="00A175E9"/>
    <w:rsid w:val="00A21819"/>
    <w:rsid w:val="00A44AC2"/>
    <w:rsid w:val="00A45CF4"/>
    <w:rsid w:val="00A51D18"/>
    <w:rsid w:val="00A52A71"/>
    <w:rsid w:val="00A573DC"/>
    <w:rsid w:val="00A62CC5"/>
    <w:rsid w:val="00A6339A"/>
    <w:rsid w:val="00A725A4"/>
    <w:rsid w:val="00A82403"/>
    <w:rsid w:val="00A83290"/>
    <w:rsid w:val="00A86DEE"/>
    <w:rsid w:val="00A94A2B"/>
    <w:rsid w:val="00AC7685"/>
    <w:rsid w:val="00AD2F06"/>
    <w:rsid w:val="00AD370D"/>
    <w:rsid w:val="00AD4D7C"/>
    <w:rsid w:val="00AD4F61"/>
    <w:rsid w:val="00AE59DF"/>
    <w:rsid w:val="00AF137A"/>
    <w:rsid w:val="00AF3B9A"/>
    <w:rsid w:val="00AF65A6"/>
    <w:rsid w:val="00B170AC"/>
    <w:rsid w:val="00B23BAB"/>
    <w:rsid w:val="00B42E00"/>
    <w:rsid w:val="00B462AB"/>
    <w:rsid w:val="00B507CA"/>
    <w:rsid w:val="00B57187"/>
    <w:rsid w:val="00B706F8"/>
    <w:rsid w:val="00B8265D"/>
    <w:rsid w:val="00B83195"/>
    <w:rsid w:val="00B908C2"/>
    <w:rsid w:val="00B93507"/>
    <w:rsid w:val="00BA28CD"/>
    <w:rsid w:val="00BA655C"/>
    <w:rsid w:val="00BA70A4"/>
    <w:rsid w:val="00BA72BF"/>
    <w:rsid w:val="00BC7D90"/>
    <w:rsid w:val="00BD49F2"/>
    <w:rsid w:val="00BE61F8"/>
    <w:rsid w:val="00BF3FCF"/>
    <w:rsid w:val="00C23D83"/>
    <w:rsid w:val="00C321C7"/>
    <w:rsid w:val="00C337A4"/>
    <w:rsid w:val="00C44327"/>
    <w:rsid w:val="00C44D6E"/>
    <w:rsid w:val="00C55FF3"/>
    <w:rsid w:val="00C66A18"/>
    <w:rsid w:val="00C80457"/>
    <w:rsid w:val="00C941CE"/>
    <w:rsid w:val="00C962AA"/>
    <w:rsid w:val="00C969CC"/>
    <w:rsid w:val="00CA069F"/>
    <w:rsid w:val="00CA4F84"/>
    <w:rsid w:val="00CB3C49"/>
    <w:rsid w:val="00CD1639"/>
    <w:rsid w:val="00CD3EFA"/>
    <w:rsid w:val="00CD43C5"/>
    <w:rsid w:val="00CE3D00"/>
    <w:rsid w:val="00CE78D1"/>
    <w:rsid w:val="00CF7BB4"/>
    <w:rsid w:val="00CF7EEC"/>
    <w:rsid w:val="00D07290"/>
    <w:rsid w:val="00D1127C"/>
    <w:rsid w:val="00D14240"/>
    <w:rsid w:val="00D1614C"/>
    <w:rsid w:val="00D30959"/>
    <w:rsid w:val="00D42D9A"/>
    <w:rsid w:val="00D53CA6"/>
    <w:rsid w:val="00D53EAE"/>
    <w:rsid w:val="00D54B4B"/>
    <w:rsid w:val="00D56569"/>
    <w:rsid w:val="00D615AE"/>
    <w:rsid w:val="00D62C4D"/>
    <w:rsid w:val="00D8016C"/>
    <w:rsid w:val="00D92A3D"/>
    <w:rsid w:val="00DA6809"/>
    <w:rsid w:val="00DB0A6B"/>
    <w:rsid w:val="00DB28EB"/>
    <w:rsid w:val="00DB6366"/>
    <w:rsid w:val="00DD1843"/>
    <w:rsid w:val="00DE1FB0"/>
    <w:rsid w:val="00DE542C"/>
    <w:rsid w:val="00DF1761"/>
    <w:rsid w:val="00E0543D"/>
    <w:rsid w:val="00E17436"/>
    <w:rsid w:val="00E24E8C"/>
    <w:rsid w:val="00E25569"/>
    <w:rsid w:val="00E41D16"/>
    <w:rsid w:val="00E43EFF"/>
    <w:rsid w:val="00E601A2"/>
    <w:rsid w:val="00E77198"/>
    <w:rsid w:val="00E83E23"/>
    <w:rsid w:val="00E921A9"/>
    <w:rsid w:val="00E94EE1"/>
    <w:rsid w:val="00EA3AD1"/>
    <w:rsid w:val="00EB1248"/>
    <w:rsid w:val="00EB5510"/>
    <w:rsid w:val="00EC08EF"/>
    <w:rsid w:val="00ED236E"/>
    <w:rsid w:val="00EE03CA"/>
    <w:rsid w:val="00EE23E2"/>
    <w:rsid w:val="00EE7199"/>
    <w:rsid w:val="00EF4DF3"/>
    <w:rsid w:val="00F02A5F"/>
    <w:rsid w:val="00F3220D"/>
    <w:rsid w:val="00F53F70"/>
    <w:rsid w:val="00F65397"/>
    <w:rsid w:val="00F764AD"/>
    <w:rsid w:val="00F943B0"/>
    <w:rsid w:val="00F95A2D"/>
    <w:rsid w:val="00F978E2"/>
    <w:rsid w:val="00F97BA9"/>
    <w:rsid w:val="00FA4E25"/>
    <w:rsid w:val="00FB0D46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D92ACB6"/>
  <w15:docId w15:val="{2C16CDF1-1C3D-4671-BF27-62D4FC7A0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147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9577E2"/>
    <w:pPr>
      <w:widowControl w:val="0"/>
      <w:jc w:val="center"/>
    </w:pPr>
    <w:rPr>
      <w:rFonts w:ascii="Tahoma" w:hAnsi="Tahoma" w:cs="Tahoma"/>
      <w:b/>
      <w:kern w:val="2"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9577E2"/>
    <w:rPr>
      <w:rFonts w:ascii="Tahoma" w:hAnsi="Tahoma" w:cs="Tahoma"/>
      <w:b/>
      <w:kern w:val="2"/>
      <w:sz w:val="28"/>
    </w:rPr>
  </w:style>
  <w:style w:type="paragraph" w:styleId="NoSpacing">
    <w:name w:val="No Spacing"/>
    <w:uiPriority w:val="1"/>
    <w:qFormat/>
    <w:rsid w:val="00D42D9A"/>
    <w:rPr>
      <w:rFonts w:asciiTheme="minorHAnsi" w:eastAsiaTheme="minorEastAsia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B23BA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6147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BCBB0-9372-4BF5-9CC4-BF56FE2A9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964</Words>
  <Characters>5495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Marina Tatalović</cp:lastModifiedBy>
  <cp:revision>9</cp:revision>
  <cp:lastPrinted>2024-09-30T10:44:00Z</cp:lastPrinted>
  <dcterms:created xsi:type="dcterms:W3CDTF">2024-09-30T14:05:00Z</dcterms:created>
  <dcterms:modified xsi:type="dcterms:W3CDTF">2024-10-08T13:47:00Z</dcterms:modified>
</cp:coreProperties>
</file>