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10C05" w14:textId="77777777" w:rsidR="006C664A" w:rsidRPr="00F50890" w:rsidRDefault="006C664A" w:rsidP="006C664A">
      <w:pPr>
        <w:jc w:val="center"/>
        <w:rPr>
          <w:sz w:val="22"/>
          <w:szCs w:val="22"/>
        </w:rPr>
      </w:pPr>
      <w:r w:rsidRPr="00F50890">
        <w:rPr>
          <w:noProof/>
          <w:sz w:val="22"/>
          <w:szCs w:val="22"/>
        </w:rPr>
        <w:drawing>
          <wp:inline distT="0" distB="0" distL="0" distR="0" wp14:anchorId="4C239D3F" wp14:editId="7D2CC2AB">
            <wp:extent cx="502285" cy="68834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71FD6" w14:textId="77777777" w:rsidR="006C664A" w:rsidRPr="00F50890" w:rsidRDefault="006C664A" w:rsidP="006C664A">
      <w:pPr>
        <w:spacing w:before="60" w:after="1680"/>
        <w:jc w:val="center"/>
        <w:rPr>
          <w:sz w:val="22"/>
          <w:szCs w:val="22"/>
        </w:rPr>
      </w:pPr>
      <w:r w:rsidRPr="00F50890">
        <w:rPr>
          <w:sz w:val="22"/>
          <w:szCs w:val="22"/>
        </w:rPr>
        <w:t>VLADA REPUBLIKE HRVATSKE</w:t>
      </w:r>
    </w:p>
    <w:p w14:paraId="5C5D570B" w14:textId="77777777" w:rsidR="006C664A" w:rsidRPr="00F50890" w:rsidRDefault="006C664A" w:rsidP="006C664A">
      <w:pPr>
        <w:jc w:val="both"/>
        <w:rPr>
          <w:sz w:val="22"/>
          <w:szCs w:val="22"/>
        </w:rPr>
      </w:pPr>
    </w:p>
    <w:p w14:paraId="03E1160B" w14:textId="554DBD67" w:rsidR="006C664A" w:rsidRPr="00130713" w:rsidRDefault="006C664A" w:rsidP="006C664A">
      <w:pPr>
        <w:jc w:val="right"/>
      </w:pPr>
      <w:r w:rsidRPr="00130713">
        <w:t xml:space="preserve">Zagreb, </w:t>
      </w:r>
      <w:r w:rsidR="00686725">
        <w:t>31</w:t>
      </w:r>
      <w:bookmarkStart w:id="0" w:name="_GoBack"/>
      <w:bookmarkEnd w:id="0"/>
      <w:r w:rsidR="00130713" w:rsidRPr="00130713">
        <w:t>. listopada</w:t>
      </w:r>
      <w:r w:rsidR="00124E97" w:rsidRPr="00130713">
        <w:t xml:space="preserve"> 202</w:t>
      </w:r>
      <w:r w:rsidR="00FC1068" w:rsidRPr="00130713">
        <w:t>4</w:t>
      </w:r>
      <w:r w:rsidRPr="00130713">
        <w:t>.</w:t>
      </w:r>
      <w:r w:rsidR="00124E97" w:rsidRPr="00130713">
        <w:t xml:space="preserve"> </w:t>
      </w:r>
    </w:p>
    <w:p w14:paraId="6D175DB0" w14:textId="19F7FEB1" w:rsidR="006C664A" w:rsidRDefault="006C664A" w:rsidP="006C664A">
      <w:pPr>
        <w:jc w:val="right"/>
        <w:rPr>
          <w:sz w:val="22"/>
          <w:szCs w:val="22"/>
        </w:rPr>
      </w:pPr>
    </w:p>
    <w:p w14:paraId="59F2853F" w14:textId="15117387" w:rsidR="00C94BDB" w:rsidRDefault="00C94BDB" w:rsidP="006C664A">
      <w:pPr>
        <w:jc w:val="right"/>
        <w:rPr>
          <w:sz w:val="22"/>
          <w:szCs w:val="22"/>
        </w:rPr>
      </w:pPr>
    </w:p>
    <w:p w14:paraId="5989BA3D" w14:textId="77777777" w:rsidR="00C94BDB" w:rsidRPr="00F50890" w:rsidRDefault="00C94BDB" w:rsidP="006C664A">
      <w:pPr>
        <w:jc w:val="right"/>
        <w:rPr>
          <w:sz w:val="22"/>
          <w:szCs w:val="22"/>
        </w:rPr>
      </w:pPr>
    </w:p>
    <w:p w14:paraId="347223E5" w14:textId="77777777" w:rsidR="006C664A" w:rsidRPr="00F50890" w:rsidRDefault="006C664A" w:rsidP="006C664A">
      <w:pPr>
        <w:rPr>
          <w:sz w:val="22"/>
          <w:szCs w:val="22"/>
        </w:rPr>
      </w:pPr>
    </w:p>
    <w:p w14:paraId="19D7E4E1" w14:textId="2E12E718" w:rsidR="006C664A" w:rsidRPr="00F50890" w:rsidRDefault="006C664A" w:rsidP="006C664A">
      <w:pPr>
        <w:jc w:val="both"/>
        <w:rPr>
          <w:sz w:val="22"/>
          <w:szCs w:val="22"/>
        </w:rPr>
      </w:pPr>
      <w:r w:rsidRPr="00F50890">
        <w:rPr>
          <w:sz w:val="22"/>
          <w:szCs w:val="22"/>
        </w:rPr>
        <w:t>__________________________________________________________________________</w:t>
      </w:r>
      <w:r w:rsidR="00130713">
        <w:rPr>
          <w:sz w:val="22"/>
          <w:szCs w:val="22"/>
        </w:rPr>
        <w:t>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6C664A" w:rsidRPr="00F50890" w14:paraId="29E6CD77" w14:textId="77777777" w:rsidTr="00642F5D">
        <w:tc>
          <w:tcPr>
            <w:tcW w:w="1951" w:type="dxa"/>
            <w:hideMark/>
          </w:tcPr>
          <w:p w14:paraId="0A7459AB" w14:textId="4C393FC4" w:rsidR="006C664A" w:rsidRPr="00130713" w:rsidRDefault="006C664A" w:rsidP="00642F5D">
            <w:pPr>
              <w:spacing w:line="360" w:lineRule="auto"/>
              <w:jc w:val="right"/>
            </w:pPr>
            <w:r w:rsidRPr="00130713">
              <w:rPr>
                <w:b/>
                <w:smallCaps/>
              </w:rPr>
              <w:t>Predlagatelj</w:t>
            </w:r>
            <w:r w:rsidRPr="00130713">
              <w:rPr>
                <w:b/>
              </w:rPr>
              <w:t>:</w:t>
            </w:r>
          </w:p>
        </w:tc>
        <w:tc>
          <w:tcPr>
            <w:tcW w:w="7229" w:type="dxa"/>
            <w:hideMark/>
          </w:tcPr>
          <w:p w14:paraId="18FD6243" w14:textId="015210C6" w:rsidR="00A559E1" w:rsidRDefault="00124E97" w:rsidP="00124E97">
            <w:r w:rsidRPr="00130713">
              <w:t>Ministarstvo prostornoga uređenja, graditeljstva i državne imovine</w:t>
            </w:r>
          </w:p>
          <w:p w14:paraId="445A2B0F" w14:textId="77777777" w:rsidR="00A559E1" w:rsidRPr="00130713" w:rsidRDefault="00A559E1" w:rsidP="00124E97"/>
          <w:p w14:paraId="2CA0A500" w14:textId="46B5BB3A" w:rsidR="006C664A" w:rsidRPr="00130713" w:rsidRDefault="006C664A" w:rsidP="00124E97"/>
        </w:tc>
      </w:tr>
    </w:tbl>
    <w:p w14:paraId="16650741" w14:textId="2BB1BA15" w:rsidR="006C664A" w:rsidRPr="00F50890" w:rsidRDefault="006C664A" w:rsidP="006C664A">
      <w:pPr>
        <w:jc w:val="both"/>
        <w:rPr>
          <w:sz w:val="22"/>
          <w:szCs w:val="22"/>
        </w:rPr>
      </w:pPr>
      <w:r w:rsidRPr="00F50890">
        <w:rPr>
          <w:sz w:val="22"/>
          <w:szCs w:val="22"/>
        </w:rPr>
        <w:t>__________________________________________________________________________</w:t>
      </w:r>
      <w:r w:rsidR="00130713">
        <w:rPr>
          <w:sz w:val="22"/>
          <w:szCs w:val="22"/>
        </w:rPr>
        <w:t>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133"/>
      </w:tblGrid>
      <w:tr w:rsidR="006C664A" w:rsidRPr="00DE0BA2" w14:paraId="07B9DB25" w14:textId="77777777" w:rsidTr="002A6227">
        <w:trPr>
          <w:trHeight w:val="1414"/>
        </w:trPr>
        <w:tc>
          <w:tcPr>
            <w:tcW w:w="1951" w:type="dxa"/>
            <w:hideMark/>
          </w:tcPr>
          <w:p w14:paraId="3CD404DB" w14:textId="77777777" w:rsidR="006C664A" w:rsidRPr="00DE0BA2" w:rsidRDefault="006C664A" w:rsidP="00642F5D">
            <w:pPr>
              <w:spacing w:line="360" w:lineRule="auto"/>
              <w:jc w:val="right"/>
            </w:pPr>
            <w:r w:rsidRPr="00DE0BA2">
              <w:rPr>
                <w:b/>
                <w:smallCaps/>
              </w:rPr>
              <w:t>Predmet</w:t>
            </w:r>
            <w:r w:rsidRPr="00DE0BA2">
              <w:rPr>
                <w:b/>
              </w:rPr>
              <w:t>:</w:t>
            </w:r>
          </w:p>
        </w:tc>
        <w:tc>
          <w:tcPr>
            <w:tcW w:w="7229" w:type="dxa"/>
            <w:hideMark/>
          </w:tcPr>
          <w:p w14:paraId="7B0C00AF" w14:textId="3DC6F055" w:rsidR="006C664A" w:rsidRDefault="001A3FD7" w:rsidP="00A93058">
            <w:pPr>
              <w:jc w:val="both"/>
              <w:rPr>
                <w:bCs/>
                <w:snapToGrid w:val="0"/>
              </w:rPr>
            </w:pPr>
            <w:bookmarkStart w:id="1" w:name="OLE_LINK36"/>
            <w:bookmarkStart w:id="2" w:name="OLE_LINK37"/>
            <w:r w:rsidRPr="00DE0BA2">
              <w:rPr>
                <w:bCs/>
                <w:snapToGrid w:val="0"/>
              </w:rPr>
              <w:t>Odluka</w:t>
            </w:r>
            <w:r w:rsidR="00124E97" w:rsidRPr="00DE0BA2">
              <w:rPr>
                <w:bCs/>
                <w:snapToGrid w:val="0"/>
              </w:rPr>
              <w:t xml:space="preserve"> o davanju suglasnosti Ministarstvu prostornoga uređenja, g</w:t>
            </w:r>
            <w:r w:rsidR="00A93058" w:rsidRPr="00DE0BA2">
              <w:rPr>
                <w:bCs/>
                <w:snapToGrid w:val="0"/>
              </w:rPr>
              <w:t xml:space="preserve">raditeljstva i državne imovine </w:t>
            </w:r>
            <w:r w:rsidR="008E4711" w:rsidRPr="00DE0BA2">
              <w:rPr>
                <w:bCs/>
                <w:snapToGrid w:val="0"/>
              </w:rPr>
              <w:t xml:space="preserve">za preuzimanje obveza na teret </w:t>
            </w:r>
            <w:r w:rsidR="00CA5476" w:rsidRPr="00DE0BA2">
              <w:rPr>
                <w:bCs/>
                <w:snapToGrid w:val="0"/>
              </w:rPr>
              <w:t xml:space="preserve">sredstava </w:t>
            </w:r>
            <w:r w:rsidR="008E4711" w:rsidRPr="00DE0BA2">
              <w:rPr>
                <w:bCs/>
                <w:snapToGrid w:val="0"/>
              </w:rPr>
              <w:t xml:space="preserve">državnog proračuna Republike Hrvatske u </w:t>
            </w:r>
            <w:r w:rsidR="002954EA" w:rsidRPr="00DE0BA2">
              <w:rPr>
                <w:bCs/>
                <w:snapToGrid w:val="0"/>
              </w:rPr>
              <w:t xml:space="preserve">2025., </w:t>
            </w:r>
            <w:r w:rsidR="008E4711" w:rsidRPr="00DE0BA2">
              <w:rPr>
                <w:bCs/>
                <w:snapToGrid w:val="0"/>
              </w:rPr>
              <w:t>202</w:t>
            </w:r>
            <w:r w:rsidR="00F05466" w:rsidRPr="00DE0BA2">
              <w:rPr>
                <w:bCs/>
                <w:snapToGrid w:val="0"/>
              </w:rPr>
              <w:t>6</w:t>
            </w:r>
            <w:r w:rsidR="008E4711" w:rsidRPr="00DE0BA2">
              <w:rPr>
                <w:bCs/>
                <w:snapToGrid w:val="0"/>
              </w:rPr>
              <w:t>. i 202</w:t>
            </w:r>
            <w:r w:rsidR="00F05466" w:rsidRPr="00DE0BA2">
              <w:rPr>
                <w:bCs/>
                <w:snapToGrid w:val="0"/>
              </w:rPr>
              <w:t>7</w:t>
            </w:r>
            <w:r w:rsidR="008E4711" w:rsidRPr="00DE0BA2">
              <w:rPr>
                <w:bCs/>
                <w:snapToGrid w:val="0"/>
              </w:rPr>
              <w:t xml:space="preserve">. godini </w:t>
            </w:r>
            <w:bookmarkEnd w:id="1"/>
            <w:bookmarkEnd w:id="2"/>
            <w:r w:rsidR="008E4711" w:rsidRPr="00DE0BA2">
              <w:rPr>
                <w:bCs/>
                <w:snapToGrid w:val="0"/>
              </w:rPr>
              <w:t xml:space="preserve">za </w:t>
            </w:r>
            <w:r w:rsidR="00BE3217" w:rsidRPr="00DE0BA2">
              <w:rPr>
                <w:bCs/>
                <w:snapToGrid w:val="0"/>
              </w:rPr>
              <w:t xml:space="preserve">dovršetak projekta </w:t>
            </w:r>
            <w:r w:rsidR="00253078" w:rsidRPr="00DE0BA2">
              <w:rPr>
                <w:bCs/>
                <w:snapToGrid w:val="0"/>
              </w:rPr>
              <w:t xml:space="preserve">rekonstrukcije i izgradnje KBC Zagreb – Rebro faza </w:t>
            </w:r>
            <w:bookmarkStart w:id="3" w:name="OLE_LINK38"/>
            <w:bookmarkStart w:id="4" w:name="OLE_LINK39"/>
            <w:r w:rsidR="00CE0B51">
              <w:rPr>
                <w:bCs/>
                <w:snapToGrid w:val="0"/>
              </w:rPr>
              <w:t>III</w:t>
            </w:r>
            <w:r w:rsidR="00CE0B51" w:rsidRPr="00DE0BA2">
              <w:rPr>
                <w:bCs/>
                <w:snapToGrid w:val="0"/>
              </w:rPr>
              <w:t xml:space="preserve"> </w:t>
            </w:r>
            <w:r w:rsidR="00152F40" w:rsidRPr="00DE0BA2">
              <w:rPr>
                <w:bCs/>
                <w:snapToGrid w:val="0"/>
              </w:rPr>
              <w:t>u sklopu Projekta obnove nakon potresa i jačanja pripravnosti javnog zdravstva</w:t>
            </w:r>
            <w:bookmarkEnd w:id="3"/>
            <w:bookmarkEnd w:id="4"/>
          </w:p>
          <w:p w14:paraId="2CCB20E6" w14:textId="0E62B024" w:rsidR="00A559E1" w:rsidRPr="00DE0BA2" w:rsidRDefault="00A559E1" w:rsidP="00A93058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14:paraId="0018C7C7" w14:textId="78ED9240" w:rsidR="006C664A" w:rsidRPr="00F50890" w:rsidRDefault="006C664A" w:rsidP="006C664A">
      <w:pPr>
        <w:jc w:val="both"/>
        <w:rPr>
          <w:sz w:val="22"/>
          <w:szCs w:val="22"/>
        </w:rPr>
      </w:pPr>
      <w:r w:rsidRPr="00DE0BA2">
        <w:rPr>
          <w:sz w:val="22"/>
          <w:szCs w:val="22"/>
        </w:rPr>
        <w:lastRenderedPageBreak/>
        <w:t>__________________________________________________________________________</w:t>
      </w:r>
      <w:r w:rsidR="00130713" w:rsidRPr="00DE0BA2">
        <w:rPr>
          <w:sz w:val="22"/>
          <w:szCs w:val="22"/>
        </w:rPr>
        <w:t>_____</w:t>
      </w:r>
    </w:p>
    <w:p w14:paraId="51B4CCA6" w14:textId="77777777" w:rsidR="006C664A" w:rsidRPr="00F50890" w:rsidRDefault="006C664A" w:rsidP="006C664A">
      <w:pPr>
        <w:jc w:val="both"/>
        <w:rPr>
          <w:sz w:val="22"/>
          <w:szCs w:val="22"/>
        </w:rPr>
      </w:pPr>
    </w:p>
    <w:p w14:paraId="201BCE5B" w14:textId="77777777" w:rsidR="006C664A" w:rsidRPr="00F50890" w:rsidRDefault="006C664A" w:rsidP="006C664A">
      <w:pPr>
        <w:jc w:val="both"/>
        <w:rPr>
          <w:sz w:val="22"/>
          <w:szCs w:val="22"/>
        </w:rPr>
      </w:pPr>
    </w:p>
    <w:p w14:paraId="65C83633" w14:textId="77777777" w:rsidR="006C664A" w:rsidRPr="00F50890" w:rsidRDefault="006C664A" w:rsidP="006C664A">
      <w:pPr>
        <w:jc w:val="both"/>
        <w:rPr>
          <w:sz w:val="22"/>
          <w:szCs w:val="22"/>
        </w:rPr>
      </w:pPr>
    </w:p>
    <w:p w14:paraId="4CD424C2" w14:textId="77777777" w:rsidR="006C664A" w:rsidRPr="00F50890" w:rsidRDefault="006C664A" w:rsidP="006C664A">
      <w:pPr>
        <w:jc w:val="both"/>
        <w:rPr>
          <w:sz w:val="22"/>
          <w:szCs w:val="22"/>
        </w:rPr>
      </w:pPr>
    </w:p>
    <w:p w14:paraId="01930557" w14:textId="77777777" w:rsidR="006C664A" w:rsidRPr="00F50890" w:rsidRDefault="006C664A" w:rsidP="006C664A">
      <w:pPr>
        <w:jc w:val="both"/>
        <w:rPr>
          <w:sz w:val="22"/>
          <w:szCs w:val="22"/>
        </w:rPr>
      </w:pPr>
    </w:p>
    <w:p w14:paraId="00408C70" w14:textId="77777777" w:rsidR="006C664A" w:rsidRPr="00F50890" w:rsidRDefault="006C664A" w:rsidP="006C664A">
      <w:pPr>
        <w:rPr>
          <w:sz w:val="22"/>
          <w:szCs w:val="22"/>
        </w:rPr>
      </w:pPr>
    </w:p>
    <w:p w14:paraId="47585026" w14:textId="77777777" w:rsidR="006C664A" w:rsidRPr="00F50890" w:rsidRDefault="006C664A" w:rsidP="006C664A">
      <w:pPr>
        <w:rPr>
          <w:sz w:val="22"/>
          <w:szCs w:val="22"/>
        </w:rPr>
      </w:pPr>
    </w:p>
    <w:p w14:paraId="22078E45" w14:textId="77777777" w:rsidR="006C664A" w:rsidRPr="00F50890" w:rsidRDefault="006C664A" w:rsidP="006C664A">
      <w:pPr>
        <w:rPr>
          <w:sz w:val="22"/>
          <w:szCs w:val="22"/>
        </w:rPr>
      </w:pPr>
    </w:p>
    <w:p w14:paraId="16E9AD95" w14:textId="77777777" w:rsidR="006C664A" w:rsidRPr="00F50890" w:rsidRDefault="006C664A" w:rsidP="006C664A">
      <w:pPr>
        <w:rPr>
          <w:sz w:val="22"/>
          <w:szCs w:val="22"/>
        </w:rPr>
      </w:pPr>
    </w:p>
    <w:p w14:paraId="1DB4EFAB" w14:textId="77777777" w:rsidR="006C664A" w:rsidRPr="00F50890" w:rsidRDefault="006C664A" w:rsidP="006C664A">
      <w:pPr>
        <w:rPr>
          <w:sz w:val="22"/>
          <w:szCs w:val="22"/>
        </w:rPr>
      </w:pPr>
    </w:p>
    <w:p w14:paraId="415B31FC" w14:textId="77777777" w:rsidR="006C664A" w:rsidRPr="00F50890" w:rsidRDefault="006C664A" w:rsidP="006C664A">
      <w:pPr>
        <w:rPr>
          <w:sz w:val="22"/>
          <w:szCs w:val="22"/>
        </w:rPr>
      </w:pPr>
    </w:p>
    <w:p w14:paraId="62997998" w14:textId="77777777" w:rsidR="006C664A" w:rsidRDefault="006C664A" w:rsidP="006C664A">
      <w:pPr>
        <w:rPr>
          <w:sz w:val="22"/>
          <w:szCs w:val="22"/>
        </w:rPr>
      </w:pPr>
    </w:p>
    <w:p w14:paraId="0979548E" w14:textId="77777777" w:rsidR="00FB08E9" w:rsidRDefault="00FB08E9" w:rsidP="006C664A">
      <w:pPr>
        <w:rPr>
          <w:sz w:val="22"/>
          <w:szCs w:val="22"/>
        </w:rPr>
      </w:pPr>
    </w:p>
    <w:p w14:paraId="32746907" w14:textId="77777777" w:rsidR="00FB08E9" w:rsidRDefault="00FB08E9" w:rsidP="006C664A">
      <w:pPr>
        <w:rPr>
          <w:sz w:val="22"/>
          <w:szCs w:val="22"/>
        </w:rPr>
      </w:pPr>
    </w:p>
    <w:p w14:paraId="62438249" w14:textId="77777777" w:rsidR="00FB08E9" w:rsidRDefault="00FB08E9" w:rsidP="006C664A">
      <w:pPr>
        <w:rPr>
          <w:sz w:val="22"/>
          <w:szCs w:val="22"/>
        </w:rPr>
      </w:pPr>
    </w:p>
    <w:p w14:paraId="78179F2F" w14:textId="77777777" w:rsidR="00FB08E9" w:rsidRDefault="00FB08E9" w:rsidP="006C664A">
      <w:pPr>
        <w:rPr>
          <w:sz w:val="22"/>
          <w:szCs w:val="22"/>
        </w:rPr>
      </w:pPr>
    </w:p>
    <w:p w14:paraId="45A5BA56" w14:textId="77777777" w:rsidR="00FB08E9" w:rsidRPr="00F50890" w:rsidRDefault="00FB08E9" w:rsidP="006C664A">
      <w:pPr>
        <w:rPr>
          <w:sz w:val="22"/>
          <w:szCs w:val="22"/>
        </w:rPr>
      </w:pPr>
    </w:p>
    <w:p w14:paraId="34DAAF62" w14:textId="77777777" w:rsidR="006C664A" w:rsidRPr="00F50890" w:rsidRDefault="006C664A" w:rsidP="006C664A">
      <w:pPr>
        <w:rPr>
          <w:sz w:val="22"/>
          <w:szCs w:val="22"/>
        </w:rPr>
      </w:pPr>
    </w:p>
    <w:p w14:paraId="60CCC66D" w14:textId="1F9D92C4" w:rsidR="006C664A" w:rsidRPr="00F50890" w:rsidRDefault="006C664A" w:rsidP="006C664A">
      <w:pPr>
        <w:rPr>
          <w:sz w:val="22"/>
          <w:szCs w:val="22"/>
        </w:rPr>
      </w:pPr>
    </w:p>
    <w:p w14:paraId="730B7AB0" w14:textId="0656843E" w:rsidR="006C664A" w:rsidRPr="00F50890" w:rsidRDefault="006C664A" w:rsidP="006C664A">
      <w:pPr>
        <w:rPr>
          <w:sz w:val="22"/>
          <w:szCs w:val="22"/>
        </w:rPr>
      </w:pPr>
    </w:p>
    <w:p w14:paraId="7D8C63F2" w14:textId="4B57578D" w:rsidR="00FB08E9" w:rsidRPr="00FB08E9" w:rsidRDefault="006C664A" w:rsidP="00FB08E9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color w:val="404040"/>
          <w:spacing w:val="20"/>
          <w:sz w:val="22"/>
          <w:szCs w:val="22"/>
        </w:rPr>
      </w:pPr>
      <w:r w:rsidRPr="00F50890">
        <w:rPr>
          <w:color w:val="404040"/>
          <w:spacing w:val="20"/>
          <w:sz w:val="22"/>
          <w:szCs w:val="22"/>
        </w:rPr>
        <w:t>Banski dvori | Trg Sv. Marka 2  | 10000 Zagreb | tel. 01 4569 222 | vlada.gov.h</w:t>
      </w:r>
      <w:r w:rsidR="0081314A" w:rsidRPr="00F50890">
        <w:rPr>
          <w:color w:val="404040"/>
          <w:spacing w:val="20"/>
          <w:sz w:val="22"/>
          <w:szCs w:val="22"/>
        </w:rPr>
        <w:t>r</w:t>
      </w:r>
    </w:p>
    <w:p w14:paraId="63202B78" w14:textId="77777777" w:rsidR="00FB08E9" w:rsidRDefault="00FB08E9" w:rsidP="004B02CF">
      <w:pPr>
        <w:widowControl w:val="0"/>
        <w:tabs>
          <w:tab w:val="left" w:pos="-720"/>
        </w:tabs>
        <w:suppressAutoHyphens/>
        <w:ind w:firstLine="1418"/>
        <w:jc w:val="both"/>
        <w:rPr>
          <w:spacing w:val="-3"/>
          <w:sz w:val="22"/>
          <w:szCs w:val="22"/>
        </w:rPr>
      </w:pPr>
    </w:p>
    <w:p w14:paraId="344E1CB6" w14:textId="66210608" w:rsidR="00FB08E9" w:rsidRPr="0000568F" w:rsidRDefault="00FB08E9" w:rsidP="00130713">
      <w:pPr>
        <w:widowControl w:val="0"/>
        <w:tabs>
          <w:tab w:val="left" w:pos="-720"/>
        </w:tabs>
        <w:suppressAutoHyphens/>
        <w:jc w:val="both"/>
        <w:rPr>
          <w:spacing w:val="-3"/>
        </w:rPr>
      </w:pPr>
    </w:p>
    <w:p w14:paraId="1BF15D97" w14:textId="00E8AB76" w:rsidR="0000568F" w:rsidRPr="0000568F" w:rsidRDefault="0000568F" w:rsidP="00130713">
      <w:pPr>
        <w:widowControl w:val="0"/>
        <w:tabs>
          <w:tab w:val="left" w:pos="-720"/>
        </w:tabs>
        <w:suppressAutoHyphens/>
        <w:jc w:val="both"/>
        <w:rPr>
          <w:spacing w:val="-3"/>
        </w:rPr>
      </w:pPr>
    </w:p>
    <w:p w14:paraId="79068B88" w14:textId="3D8FB7DA" w:rsidR="0000568F" w:rsidRDefault="0000568F" w:rsidP="00130713">
      <w:pPr>
        <w:widowControl w:val="0"/>
        <w:tabs>
          <w:tab w:val="left" w:pos="-720"/>
        </w:tabs>
        <w:suppressAutoHyphens/>
        <w:jc w:val="both"/>
        <w:rPr>
          <w:spacing w:val="-3"/>
        </w:rPr>
      </w:pPr>
    </w:p>
    <w:p w14:paraId="4D8CFEE9" w14:textId="50812A24" w:rsidR="0000568F" w:rsidRDefault="0000568F" w:rsidP="00130713">
      <w:pPr>
        <w:widowControl w:val="0"/>
        <w:tabs>
          <w:tab w:val="left" w:pos="-720"/>
        </w:tabs>
        <w:suppressAutoHyphens/>
        <w:jc w:val="both"/>
        <w:rPr>
          <w:spacing w:val="-3"/>
        </w:rPr>
      </w:pPr>
    </w:p>
    <w:p w14:paraId="063A953A" w14:textId="32113674" w:rsidR="0000568F" w:rsidRDefault="0000568F" w:rsidP="00130713">
      <w:pPr>
        <w:widowControl w:val="0"/>
        <w:tabs>
          <w:tab w:val="left" w:pos="-720"/>
        </w:tabs>
        <w:suppressAutoHyphens/>
        <w:jc w:val="both"/>
        <w:rPr>
          <w:spacing w:val="-3"/>
        </w:rPr>
      </w:pPr>
    </w:p>
    <w:p w14:paraId="5962BF3B" w14:textId="2C37B319" w:rsidR="0000568F" w:rsidRDefault="0000568F" w:rsidP="00130713">
      <w:pPr>
        <w:widowControl w:val="0"/>
        <w:tabs>
          <w:tab w:val="left" w:pos="-720"/>
        </w:tabs>
        <w:suppressAutoHyphens/>
        <w:jc w:val="both"/>
        <w:rPr>
          <w:spacing w:val="-3"/>
        </w:rPr>
      </w:pPr>
    </w:p>
    <w:p w14:paraId="6FDE7D9A" w14:textId="77777777" w:rsidR="00C94BDB" w:rsidRPr="0000568F" w:rsidRDefault="00C94BDB" w:rsidP="00130713">
      <w:pPr>
        <w:widowControl w:val="0"/>
        <w:tabs>
          <w:tab w:val="left" w:pos="-720"/>
        </w:tabs>
        <w:suppressAutoHyphens/>
        <w:jc w:val="both"/>
        <w:rPr>
          <w:spacing w:val="-3"/>
        </w:rPr>
      </w:pPr>
    </w:p>
    <w:p w14:paraId="598BC21B" w14:textId="277FA474" w:rsidR="006C664A" w:rsidRPr="0000568F" w:rsidRDefault="00FB08E9" w:rsidP="00FB08E9">
      <w:pPr>
        <w:widowControl w:val="0"/>
        <w:tabs>
          <w:tab w:val="left" w:pos="-720"/>
        </w:tabs>
        <w:suppressAutoHyphens/>
        <w:jc w:val="both"/>
        <w:rPr>
          <w:spacing w:val="-3"/>
        </w:rPr>
      </w:pPr>
      <w:r w:rsidRPr="0000568F">
        <w:rPr>
          <w:spacing w:val="-3"/>
        </w:rPr>
        <w:tab/>
      </w:r>
      <w:r w:rsidR="0000568F">
        <w:rPr>
          <w:spacing w:val="-3"/>
        </w:rPr>
        <w:tab/>
      </w:r>
      <w:r w:rsidR="006C664A" w:rsidRPr="0000568F">
        <w:rPr>
          <w:spacing w:val="-3"/>
        </w:rPr>
        <w:t xml:space="preserve">Na temelju članka </w:t>
      </w:r>
      <w:r w:rsidR="000245B0" w:rsidRPr="0000568F">
        <w:rPr>
          <w:spacing w:val="-3"/>
        </w:rPr>
        <w:t>48</w:t>
      </w:r>
      <w:r w:rsidR="006C664A" w:rsidRPr="0000568F">
        <w:rPr>
          <w:spacing w:val="-3"/>
        </w:rPr>
        <w:t>. stavka 2. Zakona o proračunu (</w:t>
      </w:r>
      <w:r w:rsidR="004B02CF" w:rsidRPr="0000568F">
        <w:rPr>
          <w:spacing w:val="-3"/>
        </w:rPr>
        <w:t>„</w:t>
      </w:r>
      <w:r w:rsidR="006C664A" w:rsidRPr="0000568F">
        <w:rPr>
          <w:spacing w:val="-3"/>
        </w:rPr>
        <w:t>Narodne novine</w:t>
      </w:r>
      <w:r w:rsidR="004B02CF" w:rsidRPr="0000568F">
        <w:rPr>
          <w:spacing w:val="-3"/>
        </w:rPr>
        <w:t>“, broj</w:t>
      </w:r>
      <w:r w:rsidR="006C664A" w:rsidRPr="0000568F">
        <w:rPr>
          <w:spacing w:val="-3"/>
        </w:rPr>
        <w:t xml:space="preserve"> </w:t>
      </w:r>
      <w:r w:rsidR="004B02CF" w:rsidRPr="0000568F">
        <w:rPr>
          <w:spacing w:val="-3"/>
        </w:rPr>
        <w:t>144/</w:t>
      </w:r>
      <w:r w:rsidR="000245B0" w:rsidRPr="0000568F">
        <w:rPr>
          <w:spacing w:val="-3"/>
        </w:rPr>
        <w:t>21</w:t>
      </w:r>
      <w:r w:rsidR="004B02CF" w:rsidRPr="0000568F">
        <w:rPr>
          <w:spacing w:val="-3"/>
        </w:rPr>
        <w:t>.</w:t>
      </w:r>
      <w:r w:rsidR="006C664A" w:rsidRPr="0000568F">
        <w:rPr>
          <w:spacing w:val="-3"/>
        </w:rPr>
        <w:t xml:space="preserve">), </w:t>
      </w:r>
      <w:r w:rsidR="00644310" w:rsidRPr="0000568F">
        <w:rPr>
          <w:spacing w:val="-3"/>
        </w:rPr>
        <w:t>a u vezi s člankom 23. stavkom 3. Zakona o izvršavanju Državnog proračuna Republike Hrvatske za 202</w:t>
      </w:r>
      <w:r w:rsidR="00BE06DE" w:rsidRPr="0000568F">
        <w:rPr>
          <w:spacing w:val="-3"/>
        </w:rPr>
        <w:t>4</w:t>
      </w:r>
      <w:r w:rsidR="00644310" w:rsidRPr="0000568F">
        <w:rPr>
          <w:spacing w:val="-3"/>
        </w:rPr>
        <w:t>. godinu</w:t>
      </w:r>
      <w:r w:rsidR="004B02CF" w:rsidRPr="0000568F">
        <w:rPr>
          <w:spacing w:val="-3"/>
        </w:rPr>
        <w:t xml:space="preserve"> („Narodne novine“, broj 14</w:t>
      </w:r>
      <w:r w:rsidR="00BE06DE" w:rsidRPr="0000568F">
        <w:rPr>
          <w:spacing w:val="-3"/>
        </w:rPr>
        <w:t>9</w:t>
      </w:r>
      <w:r w:rsidR="004B02CF" w:rsidRPr="0000568F">
        <w:rPr>
          <w:spacing w:val="-3"/>
        </w:rPr>
        <w:t>/2</w:t>
      </w:r>
      <w:r w:rsidR="000413F2" w:rsidRPr="0000568F">
        <w:rPr>
          <w:spacing w:val="-3"/>
        </w:rPr>
        <w:t>3</w:t>
      </w:r>
      <w:r w:rsidR="004B02CF" w:rsidRPr="0000568F">
        <w:rPr>
          <w:spacing w:val="-3"/>
        </w:rPr>
        <w:t>.)</w:t>
      </w:r>
      <w:r w:rsidR="00644310" w:rsidRPr="0000568F">
        <w:rPr>
          <w:spacing w:val="-3"/>
        </w:rPr>
        <w:t xml:space="preserve">, </w:t>
      </w:r>
      <w:r w:rsidR="006C664A" w:rsidRPr="0000568F">
        <w:rPr>
          <w:spacing w:val="-3"/>
        </w:rPr>
        <w:t xml:space="preserve">Vlada Republike Hrvatske </w:t>
      </w:r>
      <w:r w:rsidR="00E37707" w:rsidRPr="0000568F">
        <w:rPr>
          <w:spacing w:val="-3"/>
        </w:rPr>
        <w:t xml:space="preserve">je </w:t>
      </w:r>
      <w:r w:rsidR="006C664A" w:rsidRPr="0000568F">
        <w:rPr>
          <w:spacing w:val="-3"/>
        </w:rPr>
        <w:t>na sjednici održanoj</w:t>
      </w:r>
      <w:r w:rsidR="00E37707" w:rsidRPr="0000568F">
        <w:rPr>
          <w:spacing w:val="-3"/>
        </w:rPr>
        <w:t xml:space="preserve"> </w:t>
      </w:r>
      <w:r w:rsidR="000413F2" w:rsidRPr="0000568F">
        <w:rPr>
          <w:spacing w:val="-3"/>
        </w:rPr>
        <w:t>______</w:t>
      </w:r>
      <w:r w:rsidR="0088054A" w:rsidRPr="0000568F">
        <w:rPr>
          <w:spacing w:val="-3"/>
        </w:rPr>
        <w:t>__</w:t>
      </w:r>
      <w:r w:rsidR="000413F2" w:rsidRPr="0000568F">
        <w:rPr>
          <w:spacing w:val="-3"/>
        </w:rPr>
        <w:t>______</w:t>
      </w:r>
      <w:r w:rsidR="00AA43AE" w:rsidRPr="0000568F">
        <w:rPr>
          <w:spacing w:val="-3"/>
        </w:rPr>
        <w:t xml:space="preserve"> 202</w:t>
      </w:r>
      <w:r w:rsidR="000413F2" w:rsidRPr="0000568F">
        <w:rPr>
          <w:spacing w:val="-3"/>
        </w:rPr>
        <w:t>4</w:t>
      </w:r>
      <w:r w:rsidR="00AA43AE" w:rsidRPr="0000568F">
        <w:rPr>
          <w:spacing w:val="-3"/>
        </w:rPr>
        <w:t>.</w:t>
      </w:r>
      <w:r w:rsidR="00E37707" w:rsidRPr="0000568F">
        <w:rPr>
          <w:spacing w:val="-3"/>
        </w:rPr>
        <w:t xml:space="preserve"> donijela</w:t>
      </w:r>
    </w:p>
    <w:p w14:paraId="1124D32C" w14:textId="77777777" w:rsidR="00C2669A" w:rsidRPr="0000568F" w:rsidRDefault="00C2669A" w:rsidP="006C664A">
      <w:pPr>
        <w:widowControl w:val="0"/>
        <w:tabs>
          <w:tab w:val="left" w:pos="-720"/>
        </w:tabs>
        <w:suppressAutoHyphens/>
        <w:jc w:val="both"/>
        <w:rPr>
          <w:spacing w:val="-3"/>
        </w:rPr>
      </w:pPr>
    </w:p>
    <w:p w14:paraId="61A25ADA" w14:textId="77777777" w:rsidR="006C664A" w:rsidRPr="0000568F" w:rsidRDefault="006C664A" w:rsidP="006C664A">
      <w:pPr>
        <w:widowControl w:val="0"/>
        <w:tabs>
          <w:tab w:val="left" w:pos="-720"/>
        </w:tabs>
        <w:suppressAutoHyphens/>
        <w:jc w:val="both"/>
        <w:rPr>
          <w:spacing w:val="-3"/>
        </w:rPr>
      </w:pPr>
    </w:p>
    <w:p w14:paraId="2C843D41" w14:textId="77777777" w:rsidR="006C664A" w:rsidRPr="0000568F" w:rsidRDefault="006C664A" w:rsidP="006C664A">
      <w:pPr>
        <w:keepNext/>
        <w:jc w:val="center"/>
        <w:outlineLvl w:val="3"/>
        <w:rPr>
          <w:b/>
          <w:bCs/>
        </w:rPr>
      </w:pPr>
      <w:r w:rsidRPr="0000568F">
        <w:rPr>
          <w:b/>
          <w:bCs/>
        </w:rPr>
        <w:t>O D L U K U</w:t>
      </w:r>
    </w:p>
    <w:p w14:paraId="682EBB35" w14:textId="77777777" w:rsidR="006C664A" w:rsidRPr="0000568F" w:rsidRDefault="006C664A" w:rsidP="006C664A"/>
    <w:p w14:paraId="1428F117" w14:textId="4FACC7CA" w:rsidR="000471AC" w:rsidRPr="0000568F" w:rsidRDefault="000471AC" w:rsidP="003D1BCD">
      <w:pPr>
        <w:jc w:val="center"/>
        <w:rPr>
          <w:b/>
          <w:bCs/>
          <w:snapToGrid w:val="0"/>
        </w:rPr>
      </w:pPr>
      <w:r w:rsidRPr="0000568F">
        <w:rPr>
          <w:b/>
          <w:snapToGrid w:val="0"/>
        </w:rPr>
        <w:t xml:space="preserve">o davanju suglasnosti Ministarstvu prostornoga uređenja, graditeljstva i državne imovine za </w:t>
      </w:r>
      <w:r w:rsidR="00AE44EB" w:rsidRPr="0000568F">
        <w:rPr>
          <w:b/>
          <w:bCs/>
          <w:snapToGrid w:val="0"/>
        </w:rPr>
        <w:t xml:space="preserve">preuzimanje obveza na teret </w:t>
      </w:r>
      <w:r w:rsidR="00CA5476" w:rsidRPr="0000568F">
        <w:rPr>
          <w:b/>
          <w:bCs/>
          <w:snapToGrid w:val="0"/>
        </w:rPr>
        <w:t xml:space="preserve">sredstava </w:t>
      </w:r>
      <w:r w:rsidR="00AE44EB" w:rsidRPr="0000568F">
        <w:rPr>
          <w:b/>
          <w:bCs/>
          <w:snapToGrid w:val="0"/>
        </w:rPr>
        <w:t xml:space="preserve">državnog proračuna Republike Hrvatske u </w:t>
      </w:r>
      <w:r w:rsidR="002954EA" w:rsidRPr="0000568F">
        <w:rPr>
          <w:b/>
          <w:bCs/>
          <w:snapToGrid w:val="0"/>
        </w:rPr>
        <w:t xml:space="preserve">2025., </w:t>
      </w:r>
      <w:r w:rsidR="00AE44EB" w:rsidRPr="0000568F">
        <w:rPr>
          <w:b/>
          <w:bCs/>
          <w:snapToGrid w:val="0"/>
        </w:rPr>
        <w:t xml:space="preserve">2026. i 2027. godini </w:t>
      </w:r>
      <w:r w:rsidR="00AE44EB" w:rsidRPr="00C9598E">
        <w:rPr>
          <w:b/>
          <w:bCs/>
          <w:snapToGrid w:val="0"/>
        </w:rPr>
        <w:t xml:space="preserve">za dovršetak projekta rekonstrukcije i izgradnje KBC Zagreb – Rebro faza </w:t>
      </w:r>
      <w:bookmarkStart w:id="5" w:name="_Hlk180400949"/>
      <w:r w:rsidR="003C1BA8">
        <w:rPr>
          <w:b/>
          <w:bCs/>
          <w:snapToGrid w:val="0"/>
        </w:rPr>
        <w:t>III</w:t>
      </w:r>
      <w:r w:rsidR="003C1BA8" w:rsidRPr="00C9598E">
        <w:rPr>
          <w:b/>
          <w:bCs/>
          <w:snapToGrid w:val="0"/>
        </w:rPr>
        <w:t xml:space="preserve"> </w:t>
      </w:r>
      <w:r w:rsidR="00152F40" w:rsidRPr="00C9598E">
        <w:rPr>
          <w:b/>
          <w:bCs/>
          <w:snapToGrid w:val="0"/>
        </w:rPr>
        <w:t>u sklopu Projekta obnove nakon potresa i jačanja pripravnosti javnog zdravstva</w:t>
      </w:r>
      <w:bookmarkEnd w:id="5"/>
    </w:p>
    <w:p w14:paraId="76EAAF3E" w14:textId="0FD9A149" w:rsidR="00AE44EB" w:rsidRDefault="00AE44EB" w:rsidP="003D1BCD">
      <w:pPr>
        <w:jc w:val="center"/>
        <w:rPr>
          <w:b/>
        </w:rPr>
      </w:pPr>
    </w:p>
    <w:p w14:paraId="2B0D1981" w14:textId="77777777" w:rsidR="00C9598E" w:rsidRPr="0000568F" w:rsidRDefault="00C9598E" w:rsidP="003D1BCD">
      <w:pPr>
        <w:jc w:val="center"/>
        <w:rPr>
          <w:b/>
        </w:rPr>
      </w:pPr>
    </w:p>
    <w:p w14:paraId="56733592" w14:textId="3E955C55" w:rsidR="006C664A" w:rsidRPr="0000568F" w:rsidRDefault="006C664A" w:rsidP="006C664A">
      <w:pPr>
        <w:jc w:val="center"/>
        <w:rPr>
          <w:b/>
          <w:bCs/>
        </w:rPr>
      </w:pPr>
      <w:r w:rsidRPr="0000568F">
        <w:rPr>
          <w:b/>
          <w:bCs/>
        </w:rPr>
        <w:t>I.</w:t>
      </w:r>
    </w:p>
    <w:p w14:paraId="03040592" w14:textId="77777777" w:rsidR="004B02CF" w:rsidRPr="0000568F" w:rsidRDefault="004B02CF" w:rsidP="006C664A">
      <w:pPr>
        <w:jc w:val="center"/>
        <w:rPr>
          <w:b/>
          <w:bCs/>
        </w:rPr>
      </w:pPr>
    </w:p>
    <w:p w14:paraId="1CDB04F2" w14:textId="539584EF" w:rsidR="006C664A" w:rsidRPr="0000568F" w:rsidRDefault="006C664A" w:rsidP="009B2B08">
      <w:pPr>
        <w:ind w:firstLine="1418"/>
        <w:jc w:val="both"/>
      </w:pPr>
      <w:r w:rsidRPr="0000568F">
        <w:t xml:space="preserve">Daje se suglasnost </w:t>
      </w:r>
      <w:r w:rsidR="001A6356" w:rsidRPr="0000568F">
        <w:rPr>
          <w:bCs/>
          <w:snapToGrid w:val="0"/>
        </w:rPr>
        <w:t xml:space="preserve">Ministarstvu prostornoga uređenja, graditeljstva i državne imovine za </w:t>
      </w:r>
      <w:bookmarkStart w:id="6" w:name="_Hlk178934238"/>
      <w:r w:rsidR="001A6356" w:rsidRPr="0000568F">
        <w:rPr>
          <w:bCs/>
          <w:snapToGrid w:val="0"/>
        </w:rPr>
        <w:t xml:space="preserve">preuzimanje obveza na teret </w:t>
      </w:r>
      <w:r w:rsidR="00CA5476" w:rsidRPr="0000568F">
        <w:rPr>
          <w:bCs/>
          <w:snapToGrid w:val="0"/>
        </w:rPr>
        <w:t xml:space="preserve">sredstava </w:t>
      </w:r>
      <w:r w:rsidR="001A6356" w:rsidRPr="0000568F">
        <w:rPr>
          <w:bCs/>
          <w:snapToGrid w:val="0"/>
        </w:rPr>
        <w:t xml:space="preserve">državnog proračuna </w:t>
      </w:r>
      <w:r w:rsidR="001A6356" w:rsidRPr="0000568F">
        <w:rPr>
          <w:bCs/>
          <w:snapToGrid w:val="0"/>
        </w:rPr>
        <w:lastRenderedPageBreak/>
        <w:t xml:space="preserve">Republike Hrvatske u </w:t>
      </w:r>
      <w:r w:rsidR="00781243" w:rsidRPr="0000568F">
        <w:rPr>
          <w:bCs/>
          <w:snapToGrid w:val="0"/>
        </w:rPr>
        <w:t xml:space="preserve">2025., </w:t>
      </w:r>
      <w:r w:rsidR="001A6356" w:rsidRPr="0000568F">
        <w:rPr>
          <w:bCs/>
          <w:snapToGrid w:val="0"/>
        </w:rPr>
        <w:t>202</w:t>
      </w:r>
      <w:r w:rsidR="00C50A3F" w:rsidRPr="0000568F">
        <w:rPr>
          <w:bCs/>
          <w:snapToGrid w:val="0"/>
        </w:rPr>
        <w:t>6</w:t>
      </w:r>
      <w:r w:rsidR="001A6356" w:rsidRPr="0000568F">
        <w:rPr>
          <w:bCs/>
          <w:snapToGrid w:val="0"/>
        </w:rPr>
        <w:t>. i 202</w:t>
      </w:r>
      <w:r w:rsidR="00C50A3F" w:rsidRPr="0000568F">
        <w:rPr>
          <w:bCs/>
          <w:snapToGrid w:val="0"/>
        </w:rPr>
        <w:t>7</w:t>
      </w:r>
      <w:r w:rsidR="001A6356" w:rsidRPr="0000568F">
        <w:rPr>
          <w:bCs/>
          <w:snapToGrid w:val="0"/>
        </w:rPr>
        <w:t xml:space="preserve">. godini </w:t>
      </w:r>
      <w:r w:rsidR="001A6356" w:rsidRPr="00BE4432">
        <w:rPr>
          <w:bCs/>
          <w:snapToGrid w:val="0"/>
        </w:rPr>
        <w:t xml:space="preserve">za </w:t>
      </w:r>
      <w:r w:rsidR="00781243" w:rsidRPr="00BE4432">
        <w:rPr>
          <w:bCs/>
          <w:snapToGrid w:val="0"/>
        </w:rPr>
        <w:t>sklapanje ugovora za izvođenje građevinskih radova</w:t>
      </w:r>
      <w:r w:rsidR="00781243" w:rsidRPr="0000568F">
        <w:rPr>
          <w:bCs/>
          <w:snapToGrid w:val="0"/>
        </w:rPr>
        <w:t xml:space="preserve"> </w:t>
      </w:r>
      <w:r w:rsidR="0000568F">
        <w:rPr>
          <w:bCs/>
          <w:snapToGrid w:val="0"/>
        </w:rPr>
        <w:t>za</w:t>
      </w:r>
      <w:r w:rsidR="00781243" w:rsidRPr="0000568F">
        <w:rPr>
          <w:bCs/>
          <w:snapToGrid w:val="0"/>
        </w:rPr>
        <w:t xml:space="preserve"> </w:t>
      </w:r>
      <w:r w:rsidR="0000568F" w:rsidRPr="0000568F">
        <w:rPr>
          <w:bCs/>
          <w:snapToGrid w:val="0"/>
        </w:rPr>
        <w:t>dovršet</w:t>
      </w:r>
      <w:r w:rsidR="0000568F">
        <w:rPr>
          <w:bCs/>
          <w:snapToGrid w:val="0"/>
        </w:rPr>
        <w:t>ak</w:t>
      </w:r>
      <w:r w:rsidR="0000568F" w:rsidRPr="0000568F">
        <w:rPr>
          <w:bCs/>
          <w:snapToGrid w:val="0"/>
        </w:rPr>
        <w:t xml:space="preserve"> </w:t>
      </w:r>
      <w:r w:rsidR="00070A31" w:rsidRPr="0000568F">
        <w:rPr>
          <w:bCs/>
          <w:snapToGrid w:val="0"/>
        </w:rPr>
        <w:t xml:space="preserve">projekta rekonstrukcije i izgradnje KBC Zagreb – Rebro faza </w:t>
      </w:r>
      <w:bookmarkEnd w:id="6"/>
      <w:r w:rsidR="003C1BA8">
        <w:rPr>
          <w:bCs/>
          <w:snapToGrid w:val="0"/>
        </w:rPr>
        <w:t>III</w:t>
      </w:r>
      <w:r w:rsidR="00F45033" w:rsidRPr="0000568F">
        <w:t xml:space="preserve"> </w:t>
      </w:r>
      <w:r w:rsidR="00F45033" w:rsidRPr="0000568F">
        <w:rPr>
          <w:bCs/>
          <w:snapToGrid w:val="0"/>
        </w:rPr>
        <w:t>u sklopu Projekta obnove nakon potresa i jačanja pripravnosti javnog zdravstva</w:t>
      </w:r>
      <w:r w:rsidR="00843F7C" w:rsidRPr="0000568F">
        <w:t xml:space="preserve">, </w:t>
      </w:r>
      <w:r w:rsidR="005A7459" w:rsidRPr="0000568F">
        <w:t xml:space="preserve">u ukupnom iznosu od </w:t>
      </w:r>
      <w:r w:rsidR="00781243" w:rsidRPr="0000568F">
        <w:t>1</w:t>
      </w:r>
      <w:r w:rsidR="007662AC" w:rsidRPr="0000568F">
        <w:t>6</w:t>
      </w:r>
      <w:r w:rsidR="00781243" w:rsidRPr="0000568F">
        <w:t xml:space="preserve">4.997.706,04 </w:t>
      </w:r>
      <w:r w:rsidR="0000568F">
        <w:t>eura</w:t>
      </w:r>
      <w:r w:rsidR="005A7459" w:rsidRPr="0000568F">
        <w:t>, s PDV-om</w:t>
      </w:r>
      <w:r w:rsidR="006E05D6" w:rsidRPr="0000568F">
        <w:t>, po godinama i iznosima kako slijedi:</w:t>
      </w:r>
    </w:p>
    <w:p w14:paraId="634B1DB1" w14:textId="77777777" w:rsidR="006E05D6" w:rsidRPr="0000568F" w:rsidRDefault="006E05D6" w:rsidP="00FB08E9">
      <w:pPr>
        <w:ind w:firstLine="708"/>
        <w:jc w:val="both"/>
      </w:pPr>
    </w:p>
    <w:p w14:paraId="53CBAC3B" w14:textId="0A17B409" w:rsidR="00781243" w:rsidRPr="0000568F" w:rsidRDefault="00250788" w:rsidP="00781243">
      <w:pPr>
        <w:pStyle w:val="ListParagraph"/>
        <w:numPr>
          <w:ilvl w:val="0"/>
          <w:numId w:val="15"/>
        </w:numPr>
        <w:jc w:val="both"/>
      </w:pPr>
      <w:bookmarkStart w:id="7" w:name="OLE_LINK35"/>
      <w:bookmarkStart w:id="8" w:name="OLE_LINK40"/>
      <w:r>
        <w:t>u</w:t>
      </w:r>
      <w:r w:rsidRPr="0000568F">
        <w:t xml:space="preserve"> </w:t>
      </w:r>
      <w:r w:rsidR="00781243" w:rsidRPr="0000568F">
        <w:t xml:space="preserve">2025. godini iznos od 62.438.814,37 </w:t>
      </w:r>
      <w:r w:rsidR="0000568F">
        <w:rPr>
          <w:lang w:eastAsia="en-US"/>
        </w:rPr>
        <w:t>eura</w:t>
      </w:r>
    </w:p>
    <w:bookmarkEnd w:id="7"/>
    <w:bookmarkEnd w:id="8"/>
    <w:p w14:paraId="76BA430F" w14:textId="60F3F884" w:rsidR="006E05D6" w:rsidRPr="0000568F" w:rsidRDefault="00250788" w:rsidP="00A27F13">
      <w:pPr>
        <w:pStyle w:val="ListParagraph"/>
        <w:numPr>
          <w:ilvl w:val="0"/>
          <w:numId w:val="15"/>
        </w:numPr>
        <w:jc w:val="both"/>
      </w:pPr>
      <w:r>
        <w:t>u</w:t>
      </w:r>
      <w:r w:rsidRPr="0000568F">
        <w:t xml:space="preserve"> </w:t>
      </w:r>
      <w:r w:rsidR="00A27F13" w:rsidRPr="0000568F">
        <w:t xml:space="preserve">2026. godini iznos od </w:t>
      </w:r>
      <w:r w:rsidR="00781243" w:rsidRPr="0000568F">
        <w:t>69.156.683,83</w:t>
      </w:r>
      <w:r w:rsidR="005D17EC" w:rsidRPr="0000568F">
        <w:t xml:space="preserve"> </w:t>
      </w:r>
      <w:r w:rsidR="0000568F">
        <w:rPr>
          <w:lang w:eastAsia="en-US"/>
        </w:rPr>
        <w:t>eura</w:t>
      </w:r>
    </w:p>
    <w:p w14:paraId="63335EBE" w14:textId="16715150" w:rsidR="00DA4DE4" w:rsidRPr="0000568F" w:rsidRDefault="00250788" w:rsidP="00A27F13">
      <w:pPr>
        <w:pStyle w:val="ListParagraph"/>
        <w:numPr>
          <w:ilvl w:val="0"/>
          <w:numId w:val="15"/>
        </w:numPr>
        <w:jc w:val="both"/>
      </w:pPr>
      <w:r>
        <w:t>u</w:t>
      </w:r>
      <w:r w:rsidRPr="0000568F">
        <w:t xml:space="preserve"> </w:t>
      </w:r>
      <w:r w:rsidR="00DA4DE4" w:rsidRPr="0000568F">
        <w:t xml:space="preserve">2027. godini iznos od </w:t>
      </w:r>
      <w:r w:rsidR="00781243" w:rsidRPr="0000568F">
        <w:t xml:space="preserve">33.402.207,84 </w:t>
      </w:r>
      <w:r w:rsidR="0000568F">
        <w:rPr>
          <w:lang w:eastAsia="en-US"/>
        </w:rPr>
        <w:t>eura.</w:t>
      </w:r>
    </w:p>
    <w:p w14:paraId="7204CDB7" w14:textId="05533D51" w:rsidR="00AE44EB" w:rsidRPr="0000568F" w:rsidRDefault="00AE44EB" w:rsidP="00AE44EB">
      <w:pPr>
        <w:pStyle w:val="ListParagraph"/>
        <w:ind w:left="1068"/>
        <w:jc w:val="both"/>
      </w:pPr>
    </w:p>
    <w:p w14:paraId="79F07116" w14:textId="48D8C406" w:rsidR="00611F0F" w:rsidRPr="0000568F" w:rsidRDefault="00611F0F" w:rsidP="00611F0F">
      <w:pPr>
        <w:jc w:val="center"/>
        <w:rPr>
          <w:b/>
          <w:bCs/>
        </w:rPr>
      </w:pPr>
      <w:r w:rsidRPr="0000568F">
        <w:rPr>
          <w:b/>
          <w:bCs/>
        </w:rPr>
        <w:t>II.</w:t>
      </w:r>
    </w:p>
    <w:p w14:paraId="17280D74" w14:textId="77777777" w:rsidR="00F77159" w:rsidRPr="0000568F" w:rsidRDefault="00F77159" w:rsidP="00F77159">
      <w:pPr>
        <w:spacing w:line="276" w:lineRule="auto"/>
        <w:jc w:val="both"/>
      </w:pPr>
    </w:p>
    <w:p w14:paraId="30C0D788" w14:textId="4BDF9181" w:rsidR="006C664A" w:rsidRPr="0000568F" w:rsidRDefault="006C664A" w:rsidP="009B2B08">
      <w:pPr>
        <w:ind w:firstLine="1418"/>
        <w:jc w:val="both"/>
      </w:pPr>
      <w:r w:rsidRPr="0000568F">
        <w:t xml:space="preserve">Plaćanja koja proizlaze iz obveza preuzetih u skladu s točkom I. ove Odluke </w:t>
      </w:r>
      <w:r w:rsidR="0084319B" w:rsidRPr="0000568F">
        <w:t>Ministarstvo</w:t>
      </w:r>
      <w:r w:rsidR="004F03E8" w:rsidRPr="0000568F">
        <w:rPr>
          <w:bCs/>
          <w:snapToGrid w:val="0"/>
        </w:rPr>
        <w:t xml:space="preserve"> prostornoga uređenja, graditeljstva i državne imovine</w:t>
      </w:r>
      <w:r w:rsidR="0084319B" w:rsidRPr="0000568F">
        <w:t xml:space="preserve"> je dužno </w:t>
      </w:r>
      <w:r w:rsidRPr="0000568F">
        <w:t>uključiti u svoj financijski plan u godini u kojoj obveze dospijevaju.</w:t>
      </w:r>
    </w:p>
    <w:p w14:paraId="5ADDE0A5" w14:textId="077BEEB2" w:rsidR="006E05D6" w:rsidRPr="0000568F" w:rsidRDefault="006E05D6" w:rsidP="00FB08E9">
      <w:pPr>
        <w:ind w:firstLine="708"/>
        <w:jc w:val="both"/>
      </w:pPr>
    </w:p>
    <w:p w14:paraId="1BACD134" w14:textId="2E94D6D2" w:rsidR="006E05D6" w:rsidRPr="0000568F" w:rsidRDefault="008053DE" w:rsidP="000B1F73">
      <w:pPr>
        <w:jc w:val="center"/>
        <w:rPr>
          <w:b/>
          <w:bCs/>
        </w:rPr>
      </w:pPr>
      <w:r w:rsidRPr="0000568F">
        <w:rPr>
          <w:b/>
          <w:bCs/>
        </w:rPr>
        <w:t>III.</w:t>
      </w:r>
    </w:p>
    <w:p w14:paraId="2DA45DF1" w14:textId="77777777" w:rsidR="000B1F73" w:rsidRPr="0000568F" w:rsidRDefault="000B1F73" w:rsidP="000B1F73">
      <w:pPr>
        <w:jc w:val="center"/>
        <w:rPr>
          <w:b/>
          <w:bCs/>
        </w:rPr>
      </w:pPr>
    </w:p>
    <w:p w14:paraId="4ACDAF8F" w14:textId="08F2F1CB" w:rsidR="008053DE" w:rsidRPr="0000568F" w:rsidRDefault="008053DE" w:rsidP="00C9598E">
      <w:pPr>
        <w:ind w:firstLine="1416"/>
        <w:jc w:val="both"/>
      </w:pPr>
      <w:r w:rsidRPr="0000568F">
        <w:t xml:space="preserve">Ovlašćuje se </w:t>
      </w:r>
      <w:r w:rsidR="00025C26">
        <w:t xml:space="preserve">potpredsjednik Vlade Republike Hrvatske i </w:t>
      </w:r>
      <w:r w:rsidRPr="0000568F">
        <w:t xml:space="preserve">ministar prostornoga uređenja, graditeljstva i državne imovine za sklapanje </w:t>
      </w:r>
      <w:r w:rsidR="000B1F73" w:rsidRPr="0000568F">
        <w:t xml:space="preserve">ugovora </w:t>
      </w:r>
      <w:r w:rsidR="00DE0BA2">
        <w:t xml:space="preserve">iz točke I. ove Odluke </w:t>
      </w:r>
      <w:r w:rsidRPr="0000568F">
        <w:t xml:space="preserve">s najpovoljnijim ponuditeljem </w:t>
      </w:r>
      <w:r w:rsidR="000B1F73" w:rsidRPr="0000568F">
        <w:t xml:space="preserve">temeljem </w:t>
      </w:r>
      <w:r w:rsidR="00152F40" w:rsidRPr="0000568F">
        <w:t xml:space="preserve">obavijesti o namjeri dodjele ugovora </w:t>
      </w:r>
      <w:r w:rsidR="00727D83" w:rsidRPr="0000568F">
        <w:t xml:space="preserve">i </w:t>
      </w:r>
      <w:r w:rsidR="000B1F73" w:rsidRPr="0000568F">
        <w:t>odluk</w:t>
      </w:r>
      <w:r w:rsidR="00727D83" w:rsidRPr="0000568F">
        <w:t>e</w:t>
      </w:r>
      <w:r w:rsidR="000B1F73" w:rsidRPr="0000568F">
        <w:t xml:space="preserve"> o odabiru najpovoljnijeg ponuditelja. </w:t>
      </w:r>
    </w:p>
    <w:p w14:paraId="71194409" w14:textId="4B34844C" w:rsidR="00305ED5" w:rsidRDefault="00305ED5" w:rsidP="006C664A">
      <w:pPr>
        <w:ind w:firstLine="708"/>
        <w:jc w:val="both"/>
      </w:pPr>
    </w:p>
    <w:p w14:paraId="38C432A6" w14:textId="627B7A21" w:rsidR="00C9598E" w:rsidRDefault="00C9598E" w:rsidP="006C664A">
      <w:pPr>
        <w:ind w:firstLine="708"/>
        <w:jc w:val="both"/>
      </w:pPr>
    </w:p>
    <w:p w14:paraId="36091D3B" w14:textId="0DCFA4F0" w:rsidR="00C9598E" w:rsidRDefault="00C9598E" w:rsidP="006C664A">
      <w:pPr>
        <w:ind w:firstLine="708"/>
        <w:jc w:val="both"/>
      </w:pPr>
    </w:p>
    <w:p w14:paraId="71F74807" w14:textId="56098AB0" w:rsidR="00C9598E" w:rsidRDefault="00C9598E" w:rsidP="006C664A">
      <w:pPr>
        <w:ind w:firstLine="708"/>
        <w:jc w:val="both"/>
      </w:pPr>
    </w:p>
    <w:p w14:paraId="471A5CD3" w14:textId="4B65F8D6" w:rsidR="00C9598E" w:rsidRDefault="00C9598E" w:rsidP="006C664A">
      <w:pPr>
        <w:ind w:firstLine="708"/>
        <w:jc w:val="both"/>
      </w:pPr>
    </w:p>
    <w:p w14:paraId="22080F6C" w14:textId="77777777" w:rsidR="00C9598E" w:rsidRPr="0000568F" w:rsidRDefault="00C9598E" w:rsidP="006C664A">
      <w:pPr>
        <w:ind w:firstLine="708"/>
        <w:jc w:val="both"/>
      </w:pPr>
    </w:p>
    <w:p w14:paraId="014683B4" w14:textId="77777777" w:rsidR="00A57975" w:rsidRDefault="00A57975" w:rsidP="006C664A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3E9043FC" w14:textId="610E6BB2" w:rsidR="006C664A" w:rsidRPr="0000568F" w:rsidRDefault="0084319B" w:rsidP="006C664A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00568F">
        <w:rPr>
          <w:b/>
        </w:rPr>
        <w:t>I</w:t>
      </w:r>
      <w:r w:rsidR="000B1F73" w:rsidRPr="0000568F">
        <w:rPr>
          <w:b/>
        </w:rPr>
        <w:t>V</w:t>
      </w:r>
      <w:r w:rsidR="006C664A" w:rsidRPr="0000568F">
        <w:rPr>
          <w:b/>
        </w:rPr>
        <w:t>.</w:t>
      </w:r>
    </w:p>
    <w:p w14:paraId="04F0954A" w14:textId="77777777" w:rsidR="004B02CF" w:rsidRPr="0000568F" w:rsidRDefault="004B02CF" w:rsidP="00A57975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3F8CE181" w14:textId="77777777" w:rsidR="006C664A" w:rsidRPr="0000568F" w:rsidRDefault="006C664A" w:rsidP="00A57975">
      <w:pPr>
        <w:overflowPunct w:val="0"/>
        <w:autoSpaceDE w:val="0"/>
        <w:autoSpaceDN w:val="0"/>
        <w:adjustRightInd w:val="0"/>
        <w:ind w:left="708" w:firstLine="708"/>
        <w:jc w:val="both"/>
        <w:textAlignment w:val="baseline"/>
      </w:pPr>
      <w:r w:rsidRPr="0000568F">
        <w:t>Ova Odluka stupa na snagu danom donošenja.</w:t>
      </w:r>
    </w:p>
    <w:p w14:paraId="1AB3EC3B" w14:textId="77777777" w:rsidR="006C664A" w:rsidRPr="0000568F" w:rsidRDefault="006C664A" w:rsidP="00A57975">
      <w:pPr>
        <w:jc w:val="both"/>
        <w:rPr>
          <w:bCs/>
        </w:rPr>
      </w:pPr>
    </w:p>
    <w:p w14:paraId="037A4929" w14:textId="77777777" w:rsidR="00E37707" w:rsidRPr="0000568F" w:rsidRDefault="00E37707" w:rsidP="00A57975">
      <w:pPr>
        <w:jc w:val="both"/>
        <w:rPr>
          <w:bCs/>
        </w:rPr>
      </w:pPr>
    </w:p>
    <w:p w14:paraId="05556671" w14:textId="77777777" w:rsidR="00E37707" w:rsidRPr="0000568F" w:rsidRDefault="00E37707" w:rsidP="00A57975">
      <w:pPr>
        <w:jc w:val="both"/>
        <w:rPr>
          <w:bCs/>
        </w:rPr>
      </w:pPr>
    </w:p>
    <w:p w14:paraId="3847A789" w14:textId="2C6B2AC6" w:rsidR="006C664A" w:rsidRPr="0000568F" w:rsidRDefault="005B05DE" w:rsidP="00A57975">
      <w:pPr>
        <w:jc w:val="both"/>
        <w:rPr>
          <w:bCs/>
        </w:rPr>
      </w:pPr>
      <w:r w:rsidRPr="0000568F">
        <w:rPr>
          <w:bCs/>
        </w:rPr>
        <w:t xml:space="preserve">KLASA: </w:t>
      </w:r>
    </w:p>
    <w:p w14:paraId="2FF30C3C" w14:textId="194D929C" w:rsidR="006C664A" w:rsidRPr="0000568F" w:rsidRDefault="005B05DE" w:rsidP="00A57975">
      <w:pPr>
        <w:jc w:val="both"/>
        <w:rPr>
          <w:bCs/>
        </w:rPr>
      </w:pPr>
      <w:r w:rsidRPr="0000568F">
        <w:rPr>
          <w:bCs/>
        </w:rPr>
        <w:t>URBROJ:</w:t>
      </w:r>
    </w:p>
    <w:p w14:paraId="1A292EFE" w14:textId="77777777" w:rsidR="00E37707" w:rsidRPr="0000568F" w:rsidRDefault="00E37707" w:rsidP="00A57975">
      <w:pPr>
        <w:jc w:val="both"/>
        <w:rPr>
          <w:bCs/>
        </w:rPr>
      </w:pPr>
    </w:p>
    <w:p w14:paraId="38FC8DE8" w14:textId="77777777" w:rsidR="006C664A" w:rsidRPr="0000568F" w:rsidRDefault="006C664A" w:rsidP="00A57975">
      <w:pPr>
        <w:jc w:val="both"/>
        <w:rPr>
          <w:bCs/>
        </w:rPr>
      </w:pPr>
      <w:r w:rsidRPr="0000568F">
        <w:rPr>
          <w:bCs/>
        </w:rPr>
        <w:t>Zagreb,</w:t>
      </w:r>
    </w:p>
    <w:p w14:paraId="70302936" w14:textId="7C5E1A77" w:rsidR="00E37707" w:rsidRDefault="00E37707" w:rsidP="00A57975">
      <w:pPr>
        <w:tabs>
          <w:tab w:val="left" w:pos="-1985"/>
          <w:tab w:val="center" w:pos="6711"/>
        </w:tabs>
        <w:suppressAutoHyphens/>
        <w:rPr>
          <w:b/>
          <w:spacing w:val="-3"/>
        </w:rPr>
      </w:pPr>
    </w:p>
    <w:p w14:paraId="412A4EC7" w14:textId="34149893" w:rsidR="00A57975" w:rsidRDefault="00A57975" w:rsidP="00A57975">
      <w:pPr>
        <w:tabs>
          <w:tab w:val="left" w:pos="-1985"/>
          <w:tab w:val="center" w:pos="6711"/>
        </w:tabs>
        <w:suppressAutoHyphens/>
        <w:rPr>
          <w:b/>
          <w:spacing w:val="-3"/>
        </w:rPr>
      </w:pPr>
    </w:p>
    <w:p w14:paraId="152E2109" w14:textId="77777777" w:rsidR="00A57975" w:rsidRPr="00A57975" w:rsidRDefault="00A57975" w:rsidP="00A57975">
      <w:pPr>
        <w:tabs>
          <w:tab w:val="left" w:pos="-1985"/>
          <w:tab w:val="center" w:pos="6711"/>
        </w:tabs>
        <w:suppressAutoHyphens/>
        <w:rPr>
          <w:b/>
          <w:spacing w:val="-3"/>
        </w:rPr>
      </w:pPr>
    </w:p>
    <w:p w14:paraId="02A9E2E6" w14:textId="77777777" w:rsidR="006C664A" w:rsidRPr="00C9598E" w:rsidRDefault="006C664A" w:rsidP="00A57975">
      <w:pPr>
        <w:tabs>
          <w:tab w:val="left" w:pos="-1985"/>
          <w:tab w:val="center" w:pos="6711"/>
        </w:tabs>
        <w:suppressAutoHyphens/>
        <w:ind w:left="5954"/>
        <w:jc w:val="center"/>
        <w:rPr>
          <w:b/>
          <w:spacing w:val="-3"/>
        </w:rPr>
      </w:pPr>
      <w:r w:rsidRPr="00C9598E">
        <w:rPr>
          <w:b/>
          <w:spacing w:val="-3"/>
        </w:rPr>
        <w:t>PREDSJEDNIK</w:t>
      </w:r>
    </w:p>
    <w:p w14:paraId="4A7242C8" w14:textId="736BFF73" w:rsidR="006C664A" w:rsidRDefault="006C664A" w:rsidP="00A57975">
      <w:pPr>
        <w:tabs>
          <w:tab w:val="left" w:pos="-1985"/>
          <w:tab w:val="center" w:pos="6711"/>
        </w:tabs>
        <w:suppressAutoHyphens/>
        <w:ind w:left="5954"/>
        <w:jc w:val="center"/>
        <w:rPr>
          <w:b/>
          <w:spacing w:val="-3"/>
        </w:rPr>
      </w:pPr>
    </w:p>
    <w:p w14:paraId="1133C595" w14:textId="77777777" w:rsidR="00C9598E" w:rsidRPr="00C9598E" w:rsidRDefault="00C9598E" w:rsidP="00A57975">
      <w:pPr>
        <w:tabs>
          <w:tab w:val="left" w:pos="-1985"/>
          <w:tab w:val="center" w:pos="6711"/>
        </w:tabs>
        <w:suppressAutoHyphens/>
        <w:ind w:left="5954"/>
        <w:jc w:val="center"/>
        <w:rPr>
          <w:b/>
          <w:spacing w:val="-3"/>
        </w:rPr>
      </w:pPr>
    </w:p>
    <w:p w14:paraId="633B5670" w14:textId="2A205E52" w:rsidR="006C664A" w:rsidRPr="00C9598E" w:rsidRDefault="006C664A" w:rsidP="00A57975">
      <w:pPr>
        <w:tabs>
          <w:tab w:val="left" w:pos="-1440"/>
          <w:tab w:val="left" w:pos="-720"/>
          <w:tab w:val="center" w:pos="6711"/>
        </w:tabs>
        <w:suppressAutoHyphens/>
        <w:rPr>
          <w:b/>
        </w:rPr>
      </w:pPr>
      <w:r w:rsidRPr="00C9598E">
        <w:rPr>
          <w:b/>
          <w:spacing w:val="-3"/>
        </w:rPr>
        <w:tab/>
        <w:t xml:space="preserve">                       </w:t>
      </w:r>
      <w:r w:rsidRPr="00C9598E">
        <w:rPr>
          <w:b/>
          <w:bCs/>
          <w:lang w:val="es-ES"/>
        </w:rPr>
        <w:t>mr. sc. Andrej Plenković</w:t>
      </w:r>
    </w:p>
    <w:p w14:paraId="7EC3E716" w14:textId="77777777" w:rsidR="00F50890" w:rsidRPr="00C9598E" w:rsidRDefault="00F50890" w:rsidP="00A57975">
      <w:pPr>
        <w:tabs>
          <w:tab w:val="left" w:pos="1176"/>
        </w:tabs>
        <w:jc w:val="center"/>
        <w:rPr>
          <w:b/>
        </w:rPr>
      </w:pPr>
    </w:p>
    <w:p w14:paraId="37992245" w14:textId="17DC6C0A" w:rsidR="004A5B7C" w:rsidRDefault="004A5B7C" w:rsidP="00A57975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7E297972" w14:textId="285299A9" w:rsidR="00C9598E" w:rsidRDefault="00C9598E" w:rsidP="00A57975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03DDBC3E" w14:textId="0E70FA41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1F3D560C" w14:textId="443AB5F7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1B638DF0" w14:textId="4AA17BC1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3015788D" w14:textId="56106ABA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4EDB38B6" w14:textId="6A3C0F02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1D18A46F" w14:textId="0D7E1B77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39F064D2" w14:textId="0BE0FD1A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515A8059" w14:textId="2A562385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459D6621" w14:textId="61477457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0D472053" w14:textId="7D03AA97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10B45ABE" w14:textId="357E978F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548924F6" w14:textId="0F0ABA64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299D355E" w14:textId="6387F0AB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7128ADC7" w14:textId="4C3C84D5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48C0CE0C" w14:textId="687B5FF0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601C6050" w14:textId="1D5A6EA1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3152E504" w14:textId="55B077D0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6DF15322" w14:textId="45C5C05A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4E712931" w14:textId="7395825F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49B773A4" w14:textId="33CAAC77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01471FAF" w14:textId="59DECE79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53A3D8D7" w14:textId="5DE44B69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1A2DE94B" w14:textId="58572CA7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2358E593" w14:textId="42421366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7BEF0073" w14:textId="37A5C0FE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6CE9ABFC" w14:textId="088B6993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675DDF6D" w14:textId="73095FA1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49A6900F" w14:textId="38EDCA9E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1582F2E8" w14:textId="37478D19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4EFCC5A2" w14:textId="14003116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6667E797" w14:textId="283BE7E8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1D3C88C0" w14:textId="70D84B1E" w:rsidR="00C9598E" w:rsidRDefault="00C9598E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77305C61" w14:textId="01AEA246" w:rsidR="00C9598E" w:rsidRPr="00C9598E" w:rsidRDefault="00C9598E" w:rsidP="00A559E1">
      <w:pPr>
        <w:tabs>
          <w:tab w:val="left" w:pos="1176"/>
        </w:tabs>
        <w:rPr>
          <w:b/>
          <w:sz w:val="22"/>
          <w:szCs w:val="22"/>
        </w:rPr>
      </w:pPr>
    </w:p>
    <w:p w14:paraId="5FCE11E0" w14:textId="1271ECE1" w:rsidR="00F50890" w:rsidRDefault="00AF4FAD" w:rsidP="00B60092">
      <w:pPr>
        <w:tabs>
          <w:tab w:val="left" w:pos="117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OBRAZLOŽENJE </w:t>
      </w:r>
    </w:p>
    <w:p w14:paraId="0450171D" w14:textId="46A14342" w:rsidR="00F50890" w:rsidRDefault="00F50890" w:rsidP="00B60092">
      <w:pPr>
        <w:tabs>
          <w:tab w:val="left" w:pos="1176"/>
        </w:tabs>
        <w:jc w:val="center"/>
        <w:rPr>
          <w:b/>
          <w:sz w:val="22"/>
          <w:szCs w:val="22"/>
        </w:rPr>
      </w:pPr>
    </w:p>
    <w:p w14:paraId="5F3426A4" w14:textId="77777777" w:rsidR="00AF4FAD" w:rsidRDefault="00AF4FAD" w:rsidP="007B2A2F">
      <w:pPr>
        <w:pStyle w:val="NoSpacing"/>
        <w:spacing w:after="240"/>
        <w:ind w:firstLine="708"/>
        <w:jc w:val="both"/>
        <w:rPr>
          <w:rFonts w:cs="Times New Roman"/>
          <w:b w:val="0"/>
          <w:sz w:val="22"/>
        </w:rPr>
      </w:pPr>
      <w:bookmarkStart w:id="9" w:name="_Hlk133944164"/>
      <w:r w:rsidRPr="00752B06">
        <w:rPr>
          <w:rFonts w:cs="Times New Roman"/>
          <w:b w:val="0"/>
          <w:sz w:val="22"/>
        </w:rPr>
        <w:t xml:space="preserve">Projekt III. faza razvoja </w:t>
      </w:r>
      <w:r>
        <w:rPr>
          <w:rFonts w:cs="Times New Roman"/>
          <w:b w:val="0"/>
          <w:sz w:val="22"/>
        </w:rPr>
        <w:t>KBC-a</w:t>
      </w:r>
      <w:r w:rsidRPr="00752B06">
        <w:rPr>
          <w:rFonts w:cs="Times New Roman"/>
          <w:b w:val="0"/>
          <w:sz w:val="22"/>
        </w:rPr>
        <w:t xml:space="preserve"> Zagreb </w:t>
      </w:r>
      <w:r>
        <w:rPr>
          <w:rFonts w:cs="Times New Roman"/>
          <w:b w:val="0"/>
          <w:sz w:val="22"/>
        </w:rPr>
        <w:t>obuhvaća</w:t>
      </w:r>
      <w:r w:rsidRPr="00752B06">
        <w:rPr>
          <w:rFonts w:cs="Times New Roman"/>
          <w:b w:val="0"/>
          <w:sz w:val="22"/>
        </w:rPr>
        <w:t xml:space="preserve"> izgradnj</w:t>
      </w:r>
      <w:r>
        <w:rPr>
          <w:rFonts w:cs="Times New Roman"/>
          <w:b w:val="0"/>
          <w:sz w:val="22"/>
        </w:rPr>
        <w:t>u</w:t>
      </w:r>
      <w:r w:rsidRPr="00752B06">
        <w:rPr>
          <w:rFonts w:cs="Times New Roman"/>
          <w:b w:val="0"/>
          <w:sz w:val="22"/>
        </w:rPr>
        <w:t xml:space="preserve"> nove </w:t>
      </w:r>
      <w:bookmarkStart w:id="10" w:name="OLE_LINK4"/>
      <w:bookmarkStart w:id="11" w:name="OLE_LINK5"/>
      <w:r w:rsidRPr="00752B06">
        <w:rPr>
          <w:rFonts w:cs="Times New Roman"/>
          <w:b w:val="0"/>
          <w:sz w:val="22"/>
        </w:rPr>
        <w:t>bolničke zgrade s pripadajućom garažom, pristupnom cestom</w:t>
      </w:r>
      <w:bookmarkEnd w:id="10"/>
      <w:bookmarkEnd w:id="11"/>
      <w:r w:rsidRPr="00752B06">
        <w:rPr>
          <w:rFonts w:cs="Times New Roman"/>
          <w:b w:val="0"/>
          <w:sz w:val="22"/>
        </w:rPr>
        <w:t xml:space="preserve"> i rekonstrukcijom toplinske stanice. </w:t>
      </w:r>
      <w:r>
        <w:rPr>
          <w:rFonts w:cs="Times New Roman"/>
          <w:b w:val="0"/>
          <w:sz w:val="22"/>
        </w:rPr>
        <w:t xml:space="preserve">Stvarna građevinska bruto površina za bolničku zgradu iznosi </w:t>
      </w:r>
      <w:r w:rsidRPr="0084047F">
        <w:rPr>
          <w:rFonts w:cs="Times New Roman"/>
          <w:b w:val="0"/>
          <w:sz w:val="22"/>
        </w:rPr>
        <w:t>35.893,0 m</w:t>
      </w:r>
      <w:r w:rsidRPr="0084047F">
        <w:rPr>
          <w:rFonts w:cs="Times New Roman"/>
          <w:b w:val="0"/>
          <w:sz w:val="22"/>
          <w:vertAlign w:val="superscript"/>
        </w:rPr>
        <w:t>2</w:t>
      </w:r>
      <w:r>
        <w:rPr>
          <w:rFonts w:cs="Times New Roman"/>
          <w:b w:val="0"/>
          <w:sz w:val="22"/>
        </w:rPr>
        <w:t xml:space="preserve">, dok za otvorenu garažu iznosi </w:t>
      </w:r>
      <w:r w:rsidRPr="0084047F">
        <w:rPr>
          <w:rFonts w:cs="Times New Roman"/>
          <w:b w:val="0"/>
          <w:sz w:val="22"/>
        </w:rPr>
        <w:t>31.406,0 m</w:t>
      </w:r>
      <w:r w:rsidRPr="0084047F">
        <w:rPr>
          <w:rFonts w:cs="Times New Roman"/>
          <w:b w:val="0"/>
          <w:sz w:val="22"/>
          <w:vertAlign w:val="superscript"/>
        </w:rPr>
        <w:t>2</w:t>
      </w:r>
      <w:r>
        <w:rPr>
          <w:rFonts w:cs="Times New Roman"/>
          <w:b w:val="0"/>
          <w:sz w:val="22"/>
        </w:rPr>
        <w:t xml:space="preserve">. </w:t>
      </w:r>
      <w:r w:rsidRPr="00752B06">
        <w:rPr>
          <w:rFonts w:cs="Times New Roman"/>
          <w:b w:val="0"/>
          <w:sz w:val="22"/>
        </w:rPr>
        <w:t>Planiranom rekonstrukcijom u bolničku zgradu integrirat će se sljedeći medicinski sadržaji</w:t>
      </w:r>
      <w:r>
        <w:rPr>
          <w:rFonts w:cs="Times New Roman"/>
          <w:b w:val="0"/>
          <w:sz w:val="22"/>
        </w:rPr>
        <w:t>:</w:t>
      </w:r>
      <w:r w:rsidRPr="00752B06">
        <w:rPr>
          <w:rFonts w:cs="Times New Roman"/>
          <w:b w:val="0"/>
          <w:sz w:val="22"/>
        </w:rPr>
        <w:t xml:space="preserve"> </w:t>
      </w:r>
      <w:r>
        <w:rPr>
          <w:rFonts w:cs="Times New Roman"/>
          <w:b w:val="0"/>
          <w:sz w:val="22"/>
        </w:rPr>
        <w:t xml:space="preserve">Klinika za </w:t>
      </w:r>
      <w:r w:rsidRPr="00752B06">
        <w:rPr>
          <w:rFonts w:cs="Times New Roman"/>
          <w:b w:val="0"/>
          <w:sz w:val="22"/>
        </w:rPr>
        <w:t>ortopedij</w:t>
      </w:r>
      <w:r>
        <w:rPr>
          <w:rFonts w:cs="Times New Roman"/>
          <w:b w:val="0"/>
          <w:sz w:val="22"/>
        </w:rPr>
        <w:t>u</w:t>
      </w:r>
      <w:r w:rsidRPr="00752B06">
        <w:rPr>
          <w:rFonts w:cs="Times New Roman"/>
          <w:b w:val="0"/>
          <w:sz w:val="22"/>
        </w:rPr>
        <w:t xml:space="preserve">, </w:t>
      </w:r>
      <w:r>
        <w:rPr>
          <w:rFonts w:cs="Times New Roman"/>
          <w:b w:val="0"/>
          <w:sz w:val="22"/>
        </w:rPr>
        <w:t>T</w:t>
      </w:r>
      <w:r w:rsidRPr="00752B06">
        <w:rPr>
          <w:rFonts w:cs="Times New Roman"/>
          <w:b w:val="0"/>
          <w:sz w:val="22"/>
        </w:rPr>
        <w:t xml:space="preserve">ransfuziologija i banka tkiva, </w:t>
      </w:r>
      <w:r>
        <w:rPr>
          <w:rFonts w:cs="Times New Roman"/>
          <w:b w:val="0"/>
          <w:sz w:val="22"/>
        </w:rPr>
        <w:t xml:space="preserve">Klinika za </w:t>
      </w:r>
      <w:r w:rsidRPr="00752B06">
        <w:rPr>
          <w:rFonts w:cs="Times New Roman"/>
          <w:b w:val="0"/>
          <w:sz w:val="22"/>
        </w:rPr>
        <w:t>radiologij</w:t>
      </w:r>
      <w:r>
        <w:rPr>
          <w:rFonts w:cs="Times New Roman"/>
          <w:b w:val="0"/>
          <w:sz w:val="22"/>
        </w:rPr>
        <w:t>u</w:t>
      </w:r>
      <w:r w:rsidRPr="00752B06">
        <w:rPr>
          <w:rFonts w:cs="Times New Roman"/>
          <w:b w:val="0"/>
          <w:sz w:val="22"/>
        </w:rPr>
        <w:t xml:space="preserve">, </w:t>
      </w:r>
      <w:r>
        <w:rPr>
          <w:rFonts w:cs="Times New Roman"/>
          <w:b w:val="0"/>
          <w:sz w:val="22"/>
        </w:rPr>
        <w:t>Klinika za o</w:t>
      </w:r>
      <w:r w:rsidRPr="00752B06">
        <w:rPr>
          <w:rFonts w:cs="Times New Roman"/>
          <w:b w:val="0"/>
          <w:sz w:val="22"/>
        </w:rPr>
        <w:t>ftalmologij</w:t>
      </w:r>
      <w:r>
        <w:rPr>
          <w:rFonts w:cs="Times New Roman"/>
          <w:b w:val="0"/>
          <w:sz w:val="22"/>
        </w:rPr>
        <w:t>u</w:t>
      </w:r>
      <w:r w:rsidRPr="00752B06">
        <w:rPr>
          <w:rFonts w:cs="Times New Roman"/>
          <w:b w:val="0"/>
          <w:sz w:val="22"/>
        </w:rPr>
        <w:t xml:space="preserve"> i </w:t>
      </w:r>
      <w:r>
        <w:rPr>
          <w:rFonts w:cs="Times New Roman"/>
          <w:b w:val="0"/>
          <w:sz w:val="22"/>
        </w:rPr>
        <w:t xml:space="preserve">Klinički zavod za </w:t>
      </w:r>
      <w:r w:rsidRPr="00752B06">
        <w:rPr>
          <w:rFonts w:cs="Times New Roman"/>
          <w:b w:val="0"/>
          <w:sz w:val="22"/>
        </w:rPr>
        <w:t>patologij</w:t>
      </w:r>
      <w:r>
        <w:rPr>
          <w:rFonts w:cs="Times New Roman"/>
          <w:b w:val="0"/>
          <w:sz w:val="22"/>
        </w:rPr>
        <w:t>u</w:t>
      </w:r>
      <w:r w:rsidRPr="00752B06">
        <w:rPr>
          <w:rFonts w:cs="Times New Roman"/>
          <w:b w:val="0"/>
          <w:sz w:val="22"/>
        </w:rPr>
        <w:t>. Od nemedicinskih sadržaja gradi se nova centralna kuhinja, ljekarna, prostori za edukaciju studenata, centralne svlačionice, skladišta, središnja arhiva i tehnički prostori</w:t>
      </w:r>
      <w:bookmarkEnd w:id="9"/>
      <w:r w:rsidRPr="00752B06">
        <w:rPr>
          <w:rFonts w:cs="Times New Roman"/>
          <w:b w:val="0"/>
          <w:sz w:val="22"/>
        </w:rPr>
        <w:t>.</w:t>
      </w:r>
      <w:r>
        <w:rPr>
          <w:rFonts w:cs="Times New Roman"/>
          <w:b w:val="0"/>
          <w:sz w:val="22"/>
        </w:rPr>
        <w:t xml:space="preserve"> </w:t>
      </w:r>
    </w:p>
    <w:p w14:paraId="6EBB405C" w14:textId="6A39C7EB" w:rsidR="00AF4FAD" w:rsidRDefault="00AF4FAD" w:rsidP="007B2A2F">
      <w:pPr>
        <w:pStyle w:val="NoSpacing"/>
        <w:spacing w:after="240"/>
        <w:ind w:firstLine="708"/>
        <w:jc w:val="both"/>
        <w:rPr>
          <w:rFonts w:cs="Times New Roman"/>
          <w:b w:val="0"/>
          <w:sz w:val="22"/>
        </w:rPr>
      </w:pPr>
      <w:r>
        <w:rPr>
          <w:rFonts w:cs="Times New Roman"/>
          <w:b w:val="0"/>
          <w:sz w:val="22"/>
        </w:rPr>
        <w:t>Faza projektiranja započela je u rujnu 2022. godine te je završila u svibnju 2024. godine</w:t>
      </w:r>
      <w:r w:rsidR="006564BB">
        <w:rPr>
          <w:rFonts w:cs="Times New Roman"/>
          <w:b w:val="0"/>
          <w:sz w:val="22"/>
        </w:rPr>
        <w:t xml:space="preserve">, dok se početak građevinskih radova očekuje u studenom 2024. godine, a završetak </w:t>
      </w:r>
      <w:r w:rsidR="006564BB" w:rsidRPr="00FB1845">
        <w:rPr>
          <w:rFonts w:cs="Times New Roman"/>
          <w:b w:val="0"/>
          <w:sz w:val="22"/>
        </w:rPr>
        <w:t>u svibnju 2027. godine uz trajanje radova od 30 mjeseci</w:t>
      </w:r>
      <w:r w:rsidR="006564BB">
        <w:rPr>
          <w:rFonts w:cs="Times New Roman"/>
          <w:b w:val="0"/>
          <w:sz w:val="22"/>
        </w:rPr>
        <w:t>. Budžetirana</w:t>
      </w:r>
      <w:r w:rsidR="006564BB" w:rsidRPr="00734254">
        <w:rPr>
          <w:rFonts w:cs="Times New Roman"/>
          <w:b w:val="0"/>
          <w:sz w:val="22"/>
        </w:rPr>
        <w:t xml:space="preserve"> vrijednost</w:t>
      </w:r>
      <w:r w:rsidR="006564BB">
        <w:rPr>
          <w:rFonts w:cs="Times New Roman"/>
          <w:b w:val="0"/>
          <w:sz w:val="22"/>
        </w:rPr>
        <w:t xml:space="preserve"> radova iznosi</w:t>
      </w:r>
      <w:r w:rsidR="006564BB" w:rsidRPr="00734254">
        <w:rPr>
          <w:rFonts w:cs="Times New Roman"/>
          <w:b w:val="0"/>
          <w:sz w:val="22"/>
        </w:rPr>
        <w:t xml:space="preserve"> </w:t>
      </w:r>
      <w:bookmarkStart w:id="12" w:name="OLE_LINK58"/>
      <w:bookmarkStart w:id="13" w:name="OLE_LINK59"/>
      <w:r w:rsidR="006564BB" w:rsidRPr="00734254">
        <w:rPr>
          <w:rFonts w:cs="Times New Roman"/>
          <w:b w:val="0"/>
          <w:sz w:val="22"/>
        </w:rPr>
        <w:t>99.395.000</w:t>
      </w:r>
      <w:bookmarkEnd w:id="12"/>
      <w:bookmarkEnd w:id="13"/>
      <w:r w:rsidR="006564BB" w:rsidRPr="00734254">
        <w:rPr>
          <w:rFonts w:cs="Times New Roman"/>
          <w:b w:val="0"/>
          <w:sz w:val="22"/>
        </w:rPr>
        <w:t>,00 EUR</w:t>
      </w:r>
      <w:r w:rsidR="006564BB">
        <w:rPr>
          <w:rFonts w:cs="Times New Roman"/>
          <w:b w:val="0"/>
          <w:sz w:val="22"/>
        </w:rPr>
        <w:t xml:space="preserve">, uvećana za PDV u iznosu od EUR 24.848.750,00, ukupno EUR </w:t>
      </w:r>
      <w:r w:rsidR="006564BB" w:rsidRPr="00B834D4">
        <w:rPr>
          <w:rFonts w:cs="Times New Roman"/>
          <w:b w:val="0"/>
          <w:sz w:val="22"/>
        </w:rPr>
        <w:t>124</w:t>
      </w:r>
      <w:r w:rsidR="006564BB">
        <w:rPr>
          <w:rFonts w:cs="Times New Roman"/>
          <w:b w:val="0"/>
          <w:sz w:val="22"/>
        </w:rPr>
        <w:t>.</w:t>
      </w:r>
      <w:r w:rsidR="006564BB" w:rsidRPr="00B834D4">
        <w:rPr>
          <w:rFonts w:cs="Times New Roman"/>
          <w:b w:val="0"/>
          <w:sz w:val="22"/>
        </w:rPr>
        <w:t>243</w:t>
      </w:r>
      <w:r w:rsidR="006564BB">
        <w:rPr>
          <w:rFonts w:cs="Times New Roman"/>
          <w:b w:val="0"/>
          <w:sz w:val="22"/>
        </w:rPr>
        <w:t>.</w:t>
      </w:r>
      <w:r w:rsidR="006564BB" w:rsidRPr="00B834D4">
        <w:rPr>
          <w:rFonts w:cs="Times New Roman"/>
          <w:b w:val="0"/>
          <w:sz w:val="22"/>
        </w:rPr>
        <w:t>750,0</w:t>
      </w:r>
      <w:r w:rsidR="006564BB">
        <w:rPr>
          <w:rFonts w:cs="Times New Roman"/>
          <w:b w:val="0"/>
          <w:sz w:val="22"/>
        </w:rPr>
        <w:t>0.</w:t>
      </w:r>
      <w:r>
        <w:rPr>
          <w:rFonts w:cs="Times New Roman"/>
          <w:b w:val="0"/>
          <w:sz w:val="22"/>
        </w:rPr>
        <w:t xml:space="preserve"> Druga faza nabave radova započela je u svibnju 2024. godine te se u listopadu 2024. godine očekuje potpis ugovora o radovima. Završetak građevinskih radova očekuje se u svibnju 2027. godine uz trajanje radova od 30 mjeseci.</w:t>
      </w:r>
    </w:p>
    <w:p w14:paraId="52EC803C" w14:textId="084AF5FF" w:rsidR="006564BB" w:rsidRPr="00CB3ECC" w:rsidRDefault="006564BB" w:rsidP="006564BB">
      <w:pPr>
        <w:pStyle w:val="NoSpacing"/>
        <w:spacing w:after="240"/>
        <w:ind w:firstLine="708"/>
        <w:jc w:val="both"/>
        <w:rPr>
          <w:rFonts w:cs="Times New Roman"/>
          <w:b w:val="0"/>
          <w:sz w:val="22"/>
        </w:rPr>
      </w:pPr>
      <w:r>
        <w:rPr>
          <w:rFonts w:cs="Times New Roman"/>
          <w:b w:val="0"/>
          <w:sz w:val="22"/>
        </w:rPr>
        <w:t xml:space="preserve">Nabava radova provodila se po pravilima Svjetske Banke kroz dvostupanjski postupak </w:t>
      </w:r>
      <w:r w:rsidRPr="00734254">
        <w:rPr>
          <w:rFonts w:cs="Times New Roman"/>
          <w:b w:val="0"/>
          <w:sz w:val="22"/>
        </w:rPr>
        <w:t>koji se sastoji od pretkvalifikacije kao prve faze, i prikupljanja i ocjene tehničkih i financijskih ponuda kao druge faze</w:t>
      </w:r>
      <w:r>
        <w:rPr>
          <w:rFonts w:cs="Times New Roman"/>
          <w:b w:val="0"/>
          <w:sz w:val="22"/>
        </w:rPr>
        <w:t xml:space="preserve">. Prva faza pretkvalifikacije započela je </w:t>
      </w:r>
      <w:r w:rsidRPr="00734254">
        <w:rPr>
          <w:rFonts w:cs="Times New Roman"/>
          <w:b w:val="0"/>
          <w:sz w:val="22"/>
        </w:rPr>
        <w:t>21. srpnja 2023. Ukupno je u prvoj fazi zaprimljeno sedam prijav</w:t>
      </w:r>
      <w:r>
        <w:rPr>
          <w:rFonts w:cs="Times New Roman"/>
          <w:b w:val="0"/>
          <w:sz w:val="22"/>
        </w:rPr>
        <w:t xml:space="preserve">a te je pretkvalificirano pet gospodarskih subjekata. </w:t>
      </w:r>
      <w:r w:rsidRPr="00FB1845">
        <w:rPr>
          <w:rFonts w:cs="Times New Roman"/>
          <w:b w:val="0"/>
          <w:sz w:val="22"/>
        </w:rPr>
        <w:t xml:space="preserve">Druga faza procesa započela je 16. svibnja 2024. slanjem poziva na podnošenje ponuda za izvođenje radova na </w:t>
      </w:r>
      <w:r>
        <w:rPr>
          <w:rFonts w:cs="Times New Roman"/>
          <w:b w:val="0"/>
          <w:sz w:val="22"/>
        </w:rPr>
        <w:t>pet</w:t>
      </w:r>
      <w:r w:rsidRPr="00FB1845">
        <w:rPr>
          <w:rFonts w:cs="Times New Roman"/>
          <w:b w:val="0"/>
          <w:sz w:val="22"/>
        </w:rPr>
        <w:t xml:space="preserve"> pretkvalificiranih gospodarskih subjekata. Dana 8. srpnja 2024. </w:t>
      </w:r>
      <w:r w:rsidR="00EE707E" w:rsidRPr="00FB1845">
        <w:rPr>
          <w:rFonts w:cs="Times New Roman"/>
          <w:b w:val="0"/>
          <w:sz w:val="22"/>
        </w:rPr>
        <w:t>zaprimljene</w:t>
      </w:r>
      <w:r w:rsidRPr="00FB1845">
        <w:rPr>
          <w:rFonts w:cs="Times New Roman"/>
          <w:b w:val="0"/>
          <w:sz w:val="22"/>
        </w:rPr>
        <w:t xml:space="preserve"> su </w:t>
      </w:r>
      <w:r>
        <w:rPr>
          <w:rFonts w:cs="Times New Roman"/>
          <w:b w:val="0"/>
          <w:sz w:val="22"/>
        </w:rPr>
        <w:t>tri</w:t>
      </w:r>
      <w:r w:rsidRPr="00FB1845">
        <w:rPr>
          <w:rFonts w:cs="Times New Roman"/>
          <w:b w:val="0"/>
          <w:sz w:val="22"/>
        </w:rPr>
        <w:t xml:space="preserve"> ponude, koje s</w:t>
      </w:r>
      <w:r>
        <w:rPr>
          <w:rFonts w:cs="Times New Roman"/>
          <w:b w:val="0"/>
          <w:sz w:val="22"/>
        </w:rPr>
        <w:t xml:space="preserve">u se sastojale </w:t>
      </w:r>
      <w:r w:rsidRPr="00FB1845">
        <w:rPr>
          <w:rFonts w:cs="Times New Roman"/>
          <w:b w:val="0"/>
          <w:sz w:val="22"/>
        </w:rPr>
        <w:t>od tehničkog i financijskog dijela</w:t>
      </w:r>
      <w:r>
        <w:rPr>
          <w:rFonts w:cs="Times New Roman"/>
          <w:b w:val="0"/>
          <w:sz w:val="22"/>
        </w:rPr>
        <w:t xml:space="preserve">. </w:t>
      </w:r>
      <w:r w:rsidRPr="00FB1845">
        <w:rPr>
          <w:rFonts w:cs="Times New Roman"/>
          <w:b w:val="0"/>
          <w:sz w:val="22"/>
        </w:rPr>
        <w:t>Ocjena pristiglih tehničkih dijelova ponuda rezultirala je odbijanjem jedne ponude</w:t>
      </w:r>
      <w:r>
        <w:rPr>
          <w:rFonts w:cs="Times New Roman"/>
          <w:b w:val="0"/>
          <w:sz w:val="22"/>
        </w:rPr>
        <w:t xml:space="preserve"> te su d</w:t>
      </w:r>
      <w:r w:rsidRPr="00FB1845">
        <w:rPr>
          <w:rFonts w:cs="Times New Roman"/>
          <w:b w:val="0"/>
          <w:sz w:val="22"/>
        </w:rPr>
        <w:t>ana 12. rujna 2024. otvoren</w:t>
      </w:r>
      <w:r w:rsidR="00B5312D">
        <w:rPr>
          <w:rFonts w:cs="Times New Roman"/>
          <w:b w:val="0"/>
          <w:sz w:val="22"/>
        </w:rPr>
        <w:t>e</w:t>
      </w:r>
      <w:r w:rsidRPr="00FB1845">
        <w:rPr>
          <w:rFonts w:cs="Times New Roman"/>
          <w:b w:val="0"/>
          <w:sz w:val="22"/>
        </w:rPr>
        <w:t xml:space="preserve"> financijsk</w:t>
      </w:r>
      <w:r>
        <w:rPr>
          <w:rFonts w:cs="Times New Roman"/>
          <w:b w:val="0"/>
          <w:sz w:val="22"/>
        </w:rPr>
        <w:t>e</w:t>
      </w:r>
      <w:r w:rsidRPr="00FB1845">
        <w:rPr>
          <w:rFonts w:cs="Times New Roman"/>
          <w:b w:val="0"/>
          <w:sz w:val="22"/>
        </w:rPr>
        <w:t xml:space="preserve"> ponud</w:t>
      </w:r>
      <w:r>
        <w:rPr>
          <w:rFonts w:cs="Times New Roman"/>
          <w:b w:val="0"/>
          <w:sz w:val="22"/>
        </w:rPr>
        <w:t>e</w:t>
      </w:r>
      <w:r w:rsidRPr="00FB1845">
        <w:rPr>
          <w:rFonts w:cs="Times New Roman"/>
          <w:b w:val="0"/>
          <w:sz w:val="22"/>
        </w:rPr>
        <w:t xml:space="preserve"> </w:t>
      </w:r>
      <w:r>
        <w:rPr>
          <w:rFonts w:cs="Times New Roman"/>
          <w:b w:val="0"/>
          <w:sz w:val="22"/>
        </w:rPr>
        <w:t>dva gospodarska subjekta</w:t>
      </w:r>
      <w:r w:rsidRPr="00CB3ECC">
        <w:rPr>
          <w:rFonts w:cs="Times New Roman"/>
          <w:b w:val="0"/>
          <w:sz w:val="22"/>
        </w:rPr>
        <w:t>.</w:t>
      </w:r>
      <w:r w:rsidR="002A710F" w:rsidRPr="00CB3ECC">
        <w:rPr>
          <w:rFonts w:cs="Times New Roman"/>
          <w:b w:val="0"/>
          <w:sz w:val="22"/>
        </w:rPr>
        <w:t xml:space="preserve"> </w:t>
      </w:r>
    </w:p>
    <w:p w14:paraId="57FC5D27" w14:textId="1FF97C07" w:rsidR="007662AC" w:rsidRPr="00EE707E" w:rsidRDefault="006564BB" w:rsidP="00152F40">
      <w:pPr>
        <w:pStyle w:val="NoSpacing"/>
        <w:spacing w:after="240"/>
        <w:ind w:firstLine="708"/>
        <w:jc w:val="both"/>
        <w:rPr>
          <w:rFonts w:cs="Times New Roman"/>
          <w:bCs/>
          <w:sz w:val="22"/>
        </w:rPr>
      </w:pPr>
      <w:r>
        <w:rPr>
          <w:rFonts w:cs="Times New Roman"/>
          <w:b w:val="0"/>
          <w:sz w:val="22"/>
        </w:rPr>
        <w:lastRenderedPageBreak/>
        <w:t>Najniža p</w:t>
      </w:r>
      <w:r w:rsidR="00152F40">
        <w:rPr>
          <w:rFonts w:cs="Times New Roman"/>
          <w:b w:val="0"/>
          <w:sz w:val="22"/>
        </w:rPr>
        <w:t xml:space="preserve">onuđena vrijednost </w:t>
      </w:r>
      <w:bookmarkStart w:id="14" w:name="OLE_LINK32"/>
      <w:bookmarkStart w:id="15" w:name="OLE_LINK33"/>
      <w:r w:rsidR="00152F40">
        <w:rPr>
          <w:rFonts w:cs="Times New Roman"/>
          <w:b w:val="0"/>
          <w:sz w:val="22"/>
        </w:rPr>
        <w:t xml:space="preserve">ugovora za izvođenje građevinskih radova </w:t>
      </w:r>
      <w:bookmarkEnd w:id="14"/>
      <w:bookmarkEnd w:id="15"/>
      <w:r w:rsidR="00152F40">
        <w:rPr>
          <w:rFonts w:cs="Times New Roman"/>
          <w:b w:val="0"/>
          <w:sz w:val="22"/>
        </w:rPr>
        <w:t xml:space="preserve">iznosi EUR </w:t>
      </w:r>
      <w:bookmarkStart w:id="16" w:name="OLE_LINK1"/>
      <w:bookmarkStart w:id="17" w:name="OLE_LINK2"/>
      <w:r w:rsidR="00152F40" w:rsidRPr="0084047F">
        <w:rPr>
          <w:rFonts w:cs="Times New Roman"/>
          <w:b w:val="0"/>
          <w:sz w:val="22"/>
        </w:rPr>
        <w:t>139.998.164,83</w:t>
      </w:r>
      <w:bookmarkEnd w:id="16"/>
      <w:bookmarkEnd w:id="17"/>
      <w:r w:rsidR="00152F40">
        <w:rPr>
          <w:rFonts w:cs="Times New Roman"/>
          <w:b w:val="0"/>
          <w:sz w:val="22"/>
        </w:rPr>
        <w:t xml:space="preserve">, uvećana za PDV u iznosu od EUR </w:t>
      </w:r>
      <w:bookmarkStart w:id="18" w:name="OLE_LINK3"/>
      <w:bookmarkStart w:id="19" w:name="OLE_LINK8"/>
      <w:r w:rsidR="00152F40" w:rsidRPr="00B834D4">
        <w:rPr>
          <w:rFonts w:cs="Times New Roman"/>
          <w:b w:val="0"/>
          <w:sz w:val="22"/>
        </w:rPr>
        <w:t>34</w:t>
      </w:r>
      <w:r w:rsidR="00152F40">
        <w:rPr>
          <w:rFonts w:cs="Times New Roman"/>
          <w:b w:val="0"/>
          <w:sz w:val="22"/>
        </w:rPr>
        <w:t>.</w:t>
      </w:r>
      <w:r w:rsidR="00152F40" w:rsidRPr="00B834D4">
        <w:rPr>
          <w:rFonts w:cs="Times New Roman"/>
          <w:b w:val="0"/>
          <w:sz w:val="22"/>
        </w:rPr>
        <w:t>999</w:t>
      </w:r>
      <w:r w:rsidR="00152F40">
        <w:rPr>
          <w:rFonts w:cs="Times New Roman"/>
          <w:b w:val="0"/>
          <w:sz w:val="22"/>
        </w:rPr>
        <w:t>.</w:t>
      </w:r>
      <w:r w:rsidR="00152F40" w:rsidRPr="00B834D4">
        <w:rPr>
          <w:rFonts w:cs="Times New Roman"/>
          <w:b w:val="0"/>
          <w:sz w:val="22"/>
        </w:rPr>
        <w:t>541,2</w:t>
      </w:r>
      <w:r w:rsidR="00152F40">
        <w:rPr>
          <w:rFonts w:cs="Times New Roman"/>
          <w:b w:val="0"/>
          <w:sz w:val="22"/>
        </w:rPr>
        <w:t>1</w:t>
      </w:r>
      <w:bookmarkEnd w:id="18"/>
      <w:bookmarkEnd w:id="19"/>
      <w:r w:rsidR="00152F40">
        <w:rPr>
          <w:rFonts w:cs="Times New Roman"/>
          <w:b w:val="0"/>
          <w:sz w:val="22"/>
        </w:rPr>
        <w:t xml:space="preserve">, </w:t>
      </w:r>
      <w:r w:rsidR="00152F40" w:rsidRPr="0065164F">
        <w:rPr>
          <w:rFonts w:cs="Times New Roman"/>
          <w:bCs/>
          <w:sz w:val="22"/>
        </w:rPr>
        <w:t xml:space="preserve">ukupno EUR </w:t>
      </w:r>
      <w:bookmarkStart w:id="20" w:name="OLE_LINK9"/>
      <w:bookmarkStart w:id="21" w:name="OLE_LINK10"/>
      <w:bookmarkStart w:id="22" w:name="OLE_LINK31"/>
      <w:bookmarkStart w:id="23" w:name="OLE_LINK34"/>
      <w:r w:rsidR="00152F40" w:rsidRPr="0065164F">
        <w:rPr>
          <w:rFonts w:cs="Times New Roman"/>
          <w:bCs/>
          <w:sz w:val="22"/>
        </w:rPr>
        <w:t>174.997.706,04</w:t>
      </w:r>
      <w:bookmarkEnd w:id="20"/>
      <w:bookmarkEnd w:id="21"/>
      <w:bookmarkEnd w:id="22"/>
      <w:bookmarkEnd w:id="23"/>
      <w:r w:rsidR="00152F40" w:rsidRPr="0065164F">
        <w:rPr>
          <w:rFonts w:cs="Times New Roman"/>
          <w:bCs/>
          <w:sz w:val="22"/>
        </w:rPr>
        <w:t>.</w:t>
      </w:r>
      <w:r w:rsidR="00152F40">
        <w:rPr>
          <w:rFonts w:cs="Times New Roman"/>
          <w:b w:val="0"/>
          <w:sz w:val="22"/>
        </w:rPr>
        <w:t xml:space="preserve"> </w:t>
      </w:r>
      <w:r>
        <w:rPr>
          <w:rFonts w:cs="Times New Roman"/>
          <w:b w:val="0"/>
          <w:sz w:val="22"/>
        </w:rPr>
        <w:t>Ponuđena vrijednost radova</w:t>
      </w:r>
      <w:r w:rsidRPr="00240862">
        <w:rPr>
          <w:rFonts w:cs="Times New Roman"/>
          <w:b w:val="0"/>
          <w:sz w:val="22"/>
        </w:rPr>
        <w:t xml:space="preserve"> </w:t>
      </w:r>
      <w:r>
        <w:rPr>
          <w:rFonts w:cs="Times New Roman"/>
          <w:b w:val="0"/>
          <w:sz w:val="22"/>
        </w:rPr>
        <w:t xml:space="preserve">iznosi </w:t>
      </w:r>
      <w:r w:rsidRPr="00EE707E">
        <w:rPr>
          <w:rFonts w:cs="Times New Roman"/>
          <w:bCs/>
          <w:sz w:val="22"/>
        </w:rPr>
        <w:t>2.080 EUR po m².</w:t>
      </w:r>
    </w:p>
    <w:p w14:paraId="09C01021" w14:textId="5E27A15F" w:rsidR="006564BB" w:rsidRDefault="006564BB" w:rsidP="00152F40">
      <w:pPr>
        <w:pStyle w:val="NoSpacing"/>
        <w:spacing w:after="240"/>
        <w:ind w:firstLine="708"/>
        <w:jc w:val="both"/>
        <w:rPr>
          <w:rFonts w:cs="Times New Roman"/>
          <w:b w:val="0"/>
          <w:sz w:val="22"/>
        </w:rPr>
      </w:pPr>
      <w:r>
        <w:rPr>
          <w:rFonts w:cs="Times New Roman"/>
          <w:b w:val="0"/>
          <w:sz w:val="22"/>
        </w:rPr>
        <w:t xml:space="preserve">U sklopu financijske evaluacije izrađena je analiza ponuđene vrijednosti radova obzirom da je ista veća od budžetirane vrijednosti. Analiza se temeljila i na usporedbi </w:t>
      </w:r>
      <w:r w:rsidRPr="007A0591">
        <w:rPr>
          <w:rFonts w:cs="Times New Roman"/>
          <w:b w:val="0"/>
          <w:sz w:val="22"/>
        </w:rPr>
        <w:t xml:space="preserve">cijene ponuditelja s prevladavajućim tržišnim cijenama za </w:t>
      </w:r>
      <w:r>
        <w:rPr>
          <w:rFonts w:cs="Times New Roman"/>
          <w:b w:val="0"/>
          <w:sz w:val="22"/>
        </w:rPr>
        <w:t xml:space="preserve">usporedive </w:t>
      </w:r>
      <w:r w:rsidRPr="007A0591">
        <w:rPr>
          <w:rFonts w:cs="Times New Roman"/>
          <w:b w:val="0"/>
          <w:sz w:val="22"/>
        </w:rPr>
        <w:t xml:space="preserve">projekte </w:t>
      </w:r>
      <w:r>
        <w:rPr>
          <w:rFonts w:cs="Times New Roman"/>
          <w:b w:val="0"/>
          <w:sz w:val="22"/>
        </w:rPr>
        <w:t>izgradnje/</w:t>
      </w:r>
      <w:r w:rsidRPr="007A0591">
        <w:rPr>
          <w:rFonts w:cs="Times New Roman"/>
          <w:b w:val="0"/>
          <w:sz w:val="22"/>
        </w:rPr>
        <w:t xml:space="preserve">rekonstrukcije bolnica u </w:t>
      </w:r>
      <w:r>
        <w:rPr>
          <w:rFonts w:cs="Times New Roman"/>
          <w:b w:val="0"/>
          <w:sz w:val="22"/>
        </w:rPr>
        <w:t xml:space="preserve">Republici Hrvatskoj. Usporedba jediničnih cijena po </w:t>
      </w:r>
      <w:bookmarkStart w:id="24" w:name="OLE_LINK61"/>
      <w:bookmarkStart w:id="25" w:name="OLE_LINK62"/>
      <w:r w:rsidRPr="0038277A">
        <w:rPr>
          <w:rFonts w:cs="Times New Roman"/>
          <w:b w:val="0"/>
          <w:sz w:val="22"/>
        </w:rPr>
        <w:t>m²</w:t>
      </w:r>
      <w:r>
        <w:rPr>
          <w:rFonts w:cs="Times New Roman"/>
          <w:b w:val="0"/>
          <w:sz w:val="22"/>
        </w:rPr>
        <w:t xml:space="preserve"> </w:t>
      </w:r>
      <w:bookmarkEnd w:id="24"/>
      <w:bookmarkEnd w:id="25"/>
      <w:r>
        <w:rPr>
          <w:rFonts w:cs="Times New Roman"/>
          <w:b w:val="0"/>
          <w:sz w:val="22"/>
        </w:rPr>
        <w:t xml:space="preserve">na uzorku ud 17 projekata pokazuje da je ponuđena cijena za projekt </w:t>
      </w:r>
      <w:r w:rsidRPr="00752B06">
        <w:rPr>
          <w:rFonts w:cs="Times New Roman"/>
          <w:b w:val="0"/>
          <w:sz w:val="22"/>
        </w:rPr>
        <w:t xml:space="preserve">III. faza razvoja </w:t>
      </w:r>
      <w:r>
        <w:rPr>
          <w:rFonts w:cs="Times New Roman"/>
          <w:b w:val="0"/>
          <w:sz w:val="22"/>
        </w:rPr>
        <w:t>KBC-a</w:t>
      </w:r>
      <w:r w:rsidRPr="00752B06">
        <w:rPr>
          <w:rFonts w:cs="Times New Roman"/>
          <w:b w:val="0"/>
          <w:sz w:val="22"/>
        </w:rPr>
        <w:t xml:space="preserve"> Zagreb </w:t>
      </w:r>
      <w:r>
        <w:rPr>
          <w:rFonts w:cs="Times New Roman"/>
          <w:b w:val="0"/>
          <w:sz w:val="22"/>
        </w:rPr>
        <w:t>druga najniža ponuda u uzorku i u skladu je sa stanjem na tržištu. Financijska i tehnička evaluacija ponuda prihvaćena je od strane Svjetske banke.</w:t>
      </w:r>
    </w:p>
    <w:p w14:paraId="6A9C0164" w14:textId="735BE9EB" w:rsidR="00152F40" w:rsidRDefault="007662AC" w:rsidP="00152F40">
      <w:pPr>
        <w:pStyle w:val="NoSpacing"/>
        <w:spacing w:after="240"/>
        <w:ind w:firstLine="708"/>
        <w:jc w:val="both"/>
        <w:rPr>
          <w:rFonts w:cs="Times New Roman"/>
          <w:b w:val="0"/>
          <w:sz w:val="22"/>
        </w:rPr>
      </w:pPr>
      <w:r>
        <w:rPr>
          <w:rFonts w:cs="Times New Roman"/>
          <w:b w:val="0"/>
          <w:sz w:val="22"/>
        </w:rPr>
        <w:t>U 2024. g</w:t>
      </w:r>
      <w:r w:rsidR="00A7767D">
        <w:rPr>
          <w:rFonts w:cs="Times New Roman"/>
          <w:b w:val="0"/>
          <w:sz w:val="22"/>
        </w:rPr>
        <w:t>odini bit</w:t>
      </w:r>
      <w:r>
        <w:rPr>
          <w:rFonts w:cs="Times New Roman"/>
          <w:b w:val="0"/>
          <w:sz w:val="22"/>
        </w:rPr>
        <w:t xml:space="preserve"> će plaćeno ukupno 10.000.000,00 EUR te je suglasnost potrebna za preostali iznos projekta u iznosu od </w:t>
      </w:r>
      <w:r w:rsidRPr="0065164F">
        <w:rPr>
          <w:b w:val="0"/>
          <w:bCs/>
          <w:sz w:val="22"/>
        </w:rPr>
        <w:t>164.997.706,04</w:t>
      </w:r>
      <w:r>
        <w:rPr>
          <w:sz w:val="22"/>
        </w:rPr>
        <w:t xml:space="preserve">. </w:t>
      </w:r>
      <w:r w:rsidR="00152F40">
        <w:rPr>
          <w:rFonts w:cs="Times New Roman"/>
          <w:b w:val="0"/>
          <w:sz w:val="22"/>
        </w:rPr>
        <w:t xml:space="preserve">Navedeni radovi podrazumijevaju rušenje postojećih objekata, zaštitu građevinske jame, izvođenje građevinsko-obrtničkih i završnih radova </w:t>
      </w:r>
      <w:r w:rsidR="00152F40" w:rsidRPr="00752B06">
        <w:rPr>
          <w:rFonts w:cs="Times New Roman"/>
          <w:b w:val="0"/>
          <w:sz w:val="22"/>
        </w:rPr>
        <w:t>bolničke zgrade s pripadajućom garažom</w:t>
      </w:r>
      <w:r w:rsidR="00152F40">
        <w:rPr>
          <w:rFonts w:cs="Times New Roman"/>
          <w:b w:val="0"/>
          <w:sz w:val="22"/>
        </w:rPr>
        <w:t xml:space="preserve"> i</w:t>
      </w:r>
      <w:r w:rsidR="00152F40" w:rsidRPr="00752B06">
        <w:rPr>
          <w:rFonts w:cs="Times New Roman"/>
          <w:b w:val="0"/>
          <w:sz w:val="22"/>
        </w:rPr>
        <w:t xml:space="preserve"> pristupnom cestom</w:t>
      </w:r>
      <w:r w:rsidR="00152F40">
        <w:rPr>
          <w:rFonts w:cs="Times New Roman"/>
          <w:b w:val="0"/>
          <w:sz w:val="22"/>
        </w:rPr>
        <w:t xml:space="preserve">, krajobrazno uređenje, rekonstrukciju toplinske stanice, ugradnju čistih prostora i instalaterske radove. </w:t>
      </w:r>
      <w:r w:rsidR="006564BB">
        <w:rPr>
          <w:rFonts w:cs="Times New Roman"/>
          <w:b w:val="0"/>
          <w:sz w:val="22"/>
        </w:rPr>
        <w:t>U</w:t>
      </w:r>
      <w:r w:rsidR="00152F40">
        <w:rPr>
          <w:rFonts w:cs="Times New Roman"/>
          <w:b w:val="0"/>
          <w:sz w:val="22"/>
        </w:rPr>
        <w:t xml:space="preserve">govorenim sredstvima Zajma </w:t>
      </w:r>
      <w:r w:rsidR="00152F40" w:rsidRPr="00752B06">
        <w:rPr>
          <w:rFonts w:cs="Times New Roman"/>
          <w:b w:val="0"/>
          <w:sz w:val="22"/>
        </w:rPr>
        <w:t>Svjetske banke</w:t>
      </w:r>
      <w:r w:rsidR="00152F40">
        <w:rPr>
          <w:rFonts w:cs="Times New Roman"/>
          <w:b w:val="0"/>
          <w:sz w:val="22"/>
        </w:rPr>
        <w:t xml:space="preserve"> </w:t>
      </w:r>
      <w:r w:rsidR="00152F40" w:rsidRPr="00E974A2">
        <w:rPr>
          <w:rFonts w:cs="Times New Roman"/>
          <w:b w:val="0"/>
          <w:sz w:val="22"/>
        </w:rPr>
        <w:t>9127</w:t>
      </w:r>
      <w:r w:rsidR="00727D83">
        <w:rPr>
          <w:rFonts w:cs="Times New Roman"/>
          <w:b w:val="0"/>
          <w:sz w:val="22"/>
        </w:rPr>
        <w:t>-</w:t>
      </w:r>
      <w:r w:rsidR="00152F40" w:rsidRPr="00E974A2">
        <w:rPr>
          <w:rFonts w:cs="Times New Roman"/>
          <w:b w:val="0"/>
          <w:sz w:val="22"/>
        </w:rPr>
        <w:t>HR</w:t>
      </w:r>
      <w:r w:rsidR="00152F40">
        <w:rPr>
          <w:rFonts w:cs="Times New Roman"/>
          <w:b w:val="0"/>
          <w:sz w:val="22"/>
        </w:rPr>
        <w:t xml:space="preserve"> </w:t>
      </w:r>
      <w:r w:rsidR="00727D83">
        <w:rPr>
          <w:rFonts w:cs="Times New Roman"/>
          <w:b w:val="0"/>
          <w:sz w:val="22"/>
        </w:rPr>
        <w:t xml:space="preserve">u sklopu </w:t>
      </w:r>
      <w:r w:rsidR="00727D83" w:rsidRPr="00727D83">
        <w:rPr>
          <w:rFonts w:cs="Times New Roman"/>
          <w:b w:val="0"/>
          <w:sz w:val="22"/>
        </w:rPr>
        <w:t>Projekt</w:t>
      </w:r>
      <w:r w:rsidR="00727D83">
        <w:rPr>
          <w:rFonts w:cs="Times New Roman"/>
          <w:b w:val="0"/>
          <w:sz w:val="22"/>
        </w:rPr>
        <w:t>a</w:t>
      </w:r>
      <w:r w:rsidR="00727D83" w:rsidRPr="00727D83">
        <w:rPr>
          <w:rFonts w:cs="Times New Roman"/>
          <w:b w:val="0"/>
          <w:sz w:val="22"/>
        </w:rPr>
        <w:t xml:space="preserve"> obnove nakon potresa i jačanja pripravnosti javnog zdravstva </w:t>
      </w:r>
      <w:r w:rsidR="00152F40">
        <w:rPr>
          <w:rFonts w:cs="Times New Roman"/>
          <w:b w:val="0"/>
          <w:sz w:val="22"/>
        </w:rPr>
        <w:t xml:space="preserve">biti će </w:t>
      </w:r>
      <w:r w:rsidR="00727D83">
        <w:rPr>
          <w:rFonts w:cs="Times New Roman"/>
          <w:b w:val="0"/>
          <w:sz w:val="22"/>
        </w:rPr>
        <w:t xml:space="preserve">u značajnom dijelu </w:t>
      </w:r>
      <w:r w:rsidR="00152F40">
        <w:rPr>
          <w:rFonts w:cs="Times New Roman"/>
          <w:b w:val="0"/>
          <w:sz w:val="22"/>
        </w:rPr>
        <w:t xml:space="preserve">pokriveni troškovi </w:t>
      </w:r>
      <w:r w:rsidR="00152F40" w:rsidRPr="00E974A2">
        <w:rPr>
          <w:rFonts w:cs="Times New Roman"/>
          <w:b w:val="0"/>
          <w:sz w:val="22"/>
        </w:rPr>
        <w:t>izgradnje do kolovoza/rujna 2026.</w:t>
      </w:r>
      <w:r w:rsidR="00152F40">
        <w:rPr>
          <w:rFonts w:cs="Times New Roman"/>
          <w:b w:val="0"/>
          <w:sz w:val="22"/>
        </w:rPr>
        <w:t xml:space="preserve"> u iznosu od EUR </w:t>
      </w:r>
      <w:bookmarkStart w:id="26" w:name="OLE_LINK41"/>
      <w:bookmarkStart w:id="27" w:name="OLE_LINK42"/>
      <w:r w:rsidR="00152F40" w:rsidRPr="00B834D4">
        <w:rPr>
          <w:rFonts w:cs="Times New Roman"/>
          <w:b w:val="0"/>
          <w:sz w:val="22"/>
        </w:rPr>
        <w:t>124</w:t>
      </w:r>
      <w:r w:rsidR="00152F40">
        <w:rPr>
          <w:rFonts w:cs="Times New Roman"/>
          <w:b w:val="0"/>
          <w:sz w:val="22"/>
        </w:rPr>
        <w:t>.</w:t>
      </w:r>
      <w:r w:rsidR="00152F40" w:rsidRPr="00B834D4">
        <w:rPr>
          <w:rFonts w:cs="Times New Roman"/>
          <w:b w:val="0"/>
          <w:sz w:val="22"/>
        </w:rPr>
        <w:t>243</w:t>
      </w:r>
      <w:r w:rsidR="00152F40">
        <w:rPr>
          <w:rFonts w:cs="Times New Roman"/>
          <w:b w:val="0"/>
          <w:sz w:val="22"/>
        </w:rPr>
        <w:t>.</w:t>
      </w:r>
      <w:r w:rsidR="00152F40" w:rsidRPr="00B834D4">
        <w:rPr>
          <w:rFonts w:cs="Times New Roman"/>
          <w:b w:val="0"/>
          <w:sz w:val="22"/>
        </w:rPr>
        <w:t>750,05</w:t>
      </w:r>
      <w:bookmarkEnd w:id="26"/>
      <w:bookmarkEnd w:id="27"/>
      <w:r w:rsidR="00152F40" w:rsidRPr="00E974A2">
        <w:rPr>
          <w:rFonts w:cs="Times New Roman"/>
          <w:b w:val="0"/>
          <w:sz w:val="22"/>
        </w:rPr>
        <w:t xml:space="preserve">, nakon čega će biti potrebno osigurati sredstva proračuna u iznosu od EUR </w:t>
      </w:r>
      <w:bookmarkStart w:id="28" w:name="OLE_LINK43"/>
      <w:bookmarkStart w:id="29" w:name="OLE_LINK44"/>
      <w:r w:rsidR="005D17EC" w:rsidRPr="005D17EC">
        <w:rPr>
          <w:rFonts w:cs="Times New Roman"/>
          <w:b w:val="0"/>
          <w:sz w:val="22"/>
        </w:rPr>
        <w:t>17.120.753,1</w:t>
      </w:r>
      <w:r w:rsidR="005D17EC">
        <w:rPr>
          <w:rFonts w:cs="Times New Roman"/>
          <w:b w:val="0"/>
          <w:sz w:val="22"/>
        </w:rPr>
        <w:t>6</w:t>
      </w:r>
      <w:r w:rsidR="005D17EC" w:rsidRPr="005D17EC">
        <w:rPr>
          <w:rFonts w:cs="Times New Roman"/>
          <w:b w:val="0"/>
          <w:sz w:val="22"/>
        </w:rPr>
        <w:t xml:space="preserve"> </w:t>
      </w:r>
      <w:bookmarkEnd w:id="28"/>
      <w:bookmarkEnd w:id="29"/>
      <w:r w:rsidR="00152F40" w:rsidRPr="00E974A2">
        <w:rPr>
          <w:rFonts w:cs="Times New Roman"/>
          <w:b w:val="0"/>
          <w:sz w:val="22"/>
        </w:rPr>
        <w:t xml:space="preserve">u 2026. godini i EUR </w:t>
      </w:r>
      <w:bookmarkStart w:id="30" w:name="OLE_LINK45"/>
      <w:bookmarkStart w:id="31" w:name="OLE_LINK46"/>
      <w:r w:rsidR="00152F40" w:rsidRPr="00E974A2">
        <w:rPr>
          <w:rFonts w:cs="Times New Roman"/>
          <w:b w:val="0"/>
          <w:sz w:val="22"/>
        </w:rPr>
        <w:t xml:space="preserve">33.633.202,83 </w:t>
      </w:r>
      <w:bookmarkEnd w:id="30"/>
      <w:bookmarkEnd w:id="31"/>
      <w:r w:rsidR="00152F40" w:rsidRPr="00E974A2">
        <w:rPr>
          <w:rFonts w:cs="Times New Roman"/>
          <w:b w:val="0"/>
          <w:sz w:val="22"/>
        </w:rPr>
        <w:t>u 2027. godini (ukupno EUR</w:t>
      </w:r>
      <w:r w:rsidR="00152F40" w:rsidRPr="00B834D4">
        <w:rPr>
          <w:rFonts w:cs="Times New Roman"/>
          <w:b w:val="0"/>
          <w:sz w:val="22"/>
        </w:rPr>
        <w:t xml:space="preserve"> </w:t>
      </w:r>
      <w:bookmarkStart w:id="32" w:name="OLE_LINK11"/>
      <w:bookmarkStart w:id="33" w:name="OLE_LINK12"/>
      <w:r w:rsidR="005D17EC" w:rsidRPr="005D17EC">
        <w:rPr>
          <w:rFonts w:cs="Times New Roman"/>
          <w:b w:val="0"/>
          <w:sz w:val="22"/>
        </w:rPr>
        <w:t xml:space="preserve"> 50.753.955,99</w:t>
      </w:r>
      <w:bookmarkEnd w:id="32"/>
      <w:bookmarkEnd w:id="33"/>
      <w:r w:rsidR="00152F40">
        <w:rPr>
          <w:rFonts w:cs="Times New Roman"/>
          <w:b w:val="0"/>
          <w:sz w:val="22"/>
        </w:rPr>
        <w:t>)</w:t>
      </w:r>
      <w:r w:rsidR="00152F40" w:rsidRPr="00B834D4">
        <w:rPr>
          <w:rFonts w:cs="Times New Roman"/>
          <w:b w:val="0"/>
          <w:sz w:val="22"/>
        </w:rPr>
        <w:t xml:space="preserve"> </w:t>
      </w:r>
      <w:r w:rsidR="00152F40" w:rsidRPr="00E974A2">
        <w:rPr>
          <w:rFonts w:cs="Times New Roman"/>
          <w:b w:val="0"/>
          <w:sz w:val="22"/>
        </w:rPr>
        <w:t xml:space="preserve">za dovršenje </w:t>
      </w:r>
      <w:r w:rsidR="00727D83">
        <w:rPr>
          <w:rFonts w:cs="Times New Roman"/>
          <w:b w:val="0"/>
          <w:sz w:val="22"/>
        </w:rPr>
        <w:t>izgradnje</w:t>
      </w:r>
      <w:r w:rsidR="00152F40" w:rsidRPr="00E974A2">
        <w:rPr>
          <w:rFonts w:cs="Times New Roman"/>
          <w:b w:val="0"/>
          <w:sz w:val="22"/>
        </w:rPr>
        <w:t>.</w:t>
      </w:r>
      <w:r w:rsidR="00152F40">
        <w:rPr>
          <w:rFonts w:cs="Times New Roman"/>
          <w:b w:val="0"/>
          <w:sz w:val="22"/>
        </w:rPr>
        <w:t xml:space="preserve"> </w:t>
      </w:r>
    </w:p>
    <w:p w14:paraId="63B905E2" w14:textId="4156284A" w:rsidR="003A301D" w:rsidRPr="00C9598E" w:rsidRDefault="00AF4FAD" w:rsidP="00C9598E">
      <w:pPr>
        <w:pStyle w:val="NoSpacing"/>
        <w:spacing w:after="240"/>
        <w:ind w:firstLine="708"/>
        <w:jc w:val="both"/>
        <w:rPr>
          <w:rFonts w:cs="Times New Roman"/>
          <w:b w:val="0"/>
          <w:sz w:val="22"/>
        </w:rPr>
      </w:pPr>
      <w:r w:rsidRPr="00E974A2">
        <w:rPr>
          <w:rFonts w:cs="Times New Roman"/>
          <w:b w:val="0"/>
          <w:sz w:val="22"/>
        </w:rPr>
        <w:t xml:space="preserve">Sukladno planu projekta, </w:t>
      </w:r>
      <w:r w:rsidRPr="00752B06">
        <w:rPr>
          <w:rFonts w:cs="Times New Roman"/>
          <w:b w:val="0"/>
          <w:sz w:val="22"/>
        </w:rPr>
        <w:t xml:space="preserve">Zajmom </w:t>
      </w:r>
      <w:bookmarkStart w:id="34" w:name="OLE_LINK6"/>
      <w:bookmarkStart w:id="35" w:name="OLE_LINK7"/>
      <w:r w:rsidRPr="00752B06">
        <w:rPr>
          <w:rFonts w:cs="Times New Roman"/>
          <w:b w:val="0"/>
          <w:sz w:val="22"/>
        </w:rPr>
        <w:t>Svjetske banke</w:t>
      </w:r>
      <w:r>
        <w:rPr>
          <w:rFonts w:cs="Times New Roman"/>
          <w:b w:val="0"/>
          <w:sz w:val="22"/>
        </w:rPr>
        <w:t xml:space="preserve"> </w:t>
      </w:r>
      <w:r w:rsidRPr="00E974A2">
        <w:rPr>
          <w:rFonts w:cs="Times New Roman"/>
          <w:b w:val="0"/>
          <w:sz w:val="22"/>
        </w:rPr>
        <w:t>9127</w:t>
      </w:r>
      <w:r w:rsidR="00727D83">
        <w:rPr>
          <w:rFonts w:cs="Times New Roman"/>
          <w:b w:val="0"/>
          <w:sz w:val="22"/>
        </w:rPr>
        <w:t>-</w:t>
      </w:r>
      <w:r w:rsidRPr="00E974A2">
        <w:rPr>
          <w:rFonts w:cs="Times New Roman"/>
          <w:b w:val="0"/>
          <w:sz w:val="22"/>
        </w:rPr>
        <w:t>HR</w:t>
      </w:r>
      <w:r>
        <w:rPr>
          <w:rFonts w:cs="Times New Roman"/>
          <w:b w:val="0"/>
          <w:sz w:val="22"/>
        </w:rPr>
        <w:t xml:space="preserve"> </w:t>
      </w:r>
      <w:bookmarkEnd w:id="34"/>
      <w:bookmarkEnd w:id="35"/>
      <w:r>
        <w:rPr>
          <w:rFonts w:cs="Times New Roman"/>
          <w:b w:val="0"/>
          <w:sz w:val="22"/>
        </w:rPr>
        <w:t xml:space="preserve">osigurana su sredstva </w:t>
      </w:r>
      <w:r w:rsidR="00152F40">
        <w:rPr>
          <w:rFonts w:cs="Times New Roman"/>
          <w:b w:val="0"/>
          <w:sz w:val="22"/>
        </w:rPr>
        <w:t xml:space="preserve">i </w:t>
      </w:r>
      <w:r>
        <w:rPr>
          <w:rFonts w:cs="Times New Roman"/>
          <w:b w:val="0"/>
          <w:sz w:val="22"/>
        </w:rPr>
        <w:t xml:space="preserve">za provedbu svih usluga vezanih za projekt. Do sada ugovorena vrijednost usluga iznosi EUR </w:t>
      </w:r>
      <w:r w:rsidRPr="004F0555">
        <w:rPr>
          <w:rFonts w:cs="Times New Roman"/>
          <w:b w:val="0"/>
          <w:sz w:val="22"/>
        </w:rPr>
        <w:t>7.029.894,20</w:t>
      </w:r>
      <w:r>
        <w:rPr>
          <w:rFonts w:cs="Times New Roman"/>
          <w:b w:val="0"/>
          <w:sz w:val="22"/>
        </w:rPr>
        <w:t xml:space="preserve"> te još predstoji ugovaranje usluga stručnog nadzora. Do sada je realizirano EUR </w:t>
      </w:r>
      <w:r w:rsidRPr="00A1043D">
        <w:rPr>
          <w:rFonts w:cs="Times New Roman"/>
          <w:b w:val="0"/>
          <w:sz w:val="22"/>
        </w:rPr>
        <w:t>4.473.462,52</w:t>
      </w:r>
      <w:r>
        <w:rPr>
          <w:rFonts w:cs="Times New Roman"/>
          <w:b w:val="0"/>
          <w:sz w:val="22"/>
        </w:rPr>
        <w:t xml:space="preserve"> čime je financirano projektiranje nove bolničke zgrade, garaže, </w:t>
      </w:r>
      <w:r>
        <w:rPr>
          <w:rFonts w:cs="Times New Roman"/>
          <w:b w:val="0"/>
          <w:sz w:val="22"/>
        </w:rPr>
        <w:lastRenderedPageBreak/>
        <w:t>pristupne ceste i toplinske stanice, upravljanje projektom u fazi projektiranja, kontrola projekta, modeliranje buke, reklamni pano te izrada prometne studije. Sredstvima Zajma će se tijekom faze gradnje financirati sljedeće usluge: projektantski nadzor, izrada elaborata privremene regulacije prometa, vođenje projekta, usluge stručnog nadzora i BIM alati za provedbu projekta u BIM okruženju.</w:t>
      </w:r>
    </w:p>
    <w:sectPr w:rsidR="003A301D" w:rsidRPr="00C9598E" w:rsidSect="00CE239E">
      <w:footerReference w:type="even" r:id="rId12"/>
      <w:footerReference w:type="default" r:id="rId13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DAAAC" w14:textId="77777777" w:rsidR="00AB4D78" w:rsidRDefault="00AB4D78">
      <w:r>
        <w:separator/>
      </w:r>
    </w:p>
  </w:endnote>
  <w:endnote w:type="continuationSeparator" w:id="0">
    <w:p w14:paraId="7056A2B1" w14:textId="77777777" w:rsidR="00AB4D78" w:rsidRDefault="00AB4D78">
      <w:r>
        <w:continuationSeparator/>
      </w:r>
    </w:p>
  </w:endnote>
  <w:endnote w:type="continuationNotice" w:id="1">
    <w:p w14:paraId="5D2A502E" w14:textId="77777777" w:rsidR="00AB4D78" w:rsidRDefault="00AB4D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16220" w14:textId="15966EFF" w:rsidR="005372C4" w:rsidRDefault="00DF6FF4" w:rsidP="009B5D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239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EE3FE9" w14:textId="77777777" w:rsidR="005372C4" w:rsidRDefault="00537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1773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2EB7A7" w14:textId="632D02D2" w:rsidR="005372C4" w:rsidRDefault="00DF6FF4" w:rsidP="00DC216A">
            <w:pPr>
              <w:pStyle w:val="Footer"/>
              <w:jc w:val="right"/>
            </w:pPr>
            <w:r w:rsidRPr="00DC216A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C216A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DC216A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PAGE </w:instrText>
            </w:r>
            <w:r w:rsidRPr="00DC216A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86725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4</w:t>
            </w:r>
            <w:r w:rsidRPr="00DC216A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DC216A">
              <w:rPr>
                <w:color w:val="808080" w:themeColor="background1" w:themeShade="80"/>
                <w:sz w:val="20"/>
                <w:szCs w:val="20"/>
              </w:rPr>
              <w:t xml:space="preserve"> / </w:t>
            </w:r>
            <w:r w:rsidRPr="00DC216A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DC216A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NUMPAGES  </w:instrText>
            </w:r>
            <w:r w:rsidRPr="00DC216A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86725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4</w:t>
            </w:r>
            <w:r w:rsidRPr="00DC216A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C72E1" w14:textId="77777777" w:rsidR="00AB4D78" w:rsidRDefault="00AB4D78">
      <w:r>
        <w:separator/>
      </w:r>
    </w:p>
  </w:footnote>
  <w:footnote w:type="continuationSeparator" w:id="0">
    <w:p w14:paraId="3DA78999" w14:textId="77777777" w:rsidR="00AB4D78" w:rsidRDefault="00AB4D78">
      <w:r>
        <w:continuationSeparator/>
      </w:r>
    </w:p>
  </w:footnote>
  <w:footnote w:type="continuationNotice" w:id="1">
    <w:p w14:paraId="13BAFAEA" w14:textId="77777777" w:rsidR="00AB4D78" w:rsidRDefault="00AB4D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42F0"/>
    <w:multiLevelType w:val="hybridMultilevel"/>
    <w:tmpl w:val="77C2B6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936"/>
    <w:multiLevelType w:val="hybridMultilevel"/>
    <w:tmpl w:val="A038132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4042E"/>
    <w:multiLevelType w:val="hybridMultilevel"/>
    <w:tmpl w:val="1E0032F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1132E2"/>
    <w:multiLevelType w:val="hybridMultilevel"/>
    <w:tmpl w:val="996646E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E132F5"/>
    <w:multiLevelType w:val="hybridMultilevel"/>
    <w:tmpl w:val="0714E75C"/>
    <w:lvl w:ilvl="0" w:tplc="F1085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13AEE"/>
    <w:multiLevelType w:val="hybridMultilevel"/>
    <w:tmpl w:val="159EB64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75B86"/>
    <w:multiLevelType w:val="hybridMultilevel"/>
    <w:tmpl w:val="DB468C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B5862"/>
    <w:multiLevelType w:val="hybridMultilevel"/>
    <w:tmpl w:val="D16213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00895"/>
    <w:multiLevelType w:val="hybridMultilevel"/>
    <w:tmpl w:val="C03676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653536"/>
    <w:multiLevelType w:val="hybridMultilevel"/>
    <w:tmpl w:val="1332BD4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CE55CB"/>
    <w:multiLevelType w:val="hybridMultilevel"/>
    <w:tmpl w:val="17A21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337BF"/>
    <w:multiLevelType w:val="hybridMultilevel"/>
    <w:tmpl w:val="7ED6588E"/>
    <w:lvl w:ilvl="0" w:tplc="73D0730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EB6E71"/>
    <w:multiLevelType w:val="hybridMultilevel"/>
    <w:tmpl w:val="706696D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7946A9"/>
    <w:multiLevelType w:val="hybridMultilevel"/>
    <w:tmpl w:val="F3940E3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DE6238"/>
    <w:multiLevelType w:val="hybridMultilevel"/>
    <w:tmpl w:val="BAEC6A82"/>
    <w:lvl w:ilvl="0" w:tplc="3D461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3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4A"/>
    <w:rsid w:val="0000568F"/>
    <w:rsid w:val="00022180"/>
    <w:rsid w:val="000245B0"/>
    <w:rsid w:val="00025C26"/>
    <w:rsid w:val="00030E88"/>
    <w:rsid w:val="00031FB7"/>
    <w:rsid w:val="00037507"/>
    <w:rsid w:val="000413F2"/>
    <w:rsid w:val="000471AC"/>
    <w:rsid w:val="0004774B"/>
    <w:rsid w:val="00050B92"/>
    <w:rsid w:val="000607CA"/>
    <w:rsid w:val="000623DF"/>
    <w:rsid w:val="00065EEB"/>
    <w:rsid w:val="00070A31"/>
    <w:rsid w:val="0007654E"/>
    <w:rsid w:val="00096938"/>
    <w:rsid w:val="000A0007"/>
    <w:rsid w:val="000A22C8"/>
    <w:rsid w:val="000B1F73"/>
    <w:rsid w:val="000C18E4"/>
    <w:rsid w:val="000D2606"/>
    <w:rsid w:val="000E3360"/>
    <w:rsid w:val="000E6367"/>
    <w:rsid w:val="000F61AA"/>
    <w:rsid w:val="001126A9"/>
    <w:rsid w:val="00114201"/>
    <w:rsid w:val="00115234"/>
    <w:rsid w:val="001214A0"/>
    <w:rsid w:val="00124E97"/>
    <w:rsid w:val="00130713"/>
    <w:rsid w:val="00132CBF"/>
    <w:rsid w:val="00135C9B"/>
    <w:rsid w:val="0013604B"/>
    <w:rsid w:val="00137F9C"/>
    <w:rsid w:val="00152F40"/>
    <w:rsid w:val="00157E43"/>
    <w:rsid w:val="00170974"/>
    <w:rsid w:val="00171092"/>
    <w:rsid w:val="00192860"/>
    <w:rsid w:val="001958AE"/>
    <w:rsid w:val="001A3FD7"/>
    <w:rsid w:val="001A512E"/>
    <w:rsid w:val="001A5B02"/>
    <w:rsid w:val="001A6356"/>
    <w:rsid w:val="001B36D2"/>
    <w:rsid w:val="001D1F01"/>
    <w:rsid w:val="001D33CD"/>
    <w:rsid w:val="00224E46"/>
    <w:rsid w:val="00250788"/>
    <w:rsid w:val="0025175C"/>
    <w:rsid w:val="00253078"/>
    <w:rsid w:val="002578F3"/>
    <w:rsid w:val="00263E34"/>
    <w:rsid w:val="00271286"/>
    <w:rsid w:val="002778A0"/>
    <w:rsid w:val="00287A88"/>
    <w:rsid w:val="002954EA"/>
    <w:rsid w:val="002A611A"/>
    <w:rsid w:val="002A6227"/>
    <w:rsid w:val="002A710F"/>
    <w:rsid w:val="002C1125"/>
    <w:rsid w:val="002C38A7"/>
    <w:rsid w:val="002F1D43"/>
    <w:rsid w:val="0030248A"/>
    <w:rsid w:val="00305ED5"/>
    <w:rsid w:val="0030788C"/>
    <w:rsid w:val="003279DB"/>
    <w:rsid w:val="0035217C"/>
    <w:rsid w:val="00355D8B"/>
    <w:rsid w:val="003602A9"/>
    <w:rsid w:val="0036286F"/>
    <w:rsid w:val="00376011"/>
    <w:rsid w:val="00380AFE"/>
    <w:rsid w:val="00387505"/>
    <w:rsid w:val="00396E3C"/>
    <w:rsid w:val="00397B40"/>
    <w:rsid w:val="003A2A5A"/>
    <w:rsid w:val="003A301D"/>
    <w:rsid w:val="003A45BB"/>
    <w:rsid w:val="003B3246"/>
    <w:rsid w:val="003C1BA8"/>
    <w:rsid w:val="003D1561"/>
    <w:rsid w:val="003D1BCD"/>
    <w:rsid w:val="003D517D"/>
    <w:rsid w:val="003D6F97"/>
    <w:rsid w:val="003E653E"/>
    <w:rsid w:val="003E6989"/>
    <w:rsid w:val="003F0763"/>
    <w:rsid w:val="003F7205"/>
    <w:rsid w:val="00424133"/>
    <w:rsid w:val="004403E6"/>
    <w:rsid w:val="0045305C"/>
    <w:rsid w:val="004558F5"/>
    <w:rsid w:val="00456632"/>
    <w:rsid w:val="0047429A"/>
    <w:rsid w:val="00474786"/>
    <w:rsid w:val="00475728"/>
    <w:rsid w:val="004A2DAF"/>
    <w:rsid w:val="004A5B7C"/>
    <w:rsid w:val="004B02CF"/>
    <w:rsid w:val="004B085F"/>
    <w:rsid w:val="004B0EA4"/>
    <w:rsid w:val="004B4F47"/>
    <w:rsid w:val="004C110F"/>
    <w:rsid w:val="004C2362"/>
    <w:rsid w:val="004C5E07"/>
    <w:rsid w:val="004D2005"/>
    <w:rsid w:val="004D5BAE"/>
    <w:rsid w:val="004F03E8"/>
    <w:rsid w:val="00513AE5"/>
    <w:rsid w:val="00535148"/>
    <w:rsid w:val="005372C4"/>
    <w:rsid w:val="005378C1"/>
    <w:rsid w:val="00540F23"/>
    <w:rsid w:val="005447FF"/>
    <w:rsid w:val="00554F22"/>
    <w:rsid w:val="00564E08"/>
    <w:rsid w:val="00594402"/>
    <w:rsid w:val="005A46ED"/>
    <w:rsid w:val="005A5347"/>
    <w:rsid w:val="005A7459"/>
    <w:rsid w:val="005A79FF"/>
    <w:rsid w:val="005B05DE"/>
    <w:rsid w:val="005B114F"/>
    <w:rsid w:val="005C11D6"/>
    <w:rsid w:val="005C1D98"/>
    <w:rsid w:val="005D17EC"/>
    <w:rsid w:val="005E44FB"/>
    <w:rsid w:val="005E500C"/>
    <w:rsid w:val="005F1EC6"/>
    <w:rsid w:val="006075CF"/>
    <w:rsid w:val="00611F0F"/>
    <w:rsid w:val="0061623C"/>
    <w:rsid w:val="0062016E"/>
    <w:rsid w:val="00644310"/>
    <w:rsid w:val="00644EC9"/>
    <w:rsid w:val="0065164F"/>
    <w:rsid w:val="006564BB"/>
    <w:rsid w:val="00662D62"/>
    <w:rsid w:val="00686725"/>
    <w:rsid w:val="00690DF3"/>
    <w:rsid w:val="00692979"/>
    <w:rsid w:val="006A01EC"/>
    <w:rsid w:val="006B283E"/>
    <w:rsid w:val="006B49EE"/>
    <w:rsid w:val="006B6D48"/>
    <w:rsid w:val="006C664A"/>
    <w:rsid w:val="006D598A"/>
    <w:rsid w:val="006D61BF"/>
    <w:rsid w:val="006E05D6"/>
    <w:rsid w:val="006E6D6D"/>
    <w:rsid w:val="00727D83"/>
    <w:rsid w:val="00737183"/>
    <w:rsid w:val="007511C2"/>
    <w:rsid w:val="007513D0"/>
    <w:rsid w:val="007523B7"/>
    <w:rsid w:val="007545DD"/>
    <w:rsid w:val="007662AC"/>
    <w:rsid w:val="007718F4"/>
    <w:rsid w:val="00781243"/>
    <w:rsid w:val="007B2A2F"/>
    <w:rsid w:val="007B75E2"/>
    <w:rsid w:val="007C2A29"/>
    <w:rsid w:val="007C756A"/>
    <w:rsid w:val="007D22C5"/>
    <w:rsid w:val="007F0BBE"/>
    <w:rsid w:val="00803E05"/>
    <w:rsid w:val="00804DF0"/>
    <w:rsid w:val="008053DE"/>
    <w:rsid w:val="0081314A"/>
    <w:rsid w:val="0084051D"/>
    <w:rsid w:val="0084319B"/>
    <w:rsid w:val="00843F7C"/>
    <w:rsid w:val="008443A6"/>
    <w:rsid w:val="0088054A"/>
    <w:rsid w:val="00881D0E"/>
    <w:rsid w:val="00883B68"/>
    <w:rsid w:val="00887628"/>
    <w:rsid w:val="008A100F"/>
    <w:rsid w:val="008A4F9F"/>
    <w:rsid w:val="008B60B6"/>
    <w:rsid w:val="008C0471"/>
    <w:rsid w:val="008D4E2F"/>
    <w:rsid w:val="008E0515"/>
    <w:rsid w:val="008E2363"/>
    <w:rsid w:val="008E4711"/>
    <w:rsid w:val="00901A3F"/>
    <w:rsid w:val="009211D8"/>
    <w:rsid w:val="00964CE1"/>
    <w:rsid w:val="00966410"/>
    <w:rsid w:val="0096768D"/>
    <w:rsid w:val="009B2B08"/>
    <w:rsid w:val="009C1E15"/>
    <w:rsid w:val="00A0736F"/>
    <w:rsid w:val="00A13373"/>
    <w:rsid w:val="00A27D67"/>
    <w:rsid w:val="00A27F13"/>
    <w:rsid w:val="00A3412B"/>
    <w:rsid w:val="00A5109F"/>
    <w:rsid w:val="00A559E1"/>
    <w:rsid w:val="00A57975"/>
    <w:rsid w:val="00A67DFB"/>
    <w:rsid w:val="00A7767D"/>
    <w:rsid w:val="00A81697"/>
    <w:rsid w:val="00A93058"/>
    <w:rsid w:val="00AA43AE"/>
    <w:rsid w:val="00AB035F"/>
    <w:rsid w:val="00AB4D78"/>
    <w:rsid w:val="00AD40BB"/>
    <w:rsid w:val="00AE44EB"/>
    <w:rsid w:val="00AF1C89"/>
    <w:rsid w:val="00AF4FAD"/>
    <w:rsid w:val="00B0456F"/>
    <w:rsid w:val="00B17D03"/>
    <w:rsid w:val="00B5312D"/>
    <w:rsid w:val="00B60092"/>
    <w:rsid w:val="00B63485"/>
    <w:rsid w:val="00B76A9A"/>
    <w:rsid w:val="00B81992"/>
    <w:rsid w:val="00BA4857"/>
    <w:rsid w:val="00BA5CB1"/>
    <w:rsid w:val="00BB2F56"/>
    <w:rsid w:val="00BD773C"/>
    <w:rsid w:val="00BE06DE"/>
    <w:rsid w:val="00BE20E3"/>
    <w:rsid w:val="00BE3217"/>
    <w:rsid w:val="00BE4432"/>
    <w:rsid w:val="00BF4744"/>
    <w:rsid w:val="00C24826"/>
    <w:rsid w:val="00C2669A"/>
    <w:rsid w:val="00C50A3F"/>
    <w:rsid w:val="00C779DA"/>
    <w:rsid w:val="00C94BDB"/>
    <w:rsid w:val="00C9598E"/>
    <w:rsid w:val="00CA5476"/>
    <w:rsid w:val="00CB3ECC"/>
    <w:rsid w:val="00CC0C5D"/>
    <w:rsid w:val="00CE0B51"/>
    <w:rsid w:val="00CE239E"/>
    <w:rsid w:val="00CE6D3D"/>
    <w:rsid w:val="00CF7B78"/>
    <w:rsid w:val="00D050E1"/>
    <w:rsid w:val="00D05E3E"/>
    <w:rsid w:val="00D069B0"/>
    <w:rsid w:val="00D45194"/>
    <w:rsid w:val="00D458B8"/>
    <w:rsid w:val="00D617D3"/>
    <w:rsid w:val="00D96F05"/>
    <w:rsid w:val="00DA4DE4"/>
    <w:rsid w:val="00DD2B47"/>
    <w:rsid w:val="00DD5DF4"/>
    <w:rsid w:val="00DE0BA2"/>
    <w:rsid w:val="00DF2CEA"/>
    <w:rsid w:val="00DF6FF4"/>
    <w:rsid w:val="00DF7E15"/>
    <w:rsid w:val="00E0039C"/>
    <w:rsid w:val="00E247F2"/>
    <w:rsid w:val="00E31258"/>
    <w:rsid w:val="00E32663"/>
    <w:rsid w:val="00E37707"/>
    <w:rsid w:val="00E64CA8"/>
    <w:rsid w:val="00E80D80"/>
    <w:rsid w:val="00E8380E"/>
    <w:rsid w:val="00E94F03"/>
    <w:rsid w:val="00E9758A"/>
    <w:rsid w:val="00EC2AD4"/>
    <w:rsid w:val="00EC684B"/>
    <w:rsid w:val="00EE1159"/>
    <w:rsid w:val="00EE707E"/>
    <w:rsid w:val="00EF126B"/>
    <w:rsid w:val="00F05466"/>
    <w:rsid w:val="00F15A76"/>
    <w:rsid w:val="00F233F1"/>
    <w:rsid w:val="00F36544"/>
    <w:rsid w:val="00F43F5E"/>
    <w:rsid w:val="00F447A2"/>
    <w:rsid w:val="00F45033"/>
    <w:rsid w:val="00F50890"/>
    <w:rsid w:val="00F554D2"/>
    <w:rsid w:val="00F55A06"/>
    <w:rsid w:val="00F7202B"/>
    <w:rsid w:val="00F75B61"/>
    <w:rsid w:val="00F77159"/>
    <w:rsid w:val="00F84610"/>
    <w:rsid w:val="00F90072"/>
    <w:rsid w:val="00F92ED4"/>
    <w:rsid w:val="00FA5AC1"/>
    <w:rsid w:val="00FB08E9"/>
    <w:rsid w:val="00FC1068"/>
    <w:rsid w:val="00FC3B48"/>
    <w:rsid w:val="00FC7770"/>
    <w:rsid w:val="00FE0F1F"/>
    <w:rsid w:val="00FE4B9C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790E"/>
  <w15:chartTrackingRefBased/>
  <w15:docId w15:val="{611FC128-D508-4B22-A475-0B4B2EE4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C66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64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6C664A"/>
  </w:style>
  <w:style w:type="paragraph" w:styleId="ListParagraph">
    <w:name w:val="List Paragraph"/>
    <w:basedOn w:val="Normal"/>
    <w:uiPriority w:val="34"/>
    <w:qFormat/>
    <w:rsid w:val="006C66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3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1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19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19B"/>
    <w:rPr>
      <w:rFonts w:ascii="Segoe UI" w:eastAsia="Times New Roman" w:hAnsi="Segoe UI" w:cs="Segoe UI"/>
      <w:sz w:val="18"/>
      <w:szCs w:val="18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3E8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3875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50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1D1F01"/>
    <w:rPr>
      <w:rFonts w:ascii="Segoe UI" w:eastAsia="Segoe UI" w:hAnsi="Segoe UI" w:cs="Segoe UI"/>
      <w:b/>
      <w:bCs/>
    </w:rPr>
  </w:style>
  <w:style w:type="paragraph" w:styleId="BodyText">
    <w:name w:val="Body Text"/>
    <w:basedOn w:val="Normal"/>
    <w:link w:val="BodyTextChar"/>
    <w:qFormat/>
    <w:rsid w:val="001D1F01"/>
    <w:pPr>
      <w:widowControl w:val="0"/>
      <w:spacing w:after="160"/>
    </w:pPr>
    <w:rPr>
      <w:rFonts w:ascii="Segoe UI" w:eastAsia="Segoe UI" w:hAnsi="Segoe UI" w:cs="Segoe UI"/>
      <w:b/>
      <w:bCs/>
      <w:sz w:val="22"/>
      <w:szCs w:val="22"/>
      <w:lang w:eastAsia="en-US"/>
    </w:rPr>
  </w:style>
  <w:style w:type="character" w:customStyle="1" w:styleId="TijelotekstaChar1">
    <w:name w:val="Tijelo teksta Char1"/>
    <w:basedOn w:val="DefaultParagraphFont"/>
    <w:uiPriority w:val="99"/>
    <w:semiHidden/>
    <w:rsid w:val="001D1F0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D1F01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05D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05D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AF4FAD"/>
    <w:pPr>
      <w:spacing w:after="0" w:line="240" w:lineRule="auto"/>
    </w:pPr>
    <w:rPr>
      <w:rFonts w:ascii="Times New Roman" w:eastAsiaTheme="minorEastAsia" w:hAnsi="Times New Roman"/>
      <w:b/>
      <w:sz w:val="24"/>
      <w:lang w:eastAsia="zh-CN"/>
    </w:rPr>
  </w:style>
  <w:style w:type="paragraph" w:styleId="Revision">
    <w:name w:val="Revision"/>
    <w:hidden/>
    <w:uiPriority w:val="99"/>
    <w:semiHidden/>
    <w:rsid w:val="0015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D349A036CD1F47889F85FDE8873207" ma:contentTypeVersion="16" ma:contentTypeDescription="Stvaranje novog dokumenta." ma:contentTypeScope="" ma:versionID="dfb71e0097b4799b86c13722e42bddf5">
  <xsd:schema xmlns:xsd="http://www.w3.org/2001/XMLSchema" xmlns:xs="http://www.w3.org/2001/XMLSchema" xmlns:p="http://schemas.microsoft.com/office/2006/metadata/properties" xmlns:ns1="http://schemas.microsoft.com/sharepoint/v3" xmlns:ns2="a235308e-d7a4-4106-86d6-a8858ed25dbf" xmlns:ns3="41794457-097d-4c52-b192-d21aa8c5dff9" targetNamespace="http://schemas.microsoft.com/office/2006/metadata/properties" ma:root="true" ma:fieldsID="581a3b2eca860002264ce318b521a1e4" ns1:_="" ns2:_="" ns3:_="">
    <xsd:import namespace="http://schemas.microsoft.com/sharepoint/v3"/>
    <xsd:import namespace="a235308e-d7a4-4106-86d6-a8858ed25dbf"/>
    <xsd:import namespace="41794457-097d-4c52-b192-d21aa8c5d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5308e-d7a4-4106-86d6-a8858ed25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Oznake slika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94457-097d-4c52-b192-d21aa8c5df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6d4bd29-6805-410b-a213-ca620f66ca21}" ma:internalName="TaxCatchAll" ma:showField="CatchAllData" ma:web="41794457-097d-4c52-b192-d21aa8c5d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794457-097d-4c52-b192-d21aa8c5dff9" xsi:nil="true"/>
    <lcf76f155ced4ddcb4097134ff3c332f xmlns="a235308e-d7a4-4106-86d6-a8858ed25db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9918EF-5216-4F6D-8D46-8A377951E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35308e-d7a4-4106-86d6-a8858ed25dbf"/>
    <ds:schemaRef ds:uri="41794457-097d-4c52-b192-d21aa8c5d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C0E704-C18A-4E3B-A365-0CDD55E39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C491E-7756-4B50-A5E9-D2DB120671AE}">
  <ds:schemaRefs>
    <ds:schemaRef ds:uri="http://purl.org/dc/elements/1.1/"/>
    <ds:schemaRef ds:uri="http://schemas.openxmlformats.org/package/2006/metadata/core-properties"/>
    <ds:schemaRef ds:uri="a235308e-d7a4-4106-86d6-a8858ed25dbf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1794457-097d-4c52-b192-d21aa8c5dff9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6E690AB-9C34-4EF8-B42B-803C595F6A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0b371a5-db60-4559-a15f-7df3747c88c8}" enabled="0" method="" siteId="{80b371a5-db60-4559-a15f-7df3747c88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Šperanda</dc:creator>
  <cp:keywords/>
  <dc:description/>
  <cp:lastModifiedBy>Sunčica Marini</cp:lastModifiedBy>
  <cp:revision>22</cp:revision>
  <cp:lastPrinted>2024-10-22T08:09:00Z</cp:lastPrinted>
  <dcterms:created xsi:type="dcterms:W3CDTF">2024-10-21T14:56:00Z</dcterms:created>
  <dcterms:modified xsi:type="dcterms:W3CDTF">2024-10-28T15:38:00Z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0x010100A7D349A036CD1F47889F85FDE8873207</vt:lpwstr>
  </property>
  <property fmtid="{D5CDD505-2E9C-101B-9397-08002B2CF9AE}" pid="3" name="Order">
    <vt:r8>2210200</vt:r8>
  </property>
  <property fmtid="{D5CDD505-2E9C-101B-9397-08002B2CF9AE}" pid="4" name="MediaServiceImageTags">
    <vt:lpwstr/>
  </property>
</Properties>
</file>