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7097E" w14:textId="77777777" w:rsidR="000C3EEE" w:rsidRPr="00946174" w:rsidRDefault="000C3EEE" w:rsidP="000C3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8A99C9C" wp14:editId="2DE9D880">
            <wp:extent cx="502942" cy="684000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47C" w:rsidRPr="00946174">
        <w:rPr>
          <w:rFonts w:ascii="Times New Roman" w:hAnsi="Times New Roman" w:cs="Times New Roman"/>
          <w:sz w:val="24"/>
          <w:szCs w:val="24"/>
        </w:rPr>
        <w:fldChar w:fldCharType="begin"/>
      </w:r>
      <w:r w:rsidRPr="00946174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="008B447C" w:rsidRPr="0094617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D3EBA2" w14:textId="77777777" w:rsidR="000C3EEE" w:rsidRPr="00946174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E037CEA" w14:textId="77777777" w:rsidR="000C3EEE" w:rsidRPr="00946174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C1FC3" w14:textId="47FC682D" w:rsidR="000C3EEE" w:rsidRPr="00946174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Zagreb,</w:t>
      </w:r>
      <w:r w:rsidR="00954596" w:rsidRPr="00946174">
        <w:rPr>
          <w:rFonts w:ascii="Times New Roman" w:hAnsi="Times New Roman" w:cs="Times New Roman"/>
          <w:sz w:val="24"/>
          <w:szCs w:val="24"/>
        </w:rPr>
        <w:t xml:space="preserve"> </w:t>
      </w:r>
      <w:r w:rsidR="00B355EE">
        <w:rPr>
          <w:rFonts w:ascii="Times New Roman" w:hAnsi="Times New Roman" w:cs="Times New Roman"/>
          <w:sz w:val="24"/>
          <w:szCs w:val="24"/>
        </w:rPr>
        <w:t xml:space="preserve">20. ožujka </w:t>
      </w:r>
      <w:r w:rsidR="00CD71F7" w:rsidRPr="00946174">
        <w:rPr>
          <w:rFonts w:ascii="Times New Roman" w:hAnsi="Times New Roman" w:cs="Times New Roman"/>
          <w:sz w:val="24"/>
          <w:szCs w:val="24"/>
        </w:rPr>
        <w:t>202</w:t>
      </w:r>
      <w:r w:rsidR="00951DD3">
        <w:rPr>
          <w:rFonts w:ascii="Times New Roman" w:hAnsi="Times New Roman" w:cs="Times New Roman"/>
          <w:sz w:val="24"/>
          <w:szCs w:val="24"/>
        </w:rPr>
        <w:t>4</w:t>
      </w:r>
      <w:r w:rsidRPr="00946174">
        <w:rPr>
          <w:rFonts w:ascii="Times New Roman" w:hAnsi="Times New Roman" w:cs="Times New Roman"/>
          <w:sz w:val="24"/>
          <w:szCs w:val="24"/>
        </w:rPr>
        <w:t>.</w:t>
      </w:r>
    </w:p>
    <w:p w14:paraId="15BB2DF8" w14:textId="77777777" w:rsidR="000C3EEE" w:rsidRPr="00946174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DF4A6D" w14:textId="77777777" w:rsidR="000C3EEE" w:rsidRPr="00946174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370E71" w14:textId="77777777" w:rsidR="000C3EEE" w:rsidRPr="00946174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31CC89" w14:textId="77777777" w:rsidR="000C3EEE" w:rsidRPr="00946174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46174" w:rsidRPr="00946174" w14:paraId="5B2BF460" w14:textId="77777777" w:rsidTr="00347AA8">
        <w:tc>
          <w:tcPr>
            <w:tcW w:w="1951" w:type="dxa"/>
          </w:tcPr>
          <w:p w14:paraId="6180622F" w14:textId="77777777" w:rsidR="000C3EEE" w:rsidRPr="00946174" w:rsidRDefault="000C3EEE" w:rsidP="00347AA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6174">
              <w:rPr>
                <w:sz w:val="24"/>
                <w:szCs w:val="24"/>
              </w:rPr>
              <w:t xml:space="preserve"> </w:t>
            </w:r>
            <w:r w:rsidRPr="00946174">
              <w:rPr>
                <w:b/>
                <w:smallCaps/>
                <w:sz w:val="24"/>
                <w:szCs w:val="24"/>
              </w:rPr>
              <w:t>Predlagatelj</w:t>
            </w:r>
            <w:r w:rsidRPr="00946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5438AAE" w14:textId="77777777" w:rsidR="000C3EEE" w:rsidRPr="00946174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946174">
              <w:rPr>
                <w:sz w:val="24"/>
                <w:szCs w:val="24"/>
              </w:rPr>
              <w:t>Ministarstvo</w:t>
            </w:r>
            <w:r w:rsidR="00C44B3C" w:rsidRPr="00946174">
              <w:rPr>
                <w:sz w:val="24"/>
                <w:szCs w:val="24"/>
              </w:rPr>
              <w:t xml:space="preserve"> poljoprivrede </w:t>
            </w:r>
          </w:p>
        </w:tc>
      </w:tr>
    </w:tbl>
    <w:p w14:paraId="404AE56F" w14:textId="77777777" w:rsidR="000C3EEE" w:rsidRPr="00946174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946174" w:rsidRPr="00946174" w14:paraId="79D4656B" w14:textId="77777777" w:rsidTr="00347AA8">
        <w:tc>
          <w:tcPr>
            <w:tcW w:w="1951" w:type="dxa"/>
          </w:tcPr>
          <w:p w14:paraId="1450B602" w14:textId="77777777" w:rsidR="000C3EEE" w:rsidRPr="00946174" w:rsidRDefault="000C3EEE" w:rsidP="00347AA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46174">
              <w:rPr>
                <w:b/>
                <w:smallCaps/>
                <w:sz w:val="24"/>
                <w:szCs w:val="24"/>
              </w:rPr>
              <w:t>Predmet</w:t>
            </w:r>
            <w:r w:rsidRPr="009461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76326AB" w14:textId="52070621" w:rsidR="00910453" w:rsidRPr="00946174" w:rsidRDefault="000C3EEE" w:rsidP="00910453">
            <w:pPr>
              <w:rPr>
                <w:b/>
                <w:bCs/>
                <w:sz w:val="24"/>
                <w:szCs w:val="24"/>
              </w:rPr>
            </w:pPr>
            <w:r w:rsidRPr="00946174">
              <w:rPr>
                <w:sz w:val="24"/>
                <w:szCs w:val="24"/>
              </w:rPr>
              <w:t xml:space="preserve">Prijedlog </w:t>
            </w:r>
            <w:r w:rsidR="003C5673" w:rsidRPr="00946174">
              <w:rPr>
                <w:sz w:val="24"/>
                <w:szCs w:val="24"/>
              </w:rPr>
              <w:t>o</w:t>
            </w:r>
            <w:r w:rsidR="00C44B3C" w:rsidRPr="00946174">
              <w:rPr>
                <w:sz w:val="24"/>
                <w:szCs w:val="24"/>
              </w:rPr>
              <w:t xml:space="preserve">dluke o donošenju </w:t>
            </w:r>
            <w:r w:rsidR="00D77269" w:rsidRPr="00031391">
              <w:rPr>
                <w:sz w:val="24"/>
                <w:szCs w:val="24"/>
              </w:rPr>
              <w:t>Program</w:t>
            </w:r>
            <w:r w:rsidR="00D77269">
              <w:rPr>
                <w:sz w:val="24"/>
                <w:szCs w:val="24"/>
              </w:rPr>
              <w:t>a državne potpore za kompenzaciju rasta cijene energenata u sektorima prerade poljoprivrednih proizvoda u 2024. godini</w:t>
            </w:r>
          </w:p>
          <w:p w14:paraId="31CF53F3" w14:textId="77777777" w:rsidR="000C3EEE" w:rsidRPr="00946174" w:rsidRDefault="000C3EEE" w:rsidP="003572B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6443B966" w14:textId="77777777" w:rsidR="000C3EEE" w:rsidRPr="00946174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2C5DE4" w14:textId="77777777" w:rsidR="000C3EEE" w:rsidRPr="00946174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AB384" w14:textId="77777777" w:rsidR="000C3EEE" w:rsidRPr="00946174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5B7EE" w14:textId="77777777" w:rsidR="000C3EEE" w:rsidRPr="00946174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DEB4C" w14:textId="77777777" w:rsidR="000C3EEE" w:rsidRPr="00946174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8812D" w14:textId="77777777" w:rsidR="000C3EEE" w:rsidRPr="00946174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06887" w14:textId="77777777" w:rsidR="005222AE" w:rsidRPr="00946174" w:rsidRDefault="005222AE" w:rsidP="005222A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106B9F7" w14:textId="77777777" w:rsidR="005222AE" w:rsidRPr="00946174" w:rsidRDefault="005222AE" w:rsidP="005222AE">
      <w:pPr>
        <w:rPr>
          <w:rFonts w:ascii="Times New Roman" w:hAnsi="Times New Roman" w:cs="Times New Roman"/>
          <w:sz w:val="24"/>
          <w:szCs w:val="24"/>
        </w:rPr>
      </w:pPr>
    </w:p>
    <w:p w14:paraId="3097E2E7" w14:textId="77777777" w:rsidR="00457B4B" w:rsidRPr="00946174" w:rsidRDefault="00457B4B" w:rsidP="00C44B3C">
      <w:pPr>
        <w:jc w:val="right"/>
        <w:rPr>
          <w:rFonts w:ascii="Times New Roman" w:hAnsi="Times New Roman" w:cs="Times New Roman"/>
          <w:i/>
          <w:sz w:val="24"/>
          <w:szCs w:val="24"/>
        </w:rPr>
        <w:sectPr w:rsidR="00457B4B" w:rsidRPr="00946174" w:rsidSect="00611595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DE888B1" w14:textId="77777777" w:rsidR="00C44B3C" w:rsidRPr="00946174" w:rsidRDefault="00820FCF" w:rsidP="00530253">
      <w:pPr>
        <w:spacing w:after="120" w:line="240" w:lineRule="atLea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617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PRIJEDLOG </w:t>
      </w:r>
    </w:p>
    <w:p w14:paraId="6CD0C0CB" w14:textId="76F175E6" w:rsidR="00C4332B" w:rsidRPr="00370931" w:rsidRDefault="00857770" w:rsidP="00401383">
      <w:pPr>
        <w:pStyle w:val="BodyText"/>
        <w:spacing w:after="120" w:line="240" w:lineRule="auto"/>
        <w:rPr>
          <w:color w:val="auto"/>
          <w:sz w:val="24"/>
          <w:szCs w:val="24"/>
        </w:rPr>
      </w:pPr>
      <w:r w:rsidRPr="00370931">
        <w:rPr>
          <w:color w:val="auto"/>
          <w:sz w:val="24"/>
          <w:szCs w:val="24"/>
        </w:rPr>
        <w:t>N</w:t>
      </w:r>
      <w:r w:rsidR="00BA2228" w:rsidRPr="00370931">
        <w:rPr>
          <w:color w:val="auto"/>
          <w:sz w:val="24"/>
          <w:szCs w:val="24"/>
        </w:rPr>
        <w:t xml:space="preserve">a temelju </w:t>
      </w:r>
      <w:r w:rsidR="00C4332B" w:rsidRPr="00370931">
        <w:rPr>
          <w:color w:val="auto"/>
          <w:sz w:val="24"/>
          <w:szCs w:val="24"/>
        </w:rPr>
        <w:t>članka 39. stavka 2. Zakona o poljoprivredi (</w:t>
      </w:r>
      <w:r w:rsidR="00011E0D" w:rsidRPr="00370931">
        <w:rPr>
          <w:color w:val="auto"/>
          <w:sz w:val="24"/>
          <w:szCs w:val="24"/>
        </w:rPr>
        <w:t>"Narodne novine"</w:t>
      </w:r>
      <w:r w:rsidR="00C4332B" w:rsidRPr="00370931">
        <w:rPr>
          <w:color w:val="auto"/>
          <w:sz w:val="24"/>
          <w:szCs w:val="24"/>
        </w:rPr>
        <w:t xml:space="preserve">, </w:t>
      </w:r>
      <w:r w:rsidR="00AE40D1" w:rsidRPr="00370931">
        <w:rPr>
          <w:rFonts w:eastAsia="Times New Roman"/>
          <w:color w:val="auto"/>
          <w:sz w:val="24"/>
          <w:szCs w:val="24"/>
          <w:lang w:eastAsia="hr-HR"/>
        </w:rPr>
        <w:t>br</w:t>
      </w:r>
      <w:r w:rsidR="00011E0D" w:rsidRPr="00370931">
        <w:rPr>
          <w:rFonts w:eastAsia="Times New Roman"/>
          <w:color w:val="auto"/>
          <w:sz w:val="24"/>
          <w:szCs w:val="24"/>
          <w:lang w:eastAsia="hr-HR"/>
        </w:rPr>
        <w:t>.</w:t>
      </w:r>
      <w:r w:rsidR="00AE40D1" w:rsidRPr="00370931">
        <w:rPr>
          <w:rFonts w:eastAsia="Times New Roman"/>
          <w:color w:val="auto"/>
          <w:sz w:val="24"/>
          <w:szCs w:val="24"/>
          <w:lang w:eastAsia="hr-HR"/>
        </w:rPr>
        <w:t xml:space="preserve"> 118/18</w:t>
      </w:r>
      <w:r w:rsidR="00011E0D" w:rsidRPr="00370931">
        <w:rPr>
          <w:rFonts w:eastAsia="Times New Roman"/>
          <w:color w:val="auto"/>
          <w:sz w:val="24"/>
          <w:szCs w:val="24"/>
          <w:lang w:eastAsia="hr-HR"/>
        </w:rPr>
        <w:t>.</w:t>
      </w:r>
      <w:r w:rsidR="00AE40D1" w:rsidRPr="00370931">
        <w:rPr>
          <w:rFonts w:eastAsia="Times New Roman"/>
          <w:color w:val="auto"/>
          <w:sz w:val="24"/>
          <w:szCs w:val="24"/>
          <w:lang w:eastAsia="hr-HR"/>
        </w:rPr>
        <w:t>, 42/20</w:t>
      </w:r>
      <w:r w:rsidR="00011E0D" w:rsidRPr="00370931">
        <w:rPr>
          <w:rFonts w:eastAsia="Times New Roman"/>
          <w:color w:val="auto"/>
          <w:sz w:val="24"/>
          <w:szCs w:val="24"/>
          <w:lang w:eastAsia="hr-HR"/>
        </w:rPr>
        <w:t>.</w:t>
      </w:r>
      <w:r w:rsidR="00AE40D1" w:rsidRPr="00370931">
        <w:rPr>
          <w:rFonts w:eastAsia="Times New Roman"/>
          <w:color w:val="auto"/>
          <w:sz w:val="24"/>
          <w:szCs w:val="24"/>
          <w:lang w:eastAsia="hr-HR"/>
        </w:rPr>
        <w:t xml:space="preserve"> i 127/20</w:t>
      </w:r>
      <w:r w:rsidR="00011E0D" w:rsidRPr="00370931">
        <w:rPr>
          <w:rFonts w:eastAsia="Times New Roman"/>
          <w:color w:val="auto"/>
          <w:sz w:val="24"/>
          <w:szCs w:val="24"/>
          <w:lang w:eastAsia="hr-HR"/>
        </w:rPr>
        <w:t>.</w:t>
      </w:r>
      <w:r w:rsidR="00AE40D1" w:rsidRPr="00370931">
        <w:rPr>
          <w:rFonts w:eastAsia="Times New Roman"/>
          <w:color w:val="auto"/>
          <w:sz w:val="24"/>
          <w:szCs w:val="24"/>
          <w:lang w:eastAsia="hr-HR"/>
        </w:rPr>
        <w:t xml:space="preserve"> – Odluka Ustavnog suda Republike Hrvatske</w:t>
      </w:r>
      <w:r w:rsidR="00370931" w:rsidRPr="00370931">
        <w:rPr>
          <w:rFonts w:eastAsia="Times New Roman"/>
          <w:color w:val="auto"/>
          <w:sz w:val="24"/>
          <w:szCs w:val="24"/>
          <w:lang w:eastAsia="hr-HR"/>
        </w:rPr>
        <w:t xml:space="preserve">, </w:t>
      </w:r>
      <w:r w:rsidR="00370931" w:rsidRPr="00370931">
        <w:rPr>
          <w:color w:val="auto"/>
          <w:sz w:val="24"/>
          <w:szCs w:val="24"/>
        </w:rPr>
        <w:t>52/21</w:t>
      </w:r>
      <w:r w:rsidR="00951DD3">
        <w:rPr>
          <w:color w:val="auto"/>
          <w:sz w:val="24"/>
          <w:szCs w:val="24"/>
        </w:rPr>
        <w:t>,</w:t>
      </w:r>
      <w:r w:rsidR="00941CBC">
        <w:rPr>
          <w:color w:val="auto"/>
          <w:sz w:val="24"/>
          <w:szCs w:val="24"/>
        </w:rPr>
        <w:t xml:space="preserve"> 152/22</w:t>
      </w:r>
      <w:r w:rsidR="00951DD3">
        <w:rPr>
          <w:color w:val="auto"/>
          <w:sz w:val="24"/>
          <w:szCs w:val="24"/>
        </w:rPr>
        <w:t xml:space="preserve"> </w:t>
      </w:r>
      <w:r w:rsidR="00370931" w:rsidRPr="00370931">
        <w:rPr>
          <w:color w:val="auto"/>
          <w:sz w:val="24"/>
          <w:szCs w:val="24"/>
        </w:rPr>
        <w:t>.</w:t>
      </w:r>
      <w:r w:rsidR="00C4332B" w:rsidRPr="00370931">
        <w:rPr>
          <w:color w:val="auto"/>
          <w:sz w:val="24"/>
          <w:szCs w:val="24"/>
        </w:rPr>
        <w:t xml:space="preserve">), </w:t>
      </w:r>
      <w:r w:rsidR="00401383" w:rsidRPr="00370931">
        <w:rPr>
          <w:color w:val="auto"/>
          <w:sz w:val="24"/>
          <w:szCs w:val="24"/>
        </w:rPr>
        <w:t xml:space="preserve">Vlada Republike Hrvatske je na sjednici održanoj ________________ </w:t>
      </w:r>
      <w:r w:rsidR="001F5749">
        <w:rPr>
          <w:color w:val="auto"/>
          <w:sz w:val="24"/>
          <w:szCs w:val="24"/>
        </w:rPr>
        <w:t xml:space="preserve">2024. </w:t>
      </w:r>
      <w:r w:rsidR="00401383" w:rsidRPr="00370931">
        <w:rPr>
          <w:color w:val="auto"/>
          <w:sz w:val="24"/>
          <w:szCs w:val="24"/>
        </w:rPr>
        <w:t>donijela</w:t>
      </w:r>
    </w:p>
    <w:p w14:paraId="1F812B6D" w14:textId="77777777" w:rsidR="001F3756" w:rsidRPr="00946174" w:rsidRDefault="001F3756" w:rsidP="00530253">
      <w:pPr>
        <w:spacing w:after="12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BBBDB" w14:textId="77777777" w:rsidR="00C44B3C" w:rsidRPr="00946174" w:rsidRDefault="00C44B3C" w:rsidP="00530253">
      <w:pPr>
        <w:spacing w:after="12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74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2F21193" w14:textId="160B7283" w:rsidR="00857770" w:rsidRPr="00946174" w:rsidRDefault="00857770" w:rsidP="001D78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74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r w:rsidR="001D7866" w:rsidRPr="00D535BB">
        <w:rPr>
          <w:rFonts w:ascii="Times New Roman" w:hAnsi="Times New Roman" w:cs="Times New Roman"/>
          <w:b/>
          <w:sz w:val="24"/>
          <w:szCs w:val="24"/>
        </w:rPr>
        <w:t>Programa državne potpore za kompenzaciju rasta cijene energenata u sektorima prerade poljoprivrednih proizvoda</w:t>
      </w:r>
      <w:r w:rsidR="001D7866">
        <w:rPr>
          <w:rFonts w:ascii="Times New Roman" w:hAnsi="Times New Roman" w:cs="Times New Roman"/>
          <w:b/>
          <w:sz w:val="24"/>
          <w:szCs w:val="24"/>
        </w:rPr>
        <w:t xml:space="preserve"> u 2024. godini</w:t>
      </w:r>
    </w:p>
    <w:p w14:paraId="7B99247E" w14:textId="77777777" w:rsidR="00401383" w:rsidRPr="00946174" w:rsidRDefault="00401383" w:rsidP="00401383">
      <w:pPr>
        <w:spacing w:after="0" w:line="3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D19EBC9" w14:textId="77777777" w:rsidR="00C44B3C" w:rsidRDefault="00C44B3C" w:rsidP="001A6BA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87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6775B28" w14:textId="612920FC" w:rsidR="00C44B3C" w:rsidRPr="00946174" w:rsidRDefault="00C44B3C" w:rsidP="001A6BA2">
      <w:pPr>
        <w:tabs>
          <w:tab w:val="left" w:pos="1418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 xml:space="preserve">Donosi se </w:t>
      </w:r>
      <w:r w:rsidR="00A12867" w:rsidRPr="00A12867">
        <w:rPr>
          <w:rFonts w:ascii="Times New Roman" w:hAnsi="Times New Roman" w:cs="Times New Roman"/>
          <w:sz w:val="24"/>
          <w:szCs w:val="24"/>
        </w:rPr>
        <w:t>Programa državne potpore za kompenzaciju rasta cijene energenata u sektorima prerade poljoprivrednih proizvoda</w:t>
      </w:r>
      <w:r w:rsidR="00A12867">
        <w:rPr>
          <w:rFonts w:ascii="Times New Roman" w:hAnsi="Times New Roman" w:cs="Times New Roman"/>
          <w:sz w:val="24"/>
          <w:szCs w:val="24"/>
        </w:rPr>
        <w:t xml:space="preserve"> u 2024. godini</w:t>
      </w:r>
      <w:r w:rsidR="00910453" w:rsidRPr="00946174">
        <w:rPr>
          <w:rFonts w:ascii="Times New Roman" w:hAnsi="Times New Roman" w:cs="Times New Roman"/>
          <w:sz w:val="24"/>
          <w:szCs w:val="24"/>
        </w:rPr>
        <w:t xml:space="preserve"> </w:t>
      </w:r>
      <w:r w:rsidRPr="00946174">
        <w:rPr>
          <w:rFonts w:ascii="Times New Roman" w:hAnsi="Times New Roman" w:cs="Times New Roman"/>
          <w:sz w:val="24"/>
          <w:szCs w:val="24"/>
        </w:rPr>
        <w:t>(u daljnjem tekstu: Program)</w:t>
      </w:r>
      <w:r w:rsidR="007A2FD1" w:rsidRPr="00946174">
        <w:rPr>
          <w:rFonts w:ascii="Times New Roman" w:hAnsi="Times New Roman" w:cs="Times New Roman"/>
          <w:sz w:val="24"/>
          <w:szCs w:val="24"/>
        </w:rPr>
        <w:t xml:space="preserve">, u tekstu koji je Vladi Republike Hrvatske dostavilo Ministarstvo poljoprivrede aktom, KLASA: </w:t>
      </w:r>
      <w:r w:rsidR="00D651BF">
        <w:rPr>
          <w:rFonts w:ascii="Times New Roman" w:hAnsi="Times New Roman" w:cs="Times New Roman"/>
          <w:sz w:val="24"/>
          <w:szCs w:val="24"/>
        </w:rPr>
        <w:t>404-01/24-01/25</w:t>
      </w:r>
      <w:r w:rsidR="005B6D72">
        <w:rPr>
          <w:rFonts w:ascii="Times New Roman" w:hAnsi="Times New Roman" w:cs="Times New Roman"/>
          <w:sz w:val="24"/>
          <w:szCs w:val="24"/>
        </w:rPr>
        <w:t>,</w:t>
      </w:r>
      <w:r w:rsidR="007A2FD1" w:rsidRPr="00946174">
        <w:rPr>
          <w:rFonts w:ascii="Times New Roman" w:hAnsi="Times New Roman" w:cs="Times New Roman"/>
          <w:sz w:val="24"/>
          <w:szCs w:val="24"/>
        </w:rPr>
        <w:t xml:space="preserve"> URBROJ</w:t>
      </w:r>
      <w:r w:rsidR="00D651BF">
        <w:rPr>
          <w:rFonts w:ascii="Times New Roman" w:hAnsi="Times New Roman" w:cs="Times New Roman"/>
          <w:sz w:val="24"/>
          <w:szCs w:val="24"/>
        </w:rPr>
        <w:t>: 525-13/867-24-3</w:t>
      </w:r>
      <w:r w:rsidR="00D53203">
        <w:rPr>
          <w:rFonts w:ascii="Times New Roman" w:hAnsi="Times New Roman" w:cs="Times New Roman"/>
          <w:sz w:val="24"/>
          <w:szCs w:val="24"/>
        </w:rPr>
        <w:t>,</w:t>
      </w:r>
      <w:r w:rsidR="007A2FD1" w:rsidRPr="00946174">
        <w:rPr>
          <w:rFonts w:ascii="Times New Roman" w:hAnsi="Times New Roman" w:cs="Times New Roman"/>
          <w:sz w:val="24"/>
          <w:szCs w:val="24"/>
        </w:rPr>
        <w:t xml:space="preserve"> od </w:t>
      </w:r>
      <w:r w:rsidR="00D651BF">
        <w:rPr>
          <w:rFonts w:ascii="Times New Roman" w:hAnsi="Times New Roman" w:cs="Times New Roman"/>
          <w:sz w:val="24"/>
          <w:szCs w:val="24"/>
        </w:rPr>
        <w:t xml:space="preserve">12. ožujka </w:t>
      </w:r>
      <w:r w:rsidR="007A2FD1" w:rsidRPr="00946174">
        <w:rPr>
          <w:rFonts w:ascii="Times New Roman" w:hAnsi="Times New Roman" w:cs="Times New Roman"/>
          <w:sz w:val="24"/>
          <w:szCs w:val="24"/>
        </w:rPr>
        <w:t>202</w:t>
      </w:r>
      <w:r w:rsidR="00941CBC">
        <w:rPr>
          <w:rFonts w:ascii="Times New Roman" w:hAnsi="Times New Roman" w:cs="Times New Roman"/>
          <w:sz w:val="24"/>
          <w:szCs w:val="24"/>
        </w:rPr>
        <w:t>4</w:t>
      </w:r>
      <w:r w:rsidR="007A2FD1" w:rsidRPr="00946174">
        <w:rPr>
          <w:rFonts w:ascii="Times New Roman" w:hAnsi="Times New Roman" w:cs="Times New Roman"/>
          <w:sz w:val="24"/>
          <w:szCs w:val="24"/>
        </w:rPr>
        <w:t>.</w:t>
      </w:r>
      <w:r w:rsidRPr="00946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0DEE7" w14:textId="77777777" w:rsidR="00401383" w:rsidRPr="00946174" w:rsidRDefault="00401383" w:rsidP="001A6B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A427CB" w14:textId="77777777" w:rsidR="00C44B3C" w:rsidRDefault="003E5402" w:rsidP="001A6BA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8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C44B3C" w:rsidRPr="00B92E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3E1293" w14:textId="703DAC54" w:rsidR="005E5E4D" w:rsidRDefault="004660B7" w:rsidP="002757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152739"/>
      <w:r>
        <w:rPr>
          <w:rFonts w:ascii="Times New Roman" w:hAnsi="Times New Roman" w:cs="Times New Roman"/>
          <w:sz w:val="24"/>
          <w:szCs w:val="24"/>
        </w:rPr>
        <w:t xml:space="preserve">Ukupna </w:t>
      </w:r>
      <w:r w:rsidR="00B92E87">
        <w:rPr>
          <w:rFonts w:ascii="Times New Roman" w:hAnsi="Times New Roman" w:cs="Times New Roman"/>
          <w:sz w:val="24"/>
          <w:szCs w:val="24"/>
        </w:rPr>
        <w:t>sredstva za provedbu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1B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rograma iznos</w:t>
      </w:r>
      <w:r w:rsidR="00B92E8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6.000.000,00 eura</w:t>
      </w:r>
      <w:r w:rsidR="005E5E4D">
        <w:rPr>
          <w:rFonts w:ascii="Times New Roman" w:hAnsi="Times New Roman" w:cs="Times New Roman"/>
          <w:sz w:val="24"/>
          <w:szCs w:val="24"/>
        </w:rPr>
        <w:t>, i osigurana su u Državnom proračunu R</w:t>
      </w:r>
      <w:r w:rsidR="0027576F">
        <w:rPr>
          <w:rFonts w:ascii="Times New Roman" w:hAnsi="Times New Roman" w:cs="Times New Roman"/>
          <w:sz w:val="24"/>
          <w:szCs w:val="24"/>
        </w:rPr>
        <w:t>epublike Hrvatske</w:t>
      </w:r>
      <w:r w:rsidR="005E5E4D">
        <w:rPr>
          <w:rFonts w:ascii="Times New Roman" w:hAnsi="Times New Roman" w:cs="Times New Roman"/>
          <w:sz w:val="24"/>
          <w:szCs w:val="24"/>
        </w:rPr>
        <w:t xml:space="preserve"> za 2024. godinu i projekcijama za 2025. i 2026. godinu, </w:t>
      </w:r>
      <w:r w:rsidR="0027576F">
        <w:rPr>
          <w:rFonts w:ascii="Times New Roman" w:hAnsi="Times New Roman" w:cs="Times New Roman"/>
          <w:sz w:val="24"/>
          <w:szCs w:val="24"/>
        </w:rPr>
        <w:t>u</w:t>
      </w:r>
      <w:r w:rsidR="005E5E4D">
        <w:rPr>
          <w:rFonts w:ascii="Times New Roman" w:hAnsi="Times New Roman" w:cs="Times New Roman"/>
          <w:sz w:val="24"/>
          <w:szCs w:val="24"/>
        </w:rPr>
        <w:t xml:space="preserve"> 2024. i 2025. godin</w:t>
      </w:r>
      <w:r w:rsidR="0027576F">
        <w:rPr>
          <w:rFonts w:ascii="Times New Roman" w:hAnsi="Times New Roman" w:cs="Times New Roman"/>
          <w:sz w:val="24"/>
          <w:szCs w:val="24"/>
        </w:rPr>
        <w:t>i</w:t>
      </w:r>
      <w:r w:rsidR="005E5E4D">
        <w:rPr>
          <w:rFonts w:ascii="Times New Roman" w:hAnsi="Times New Roman" w:cs="Times New Roman"/>
          <w:sz w:val="24"/>
          <w:szCs w:val="24"/>
        </w:rPr>
        <w:t xml:space="preserve"> u okviru razdjela 060 Ministarstva poljoprivrede.</w:t>
      </w:r>
    </w:p>
    <w:bookmarkEnd w:id="0"/>
    <w:p w14:paraId="23795B90" w14:textId="760FFB26" w:rsidR="00401383" w:rsidRPr="00946174" w:rsidRDefault="00401383" w:rsidP="001A6BA2">
      <w:pPr>
        <w:pStyle w:val="BodyText2"/>
        <w:spacing w:after="120" w:line="240" w:lineRule="auto"/>
        <w:rPr>
          <w:sz w:val="24"/>
          <w:szCs w:val="24"/>
        </w:rPr>
      </w:pPr>
    </w:p>
    <w:p w14:paraId="01BA6388" w14:textId="77777777" w:rsidR="00C4332B" w:rsidRDefault="00C4332B" w:rsidP="001A6BA2">
      <w:pPr>
        <w:pStyle w:val="BodyText2"/>
        <w:spacing w:after="120" w:line="240" w:lineRule="auto"/>
        <w:jc w:val="center"/>
        <w:rPr>
          <w:b/>
          <w:bCs/>
          <w:sz w:val="24"/>
          <w:szCs w:val="24"/>
        </w:rPr>
      </w:pPr>
      <w:r w:rsidRPr="00B92E87">
        <w:rPr>
          <w:b/>
          <w:bCs/>
          <w:sz w:val="24"/>
          <w:szCs w:val="24"/>
        </w:rPr>
        <w:t>III.</w:t>
      </w:r>
    </w:p>
    <w:p w14:paraId="7F772BEF" w14:textId="77777777" w:rsidR="00B92E87" w:rsidRPr="00946174" w:rsidRDefault="00B92E87" w:rsidP="001A6BA2">
      <w:pPr>
        <w:pStyle w:val="BodyText2"/>
        <w:spacing w:after="120" w:line="240" w:lineRule="auto"/>
        <w:rPr>
          <w:sz w:val="24"/>
          <w:szCs w:val="24"/>
        </w:rPr>
      </w:pPr>
      <w:r w:rsidRPr="00946174">
        <w:rPr>
          <w:sz w:val="24"/>
          <w:szCs w:val="24"/>
        </w:rPr>
        <w:t>Zadužuje se Ministarstvo poljoprivrede da o donošenju ove Odluke izvijesti Agenciju za plaćanja u poljoprivredi, ribarstvu i ruralnom razvoju.</w:t>
      </w:r>
    </w:p>
    <w:p w14:paraId="0BCDF093" w14:textId="77777777" w:rsidR="00B92E87" w:rsidRDefault="00B92E87" w:rsidP="001A6BA2">
      <w:pPr>
        <w:pStyle w:val="BodyText2"/>
        <w:spacing w:after="120" w:line="240" w:lineRule="auto"/>
        <w:jc w:val="center"/>
        <w:rPr>
          <w:b/>
          <w:bCs/>
          <w:sz w:val="24"/>
          <w:szCs w:val="24"/>
        </w:rPr>
      </w:pPr>
    </w:p>
    <w:p w14:paraId="64D038BE" w14:textId="2ABC1066" w:rsidR="00D651BF" w:rsidRDefault="00D651BF" w:rsidP="001A6BA2">
      <w:pPr>
        <w:pStyle w:val="BodyText2"/>
        <w:spacing w:after="120" w:line="240" w:lineRule="auto"/>
        <w:jc w:val="center"/>
        <w:rPr>
          <w:b/>
          <w:bCs/>
          <w:sz w:val="24"/>
          <w:szCs w:val="24"/>
        </w:rPr>
      </w:pPr>
      <w:r w:rsidRPr="00B92E87">
        <w:rPr>
          <w:b/>
          <w:bCs/>
          <w:sz w:val="24"/>
          <w:szCs w:val="24"/>
        </w:rPr>
        <w:t>IV.</w:t>
      </w:r>
    </w:p>
    <w:p w14:paraId="30AE24E4" w14:textId="5E3998A2" w:rsidR="00C4332B" w:rsidRDefault="00B92E87" w:rsidP="001A6BA2">
      <w:pPr>
        <w:pStyle w:val="BodyText2"/>
        <w:spacing w:after="120" w:line="240" w:lineRule="auto"/>
        <w:rPr>
          <w:sz w:val="24"/>
          <w:szCs w:val="24"/>
        </w:rPr>
      </w:pPr>
      <w:r w:rsidRPr="001F39EF">
        <w:rPr>
          <w:sz w:val="24"/>
          <w:szCs w:val="24"/>
        </w:rPr>
        <w:t>Zadužuje se Ministarstvo poljoprivrede da na svojim mrežnim stranicama objavi Program.</w:t>
      </w:r>
    </w:p>
    <w:p w14:paraId="7F8AA73B" w14:textId="77777777" w:rsidR="00B92E87" w:rsidRPr="00946174" w:rsidRDefault="00B92E87" w:rsidP="001A6BA2">
      <w:pPr>
        <w:pStyle w:val="BodyText2"/>
        <w:spacing w:after="120" w:line="240" w:lineRule="auto"/>
        <w:jc w:val="center"/>
        <w:rPr>
          <w:sz w:val="24"/>
          <w:szCs w:val="24"/>
        </w:rPr>
      </w:pPr>
    </w:p>
    <w:p w14:paraId="23CA1705" w14:textId="70400966" w:rsidR="006036BC" w:rsidRDefault="00C4332B" w:rsidP="001A6BA2">
      <w:pPr>
        <w:pStyle w:val="BodyText2"/>
        <w:spacing w:after="120" w:line="240" w:lineRule="auto"/>
        <w:jc w:val="center"/>
        <w:rPr>
          <w:b/>
          <w:bCs/>
          <w:sz w:val="24"/>
          <w:szCs w:val="24"/>
        </w:rPr>
      </w:pPr>
      <w:r w:rsidRPr="00B92E87">
        <w:rPr>
          <w:b/>
          <w:bCs/>
          <w:sz w:val="24"/>
          <w:szCs w:val="24"/>
        </w:rPr>
        <w:t>V</w:t>
      </w:r>
      <w:r w:rsidR="006036BC" w:rsidRPr="00B92E87">
        <w:rPr>
          <w:b/>
          <w:bCs/>
          <w:sz w:val="24"/>
          <w:szCs w:val="24"/>
        </w:rPr>
        <w:t>.</w:t>
      </w:r>
    </w:p>
    <w:p w14:paraId="6840108A" w14:textId="59D24652" w:rsidR="00401383" w:rsidRDefault="00B92E87" w:rsidP="001A6BA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Ministarstvo poljoprivrede dužno je poštovati „klauzulu mirovanja“, odnosno neće dodjeljivati potporu temeljem Programa prije ishođenja odluke Europske komisije.</w:t>
      </w:r>
    </w:p>
    <w:p w14:paraId="1E7DC3EE" w14:textId="77777777" w:rsidR="00B92E87" w:rsidRPr="00946174" w:rsidRDefault="00B92E87" w:rsidP="001A6B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76A7A" w14:textId="63B580C5" w:rsidR="00C44B3C" w:rsidRPr="00B92E87" w:rsidRDefault="00C44B3C" w:rsidP="001A6BA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8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651BF" w:rsidRPr="00B92E8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92E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4CBD30" w14:textId="77777777" w:rsidR="00C44B3C" w:rsidRDefault="00C44B3C" w:rsidP="001A6BA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46174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42A601D2" w14:textId="77777777" w:rsidR="00562B17" w:rsidRDefault="00562B17" w:rsidP="00D53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0E997" w14:textId="77777777" w:rsidR="009426A9" w:rsidRPr="007E1E8F" w:rsidRDefault="009426A9" w:rsidP="00D532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E8F">
        <w:rPr>
          <w:rFonts w:ascii="Times New Roman" w:hAnsi="Times New Roman" w:cs="Times New Roman"/>
          <w:bCs/>
          <w:sz w:val="24"/>
          <w:szCs w:val="24"/>
        </w:rPr>
        <w:t>KLASA:</w:t>
      </w:r>
    </w:p>
    <w:p w14:paraId="222EE246" w14:textId="77777777" w:rsidR="00D53203" w:rsidRDefault="009426A9" w:rsidP="00D532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1E8F">
        <w:rPr>
          <w:rFonts w:ascii="Times New Roman" w:hAnsi="Times New Roman" w:cs="Times New Roman"/>
          <w:bCs/>
        </w:rPr>
        <w:t>URBROJ:</w:t>
      </w:r>
    </w:p>
    <w:p w14:paraId="00E0D8DB" w14:textId="50ECA97C" w:rsidR="00A11504" w:rsidRPr="00D53203" w:rsidRDefault="009426A9" w:rsidP="00D5320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E1E8F">
        <w:rPr>
          <w:rFonts w:ascii="Times New Roman" w:hAnsi="Times New Roman" w:cs="Times New Roman"/>
          <w:bCs/>
        </w:rPr>
        <w:t>Zagreb,</w:t>
      </w:r>
    </w:p>
    <w:p w14:paraId="5FABBD6A" w14:textId="77777777" w:rsidR="00C44B3C" w:rsidRPr="00946174" w:rsidRDefault="00C44B3C" w:rsidP="00DC115C">
      <w:pPr>
        <w:spacing w:after="0" w:line="300" w:lineRule="atLeast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946174">
        <w:rPr>
          <w:rFonts w:ascii="Times New Roman" w:hAnsi="Times New Roman" w:cs="Times New Roman"/>
          <w:b/>
          <w:sz w:val="24"/>
          <w:szCs w:val="24"/>
        </w:rPr>
        <w:t xml:space="preserve">PREDSJEDNIK VLADE </w:t>
      </w:r>
    </w:p>
    <w:p w14:paraId="5A8E8604" w14:textId="77777777" w:rsidR="00DC115C" w:rsidRPr="00946174" w:rsidRDefault="00DC115C" w:rsidP="00DC115C">
      <w:pPr>
        <w:spacing w:after="0" w:line="300" w:lineRule="atLeast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39F41D2A" w14:textId="3AEB648E" w:rsidR="00470D76" w:rsidRDefault="00946174" w:rsidP="00D53203">
      <w:pPr>
        <w:spacing w:after="120" w:line="300" w:lineRule="atLeast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4E7">
        <w:rPr>
          <w:rFonts w:ascii="Times New Roman" w:hAnsi="Times New Roman" w:cs="Times New Roman"/>
          <w:b/>
          <w:sz w:val="24"/>
          <w:szCs w:val="24"/>
        </w:rPr>
        <w:t xml:space="preserve">mr. sc. </w:t>
      </w:r>
      <w:r w:rsidR="00C44B3C" w:rsidRPr="00946174">
        <w:rPr>
          <w:rFonts w:ascii="Times New Roman" w:hAnsi="Times New Roman" w:cs="Times New Roman"/>
          <w:b/>
          <w:sz w:val="24"/>
          <w:szCs w:val="24"/>
        </w:rPr>
        <w:t xml:space="preserve">Andrej Plenković </w:t>
      </w:r>
    </w:p>
    <w:p w14:paraId="3AC82D15" w14:textId="21D315B2" w:rsidR="00C44B3C" w:rsidRPr="00946174" w:rsidRDefault="00820FCF" w:rsidP="00470D76">
      <w:pPr>
        <w:spacing w:after="12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74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7D571B15" w14:textId="651FF0DA" w:rsidR="00DE449B" w:rsidRPr="00DE449B" w:rsidRDefault="00DE449B" w:rsidP="00231B3C">
      <w:pPr>
        <w:pStyle w:val="BodyText"/>
        <w:spacing w:after="120" w:line="240" w:lineRule="auto"/>
        <w:rPr>
          <w:color w:val="auto"/>
          <w:sz w:val="24"/>
          <w:szCs w:val="24"/>
        </w:rPr>
      </w:pPr>
      <w:r w:rsidRPr="00DE449B">
        <w:rPr>
          <w:color w:val="auto"/>
          <w:sz w:val="24"/>
          <w:szCs w:val="24"/>
        </w:rPr>
        <w:t>Programom državne potpore za kompenzaciju rasta cijene energenata u sektorima prerade poljoprivrednih proizvoda</w:t>
      </w:r>
      <w:r w:rsidR="007749AD">
        <w:rPr>
          <w:color w:val="auto"/>
          <w:sz w:val="24"/>
          <w:szCs w:val="24"/>
        </w:rPr>
        <w:t xml:space="preserve"> </w:t>
      </w:r>
      <w:r w:rsidR="005F084D">
        <w:rPr>
          <w:color w:val="auto"/>
          <w:sz w:val="24"/>
          <w:szCs w:val="24"/>
        </w:rPr>
        <w:t>u 2024. godini</w:t>
      </w:r>
      <w:r w:rsidRPr="00DE449B">
        <w:rPr>
          <w:color w:val="auto"/>
          <w:sz w:val="24"/>
          <w:szCs w:val="24"/>
        </w:rPr>
        <w:t xml:space="preserve"> uređuje se dodjela državne potpore na temelju članka 39. stavka 2. Zakona o poljoprivredi, a u skladu s </w:t>
      </w:r>
      <w:r w:rsidR="00137945" w:rsidRPr="00137945">
        <w:rPr>
          <w:color w:val="auto"/>
          <w:sz w:val="24"/>
          <w:szCs w:val="24"/>
        </w:rPr>
        <w:t>Komunikacij</w:t>
      </w:r>
      <w:r w:rsidR="00137945">
        <w:rPr>
          <w:color w:val="auto"/>
          <w:sz w:val="24"/>
          <w:szCs w:val="24"/>
        </w:rPr>
        <w:t>om</w:t>
      </w:r>
      <w:r w:rsidR="00137945" w:rsidRPr="00137945">
        <w:rPr>
          <w:color w:val="auto"/>
          <w:sz w:val="24"/>
          <w:szCs w:val="24"/>
        </w:rPr>
        <w:t xml:space="preserve"> Komisije Privremeni okvir za mjere državne potpore u kriznim situacijama i za tranziciju radi potpore gospodarstvu nakon ruske agresije na Ukrajinu od 9. ožujka 2023. (SL  C 101/3, 17.3.2023.) kako je posljednji put izmijenjena 21. studenog</w:t>
      </w:r>
      <w:r w:rsidR="00D53203">
        <w:rPr>
          <w:color w:val="auto"/>
          <w:sz w:val="24"/>
          <w:szCs w:val="24"/>
        </w:rPr>
        <w:t>a</w:t>
      </w:r>
      <w:r w:rsidR="00137945" w:rsidRPr="00137945">
        <w:rPr>
          <w:color w:val="auto"/>
          <w:sz w:val="24"/>
          <w:szCs w:val="24"/>
        </w:rPr>
        <w:t xml:space="preserve"> 2023.</w:t>
      </w:r>
      <w:r w:rsidR="00273FAD">
        <w:rPr>
          <w:color w:val="auto"/>
          <w:sz w:val="24"/>
          <w:szCs w:val="24"/>
        </w:rPr>
        <w:t xml:space="preserve"> </w:t>
      </w:r>
      <w:r w:rsidR="00273FAD" w:rsidRPr="00273FAD">
        <w:rPr>
          <w:color w:val="auto"/>
          <w:sz w:val="24"/>
          <w:szCs w:val="24"/>
        </w:rPr>
        <w:t>(u daljnjem tekstu: Privremeni krizni okvir)</w:t>
      </w:r>
      <w:r w:rsidR="00E84E4A">
        <w:rPr>
          <w:color w:val="auto"/>
          <w:sz w:val="24"/>
          <w:szCs w:val="24"/>
        </w:rPr>
        <w:t xml:space="preserve">. </w:t>
      </w:r>
      <w:r w:rsidRPr="00DE449B">
        <w:rPr>
          <w:color w:val="auto"/>
          <w:sz w:val="24"/>
          <w:szCs w:val="24"/>
        </w:rPr>
        <w:t>Potpore iz Programa spojive su s unutarnjim tržištem u smislu članka 107. stavka 3. točke (b) Ugovora o funkcioniranju Europske unije (u daljnjem tekstu: UFEU), te su prijavljene Europskoj komisiji na ocjenu u skladu s člankom 108. stavkom 3. UFEU.</w:t>
      </w:r>
    </w:p>
    <w:p w14:paraId="11B6DD9B" w14:textId="6197BDD0" w:rsidR="00DE449B" w:rsidRDefault="00DE449B" w:rsidP="00231B3C">
      <w:pPr>
        <w:pStyle w:val="BodyText"/>
        <w:spacing w:after="120" w:line="240" w:lineRule="auto"/>
        <w:rPr>
          <w:color w:val="auto"/>
          <w:sz w:val="24"/>
          <w:szCs w:val="24"/>
        </w:rPr>
      </w:pPr>
      <w:r w:rsidRPr="00DE449B">
        <w:rPr>
          <w:color w:val="auto"/>
          <w:sz w:val="24"/>
          <w:szCs w:val="24"/>
        </w:rPr>
        <w:t>Cilj Programa je pružiti potporu subjektima koji djeluju u sektoru prerade poljoprivrednih proizvoda kako bi se ublažila iznimno velika povećanja cijena energenata koji sudjeluju s visokim udjelom u troškovima njihovog poslovanja. Zbog iznimno velikog povećanja cijene</w:t>
      </w:r>
      <w:r w:rsidR="00B51085">
        <w:rPr>
          <w:color w:val="auto"/>
          <w:sz w:val="24"/>
          <w:szCs w:val="24"/>
        </w:rPr>
        <w:t xml:space="preserve"> </w:t>
      </w:r>
      <w:r w:rsidR="00B51085" w:rsidRPr="00B51085">
        <w:rPr>
          <w:color w:val="auto"/>
          <w:sz w:val="24"/>
          <w:szCs w:val="24"/>
        </w:rPr>
        <w:t>energenata subjekti u preradi poljoprivrednih proizvoda dovedeni su u situaciju manjka likvidnosti i generiranja gubitaka</w:t>
      </w:r>
      <w:r w:rsidRPr="00DE449B">
        <w:rPr>
          <w:color w:val="auto"/>
          <w:sz w:val="24"/>
          <w:szCs w:val="24"/>
        </w:rPr>
        <w:t>.</w:t>
      </w:r>
      <w:r w:rsidR="00FB742A">
        <w:rPr>
          <w:color w:val="auto"/>
          <w:sz w:val="24"/>
          <w:szCs w:val="24"/>
        </w:rPr>
        <w:t xml:space="preserve"> </w:t>
      </w:r>
    </w:p>
    <w:p w14:paraId="08FD5088" w14:textId="313EC227" w:rsidR="00171942" w:rsidRDefault="004660B7" w:rsidP="00231B3C">
      <w:pPr>
        <w:pStyle w:val="BodyText"/>
        <w:spacing w:after="120" w:line="240" w:lineRule="auto"/>
        <w:rPr>
          <w:color w:val="auto"/>
          <w:sz w:val="24"/>
          <w:szCs w:val="24"/>
        </w:rPr>
      </w:pPr>
      <w:bookmarkStart w:id="1" w:name="_Hlk161222967"/>
      <w:r w:rsidRPr="004660B7">
        <w:rPr>
          <w:color w:val="auto"/>
          <w:sz w:val="24"/>
          <w:szCs w:val="24"/>
        </w:rPr>
        <w:t xml:space="preserve">Ministarstvo poljoprivrede će poštovati tzv. </w:t>
      </w:r>
      <w:r w:rsidR="008B0A65">
        <w:rPr>
          <w:color w:val="auto"/>
          <w:sz w:val="24"/>
          <w:szCs w:val="24"/>
        </w:rPr>
        <w:t>„</w:t>
      </w:r>
      <w:r w:rsidR="00B20909">
        <w:rPr>
          <w:color w:val="auto"/>
          <w:sz w:val="24"/>
          <w:szCs w:val="24"/>
        </w:rPr>
        <w:t>k</w:t>
      </w:r>
      <w:r w:rsidR="008B0A65">
        <w:rPr>
          <w:color w:val="auto"/>
          <w:sz w:val="24"/>
          <w:szCs w:val="24"/>
        </w:rPr>
        <w:t>lauzul</w:t>
      </w:r>
      <w:r w:rsidR="00795093">
        <w:rPr>
          <w:color w:val="auto"/>
          <w:sz w:val="24"/>
          <w:szCs w:val="24"/>
        </w:rPr>
        <w:t>u</w:t>
      </w:r>
      <w:r w:rsidR="008B0A65">
        <w:rPr>
          <w:color w:val="auto"/>
          <w:sz w:val="24"/>
          <w:szCs w:val="24"/>
        </w:rPr>
        <w:t xml:space="preserve"> mirovanja“ (</w:t>
      </w:r>
      <w:r w:rsidRPr="004660B7">
        <w:rPr>
          <w:color w:val="auto"/>
          <w:sz w:val="24"/>
          <w:szCs w:val="24"/>
        </w:rPr>
        <w:t>“stand still clause“</w:t>
      </w:r>
      <w:r w:rsidR="008B0A65">
        <w:rPr>
          <w:color w:val="auto"/>
          <w:sz w:val="24"/>
          <w:szCs w:val="24"/>
        </w:rPr>
        <w:t>)</w:t>
      </w:r>
      <w:r w:rsidRPr="004660B7">
        <w:rPr>
          <w:color w:val="auto"/>
          <w:sz w:val="24"/>
          <w:szCs w:val="24"/>
        </w:rPr>
        <w:t>, odnosno neće dodjeljivati potporu temeljem ovoga Programa prije dobivanja suglasnosti, odnosno odobrenja Europske komisije. Program će se provoditi od datuma primitka odluke Europske komisije o odobrenju dodjele državne potpore, a u skladu s odredbama Privremenog kriznog okvira.</w:t>
      </w:r>
    </w:p>
    <w:bookmarkEnd w:id="1"/>
    <w:p w14:paraId="45382E7C" w14:textId="77777777" w:rsidR="002F7E05" w:rsidRPr="002F7E05" w:rsidRDefault="001752BB" w:rsidP="00231B3C">
      <w:pPr>
        <w:pStyle w:val="BodyText"/>
        <w:spacing w:after="120" w:line="240" w:lineRule="auto"/>
        <w:rPr>
          <w:color w:val="auto"/>
          <w:sz w:val="24"/>
          <w:szCs w:val="24"/>
        </w:rPr>
      </w:pPr>
      <w:r w:rsidRPr="001752BB">
        <w:rPr>
          <w:color w:val="auto"/>
          <w:sz w:val="24"/>
          <w:szCs w:val="24"/>
        </w:rPr>
        <w:t xml:space="preserve">Učinci rata u Ukrajini na cijene energenata i drugih sirovina na svjetskim tržištima povećali su se od njegova izbijanja, a i nadalje su prisutni rizici dodatnog rasta cijena koji ovise o tijeku i trajanju rata i eventualnim novim paketima sankcija. </w:t>
      </w:r>
      <w:r w:rsidR="002F7E05" w:rsidRPr="002F7E05">
        <w:rPr>
          <w:color w:val="auto"/>
          <w:sz w:val="24"/>
          <w:szCs w:val="24"/>
        </w:rPr>
        <w:t xml:space="preserve">Hrvatska narodna banka je nakon izbijanja rata višekratno revidirala projekcije kretanja inflacije. Na razini cijele godine, prosječna godišnja inflacija mjerena HIPC-om (Harmonised Indeks of Consumer Prices / Harmonizirani indekst potrošačkih cijena) usporila se sa 10,7% u 2022. na 8,4% u 2023. godini. </w:t>
      </w:r>
    </w:p>
    <w:p w14:paraId="2F604938" w14:textId="175C3765" w:rsidR="00DE449B" w:rsidRDefault="002F7E05" w:rsidP="00231B3C">
      <w:pPr>
        <w:pStyle w:val="BodyText"/>
        <w:spacing w:after="120" w:line="240" w:lineRule="auto"/>
        <w:rPr>
          <w:color w:val="auto"/>
          <w:sz w:val="24"/>
          <w:szCs w:val="24"/>
        </w:rPr>
      </w:pPr>
      <w:r w:rsidRPr="002F7E05">
        <w:rPr>
          <w:color w:val="auto"/>
          <w:sz w:val="24"/>
          <w:szCs w:val="24"/>
        </w:rPr>
        <w:t>S nastavkom rata jača i intenzitet poremećaja u opskrbi s ratom pogođenih područja, što bi moglo dodatno smanjiti ponudu sirovina koje izvozi Rusija i time potaknuti daljnji rast cijena na svjetskom tržištu. Zbog toga su i nadalje naglašeni rizici ostvarenja aktualne projekcije inflacije.</w:t>
      </w:r>
      <w:r w:rsidR="001752BB" w:rsidRPr="001752BB">
        <w:rPr>
          <w:color w:val="auto"/>
          <w:sz w:val="24"/>
          <w:szCs w:val="24"/>
        </w:rPr>
        <w:t xml:space="preserve"> </w:t>
      </w:r>
    </w:p>
    <w:p w14:paraId="3497ACCA" w14:textId="77777777" w:rsidR="00D9761D" w:rsidRPr="00D9761D" w:rsidRDefault="00D9761D" w:rsidP="00231B3C">
      <w:pPr>
        <w:pStyle w:val="BodyText"/>
        <w:spacing w:after="120" w:line="240" w:lineRule="auto"/>
        <w:rPr>
          <w:color w:val="auto"/>
          <w:sz w:val="24"/>
          <w:szCs w:val="24"/>
        </w:rPr>
      </w:pPr>
      <w:r w:rsidRPr="00D9761D">
        <w:rPr>
          <w:color w:val="auto"/>
          <w:sz w:val="24"/>
          <w:szCs w:val="24"/>
        </w:rPr>
        <w:lastRenderedPageBreak/>
        <w:t>Prema podatcima Državnog zavoda za statistiku u razdoblju od prvih deset mjeseci 2023. godine u Republici Hrvatskoj, u prerađivačkoj industriji bilo je zaposleno gotovo 92% ukupnog broja zaposlenih u domaćoj industriji od kojih je najveći udio u iznosu od gotovo 16% zaposlenih u proizvodnji prehrambenih proizvoda. Broj zaposlenih u proizvodnji prehrambenih proizvoda snizio se u prvih 10 mjeseci 2023. godine za 0,3% u odnosu na isto razdoblje 2022. godine uz istodoban pad proizvodnosti rada za 2,8%.</w:t>
      </w:r>
    </w:p>
    <w:p w14:paraId="0C91336E" w14:textId="0B825C64" w:rsidR="00D9761D" w:rsidRDefault="00D9761D" w:rsidP="00231B3C">
      <w:pPr>
        <w:pStyle w:val="BodyText"/>
        <w:spacing w:after="120" w:line="240" w:lineRule="auto"/>
        <w:rPr>
          <w:color w:val="auto"/>
          <w:sz w:val="24"/>
          <w:szCs w:val="24"/>
        </w:rPr>
      </w:pPr>
      <w:r w:rsidRPr="00D9761D">
        <w:rPr>
          <w:color w:val="auto"/>
          <w:sz w:val="24"/>
          <w:szCs w:val="24"/>
        </w:rPr>
        <w:t xml:space="preserve">Prerada poljoprivrednih proizvoda koristi velike količine energije, te je ova industrija i nadalje u izrazito nepovoljnom položaju. Cijene energije, a koje predstavljaju značajan udio proizvodnih troškova, i dalje su visoke te u kombinaciji s visokom inflacijom stvaraju nelikvidnost i nesigurnost u sektoru prerade poljoprivrednih proizvoda. </w:t>
      </w:r>
    </w:p>
    <w:p w14:paraId="52CBBAFB" w14:textId="43C662FB" w:rsidR="00CB4D56" w:rsidRPr="00562B17" w:rsidRDefault="00890AE0" w:rsidP="00231B3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3C">
        <w:rPr>
          <w:rFonts w:ascii="Times New Roman" w:hAnsi="Times New Roman" w:cs="Times New Roman"/>
          <w:sz w:val="24"/>
          <w:szCs w:val="24"/>
        </w:rPr>
        <w:t>S</w:t>
      </w:r>
      <w:r w:rsidR="00CB4D56" w:rsidRPr="00231B3C">
        <w:rPr>
          <w:rFonts w:ascii="Times New Roman" w:hAnsi="Times New Roman" w:cs="Times New Roman"/>
          <w:sz w:val="24"/>
          <w:szCs w:val="24"/>
        </w:rPr>
        <w:t xml:space="preserve">redstva </w:t>
      </w:r>
      <w:r w:rsidRPr="00231B3C">
        <w:rPr>
          <w:rFonts w:ascii="Times New Roman" w:hAnsi="Times New Roman" w:cs="Times New Roman"/>
          <w:sz w:val="24"/>
          <w:szCs w:val="24"/>
        </w:rPr>
        <w:t xml:space="preserve">Programa </w:t>
      </w:r>
      <w:r w:rsidR="00CB4D56" w:rsidRPr="00231B3C">
        <w:rPr>
          <w:rFonts w:ascii="Times New Roman" w:hAnsi="Times New Roman" w:cs="Times New Roman"/>
          <w:sz w:val="24"/>
          <w:szCs w:val="24"/>
        </w:rPr>
        <w:t xml:space="preserve">su planirana </w:t>
      </w:r>
      <w:r w:rsidR="005D3366" w:rsidRPr="00231B3C">
        <w:rPr>
          <w:rFonts w:ascii="Times New Roman" w:hAnsi="Times New Roman" w:cs="Times New Roman"/>
          <w:sz w:val="24"/>
          <w:szCs w:val="24"/>
        </w:rPr>
        <w:t>za dvije mjere</w:t>
      </w:r>
      <w:r w:rsidR="00CB4D56" w:rsidRPr="00231B3C">
        <w:rPr>
          <w:rFonts w:ascii="Times New Roman" w:hAnsi="Times New Roman" w:cs="Times New Roman"/>
          <w:sz w:val="24"/>
          <w:szCs w:val="24"/>
        </w:rPr>
        <w:t>:</w:t>
      </w:r>
      <w:r w:rsidR="0044077A" w:rsidRPr="00231B3C">
        <w:rPr>
          <w:rFonts w:ascii="Times New Roman" w:hAnsi="Times New Roman" w:cs="Times New Roman"/>
          <w:sz w:val="24"/>
          <w:szCs w:val="24"/>
        </w:rPr>
        <w:t xml:space="preserve"> </w:t>
      </w:r>
      <w:r w:rsidR="002A2093" w:rsidRPr="00231B3C">
        <w:rPr>
          <w:rFonts w:ascii="Times New Roman" w:hAnsi="Times New Roman" w:cs="Times New Roman"/>
          <w:sz w:val="24"/>
          <w:szCs w:val="24"/>
        </w:rPr>
        <w:t xml:space="preserve">za Mjeru </w:t>
      </w:r>
      <w:r w:rsidR="00CB4D56" w:rsidRPr="00231B3C">
        <w:rPr>
          <w:rFonts w:ascii="Times New Roman" w:hAnsi="Times New Roman" w:cs="Times New Roman"/>
          <w:sz w:val="24"/>
          <w:szCs w:val="24"/>
        </w:rPr>
        <w:t xml:space="preserve">1. </w:t>
      </w:r>
      <w:r w:rsidR="002A2093" w:rsidRPr="00231B3C">
        <w:rPr>
          <w:rFonts w:ascii="Times New Roman" w:hAnsi="Times New Roman" w:cs="Times New Roman"/>
          <w:sz w:val="24"/>
          <w:szCs w:val="24"/>
        </w:rPr>
        <w:t xml:space="preserve">Potpora za povećanje troška energenata izuzev prirodnog plina i električne energije </w:t>
      </w:r>
      <w:r w:rsidR="000C77C2" w:rsidRPr="00231B3C">
        <w:rPr>
          <w:rFonts w:ascii="Times New Roman" w:hAnsi="Times New Roman" w:cs="Times New Roman"/>
          <w:sz w:val="24"/>
          <w:szCs w:val="24"/>
        </w:rPr>
        <w:t xml:space="preserve">u </w:t>
      </w:r>
      <w:r w:rsidR="00CB4D56" w:rsidRPr="00231B3C">
        <w:rPr>
          <w:rFonts w:ascii="Times New Roman" w:hAnsi="Times New Roman" w:cs="Times New Roman"/>
          <w:sz w:val="24"/>
          <w:szCs w:val="24"/>
        </w:rPr>
        <w:t>iznos od 1.500.000,00 eura</w:t>
      </w:r>
      <w:r w:rsidR="00016154" w:rsidRPr="00231B3C">
        <w:rPr>
          <w:rFonts w:ascii="Times New Roman" w:hAnsi="Times New Roman" w:cs="Times New Roman"/>
          <w:sz w:val="24"/>
          <w:szCs w:val="24"/>
        </w:rPr>
        <w:t xml:space="preserve"> te </w:t>
      </w:r>
      <w:r w:rsidR="000C77C2" w:rsidRPr="00231B3C">
        <w:rPr>
          <w:rFonts w:ascii="Times New Roman" w:hAnsi="Times New Roman" w:cs="Times New Roman"/>
          <w:sz w:val="24"/>
          <w:szCs w:val="24"/>
        </w:rPr>
        <w:t xml:space="preserve">za </w:t>
      </w:r>
      <w:r w:rsidR="00CB4D56" w:rsidRPr="00231B3C">
        <w:rPr>
          <w:rFonts w:ascii="Times New Roman" w:hAnsi="Times New Roman" w:cs="Times New Roman"/>
          <w:sz w:val="24"/>
          <w:szCs w:val="24"/>
        </w:rPr>
        <w:t>Mjer</w:t>
      </w:r>
      <w:r w:rsidR="000C77C2" w:rsidRPr="00231B3C">
        <w:rPr>
          <w:rFonts w:ascii="Times New Roman" w:hAnsi="Times New Roman" w:cs="Times New Roman"/>
          <w:sz w:val="24"/>
          <w:szCs w:val="24"/>
        </w:rPr>
        <w:t xml:space="preserve">u </w:t>
      </w:r>
      <w:r w:rsidR="00CB4D56" w:rsidRPr="00231B3C">
        <w:rPr>
          <w:rFonts w:ascii="Times New Roman" w:hAnsi="Times New Roman" w:cs="Times New Roman"/>
          <w:sz w:val="24"/>
          <w:szCs w:val="24"/>
        </w:rPr>
        <w:t xml:space="preserve">2. </w:t>
      </w:r>
      <w:r w:rsidR="00B466D7" w:rsidRPr="00231B3C">
        <w:rPr>
          <w:rFonts w:ascii="Times New Roman" w:hAnsi="Times New Roman" w:cs="Times New Roman"/>
          <w:sz w:val="24"/>
          <w:szCs w:val="24"/>
        </w:rPr>
        <w:t xml:space="preserve">Potpora za dodatne troškove nastale zbog iznimno velikih povećanja cijena prirodnog plina i električne energije u </w:t>
      </w:r>
      <w:r w:rsidR="00CB4D56" w:rsidRPr="00231B3C">
        <w:rPr>
          <w:rFonts w:ascii="Times New Roman" w:hAnsi="Times New Roman" w:cs="Times New Roman"/>
          <w:sz w:val="24"/>
          <w:szCs w:val="24"/>
        </w:rPr>
        <w:t>iznos od 4.500.000,00 eura.</w:t>
      </w:r>
    </w:p>
    <w:p w14:paraId="6521B1A2" w14:textId="6D548F48" w:rsidR="004B51DC" w:rsidRPr="00D53203" w:rsidRDefault="00CB4D56" w:rsidP="00D5320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sredstva za provedbu Programa iznose 6.000.000,00 eura</w:t>
      </w:r>
      <w:r w:rsidR="00A41FC9">
        <w:rPr>
          <w:rFonts w:ascii="Times New Roman" w:hAnsi="Times New Roman" w:cs="Times New Roman"/>
          <w:sz w:val="24"/>
          <w:szCs w:val="24"/>
        </w:rPr>
        <w:t xml:space="preserve"> i osigurana su u </w:t>
      </w:r>
      <w:r w:rsidRPr="00C20967">
        <w:rPr>
          <w:rFonts w:ascii="Times New Roman" w:eastAsia="Times New Roman" w:hAnsi="Times New Roman" w:cs="Times New Roman"/>
          <w:sz w:val="24"/>
          <w:szCs w:val="24"/>
        </w:rPr>
        <w:t>Državnom proračunu Republike Hrvatske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2024. godinu </w:t>
      </w:r>
      <w:r w:rsidRPr="002B73A8">
        <w:rPr>
          <w:rFonts w:ascii="Times New Roman" w:eastAsia="Times New Roman" w:hAnsi="Times New Roman" w:cs="Times New Roman"/>
          <w:sz w:val="24"/>
          <w:szCs w:val="24"/>
        </w:rPr>
        <w:t>i projekcijama za 2025. i 2026. godinu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4B51DC" w:rsidRPr="00D53203" w:rsidSect="00611595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FA661" w14:textId="77777777" w:rsidR="00611595" w:rsidRDefault="00611595" w:rsidP="0016213C">
      <w:pPr>
        <w:spacing w:after="0" w:line="240" w:lineRule="auto"/>
      </w:pPr>
      <w:r>
        <w:separator/>
      </w:r>
    </w:p>
  </w:endnote>
  <w:endnote w:type="continuationSeparator" w:id="0">
    <w:p w14:paraId="05256FD8" w14:textId="77777777" w:rsidR="00611595" w:rsidRDefault="00611595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E87EA" w14:textId="77777777" w:rsidR="002F30DA" w:rsidRPr="00457B4B" w:rsidRDefault="002F30DA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311D" w14:textId="77777777" w:rsidR="002F30DA" w:rsidRPr="005222AE" w:rsidRDefault="002F30DA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E51F" w14:textId="77777777" w:rsidR="002F30DA" w:rsidRPr="00B67F64" w:rsidRDefault="002F30DA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F83D4" w14:textId="77777777" w:rsidR="002F30DA" w:rsidRPr="00457B4B" w:rsidRDefault="002F30DA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8BDED" w14:textId="77777777" w:rsidR="00611595" w:rsidRDefault="00611595" w:rsidP="0016213C">
      <w:pPr>
        <w:spacing w:after="0" w:line="240" w:lineRule="auto"/>
      </w:pPr>
      <w:r>
        <w:separator/>
      </w:r>
    </w:p>
  </w:footnote>
  <w:footnote w:type="continuationSeparator" w:id="0">
    <w:p w14:paraId="0395DBE8" w14:textId="77777777" w:rsidR="00611595" w:rsidRDefault="00611595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029C"/>
    <w:multiLevelType w:val="hybridMultilevel"/>
    <w:tmpl w:val="AEACA970"/>
    <w:lvl w:ilvl="0" w:tplc="AE744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74490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00330"/>
    <w:multiLevelType w:val="hybridMultilevel"/>
    <w:tmpl w:val="FEBACEAC"/>
    <w:lvl w:ilvl="0" w:tplc="4CF84CF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DD2"/>
    <w:rsid w:val="00000F53"/>
    <w:rsid w:val="00011E0D"/>
    <w:rsid w:val="0001223F"/>
    <w:rsid w:val="00012E00"/>
    <w:rsid w:val="00014A0B"/>
    <w:rsid w:val="00016154"/>
    <w:rsid w:val="000200FA"/>
    <w:rsid w:val="000216A5"/>
    <w:rsid w:val="0002596D"/>
    <w:rsid w:val="00030666"/>
    <w:rsid w:val="00056526"/>
    <w:rsid w:val="000840F0"/>
    <w:rsid w:val="0008487A"/>
    <w:rsid w:val="00091314"/>
    <w:rsid w:val="000956D5"/>
    <w:rsid w:val="00096AC1"/>
    <w:rsid w:val="000974E7"/>
    <w:rsid w:val="000A5A6C"/>
    <w:rsid w:val="000C17DD"/>
    <w:rsid w:val="000C3C5B"/>
    <w:rsid w:val="000C3EEE"/>
    <w:rsid w:val="000C77C2"/>
    <w:rsid w:val="000D0667"/>
    <w:rsid w:val="000F51A6"/>
    <w:rsid w:val="00134D55"/>
    <w:rsid w:val="00137945"/>
    <w:rsid w:val="001402D6"/>
    <w:rsid w:val="00142592"/>
    <w:rsid w:val="0016213C"/>
    <w:rsid w:val="00171942"/>
    <w:rsid w:val="001752BB"/>
    <w:rsid w:val="001821D3"/>
    <w:rsid w:val="001874D6"/>
    <w:rsid w:val="00196E31"/>
    <w:rsid w:val="001A0193"/>
    <w:rsid w:val="001A15E8"/>
    <w:rsid w:val="001A6BA2"/>
    <w:rsid w:val="001B46AD"/>
    <w:rsid w:val="001C2B06"/>
    <w:rsid w:val="001C79B2"/>
    <w:rsid w:val="001D7866"/>
    <w:rsid w:val="001F3756"/>
    <w:rsid w:val="001F5749"/>
    <w:rsid w:val="001F7417"/>
    <w:rsid w:val="00220F18"/>
    <w:rsid w:val="0023064F"/>
    <w:rsid w:val="00231B3C"/>
    <w:rsid w:val="00242ED4"/>
    <w:rsid w:val="002503FF"/>
    <w:rsid w:val="00253230"/>
    <w:rsid w:val="002634F3"/>
    <w:rsid w:val="00264860"/>
    <w:rsid w:val="00273FAD"/>
    <w:rsid w:val="0027576F"/>
    <w:rsid w:val="00281D3E"/>
    <w:rsid w:val="00287984"/>
    <w:rsid w:val="00287A7C"/>
    <w:rsid w:val="00290862"/>
    <w:rsid w:val="0029087F"/>
    <w:rsid w:val="0029308D"/>
    <w:rsid w:val="00295CAA"/>
    <w:rsid w:val="002965CD"/>
    <w:rsid w:val="002A2093"/>
    <w:rsid w:val="002A2913"/>
    <w:rsid w:val="002A3F90"/>
    <w:rsid w:val="002A686B"/>
    <w:rsid w:val="002B2F89"/>
    <w:rsid w:val="002C37F5"/>
    <w:rsid w:val="002C5E7B"/>
    <w:rsid w:val="002D67BD"/>
    <w:rsid w:val="002F30DA"/>
    <w:rsid w:val="002F7E05"/>
    <w:rsid w:val="00305F6C"/>
    <w:rsid w:val="00306E04"/>
    <w:rsid w:val="0031010D"/>
    <w:rsid w:val="00336698"/>
    <w:rsid w:val="003377F5"/>
    <w:rsid w:val="0034044C"/>
    <w:rsid w:val="0034274C"/>
    <w:rsid w:val="00343E9B"/>
    <w:rsid w:val="003443D3"/>
    <w:rsid w:val="003445B2"/>
    <w:rsid w:val="00347AA8"/>
    <w:rsid w:val="003572B6"/>
    <w:rsid w:val="00366973"/>
    <w:rsid w:val="00370931"/>
    <w:rsid w:val="00370EFB"/>
    <w:rsid w:val="003742D9"/>
    <w:rsid w:val="003764AB"/>
    <w:rsid w:val="0037768D"/>
    <w:rsid w:val="003877AE"/>
    <w:rsid w:val="0039405F"/>
    <w:rsid w:val="003A0BD1"/>
    <w:rsid w:val="003A3D29"/>
    <w:rsid w:val="003B45C3"/>
    <w:rsid w:val="003C5673"/>
    <w:rsid w:val="003D43A7"/>
    <w:rsid w:val="003E5402"/>
    <w:rsid w:val="00401383"/>
    <w:rsid w:val="00416C6E"/>
    <w:rsid w:val="004171DD"/>
    <w:rsid w:val="00424FEB"/>
    <w:rsid w:val="0042502D"/>
    <w:rsid w:val="0044077A"/>
    <w:rsid w:val="00451401"/>
    <w:rsid w:val="00457B4B"/>
    <w:rsid w:val="004630C6"/>
    <w:rsid w:val="004657AE"/>
    <w:rsid w:val="004660B7"/>
    <w:rsid w:val="00470D76"/>
    <w:rsid w:val="00475133"/>
    <w:rsid w:val="00486005"/>
    <w:rsid w:val="004A20B9"/>
    <w:rsid w:val="004B51DC"/>
    <w:rsid w:val="004F70FF"/>
    <w:rsid w:val="00501890"/>
    <w:rsid w:val="00503C5B"/>
    <w:rsid w:val="0050674F"/>
    <w:rsid w:val="00510C1E"/>
    <w:rsid w:val="0052065F"/>
    <w:rsid w:val="00521334"/>
    <w:rsid w:val="00521D59"/>
    <w:rsid w:val="005222AE"/>
    <w:rsid w:val="00527FA8"/>
    <w:rsid w:val="00530253"/>
    <w:rsid w:val="005414D9"/>
    <w:rsid w:val="00544A89"/>
    <w:rsid w:val="005504F9"/>
    <w:rsid w:val="0055182F"/>
    <w:rsid w:val="00562B17"/>
    <w:rsid w:val="005650B3"/>
    <w:rsid w:val="00587DB2"/>
    <w:rsid w:val="005A33D6"/>
    <w:rsid w:val="005B6D72"/>
    <w:rsid w:val="005C0332"/>
    <w:rsid w:val="005C4435"/>
    <w:rsid w:val="005D2050"/>
    <w:rsid w:val="005D3366"/>
    <w:rsid w:val="005E5E4D"/>
    <w:rsid w:val="005F084D"/>
    <w:rsid w:val="005F6972"/>
    <w:rsid w:val="006036BC"/>
    <w:rsid w:val="00611595"/>
    <w:rsid w:val="00612D1E"/>
    <w:rsid w:val="00613528"/>
    <w:rsid w:val="00615049"/>
    <w:rsid w:val="00621419"/>
    <w:rsid w:val="00621DE3"/>
    <w:rsid w:val="006433F9"/>
    <w:rsid w:val="00652649"/>
    <w:rsid w:val="00656208"/>
    <w:rsid w:val="006675A7"/>
    <w:rsid w:val="00690B7B"/>
    <w:rsid w:val="00694BCE"/>
    <w:rsid w:val="006960D9"/>
    <w:rsid w:val="006A6446"/>
    <w:rsid w:val="006C5322"/>
    <w:rsid w:val="006D12B7"/>
    <w:rsid w:val="006E3E26"/>
    <w:rsid w:val="00703036"/>
    <w:rsid w:val="00707FE3"/>
    <w:rsid w:val="007103C8"/>
    <w:rsid w:val="00711CD4"/>
    <w:rsid w:val="007135C0"/>
    <w:rsid w:val="007170FA"/>
    <w:rsid w:val="00717CC5"/>
    <w:rsid w:val="00736983"/>
    <w:rsid w:val="007429FE"/>
    <w:rsid w:val="0074668F"/>
    <w:rsid w:val="00750CF7"/>
    <w:rsid w:val="007749AD"/>
    <w:rsid w:val="0077572C"/>
    <w:rsid w:val="00785E25"/>
    <w:rsid w:val="00786D1C"/>
    <w:rsid w:val="007900BB"/>
    <w:rsid w:val="007917B2"/>
    <w:rsid w:val="00793FBE"/>
    <w:rsid w:val="00795093"/>
    <w:rsid w:val="00797B5B"/>
    <w:rsid w:val="007A2DD6"/>
    <w:rsid w:val="007A2FD1"/>
    <w:rsid w:val="007A3024"/>
    <w:rsid w:val="007A6627"/>
    <w:rsid w:val="007B122B"/>
    <w:rsid w:val="007B2E19"/>
    <w:rsid w:val="007C2EF7"/>
    <w:rsid w:val="007D57B0"/>
    <w:rsid w:val="007F5751"/>
    <w:rsid w:val="00820FCF"/>
    <w:rsid w:val="00857770"/>
    <w:rsid w:val="008643F8"/>
    <w:rsid w:val="0086636B"/>
    <w:rsid w:val="00881D8E"/>
    <w:rsid w:val="0088619C"/>
    <w:rsid w:val="0088732A"/>
    <w:rsid w:val="00890AE0"/>
    <w:rsid w:val="00897A9B"/>
    <w:rsid w:val="00897AC6"/>
    <w:rsid w:val="008A2883"/>
    <w:rsid w:val="008A64DB"/>
    <w:rsid w:val="008A73F3"/>
    <w:rsid w:val="008B0A65"/>
    <w:rsid w:val="008B447C"/>
    <w:rsid w:val="008B5B76"/>
    <w:rsid w:val="008D4076"/>
    <w:rsid w:val="008E2228"/>
    <w:rsid w:val="008E3245"/>
    <w:rsid w:val="008E7074"/>
    <w:rsid w:val="008F0CF9"/>
    <w:rsid w:val="00903508"/>
    <w:rsid w:val="00906E93"/>
    <w:rsid w:val="00910453"/>
    <w:rsid w:val="009202E1"/>
    <w:rsid w:val="0092429F"/>
    <w:rsid w:val="00927EE4"/>
    <w:rsid w:val="00930955"/>
    <w:rsid w:val="009313BF"/>
    <w:rsid w:val="009355E9"/>
    <w:rsid w:val="00936739"/>
    <w:rsid w:val="009403D2"/>
    <w:rsid w:val="00941CBC"/>
    <w:rsid w:val="009426A9"/>
    <w:rsid w:val="00942D0D"/>
    <w:rsid w:val="00946174"/>
    <w:rsid w:val="00951DD3"/>
    <w:rsid w:val="00953DF9"/>
    <w:rsid w:val="00954596"/>
    <w:rsid w:val="00954B0E"/>
    <w:rsid w:val="00956ECF"/>
    <w:rsid w:val="00965E3C"/>
    <w:rsid w:val="009668D0"/>
    <w:rsid w:val="00966A54"/>
    <w:rsid w:val="00980F42"/>
    <w:rsid w:val="009819F8"/>
    <w:rsid w:val="009B07A2"/>
    <w:rsid w:val="009B63DA"/>
    <w:rsid w:val="009C0328"/>
    <w:rsid w:val="009C0D8D"/>
    <w:rsid w:val="009C4A69"/>
    <w:rsid w:val="009D2D87"/>
    <w:rsid w:val="009E61A4"/>
    <w:rsid w:val="00A04A4A"/>
    <w:rsid w:val="00A05663"/>
    <w:rsid w:val="00A11504"/>
    <w:rsid w:val="00A12867"/>
    <w:rsid w:val="00A22792"/>
    <w:rsid w:val="00A27A58"/>
    <w:rsid w:val="00A37922"/>
    <w:rsid w:val="00A41FC9"/>
    <w:rsid w:val="00A63FBB"/>
    <w:rsid w:val="00A87DC4"/>
    <w:rsid w:val="00AB4EB6"/>
    <w:rsid w:val="00AB7C82"/>
    <w:rsid w:val="00AD1529"/>
    <w:rsid w:val="00AE40D1"/>
    <w:rsid w:val="00AF69B2"/>
    <w:rsid w:val="00AF76BF"/>
    <w:rsid w:val="00B06361"/>
    <w:rsid w:val="00B06493"/>
    <w:rsid w:val="00B07E85"/>
    <w:rsid w:val="00B171A7"/>
    <w:rsid w:val="00B1761B"/>
    <w:rsid w:val="00B20909"/>
    <w:rsid w:val="00B20C17"/>
    <w:rsid w:val="00B226C6"/>
    <w:rsid w:val="00B327B8"/>
    <w:rsid w:val="00B355EE"/>
    <w:rsid w:val="00B4458C"/>
    <w:rsid w:val="00B466D7"/>
    <w:rsid w:val="00B51085"/>
    <w:rsid w:val="00B55DB2"/>
    <w:rsid w:val="00B62398"/>
    <w:rsid w:val="00B66DDC"/>
    <w:rsid w:val="00B67F64"/>
    <w:rsid w:val="00B75160"/>
    <w:rsid w:val="00B75937"/>
    <w:rsid w:val="00B80858"/>
    <w:rsid w:val="00B92E87"/>
    <w:rsid w:val="00BA2228"/>
    <w:rsid w:val="00BA47DB"/>
    <w:rsid w:val="00BA6A3D"/>
    <w:rsid w:val="00BB7C13"/>
    <w:rsid w:val="00BE6E47"/>
    <w:rsid w:val="00BF236A"/>
    <w:rsid w:val="00BF3DF0"/>
    <w:rsid w:val="00C21001"/>
    <w:rsid w:val="00C226BE"/>
    <w:rsid w:val="00C27BD9"/>
    <w:rsid w:val="00C4332B"/>
    <w:rsid w:val="00C44B3C"/>
    <w:rsid w:val="00C46C0F"/>
    <w:rsid w:val="00C5332D"/>
    <w:rsid w:val="00C614F1"/>
    <w:rsid w:val="00C63795"/>
    <w:rsid w:val="00C6534E"/>
    <w:rsid w:val="00C775B9"/>
    <w:rsid w:val="00C8594B"/>
    <w:rsid w:val="00CA1A64"/>
    <w:rsid w:val="00CA1A8B"/>
    <w:rsid w:val="00CB4D56"/>
    <w:rsid w:val="00CB703B"/>
    <w:rsid w:val="00CD69AE"/>
    <w:rsid w:val="00CD71F7"/>
    <w:rsid w:val="00CD79E1"/>
    <w:rsid w:val="00D10749"/>
    <w:rsid w:val="00D10AED"/>
    <w:rsid w:val="00D15FC1"/>
    <w:rsid w:val="00D346AD"/>
    <w:rsid w:val="00D53203"/>
    <w:rsid w:val="00D651BF"/>
    <w:rsid w:val="00D737AC"/>
    <w:rsid w:val="00D77269"/>
    <w:rsid w:val="00D829CD"/>
    <w:rsid w:val="00D917A4"/>
    <w:rsid w:val="00D9761D"/>
    <w:rsid w:val="00DA11E1"/>
    <w:rsid w:val="00DA32DB"/>
    <w:rsid w:val="00DB7DB7"/>
    <w:rsid w:val="00DC115C"/>
    <w:rsid w:val="00DD016B"/>
    <w:rsid w:val="00DD19B0"/>
    <w:rsid w:val="00DE40B8"/>
    <w:rsid w:val="00DE449B"/>
    <w:rsid w:val="00DF197A"/>
    <w:rsid w:val="00E01150"/>
    <w:rsid w:val="00E042FC"/>
    <w:rsid w:val="00E1201B"/>
    <w:rsid w:val="00E137BE"/>
    <w:rsid w:val="00E17202"/>
    <w:rsid w:val="00E208E8"/>
    <w:rsid w:val="00E20F94"/>
    <w:rsid w:val="00E42084"/>
    <w:rsid w:val="00E55D5F"/>
    <w:rsid w:val="00E67B9C"/>
    <w:rsid w:val="00E72511"/>
    <w:rsid w:val="00E7483E"/>
    <w:rsid w:val="00E75431"/>
    <w:rsid w:val="00E76B8F"/>
    <w:rsid w:val="00E84E4A"/>
    <w:rsid w:val="00E947EA"/>
    <w:rsid w:val="00E96D2C"/>
    <w:rsid w:val="00EB2099"/>
    <w:rsid w:val="00ED2CC4"/>
    <w:rsid w:val="00EE1E67"/>
    <w:rsid w:val="00EE7F8D"/>
    <w:rsid w:val="00EF38DC"/>
    <w:rsid w:val="00EF64CA"/>
    <w:rsid w:val="00EF75B0"/>
    <w:rsid w:val="00F06796"/>
    <w:rsid w:val="00F20F27"/>
    <w:rsid w:val="00F21D7A"/>
    <w:rsid w:val="00F30B2F"/>
    <w:rsid w:val="00F33F1E"/>
    <w:rsid w:val="00F37E26"/>
    <w:rsid w:val="00F654F0"/>
    <w:rsid w:val="00F70337"/>
    <w:rsid w:val="00F71B39"/>
    <w:rsid w:val="00F95471"/>
    <w:rsid w:val="00FA710F"/>
    <w:rsid w:val="00FB742A"/>
    <w:rsid w:val="00FC1A8E"/>
    <w:rsid w:val="00FC65C3"/>
    <w:rsid w:val="00FF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CF29"/>
  <w15:docId w15:val="{997A21AC-1B51-4F79-9EAA-C303FE59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E85"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1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D59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91045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75">
    <w:name w:val="xl75"/>
    <w:basedOn w:val="Normal"/>
    <w:rsid w:val="00F71B39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customStyle="1" w:styleId="zadanifontodlomka-000002">
    <w:name w:val="zadanifontodlomka-000002"/>
    <w:basedOn w:val="DefaultParagraphFont"/>
    <w:rsid w:val="00B92E8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Revision">
    <w:name w:val="Revision"/>
    <w:hidden/>
    <w:uiPriority w:val="99"/>
    <w:semiHidden/>
    <w:rsid w:val="000F5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AZJMDCZ6QSYZ-1849078857-37030</_dlc_DocId>
    <_dlc_DocIdUrl xmlns="a494813a-d0d8-4dad-94cb-0d196f36ba15">
      <Url>https://ekoordinacije.vlada.hr/koordinacija-gospodarstvo/_layouts/15/DocIdRedir.aspx?ID=AZJMDCZ6QSYZ-1849078857-37030</Url>
      <Description>AZJMDCZ6QSYZ-1849078857-37030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ABC5-6093-41C5-B70F-E889A7F630C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987E40-1B33-420C-80F5-A27C78932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4D6CB-8D0D-4B31-9F70-47DCDBDC01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A1B0DC-7B6A-45DD-AC80-0FBCF3C0B4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EC0ED-2479-4501-9EB1-12B1F30E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Ines Uglešić</cp:lastModifiedBy>
  <cp:revision>10</cp:revision>
  <cp:lastPrinted>2021-02-10T13:26:00Z</cp:lastPrinted>
  <dcterms:created xsi:type="dcterms:W3CDTF">2024-03-15T10:33:00Z</dcterms:created>
  <dcterms:modified xsi:type="dcterms:W3CDTF">2024-03-19T11:56:00Z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40ee3d45-ae33-43fc-8495-3554041df9af</vt:lpwstr>
  </property>
</Properties>
</file>