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CE31" w14:textId="77777777" w:rsidR="008D108C" w:rsidRPr="00996437" w:rsidRDefault="008D108C" w:rsidP="008D108C">
      <w:pPr>
        <w:rPr>
          <w:color w:val="000000"/>
        </w:rPr>
      </w:pPr>
    </w:p>
    <w:p w14:paraId="51CFFF2C" w14:textId="77777777" w:rsidR="008D108C" w:rsidRPr="00996437" w:rsidRDefault="008D108C" w:rsidP="008D108C">
      <w:pPr>
        <w:jc w:val="right"/>
        <w:rPr>
          <w:color w:val="000000"/>
        </w:rPr>
      </w:pPr>
    </w:p>
    <w:p w14:paraId="337D1EDD" w14:textId="77777777" w:rsidR="008D108C" w:rsidRPr="00996437" w:rsidRDefault="008D108C" w:rsidP="008D108C">
      <w:pPr>
        <w:jc w:val="center"/>
      </w:pPr>
      <w:r w:rsidRPr="00996437">
        <w:rPr>
          <w:noProof/>
        </w:rPr>
        <w:drawing>
          <wp:inline distT="0" distB="0" distL="0" distR="0" wp14:anchorId="64DDCF29" wp14:editId="0661648E">
            <wp:extent cx="504190" cy="683895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E2FE" w14:textId="77777777" w:rsidR="008D108C" w:rsidRPr="00996437" w:rsidRDefault="008D108C" w:rsidP="008D108C">
      <w:pPr>
        <w:spacing w:before="60" w:after="1680"/>
        <w:jc w:val="center"/>
      </w:pPr>
      <w:r w:rsidRPr="00996437">
        <w:t>VLADA REPUBLIKE HRVATSKE</w:t>
      </w:r>
    </w:p>
    <w:p w14:paraId="7CB21AE3" w14:textId="710139F5" w:rsidR="008D108C" w:rsidRPr="00996437" w:rsidRDefault="008D108C" w:rsidP="008D108C">
      <w:pPr>
        <w:jc w:val="right"/>
      </w:pPr>
      <w:r>
        <w:t xml:space="preserve">Zagreb, </w:t>
      </w:r>
      <w:r w:rsidR="00E3479C">
        <w:t>5. prosinca</w:t>
      </w:r>
      <w:r w:rsidRPr="00996437">
        <w:t xml:space="preserve"> 202</w:t>
      </w:r>
      <w:r>
        <w:t>4</w:t>
      </w:r>
      <w:r w:rsidRPr="00996437">
        <w:t>.</w:t>
      </w:r>
    </w:p>
    <w:p w14:paraId="57BE76E4" w14:textId="77777777" w:rsidR="008D108C" w:rsidRPr="00996437" w:rsidRDefault="008D108C" w:rsidP="008D108C">
      <w:pPr>
        <w:jc w:val="right"/>
      </w:pPr>
    </w:p>
    <w:p w14:paraId="40E3EF8E" w14:textId="77777777" w:rsidR="008D108C" w:rsidRPr="00996437" w:rsidRDefault="008D108C" w:rsidP="008D108C">
      <w:pPr>
        <w:jc w:val="right"/>
      </w:pPr>
    </w:p>
    <w:p w14:paraId="0369F58E" w14:textId="77777777" w:rsidR="008D108C" w:rsidRPr="00996437" w:rsidRDefault="008D108C" w:rsidP="008D108C">
      <w:pPr>
        <w:jc w:val="right"/>
      </w:pPr>
    </w:p>
    <w:p w14:paraId="12FDE955" w14:textId="77777777" w:rsidR="008D108C" w:rsidRPr="00996437" w:rsidRDefault="008D108C" w:rsidP="008D108C">
      <w:pPr>
        <w:jc w:val="right"/>
      </w:pPr>
    </w:p>
    <w:p w14:paraId="31ED23D1" w14:textId="77777777" w:rsidR="008D108C" w:rsidRPr="000661B5" w:rsidRDefault="008D108C" w:rsidP="008D108C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</w:p>
    <w:p w14:paraId="7183DCC5" w14:textId="77777777" w:rsidR="008D108C" w:rsidRPr="000661B5" w:rsidRDefault="008D108C" w:rsidP="008D108C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</w:t>
      </w:r>
    </w:p>
    <w:p w14:paraId="6AB95538" w14:textId="77777777" w:rsidR="008D108C" w:rsidRPr="000661B5" w:rsidRDefault="008D108C" w:rsidP="008D108C">
      <w:pPr>
        <w:suppressAutoHyphens/>
        <w:autoSpaceDN w:val="0"/>
        <w:spacing w:after="160" w:line="259" w:lineRule="auto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Predlagatelj:</w:t>
      </w:r>
      <w:r w:rsidRPr="000661B5">
        <w:rPr>
          <w:rFonts w:eastAsia="Calibri"/>
          <w:b/>
          <w:lang w:eastAsia="en-US"/>
        </w:rPr>
        <w:t xml:space="preserve"> </w:t>
      </w:r>
      <w:r w:rsidRPr="000661B5">
        <w:rPr>
          <w:rFonts w:eastAsia="Calibri"/>
          <w:lang w:eastAsia="en-US"/>
        </w:rPr>
        <w:t>Ministarstvo zaštite okoliša i zelene tranzicije</w:t>
      </w:r>
    </w:p>
    <w:p w14:paraId="630735A9" w14:textId="77777777" w:rsidR="008D108C" w:rsidRPr="000661B5" w:rsidRDefault="008D108C" w:rsidP="008D108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</w:t>
      </w:r>
    </w:p>
    <w:p w14:paraId="26A278F3" w14:textId="052DE0DF" w:rsidR="008D108C" w:rsidRPr="000661B5" w:rsidRDefault="008D108C" w:rsidP="008D108C">
      <w:pPr>
        <w:suppressAutoHyphens/>
        <w:autoSpaceDN w:val="0"/>
        <w:ind w:left="1410" w:hanging="1410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Predmet:</w:t>
      </w:r>
      <w:r w:rsidRPr="000661B5">
        <w:rPr>
          <w:rFonts w:eastAsia="Calibri"/>
          <w:b/>
          <w:lang w:eastAsia="en-US"/>
        </w:rPr>
        <w:t xml:space="preserve">   </w:t>
      </w:r>
      <w:r w:rsidRPr="000661B5">
        <w:rPr>
          <w:rFonts w:eastAsia="Calibri"/>
          <w:b/>
          <w:lang w:eastAsia="en-US"/>
        </w:rPr>
        <w:tab/>
      </w:r>
      <w:r w:rsidRPr="000661B5">
        <w:rPr>
          <w:rFonts w:eastAsia="Calibri"/>
          <w:lang w:eastAsia="en-US"/>
        </w:rPr>
        <w:t xml:space="preserve">Prijedlog </w:t>
      </w:r>
      <w:r w:rsidR="00E3479C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dluke o donošenju Višegodišnjeg programa gradnje regulacijskih i zaštitnih vodnih građevina i građevina za melioracije za razdoblje do 2030. godine</w:t>
      </w:r>
      <w:r w:rsidRPr="000661B5">
        <w:rPr>
          <w:rFonts w:eastAsia="Calibri"/>
          <w:lang w:eastAsia="en-US"/>
        </w:rPr>
        <w:t xml:space="preserve"> </w:t>
      </w:r>
    </w:p>
    <w:p w14:paraId="4206D2FA" w14:textId="77777777" w:rsidR="008D108C" w:rsidRPr="000661B5" w:rsidRDefault="008D108C" w:rsidP="008D108C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___________________________________________________________________________</w:t>
      </w:r>
    </w:p>
    <w:p w14:paraId="1AD88C5A" w14:textId="77777777" w:rsidR="008D108C" w:rsidRPr="00996437" w:rsidRDefault="008D108C" w:rsidP="008D108C">
      <w:pPr>
        <w:jc w:val="both"/>
      </w:pPr>
    </w:p>
    <w:p w14:paraId="008D0FC6" w14:textId="77777777" w:rsidR="008D108C" w:rsidRPr="00996437" w:rsidRDefault="008D108C" w:rsidP="008D108C">
      <w:pPr>
        <w:jc w:val="both"/>
      </w:pPr>
    </w:p>
    <w:p w14:paraId="3EA2BF73" w14:textId="77777777" w:rsidR="008D108C" w:rsidRPr="00996437" w:rsidRDefault="008D108C" w:rsidP="008D108C">
      <w:pPr>
        <w:jc w:val="both"/>
      </w:pPr>
    </w:p>
    <w:p w14:paraId="0497722D" w14:textId="77777777" w:rsidR="008D108C" w:rsidRPr="00996437" w:rsidRDefault="008D108C" w:rsidP="008D108C">
      <w:pPr>
        <w:jc w:val="both"/>
      </w:pPr>
    </w:p>
    <w:p w14:paraId="4103EDA8" w14:textId="77777777" w:rsidR="008D108C" w:rsidRPr="00996437" w:rsidRDefault="008D108C" w:rsidP="008D108C">
      <w:pPr>
        <w:jc w:val="both"/>
      </w:pPr>
    </w:p>
    <w:p w14:paraId="4EC1208B" w14:textId="77777777" w:rsidR="008D108C" w:rsidRPr="00996437" w:rsidRDefault="008D108C" w:rsidP="008D108C">
      <w:pPr>
        <w:jc w:val="both"/>
      </w:pPr>
    </w:p>
    <w:p w14:paraId="620A5E85" w14:textId="77777777" w:rsidR="008D108C" w:rsidRPr="00996437" w:rsidRDefault="008D108C" w:rsidP="008D108C">
      <w:pPr>
        <w:jc w:val="both"/>
      </w:pPr>
    </w:p>
    <w:p w14:paraId="42D8EEFB" w14:textId="77777777" w:rsidR="008D108C" w:rsidRPr="00996437" w:rsidRDefault="008D108C" w:rsidP="008D108C">
      <w:pPr>
        <w:jc w:val="both"/>
      </w:pPr>
    </w:p>
    <w:p w14:paraId="1754E4C9" w14:textId="77777777" w:rsidR="008D108C" w:rsidRPr="00996437" w:rsidRDefault="008D108C" w:rsidP="008D108C">
      <w:pPr>
        <w:jc w:val="both"/>
      </w:pPr>
    </w:p>
    <w:p w14:paraId="2ED99F14" w14:textId="77777777" w:rsidR="008D108C" w:rsidRPr="00996437" w:rsidRDefault="008D108C" w:rsidP="008D108C">
      <w:pPr>
        <w:jc w:val="both"/>
      </w:pPr>
    </w:p>
    <w:p w14:paraId="6DB8949C" w14:textId="77777777" w:rsidR="008D108C" w:rsidRPr="00996437" w:rsidRDefault="008D108C" w:rsidP="008D108C">
      <w:pPr>
        <w:jc w:val="both"/>
      </w:pPr>
    </w:p>
    <w:p w14:paraId="5D2A1669" w14:textId="77777777" w:rsidR="008D108C" w:rsidRPr="00996437" w:rsidRDefault="008D108C" w:rsidP="008D108C">
      <w:pPr>
        <w:jc w:val="both"/>
      </w:pPr>
    </w:p>
    <w:p w14:paraId="32AAB028" w14:textId="77777777" w:rsidR="008D108C" w:rsidRPr="00996437" w:rsidRDefault="008D108C" w:rsidP="008D108C">
      <w:pPr>
        <w:jc w:val="both"/>
      </w:pPr>
    </w:p>
    <w:p w14:paraId="5934CB97" w14:textId="77777777" w:rsidR="008D108C" w:rsidRPr="00996437" w:rsidRDefault="008D108C" w:rsidP="008D108C">
      <w:pPr>
        <w:jc w:val="both"/>
      </w:pPr>
    </w:p>
    <w:p w14:paraId="5973509F" w14:textId="77777777" w:rsidR="008D108C" w:rsidRPr="00996437" w:rsidRDefault="008D108C" w:rsidP="008D108C">
      <w:pPr>
        <w:jc w:val="both"/>
      </w:pPr>
    </w:p>
    <w:p w14:paraId="37E8CBC3" w14:textId="77777777" w:rsidR="008D108C" w:rsidRPr="00996437" w:rsidRDefault="008D108C" w:rsidP="008D108C">
      <w:pPr>
        <w:jc w:val="both"/>
      </w:pPr>
    </w:p>
    <w:p w14:paraId="78DDD62C" w14:textId="77777777" w:rsidR="008D108C" w:rsidRPr="00996437" w:rsidRDefault="008D108C" w:rsidP="008D108C">
      <w:pPr>
        <w:tabs>
          <w:tab w:val="center" w:pos="4536"/>
          <w:tab w:val="right" w:pos="9072"/>
        </w:tabs>
      </w:pPr>
    </w:p>
    <w:p w14:paraId="716E4A1F" w14:textId="77777777" w:rsidR="008D108C" w:rsidRPr="00996437" w:rsidRDefault="008D108C" w:rsidP="008D108C"/>
    <w:p w14:paraId="2F1E7615" w14:textId="77777777" w:rsidR="008D108C" w:rsidRPr="00996437" w:rsidRDefault="008D108C" w:rsidP="008D108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996437">
        <w:rPr>
          <w:color w:val="404040"/>
          <w:spacing w:val="20"/>
        </w:rPr>
        <w:t>Banski dvori | Trg Sv. Marka 2  | 10000 Zagreb | tel. 01 4569 222 | vlada.gov.hr</w:t>
      </w:r>
    </w:p>
    <w:p w14:paraId="3EA4CFFB" w14:textId="77777777" w:rsidR="008D108C" w:rsidRPr="00996437" w:rsidRDefault="008D108C" w:rsidP="008D108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</w:p>
    <w:p w14:paraId="53CBAD8B" w14:textId="77777777" w:rsidR="008D108C" w:rsidRPr="00996437" w:rsidRDefault="008D108C" w:rsidP="008D108C">
      <w:pPr>
        <w:rPr>
          <w:color w:val="000000"/>
        </w:rPr>
      </w:pPr>
    </w:p>
    <w:p w14:paraId="47CD93C6" w14:textId="77777777" w:rsidR="008D108C" w:rsidRDefault="008D108C" w:rsidP="008D108C">
      <w:pPr>
        <w:rPr>
          <w:color w:val="000000"/>
        </w:rPr>
      </w:pPr>
    </w:p>
    <w:p w14:paraId="24E18CC2" w14:textId="77777777" w:rsidR="006C0C2A" w:rsidRDefault="006C0C2A" w:rsidP="008D108C">
      <w:pPr>
        <w:jc w:val="right"/>
        <w:rPr>
          <w:bCs/>
        </w:rPr>
      </w:pPr>
    </w:p>
    <w:p w14:paraId="34AAEA72" w14:textId="2153BF60" w:rsidR="008D108C" w:rsidRPr="000E75BA" w:rsidRDefault="008D108C" w:rsidP="008D108C">
      <w:pPr>
        <w:jc w:val="right"/>
        <w:rPr>
          <w:bCs/>
        </w:rPr>
      </w:pPr>
      <w:r w:rsidRPr="000E75BA">
        <w:rPr>
          <w:bCs/>
        </w:rPr>
        <w:lastRenderedPageBreak/>
        <w:t>PRIJEDLOG</w:t>
      </w:r>
    </w:p>
    <w:p w14:paraId="629F0D29" w14:textId="77777777" w:rsidR="008D108C" w:rsidRPr="008560CA" w:rsidRDefault="008D108C" w:rsidP="008D108C">
      <w:pPr>
        <w:rPr>
          <w:sz w:val="28"/>
          <w:szCs w:val="28"/>
        </w:rPr>
      </w:pPr>
    </w:p>
    <w:p w14:paraId="0AC8CA18" w14:textId="77777777" w:rsidR="008D108C" w:rsidRPr="008560CA" w:rsidRDefault="008D108C" w:rsidP="008D108C"/>
    <w:p w14:paraId="53FDB948" w14:textId="2C58342D" w:rsidR="008D108C" w:rsidRPr="008560CA" w:rsidRDefault="008D108C" w:rsidP="008D108C">
      <w:pPr>
        <w:jc w:val="both"/>
      </w:pPr>
      <w:r w:rsidRPr="008560CA">
        <w:t xml:space="preserve">Na temelju članka </w:t>
      </w:r>
      <w:r>
        <w:t>43</w:t>
      </w:r>
      <w:r w:rsidRPr="008560CA">
        <w:t xml:space="preserve">. stavka 1. Zakona o vodama (Narodne novine, br. </w:t>
      </w:r>
      <w:r>
        <w:t xml:space="preserve">66/19, 84/21 i 47/23)  i </w:t>
      </w:r>
      <w:r w:rsidRPr="008560CA">
        <w:t>članka 31. stavka 2. Zakona o Vladi Republike Hrvatske (Narodne novine, br. 150/11</w:t>
      </w:r>
      <w:r>
        <w:t>,</w:t>
      </w:r>
      <w:r w:rsidRPr="008560CA">
        <w:t xml:space="preserve"> 119/14</w:t>
      </w:r>
      <w:r>
        <w:t>, 93/16, 116/18, 80/22 i 78/24</w:t>
      </w:r>
      <w:r w:rsidRPr="008560CA">
        <w:t>), Vlada Republike Hrvatske je na sjednici održanoj ____ 20</w:t>
      </w:r>
      <w:r>
        <w:t>24</w:t>
      </w:r>
      <w:r w:rsidRPr="008560CA">
        <w:t>. donijela</w:t>
      </w:r>
    </w:p>
    <w:p w14:paraId="47B9F2B2" w14:textId="77777777" w:rsidR="008D108C" w:rsidRPr="008560CA" w:rsidRDefault="008D108C" w:rsidP="008D108C">
      <w:r w:rsidRPr="008560CA">
        <w:t xml:space="preserve"> </w:t>
      </w:r>
    </w:p>
    <w:p w14:paraId="43A073F3" w14:textId="77777777" w:rsidR="008D108C" w:rsidRPr="008560CA" w:rsidRDefault="008D108C" w:rsidP="008D108C"/>
    <w:p w14:paraId="7D8D1095" w14:textId="77777777" w:rsidR="008D108C" w:rsidRPr="008560CA" w:rsidRDefault="008D108C" w:rsidP="008D108C">
      <w:pPr>
        <w:rPr>
          <w:b/>
          <w:sz w:val="28"/>
          <w:szCs w:val="28"/>
        </w:rPr>
      </w:pPr>
    </w:p>
    <w:p w14:paraId="27C22622" w14:textId="77777777" w:rsidR="008D108C" w:rsidRPr="007600AE" w:rsidRDefault="008D108C" w:rsidP="008D108C">
      <w:pPr>
        <w:jc w:val="center"/>
        <w:rPr>
          <w:rFonts w:ascii="Calibri" w:eastAsia="Calibri" w:hAnsi="Calibri"/>
          <w:b/>
          <w:sz w:val="28"/>
          <w:szCs w:val="28"/>
        </w:rPr>
      </w:pPr>
      <w:r w:rsidRPr="007600AE">
        <w:rPr>
          <w:b/>
          <w:sz w:val="28"/>
          <w:szCs w:val="28"/>
        </w:rPr>
        <w:t>ODLUKU</w:t>
      </w:r>
      <w:r w:rsidRPr="007600AE">
        <w:rPr>
          <w:rFonts w:ascii="Calibri" w:eastAsia="Calibri" w:hAnsi="Calibri"/>
          <w:b/>
          <w:sz w:val="28"/>
          <w:szCs w:val="28"/>
        </w:rPr>
        <w:t xml:space="preserve"> </w:t>
      </w:r>
    </w:p>
    <w:p w14:paraId="5E3D9F85" w14:textId="77777777" w:rsidR="008D108C" w:rsidRPr="007600AE" w:rsidRDefault="008D108C" w:rsidP="008D108C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7D1DA1DB" w14:textId="77777777" w:rsidR="008D108C" w:rsidRPr="007600AE" w:rsidRDefault="008D108C" w:rsidP="008D108C">
      <w:pPr>
        <w:jc w:val="center"/>
        <w:rPr>
          <w:b/>
          <w:sz w:val="28"/>
          <w:szCs w:val="28"/>
        </w:rPr>
      </w:pPr>
      <w:r w:rsidRPr="007600AE">
        <w:rPr>
          <w:b/>
          <w:sz w:val="28"/>
          <w:szCs w:val="28"/>
        </w:rPr>
        <w:t xml:space="preserve">O DONOŠENJU </w:t>
      </w:r>
      <w:r w:rsidRPr="007600AE">
        <w:rPr>
          <w:b/>
          <w:bCs/>
          <w:sz w:val="28"/>
          <w:szCs w:val="28"/>
        </w:rPr>
        <w:t>VIŠEGODIŠNJEG PROGRAMA GRADNJE REGULACIJSKIH I ZAŠTITNIH VODNIH GRAĐEVINA I GRAĐEVINA ZA MELIORACIJE</w:t>
      </w:r>
      <w:r>
        <w:rPr>
          <w:b/>
          <w:bCs/>
          <w:sz w:val="28"/>
          <w:szCs w:val="28"/>
        </w:rPr>
        <w:t xml:space="preserve"> ZA RAZDOBLJE DO 2030. GODINE</w:t>
      </w:r>
      <w:r w:rsidRPr="007600AE">
        <w:rPr>
          <w:b/>
          <w:bCs/>
          <w:sz w:val="28"/>
          <w:szCs w:val="28"/>
        </w:rPr>
        <w:t xml:space="preserve"> </w:t>
      </w:r>
    </w:p>
    <w:p w14:paraId="74D74804" w14:textId="77777777" w:rsidR="008D108C" w:rsidRPr="008560CA" w:rsidRDefault="008D108C" w:rsidP="008D108C">
      <w:pPr>
        <w:rPr>
          <w:b/>
        </w:rPr>
      </w:pPr>
    </w:p>
    <w:p w14:paraId="01F2AC3B" w14:textId="77777777" w:rsidR="008D108C" w:rsidRPr="007B5B9A" w:rsidRDefault="008D108C" w:rsidP="008D108C">
      <w:pPr>
        <w:spacing w:before="100" w:beforeAutospacing="1" w:after="100" w:afterAutospacing="1"/>
        <w:jc w:val="center"/>
      </w:pPr>
      <w:r w:rsidRPr="007B5B9A">
        <w:t>I.</w:t>
      </w:r>
    </w:p>
    <w:p w14:paraId="55C600C4" w14:textId="6342C10D" w:rsidR="008D108C" w:rsidRPr="008560CA" w:rsidRDefault="008D108C" w:rsidP="008E3088">
      <w:pPr>
        <w:jc w:val="both"/>
      </w:pPr>
      <w:r w:rsidRPr="008560CA">
        <w:rPr>
          <w:rFonts w:eastAsia="Calibri"/>
        </w:rPr>
        <w:t>Donosi se</w:t>
      </w:r>
      <w:r w:rsidRPr="008560CA">
        <w:rPr>
          <w:rFonts w:ascii="Calibri" w:eastAsia="Calibri" w:hAnsi="Calibri"/>
        </w:rPr>
        <w:t xml:space="preserve"> </w:t>
      </w:r>
      <w:r w:rsidRPr="008560CA">
        <w:rPr>
          <w:bCs/>
        </w:rPr>
        <w:t>Višegodišnji program gradnje regulacijskih i zaštitnih vodnih građevina i građevina za melioracije</w:t>
      </w:r>
      <w:r>
        <w:rPr>
          <w:bCs/>
        </w:rPr>
        <w:t xml:space="preserve"> za razdoblje do 2030. godine (u daljnjem tekstu: Višegodišnji program gradnje), koji je Vladi Republike Hrvatske dostavilo Ministarstvo zaštite okoliša i zelene tranzicije aktom, KLASA: 325-09/17-01/01, URBROJ: 517-09-1-1-24-114</w:t>
      </w:r>
      <w:r w:rsidR="008E3088">
        <w:rPr>
          <w:bCs/>
        </w:rPr>
        <w:t>,</w:t>
      </w:r>
      <w:r>
        <w:rPr>
          <w:bCs/>
        </w:rPr>
        <w:t xml:space="preserve"> od 25. studenoga 2024</w:t>
      </w:r>
      <w:r w:rsidRPr="008560CA">
        <w:rPr>
          <w:bCs/>
        </w:rPr>
        <w:t>.</w:t>
      </w:r>
    </w:p>
    <w:p w14:paraId="43B32AC9" w14:textId="77777777" w:rsidR="008D108C" w:rsidRDefault="008D108C" w:rsidP="008D108C">
      <w:pPr>
        <w:spacing w:before="100" w:beforeAutospacing="1" w:after="100" w:afterAutospacing="1"/>
        <w:jc w:val="center"/>
      </w:pPr>
      <w:r w:rsidRPr="007B5B9A">
        <w:t>II.</w:t>
      </w:r>
    </w:p>
    <w:p w14:paraId="4B7D2DD2" w14:textId="77777777" w:rsidR="008D108C" w:rsidRDefault="008D108C" w:rsidP="008D108C">
      <w:pPr>
        <w:spacing w:before="100" w:beforeAutospacing="1" w:after="100" w:afterAutospacing="1"/>
        <w:jc w:val="both"/>
      </w:pPr>
      <w:r>
        <w:t>Zadužuju se Ministarstvo zaštite okoliša i zelene tranzicije i Hrvatske vode da Višegodišnji program gradnje iz točke I. ove Odluke objave na svojim mrežnim stranicama.</w:t>
      </w:r>
    </w:p>
    <w:p w14:paraId="1C53B219" w14:textId="77777777" w:rsidR="008D108C" w:rsidRPr="007B5B9A" w:rsidRDefault="008D108C" w:rsidP="008D108C">
      <w:pPr>
        <w:spacing w:before="100" w:beforeAutospacing="1" w:after="100" w:afterAutospacing="1"/>
        <w:jc w:val="center"/>
      </w:pPr>
      <w:r>
        <w:t>III.</w:t>
      </w:r>
    </w:p>
    <w:p w14:paraId="51E436A2" w14:textId="527C7CED" w:rsidR="008D108C" w:rsidRPr="008560CA" w:rsidRDefault="008D108C" w:rsidP="008D108C">
      <w:pPr>
        <w:spacing w:before="100" w:beforeAutospacing="1" w:after="100" w:afterAutospacing="1"/>
        <w:jc w:val="both"/>
      </w:pPr>
      <w:r w:rsidRPr="008560CA">
        <w:t xml:space="preserve">Ova Odluka stupa na snagu </w:t>
      </w:r>
      <w:r>
        <w:t>danom donošenja</w:t>
      </w:r>
      <w:r w:rsidR="00155F74">
        <w:t>,  a objavit će se u „Narodnim novinama“</w:t>
      </w:r>
      <w:r w:rsidR="008E3088">
        <w:t>.</w:t>
      </w:r>
    </w:p>
    <w:p w14:paraId="3B10BE9E" w14:textId="77777777" w:rsidR="008D108C" w:rsidRPr="008560CA" w:rsidRDefault="008D108C" w:rsidP="008D108C">
      <w:pPr>
        <w:jc w:val="both"/>
        <w:rPr>
          <w:color w:val="000000"/>
          <w:sz w:val="22"/>
        </w:rPr>
      </w:pPr>
    </w:p>
    <w:p w14:paraId="0C6D7E1B" w14:textId="77777777" w:rsidR="008D108C" w:rsidRPr="008560CA" w:rsidRDefault="008D108C" w:rsidP="008D108C">
      <w:r w:rsidRPr="008560CA">
        <w:t xml:space="preserve">KLASA: </w:t>
      </w:r>
    </w:p>
    <w:p w14:paraId="5F8B88F4" w14:textId="77777777" w:rsidR="008D108C" w:rsidRPr="008560CA" w:rsidRDefault="008D108C" w:rsidP="008D108C">
      <w:r w:rsidRPr="008560CA">
        <w:t xml:space="preserve">URBROJ: </w:t>
      </w:r>
    </w:p>
    <w:p w14:paraId="0711ECDC" w14:textId="77777777" w:rsidR="008D108C" w:rsidRPr="008560CA" w:rsidRDefault="008D108C" w:rsidP="008D108C">
      <w:r w:rsidRPr="008560CA">
        <w:t>Zagreb,</w:t>
      </w:r>
    </w:p>
    <w:p w14:paraId="55B85CD5" w14:textId="77777777" w:rsidR="008D108C" w:rsidRDefault="008D108C" w:rsidP="008D108C">
      <w:pPr>
        <w:ind w:left="5387"/>
        <w:jc w:val="center"/>
        <w:rPr>
          <w:b/>
        </w:rPr>
      </w:pPr>
    </w:p>
    <w:p w14:paraId="1CCE37F7" w14:textId="77777777" w:rsidR="008D108C" w:rsidRPr="00E3479C" w:rsidRDefault="008D108C" w:rsidP="008D108C">
      <w:pPr>
        <w:ind w:left="5387"/>
        <w:jc w:val="center"/>
      </w:pPr>
    </w:p>
    <w:p w14:paraId="2E45B761" w14:textId="77777777" w:rsidR="008D108C" w:rsidRPr="00E3479C" w:rsidRDefault="008D108C" w:rsidP="008D108C">
      <w:pPr>
        <w:ind w:left="5103"/>
        <w:jc w:val="center"/>
      </w:pPr>
      <w:r w:rsidRPr="00E3479C">
        <w:t>PREDSJEDNIK</w:t>
      </w:r>
    </w:p>
    <w:p w14:paraId="4398C401" w14:textId="77777777" w:rsidR="008D108C" w:rsidRPr="00E3479C" w:rsidRDefault="008D108C" w:rsidP="008D108C">
      <w:pPr>
        <w:ind w:left="5103"/>
        <w:jc w:val="center"/>
      </w:pPr>
    </w:p>
    <w:p w14:paraId="56A423F1" w14:textId="77777777" w:rsidR="008D108C" w:rsidRPr="00E3479C" w:rsidRDefault="008D108C" w:rsidP="008D108C">
      <w:pPr>
        <w:ind w:left="5103"/>
        <w:jc w:val="center"/>
      </w:pPr>
    </w:p>
    <w:p w14:paraId="7203BCA0" w14:textId="77777777" w:rsidR="008D108C" w:rsidRPr="00E3479C" w:rsidRDefault="008D108C" w:rsidP="008D108C">
      <w:pPr>
        <w:ind w:left="5103"/>
        <w:jc w:val="center"/>
      </w:pPr>
      <w:r w:rsidRPr="00E3479C">
        <w:t>Andrej Plenković</w:t>
      </w:r>
    </w:p>
    <w:p w14:paraId="14682B6E" w14:textId="77777777" w:rsidR="008D108C" w:rsidRPr="00E3479C" w:rsidRDefault="008D108C" w:rsidP="008D108C">
      <w:pPr>
        <w:ind w:left="5387"/>
        <w:jc w:val="center"/>
      </w:pPr>
    </w:p>
    <w:p w14:paraId="7B56E49D" w14:textId="77777777" w:rsidR="008D108C" w:rsidRDefault="008D108C" w:rsidP="008D108C">
      <w:pPr>
        <w:ind w:left="5387"/>
        <w:jc w:val="center"/>
      </w:pPr>
    </w:p>
    <w:p w14:paraId="4F8D4A14" w14:textId="77777777" w:rsidR="008D108C" w:rsidRDefault="008D108C" w:rsidP="008D108C"/>
    <w:p w14:paraId="7A5FC298" w14:textId="77777777" w:rsidR="008D108C" w:rsidRDefault="008D108C" w:rsidP="008D108C">
      <w:pPr>
        <w:ind w:left="5387"/>
      </w:pPr>
    </w:p>
    <w:p w14:paraId="46B93F8C" w14:textId="77777777" w:rsidR="008D108C" w:rsidRDefault="008D108C" w:rsidP="008D108C">
      <w:pPr>
        <w:ind w:left="5387"/>
        <w:jc w:val="center"/>
      </w:pPr>
    </w:p>
    <w:p w14:paraId="4BC7C14A" w14:textId="77777777" w:rsidR="008D108C" w:rsidRDefault="008D108C" w:rsidP="008D108C">
      <w:pPr>
        <w:ind w:left="5387"/>
        <w:jc w:val="center"/>
      </w:pPr>
    </w:p>
    <w:p w14:paraId="494F0F25" w14:textId="4ED67CEF" w:rsidR="008D108C" w:rsidRDefault="008D108C" w:rsidP="008D108C">
      <w:pPr>
        <w:ind w:left="5387"/>
        <w:jc w:val="center"/>
      </w:pPr>
    </w:p>
    <w:p w14:paraId="1583CDD2" w14:textId="7C7BA177" w:rsidR="00E3479C" w:rsidRDefault="00E3479C" w:rsidP="008D108C">
      <w:pPr>
        <w:ind w:left="5387"/>
        <w:jc w:val="center"/>
      </w:pPr>
    </w:p>
    <w:p w14:paraId="2DEE4A91" w14:textId="77777777" w:rsidR="00E3479C" w:rsidRDefault="00E3479C" w:rsidP="008D108C">
      <w:pPr>
        <w:ind w:left="5387"/>
        <w:jc w:val="center"/>
      </w:pPr>
      <w:bookmarkStart w:id="0" w:name="_GoBack"/>
      <w:bookmarkEnd w:id="0"/>
    </w:p>
    <w:p w14:paraId="7904E16B" w14:textId="77777777" w:rsidR="008D108C" w:rsidRDefault="008D108C" w:rsidP="008D108C">
      <w:pPr>
        <w:ind w:left="5387"/>
        <w:jc w:val="center"/>
      </w:pPr>
    </w:p>
    <w:p w14:paraId="4B48C40D" w14:textId="77777777" w:rsidR="008D108C" w:rsidRPr="00BB0E63" w:rsidRDefault="008D108C" w:rsidP="008D108C">
      <w:pPr>
        <w:ind w:left="5387"/>
        <w:jc w:val="center"/>
        <w:rPr>
          <w:b/>
          <w:bCs/>
        </w:rPr>
      </w:pPr>
    </w:p>
    <w:p w14:paraId="4195FC11" w14:textId="77777777" w:rsidR="008D108C" w:rsidRPr="00BB0E63" w:rsidRDefault="008D108C" w:rsidP="008D108C">
      <w:pPr>
        <w:jc w:val="center"/>
        <w:rPr>
          <w:b/>
          <w:bCs/>
        </w:rPr>
      </w:pPr>
      <w:r w:rsidRPr="00BB0E63">
        <w:rPr>
          <w:b/>
          <w:bCs/>
        </w:rPr>
        <w:t>OBRAZLOŽENJE</w:t>
      </w:r>
    </w:p>
    <w:p w14:paraId="31F3EDBF" w14:textId="77777777" w:rsidR="008D108C" w:rsidRDefault="008D108C" w:rsidP="008D108C">
      <w:pPr>
        <w:jc w:val="center"/>
      </w:pPr>
    </w:p>
    <w:p w14:paraId="75F47C7E" w14:textId="77777777" w:rsidR="008D108C" w:rsidRDefault="008D108C" w:rsidP="008D108C">
      <w:pPr>
        <w:jc w:val="both"/>
      </w:pPr>
      <w:r w:rsidRPr="00F82D32">
        <w:t>Višegodišnj</w:t>
      </w:r>
      <w:r>
        <w:t>i</w:t>
      </w:r>
      <w:r w:rsidRPr="00F82D32">
        <w:t xml:space="preserve"> program gradnje regulacijskih i zaštitnih vodnih građevina i građevina za melioracije </w:t>
      </w:r>
      <w:r>
        <w:t xml:space="preserve">za razdoblje </w:t>
      </w:r>
      <w:r w:rsidRPr="00F82D32">
        <w:t>do 2030. (dalje u tekstu: Višegodišnj</w:t>
      </w:r>
      <w:r>
        <w:t>i</w:t>
      </w:r>
      <w:r w:rsidRPr="00F82D32">
        <w:t xml:space="preserve"> program</w:t>
      </w:r>
      <w:r>
        <w:t xml:space="preserve"> gradnje</w:t>
      </w:r>
      <w:r w:rsidRPr="00F82D32">
        <w:t>)</w:t>
      </w:r>
      <w:r>
        <w:t xml:space="preserve"> je, sukladno članku 37. Zakona o vodama (Narodne novine, br. 66/19, 84/21 i 47/23), planski dokument upravljanja vodama koji, sukladno odredbama članka 43. stavka 1. Zakona o vodama, donosi Vlada Republike Hrvatske. </w:t>
      </w:r>
    </w:p>
    <w:p w14:paraId="3F58F23F" w14:textId="77777777" w:rsidR="008D108C" w:rsidRDefault="008D108C" w:rsidP="008D108C">
      <w:pPr>
        <w:jc w:val="both"/>
      </w:pPr>
    </w:p>
    <w:p w14:paraId="52523A1F" w14:textId="77777777" w:rsidR="008D108C" w:rsidRDefault="008D108C" w:rsidP="008D108C">
      <w:pPr>
        <w:jc w:val="both"/>
      </w:pPr>
      <w:r>
        <w:t xml:space="preserve">Ovim dokumentom se utvrđuju pojedinačni projekti, način i razdoblje provedbe, sudionici u provedbi, procijenjeni iznosi ulaganja i izvori sredstava za njih te red prvenstva u provedbi, gdje je primjenjivo, a ujedno predstavlja </w:t>
      </w:r>
      <w:proofErr w:type="spellStart"/>
      <w:r>
        <w:t>novelaciju</w:t>
      </w:r>
      <w:proofErr w:type="spellEnd"/>
      <w:r>
        <w:t>/ažuriranje Višegodišnjeg programa gradnje regulacijskih i zaštitnih vodnih građevina i građevina za melioracije iz 2015. godine (Odluka o donošenju Višegodišnjeg programa gradnje regulacijskih i zaštitnih vodnih građevina i građevina za melioracije; Narodne novine, broj 117/15).</w:t>
      </w:r>
    </w:p>
    <w:p w14:paraId="378C8BEE" w14:textId="77777777" w:rsidR="008D108C" w:rsidRDefault="008D108C" w:rsidP="008D108C">
      <w:pPr>
        <w:jc w:val="both"/>
      </w:pPr>
    </w:p>
    <w:p w14:paraId="25E10D0B" w14:textId="77777777" w:rsidR="008D108C" w:rsidRPr="0063033A" w:rsidRDefault="008D108C" w:rsidP="008D108C">
      <w:pPr>
        <w:jc w:val="both"/>
        <w:rPr>
          <w:rFonts w:eastAsia="Calibri"/>
        </w:rPr>
      </w:pPr>
      <w:r>
        <w:rPr>
          <w:color w:val="000000"/>
        </w:rPr>
        <w:t xml:space="preserve">Sukladno odredbi članka 43. stavka 1. Zakona o vodama, Višegodišnji program gradnje izradile su Hrvatske vode polazeći od aktualnih planskih dokumenata upravljanja vodama te koristeći raspoloživu studijsku i projektnu dokumentaciju. </w:t>
      </w:r>
      <w:r w:rsidRPr="1FD92C54">
        <w:rPr>
          <w:rFonts w:eastAsia="Calibri"/>
        </w:rPr>
        <w:t>Prema članku 43. stavku 2. Zakona</w:t>
      </w:r>
      <w:r>
        <w:rPr>
          <w:rFonts w:eastAsia="Calibri"/>
        </w:rPr>
        <w:t xml:space="preserve"> o vodama</w:t>
      </w:r>
      <w:r w:rsidRPr="1FD92C54">
        <w:rPr>
          <w:rFonts w:eastAsia="Calibri"/>
        </w:rPr>
        <w:t>, Višegodišnji program</w:t>
      </w:r>
      <w:r>
        <w:rPr>
          <w:rFonts w:eastAsia="Calibri"/>
        </w:rPr>
        <w:t xml:space="preserve"> gradnje</w:t>
      </w:r>
      <w:r w:rsidRPr="1FD92C54">
        <w:rPr>
          <w:rFonts w:eastAsia="Calibri"/>
        </w:rPr>
        <w:t xml:space="preserve"> mora biti usklađen sa Strategijom upravljanja vodama i Planom upravljanja vodnim područjima. Također, nužna je i usklađenost s Europskim direktivama poput Okvirne direktive o vodama (2000/60/EC) i Direktive o procjeni i upravljanju poplavnim rizicima (2007/60/EZ).</w:t>
      </w:r>
    </w:p>
    <w:p w14:paraId="45BE21D5" w14:textId="77777777" w:rsidR="008D108C" w:rsidRDefault="008D108C" w:rsidP="008D108C">
      <w:pPr>
        <w:jc w:val="both"/>
        <w:rPr>
          <w:color w:val="000000"/>
        </w:rPr>
      </w:pPr>
    </w:p>
    <w:p w14:paraId="2A24C31E" w14:textId="77777777" w:rsidR="008D108C" w:rsidRDefault="008D108C" w:rsidP="008D108C">
      <w:pPr>
        <w:jc w:val="both"/>
      </w:pPr>
      <w:r>
        <w:t>Višegodišnji program gradnje uključuje 504 projekta zaštite od štetnog djelovanja voda, od čega se 325 projekata odnosi na vodno područje rijeke Dunav, a 179 projekata na jadransko vodno područje.</w:t>
      </w:r>
    </w:p>
    <w:p w14:paraId="5F5E2E76" w14:textId="77777777" w:rsidR="008D108C" w:rsidRDefault="008D108C" w:rsidP="008D108C">
      <w:pPr>
        <w:jc w:val="both"/>
      </w:pPr>
    </w:p>
    <w:p w14:paraId="3B295988" w14:textId="77777777" w:rsidR="008D108C" w:rsidRDefault="008D108C" w:rsidP="008D108C">
      <w:pPr>
        <w:jc w:val="both"/>
      </w:pPr>
      <w:r>
        <w:t xml:space="preserve">Navedeni projekti obuhvaćaju i 210 nerealiziranih projekata iz prethodnog Višegodišnjeg programa od kojih se za neke provela </w:t>
      </w:r>
      <w:proofErr w:type="spellStart"/>
      <w:r>
        <w:t>novelacija</w:t>
      </w:r>
      <w:proofErr w:type="spellEnd"/>
      <w:r>
        <w:t>, jer je došlo do promjene stanja na terenu ili uvjeta za primjenu drugačijih tehničkih rješenja. Isto tako, Višegodišnji program gradnje identificira i 58 projekata javnog navodnjavanja, ukupnog obuhvata 30.086 ha.</w:t>
      </w:r>
    </w:p>
    <w:p w14:paraId="3C5C8921" w14:textId="77777777" w:rsidR="008D108C" w:rsidRDefault="008D108C" w:rsidP="008D108C">
      <w:pPr>
        <w:jc w:val="both"/>
      </w:pPr>
    </w:p>
    <w:p w14:paraId="45057ED8" w14:textId="77777777" w:rsidR="008D108C" w:rsidRDefault="008D108C" w:rsidP="008D108C">
      <w:pPr>
        <w:jc w:val="both"/>
      </w:pPr>
      <w:r>
        <w:t>S ciljem uspostave učinkovitijeg i bržeg načina provedbe pojedinih projekata, tijekom izrade Višegodišnjeg programa gradnje sagledane su sve mogućnosti korištenja financijskih sredstava iz prihoda namjenskih vodnih naknada (izvorna sredstva Hrvatskih voda) i drugih dostupnih izvora, kao što su državni proračun Republike Hrvatske ili razni domaći krediti te korištenje dodatnih financijskih sredstva iz međunarodnih izvora, uključujući fondove EU i međunarodne zajmove i donacije.</w:t>
      </w:r>
    </w:p>
    <w:p w14:paraId="7EE005B9" w14:textId="77777777" w:rsidR="008D108C" w:rsidRDefault="008D108C" w:rsidP="008D108C">
      <w:pPr>
        <w:jc w:val="both"/>
      </w:pPr>
    </w:p>
    <w:p w14:paraId="73488191" w14:textId="77777777" w:rsidR="008D108C" w:rsidRDefault="008D108C" w:rsidP="008D108C">
      <w:pPr>
        <w:jc w:val="both"/>
      </w:pPr>
      <w:r w:rsidRPr="00257B1F">
        <w:t>Projekti planirani Višegodišnjim programom</w:t>
      </w:r>
      <w:r>
        <w:t xml:space="preserve"> gradnje</w:t>
      </w:r>
      <w:r w:rsidRPr="00257B1F">
        <w:t xml:space="preserve"> predstavljaju prilagodbu očekivanim klimatskim promjenama, kao što su povećanje učestalosti poplava i erozija uzrokovanih kratkotrajnim obilnim kišama i nevremenom, čime se štite naselja, ali i gospodarstvo. Projekti revitalizacije predstavljaju prilagodbu na klimatske promjene, jer se njima uz cilj zaštite od poplava povećava bioraznolikost npr. na područjima ritskih šuma koje ovise o režimu plavljenja vodotoka. Izgradnjom građevina za melioracije povećava se otpornost poljoprivredne proizvodnje na produženje sušnih razdoblja i povećanje temperatura koje se očekuju u budućnosti. Pri tom je važno da se na projektnoj razini zahvati vode dimenzioniraju na način da ne ugrožavaju količine vode </w:t>
      </w:r>
      <w:r>
        <w:t>za ostale namjene</w:t>
      </w:r>
      <w:r w:rsidRPr="00257B1F">
        <w:t>, prvenstveno za ljudsku potrošnju.</w:t>
      </w:r>
    </w:p>
    <w:p w14:paraId="3F9F7F27" w14:textId="77777777" w:rsidR="008D108C" w:rsidRPr="00996437" w:rsidRDefault="008D108C" w:rsidP="008D108C">
      <w:pPr>
        <w:rPr>
          <w:color w:val="000000"/>
        </w:rPr>
      </w:pPr>
    </w:p>
    <w:p w14:paraId="674B2FB9" w14:textId="77777777" w:rsidR="008D108C" w:rsidRDefault="008D108C"/>
    <w:sectPr w:rsidR="008D108C" w:rsidSect="008D108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8C"/>
    <w:rsid w:val="00155F74"/>
    <w:rsid w:val="00235FC4"/>
    <w:rsid w:val="00421456"/>
    <w:rsid w:val="004D6E5A"/>
    <w:rsid w:val="006C0C2A"/>
    <w:rsid w:val="008D108C"/>
    <w:rsid w:val="008E3088"/>
    <w:rsid w:val="009209F0"/>
    <w:rsid w:val="00E3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BC89"/>
  <w15:chartTrackingRefBased/>
  <w15:docId w15:val="{A1DF64DA-EEE7-4659-A2D4-4316DCD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08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0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0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Ines Uglešić</cp:lastModifiedBy>
  <cp:revision>5</cp:revision>
  <dcterms:created xsi:type="dcterms:W3CDTF">2024-11-25T11:28:00Z</dcterms:created>
  <dcterms:modified xsi:type="dcterms:W3CDTF">2024-12-03T07:27:00Z</dcterms:modified>
</cp:coreProperties>
</file>