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0DD48" w14:textId="77777777" w:rsidR="00C3416A" w:rsidRDefault="00C3416A" w:rsidP="00A4053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950DD49" w14:textId="77777777" w:rsidR="00C3416A" w:rsidRDefault="00C3416A" w:rsidP="00C3416A">
      <w:pPr>
        <w:jc w:val="center"/>
      </w:pPr>
      <w:r>
        <w:rPr>
          <w:noProof/>
          <w:lang w:eastAsia="hr-HR"/>
        </w:rPr>
        <w:drawing>
          <wp:inline distT="0" distB="0" distL="0" distR="0" wp14:anchorId="3950DD98" wp14:editId="3950DD99">
            <wp:extent cx="50292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0DD4A" w14:textId="77777777" w:rsidR="00C3416A" w:rsidRDefault="00C3416A" w:rsidP="00C3416A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VLADA REPUBLIKE HRVATSKE</w:t>
      </w:r>
    </w:p>
    <w:p w14:paraId="3950DD4B" w14:textId="77777777" w:rsidR="00C3416A" w:rsidRDefault="00C3416A" w:rsidP="00C341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0DD4C" w14:textId="0B83446D" w:rsidR="00C3416A" w:rsidRDefault="00351C73" w:rsidP="00C341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6720ED">
        <w:rPr>
          <w:rFonts w:ascii="Times New Roman" w:hAnsi="Times New Roman" w:cs="Times New Roman"/>
          <w:sz w:val="24"/>
          <w:szCs w:val="24"/>
        </w:rPr>
        <w:t xml:space="preserve"> </w:t>
      </w:r>
      <w:r w:rsidR="00A84F25">
        <w:rPr>
          <w:rFonts w:ascii="Times New Roman" w:hAnsi="Times New Roman" w:cs="Times New Roman"/>
          <w:sz w:val="24"/>
          <w:szCs w:val="24"/>
        </w:rPr>
        <w:t>1</w:t>
      </w:r>
      <w:r w:rsidR="00A84F25">
        <w:rPr>
          <w:rFonts w:ascii="Times New Roman" w:hAnsi="Times New Roman" w:cs="Times New Roman"/>
          <w:sz w:val="24"/>
          <w:szCs w:val="24"/>
        </w:rPr>
        <w:t>2</w:t>
      </w:r>
      <w:r w:rsidR="002E6532">
        <w:rPr>
          <w:rFonts w:ascii="Times New Roman" w:hAnsi="Times New Roman" w:cs="Times New Roman"/>
          <w:sz w:val="24"/>
          <w:szCs w:val="24"/>
        </w:rPr>
        <w:t>.</w:t>
      </w:r>
      <w:r w:rsidR="008A19C7">
        <w:rPr>
          <w:rFonts w:ascii="Times New Roman" w:hAnsi="Times New Roman" w:cs="Times New Roman"/>
          <w:sz w:val="24"/>
          <w:szCs w:val="24"/>
        </w:rPr>
        <w:t xml:space="preserve"> </w:t>
      </w:r>
      <w:r w:rsidR="006C0E19">
        <w:rPr>
          <w:rFonts w:ascii="Times New Roman" w:hAnsi="Times New Roman" w:cs="Times New Roman"/>
          <w:sz w:val="24"/>
          <w:szCs w:val="24"/>
        </w:rPr>
        <w:t>prosinca 2024</w:t>
      </w:r>
      <w:r w:rsidR="00C3416A">
        <w:rPr>
          <w:rFonts w:ascii="Times New Roman" w:hAnsi="Times New Roman" w:cs="Times New Roman"/>
          <w:sz w:val="24"/>
          <w:szCs w:val="24"/>
        </w:rPr>
        <w:t>.</w:t>
      </w:r>
    </w:p>
    <w:p w14:paraId="3950DD4D" w14:textId="77777777" w:rsidR="00C3416A" w:rsidRDefault="00C3416A" w:rsidP="00C341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50DD4E" w14:textId="77777777" w:rsidR="00C3416A" w:rsidRDefault="00C3416A" w:rsidP="00C341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50DD4F" w14:textId="77777777" w:rsidR="00C3416A" w:rsidRDefault="00C3416A" w:rsidP="00C341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50DD50" w14:textId="77777777" w:rsidR="00C3416A" w:rsidRDefault="00C3416A" w:rsidP="00C34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C3416A" w14:paraId="3950DD53" w14:textId="77777777" w:rsidTr="00C3416A">
        <w:tc>
          <w:tcPr>
            <w:tcW w:w="1951" w:type="dxa"/>
            <w:hideMark/>
          </w:tcPr>
          <w:p w14:paraId="3950DD51" w14:textId="77777777" w:rsidR="00C3416A" w:rsidRDefault="00C3416A">
            <w:pPr>
              <w:spacing w:line="360" w:lineRule="auto"/>
              <w:jc w:val="right"/>
              <w:rPr>
                <w:sz w:val="24"/>
                <w:szCs w:val="24"/>
                <w:lang w:eastAsia="hr-HR"/>
              </w:rPr>
            </w:pPr>
            <w:r>
              <w:rPr>
                <w:b/>
                <w:smallCaps/>
                <w:sz w:val="24"/>
                <w:szCs w:val="24"/>
                <w:lang w:eastAsia="hr-HR"/>
              </w:rPr>
              <w:t>Predlagatelj</w:t>
            </w:r>
            <w:r>
              <w:rPr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hideMark/>
          </w:tcPr>
          <w:p w14:paraId="3950DD52" w14:textId="77777777" w:rsidR="00C3416A" w:rsidRDefault="00170095" w:rsidP="006E0AD4">
            <w:pPr>
              <w:spacing w:line="360" w:lineRule="auto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Ministarstvo turizma i sporta</w:t>
            </w:r>
          </w:p>
        </w:tc>
      </w:tr>
    </w:tbl>
    <w:p w14:paraId="3950DD54" w14:textId="77777777" w:rsidR="00C3416A" w:rsidRDefault="00C3416A" w:rsidP="00C34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C3416A" w14:paraId="3950DD58" w14:textId="77777777" w:rsidTr="00114A07">
        <w:tc>
          <w:tcPr>
            <w:tcW w:w="1940" w:type="dxa"/>
            <w:hideMark/>
          </w:tcPr>
          <w:p w14:paraId="3950DD55" w14:textId="77777777" w:rsidR="00C3416A" w:rsidRDefault="00C3416A">
            <w:pPr>
              <w:spacing w:line="360" w:lineRule="auto"/>
              <w:jc w:val="right"/>
              <w:rPr>
                <w:sz w:val="24"/>
                <w:szCs w:val="24"/>
                <w:lang w:eastAsia="hr-HR"/>
              </w:rPr>
            </w:pPr>
            <w:r>
              <w:rPr>
                <w:b/>
                <w:smallCaps/>
                <w:sz w:val="24"/>
                <w:szCs w:val="24"/>
                <w:lang w:eastAsia="hr-HR"/>
              </w:rPr>
              <w:t>Predmet</w:t>
            </w:r>
            <w:r>
              <w:rPr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132" w:type="dxa"/>
          </w:tcPr>
          <w:p w14:paraId="3950DD56" w14:textId="754A1BA5" w:rsidR="00C3416A" w:rsidRDefault="00C3416A">
            <w:pPr>
              <w:jc w:val="both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Prijedlog zaključka o davanju prethodne suglasnosti predstavniku Vlade Republike Hrvatske za prihvaćanje amandmana </w:t>
            </w:r>
            <w:r w:rsidR="002E6532">
              <w:rPr>
                <w:sz w:val="24"/>
                <w:szCs w:val="24"/>
                <w:lang w:eastAsia="hr-HR"/>
              </w:rPr>
              <w:t xml:space="preserve">drugih predlagatelja </w:t>
            </w:r>
            <w:r>
              <w:rPr>
                <w:sz w:val="24"/>
                <w:szCs w:val="24"/>
                <w:lang w:eastAsia="hr-HR"/>
              </w:rPr>
              <w:t xml:space="preserve">na </w:t>
            </w:r>
            <w:r w:rsidR="00A84F25">
              <w:rPr>
                <w:sz w:val="24"/>
                <w:szCs w:val="24"/>
                <w:lang w:eastAsia="hr-HR"/>
              </w:rPr>
              <w:t>Konačni p</w:t>
            </w:r>
            <w:r w:rsidR="00464D98">
              <w:rPr>
                <w:sz w:val="24"/>
                <w:szCs w:val="24"/>
                <w:lang w:eastAsia="hr-HR"/>
              </w:rPr>
              <w:t>rijedlog</w:t>
            </w:r>
            <w:r w:rsidR="00B542AC" w:rsidRPr="00B542AC">
              <w:rPr>
                <w:sz w:val="24"/>
                <w:szCs w:val="24"/>
                <w:lang w:eastAsia="hr-HR"/>
              </w:rPr>
              <w:t xml:space="preserve"> zakona o </w:t>
            </w:r>
            <w:r w:rsidR="006C0E19">
              <w:rPr>
                <w:sz w:val="24"/>
                <w:szCs w:val="24"/>
                <w:lang w:eastAsia="hr-HR"/>
              </w:rPr>
              <w:t>izmjenama i dopunama Zakona o ugostiteljskoj djelatnosti</w:t>
            </w:r>
          </w:p>
          <w:p w14:paraId="3950DD57" w14:textId="77777777" w:rsidR="00C3416A" w:rsidRDefault="00C3416A">
            <w:pPr>
              <w:jc w:val="both"/>
              <w:rPr>
                <w:sz w:val="24"/>
                <w:szCs w:val="24"/>
                <w:lang w:eastAsia="hr-HR"/>
              </w:rPr>
            </w:pPr>
          </w:p>
        </w:tc>
      </w:tr>
    </w:tbl>
    <w:p w14:paraId="3950DD59" w14:textId="77777777" w:rsidR="00114A07" w:rsidRDefault="00114A07" w:rsidP="00114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950DD5B" w14:textId="77777777" w:rsidR="00C3416A" w:rsidRDefault="00C3416A" w:rsidP="00C341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0DD5C" w14:textId="77777777" w:rsidR="00C3416A" w:rsidRDefault="00C3416A" w:rsidP="00C341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0DD5D" w14:textId="77777777" w:rsidR="00C3416A" w:rsidRDefault="00C3416A" w:rsidP="00C341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0DD5E" w14:textId="77777777" w:rsidR="00C3416A" w:rsidRDefault="00C3416A" w:rsidP="00C341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0DD5F" w14:textId="77777777" w:rsidR="00C3416A" w:rsidRDefault="00C3416A" w:rsidP="00C3416A">
      <w:pPr>
        <w:pStyle w:val="Header"/>
      </w:pPr>
    </w:p>
    <w:p w14:paraId="3950DD60" w14:textId="77777777" w:rsidR="00C3416A" w:rsidRDefault="00C3416A" w:rsidP="00C3416A"/>
    <w:p w14:paraId="3950DD61" w14:textId="77777777" w:rsidR="00C3416A" w:rsidRDefault="00C3416A" w:rsidP="00C3416A"/>
    <w:p w14:paraId="3950DD62" w14:textId="77777777" w:rsidR="00C3416A" w:rsidRDefault="00C3416A" w:rsidP="00C3416A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3950DD63" w14:textId="77777777" w:rsidR="00C3416A" w:rsidRDefault="00C3416A" w:rsidP="00C3416A"/>
    <w:p w14:paraId="609EC5CB" w14:textId="77777777" w:rsidR="00F801BB" w:rsidRDefault="00F801BB" w:rsidP="008A4E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50DD64" w14:textId="6FF33756" w:rsidR="00A40531" w:rsidRDefault="00A40531" w:rsidP="008A4E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</w:p>
    <w:p w14:paraId="3950DD65" w14:textId="77777777" w:rsidR="00A40531" w:rsidRDefault="00A40531" w:rsidP="008A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0DD66" w14:textId="4616D7C9" w:rsidR="00170095" w:rsidRDefault="00170095" w:rsidP="008A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10818" w14:textId="268064E6" w:rsidR="00F801BB" w:rsidRDefault="00F801BB" w:rsidP="008A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B9FDA" w14:textId="77777777" w:rsidR="00F801BB" w:rsidRDefault="00F801BB" w:rsidP="008A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0DD67" w14:textId="7559D311" w:rsidR="00546B3D" w:rsidRDefault="00546B3D" w:rsidP="00F801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stavka 3. Zakona o Vladi Republike Hrvatske („Narodne novine“, br. 150/1</w:t>
      </w:r>
      <w:r w:rsidR="006730B9">
        <w:rPr>
          <w:rFonts w:ascii="Times New Roman" w:hAnsi="Times New Roman" w:cs="Times New Roman"/>
          <w:sz w:val="24"/>
          <w:szCs w:val="24"/>
        </w:rPr>
        <w:t>1</w:t>
      </w:r>
      <w:r w:rsidR="00351C73">
        <w:rPr>
          <w:rFonts w:ascii="Times New Roman" w:hAnsi="Times New Roman" w:cs="Times New Roman"/>
          <w:sz w:val="24"/>
          <w:szCs w:val="24"/>
        </w:rPr>
        <w:t>.</w:t>
      </w:r>
      <w:r w:rsidR="006730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119/14</w:t>
      </w:r>
      <w:r w:rsidR="00351C73">
        <w:rPr>
          <w:rFonts w:ascii="Times New Roman" w:hAnsi="Times New Roman" w:cs="Times New Roman"/>
          <w:sz w:val="24"/>
          <w:szCs w:val="24"/>
        </w:rPr>
        <w:t xml:space="preserve">., </w:t>
      </w:r>
      <w:r w:rsidR="006730B9">
        <w:rPr>
          <w:rFonts w:ascii="Times New Roman" w:hAnsi="Times New Roman" w:cs="Times New Roman"/>
          <w:sz w:val="24"/>
          <w:szCs w:val="24"/>
        </w:rPr>
        <w:t>93/16</w:t>
      </w:r>
      <w:r w:rsidR="00352BBE">
        <w:rPr>
          <w:rFonts w:ascii="Times New Roman" w:hAnsi="Times New Roman" w:cs="Times New Roman"/>
          <w:sz w:val="24"/>
          <w:szCs w:val="24"/>
        </w:rPr>
        <w:t xml:space="preserve">., </w:t>
      </w:r>
      <w:r w:rsidR="00351C73" w:rsidRPr="00351C73">
        <w:rPr>
          <w:rFonts w:ascii="Times New Roman" w:hAnsi="Times New Roman" w:cs="Times New Roman"/>
          <w:sz w:val="24"/>
          <w:szCs w:val="24"/>
        </w:rPr>
        <w:t>116/18</w:t>
      </w:r>
      <w:r w:rsidR="006720ED">
        <w:rPr>
          <w:rFonts w:ascii="Times New Roman" w:hAnsi="Times New Roman" w:cs="Times New Roman"/>
          <w:sz w:val="24"/>
          <w:szCs w:val="24"/>
        </w:rPr>
        <w:t>.</w:t>
      </w:r>
      <w:r w:rsidR="006C0E19">
        <w:rPr>
          <w:rFonts w:ascii="Times New Roman" w:hAnsi="Times New Roman" w:cs="Times New Roman"/>
          <w:sz w:val="24"/>
          <w:szCs w:val="24"/>
        </w:rPr>
        <w:t>,</w:t>
      </w:r>
      <w:r w:rsidR="00352BBE">
        <w:rPr>
          <w:rFonts w:ascii="Times New Roman" w:hAnsi="Times New Roman" w:cs="Times New Roman"/>
          <w:sz w:val="24"/>
          <w:szCs w:val="24"/>
        </w:rPr>
        <w:t xml:space="preserve"> 82/22.</w:t>
      </w:r>
      <w:r w:rsidR="006C0E19">
        <w:rPr>
          <w:rFonts w:ascii="Times New Roman" w:hAnsi="Times New Roman" w:cs="Times New Roman"/>
          <w:sz w:val="24"/>
          <w:szCs w:val="24"/>
        </w:rPr>
        <w:t xml:space="preserve"> i 78/24.</w:t>
      </w:r>
      <w:r w:rsidR="00920F5E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Vlada Republike Hrvatske je na sjednici održanoj</w:t>
      </w:r>
      <w:r w:rsidR="00B542AC">
        <w:rPr>
          <w:rFonts w:ascii="Times New Roman" w:hAnsi="Times New Roman" w:cs="Times New Roman"/>
          <w:sz w:val="24"/>
          <w:szCs w:val="24"/>
        </w:rPr>
        <w:t xml:space="preserve"> </w:t>
      </w:r>
      <w:r w:rsidR="00806BB9">
        <w:rPr>
          <w:rFonts w:ascii="Times New Roman" w:hAnsi="Times New Roman" w:cs="Times New Roman"/>
          <w:sz w:val="24"/>
          <w:szCs w:val="24"/>
        </w:rPr>
        <w:t>________</w:t>
      </w:r>
      <w:r w:rsidR="00F801BB">
        <w:rPr>
          <w:rFonts w:ascii="Times New Roman" w:hAnsi="Times New Roman" w:cs="Times New Roman"/>
          <w:sz w:val="24"/>
          <w:szCs w:val="24"/>
        </w:rPr>
        <w:t>__</w:t>
      </w:r>
      <w:r w:rsidR="00B542AC">
        <w:rPr>
          <w:rFonts w:ascii="Times New Roman" w:hAnsi="Times New Roman" w:cs="Times New Roman"/>
          <w:sz w:val="24"/>
          <w:szCs w:val="24"/>
        </w:rPr>
        <w:t xml:space="preserve"> 202</w:t>
      </w:r>
      <w:r w:rsidR="006C0E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donijela</w:t>
      </w:r>
    </w:p>
    <w:p w14:paraId="3950DD68" w14:textId="77777777" w:rsidR="00546B3D" w:rsidRDefault="00546B3D" w:rsidP="00F8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0DD69" w14:textId="5B101FE1" w:rsidR="008A4E5A" w:rsidRDefault="008A4E5A" w:rsidP="00F8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3EE21" w14:textId="77777777" w:rsidR="00F801BB" w:rsidRDefault="00F801BB" w:rsidP="00F8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0DD6A" w14:textId="77777777" w:rsidR="006E0AD4" w:rsidRDefault="006E0AD4" w:rsidP="00F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0DD6B" w14:textId="77777777" w:rsidR="006E0AD4" w:rsidRDefault="006E0AD4" w:rsidP="00F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0DD6C" w14:textId="1D2784F6" w:rsidR="00546B3D" w:rsidRDefault="00546B3D" w:rsidP="00F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K L</w:t>
      </w:r>
      <w:r w:rsidR="00B06E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 U Č A K</w:t>
      </w:r>
    </w:p>
    <w:p w14:paraId="3950DD6D" w14:textId="77777777" w:rsidR="008A4E5A" w:rsidRDefault="008A4E5A" w:rsidP="00F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0DD6E" w14:textId="77777777" w:rsidR="008A4E5A" w:rsidRPr="00984A3D" w:rsidRDefault="008A4E5A" w:rsidP="00F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0DD6F" w14:textId="77777777" w:rsidR="00546B3D" w:rsidRPr="00984A3D" w:rsidRDefault="00546B3D" w:rsidP="00F8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0DD70" w14:textId="21202EF0" w:rsidR="006E0AD4" w:rsidRDefault="006E0AD4" w:rsidP="00F801B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B55E43" w14:textId="77777777" w:rsidR="00F801BB" w:rsidRDefault="00F801BB" w:rsidP="00F801B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50DD71" w14:textId="11562112" w:rsidR="00984A3D" w:rsidRPr="006E0AD4" w:rsidRDefault="00DF02D8" w:rsidP="00F801BB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0AD4">
        <w:rPr>
          <w:rFonts w:ascii="Times New Roman" w:hAnsi="Times New Roman" w:cs="Times New Roman"/>
          <w:sz w:val="24"/>
          <w:szCs w:val="24"/>
        </w:rPr>
        <w:t xml:space="preserve">Daje </w:t>
      </w:r>
      <w:r w:rsidR="00546B3D" w:rsidRPr="006E0AD4">
        <w:rPr>
          <w:rFonts w:ascii="Times New Roman" w:hAnsi="Times New Roman" w:cs="Times New Roman"/>
          <w:sz w:val="24"/>
          <w:szCs w:val="24"/>
        </w:rPr>
        <w:t xml:space="preserve">se prethodna suglasnost predstavniku Vlade Republike Hrvatske za prihvaćanje </w:t>
      </w:r>
      <w:r w:rsidR="00984A3D" w:rsidRPr="006E0AD4">
        <w:rPr>
          <w:rFonts w:ascii="Times New Roman" w:hAnsi="Times New Roman" w:cs="Times New Roman"/>
          <w:sz w:val="24"/>
          <w:szCs w:val="24"/>
        </w:rPr>
        <w:t xml:space="preserve">amandmana </w:t>
      </w:r>
      <w:r w:rsidR="00161EC2">
        <w:rPr>
          <w:rFonts w:ascii="Times New Roman" w:hAnsi="Times New Roman" w:cs="Times New Roman"/>
          <w:sz w:val="24"/>
          <w:szCs w:val="24"/>
        </w:rPr>
        <w:t>Ivan</w:t>
      </w:r>
      <w:r w:rsidR="00F801BB">
        <w:rPr>
          <w:rFonts w:ascii="Times New Roman" w:hAnsi="Times New Roman" w:cs="Times New Roman"/>
          <w:sz w:val="24"/>
          <w:szCs w:val="24"/>
        </w:rPr>
        <w:t>a</w:t>
      </w:r>
      <w:r w:rsidR="00161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BB">
        <w:rPr>
          <w:rFonts w:ascii="Times New Roman" w:hAnsi="Times New Roman" w:cs="Times New Roman"/>
          <w:sz w:val="24"/>
          <w:szCs w:val="24"/>
        </w:rPr>
        <w:t>Dab</w:t>
      </w:r>
      <w:r w:rsidR="00F801B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801BB">
        <w:rPr>
          <w:rFonts w:ascii="Times New Roman" w:hAnsi="Times New Roman" w:cs="Times New Roman"/>
          <w:sz w:val="24"/>
          <w:szCs w:val="24"/>
        </w:rPr>
        <w:t>, zastupnika</w:t>
      </w:r>
      <w:r w:rsidR="00F801BB">
        <w:rPr>
          <w:rFonts w:ascii="Times New Roman" w:hAnsi="Times New Roman" w:cs="Times New Roman"/>
          <w:sz w:val="24"/>
          <w:szCs w:val="24"/>
        </w:rPr>
        <w:t xml:space="preserve"> </w:t>
      </w:r>
      <w:r w:rsidR="00161EC2">
        <w:rPr>
          <w:rFonts w:ascii="Times New Roman" w:hAnsi="Times New Roman" w:cs="Times New Roman"/>
          <w:sz w:val="24"/>
          <w:szCs w:val="24"/>
        </w:rPr>
        <w:t>u Hrvatskome saboru</w:t>
      </w:r>
      <w:r w:rsidR="00F801BB">
        <w:rPr>
          <w:rFonts w:ascii="Times New Roman" w:hAnsi="Times New Roman" w:cs="Times New Roman"/>
          <w:sz w:val="24"/>
          <w:szCs w:val="24"/>
        </w:rPr>
        <w:t>,</w:t>
      </w:r>
      <w:r w:rsidR="006C0E19">
        <w:rPr>
          <w:rFonts w:ascii="Times New Roman" w:hAnsi="Times New Roman" w:cs="Times New Roman"/>
          <w:sz w:val="24"/>
          <w:szCs w:val="24"/>
        </w:rPr>
        <w:t xml:space="preserve"> </w:t>
      </w:r>
      <w:r w:rsidR="00F801BB">
        <w:rPr>
          <w:rFonts w:ascii="Times New Roman" w:hAnsi="Times New Roman" w:cs="Times New Roman"/>
          <w:sz w:val="24"/>
          <w:szCs w:val="24"/>
        </w:rPr>
        <w:t xml:space="preserve">od </w:t>
      </w:r>
      <w:r w:rsidR="006C0E19">
        <w:rPr>
          <w:rFonts w:ascii="Times New Roman" w:hAnsi="Times New Roman" w:cs="Times New Roman"/>
          <w:sz w:val="24"/>
          <w:szCs w:val="24"/>
        </w:rPr>
        <w:t>6</w:t>
      </w:r>
      <w:r w:rsidR="006E0AD4" w:rsidRPr="00984A3D">
        <w:rPr>
          <w:rFonts w:ascii="Times New Roman" w:hAnsi="Times New Roman" w:cs="Times New Roman"/>
          <w:sz w:val="24"/>
          <w:szCs w:val="24"/>
        </w:rPr>
        <w:t xml:space="preserve">. </w:t>
      </w:r>
      <w:r w:rsidR="006C0E19">
        <w:rPr>
          <w:rFonts w:ascii="Times New Roman" w:hAnsi="Times New Roman" w:cs="Times New Roman"/>
          <w:sz w:val="24"/>
          <w:szCs w:val="24"/>
        </w:rPr>
        <w:t>prosinca 2024</w:t>
      </w:r>
      <w:r w:rsidR="006924DB">
        <w:rPr>
          <w:rFonts w:ascii="Times New Roman" w:hAnsi="Times New Roman" w:cs="Times New Roman"/>
          <w:sz w:val="24"/>
          <w:szCs w:val="24"/>
        </w:rPr>
        <w:t>.</w:t>
      </w:r>
      <w:r w:rsidR="00C50BC6">
        <w:rPr>
          <w:rFonts w:ascii="Times New Roman" w:hAnsi="Times New Roman" w:cs="Times New Roman"/>
          <w:sz w:val="24"/>
          <w:szCs w:val="24"/>
        </w:rPr>
        <w:t>,</w:t>
      </w:r>
      <w:r w:rsidR="006924DB">
        <w:rPr>
          <w:rFonts w:ascii="Times New Roman" w:hAnsi="Times New Roman" w:cs="Times New Roman"/>
          <w:sz w:val="24"/>
          <w:szCs w:val="24"/>
        </w:rPr>
        <w:t xml:space="preserve"> </w:t>
      </w:r>
      <w:r w:rsidR="006E0AD4">
        <w:rPr>
          <w:rFonts w:ascii="Times New Roman" w:hAnsi="Times New Roman" w:cs="Times New Roman"/>
          <w:sz w:val="24"/>
          <w:szCs w:val="24"/>
        </w:rPr>
        <w:t>na</w:t>
      </w:r>
      <w:r w:rsidR="006E0AD4" w:rsidRPr="006E0AD4">
        <w:rPr>
          <w:rFonts w:ascii="Times New Roman" w:hAnsi="Times New Roman" w:cs="Times New Roman"/>
          <w:sz w:val="24"/>
          <w:szCs w:val="24"/>
        </w:rPr>
        <w:t xml:space="preserve"> </w:t>
      </w:r>
      <w:r w:rsidR="00F801BB">
        <w:rPr>
          <w:rFonts w:ascii="Times New Roman" w:hAnsi="Times New Roman" w:cs="Times New Roman"/>
          <w:sz w:val="24"/>
          <w:szCs w:val="24"/>
        </w:rPr>
        <w:t>Konačni p</w:t>
      </w:r>
      <w:r w:rsidR="00F801BB">
        <w:rPr>
          <w:rFonts w:ascii="Times New Roman" w:hAnsi="Times New Roman" w:cs="Times New Roman"/>
          <w:sz w:val="24"/>
          <w:szCs w:val="24"/>
        </w:rPr>
        <w:t xml:space="preserve">rijedlog </w:t>
      </w:r>
      <w:r w:rsidR="006C0E19">
        <w:rPr>
          <w:rFonts w:ascii="Times New Roman" w:hAnsi="Times New Roman" w:cs="Times New Roman"/>
          <w:sz w:val="24"/>
          <w:szCs w:val="24"/>
        </w:rPr>
        <w:t>zakona o izmjenama i dopunama Zakona o ugostiteljskoj djelatnosti.</w:t>
      </w:r>
    </w:p>
    <w:p w14:paraId="3950DD72" w14:textId="77777777" w:rsidR="006E0AD4" w:rsidRPr="00984A3D" w:rsidRDefault="006E0AD4" w:rsidP="00F8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0DD73" w14:textId="77777777" w:rsidR="000A7018" w:rsidRPr="00984A3D" w:rsidRDefault="000A7018" w:rsidP="00F8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0DD74" w14:textId="77777777" w:rsidR="006E0AD4" w:rsidRDefault="006E0AD4" w:rsidP="008A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0DD76" w14:textId="53F1EBA5" w:rsidR="006E0AD4" w:rsidRDefault="006E0AD4" w:rsidP="008A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0DD77" w14:textId="77777777" w:rsidR="00546B3D" w:rsidRDefault="00F81F53" w:rsidP="008A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3950DD78" w14:textId="77777777" w:rsidR="00546B3D" w:rsidRDefault="00F81F53" w:rsidP="008A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3950DD79" w14:textId="77777777" w:rsidR="00F81F53" w:rsidRDefault="00F81F53" w:rsidP="008A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0DD7A" w14:textId="77777777" w:rsidR="00546B3D" w:rsidRDefault="00546B3D" w:rsidP="008A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</w:p>
    <w:p w14:paraId="3950DD7B" w14:textId="02EA0B10" w:rsidR="00546B3D" w:rsidRDefault="00546B3D" w:rsidP="008A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70A6D" w14:textId="7417D87B" w:rsidR="00F801BB" w:rsidRDefault="00F801BB" w:rsidP="008A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8D234" w14:textId="4AEE2F91" w:rsidR="00F801BB" w:rsidRDefault="00F801BB" w:rsidP="008A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3B7DA" w14:textId="77777777" w:rsidR="00F801BB" w:rsidRDefault="00F801BB" w:rsidP="008A4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0DD7C" w14:textId="77777777" w:rsidR="00170095" w:rsidRPr="00F801BB" w:rsidRDefault="00546B3D" w:rsidP="00F801B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1BB">
        <w:rPr>
          <w:rFonts w:ascii="Times New Roman" w:hAnsi="Times New Roman" w:cs="Times New Roman"/>
          <w:sz w:val="24"/>
          <w:szCs w:val="24"/>
        </w:rPr>
        <w:t>PREDSJEDNIK</w:t>
      </w:r>
    </w:p>
    <w:p w14:paraId="0A0D2228" w14:textId="5AA97C8E" w:rsidR="00F801BB" w:rsidRDefault="00F801BB" w:rsidP="00F8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C2DA7" w14:textId="77777777" w:rsidR="00F801BB" w:rsidRDefault="00F801BB" w:rsidP="00F8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0DD7D" w14:textId="060507E9" w:rsidR="00546B3D" w:rsidRPr="00F801BB" w:rsidRDefault="001A4986" w:rsidP="00F8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BB">
        <w:rPr>
          <w:rFonts w:ascii="Times New Roman" w:hAnsi="Times New Roman" w:cs="Times New Roman"/>
          <w:sz w:val="24"/>
          <w:szCs w:val="24"/>
        </w:rPr>
        <w:t xml:space="preserve">   </w:t>
      </w:r>
      <w:r w:rsidRPr="00F801BB">
        <w:rPr>
          <w:rFonts w:ascii="Times New Roman" w:hAnsi="Times New Roman" w:cs="Times New Roman"/>
          <w:sz w:val="24"/>
          <w:szCs w:val="24"/>
        </w:rPr>
        <w:tab/>
      </w:r>
      <w:r w:rsidRPr="00F801BB">
        <w:rPr>
          <w:rFonts w:ascii="Times New Roman" w:hAnsi="Times New Roman" w:cs="Times New Roman"/>
          <w:sz w:val="24"/>
          <w:szCs w:val="24"/>
        </w:rPr>
        <w:tab/>
      </w:r>
      <w:r w:rsidRPr="00F801BB">
        <w:rPr>
          <w:rFonts w:ascii="Times New Roman" w:hAnsi="Times New Roman" w:cs="Times New Roman"/>
          <w:sz w:val="24"/>
          <w:szCs w:val="24"/>
        </w:rPr>
        <w:tab/>
      </w:r>
      <w:r w:rsidRPr="00F801BB">
        <w:rPr>
          <w:rFonts w:ascii="Times New Roman" w:hAnsi="Times New Roman" w:cs="Times New Roman"/>
          <w:sz w:val="24"/>
          <w:szCs w:val="24"/>
        </w:rPr>
        <w:tab/>
      </w:r>
      <w:r w:rsidRPr="00F801BB">
        <w:rPr>
          <w:rFonts w:ascii="Times New Roman" w:hAnsi="Times New Roman" w:cs="Times New Roman"/>
          <w:sz w:val="24"/>
          <w:szCs w:val="24"/>
        </w:rPr>
        <w:tab/>
      </w:r>
      <w:r w:rsidRPr="00F801BB">
        <w:rPr>
          <w:rFonts w:ascii="Times New Roman" w:hAnsi="Times New Roman" w:cs="Times New Roman"/>
          <w:sz w:val="24"/>
          <w:szCs w:val="24"/>
        </w:rPr>
        <w:tab/>
      </w:r>
      <w:r w:rsidRPr="00F801BB">
        <w:rPr>
          <w:rFonts w:ascii="Times New Roman" w:hAnsi="Times New Roman" w:cs="Times New Roman"/>
          <w:sz w:val="24"/>
          <w:szCs w:val="24"/>
        </w:rPr>
        <w:tab/>
      </w:r>
      <w:r w:rsidRPr="00F801BB">
        <w:rPr>
          <w:rFonts w:ascii="Times New Roman" w:hAnsi="Times New Roman" w:cs="Times New Roman"/>
          <w:sz w:val="24"/>
          <w:szCs w:val="24"/>
        </w:rPr>
        <w:tab/>
      </w:r>
      <w:r w:rsidR="0041749B" w:rsidRPr="00F801BB">
        <w:rPr>
          <w:rFonts w:ascii="Times New Roman" w:hAnsi="Times New Roman" w:cs="Times New Roman"/>
          <w:sz w:val="24"/>
          <w:szCs w:val="24"/>
        </w:rPr>
        <w:t xml:space="preserve">      mr. </w:t>
      </w:r>
      <w:proofErr w:type="spellStart"/>
      <w:r w:rsidR="0041749B" w:rsidRPr="00F801BB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41749B" w:rsidRPr="00F801BB">
        <w:rPr>
          <w:rFonts w:ascii="Times New Roman" w:hAnsi="Times New Roman" w:cs="Times New Roman"/>
          <w:sz w:val="24"/>
          <w:szCs w:val="24"/>
        </w:rPr>
        <w:t xml:space="preserve">. </w:t>
      </w:r>
      <w:r w:rsidRPr="00F801BB">
        <w:rPr>
          <w:rFonts w:ascii="Times New Roman" w:hAnsi="Times New Roman" w:cs="Times New Roman"/>
          <w:sz w:val="24"/>
          <w:szCs w:val="24"/>
        </w:rPr>
        <w:t>Andrej Plenković</w:t>
      </w:r>
    </w:p>
    <w:p w14:paraId="3950DD7E" w14:textId="77777777" w:rsidR="00546B3D" w:rsidRPr="00F801BB" w:rsidRDefault="00546B3D" w:rsidP="00F8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0DD7F" w14:textId="77777777" w:rsidR="00F167A3" w:rsidRPr="00F801BB" w:rsidRDefault="00F167A3" w:rsidP="00F8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0DD80" w14:textId="6F6CAC4B" w:rsidR="004B3989" w:rsidRDefault="004B3989" w:rsidP="00F8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A9BA1" w14:textId="2B6F836B" w:rsidR="00F801BB" w:rsidRDefault="00F801BB" w:rsidP="00F8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163FA" w14:textId="6635724B" w:rsidR="00A245ED" w:rsidRDefault="00A245ED" w:rsidP="00F8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E867B" w14:textId="4A29F15A" w:rsidR="00A245ED" w:rsidRDefault="00A245ED" w:rsidP="00F8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CED46" w14:textId="5EC77FA1" w:rsidR="00A245ED" w:rsidRDefault="00A245ED" w:rsidP="00F8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81E3A" w14:textId="692C6FA2" w:rsidR="00A245ED" w:rsidRDefault="00A245ED" w:rsidP="00F8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38E83" w14:textId="313F30AD" w:rsidR="00A245ED" w:rsidRDefault="00A245ED" w:rsidP="00F8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B24B4" w14:textId="57FBEEA5" w:rsidR="00A245ED" w:rsidRDefault="00A245ED" w:rsidP="00F8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F274D" w14:textId="35939C60" w:rsidR="00A245ED" w:rsidRDefault="00A245ED" w:rsidP="00F8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75268" w14:textId="77777777" w:rsidR="00A245ED" w:rsidRDefault="00A245ED" w:rsidP="00A2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2DBD3" w14:textId="3D947633" w:rsidR="00A245ED" w:rsidRDefault="00A245ED" w:rsidP="00A2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45ED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12B179A5" w14:textId="77777777" w:rsidR="00A245ED" w:rsidRPr="00A245ED" w:rsidRDefault="00A245ED" w:rsidP="00A2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0DD89" w14:textId="001F9297" w:rsidR="006E0AD4" w:rsidRDefault="006E0AD4" w:rsidP="006E0AD4">
      <w:pPr>
        <w:pStyle w:val="box46720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</w:rPr>
      </w:pPr>
      <w:r>
        <w:rPr>
          <w:bCs/>
        </w:rPr>
        <w:t>Temeljem članka 196. Poslovnika Hrvatsk</w:t>
      </w:r>
      <w:r w:rsidR="00170095">
        <w:rPr>
          <w:bCs/>
        </w:rPr>
        <w:t>og sabora</w:t>
      </w:r>
      <w:r w:rsidR="006C0E19">
        <w:rPr>
          <w:bCs/>
        </w:rPr>
        <w:t xml:space="preserve"> („Narodne  novine“ br.81/13., 113/16., 69/17., 29/18., 53/20., 119/20., 123/20. i 86/</w:t>
      </w:r>
      <w:r w:rsidR="006C0E19" w:rsidRPr="006C0E19">
        <w:rPr>
          <w:bCs/>
        </w:rPr>
        <w:t>23</w:t>
      </w:r>
      <w:r w:rsidR="006C0E19">
        <w:rPr>
          <w:bCs/>
        </w:rPr>
        <w:t>.</w:t>
      </w:r>
      <w:r w:rsidR="00EA4A96">
        <w:rPr>
          <w:bCs/>
        </w:rPr>
        <w:t>)</w:t>
      </w:r>
      <w:r w:rsidR="00170095">
        <w:rPr>
          <w:bCs/>
        </w:rPr>
        <w:t xml:space="preserve">, </w:t>
      </w:r>
      <w:r w:rsidR="00656D63">
        <w:rPr>
          <w:bCs/>
        </w:rPr>
        <w:t xml:space="preserve">zastupnik Ivan </w:t>
      </w:r>
      <w:proofErr w:type="spellStart"/>
      <w:r w:rsidR="00656D63">
        <w:rPr>
          <w:bCs/>
        </w:rPr>
        <w:t>Dabo</w:t>
      </w:r>
      <w:proofErr w:type="spellEnd"/>
      <w:r w:rsidR="00656D63">
        <w:rPr>
          <w:bCs/>
        </w:rPr>
        <w:t xml:space="preserve"> </w:t>
      </w:r>
      <w:r>
        <w:rPr>
          <w:bCs/>
        </w:rPr>
        <w:t>podnio je amandman</w:t>
      </w:r>
      <w:r w:rsidR="0034105A">
        <w:rPr>
          <w:bCs/>
        </w:rPr>
        <w:t xml:space="preserve"> na članak </w:t>
      </w:r>
      <w:r w:rsidR="006C0E19">
        <w:rPr>
          <w:bCs/>
        </w:rPr>
        <w:t>4. kojim se iza članka 30. dodaje naslov iznad članka i članak 30.a</w:t>
      </w:r>
      <w:r w:rsidR="00C50BC6">
        <w:rPr>
          <w:bCs/>
        </w:rPr>
        <w:t xml:space="preserve">. </w:t>
      </w:r>
    </w:p>
    <w:p w14:paraId="0672BDBD" w14:textId="3A82E2EB" w:rsidR="00C50BC6" w:rsidRDefault="00C50BC6" w:rsidP="006E0AD4">
      <w:pPr>
        <w:pStyle w:val="box46720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</w:rPr>
      </w:pPr>
    </w:p>
    <w:p w14:paraId="4A4820CB" w14:textId="7B919241" w:rsidR="00C50BC6" w:rsidRDefault="00C50BC6" w:rsidP="006E0AD4">
      <w:pPr>
        <w:pStyle w:val="box46720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</w:rPr>
      </w:pPr>
      <w:r>
        <w:rPr>
          <w:bCs/>
        </w:rPr>
        <w:t>Predloženim amandmanom u stavku 1. navedenog članka kojim se uređuje pojam domaćina,</w:t>
      </w:r>
      <w:r w:rsidRPr="00C50BC6">
        <w:rPr>
          <w:bCs/>
        </w:rPr>
        <w:t xml:space="preserve"> iza riječi „jedinice područne (regionalne) samouprave“, dodaju se riječi „ ili otoku Pagu “.</w:t>
      </w:r>
    </w:p>
    <w:p w14:paraId="5976B822" w14:textId="77777777" w:rsidR="00C50BC6" w:rsidRDefault="00C50BC6" w:rsidP="006E0AD4">
      <w:pPr>
        <w:pStyle w:val="box46720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</w:rPr>
      </w:pPr>
    </w:p>
    <w:p w14:paraId="652607C4" w14:textId="7F114E8D" w:rsidR="00C50BC6" w:rsidRDefault="00C50BC6" w:rsidP="00C50BC6">
      <w:pPr>
        <w:jc w:val="both"/>
        <w:rPr>
          <w:rFonts w:ascii="Times New Roman" w:hAnsi="Times New Roman" w:cs="Times New Roman"/>
          <w:sz w:val="24"/>
          <w:szCs w:val="24"/>
        </w:rPr>
      </w:pPr>
      <w:r w:rsidRPr="008533AC">
        <w:rPr>
          <w:rFonts w:ascii="Times New Roman" w:hAnsi="Times New Roman" w:cs="Times New Roman"/>
          <w:sz w:val="24"/>
          <w:szCs w:val="24"/>
        </w:rPr>
        <w:t>Otok Pag je jedini otok na području Republike Hrvatske koji se sukladno Zakonu o području županija, gradova i općina Republike Hrvatske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br. 125/06., 16/07., 95/08., 46/10., 145/10., 37/13., 44/13., 45/13. i 110/</w:t>
      </w:r>
      <w:r w:rsidRPr="008533A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.), </w:t>
      </w:r>
      <w:r w:rsidRPr="008533AC">
        <w:rPr>
          <w:rFonts w:ascii="Times New Roman" w:hAnsi="Times New Roman" w:cs="Times New Roman"/>
          <w:sz w:val="24"/>
          <w:szCs w:val="24"/>
        </w:rPr>
        <w:t xml:space="preserve">teritorijalno prostire na područjima dviju jedinica područne (regionalne) samouprave, i to Ličko senjske i Zadarske županije. </w:t>
      </w:r>
      <w:r w:rsidRPr="00D0206C">
        <w:rPr>
          <w:rFonts w:ascii="Times New Roman" w:hAnsi="Times New Roman" w:cs="Times New Roman"/>
          <w:sz w:val="24"/>
          <w:szCs w:val="24"/>
        </w:rPr>
        <w:t>Sjeverni dio otoka (Grad Novalja) nalazi se u Ličko-senjskoj, a južni (Grad Pag, Općina Kolan i Općina Povljana) u Zadarskoj županiji.</w:t>
      </w:r>
    </w:p>
    <w:p w14:paraId="7F04CA8F" w14:textId="77777777" w:rsidR="00C50BC6" w:rsidRDefault="00C50BC6" w:rsidP="00C50B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Zakonom o regionalnom razvoju Republike Hrvatske  („Narodne novine“ br. 147/</w:t>
      </w:r>
      <w:r w:rsidRPr="00371647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>., 123/</w:t>
      </w:r>
      <w:r w:rsidRPr="00371647">
        <w:rPr>
          <w:rFonts w:ascii="Times New Roman" w:hAnsi="Times New Roman" w:cs="Times New Roman"/>
          <w:bCs/>
          <w:sz w:val="24"/>
          <w:szCs w:val="24"/>
        </w:rPr>
        <w:t>17</w:t>
      </w:r>
      <w:r>
        <w:rPr>
          <w:rFonts w:ascii="Times New Roman" w:hAnsi="Times New Roman" w:cs="Times New Roman"/>
          <w:bCs/>
          <w:sz w:val="24"/>
          <w:szCs w:val="24"/>
        </w:rPr>
        <w:t>. i 118/</w:t>
      </w:r>
      <w:r w:rsidRPr="00371647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>.)</w:t>
      </w:r>
      <w:r w:rsidRPr="0037164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otoci su u svrhu prevladavanja razvojnih ograničenja odnosno posebnosti s kojima se suočavaju, proglašeni područjima s razvojnim posebnostima čija se razvojna politika i upravljanje razvojem uređuju posebnim zakonima. </w:t>
      </w:r>
    </w:p>
    <w:p w14:paraId="75DBC06A" w14:textId="1D4583CD" w:rsidR="00C50BC6" w:rsidRPr="0037246F" w:rsidRDefault="00C50BC6" w:rsidP="00C50B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46F">
        <w:rPr>
          <w:rFonts w:ascii="Times New Roman" w:hAnsi="Times New Roman" w:cs="Times New Roman"/>
          <w:bCs/>
          <w:sz w:val="24"/>
          <w:szCs w:val="24"/>
        </w:rPr>
        <w:t xml:space="preserve">Sukladno </w:t>
      </w:r>
      <w:r>
        <w:rPr>
          <w:rFonts w:ascii="Times New Roman" w:hAnsi="Times New Roman" w:cs="Times New Roman"/>
          <w:bCs/>
          <w:sz w:val="24"/>
          <w:szCs w:val="24"/>
        </w:rPr>
        <w:t>odredbama</w:t>
      </w:r>
      <w:r w:rsidR="00F801BB">
        <w:rPr>
          <w:rFonts w:ascii="Times New Roman" w:hAnsi="Times New Roman" w:cs="Times New Roman"/>
          <w:bCs/>
          <w:sz w:val="24"/>
          <w:szCs w:val="24"/>
        </w:rPr>
        <w:t xml:space="preserve"> Zakona o otocima </w:t>
      </w:r>
      <w:r w:rsidRPr="0037246F">
        <w:rPr>
          <w:rFonts w:ascii="Times New Roman" w:hAnsi="Times New Roman" w:cs="Times New Roman"/>
          <w:bCs/>
          <w:sz w:val="24"/>
          <w:szCs w:val="24"/>
        </w:rPr>
        <w:t>(</w:t>
      </w:r>
      <w:r w:rsidR="00F801BB" w:rsidRPr="0037246F">
        <w:rPr>
          <w:rFonts w:ascii="Times New Roman" w:hAnsi="Times New Roman" w:cs="Times New Roman"/>
          <w:bCs/>
          <w:sz w:val="24"/>
          <w:szCs w:val="24"/>
        </w:rPr>
        <w:t>„</w:t>
      </w:r>
      <w:r w:rsidRPr="0037246F">
        <w:rPr>
          <w:rFonts w:ascii="Times New Roman" w:hAnsi="Times New Roman" w:cs="Times New Roman"/>
          <w:bCs/>
          <w:sz w:val="24"/>
          <w:szCs w:val="24"/>
        </w:rPr>
        <w:t>Narodne novine“ br. 116/18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7246F">
        <w:rPr>
          <w:rFonts w:ascii="Times New Roman" w:hAnsi="Times New Roman" w:cs="Times New Roman"/>
          <w:bCs/>
          <w:sz w:val="24"/>
          <w:szCs w:val="24"/>
        </w:rPr>
        <w:t>, 73/20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7246F">
        <w:rPr>
          <w:rFonts w:ascii="Times New Roman" w:hAnsi="Times New Roman" w:cs="Times New Roman"/>
          <w:bCs/>
          <w:sz w:val="24"/>
          <w:szCs w:val="24"/>
        </w:rPr>
        <w:t>, 133/20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7246F">
        <w:rPr>
          <w:rFonts w:ascii="Times New Roman" w:hAnsi="Times New Roman" w:cs="Times New Roman"/>
          <w:bCs/>
          <w:sz w:val="24"/>
          <w:szCs w:val="24"/>
        </w:rPr>
        <w:t xml:space="preserve"> i 70/21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7246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7246F">
        <w:rPr>
          <w:rFonts w:ascii="Times New Roman" w:hAnsi="Times New Roman" w:cs="Times New Roman"/>
          <w:bCs/>
          <w:sz w:val="24"/>
          <w:szCs w:val="24"/>
        </w:rPr>
        <w:t xml:space="preserve"> o</w:t>
      </w:r>
      <w:r>
        <w:rPr>
          <w:rFonts w:ascii="Times New Roman" w:hAnsi="Times New Roman" w:cs="Times New Roman"/>
          <w:bCs/>
          <w:sz w:val="24"/>
          <w:szCs w:val="24"/>
        </w:rPr>
        <w:t>tocima</w:t>
      </w:r>
      <w:r w:rsidRPr="0037246F">
        <w:rPr>
          <w:rFonts w:ascii="Times New Roman" w:hAnsi="Times New Roman" w:cs="Times New Roman"/>
          <w:bCs/>
          <w:sz w:val="24"/>
          <w:szCs w:val="24"/>
        </w:rPr>
        <w:t xml:space="preserve"> Republike Hrvatske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372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područjima</w:t>
      </w:r>
      <w:r w:rsidRPr="0037246F">
        <w:rPr>
          <w:rFonts w:ascii="Times New Roman" w:hAnsi="Times New Roman" w:cs="Times New Roman"/>
          <w:bCs/>
          <w:sz w:val="24"/>
          <w:szCs w:val="24"/>
        </w:rPr>
        <w:t xml:space="preserve"> s razvojnim posebnostima se određuje poseban planski i programski pristup nositelja politike područnog (regionalnog) i otočnog razvoja.</w:t>
      </w:r>
    </w:p>
    <w:p w14:paraId="0A719514" w14:textId="77777777" w:rsidR="00C50BC6" w:rsidRPr="008533AC" w:rsidRDefault="00C50BC6" w:rsidP="00C50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Uzimajući u obzir navedeno, r</w:t>
      </w:r>
      <w:r w:rsidRPr="008533AC">
        <w:rPr>
          <w:rFonts w:ascii="Times New Roman" w:hAnsi="Times New Roman" w:cs="Times New Roman"/>
          <w:sz w:val="24"/>
          <w:szCs w:val="24"/>
        </w:rPr>
        <w:t xml:space="preserve">azvoj turizma kao jedne od poticajnih djelatnosti koje su od važnosti za gospodarski razvoj otoka Paga usmjeren je prema ostvarenju općih ciljeva, tj., stabilnom gospodarskom razvoju </w:t>
      </w:r>
      <w:r>
        <w:rPr>
          <w:rFonts w:ascii="Times New Roman" w:hAnsi="Times New Roman" w:cs="Times New Roman"/>
          <w:sz w:val="24"/>
          <w:szCs w:val="24"/>
        </w:rPr>
        <w:t xml:space="preserve">cijelog </w:t>
      </w:r>
      <w:r w:rsidRPr="008533AC">
        <w:rPr>
          <w:rFonts w:ascii="Times New Roman" w:hAnsi="Times New Roman" w:cs="Times New Roman"/>
          <w:sz w:val="24"/>
          <w:szCs w:val="24"/>
        </w:rPr>
        <w:t>otoka i pravednoj raspodjeli socijalnih mogućnosti za sve otočane koji prebivaju na otoku Pagu. U tom cilju terito</w:t>
      </w:r>
      <w:r>
        <w:rPr>
          <w:rFonts w:ascii="Times New Roman" w:hAnsi="Times New Roman" w:cs="Times New Roman"/>
          <w:sz w:val="24"/>
          <w:szCs w:val="24"/>
        </w:rPr>
        <w:t>rijalna podijeljenost otoka Paga</w:t>
      </w:r>
      <w:r w:rsidRPr="008533AC">
        <w:rPr>
          <w:rFonts w:ascii="Times New Roman" w:hAnsi="Times New Roman" w:cs="Times New Roman"/>
          <w:sz w:val="24"/>
          <w:szCs w:val="24"/>
        </w:rPr>
        <w:t xml:space="preserve"> reflektira se i na status domaćina u mogućnosti pružanja ugostiteljskih usluga smještaja u domaćinstvu iako je riječ o osobama koje imaju prijavljeno prebivalište na istom otoku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3AC">
        <w:rPr>
          <w:rFonts w:ascii="Times New Roman" w:hAnsi="Times New Roman" w:cs="Times New Roman"/>
          <w:sz w:val="24"/>
          <w:szCs w:val="24"/>
        </w:rPr>
        <w:t xml:space="preserve"> a teritorijalno su podijeljene na dvije jedinice područne (regionalne) samouprave s različitim sjedištima.</w:t>
      </w:r>
    </w:p>
    <w:p w14:paraId="3950DD90" w14:textId="6E449267" w:rsidR="00B11B4C" w:rsidRPr="006661CC" w:rsidRDefault="00C50BC6" w:rsidP="00C50BC6">
      <w:pPr>
        <w:jc w:val="both"/>
        <w:rPr>
          <w:rFonts w:ascii="Times New Roman" w:hAnsi="Times New Roman" w:cs="Times New Roman"/>
          <w:sz w:val="24"/>
          <w:szCs w:val="24"/>
        </w:rPr>
      </w:pPr>
      <w:r w:rsidRPr="008533AC">
        <w:rPr>
          <w:rFonts w:ascii="Times New Roman" w:hAnsi="Times New Roman" w:cs="Times New Roman"/>
          <w:sz w:val="24"/>
          <w:szCs w:val="24"/>
        </w:rPr>
        <w:t>Budući da je interes Republike Hrvatske usmjeren na osobitu zaštitu otoka te je suk</w:t>
      </w:r>
      <w:r>
        <w:rPr>
          <w:rFonts w:ascii="Times New Roman" w:hAnsi="Times New Roman" w:cs="Times New Roman"/>
          <w:sz w:val="24"/>
          <w:szCs w:val="24"/>
        </w:rPr>
        <w:t>ladno posebnim propisima razvoj</w:t>
      </w:r>
      <w:r w:rsidRPr="008533A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33AC">
        <w:rPr>
          <w:rFonts w:ascii="Times New Roman" w:hAnsi="Times New Roman" w:cs="Times New Roman"/>
          <w:sz w:val="24"/>
          <w:szCs w:val="24"/>
        </w:rPr>
        <w:t xml:space="preserve"> politika otoka usmjerena na prevladavanje ograničenja kojima su otoci podvrgnuti, to se ovim prijedlogom, a s ciljem održivog razvoja otoka Paga, domaćinom definiraju i oni iznajmljivači koji imaju prijavljeno prebivalište na otoku Pagu neovisno o teritorijalnoj pripadnosti jedinicama područne (regionalne) samouprave.</w:t>
      </w:r>
    </w:p>
    <w:p w14:paraId="3950DD91" w14:textId="7BDC1D9E" w:rsidR="006E0AD4" w:rsidRPr="00F801BB" w:rsidRDefault="00C50BC6" w:rsidP="006E0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BB">
        <w:rPr>
          <w:rFonts w:ascii="Times New Roman" w:hAnsi="Times New Roman" w:cs="Times New Roman"/>
          <w:sz w:val="24"/>
          <w:szCs w:val="24"/>
        </w:rPr>
        <w:t>S obzirom na navedeno predloženi Amandman</w:t>
      </w:r>
      <w:r w:rsidR="006E0AD4" w:rsidRPr="00F801BB">
        <w:rPr>
          <w:rFonts w:ascii="Times New Roman" w:hAnsi="Times New Roman" w:cs="Times New Roman"/>
          <w:sz w:val="24"/>
          <w:szCs w:val="24"/>
        </w:rPr>
        <w:t xml:space="preserve"> potrebno je prihvatiti, stoga se ovim Zaključkom predlaže dati suglasnost predstavniku Vlade za prihvaćanje istih.</w:t>
      </w:r>
    </w:p>
    <w:p w14:paraId="3950DD97" w14:textId="47B26BC7" w:rsidR="00DC1757" w:rsidRPr="006E0AD4" w:rsidRDefault="00DC1757" w:rsidP="004B398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C1757" w:rsidRPr="006E0AD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434D1" w14:textId="77777777" w:rsidR="0047606E" w:rsidRDefault="0047606E" w:rsidP="00546B3D">
      <w:pPr>
        <w:spacing w:after="0" w:line="240" w:lineRule="auto"/>
      </w:pPr>
      <w:r>
        <w:separator/>
      </w:r>
    </w:p>
  </w:endnote>
  <w:endnote w:type="continuationSeparator" w:id="0">
    <w:p w14:paraId="045DF1A5" w14:textId="77777777" w:rsidR="0047606E" w:rsidRDefault="0047606E" w:rsidP="0054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9A671" w14:textId="77777777" w:rsidR="0047606E" w:rsidRDefault="0047606E" w:rsidP="00546B3D">
      <w:pPr>
        <w:spacing w:after="0" w:line="240" w:lineRule="auto"/>
      </w:pPr>
      <w:r>
        <w:separator/>
      </w:r>
    </w:p>
  </w:footnote>
  <w:footnote w:type="continuationSeparator" w:id="0">
    <w:p w14:paraId="206E1D9F" w14:textId="77777777" w:rsidR="0047606E" w:rsidRDefault="0047606E" w:rsidP="0054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0DD9E" w14:textId="77777777" w:rsidR="00546B3D" w:rsidRDefault="00546B3D">
    <w:pPr>
      <w:pStyle w:val="Header"/>
    </w:pPr>
  </w:p>
  <w:p w14:paraId="3950DD9F" w14:textId="77777777" w:rsidR="00546B3D" w:rsidRDefault="00546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27F4"/>
    <w:multiLevelType w:val="hybridMultilevel"/>
    <w:tmpl w:val="A99E8630"/>
    <w:lvl w:ilvl="0" w:tplc="041A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4" w:hanging="360"/>
      </w:pPr>
    </w:lvl>
    <w:lvl w:ilvl="2" w:tplc="041A001B" w:tentative="1">
      <w:start w:val="1"/>
      <w:numFmt w:val="lowerRoman"/>
      <w:lvlText w:val="%3."/>
      <w:lvlJc w:val="right"/>
      <w:pPr>
        <w:ind w:left="1824" w:hanging="180"/>
      </w:pPr>
    </w:lvl>
    <w:lvl w:ilvl="3" w:tplc="041A000F" w:tentative="1">
      <w:start w:val="1"/>
      <w:numFmt w:val="decimal"/>
      <w:lvlText w:val="%4."/>
      <w:lvlJc w:val="left"/>
      <w:pPr>
        <w:ind w:left="2544" w:hanging="360"/>
      </w:pPr>
    </w:lvl>
    <w:lvl w:ilvl="4" w:tplc="041A0019" w:tentative="1">
      <w:start w:val="1"/>
      <w:numFmt w:val="lowerLetter"/>
      <w:lvlText w:val="%5."/>
      <w:lvlJc w:val="left"/>
      <w:pPr>
        <w:ind w:left="3264" w:hanging="360"/>
      </w:pPr>
    </w:lvl>
    <w:lvl w:ilvl="5" w:tplc="041A001B" w:tentative="1">
      <w:start w:val="1"/>
      <w:numFmt w:val="lowerRoman"/>
      <w:lvlText w:val="%6."/>
      <w:lvlJc w:val="right"/>
      <w:pPr>
        <w:ind w:left="3984" w:hanging="180"/>
      </w:pPr>
    </w:lvl>
    <w:lvl w:ilvl="6" w:tplc="041A000F" w:tentative="1">
      <w:start w:val="1"/>
      <w:numFmt w:val="decimal"/>
      <w:lvlText w:val="%7."/>
      <w:lvlJc w:val="left"/>
      <w:pPr>
        <w:ind w:left="4704" w:hanging="360"/>
      </w:pPr>
    </w:lvl>
    <w:lvl w:ilvl="7" w:tplc="041A0019" w:tentative="1">
      <w:start w:val="1"/>
      <w:numFmt w:val="lowerLetter"/>
      <w:lvlText w:val="%8."/>
      <w:lvlJc w:val="left"/>
      <w:pPr>
        <w:ind w:left="5424" w:hanging="360"/>
      </w:pPr>
    </w:lvl>
    <w:lvl w:ilvl="8" w:tplc="041A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13BA75D2"/>
    <w:multiLevelType w:val="hybridMultilevel"/>
    <w:tmpl w:val="520CECD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84EFA"/>
    <w:multiLevelType w:val="hybridMultilevel"/>
    <w:tmpl w:val="DC7ACCF6"/>
    <w:lvl w:ilvl="0" w:tplc="76AAF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BAA5DC2"/>
    <w:multiLevelType w:val="hybridMultilevel"/>
    <w:tmpl w:val="DFB6E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B564E"/>
    <w:multiLevelType w:val="hybridMultilevel"/>
    <w:tmpl w:val="7A9AE626"/>
    <w:lvl w:ilvl="0" w:tplc="2FB22A50">
      <w:start w:val="2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3D"/>
    <w:rsid w:val="000075DB"/>
    <w:rsid w:val="000406E6"/>
    <w:rsid w:val="00062631"/>
    <w:rsid w:val="00072929"/>
    <w:rsid w:val="000A58F2"/>
    <w:rsid w:val="000A7018"/>
    <w:rsid w:val="000B5C13"/>
    <w:rsid w:val="000C5873"/>
    <w:rsid w:val="000D56B4"/>
    <w:rsid w:val="00111C45"/>
    <w:rsid w:val="0011324B"/>
    <w:rsid w:val="00114A07"/>
    <w:rsid w:val="00124996"/>
    <w:rsid w:val="00161EC2"/>
    <w:rsid w:val="001635C2"/>
    <w:rsid w:val="00170095"/>
    <w:rsid w:val="001A4986"/>
    <w:rsid w:val="001B139A"/>
    <w:rsid w:val="001C1154"/>
    <w:rsid w:val="001D7BFD"/>
    <w:rsid w:val="002613B9"/>
    <w:rsid w:val="0029154D"/>
    <w:rsid w:val="002C60C7"/>
    <w:rsid w:val="002E6532"/>
    <w:rsid w:val="00320ABF"/>
    <w:rsid w:val="00325043"/>
    <w:rsid w:val="00337882"/>
    <w:rsid w:val="0034105A"/>
    <w:rsid w:val="00351C73"/>
    <w:rsid w:val="00352BBE"/>
    <w:rsid w:val="003604A3"/>
    <w:rsid w:val="00367624"/>
    <w:rsid w:val="003C3F4D"/>
    <w:rsid w:val="0041749B"/>
    <w:rsid w:val="00441002"/>
    <w:rsid w:val="00464D98"/>
    <w:rsid w:val="00465EC6"/>
    <w:rsid w:val="0047606E"/>
    <w:rsid w:val="0048575C"/>
    <w:rsid w:val="00486E59"/>
    <w:rsid w:val="004B3989"/>
    <w:rsid w:val="00546B3D"/>
    <w:rsid w:val="00581FED"/>
    <w:rsid w:val="00582654"/>
    <w:rsid w:val="005A4DE5"/>
    <w:rsid w:val="005A570C"/>
    <w:rsid w:val="005D34D3"/>
    <w:rsid w:val="005E7A55"/>
    <w:rsid w:val="00600966"/>
    <w:rsid w:val="00610182"/>
    <w:rsid w:val="006227D8"/>
    <w:rsid w:val="0064458A"/>
    <w:rsid w:val="00656D63"/>
    <w:rsid w:val="00660387"/>
    <w:rsid w:val="006620A9"/>
    <w:rsid w:val="006720ED"/>
    <w:rsid w:val="006730B9"/>
    <w:rsid w:val="00681914"/>
    <w:rsid w:val="006924DB"/>
    <w:rsid w:val="00697514"/>
    <w:rsid w:val="006B0823"/>
    <w:rsid w:val="006C0E19"/>
    <w:rsid w:val="006C2FBA"/>
    <w:rsid w:val="006E0AD4"/>
    <w:rsid w:val="006F1EA8"/>
    <w:rsid w:val="00764157"/>
    <w:rsid w:val="0079156C"/>
    <w:rsid w:val="007B0647"/>
    <w:rsid w:val="007B2B9B"/>
    <w:rsid w:val="007B4FD9"/>
    <w:rsid w:val="007E2C2F"/>
    <w:rsid w:val="00801A01"/>
    <w:rsid w:val="00806BB9"/>
    <w:rsid w:val="00807CBF"/>
    <w:rsid w:val="008222E9"/>
    <w:rsid w:val="0083079A"/>
    <w:rsid w:val="00834255"/>
    <w:rsid w:val="00837292"/>
    <w:rsid w:val="00837DA4"/>
    <w:rsid w:val="008A19C7"/>
    <w:rsid w:val="008A4E5A"/>
    <w:rsid w:val="008B0C1C"/>
    <w:rsid w:val="008E3006"/>
    <w:rsid w:val="00920F5E"/>
    <w:rsid w:val="009564B3"/>
    <w:rsid w:val="00977B67"/>
    <w:rsid w:val="00984A3D"/>
    <w:rsid w:val="009C3815"/>
    <w:rsid w:val="009E080F"/>
    <w:rsid w:val="00A207A4"/>
    <w:rsid w:val="00A245ED"/>
    <w:rsid w:val="00A35BE7"/>
    <w:rsid w:val="00A364E6"/>
    <w:rsid w:val="00A375B4"/>
    <w:rsid w:val="00A40531"/>
    <w:rsid w:val="00A84F25"/>
    <w:rsid w:val="00AB5084"/>
    <w:rsid w:val="00AD13D8"/>
    <w:rsid w:val="00B06EEC"/>
    <w:rsid w:val="00B11B4C"/>
    <w:rsid w:val="00B40462"/>
    <w:rsid w:val="00B431F6"/>
    <w:rsid w:val="00B542AC"/>
    <w:rsid w:val="00B911DF"/>
    <w:rsid w:val="00BD0B4B"/>
    <w:rsid w:val="00BE688D"/>
    <w:rsid w:val="00BF155A"/>
    <w:rsid w:val="00C13D8A"/>
    <w:rsid w:val="00C3416A"/>
    <w:rsid w:val="00C3416B"/>
    <w:rsid w:val="00C35FF4"/>
    <w:rsid w:val="00C45266"/>
    <w:rsid w:val="00C50BC6"/>
    <w:rsid w:val="00C54CA0"/>
    <w:rsid w:val="00C56E11"/>
    <w:rsid w:val="00C700A5"/>
    <w:rsid w:val="00C754BE"/>
    <w:rsid w:val="00CB513B"/>
    <w:rsid w:val="00CC3C20"/>
    <w:rsid w:val="00CD0439"/>
    <w:rsid w:val="00CD648B"/>
    <w:rsid w:val="00D02F1C"/>
    <w:rsid w:val="00D05901"/>
    <w:rsid w:val="00D37FBE"/>
    <w:rsid w:val="00D42E82"/>
    <w:rsid w:val="00D60AC7"/>
    <w:rsid w:val="00D60DA2"/>
    <w:rsid w:val="00D941B5"/>
    <w:rsid w:val="00DB2977"/>
    <w:rsid w:val="00DC1757"/>
    <w:rsid w:val="00DD6A57"/>
    <w:rsid w:val="00DF02D8"/>
    <w:rsid w:val="00EA4A96"/>
    <w:rsid w:val="00EB74D0"/>
    <w:rsid w:val="00EC4A4B"/>
    <w:rsid w:val="00F167A3"/>
    <w:rsid w:val="00F4406C"/>
    <w:rsid w:val="00F6435F"/>
    <w:rsid w:val="00F720E3"/>
    <w:rsid w:val="00F77D63"/>
    <w:rsid w:val="00F801BB"/>
    <w:rsid w:val="00F818AF"/>
    <w:rsid w:val="00F81F53"/>
    <w:rsid w:val="00F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DD48"/>
  <w15:docId w15:val="{78983163-CBCC-4865-94FD-2436E6B9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6B3D"/>
  </w:style>
  <w:style w:type="paragraph" w:styleId="Footer">
    <w:name w:val="footer"/>
    <w:basedOn w:val="Normal"/>
    <w:link w:val="FooterChar"/>
    <w:uiPriority w:val="99"/>
    <w:unhideWhenUsed/>
    <w:rsid w:val="0054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B3D"/>
  </w:style>
  <w:style w:type="paragraph" w:styleId="BalloonText">
    <w:name w:val="Balloon Text"/>
    <w:basedOn w:val="Normal"/>
    <w:link w:val="BalloonTextChar"/>
    <w:uiPriority w:val="99"/>
    <w:semiHidden/>
    <w:unhideWhenUsed/>
    <w:rsid w:val="0054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49B"/>
    <w:pPr>
      <w:ind w:left="720"/>
      <w:contextualSpacing/>
    </w:pPr>
  </w:style>
  <w:style w:type="table" w:styleId="TableGrid">
    <w:name w:val="Table Grid"/>
    <w:basedOn w:val="TableNormal"/>
    <w:rsid w:val="00C34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7207">
    <w:name w:val="box_467207"/>
    <w:basedOn w:val="Normal"/>
    <w:rsid w:val="006E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E0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8473B48657E44AF93D79BF15BA6DE" ma:contentTypeVersion="0" ma:contentTypeDescription="Create a new document." ma:contentTypeScope="" ma:versionID="19d1bbdab9000561ed6a664b320be7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16AF0-CE16-44A9-8742-C3AC3ADF9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F6BC50-62DD-45A6-94CE-682431661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1DFE4E-820C-44E5-9DDF-1C09E6A37B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Dobrić Tamara</dc:creator>
  <cp:lastModifiedBy>Sunčica Marini</cp:lastModifiedBy>
  <cp:revision>3</cp:revision>
  <cp:lastPrinted>2024-12-10T15:05:00Z</cp:lastPrinted>
  <dcterms:created xsi:type="dcterms:W3CDTF">2024-12-10T14:50:00Z</dcterms:created>
  <dcterms:modified xsi:type="dcterms:W3CDTF">2024-12-10T15:06:00Z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0x0101004E58473B48657E44AF93D79BF15BA6DE</vt:lpwstr>
  </property>
</Properties>
</file>