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E9A2" w14:textId="77777777" w:rsidR="00FC00B7" w:rsidRDefault="00FC00B7" w:rsidP="00FC00B7">
      <w:pPr>
        <w:jc w:val="right"/>
        <w:rPr>
          <w:rFonts w:ascii="Times New Roman" w:hAnsi="Times New Roman"/>
          <w:b/>
          <w:spacing w:val="22"/>
        </w:rPr>
      </w:pPr>
    </w:p>
    <w:p w14:paraId="744898CE" w14:textId="139351CF" w:rsidR="00FC00B7" w:rsidRDefault="00FC00B7" w:rsidP="00FC00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04A32DB" wp14:editId="7722F80F">
            <wp:extent cx="50800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</w:p>
    <w:p w14:paraId="201B1671" w14:textId="77777777" w:rsidR="00FC00B7" w:rsidRDefault="00FC00B7" w:rsidP="00FC00B7">
      <w:pPr>
        <w:spacing w:before="60" w:after="1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VLADA REPUBLIKE HRVATSKE</w:t>
      </w:r>
    </w:p>
    <w:p w14:paraId="4A38AD6A" w14:textId="1DE77065" w:rsidR="00FC00B7" w:rsidRDefault="00FC00B7" w:rsidP="00FC00B7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Zagreb,</w:t>
      </w:r>
      <w:r w:rsidR="00D90E13">
        <w:rPr>
          <w:rFonts w:ascii="Times New Roman" w:hAnsi="Times New Roman"/>
        </w:rPr>
        <w:t xml:space="preserve"> </w:t>
      </w:r>
      <w:r w:rsidR="002030A7">
        <w:rPr>
          <w:rFonts w:ascii="Times New Roman" w:hAnsi="Times New Roman"/>
        </w:rPr>
        <w:t>20</w:t>
      </w:r>
      <w:bookmarkStart w:id="0" w:name="_GoBack"/>
      <w:bookmarkEnd w:id="0"/>
      <w:r w:rsidR="00D90E1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prosinca 2024.</w:t>
      </w:r>
    </w:p>
    <w:p w14:paraId="7B619678" w14:textId="77777777" w:rsidR="00FC00B7" w:rsidRDefault="00FC00B7" w:rsidP="00FC00B7">
      <w:pPr>
        <w:spacing w:line="360" w:lineRule="auto"/>
        <w:rPr>
          <w:b/>
          <w:smallCaps/>
        </w:rPr>
      </w:pPr>
      <w:r>
        <w:t>___________________________________________________________________</w:t>
      </w:r>
    </w:p>
    <w:p w14:paraId="69D66710" w14:textId="77777777" w:rsidR="00FC00B7" w:rsidRDefault="00FC00B7" w:rsidP="00FC00B7">
      <w:pPr>
        <w:spacing w:line="360" w:lineRule="auto"/>
        <w:rPr>
          <w:b/>
          <w:smallCaps/>
        </w:rPr>
        <w:sectPr w:rsidR="00FC00B7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C00B7" w14:paraId="1F6913C9" w14:textId="77777777" w:rsidTr="00FC00B7">
        <w:tc>
          <w:tcPr>
            <w:tcW w:w="1951" w:type="dxa"/>
            <w:hideMark/>
          </w:tcPr>
          <w:p w14:paraId="613CB930" w14:textId="77777777" w:rsidR="00FC00B7" w:rsidRDefault="00FC00B7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Predlagatelj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7199413F" w14:textId="77777777" w:rsidR="00FC00B7" w:rsidRDefault="00FC00B7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Ministarstvo obrane</w:t>
            </w:r>
          </w:p>
        </w:tc>
      </w:tr>
    </w:tbl>
    <w:p w14:paraId="1D28D047" w14:textId="77777777" w:rsidR="00FC00B7" w:rsidRDefault="00FC00B7" w:rsidP="00FC00B7">
      <w:pPr>
        <w:spacing w:line="360" w:lineRule="auto"/>
        <w:rPr>
          <w:rFonts w:ascii="Times New Roman" w:eastAsia="Arial Unicode MS" w:hAnsi="Times New Roman"/>
          <w:color w:val="000000"/>
          <w:sz w:val="22"/>
          <w:szCs w:val="22"/>
          <w:lang w:eastAsia="zh-C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41CAE77E" w14:textId="77777777" w:rsidR="00FC00B7" w:rsidRDefault="00FC00B7" w:rsidP="00FC00B7">
      <w:pPr>
        <w:spacing w:line="360" w:lineRule="auto"/>
        <w:rPr>
          <w:rFonts w:ascii="Times New Roman" w:hAnsi="Times New Roman"/>
          <w:b/>
          <w:smallCaps/>
        </w:rPr>
        <w:sectPr w:rsidR="00FC00B7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C00B7" w14:paraId="0795988F" w14:textId="77777777" w:rsidTr="00FC00B7">
        <w:tc>
          <w:tcPr>
            <w:tcW w:w="1951" w:type="dxa"/>
            <w:hideMark/>
          </w:tcPr>
          <w:p w14:paraId="201FB35A" w14:textId="77777777" w:rsidR="00FC00B7" w:rsidRDefault="00FC00B7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Predmet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7B3050B8" w14:textId="6B665952" w:rsidR="00FC00B7" w:rsidRDefault="00FC00B7" w:rsidP="00FC0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Prijedlog odluke </w:t>
            </w:r>
            <w:r w:rsidRPr="00FC00B7">
              <w:rPr>
                <w:rFonts w:ascii="Times New Roman" w:hAnsi="Times New Roman" w:cs="Times New Roman"/>
                <w:bCs/>
              </w:rPr>
              <w:t>o pribavljanju nefinancijske imo</w:t>
            </w:r>
            <w:r>
              <w:rPr>
                <w:rFonts w:ascii="Times New Roman" w:hAnsi="Times New Roman" w:cs="Times New Roman"/>
                <w:bCs/>
              </w:rPr>
              <w:t xml:space="preserve">vine Ministarstva obrane nabavom </w:t>
            </w:r>
            <w:r w:rsidRPr="00FC00B7">
              <w:rPr>
                <w:rFonts w:ascii="Times New Roman" w:hAnsi="Times New Roman" w:cs="Times New Roman"/>
                <w:bCs/>
              </w:rPr>
              <w:t>samohodnog višestrukog raketnog sustava HIMARS</w:t>
            </w:r>
          </w:p>
        </w:tc>
      </w:tr>
    </w:tbl>
    <w:p w14:paraId="110A6737" w14:textId="77777777" w:rsidR="00FC00B7" w:rsidRDefault="00FC00B7" w:rsidP="00FC00B7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  <w:sz w:val="22"/>
          <w:szCs w:val="22"/>
          <w:lang w:eastAsia="zh-CN"/>
        </w:rPr>
      </w:pPr>
      <w:r>
        <w:t>___________________________________________________________________</w:t>
      </w:r>
    </w:p>
    <w:p w14:paraId="57266479" w14:textId="77777777" w:rsidR="00FC00B7" w:rsidRDefault="00FC00B7" w:rsidP="00FC00B7">
      <w:pPr>
        <w:rPr>
          <w:rFonts w:asciiTheme="minorHAnsi" w:eastAsiaTheme="minorEastAsia" w:hAnsiTheme="minorHAnsi" w:cstheme="minorBidi"/>
        </w:rPr>
      </w:pPr>
    </w:p>
    <w:p w14:paraId="76E95856" w14:textId="77777777" w:rsidR="00FC00B7" w:rsidRDefault="00FC00B7" w:rsidP="00FC00B7"/>
    <w:p w14:paraId="70EEC809" w14:textId="77777777" w:rsidR="00FC00B7" w:rsidRDefault="00FC00B7" w:rsidP="00FC00B7"/>
    <w:p w14:paraId="137CF796" w14:textId="77777777" w:rsidR="00FC00B7" w:rsidRDefault="00FC00B7" w:rsidP="00FC00B7"/>
    <w:p w14:paraId="3C32E1C6" w14:textId="77777777" w:rsidR="00FC00B7" w:rsidRDefault="00FC00B7" w:rsidP="00FC00B7"/>
    <w:p w14:paraId="070C502F" w14:textId="77777777" w:rsidR="00FC00B7" w:rsidRDefault="00FC00B7" w:rsidP="00FC00B7"/>
    <w:p w14:paraId="7E6CDA16" w14:textId="77777777" w:rsidR="00FC00B7" w:rsidRDefault="00FC00B7" w:rsidP="00FC00B7"/>
    <w:p w14:paraId="30F774FB" w14:textId="77777777" w:rsidR="00FC00B7" w:rsidRDefault="00FC00B7" w:rsidP="00FC00B7"/>
    <w:p w14:paraId="204F85BF" w14:textId="77777777" w:rsidR="00FC00B7" w:rsidRDefault="00FC00B7" w:rsidP="00FC00B7"/>
    <w:p w14:paraId="25CAAB95" w14:textId="77777777" w:rsidR="00FC00B7" w:rsidRDefault="00FC00B7" w:rsidP="00FC00B7"/>
    <w:p w14:paraId="6B2539A2" w14:textId="77777777" w:rsidR="00FC00B7" w:rsidRDefault="00FC00B7" w:rsidP="00FC00B7"/>
    <w:p w14:paraId="0E20F923" w14:textId="77777777" w:rsidR="00FC00B7" w:rsidRDefault="00FC00B7" w:rsidP="00FC00B7"/>
    <w:p w14:paraId="22025BCE" w14:textId="77777777" w:rsidR="00FC00B7" w:rsidRDefault="00FC00B7" w:rsidP="00FC00B7"/>
    <w:p w14:paraId="4F88A821" w14:textId="77777777" w:rsidR="00FC00B7" w:rsidRDefault="00FC00B7" w:rsidP="00FC00B7"/>
    <w:p w14:paraId="48A6DFF7" w14:textId="77777777" w:rsidR="00FC00B7" w:rsidRDefault="00FC00B7" w:rsidP="00FC00B7"/>
    <w:p w14:paraId="507D7FD2" w14:textId="77777777" w:rsidR="00FC00B7" w:rsidRDefault="00FC00B7" w:rsidP="00FC00B7"/>
    <w:p w14:paraId="799D7DD1" w14:textId="77777777" w:rsidR="00FC00B7" w:rsidRDefault="00FC00B7" w:rsidP="00FC00B7"/>
    <w:p w14:paraId="29F0B5A9" w14:textId="77777777" w:rsidR="00FC00B7" w:rsidRDefault="00FC00B7" w:rsidP="00FC00B7"/>
    <w:p w14:paraId="1275DC41" w14:textId="77777777" w:rsidR="00FC00B7" w:rsidRDefault="00FC00B7" w:rsidP="00FC00B7"/>
    <w:p w14:paraId="44EAE8BD" w14:textId="77777777" w:rsidR="00FC00B7" w:rsidRDefault="00FC00B7" w:rsidP="00FC00B7"/>
    <w:p w14:paraId="02EF649E" w14:textId="77777777" w:rsidR="00FC00B7" w:rsidRDefault="00FC00B7" w:rsidP="00FC00B7"/>
    <w:p w14:paraId="0609D48F" w14:textId="4E8F6482" w:rsidR="00FC00B7" w:rsidRDefault="00FC00B7" w:rsidP="00FC00B7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</w:rPr>
        <w:sectPr w:rsidR="00FC00B7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0E6F6D03" w14:textId="77777777" w:rsidR="00FC00B7" w:rsidRDefault="00FC00B7" w:rsidP="00B3103B">
      <w:pPr>
        <w:jc w:val="right"/>
        <w:rPr>
          <w:rFonts w:ascii="Times New Roman" w:hAnsi="Times New Roman"/>
        </w:rPr>
      </w:pPr>
    </w:p>
    <w:p w14:paraId="25B13A24" w14:textId="111B2DF6" w:rsidR="00B3103B" w:rsidRPr="00542F72" w:rsidRDefault="00B3103B" w:rsidP="00B3103B">
      <w:pPr>
        <w:jc w:val="right"/>
        <w:rPr>
          <w:rFonts w:ascii="Times New Roman" w:hAnsi="Times New Roman"/>
          <w:color w:val="FF0000"/>
          <w:spacing w:val="22"/>
        </w:rPr>
      </w:pPr>
      <w:r w:rsidRPr="00542F72">
        <w:rPr>
          <w:rFonts w:ascii="Times New Roman" w:hAnsi="Times New Roman"/>
        </w:rPr>
        <w:t xml:space="preserve"> </w:t>
      </w:r>
      <w:r w:rsidRPr="00542F72">
        <w:rPr>
          <w:rFonts w:ascii="Times New Roman" w:hAnsi="Times New Roman"/>
          <w:spacing w:val="22"/>
        </w:rPr>
        <w:t>P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r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i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j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e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d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l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o</w:t>
      </w:r>
      <w:r w:rsidR="00BC5FE6">
        <w:rPr>
          <w:rFonts w:ascii="Times New Roman" w:hAnsi="Times New Roman"/>
          <w:spacing w:val="22"/>
        </w:rPr>
        <w:t xml:space="preserve"> </w:t>
      </w:r>
      <w:r w:rsidRPr="00542F72">
        <w:rPr>
          <w:rFonts w:ascii="Times New Roman" w:hAnsi="Times New Roman"/>
          <w:spacing w:val="22"/>
        </w:rPr>
        <w:t>g</w:t>
      </w:r>
    </w:p>
    <w:p w14:paraId="25B13A25" w14:textId="77777777" w:rsidR="00035265" w:rsidRPr="00EC541C" w:rsidRDefault="00035265" w:rsidP="004E2B46">
      <w:pPr>
        <w:rPr>
          <w:rFonts w:ascii="Times New Roman" w:hAnsi="Times New Roman"/>
          <w:b/>
        </w:rPr>
      </w:pPr>
    </w:p>
    <w:p w14:paraId="25B13A26" w14:textId="77777777" w:rsidR="004C0B90" w:rsidRPr="001E5A92" w:rsidRDefault="004C0B90" w:rsidP="00F54839">
      <w:pPr>
        <w:rPr>
          <w:rFonts w:ascii="Times New Roman" w:hAnsi="Times New Roman"/>
          <w:b/>
        </w:rPr>
      </w:pPr>
      <w:r w:rsidRPr="001E5A92">
        <w:rPr>
          <w:rFonts w:ascii="Times New Roman" w:hAnsi="Times New Roman"/>
          <w:b/>
        </w:rPr>
        <w:t>VLADA REPUBLIKE HRVATSKE</w:t>
      </w:r>
    </w:p>
    <w:p w14:paraId="25B13A27" w14:textId="77777777" w:rsidR="004C0B90" w:rsidRPr="001E5A92" w:rsidRDefault="004C0B90">
      <w:pPr>
        <w:jc w:val="both"/>
        <w:rPr>
          <w:rFonts w:ascii="Times New Roman" w:hAnsi="Times New Roman"/>
        </w:rPr>
      </w:pPr>
    </w:p>
    <w:p w14:paraId="25B13A28" w14:textId="77777777" w:rsidR="004C0B90" w:rsidRPr="001E5A92" w:rsidRDefault="004C0B90">
      <w:pPr>
        <w:jc w:val="both"/>
        <w:rPr>
          <w:rFonts w:ascii="Times New Roman" w:hAnsi="Times New Roman"/>
        </w:rPr>
      </w:pPr>
    </w:p>
    <w:p w14:paraId="25B13A29" w14:textId="28FB305B" w:rsidR="004C0B90" w:rsidRPr="001E5A92" w:rsidRDefault="004E2B46">
      <w:pPr>
        <w:ind w:firstLine="708"/>
        <w:jc w:val="both"/>
        <w:rPr>
          <w:rFonts w:ascii="Times New Roman" w:hAnsi="Times New Roman"/>
        </w:rPr>
      </w:pPr>
      <w:bookmarkStart w:id="1" w:name="OLE_LINK1"/>
      <w:bookmarkStart w:id="2" w:name="OLE_LINK2"/>
      <w:r w:rsidRPr="001E5A92">
        <w:rPr>
          <w:rFonts w:ascii="Times New Roman" w:hAnsi="Times New Roman"/>
        </w:rPr>
        <w:t>Na temelju članka 31</w:t>
      </w:r>
      <w:r w:rsidR="004C0B90" w:rsidRPr="001E5A92">
        <w:rPr>
          <w:rFonts w:ascii="Times New Roman" w:hAnsi="Times New Roman"/>
        </w:rPr>
        <w:t>. stavka 2. Zakona o Vladi Republike Hrvatske (</w:t>
      </w:r>
      <w:r w:rsidR="00FC00B7">
        <w:rPr>
          <w:rFonts w:ascii="Times New Roman" w:hAnsi="Times New Roman"/>
        </w:rPr>
        <w:t>„</w:t>
      </w:r>
      <w:r w:rsidR="004C0B90" w:rsidRPr="001E5A92">
        <w:rPr>
          <w:rFonts w:ascii="Times New Roman" w:hAnsi="Times New Roman"/>
        </w:rPr>
        <w:t>N</w:t>
      </w:r>
      <w:r w:rsidRPr="001E5A92">
        <w:rPr>
          <w:rFonts w:ascii="Times New Roman" w:hAnsi="Times New Roman"/>
        </w:rPr>
        <w:t>arodne novine</w:t>
      </w:r>
      <w:r w:rsidR="00FC00B7">
        <w:rPr>
          <w:rFonts w:ascii="Times New Roman" w:hAnsi="Times New Roman"/>
        </w:rPr>
        <w:t>“, br</w:t>
      </w:r>
      <w:r w:rsidR="00D90E13">
        <w:rPr>
          <w:rFonts w:ascii="Times New Roman" w:hAnsi="Times New Roman"/>
        </w:rPr>
        <w:t>.</w:t>
      </w:r>
      <w:r w:rsidRPr="001E5A92">
        <w:rPr>
          <w:rFonts w:ascii="Times New Roman" w:hAnsi="Times New Roman"/>
        </w:rPr>
        <w:t xml:space="preserve"> 150/11</w:t>
      </w:r>
      <w:r w:rsidR="00D90E13">
        <w:rPr>
          <w:rFonts w:ascii="Times New Roman" w:hAnsi="Times New Roman"/>
        </w:rPr>
        <w:t>.</w:t>
      </w:r>
      <w:r w:rsidR="001E1362" w:rsidRPr="001E5A92">
        <w:rPr>
          <w:rFonts w:ascii="Times New Roman" w:hAnsi="Times New Roman"/>
        </w:rPr>
        <w:t>,</w:t>
      </w:r>
      <w:r w:rsidR="008C0B8E" w:rsidRPr="001E5A92">
        <w:rPr>
          <w:rFonts w:ascii="Times New Roman" w:hAnsi="Times New Roman"/>
        </w:rPr>
        <w:t xml:space="preserve"> 119/14</w:t>
      </w:r>
      <w:r w:rsidR="00D90E13">
        <w:rPr>
          <w:rFonts w:ascii="Times New Roman" w:hAnsi="Times New Roman"/>
        </w:rPr>
        <w:t>.</w:t>
      </w:r>
      <w:r w:rsidR="007C482D" w:rsidRPr="001E5A92">
        <w:rPr>
          <w:rFonts w:ascii="Times New Roman" w:hAnsi="Times New Roman"/>
        </w:rPr>
        <w:t>,</w:t>
      </w:r>
      <w:r w:rsidR="001E1362" w:rsidRPr="001E5A92">
        <w:rPr>
          <w:rFonts w:ascii="Times New Roman" w:hAnsi="Times New Roman"/>
        </w:rPr>
        <w:t xml:space="preserve"> 93/16</w:t>
      </w:r>
      <w:r w:rsidR="00D90E13">
        <w:rPr>
          <w:rFonts w:ascii="Times New Roman" w:hAnsi="Times New Roman"/>
        </w:rPr>
        <w:t>.</w:t>
      </w:r>
      <w:r w:rsidR="00381C7D" w:rsidRPr="001E5A92">
        <w:rPr>
          <w:rFonts w:ascii="Times New Roman" w:hAnsi="Times New Roman"/>
        </w:rPr>
        <w:t>,</w:t>
      </w:r>
      <w:r w:rsidR="007C482D" w:rsidRPr="001E5A92">
        <w:rPr>
          <w:rFonts w:ascii="Times New Roman" w:hAnsi="Times New Roman"/>
        </w:rPr>
        <w:t xml:space="preserve"> 116/18</w:t>
      </w:r>
      <w:r w:rsidR="00D90E13">
        <w:rPr>
          <w:rFonts w:ascii="Times New Roman" w:hAnsi="Times New Roman"/>
        </w:rPr>
        <w:t>.</w:t>
      </w:r>
      <w:r w:rsidR="008C5CA6">
        <w:rPr>
          <w:rFonts w:ascii="Times New Roman" w:hAnsi="Times New Roman"/>
        </w:rPr>
        <w:t>,</w:t>
      </w:r>
      <w:r w:rsidR="00381C7D" w:rsidRPr="001E5A92">
        <w:rPr>
          <w:rFonts w:ascii="Times New Roman" w:hAnsi="Times New Roman"/>
        </w:rPr>
        <w:t xml:space="preserve"> </w:t>
      </w:r>
      <w:r w:rsidR="008C5CA6">
        <w:rPr>
          <w:rFonts w:ascii="Times New Roman" w:hAnsi="Times New Roman"/>
        </w:rPr>
        <w:t>80/</w:t>
      </w:r>
      <w:r w:rsidR="00381C7D" w:rsidRPr="001E5A92">
        <w:rPr>
          <w:rFonts w:ascii="Times New Roman" w:hAnsi="Times New Roman"/>
        </w:rPr>
        <w:t>22</w:t>
      </w:r>
      <w:r w:rsidR="00D90E13">
        <w:rPr>
          <w:rFonts w:ascii="Times New Roman" w:hAnsi="Times New Roman"/>
        </w:rPr>
        <w:t>.</w:t>
      </w:r>
      <w:r w:rsidR="008C5CA6">
        <w:rPr>
          <w:rFonts w:ascii="Times New Roman" w:hAnsi="Times New Roman"/>
        </w:rPr>
        <w:t xml:space="preserve"> i 78/24</w:t>
      </w:r>
      <w:r w:rsidR="00D90E13">
        <w:rPr>
          <w:rFonts w:ascii="Times New Roman" w:hAnsi="Times New Roman"/>
        </w:rPr>
        <w:t>.</w:t>
      </w:r>
      <w:r w:rsidR="004C0B90" w:rsidRPr="001E5A92">
        <w:rPr>
          <w:rFonts w:ascii="Times New Roman" w:hAnsi="Times New Roman"/>
        </w:rPr>
        <w:t xml:space="preserve">) i </w:t>
      </w:r>
      <w:r w:rsidR="004F25EB" w:rsidRPr="001E5A92">
        <w:rPr>
          <w:rFonts w:ascii="Times New Roman" w:hAnsi="Times New Roman"/>
        </w:rPr>
        <w:t>točke</w:t>
      </w:r>
      <w:r w:rsidR="004C0B90" w:rsidRPr="001E5A92">
        <w:rPr>
          <w:rFonts w:ascii="Times New Roman" w:hAnsi="Times New Roman"/>
        </w:rPr>
        <w:t xml:space="preserve"> </w:t>
      </w:r>
      <w:r w:rsidR="00AA04B5" w:rsidRPr="001E5A92">
        <w:rPr>
          <w:rFonts w:ascii="Times New Roman" w:hAnsi="Times New Roman"/>
        </w:rPr>
        <w:t>III</w:t>
      </w:r>
      <w:r w:rsidR="004C0B90" w:rsidRPr="001E5A92">
        <w:rPr>
          <w:rFonts w:ascii="Times New Roman" w:hAnsi="Times New Roman"/>
        </w:rPr>
        <w:t xml:space="preserve">. </w:t>
      </w:r>
      <w:r w:rsidRPr="001E5A92">
        <w:rPr>
          <w:rFonts w:ascii="Times New Roman" w:hAnsi="Times New Roman"/>
        </w:rPr>
        <w:t xml:space="preserve">stavka </w:t>
      </w:r>
      <w:r w:rsidR="004F25EB" w:rsidRPr="001E5A92">
        <w:rPr>
          <w:rFonts w:ascii="Times New Roman" w:hAnsi="Times New Roman"/>
        </w:rPr>
        <w:t>3</w:t>
      </w:r>
      <w:r w:rsidRPr="001E5A92">
        <w:rPr>
          <w:rFonts w:ascii="Times New Roman" w:hAnsi="Times New Roman"/>
        </w:rPr>
        <w:t xml:space="preserve">. </w:t>
      </w:r>
      <w:r w:rsidR="004F25EB" w:rsidRPr="001E5A92">
        <w:rPr>
          <w:rFonts w:ascii="Times New Roman" w:hAnsi="Times New Roman"/>
        </w:rPr>
        <w:t>Odluke</w:t>
      </w:r>
      <w:r w:rsidR="00EC541C" w:rsidRPr="001E5A92">
        <w:rPr>
          <w:rFonts w:ascii="Times New Roman" w:hAnsi="Times New Roman"/>
        </w:rPr>
        <w:t xml:space="preserve"> </w:t>
      </w:r>
      <w:r w:rsidR="004F25EB" w:rsidRPr="001E5A92">
        <w:rPr>
          <w:rFonts w:ascii="Times New Roman" w:hAnsi="Times New Roman"/>
        </w:rPr>
        <w:t>o visini vrijednosti nefinancijske imovine koj</w:t>
      </w:r>
      <w:r w:rsidR="00EB2434" w:rsidRPr="001E5A92">
        <w:rPr>
          <w:rFonts w:ascii="Times New Roman" w:hAnsi="Times New Roman"/>
        </w:rPr>
        <w:t>o</w:t>
      </w:r>
      <w:r w:rsidR="004F25EB" w:rsidRPr="001E5A92">
        <w:rPr>
          <w:rFonts w:ascii="Times New Roman" w:hAnsi="Times New Roman"/>
        </w:rPr>
        <w:t>m je ovlašten raspolagat</w:t>
      </w:r>
      <w:r w:rsidR="00AA04B5" w:rsidRPr="001E5A92">
        <w:rPr>
          <w:rFonts w:ascii="Times New Roman" w:hAnsi="Times New Roman"/>
        </w:rPr>
        <w:t xml:space="preserve">i čelnik tijela državne uprave, </w:t>
      </w:r>
      <w:r w:rsidR="00F54839" w:rsidRPr="001E5A92">
        <w:rPr>
          <w:rFonts w:ascii="Times New Roman" w:hAnsi="Times New Roman"/>
        </w:rPr>
        <w:t>KLASA</w:t>
      </w:r>
      <w:r w:rsidR="00EC541C" w:rsidRPr="001E5A92">
        <w:rPr>
          <w:rFonts w:ascii="Times New Roman" w:hAnsi="Times New Roman"/>
        </w:rPr>
        <w:t>: 022-03/19-04/318</w:t>
      </w:r>
      <w:r w:rsidR="004F25EB" w:rsidRPr="001E5A92">
        <w:rPr>
          <w:rFonts w:ascii="Times New Roman" w:hAnsi="Times New Roman"/>
        </w:rPr>
        <w:t xml:space="preserve">, </w:t>
      </w:r>
      <w:r w:rsidR="00F54839" w:rsidRPr="001E5A92">
        <w:rPr>
          <w:rFonts w:ascii="Times New Roman" w:hAnsi="Times New Roman"/>
        </w:rPr>
        <w:t>URBROJ</w:t>
      </w:r>
      <w:r w:rsidR="00AA04B5" w:rsidRPr="001E5A92">
        <w:rPr>
          <w:rFonts w:ascii="Times New Roman" w:hAnsi="Times New Roman"/>
        </w:rPr>
        <w:t xml:space="preserve">: 50301-25/16-19-2, </w:t>
      </w:r>
      <w:r w:rsidR="00EC541C" w:rsidRPr="001E5A92">
        <w:rPr>
          <w:rFonts w:ascii="Times New Roman" w:hAnsi="Times New Roman"/>
        </w:rPr>
        <w:t>od 1. kolovoza 2019.</w:t>
      </w:r>
      <w:r w:rsidR="004C0B90" w:rsidRPr="001E5A92">
        <w:rPr>
          <w:rFonts w:ascii="Times New Roman" w:hAnsi="Times New Roman"/>
        </w:rPr>
        <w:t>, Vlada Republike Hrvatske je na sjed</w:t>
      </w:r>
      <w:r w:rsidR="00FC00B7">
        <w:rPr>
          <w:rFonts w:ascii="Times New Roman" w:hAnsi="Times New Roman"/>
        </w:rPr>
        <w:t>nici</w:t>
      </w:r>
      <w:r w:rsidRPr="001E5A92">
        <w:rPr>
          <w:rFonts w:ascii="Times New Roman" w:hAnsi="Times New Roman"/>
        </w:rPr>
        <w:t xml:space="preserve"> </w:t>
      </w:r>
      <w:r w:rsidR="00F523FA">
        <w:rPr>
          <w:rFonts w:ascii="Times New Roman" w:hAnsi="Times New Roman"/>
        </w:rPr>
        <w:t xml:space="preserve">održanoj </w:t>
      </w:r>
      <w:r w:rsidRPr="001E5A92">
        <w:rPr>
          <w:rFonts w:ascii="Times New Roman" w:hAnsi="Times New Roman"/>
        </w:rPr>
        <w:t>_________</w:t>
      </w:r>
      <w:r w:rsidR="004C0B90" w:rsidRPr="001E5A92">
        <w:rPr>
          <w:rFonts w:ascii="Times New Roman" w:hAnsi="Times New Roman"/>
        </w:rPr>
        <w:t xml:space="preserve"> donijela </w:t>
      </w:r>
    </w:p>
    <w:bookmarkEnd w:id="1"/>
    <w:bookmarkEnd w:id="2"/>
    <w:p w14:paraId="25B13A2A" w14:textId="77777777" w:rsidR="004C0B90" w:rsidRDefault="004C0B90">
      <w:pPr>
        <w:rPr>
          <w:rFonts w:ascii="Times New Roman" w:hAnsi="Times New Roman"/>
        </w:rPr>
      </w:pPr>
    </w:p>
    <w:p w14:paraId="25B13A2B" w14:textId="77777777" w:rsidR="00EC6B78" w:rsidRPr="001E5A92" w:rsidRDefault="00EC6B78">
      <w:pPr>
        <w:rPr>
          <w:rFonts w:ascii="Times New Roman" w:hAnsi="Times New Roman"/>
        </w:rPr>
      </w:pPr>
    </w:p>
    <w:p w14:paraId="25B13A2C" w14:textId="77777777" w:rsidR="004C0B90" w:rsidRPr="008E1F68" w:rsidRDefault="004C0B90">
      <w:pPr>
        <w:jc w:val="center"/>
        <w:rPr>
          <w:rFonts w:ascii="Times New Roman" w:hAnsi="Times New Roman"/>
          <w:b/>
        </w:rPr>
      </w:pPr>
      <w:r w:rsidRPr="008E1F68">
        <w:rPr>
          <w:rFonts w:ascii="Times New Roman" w:hAnsi="Times New Roman"/>
          <w:b/>
        </w:rPr>
        <w:t xml:space="preserve">O D L U K U     </w:t>
      </w:r>
    </w:p>
    <w:p w14:paraId="25B13A2D" w14:textId="77777777" w:rsidR="008D694B" w:rsidRPr="008E1F68" w:rsidRDefault="008D694B">
      <w:pPr>
        <w:jc w:val="center"/>
        <w:rPr>
          <w:rFonts w:ascii="Times New Roman" w:hAnsi="Times New Roman"/>
          <w:b/>
        </w:rPr>
      </w:pPr>
    </w:p>
    <w:p w14:paraId="25B13A2E" w14:textId="61B7DB86" w:rsidR="00542F72" w:rsidRDefault="003943D0" w:rsidP="004E2B46">
      <w:pPr>
        <w:ind w:left="34" w:hanging="34"/>
        <w:jc w:val="center"/>
        <w:rPr>
          <w:rFonts w:ascii="Times New Roman" w:hAnsi="Times New Roman"/>
          <w:b/>
        </w:rPr>
      </w:pPr>
      <w:r w:rsidRPr="008E1F68">
        <w:rPr>
          <w:rFonts w:ascii="Times New Roman" w:hAnsi="Times New Roman"/>
          <w:b/>
        </w:rPr>
        <w:t xml:space="preserve">o pribavljanju nefinancijske imovine </w:t>
      </w:r>
      <w:r w:rsidR="00526E82" w:rsidRPr="008E1F68">
        <w:rPr>
          <w:rFonts w:ascii="Times New Roman" w:hAnsi="Times New Roman"/>
          <w:b/>
        </w:rPr>
        <w:t>Minis</w:t>
      </w:r>
      <w:r w:rsidR="00593231" w:rsidRPr="008E1F68">
        <w:rPr>
          <w:rFonts w:ascii="Times New Roman" w:hAnsi="Times New Roman"/>
          <w:b/>
        </w:rPr>
        <w:t>tarstv</w:t>
      </w:r>
      <w:r w:rsidR="00943DBA" w:rsidRPr="008E1F68">
        <w:rPr>
          <w:rFonts w:ascii="Times New Roman" w:hAnsi="Times New Roman"/>
          <w:b/>
        </w:rPr>
        <w:t>a</w:t>
      </w:r>
      <w:r w:rsidR="00526E82" w:rsidRPr="008E1F68">
        <w:rPr>
          <w:rFonts w:ascii="Times New Roman" w:hAnsi="Times New Roman"/>
          <w:b/>
        </w:rPr>
        <w:t xml:space="preserve"> obrane </w:t>
      </w:r>
      <w:r w:rsidR="00A36E81">
        <w:rPr>
          <w:rFonts w:ascii="Times New Roman" w:hAnsi="Times New Roman"/>
          <w:b/>
        </w:rPr>
        <w:t>nabavom</w:t>
      </w:r>
    </w:p>
    <w:p w14:paraId="25B13A2F" w14:textId="138DBB18" w:rsidR="004C0B90" w:rsidRPr="008E1F68" w:rsidRDefault="00AC4494" w:rsidP="004E2B46">
      <w:pPr>
        <w:ind w:left="34" w:hanging="34"/>
        <w:jc w:val="center"/>
        <w:rPr>
          <w:rFonts w:ascii="Times New Roman" w:hAnsi="Times New Roman"/>
          <w:b/>
        </w:rPr>
      </w:pPr>
      <w:r w:rsidRPr="00AC4494">
        <w:rPr>
          <w:rFonts w:ascii="Times New Roman" w:hAnsi="Times New Roman"/>
          <w:b/>
        </w:rPr>
        <w:t xml:space="preserve"> </w:t>
      </w:r>
      <w:r w:rsidR="005900E5" w:rsidRPr="005900E5">
        <w:rPr>
          <w:rFonts w:ascii="Times New Roman" w:hAnsi="Times New Roman"/>
          <w:b/>
        </w:rPr>
        <w:t>samohodnog višestrukog raketnog sustava HIMARS</w:t>
      </w:r>
    </w:p>
    <w:p w14:paraId="25B13A30" w14:textId="77777777" w:rsidR="00AF26BA" w:rsidRPr="001E5A92" w:rsidRDefault="00AF26BA">
      <w:pPr>
        <w:jc w:val="center"/>
        <w:rPr>
          <w:rFonts w:ascii="Times New Roman" w:hAnsi="Times New Roman"/>
          <w:b/>
        </w:rPr>
      </w:pPr>
    </w:p>
    <w:p w14:paraId="25B13A31" w14:textId="77777777" w:rsidR="00B14B3D" w:rsidRDefault="00B14B3D">
      <w:pPr>
        <w:jc w:val="center"/>
        <w:rPr>
          <w:rFonts w:ascii="Times New Roman" w:hAnsi="Times New Roman"/>
          <w:b/>
        </w:rPr>
      </w:pPr>
    </w:p>
    <w:p w14:paraId="25B13A32" w14:textId="77777777" w:rsidR="004C0B90" w:rsidRPr="001E5A92" w:rsidRDefault="004C0B90">
      <w:pPr>
        <w:jc w:val="center"/>
        <w:rPr>
          <w:rFonts w:ascii="Times New Roman" w:hAnsi="Times New Roman"/>
          <w:b/>
        </w:rPr>
      </w:pPr>
      <w:r w:rsidRPr="001E5A92">
        <w:rPr>
          <w:rFonts w:ascii="Times New Roman" w:hAnsi="Times New Roman"/>
          <w:b/>
        </w:rPr>
        <w:t>I.</w:t>
      </w:r>
    </w:p>
    <w:p w14:paraId="25B13A33" w14:textId="77777777" w:rsidR="00EC6B78" w:rsidRDefault="00EC6B78">
      <w:pPr>
        <w:jc w:val="both"/>
        <w:rPr>
          <w:rFonts w:ascii="Times New Roman" w:hAnsi="Times New Roman"/>
        </w:rPr>
      </w:pPr>
    </w:p>
    <w:p w14:paraId="25B13A34" w14:textId="3A7958EF" w:rsidR="004C0B90" w:rsidRDefault="00D82E8B" w:rsidP="00EC6B7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Pribavlja se</w:t>
      </w:r>
      <w:r w:rsidR="00F54839" w:rsidRPr="00F54839">
        <w:rPr>
          <w:rFonts w:ascii="Times New Roman" w:hAnsi="Times New Roman"/>
        </w:rPr>
        <w:t xml:space="preserve"> nefinancijsk</w:t>
      </w:r>
      <w:r>
        <w:rPr>
          <w:rFonts w:ascii="Times New Roman" w:hAnsi="Times New Roman"/>
        </w:rPr>
        <w:t>a</w:t>
      </w:r>
      <w:r w:rsidR="00F54839" w:rsidRPr="00F54839">
        <w:rPr>
          <w:rFonts w:ascii="Times New Roman" w:hAnsi="Times New Roman"/>
        </w:rPr>
        <w:t xml:space="preserve"> imovin</w:t>
      </w:r>
      <w:r>
        <w:rPr>
          <w:rFonts w:ascii="Times New Roman" w:hAnsi="Times New Roman"/>
        </w:rPr>
        <w:t>a</w:t>
      </w:r>
      <w:r w:rsidR="00F54839" w:rsidRPr="00F54839">
        <w:rPr>
          <w:rFonts w:ascii="Times New Roman" w:hAnsi="Times New Roman"/>
        </w:rPr>
        <w:t xml:space="preserve"> u iznosu od </w:t>
      </w:r>
      <w:r w:rsidR="005900E5" w:rsidRPr="005900E5">
        <w:rPr>
          <w:rFonts w:ascii="Times New Roman" w:hAnsi="Times New Roman"/>
        </w:rPr>
        <w:t xml:space="preserve">331.348.840,83 </w:t>
      </w:r>
      <w:r w:rsidR="00F54839" w:rsidRPr="0099398E">
        <w:rPr>
          <w:rFonts w:ascii="Times New Roman" w:hAnsi="Times New Roman"/>
        </w:rPr>
        <w:t>eura</w:t>
      </w:r>
      <w:r w:rsidR="00F54839" w:rsidRPr="00F54839">
        <w:rPr>
          <w:rFonts w:ascii="Times New Roman" w:hAnsi="Times New Roman"/>
        </w:rPr>
        <w:t xml:space="preserve"> </w:t>
      </w:r>
      <w:r w:rsidR="00A36E81">
        <w:rPr>
          <w:rFonts w:ascii="Times New Roman" w:hAnsi="Times New Roman"/>
        </w:rPr>
        <w:t>nabavom</w:t>
      </w:r>
      <w:r w:rsidR="007125D3" w:rsidRPr="007125D3">
        <w:rPr>
          <w:rFonts w:ascii="Times New Roman" w:hAnsi="Times New Roman"/>
        </w:rPr>
        <w:t xml:space="preserve"> </w:t>
      </w:r>
      <w:r w:rsidR="005900E5" w:rsidRPr="005900E5">
        <w:rPr>
          <w:rFonts w:ascii="Times New Roman" w:hAnsi="Times New Roman"/>
        </w:rPr>
        <w:t>samohodnog višestrukog raketnog sustava HIMARS</w:t>
      </w:r>
      <w:r w:rsidR="00F54839" w:rsidRPr="00F54839">
        <w:rPr>
          <w:rFonts w:ascii="Times New Roman" w:hAnsi="Times New Roman"/>
        </w:rPr>
        <w:t>, na prijedlog Ministarstva obrane</w:t>
      </w:r>
      <w:r w:rsidR="00EC6B78">
        <w:rPr>
          <w:rFonts w:ascii="Times New Roman" w:hAnsi="Times New Roman"/>
        </w:rPr>
        <w:t>.</w:t>
      </w:r>
    </w:p>
    <w:p w14:paraId="25B13A35" w14:textId="77777777" w:rsidR="001314A6" w:rsidRDefault="001314A6" w:rsidP="00EC6B78">
      <w:pPr>
        <w:ind w:firstLine="708"/>
        <w:jc w:val="both"/>
        <w:rPr>
          <w:rFonts w:ascii="Times New Roman" w:hAnsi="Times New Roman"/>
        </w:rPr>
      </w:pPr>
    </w:p>
    <w:p w14:paraId="25B13A36" w14:textId="77777777" w:rsidR="001314A6" w:rsidRPr="0011555C" w:rsidRDefault="001314A6" w:rsidP="001314A6">
      <w:pPr>
        <w:jc w:val="center"/>
        <w:rPr>
          <w:rFonts w:ascii="Times New Roman" w:hAnsi="Times New Roman"/>
          <w:b/>
        </w:rPr>
      </w:pPr>
      <w:r w:rsidRPr="0011555C">
        <w:rPr>
          <w:rFonts w:ascii="Times New Roman" w:hAnsi="Times New Roman"/>
          <w:b/>
        </w:rPr>
        <w:t>II.</w:t>
      </w:r>
    </w:p>
    <w:p w14:paraId="25B13A37" w14:textId="77777777" w:rsidR="001314A6" w:rsidRDefault="001314A6" w:rsidP="00EC6B78">
      <w:pPr>
        <w:ind w:firstLine="708"/>
        <w:jc w:val="both"/>
        <w:rPr>
          <w:rFonts w:ascii="Times New Roman" w:hAnsi="Times New Roman"/>
        </w:rPr>
      </w:pPr>
    </w:p>
    <w:p w14:paraId="25B13A38" w14:textId="0404A2EF" w:rsidR="00F54839" w:rsidRPr="001E5A92" w:rsidRDefault="007125D3" w:rsidP="00EC6B7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7125D3">
        <w:rPr>
          <w:rFonts w:ascii="Times New Roman" w:hAnsi="Times New Roman"/>
        </w:rPr>
        <w:t>abav</w:t>
      </w:r>
      <w:r>
        <w:rPr>
          <w:rFonts w:ascii="Times New Roman" w:hAnsi="Times New Roman"/>
        </w:rPr>
        <w:t>a</w:t>
      </w:r>
      <w:r w:rsidRPr="007125D3">
        <w:rPr>
          <w:rFonts w:ascii="Times New Roman" w:hAnsi="Times New Roman"/>
        </w:rPr>
        <w:t xml:space="preserve"> </w:t>
      </w:r>
      <w:r w:rsidR="005900E5" w:rsidRPr="005900E5">
        <w:rPr>
          <w:rFonts w:ascii="Times New Roman" w:hAnsi="Times New Roman"/>
        </w:rPr>
        <w:t xml:space="preserve">samohodnog višestrukog raketnog sustava HIMARS </w:t>
      </w:r>
      <w:r w:rsidR="00F54839" w:rsidRPr="00F54839">
        <w:rPr>
          <w:rFonts w:ascii="Times New Roman" w:hAnsi="Times New Roman"/>
        </w:rPr>
        <w:t>iz točke</w:t>
      </w:r>
      <w:r w:rsidR="001314A6">
        <w:rPr>
          <w:rFonts w:ascii="Times New Roman" w:hAnsi="Times New Roman"/>
        </w:rPr>
        <w:t xml:space="preserve"> I. ove Odluke</w:t>
      </w:r>
      <w:r w:rsidR="00F54839">
        <w:rPr>
          <w:rFonts w:ascii="Times New Roman" w:hAnsi="Times New Roman"/>
        </w:rPr>
        <w:t xml:space="preserve"> </w:t>
      </w:r>
      <w:r w:rsidR="00F54839" w:rsidRPr="00F54839">
        <w:rPr>
          <w:rFonts w:ascii="Times New Roman" w:hAnsi="Times New Roman"/>
        </w:rPr>
        <w:t xml:space="preserve">provest će se u </w:t>
      </w:r>
      <w:r w:rsidR="001314A6" w:rsidRPr="00D70F8C">
        <w:rPr>
          <w:rFonts w:ascii="Times New Roman" w:hAnsi="Times New Roman"/>
        </w:rPr>
        <w:t xml:space="preserve">razdoblju </w:t>
      </w:r>
      <w:r w:rsidR="005900E5">
        <w:rPr>
          <w:rFonts w:ascii="Times New Roman" w:hAnsi="Times New Roman"/>
        </w:rPr>
        <w:t>od 202</w:t>
      </w:r>
      <w:r w:rsidR="00D5310E">
        <w:rPr>
          <w:rFonts w:ascii="Times New Roman" w:hAnsi="Times New Roman"/>
        </w:rPr>
        <w:t>4</w:t>
      </w:r>
      <w:r w:rsidR="005900E5">
        <w:rPr>
          <w:rFonts w:ascii="Times New Roman" w:hAnsi="Times New Roman"/>
        </w:rPr>
        <w:t>. do 2029. godine</w:t>
      </w:r>
      <w:r w:rsidR="001314A6" w:rsidRPr="00D70F8C">
        <w:rPr>
          <w:rFonts w:ascii="Times New Roman" w:hAnsi="Times New Roman"/>
        </w:rPr>
        <w:t>.</w:t>
      </w:r>
      <w:r w:rsidR="001314A6">
        <w:rPr>
          <w:rFonts w:ascii="Times New Roman" w:hAnsi="Times New Roman"/>
        </w:rPr>
        <w:t xml:space="preserve"> </w:t>
      </w:r>
    </w:p>
    <w:p w14:paraId="25B13A39" w14:textId="77777777" w:rsidR="001314A6" w:rsidRDefault="001314A6" w:rsidP="009B0EB4">
      <w:pPr>
        <w:jc w:val="center"/>
        <w:rPr>
          <w:rFonts w:ascii="Times New Roman" w:hAnsi="Times New Roman"/>
          <w:b/>
        </w:rPr>
      </w:pPr>
    </w:p>
    <w:p w14:paraId="25B13A3A" w14:textId="77777777" w:rsidR="009B0EB4" w:rsidRPr="0011555C" w:rsidRDefault="009B0EB4" w:rsidP="009B0EB4">
      <w:pPr>
        <w:jc w:val="center"/>
        <w:rPr>
          <w:rFonts w:ascii="Times New Roman" w:hAnsi="Times New Roman"/>
          <w:b/>
        </w:rPr>
      </w:pPr>
      <w:r w:rsidRPr="0011555C">
        <w:rPr>
          <w:rFonts w:ascii="Times New Roman" w:hAnsi="Times New Roman"/>
          <w:b/>
        </w:rPr>
        <w:t>I</w:t>
      </w:r>
      <w:r w:rsidR="001314A6">
        <w:rPr>
          <w:rFonts w:ascii="Times New Roman" w:hAnsi="Times New Roman"/>
          <w:b/>
        </w:rPr>
        <w:t>I</w:t>
      </w:r>
      <w:r w:rsidR="00526E82" w:rsidRPr="0011555C">
        <w:rPr>
          <w:rFonts w:ascii="Times New Roman" w:hAnsi="Times New Roman"/>
          <w:b/>
        </w:rPr>
        <w:t>I</w:t>
      </w:r>
      <w:r w:rsidRPr="0011555C">
        <w:rPr>
          <w:rFonts w:ascii="Times New Roman" w:hAnsi="Times New Roman"/>
          <w:b/>
        </w:rPr>
        <w:t>.</w:t>
      </w:r>
    </w:p>
    <w:p w14:paraId="25B13A3B" w14:textId="77777777" w:rsidR="009B0EB4" w:rsidRPr="0011555C" w:rsidRDefault="009B0EB4">
      <w:pPr>
        <w:jc w:val="both"/>
        <w:rPr>
          <w:rFonts w:ascii="Times New Roman" w:hAnsi="Times New Roman"/>
        </w:rPr>
      </w:pPr>
    </w:p>
    <w:p w14:paraId="25B13A3C" w14:textId="77777777" w:rsidR="00141B90" w:rsidRPr="0011555C" w:rsidRDefault="00141B90">
      <w:pPr>
        <w:jc w:val="both"/>
        <w:rPr>
          <w:rFonts w:ascii="Times New Roman" w:hAnsi="Times New Roman"/>
        </w:rPr>
      </w:pPr>
      <w:r w:rsidRPr="0011555C">
        <w:rPr>
          <w:rFonts w:ascii="Times New Roman" w:hAnsi="Times New Roman"/>
        </w:rPr>
        <w:tab/>
        <w:t xml:space="preserve">Za provedbu ove </w:t>
      </w:r>
      <w:r w:rsidR="00EB2434" w:rsidRPr="0011555C">
        <w:rPr>
          <w:rFonts w:ascii="Times New Roman" w:hAnsi="Times New Roman"/>
        </w:rPr>
        <w:t>O</w:t>
      </w:r>
      <w:r w:rsidRPr="0011555C">
        <w:rPr>
          <w:rFonts w:ascii="Times New Roman" w:hAnsi="Times New Roman"/>
        </w:rPr>
        <w:t xml:space="preserve">dluke </w:t>
      </w:r>
      <w:r w:rsidR="00AD5084" w:rsidRPr="0011555C">
        <w:rPr>
          <w:rFonts w:ascii="Times New Roman" w:hAnsi="Times New Roman"/>
        </w:rPr>
        <w:t xml:space="preserve">zadužuje se Ministarstvo obrane. </w:t>
      </w:r>
      <w:r w:rsidR="009B0EB4" w:rsidRPr="0011555C">
        <w:rPr>
          <w:rFonts w:ascii="Times New Roman" w:hAnsi="Times New Roman"/>
        </w:rPr>
        <w:tab/>
      </w:r>
    </w:p>
    <w:p w14:paraId="25B13A3D" w14:textId="77777777" w:rsidR="004C0B90" w:rsidRPr="00E42869" w:rsidRDefault="004C0B90">
      <w:pPr>
        <w:jc w:val="both"/>
        <w:rPr>
          <w:rFonts w:ascii="Times New Roman" w:hAnsi="Times New Roman"/>
        </w:rPr>
      </w:pPr>
    </w:p>
    <w:p w14:paraId="25B13A3E" w14:textId="77777777" w:rsidR="004C0B90" w:rsidRPr="00E42869" w:rsidRDefault="00526E82" w:rsidP="004E2B46">
      <w:pPr>
        <w:jc w:val="center"/>
        <w:rPr>
          <w:rFonts w:ascii="Times New Roman" w:hAnsi="Times New Roman"/>
          <w:b/>
        </w:rPr>
      </w:pPr>
      <w:r w:rsidRPr="00E42869">
        <w:rPr>
          <w:rFonts w:ascii="Times New Roman" w:hAnsi="Times New Roman"/>
          <w:b/>
        </w:rPr>
        <w:t>I</w:t>
      </w:r>
      <w:r w:rsidR="001314A6">
        <w:rPr>
          <w:rFonts w:ascii="Times New Roman" w:hAnsi="Times New Roman"/>
          <w:b/>
        </w:rPr>
        <w:t>V</w:t>
      </w:r>
      <w:r w:rsidR="004C0B90" w:rsidRPr="00E42869">
        <w:rPr>
          <w:rFonts w:ascii="Times New Roman" w:hAnsi="Times New Roman"/>
          <w:b/>
        </w:rPr>
        <w:t>.</w:t>
      </w:r>
    </w:p>
    <w:p w14:paraId="25B13A3F" w14:textId="77777777" w:rsidR="004C0B90" w:rsidRPr="00E42869" w:rsidRDefault="004C0B90">
      <w:pPr>
        <w:jc w:val="both"/>
        <w:rPr>
          <w:rFonts w:ascii="Times New Roman" w:hAnsi="Times New Roman"/>
        </w:rPr>
      </w:pPr>
    </w:p>
    <w:p w14:paraId="25B13A40" w14:textId="77777777" w:rsidR="004C0B90" w:rsidRPr="00E42869" w:rsidRDefault="004C0B90">
      <w:pPr>
        <w:jc w:val="both"/>
        <w:rPr>
          <w:rFonts w:ascii="Times New Roman" w:hAnsi="Times New Roman"/>
        </w:rPr>
      </w:pPr>
      <w:r w:rsidRPr="00E42869">
        <w:rPr>
          <w:rFonts w:ascii="Times New Roman" w:hAnsi="Times New Roman"/>
        </w:rPr>
        <w:tab/>
        <w:t xml:space="preserve">Ova Odluka stupa na snagu danom donošenja. </w:t>
      </w:r>
    </w:p>
    <w:p w14:paraId="25B13A41" w14:textId="77777777" w:rsidR="000E33EF" w:rsidRDefault="000E33EF">
      <w:pPr>
        <w:rPr>
          <w:rFonts w:ascii="Times New Roman" w:hAnsi="Times New Roman"/>
        </w:rPr>
      </w:pPr>
    </w:p>
    <w:p w14:paraId="64460FAA" w14:textId="77777777" w:rsidR="00D90E13" w:rsidRPr="00D90E13" w:rsidRDefault="00D90E13" w:rsidP="00D90E13">
      <w:pPr>
        <w:rPr>
          <w:rFonts w:ascii="Times New Roman" w:hAnsi="Times New Roman"/>
        </w:rPr>
      </w:pPr>
      <w:r w:rsidRPr="00D90E13">
        <w:rPr>
          <w:rFonts w:ascii="Times New Roman" w:hAnsi="Times New Roman"/>
        </w:rPr>
        <w:t>KLASA:</w:t>
      </w:r>
    </w:p>
    <w:p w14:paraId="6ED3CDA3" w14:textId="77777777" w:rsidR="00D90E13" w:rsidRPr="00D90E13" w:rsidRDefault="00D90E13" w:rsidP="00D90E13">
      <w:pPr>
        <w:rPr>
          <w:rFonts w:ascii="Times New Roman" w:hAnsi="Times New Roman"/>
        </w:rPr>
      </w:pPr>
      <w:r w:rsidRPr="00D90E13">
        <w:rPr>
          <w:rFonts w:ascii="Times New Roman" w:hAnsi="Times New Roman"/>
        </w:rPr>
        <w:t>URBROJ:</w:t>
      </w:r>
    </w:p>
    <w:p w14:paraId="4E84E119" w14:textId="77777777" w:rsidR="00D90E13" w:rsidRPr="00D90E13" w:rsidRDefault="00D90E13" w:rsidP="00D90E13">
      <w:pPr>
        <w:rPr>
          <w:rFonts w:ascii="Times New Roman" w:hAnsi="Times New Roman"/>
        </w:rPr>
      </w:pPr>
    </w:p>
    <w:p w14:paraId="5ABC51B9" w14:textId="77777777" w:rsidR="00D90E13" w:rsidRPr="00D90E13" w:rsidRDefault="00D90E13" w:rsidP="00D90E13">
      <w:pPr>
        <w:rPr>
          <w:rFonts w:ascii="Times New Roman" w:hAnsi="Times New Roman"/>
        </w:rPr>
      </w:pPr>
      <w:r w:rsidRPr="00D90E13">
        <w:rPr>
          <w:rFonts w:ascii="Times New Roman" w:hAnsi="Times New Roman"/>
        </w:rPr>
        <w:t xml:space="preserve">Zagreb, </w:t>
      </w:r>
      <w:r w:rsidRPr="00D90E13">
        <w:rPr>
          <w:rFonts w:ascii="Times New Roman" w:hAnsi="Times New Roman"/>
        </w:rPr>
        <w:tab/>
      </w:r>
      <w:r w:rsidRPr="00D90E13">
        <w:rPr>
          <w:rFonts w:ascii="Times New Roman" w:hAnsi="Times New Roman"/>
        </w:rPr>
        <w:tab/>
        <w:t xml:space="preserve"> </w:t>
      </w:r>
    </w:p>
    <w:p w14:paraId="25B13A42" w14:textId="77777777" w:rsidR="006B2F68" w:rsidRPr="00D90E13" w:rsidRDefault="006B2F68">
      <w:pPr>
        <w:rPr>
          <w:rFonts w:ascii="Times New Roman" w:hAnsi="Times New Roman"/>
        </w:rPr>
      </w:pPr>
    </w:p>
    <w:p w14:paraId="25B13A43" w14:textId="77777777" w:rsidR="004C0B90" w:rsidRPr="00D90E13" w:rsidRDefault="004C0B90" w:rsidP="004E2B46">
      <w:pPr>
        <w:ind w:left="4956"/>
        <w:jc w:val="center"/>
        <w:rPr>
          <w:rFonts w:ascii="Times New Roman" w:hAnsi="Times New Roman"/>
        </w:rPr>
      </w:pPr>
      <w:r w:rsidRPr="00D90E13">
        <w:rPr>
          <w:rFonts w:ascii="Times New Roman" w:hAnsi="Times New Roman"/>
        </w:rPr>
        <w:t>P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R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E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D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S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J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E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D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N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I</w:t>
      </w:r>
      <w:r w:rsidR="004E2B46" w:rsidRPr="00D90E13">
        <w:rPr>
          <w:rFonts w:ascii="Times New Roman" w:hAnsi="Times New Roman"/>
        </w:rPr>
        <w:t xml:space="preserve"> </w:t>
      </w:r>
      <w:r w:rsidRPr="00D90E13">
        <w:rPr>
          <w:rFonts w:ascii="Times New Roman" w:hAnsi="Times New Roman"/>
        </w:rPr>
        <w:t>K</w:t>
      </w:r>
    </w:p>
    <w:p w14:paraId="25B13A44" w14:textId="77777777" w:rsidR="004E2B46" w:rsidRPr="00D90E13" w:rsidRDefault="004E2B46" w:rsidP="004E2B46">
      <w:pPr>
        <w:ind w:left="4956"/>
        <w:jc w:val="center"/>
        <w:rPr>
          <w:rFonts w:ascii="Times New Roman" w:hAnsi="Times New Roman"/>
        </w:rPr>
      </w:pPr>
    </w:p>
    <w:p w14:paraId="25B13A45" w14:textId="77777777" w:rsidR="004E2B46" w:rsidRPr="00D90E13" w:rsidRDefault="004757FA" w:rsidP="004E2B46">
      <w:pPr>
        <w:ind w:left="4956"/>
        <w:jc w:val="center"/>
        <w:rPr>
          <w:rFonts w:ascii="Times New Roman" w:hAnsi="Times New Roman"/>
        </w:rPr>
      </w:pPr>
      <w:r w:rsidRPr="00D90E13">
        <w:rPr>
          <w:rFonts w:ascii="Times New Roman" w:hAnsi="Times New Roman"/>
        </w:rPr>
        <w:t xml:space="preserve">mr. sc. </w:t>
      </w:r>
      <w:r w:rsidR="001E1362" w:rsidRPr="00D90E13">
        <w:rPr>
          <w:rFonts w:ascii="Times New Roman" w:hAnsi="Times New Roman"/>
        </w:rPr>
        <w:t>Andrej Plenković</w:t>
      </w:r>
    </w:p>
    <w:p w14:paraId="25B13A46" w14:textId="77777777" w:rsidR="004C0B90" w:rsidRPr="00D90E13" w:rsidRDefault="004C0B90" w:rsidP="004E2B46">
      <w:pPr>
        <w:ind w:left="4956"/>
        <w:jc w:val="center"/>
        <w:rPr>
          <w:rFonts w:ascii="Times New Roman" w:hAnsi="Times New Roman"/>
        </w:rPr>
      </w:pPr>
    </w:p>
    <w:p w14:paraId="25B13A4B" w14:textId="77777777" w:rsidR="00C95178" w:rsidRPr="00D90E13" w:rsidRDefault="00C95178" w:rsidP="00A627C1">
      <w:pPr>
        <w:jc w:val="center"/>
        <w:rPr>
          <w:rFonts w:ascii="Times New Roman" w:hAnsi="Times New Roman"/>
          <w:spacing w:val="80"/>
        </w:rPr>
      </w:pPr>
    </w:p>
    <w:p w14:paraId="25B13A4C" w14:textId="77777777" w:rsidR="006B2F68" w:rsidRDefault="006B2F68" w:rsidP="00A627C1">
      <w:pPr>
        <w:jc w:val="center"/>
        <w:rPr>
          <w:rFonts w:ascii="Times New Roman" w:hAnsi="Times New Roman"/>
          <w:b/>
          <w:spacing w:val="80"/>
        </w:rPr>
      </w:pPr>
    </w:p>
    <w:p w14:paraId="25B13A4D" w14:textId="77777777" w:rsidR="00943DBA" w:rsidRDefault="00943DBA" w:rsidP="00A627C1">
      <w:pPr>
        <w:jc w:val="center"/>
        <w:rPr>
          <w:rFonts w:ascii="Times New Roman" w:hAnsi="Times New Roman"/>
          <w:b/>
          <w:spacing w:val="80"/>
        </w:rPr>
      </w:pPr>
    </w:p>
    <w:p w14:paraId="25B13A4E" w14:textId="77777777" w:rsidR="000157E1" w:rsidRDefault="000157E1">
      <w:pPr>
        <w:rPr>
          <w:rFonts w:ascii="Times New Roman" w:hAnsi="Times New Roman"/>
          <w:b/>
          <w:spacing w:val="80"/>
        </w:rPr>
      </w:pPr>
      <w:r>
        <w:rPr>
          <w:rFonts w:ascii="Times New Roman" w:hAnsi="Times New Roman"/>
          <w:b/>
          <w:spacing w:val="80"/>
        </w:rPr>
        <w:br w:type="page"/>
      </w:r>
    </w:p>
    <w:p w14:paraId="25B13A4F" w14:textId="77777777" w:rsidR="00A627C1" w:rsidRDefault="00392A2A" w:rsidP="00A627C1">
      <w:pPr>
        <w:jc w:val="center"/>
        <w:rPr>
          <w:rFonts w:ascii="Times New Roman" w:hAnsi="Times New Roman"/>
          <w:b/>
          <w:spacing w:val="80"/>
        </w:rPr>
      </w:pPr>
      <w:r w:rsidRPr="00FC00B7">
        <w:rPr>
          <w:rFonts w:ascii="Times New Roman" w:hAnsi="Times New Roman"/>
          <w:b/>
          <w:spacing w:val="80"/>
        </w:rPr>
        <w:lastRenderedPageBreak/>
        <w:t>OBRAZLOŽENJE</w:t>
      </w:r>
    </w:p>
    <w:p w14:paraId="764102C8" w14:textId="77777777" w:rsidR="00FC00B7" w:rsidRPr="00FC00B7" w:rsidRDefault="00FC00B7" w:rsidP="00A627C1">
      <w:pPr>
        <w:jc w:val="center"/>
        <w:rPr>
          <w:rFonts w:ascii="Times New Roman" w:hAnsi="Times New Roman"/>
          <w:b/>
          <w:spacing w:val="80"/>
        </w:rPr>
      </w:pPr>
    </w:p>
    <w:p w14:paraId="25B13A50" w14:textId="77777777" w:rsidR="00542F72" w:rsidRPr="00003DB2" w:rsidRDefault="00542F72" w:rsidP="00A627C1">
      <w:pPr>
        <w:jc w:val="center"/>
        <w:rPr>
          <w:rFonts w:ascii="Times New Roman" w:hAnsi="Times New Roman"/>
          <w:b/>
          <w:spacing w:val="80"/>
        </w:rPr>
      </w:pPr>
    </w:p>
    <w:p w14:paraId="12B0712F" w14:textId="71BC0167" w:rsidR="008E41F8" w:rsidRPr="00003DB2" w:rsidRDefault="00485615" w:rsidP="00FC00B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003DB2">
        <w:rPr>
          <w:rFonts w:ascii="Times New Roman" w:hAnsi="Times New Roman"/>
        </w:rPr>
        <w:tab/>
      </w:r>
      <w:r w:rsidR="00B14B3D" w:rsidRPr="00FC00B7">
        <w:rPr>
          <w:rFonts w:ascii="Times New Roman" w:hAnsi="Times New Roman"/>
          <w:b/>
        </w:rPr>
        <w:t>Točkom</w:t>
      </w:r>
      <w:r w:rsidR="00DF5C59" w:rsidRPr="00FC00B7">
        <w:rPr>
          <w:rFonts w:ascii="Times New Roman" w:hAnsi="Times New Roman"/>
          <w:b/>
        </w:rPr>
        <w:t xml:space="preserve"> I.</w:t>
      </w:r>
      <w:r w:rsidR="00DF5C59" w:rsidRPr="00003DB2">
        <w:rPr>
          <w:rFonts w:ascii="Times New Roman" w:hAnsi="Times New Roman"/>
        </w:rPr>
        <w:t xml:space="preserve"> </w:t>
      </w:r>
      <w:r w:rsidR="00FC00B7">
        <w:rPr>
          <w:rFonts w:ascii="Times New Roman" w:hAnsi="Times New Roman"/>
        </w:rPr>
        <w:tab/>
      </w:r>
      <w:r w:rsidR="00DF5C59" w:rsidRPr="00003DB2">
        <w:rPr>
          <w:rFonts w:ascii="Times New Roman" w:hAnsi="Times New Roman"/>
        </w:rPr>
        <w:t xml:space="preserve">određuje se pribavljanje nefinancijske imovine u iznosu od </w:t>
      </w:r>
      <w:r w:rsidR="008E41F8" w:rsidRPr="00003DB2">
        <w:rPr>
          <w:rFonts w:ascii="Times New Roman" w:hAnsi="Times New Roman"/>
        </w:rPr>
        <w:t>331.348.840,83 eura nabavom samohodnog višestrukog raketnog sustava HIMARS</w:t>
      </w:r>
      <w:r w:rsidR="00DF5C59" w:rsidRPr="00003DB2">
        <w:rPr>
          <w:rFonts w:ascii="Times New Roman" w:hAnsi="Times New Roman"/>
        </w:rPr>
        <w:t>.</w:t>
      </w:r>
      <w:r w:rsidR="00003DB2">
        <w:rPr>
          <w:rFonts w:ascii="Times New Roman" w:hAnsi="Times New Roman"/>
        </w:rPr>
        <w:t xml:space="preserve"> </w:t>
      </w:r>
      <w:r w:rsidR="008E41F8" w:rsidRPr="00003DB2">
        <w:rPr>
          <w:rFonts w:ascii="Times New Roman" w:hAnsi="Times New Roman"/>
        </w:rPr>
        <w:t xml:space="preserve">Nabavom samohodnog višestrukog raketnog sustava HIMARS unapređuju se sposobnosti Oružanih snaga Republike Hrvatske. Postrojbe Oružanih snaga </w:t>
      </w:r>
      <w:r w:rsidR="00FC00B7" w:rsidRPr="00003DB2">
        <w:rPr>
          <w:rFonts w:ascii="Times New Roman" w:hAnsi="Times New Roman"/>
        </w:rPr>
        <w:t xml:space="preserve">Republike Hrvatske </w:t>
      </w:r>
      <w:r w:rsidR="008E41F8" w:rsidRPr="00003DB2">
        <w:rPr>
          <w:rFonts w:ascii="Times New Roman" w:hAnsi="Times New Roman"/>
        </w:rPr>
        <w:t>dobit će sustavom HIMARS nove sposobnosti za precizno i učinkovito raketno djelovanje na srednjim i velikim udaljenostima. Ovu nabavu podržao je Odbor za obranu Hrvatskog</w:t>
      </w:r>
      <w:r w:rsidR="00FC00B7">
        <w:rPr>
          <w:rFonts w:ascii="Times New Roman" w:hAnsi="Times New Roman"/>
        </w:rPr>
        <w:t xml:space="preserve">a sabora na sjednici </w:t>
      </w:r>
      <w:r w:rsidR="008E41F8" w:rsidRPr="00003DB2">
        <w:rPr>
          <w:rFonts w:ascii="Times New Roman" w:hAnsi="Times New Roman"/>
        </w:rPr>
        <w:t>12. studenog</w:t>
      </w:r>
      <w:r w:rsidR="005A007A">
        <w:rPr>
          <w:rFonts w:ascii="Times New Roman" w:hAnsi="Times New Roman"/>
        </w:rPr>
        <w:t>a</w:t>
      </w:r>
      <w:r w:rsidR="008E41F8" w:rsidRPr="00003DB2">
        <w:rPr>
          <w:rFonts w:ascii="Times New Roman" w:hAnsi="Times New Roman"/>
        </w:rPr>
        <w:t xml:space="preserve"> 2024. </w:t>
      </w:r>
    </w:p>
    <w:p w14:paraId="37149FFA" w14:textId="77777777" w:rsidR="00FC00B7" w:rsidRDefault="00CA4EDE" w:rsidP="00FC00B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003DB2">
        <w:rPr>
          <w:rFonts w:ascii="Times New Roman" w:hAnsi="Times New Roman"/>
        </w:rPr>
        <w:tab/>
      </w:r>
    </w:p>
    <w:p w14:paraId="54A51FBF" w14:textId="0DF80B09" w:rsidR="00003DB2" w:rsidRPr="00003DB2" w:rsidRDefault="00FC00B7" w:rsidP="00FC00B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14B3D" w:rsidRPr="00FC00B7">
        <w:rPr>
          <w:rFonts w:ascii="Times New Roman" w:hAnsi="Times New Roman"/>
          <w:b/>
        </w:rPr>
        <w:t>Točkom II.</w:t>
      </w:r>
      <w:r w:rsidR="00B14B3D" w:rsidRPr="00003D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DF5C59" w:rsidRPr="00003DB2">
        <w:rPr>
          <w:rFonts w:ascii="Times New Roman" w:hAnsi="Times New Roman"/>
        </w:rPr>
        <w:t xml:space="preserve">određuje se da će se nabava </w:t>
      </w:r>
      <w:r w:rsidR="008E41F8" w:rsidRPr="00003DB2">
        <w:rPr>
          <w:rFonts w:ascii="Times New Roman" w:hAnsi="Times New Roman"/>
        </w:rPr>
        <w:t>samohodnog višestrukog raketnog sustava HIMARS iz točke I. ove Odluke provest</w:t>
      </w:r>
      <w:r w:rsidR="002B28FD">
        <w:rPr>
          <w:rFonts w:ascii="Times New Roman" w:hAnsi="Times New Roman"/>
        </w:rPr>
        <w:t xml:space="preserve">i </w:t>
      </w:r>
      <w:r w:rsidR="008E41F8" w:rsidRPr="00003DB2">
        <w:rPr>
          <w:rFonts w:ascii="Times New Roman" w:hAnsi="Times New Roman"/>
        </w:rPr>
        <w:t>u razdoblju od 202</w:t>
      </w:r>
      <w:r w:rsidR="002B28FD">
        <w:rPr>
          <w:rFonts w:ascii="Times New Roman" w:hAnsi="Times New Roman"/>
        </w:rPr>
        <w:t>4</w:t>
      </w:r>
      <w:r w:rsidR="008E41F8" w:rsidRPr="00003DB2">
        <w:rPr>
          <w:rFonts w:ascii="Times New Roman" w:hAnsi="Times New Roman"/>
        </w:rPr>
        <w:t>. do 2029. godine</w:t>
      </w:r>
      <w:r w:rsidR="00003DB2">
        <w:rPr>
          <w:rFonts w:ascii="Times New Roman" w:hAnsi="Times New Roman"/>
        </w:rPr>
        <w:t xml:space="preserve">. </w:t>
      </w:r>
      <w:r w:rsidR="008E41F8" w:rsidRPr="00003DB2">
        <w:rPr>
          <w:rFonts w:ascii="Times New Roman" w:hAnsi="Times New Roman"/>
        </w:rPr>
        <w:t>Nabava samohodnog višestrukog raketnog sustava HIMARS provodi se prema načelu sveobuhvatnog pristupa tako da osim lansera i vođenih raketa, paket uključuje i ostale robe i usluge, obuku i logističku potporu potrebnu za učinkovito funkcioniranje sustava. U svrhu nabave samohodnog višestrukog raketnog sustava HIMARS, od Vlade Sjedinjenih Američkih Država zaprimljeno je Pismo ponude i prihvaćanja (</w:t>
      </w:r>
      <w:r w:rsidR="008E41F8" w:rsidRPr="00FC00B7">
        <w:rPr>
          <w:rFonts w:ascii="Times New Roman" w:hAnsi="Times New Roman"/>
          <w:i/>
        </w:rPr>
        <w:t>Letter of Offer and Acceptance</w:t>
      </w:r>
      <w:r w:rsidR="008E41F8" w:rsidRPr="00003DB2">
        <w:rPr>
          <w:rFonts w:ascii="Times New Roman" w:hAnsi="Times New Roman"/>
        </w:rPr>
        <w:t xml:space="preserve">) HR-B-UCK. Ukupna vrijednost Pisma HR-B-UCK iznosi 289.968.461,00 američkih dolara. Ministarstvo obrane će imati obvezu plaćanja poreza na dodanu vrijednost na dio stavaka iz Pisma HR-B-UCK, odnosno na robe i usluge koje će biti isporučene u Republiku Hrvatsku, u protuvrijednosti od 60.698.017,25 američkih dolara. </w:t>
      </w:r>
      <w:r w:rsidR="00DF5C59" w:rsidRPr="00003DB2">
        <w:rPr>
          <w:rFonts w:ascii="Times New Roman" w:hAnsi="Times New Roman"/>
        </w:rPr>
        <w:t>Slijedom navedenog</w:t>
      </w:r>
      <w:r w:rsidR="00C36527" w:rsidRPr="00003DB2">
        <w:rPr>
          <w:rFonts w:ascii="Times New Roman" w:hAnsi="Times New Roman"/>
        </w:rPr>
        <w:t>a</w:t>
      </w:r>
      <w:r w:rsidR="00DF5C59" w:rsidRPr="00003DB2">
        <w:rPr>
          <w:rFonts w:ascii="Times New Roman" w:hAnsi="Times New Roman"/>
        </w:rPr>
        <w:t>, ukupna vrijednost imovine koja se pr</w:t>
      </w:r>
      <w:r w:rsidR="00CA4EDE" w:rsidRPr="00003DB2">
        <w:rPr>
          <w:rFonts w:ascii="Times New Roman" w:hAnsi="Times New Roman"/>
        </w:rPr>
        <w:t xml:space="preserve">ibavlja </w:t>
      </w:r>
      <w:r w:rsidR="008E41F8" w:rsidRPr="00003DB2">
        <w:rPr>
          <w:rFonts w:ascii="Times New Roman" w:hAnsi="Times New Roman"/>
        </w:rPr>
        <w:t>i ukupne obveze Ministarstva obrane iznose</w:t>
      </w:r>
      <w:r w:rsidR="00CA4EDE" w:rsidRPr="00003DB2">
        <w:rPr>
          <w:rFonts w:ascii="Times New Roman" w:hAnsi="Times New Roman"/>
        </w:rPr>
        <w:t xml:space="preserve"> </w:t>
      </w:r>
      <w:r w:rsidR="008E41F8" w:rsidRPr="00003DB2">
        <w:rPr>
          <w:rFonts w:ascii="Times New Roman" w:hAnsi="Times New Roman"/>
        </w:rPr>
        <w:t>350.666.478,25 američkih dolara ili 331.348.840,83 eura</w:t>
      </w:r>
      <w:r w:rsidR="00003DB2" w:rsidRPr="00003DB2">
        <w:rPr>
          <w:rFonts w:ascii="Times New Roman" w:hAnsi="Times New Roman"/>
        </w:rPr>
        <w:t xml:space="preserve">, od čega u 2024. godini 68.498.644,05 eura, </w:t>
      </w:r>
      <w:r w:rsidR="0042678C">
        <w:rPr>
          <w:rFonts w:ascii="Times New Roman" w:hAnsi="Times New Roman"/>
        </w:rPr>
        <w:t>u 2025</w:t>
      </w:r>
      <w:r w:rsidR="0042678C" w:rsidRPr="0042678C">
        <w:rPr>
          <w:rFonts w:ascii="Times New Roman" w:hAnsi="Times New Roman"/>
        </w:rPr>
        <w:t>. godini 68.498.644,05 eura</w:t>
      </w:r>
      <w:r w:rsidR="0003717C">
        <w:rPr>
          <w:rFonts w:ascii="Times New Roman" w:hAnsi="Times New Roman"/>
        </w:rPr>
        <w:t>,</w:t>
      </w:r>
      <w:r w:rsidR="0042678C" w:rsidRPr="0042678C">
        <w:rPr>
          <w:rFonts w:ascii="Times New Roman" w:hAnsi="Times New Roman"/>
        </w:rPr>
        <w:t xml:space="preserve"> </w:t>
      </w:r>
      <w:r w:rsidR="00003DB2" w:rsidRPr="00003DB2">
        <w:rPr>
          <w:rFonts w:ascii="Times New Roman" w:hAnsi="Times New Roman"/>
        </w:rPr>
        <w:t>u 202</w:t>
      </w:r>
      <w:r w:rsidR="0042678C">
        <w:rPr>
          <w:rFonts w:ascii="Times New Roman" w:hAnsi="Times New Roman"/>
        </w:rPr>
        <w:t>6</w:t>
      </w:r>
      <w:r w:rsidR="00003DB2" w:rsidRPr="00003DB2">
        <w:rPr>
          <w:rFonts w:ascii="Times New Roman" w:hAnsi="Times New Roman"/>
        </w:rPr>
        <w:t>. godini 71.238.874,28 eura, u 2027. godini 71.047.288,64 eura, u 2028. godini 46.192.192,13 eura i u 2029. godini 5.873.197,68 eura</w:t>
      </w:r>
      <w:r w:rsidR="00DF5C59" w:rsidRPr="00003DB2">
        <w:rPr>
          <w:rFonts w:ascii="Times New Roman" w:hAnsi="Times New Roman"/>
        </w:rPr>
        <w:t>.</w:t>
      </w:r>
      <w:r w:rsidR="00003DB2">
        <w:rPr>
          <w:rFonts w:ascii="Times New Roman" w:hAnsi="Times New Roman"/>
        </w:rPr>
        <w:t xml:space="preserve"> </w:t>
      </w:r>
      <w:r w:rsidR="00003DB2" w:rsidRPr="00003DB2">
        <w:rPr>
          <w:rFonts w:ascii="Times New Roman" w:hAnsi="Times New Roman"/>
        </w:rPr>
        <w:t>Potrebna sredstva za 2024. godinu osigurana su u Državnom proračunu Republike Hrvatske za 2024. i projekcijama za 2025. i 2026. godinu na razdjelu i glavi Ministarstva obrane, u programu 2504 Opremanje, modernizacija i izgradnja, aktivnosti A545042 Opremanje materijalno tehničkim sredstvima na računu 42 Rashodi za nabavu proizvedene dugotrajne imovine. Potrebna sredstva za 2025., 2026. i 2027. godinu osigurana su u Prijedlogu državnog proračuna Republike Hrvatske za 2025. godinu i projekcija za 2026. i 2027. godinu, na razdjelu i glavi Ministarstva obrane, u programu 2504 Opremanje, modernizacija i izgradnja, aktivnosti A545042 Opremanje materijalno tehničkim sredstvima na računu 42 Rashodi za nabavu proizvedene dugotrajne imovine. Potrebna sredstva za 2028. i 2029. godinu prioritetno će se osigurati prilikom izrade državnog proračuna Republike Hrvatske za navedene godine, na razdjelu i glavi Ministarstva obrane.</w:t>
      </w:r>
    </w:p>
    <w:p w14:paraId="7FCC10B0" w14:textId="77777777" w:rsidR="00FC00B7" w:rsidRDefault="00003DB2" w:rsidP="00FC00B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</w:p>
    <w:p w14:paraId="7E87F317" w14:textId="0D012A01" w:rsidR="00003DB2" w:rsidRPr="00FC00B7" w:rsidRDefault="00FC00B7" w:rsidP="00FC00B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CA4EDE" w:rsidRPr="00FC00B7">
        <w:rPr>
          <w:rFonts w:ascii="Times New Roman" w:hAnsi="Times New Roman"/>
          <w:b/>
        </w:rPr>
        <w:t>Točkom III.</w:t>
      </w:r>
      <w:r w:rsidR="00CA4E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određuje se da se </w:t>
      </w:r>
      <w:r w:rsidR="00DF5C59">
        <w:rPr>
          <w:rFonts w:ascii="Times New Roman" w:hAnsi="Times New Roman"/>
        </w:rPr>
        <w:t xml:space="preserve">za provedbu ove Odluke zadužuje </w:t>
      </w:r>
      <w:r w:rsidR="00DF5C59" w:rsidRPr="00D806FB">
        <w:rPr>
          <w:rFonts w:ascii="Times New Roman" w:hAnsi="Times New Roman"/>
        </w:rPr>
        <w:t>Ministarstvo obrane.</w:t>
      </w:r>
    </w:p>
    <w:p w14:paraId="2B1258A8" w14:textId="77777777" w:rsidR="00FC00B7" w:rsidRDefault="00003DB2" w:rsidP="00FC00B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</w:rPr>
      </w:pPr>
      <w:r w:rsidRPr="00FC00B7">
        <w:rPr>
          <w:rFonts w:ascii="Times New Roman" w:hAnsi="Times New Roman"/>
          <w:b/>
        </w:rPr>
        <w:tab/>
      </w:r>
    </w:p>
    <w:p w14:paraId="7CD1CAB6" w14:textId="75A18E59" w:rsidR="0003717C" w:rsidRDefault="00FC00B7" w:rsidP="00FC00B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CA4EDE" w:rsidRPr="00FC00B7">
        <w:rPr>
          <w:rFonts w:ascii="Times New Roman" w:hAnsi="Times New Roman"/>
          <w:b/>
        </w:rPr>
        <w:t>Točkom IV.</w:t>
      </w:r>
      <w:r>
        <w:rPr>
          <w:rFonts w:ascii="Times New Roman" w:hAnsi="Times New Roman"/>
        </w:rPr>
        <w:t xml:space="preserve"> određuje se stupanje</w:t>
      </w:r>
      <w:r w:rsidR="00DF5C59" w:rsidRPr="00D806FB">
        <w:rPr>
          <w:rFonts w:ascii="Times New Roman" w:hAnsi="Times New Roman"/>
        </w:rPr>
        <w:t xml:space="preserve"> na snagu ove Odluke.</w:t>
      </w:r>
    </w:p>
    <w:sectPr w:rsidR="0003717C">
      <w:footerReference w:type="default" r:id="rId12"/>
      <w:pgSz w:w="11906" w:h="16838" w:code="9"/>
      <w:pgMar w:top="1134" w:right="1134" w:bottom="51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F1F7" w14:textId="77777777" w:rsidR="008C0E08" w:rsidRDefault="008C0E08">
      <w:r>
        <w:separator/>
      </w:r>
    </w:p>
  </w:endnote>
  <w:endnote w:type="continuationSeparator" w:id="0">
    <w:p w14:paraId="0701ABDD" w14:textId="77777777" w:rsidR="008C0E08" w:rsidRDefault="008C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613566745"/>
      <w:docPartObj>
        <w:docPartGallery w:val="Page Numbers (Bottom of Page)"/>
        <w:docPartUnique/>
      </w:docPartObj>
    </w:sdtPr>
    <w:sdtEndPr/>
    <w:sdtContent>
      <w:p w14:paraId="25B13A75" w14:textId="19E820A8" w:rsidR="0042678C" w:rsidRPr="00B14B3D" w:rsidRDefault="0042678C">
        <w:pPr>
          <w:pStyle w:val="Footer"/>
          <w:jc w:val="right"/>
          <w:rPr>
            <w:rFonts w:ascii="Times New Roman" w:hAnsi="Times New Roman"/>
          </w:rPr>
        </w:pPr>
        <w:r w:rsidRPr="00B14B3D">
          <w:rPr>
            <w:rFonts w:ascii="Times New Roman" w:hAnsi="Times New Roman"/>
          </w:rPr>
          <w:fldChar w:fldCharType="begin"/>
        </w:r>
        <w:r w:rsidRPr="00B14B3D">
          <w:rPr>
            <w:rFonts w:ascii="Times New Roman" w:hAnsi="Times New Roman"/>
          </w:rPr>
          <w:instrText>PAGE   \* MERGEFORMAT</w:instrText>
        </w:r>
        <w:r w:rsidRPr="00B14B3D">
          <w:rPr>
            <w:rFonts w:ascii="Times New Roman" w:hAnsi="Times New Roman"/>
          </w:rPr>
          <w:fldChar w:fldCharType="separate"/>
        </w:r>
        <w:r w:rsidR="002030A7">
          <w:rPr>
            <w:rFonts w:ascii="Times New Roman" w:hAnsi="Times New Roman"/>
            <w:noProof/>
          </w:rPr>
          <w:t>3</w:t>
        </w:r>
        <w:r w:rsidRPr="00B14B3D">
          <w:rPr>
            <w:rFonts w:ascii="Times New Roman" w:hAnsi="Times New Roman"/>
          </w:rPr>
          <w:fldChar w:fldCharType="end"/>
        </w:r>
      </w:p>
    </w:sdtContent>
  </w:sdt>
  <w:p w14:paraId="25B13A76" w14:textId="77777777" w:rsidR="0042678C" w:rsidRPr="00B14B3D" w:rsidRDefault="0042678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CDF8" w14:textId="77777777" w:rsidR="008C0E08" w:rsidRDefault="008C0E08">
      <w:r>
        <w:separator/>
      </w:r>
    </w:p>
  </w:footnote>
  <w:footnote w:type="continuationSeparator" w:id="0">
    <w:p w14:paraId="36B9B8C9" w14:textId="77777777" w:rsidR="008C0E08" w:rsidRDefault="008C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4BD7471F"/>
    <w:multiLevelType w:val="hybridMultilevel"/>
    <w:tmpl w:val="4164FFC6"/>
    <w:lvl w:ilvl="0" w:tplc="2E08326E">
      <w:start w:val="1"/>
      <w:numFmt w:val="bullet"/>
      <w:lvlText w:val="‒"/>
      <w:lvlJc w:val="left"/>
      <w:pPr>
        <w:ind w:left="1170" w:hanging="117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0"/>
    <w:rsid w:val="00001A03"/>
    <w:rsid w:val="00003DB2"/>
    <w:rsid w:val="00010768"/>
    <w:rsid w:val="000122D4"/>
    <w:rsid w:val="000157E1"/>
    <w:rsid w:val="00032628"/>
    <w:rsid w:val="00034BB8"/>
    <w:rsid w:val="00035265"/>
    <w:rsid w:val="0003717C"/>
    <w:rsid w:val="00056261"/>
    <w:rsid w:val="000804A5"/>
    <w:rsid w:val="000A5D91"/>
    <w:rsid w:val="000B31D7"/>
    <w:rsid w:val="000C1C5A"/>
    <w:rsid w:val="000E33EF"/>
    <w:rsid w:val="0011555C"/>
    <w:rsid w:val="00120154"/>
    <w:rsid w:val="00127D51"/>
    <w:rsid w:val="00130EA6"/>
    <w:rsid w:val="001314A6"/>
    <w:rsid w:val="001328D3"/>
    <w:rsid w:val="00141B90"/>
    <w:rsid w:val="001510D3"/>
    <w:rsid w:val="001550CE"/>
    <w:rsid w:val="00162036"/>
    <w:rsid w:val="001653E6"/>
    <w:rsid w:val="00170E39"/>
    <w:rsid w:val="0019603B"/>
    <w:rsid w:val="001A0B17"/>
    <w:rsid w:val="001A36E7"/>
    <w:rsid w:val="001A51D9"/>
    <w:rsid w:val="001D4C28"/>
    <w:rsid w:val="001D6C51"/>
    <w:rsid w:val="001E1362"/>
    <w:rsid w:val="001E5A92"/>
    <w:rsid w:val="001E7B44"/>
    <w:rsid w:val="002030A7"/>
    <w:rsid w:val="00206855"/>
    <w:rsid w:val="00247696"/>
    <w:rsid w:val="0025245A"/>
    <w:rsid w:val="00261C21"/>
    <w:rsid w:val="00263488"/>
    <w:rsid w:val="0027138D"/>
    <w:rsid w:val="002A0F54"/>
    <w:rsid w:val="002B28FD"/>
    <w:rsid w:val="002B4FAC"/>
    <w:rsid w:val="002D15E0"/>
    <w:rsid w:val="002E2901"/>
    <w:rsid w:val="002E2F1F"/>
    <w:rsid w:val="002E4EA3"/>
    <w:rsid w:val="002F2BF2"/>
    <w:rsid w:val="00324D2E"/>
    <w:rsid w:val="0035101F"/>
    <w:rsid w:val="00373728"/>
    <w:rsid w:val="00381C7D"/>
    <w:rsid w:val="00384218"/>
    <w:rsid w:val="00392A2A"/>
    <w:rsid w:val="003943D0"/>
    <w:rsid w:val="003B4ACA"/>
    <w:rsid w:val="003C1B3B"/>
    <w:rsid w:val="003C3066"/>
    <w:rsid w:val="003E6682"/>
    <w:rsid w:val="00413A2A"/>
    <w:rsid w:val="0041777C"/>
    <w:rsid w:val="0042429D"/>
    <w:rsid w:val="00425914"/>
    <w:rsid w:val="0042678C"/>
    <w:rsid w:val="004332AC"/>
    <w:rsid w:val="00440734"/>
    <w:rsid w:val="0044168D"/>
    <w:rsid w:val="00474C2C"/>
    <w:rsid w:val="004757FA"/>
    <w:rsid w:val="00484FDB"/>
    <w:rsid w:val="00485615"/>
    <w:rsid w:val="004B27FB"/>
    <w:rsid w:val="004C0B90"/>
    <w:rsid w:val="004D1CB6"/>
    <w:rsid w:val="004E2B46"/>
    <w:rsid w:val="004F2188"/>
    <w:rsid w:val="004F25EB"/>
    <w:rsid w:val="004F60BA"/>
    <w:rsid w:val="005010C2"/>
    <w:rsid w:val="00507F58"/>
    <w:rsid w:val="00526E82"/>
    <w:rsid w:val="00542F72"/>
    <w:rsid w:val="00543A7D"/>
    <w:rsid w:val="00573A2F"/>
    <w:rsid w:val="005772E2"/>
    <w:rsid w:val="0058099E"/>
    <w:rsid w:val="005900E5"/>
    <w:rsid w:val="00590821"/>
    <w:rsid w:val="00593231"/>
    <w:rsid w:val="00596F28"/>
    <w:rsid w:val="005A007A"/>
    <w:rsid w:val="005D1EBA"/>
    <w:rsid w:val="005E08EC"/>
    <w:rsid w:val="00602292"/>
    <w:rsid w:val="006129C8"/>
    <w:rsid w:val="00613CC6"/>
    <w:rsid w:val="00661A55"/>
    <w:rsid w:val="006B2F68"/>
    <w:rsid w:val="006E6029"/>
    <w:rsid w:val="00702313"/>
    <w:rsid w:val="00702D4B"/>
    <w:rsid w:val="007125D3"/>
    <w:rsid w:val="00715F6D"/>
    <w:rsid w:val="007200EA"/>
    <w:rsid w:val="00721FBC"/>
    <w:rsid w:val="0074414F"/>
    <w:rsid w:val="00766A96"/>
    <w:rsid w:val="007A7E8A"/>
    <w:rsid w:val="007C482D"/>
    <w:rsid w:val="007C7041"/>
    <w:rsid w:val="007E5A50"/>
    <w:rsid w:val="007F09FD"/>
    <w:rsid w:val="007F19CF"/>
    <w:rsid w:val="00820D0B"/>
    <w:rsid w:val="00843282"/>
    <w:rsid w:val="00865763"/>
    <w:rsid w:val="00882594"/>
    <w:rsid w:val="008A6A93"/>
    <w:rsid w:val="008B5926"/>
    <w:rsid w:val="008C0B8E"/>
    <w:rsid w:val="008C0E08"/>
    <w:rsid w:val="008C23C8"/>
    <w:rsid w:val="008C5CA6"/>
    <w:rsid w:val="008D694B"/>
    <w:rsid w:val="008E1AD2"/>
    <w:rsid w:val="008E1F68"/>
    <w:rsid w:val="008E41F8"/>
    <w:rsid w:val="008F76E9"/>
    <w:rsid w:val="009007E2"/>
    <w:rsid w:val="009414A3"/>
    <w:rsid w:val="00943DBA"/>
    <w:rsid w:val="00964D8C"/>
    <w:rsid w:val="009842BA"/>
    <w:rsid w:val="00987668"/>
    <w:rsid w:val="0099398E"/>
    <w:rsid w:val="009A4952"/>
    <w:rsid w:val="009B0EB4"/>
    <w:rsid w:val="009B6B1B"/>
    <w:rsid w:val="009F0BF2"/>
    <w:rsid w:val="00A02C56"/>
    <w:rsid w:val="00A033C3"/>
    <w:rsid w:val="00A23892"/>
    <w:rsid w:val="00A33FB1"/>
    <w:rsid w:val="00A352C6"/>
    <w:rsid w:val="00A36E81"/>
    <w:rsid w:val="00A42628"/>
    <w:rsid w:val="00A5334F"/>
    <w:rsid w:val="00A627C1"/>
    <w:rsid w:val="00A75B82"/>
    <w:rsid w:val="00AA04B5"/>
    <w:rsid w:val="00AA379B"/>
    <w:rsid w:val="00AA7A49"/>
    <w:rsid w:val="00AB6351"/>
    <w:rsid w:val="00AC15F5"/>
    <w:rsid w:val="00AC4494"/>
    <w:rsid w:val="00AD5084"/>
    <w:rsid w:val="00AD6A40"/>
    <w:rsid w:val="00AF26BA"/>
    <w:rsid w:val="00AF3752"/>
    <w:rsid w:val="00B14B3D"/>
    <w:rsid w:val="00B17289"/>
    <w:rsid w:val="00B2259E"/>
    <w:rsid w:val="00B3103B"/>
    <w:rsid w:val="00B33CC2"/>
    <w:rsid w:val="00B53E67"/>
    <w:rsid w:val="00B53EF9"/>
    <w:rsid w:val="00B63B59"/>
    <w:rsid w:val="00B63D29"/>
    <w:rsid w:val="00B96A5C"/>
    <w:rsid w:val="00BA5D81"/>
    <w:rsid w:val="00BB3D9C"/>
    <w:rsid w:val="00BC3DFB"/>
    <w:rsid w:val="00BC5FE6"/>
    <w:rsid w:val="00BD0E9C"/>
    <w:rsid w:val="00BE691D"/>
    <w:rsid w:val="00BF260C"/>
    <w:rsid w:val="00C05CD9"/>
    <w:rsid w:val="00C25497"/>
    <w:rsid w:val="00C32A1E"/>
    <w:rsid w:val="00C36527"/>
    <w:rsid w:val="00C5089C"/>
    <w:rsid w:val="00C621FE"/>
    <w:rsid w:val="00C73798"/>
    <w:rsid w:val="00C95178"/>
    <w:rsid w:val="00CA4EDE"/>
    <w:rsid w:val="00CA6C22"/>
    <w:rsid w:val="00CC21A7"/>
    <w:rsid w:val="00CE53F6"/>
    <w:rsid w:val="00CF0439"/>
    <w:rsid w:val="00D4594E"/>
    <w:rsid w:val="00D50C53"/>
    <w:rsid w:val="00D5310E"/>
    <w:rsid w:val="00D531E3"/>
    <w:rsid w:val="00D5404A"/>
    <w:rsid w:val="00D62209"/>
    <w:rsid w:val="00D63FDD"/>
    <w:rsid w:val="00D70F0F"/>
    <w:rsid w:val="00D70F8C"/>
    <w:rsid w:val="00D806FB"/>
    <w:rsid w:val="00D82099"/>
    <w:rsid w:val="00D82D00"/>
    <w:rsid w:val="00D82E8B"/>
    <w:rsid w:val="00D90E13"/>
    <w:rsid w:val="00D958E5"/>
    <w:rsid w:val="00DA2638"/>
    <w:rsid w:val="00DB28D3"/>
    <w:rsid w:val="00DC4785"/>
    <w:rsid w:val="00DC5912"/>
    <w:rsid w:val="00DE2334"/>
    <w:rsid w:val="00DF5C59"/>
    <w:rsid w:val="00E031CF"/>
    <w:rsid w:val="00E30F8B"/>
    <w:rsid w:val="00E42869"/>
    <w:rsid w:val="00E5165B"/>
    <w:rsid w:val="00E55AD3"/>
    <w:rsid w:val="00E8109D"/>
    <w:rsid w:val="00EA40B7"/>
    <w:rsid w:val="00EB2434"/>
    <w:rsid w:val="00EC541C"/>
    <w:rsid w:val="00EC6B78"/>
    <w:rsid w:val="00ED6FB9"/>
    <w:rsid w:val="00EE63A2"/>
    <w:rsid w:val="00EF22FE"/>
    <w:rsid w:val="00EF5A35"/>
    <w:rsid w:val="00F21F81"/>
    <w:rsid w:val="00F256E8"/>
    <w:rsid w:val="00F34E44"/>
    <w:rsid w:val="00F51D7D"/>
    <w:rsid w:val="00F523FA"/>
    <w:rsid w:val="00F52B6C"/>
    <w:rsid w:val="00F54839"/>
    <w:rsid w:val="00F87C64"/>
    <w:rsid w:val="00F95E9F"/>
    <w:rsid w:val="00FC00B7"/>
    <w:rsid w:val="00FC1A88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39FE"/>
  <w15:docId w15:val="{C0010F24-2598-49D2-BD8B-6F5FA3F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F7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14B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14B3D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4B3D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6E6029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AZJMDCZ6QSYZ-1335579144-77547</_dlc_DocId>
    <_dlc_DocIdUrl xmlns="a494813a-d0d8-4dad-94cb-0d196f36ba15">
      <Url>https://ekoordinacije.vlada.hr/_layouts/15/DocIdRedir.aspx?ID=AZJMDCZ6QSYZ-1335579144-77547</Url>
      <Description>AZJMDCZ6QSYZ-1335579144-77547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D5B51-0ABE-4AFF-B529-5087A680FAAF}">
  <ds:schemaRefs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1C645-80C7-4DEE-87BB-92126DA13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ED36D-091F-4DFD-974F-931B234CB4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4BDE89-0AE5-474C-9322-6FE99387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VLADA REPUBLIKE HRVATSKE</vt:lpstr>
      <vt:lpstr>VLADA REPUBLIKE HRVATSKE</vt:lpstr>
    </vt:vector>
  </TitlesOfParts>
  <Company>RH-TDU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Ivana Šestić</dc:creator>
  <cp:lastModifiedBy>Senada Džafović</cp:lastModifiedBy>
  <cp:revision>5</cp:revision>
  <cp:lastPrinted>2019-11-30T14:05:00Z</cp:lastPrinted>
  <dcterms:created xsi:type="dcterms:W3CDTF">2024-12-05T15:08:00Z</dcterms:created>
  <dcterms:modified xsi:type="dcterms:W3CDTF">2024-12-17T09:03:00Z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0c72d940-3be0-4596-9a87-49c63c9198b0</vt:lpwstr>
  </property>
</Properties>
</file>