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431E6" w14:textId="77777777" w:rsidR="00071E46" w:rsidRPr="0031092A" w:rsidRDefault="00071E46" w:rsidP="0031092A">
      <w:pPr>
        <w:spacing w:line="240" w:lineRule="auto"/>
        <w:jc w:val="center"/>
        <w:rPr>
          <w:rFonts w:ascii="Times New Roman" w:hAnsi="Times New Roman" w:cs="Times New Roman"/>
          <w:sz w:val="24"/>
          <w:szCs w:val="24"/>
        </w:rPr>
      </w:pPr>
      <w:r w:rsidRPr="0031092A">
        <w:rPr>
          <w:rFonts w:ascii="Times New Roman" w:hAnsi="Times New Roman" w:cs="Times New Roman"/>
          <w:noProof/>
          <w:sz w:val="24"/>
          <w:szCs w:val="24"/>
          <w:lang w:eastAsia="hr-HR"/>
        </w:rPr>
        <w:drawing>
          <wp:inline distT="0" distB="0" distL="0" distR="0" wp14:anchorId="00EAB922" wp14:editId="47CCFFEE">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31092A">
        <w:rPr>
          <w:rFonts w:ascii="Times New Roman" w:hAnsi="Times New Roman" w:cs="Times New Roman"/>
          <w:sz w:val="24"/>
          <w:szCs w:val="24"/>
        </w:rPr>
        <w:fldChar w:fldCharType="begin"/>
      </w:r>
      <w:r w:rsidRPr="0031092A">
        <w:rPr>
          <w:rFonts w:ascii="Times New Roman" w:hAnsi="Times New Roman" w:cs="Times New Roman"/>
          <w:sz w:val="24"/>
          <w:szCs w:val="24"/>
        </w:rPr>
        <w:instrText xml:space="preserve"> INCLUDEPICTURE "http://www.inet.hr/~box/images/grb-rh.gif" \* MERGEFORMATINET </w:instrText>
      </w:r>
      <w:r w:rsidRPr="0031092A">
        <w:rPr>
          <w:rFonts w:ascii="Times New Roman" w:hAnsi="Times New Roman" w:cs="Times New Roman"/>
          <w:sz w:val="24"/>
          <w:szCs w:val="24"/>
        </w:rPr>
        <w:fldChar w:fldCharType="end"/>
      </w:r>
    </w:p>
    <w:p w14:paraId="615AF884" w14:textId="77777777" w:rsidR="00071E46" w:rsidRPr="0031092A" w:rsidRDefault="00071E46" w:rsidP="0031092A">
      <w:pPr>
        <w:spacing w:before="60" w:after="800" w:line="240" w:lineRule="auto"/>
        <w:jc w:val="center"/>
        <w:rPr>
          <w:rFonts w:ascii="Times New Roman" w:hAnsi="Times New Roman" w:cs="Times New Roman"/>
          <w:sz w:val="24"/>
          <w:szCs w:val="24"/>
        </w:rPr>
      </w:pPr>
      <w:r w:rsidRPr="0031092A">
        <w:rPr>
          <w:rFonts w:ascii="Times New Roman" w:hAnsi="Times New Roman" w:cs="Times New Roman"/>
          <w:sz w:val="24"/>
          <w:szCs w:val="24"/>
        </w:rPr>
        <w:t>VLADA REPUBLIKE HRVATSKE</w:t>
      </w:r>
    </w:p>
    <w:p w14:paraId="79FCCBBC" w14:textId="77777777" w:rsidR="00071E46" w:rsidRPr="0031092A" w:rsidRDefault="00071E46" w:rsidP="0031092A">
      <w:pPr>
        <w:spacing w:after="1200" w:line="240" w:lineRule="auto"/>
        <w:jc w:val="right"/>
        <w:rPr>
          <w:rFonts w:ascii="Times New Roman" w:hAnsi="Times New Roman" w:cs="Times New Roman"/>
          <w:sz w:val="24"/>
          <w:szCs w:val="24"/>
        </w:rPr>
      </w:pPr>
    </w:p>
    <w:p w14:paraId="7220E37B" w14:textId="310C844C" w:rsidR="00071E46" w:rsidRPr="0031092A" w:rsidRDefault="00A54C9D" w:rsidP="0031092A">
      <w:pPr>
        <w:spacing w:after="1200" w:line="240" w:lineRule="auto"/>
        <w:jc w:val="center"/>
        <w:rPr>
          <w:rFonts w:ascii="Times New Roman" w:hAnsi="Times New Roman" w:cs="Times New Roman"/>
          <w:sz w:val="24"/>
          <w:szCs w:val="24"/>
        </w:rPr>
      </w:pPr>
      <w:r w:rsidRPr="0031092A">
        <w:rPr>
          <w:rFonts w:ascii="Times New Roman" w:hAnsi="Times New Roman" w:cs="Times New Roman"/>
          <w:sz w:val="24"/>
          <w:szCs w:val="24"/>
        </w:rPr>
        <w:t xml:space="preserve">                                                                                                         </w:t>
      </w:r>
      <w:r w:rsidR="008550C7" w:rsidRPr="0031092A">
        <w:rPr>
          <w:rFonts w:ascii="Times New Roman" w:hAnsi="Times New Roman" w:cs="Times New Roman"/>
          <w:sz w:val="24"/>
          <w:szCs w:val="24"/>
        </w:rPr>
        <w:t>Z</w:t>
      </w:r>
      <w:r w:rsidR="00711F95" w:rsidRPr="0031092A">
        <w:rPr>
          <w:rFonts w:ascii="Times New Roman" w:hAnsi="Times New Roman" w:cs="Times New Roman"/>
          <w:sz w:val="24"/>
          <w:szCs w:val="24"/>
        </w:rPr>
        <w:t xml:space="preserve">agreb, </w:t>
      </w:r>
      <w:r w:rsidR="00355B78">
        <w:rPr>
          <w:rFonts w:ascii="Times New Roman" w:hAnsi="Times New Roman" w:cs="Times New Roman"/>
          <w:sz w:val="24"/>
          <w:szCs w:val="24"/>
        </w:rPr>
        <w:t>20</w:t>
      </w:r>
      <w:r w:rsidR="00071E46" w:rsidRPr="0031092A">
        <w:rPr>
          <w:rFonts w:ascii="Times New Roman" w:hAnsi="Times New Roman" w:cs="Times New Roman"/>
          <w:sz w:val="24"/>
          <w:szCs w:val="24"/>
        </w:rPr>
        <w:t>.</w:t>
      </w:r>
      <w:r w:rsidR="00A649C7" w:rsidRPr="0031092A">
        <w:rPr>
          <w:rFonts w:ascii="Times New Roman" w:hAnsi="Times New Roman" w:cs="Times New Roman"/>
          <w:sz w:val="24"/>
          <w:szCs w:val="24"/>
        </w:rPr>
        <w:t xml:space="preserve"> </w:t>
      </w:r>
      <w:r w:rsidR="00355B78">
        <w:rPr>
          <w:rFonts w:ascii="Times New Roman" w:hAnsi="Times New Roman" w:cs="Times New Roman"/>
          <w:sz w:val="24"/>
          <w:szCs w:val="24"/>
        </w:rPr>
        <w:t>prosinca</w:t>
      </w:r>
      <w:r w:rsidR="00071E46" w:rsidRPr="0031092A">
        <w:rPr>
          <w:rFonts w:ascii="Times New Roman" w:hAnsi="Times New Roman" w:cs="Times New Roman"/>
          <w:sz w:val="24"/>
          <w:szCs w:val="24"/>
        </w:rPr>
        <w:t xml:space="preserve"> 202</w:t>
      </w:r>
      <w:r w:rsidR="008550C7" w:rsidRPr="0031092A">
        <w:rPr>
          <w:rFonts w:ascii="Times New Roman" w:hAnsi="Times New Roman" w:cs="Times New Roman"/>
          <w:sz w:val="24"/>
          <w:szCs w:val="24"/>
        </w:rPr>
        <w:t>4</w:t>
      </w:r>
      <w:r w:rsidR="00071E46" w:rsidRPr="0031092A">
        <w:rPr>
          <w:rFonts w:ascii="Times New Roman" w:hAnsi="Times New Roman" w:cs="Times New Roman"/>
          <w:sz w:val="24"/>
          <w:szCs w:val="24"/>
        </w:rPr>
        <w:t>.</w:t>
      </w:r>
    </w:p>
    <w:p w14:paraId="27C044E5" w14:textId="77777777" w:rsidR="00A649C7" w:rsidRPr="0031092A" w:rsidRDefault="00A649C7" w:rsidP="0031092A">
      <w:pPr>
        <w:spacing w:line="240" w:lineRule="auto"/>
        <w:rPr>
          <w:rFonts w:ascii="Times New Roman" w:hAnsi="Times New Roman" w:cs="Times New Roman"/>
          <w:sz w:val="24"/>
          <w:szCs w:val="24"/>
        </w:rPr>
      </w:pPr>
    </w:p>
    <w:p w14:paraId="026B2F5B" w14:textId="3A714DBE" w:rsidR="00071E46" w:rsidRPr="0031092A" w:rsidRDefault="00071E46" w:rsidP="0031092A">
      <w:pPr>
        <w:spacing w:line="240" w:lineRule="auto"/>
        <w:rPr>
          <w:rFonts w:ascii="Times New Roman" w:hAnsi="Times New Roman" w:cs="Times New Roman"/>
          <w:sz w:val="24"/>
          <w:szCs w:val="24"/>
        </w:rPr>
      </w:pPr>
      <w:r w:rsidRPr="0031092A">
        <w:rPr>
          <w:rFonts w:ascii="Times New Roman" w:hAnsi="Times New Roman" w:cs="Times New Roman"/>
          <w:sz w:val="24"/>
          <w:szCs w:val="24"/>
        </w:rPr>
        <w:t>__________________________________________________________________________</w:t>
      </w:r>
    </w:p>
    <w:p w14:paraId="0222F5CC" w14:textId="77777777" w:rsidR="00071E46" w:rsidRPr="0031092A" w:rsidRDefault="00071E46" w:rsidP="0031092A">
      <w:pPr>
        <w:tabs>
          <w:tab w:val="right" w:pos="1701"/>
          <w:tab w:val="left" w:pos="1843"/>
        </w:tabs>
        <w:spacing w:line="240" w:lineRule="auto"/>
        <w:ind w:left="1843" w:hanging="1843"/>
        <w:rPr>
          <w:rFonts w:ascii="Times New Roman" w:hAnsi="Times New Roman" w:cs="Times New Roman"/>
          <w:b/>
          <w:smallCaps/>
          <w:sz w:val="24"/>
          <w:szCs w:val="24"/>
        </w:rPr>
        <w:sectPr w:rsidR="00071E46" w:rsidRPr="0031092A" w:rsidSect="00A40F0A">
          <w:footerReference w:type="default" r:id="rId13"/>
          <w:pgSz w:w="11907" w:h="16840" w:code="9"/>
          <w:pgMar w:top="992" w:right="1418" w:bottom="1418" w:left="1418"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7127"/>
      </w:tblGrid>
      <w:tr w:rsidR="00071E46" w:rsidRPr="0031092A" w14:paraId="5E95F787" w14:textId="77777777" w:rsidTr="00071E46">
        <w:tc>
          <w:tcPr>
            <w:tcW w:w="1945" w:type="dxa"/>
          </w:tcPr>
          <w:p w14:paraId="123C4AC9" w14:textId="77777777" w:rsidR="00071E46" w:rsidRPr="0031092A" w:rsidRDefault="00071E46" w:rsidP="0031092A">
            <w:pPr>
              <w:jc w:val="right"/>
              <w:rPr>
                <w:sz w:val="24"/>
                <w:szCs w:val="24"/>
              </w:rPr>
            </w:pPr>
            <w:r w:rsidRPr="0031092A">
              <w:rPr>
                <w:b/>
                <w:smallCaps/>
                <w:sz w:val="24"/>
                <w:szCs w:val="24"/>
              </w:rPr>
              <w:t>Predlagatelj</w:t>
            </w:r>
            <w:r w:rsidRPr="0031092A">
              <w:rPr>
                <w:b/>
                <w:sz w:val="24"/>
                <w:szCs w:val="24"/>
              </w:rPr>
              <w:t>:</w:t>
            </w:r>
          </w:p>
        </w:tc>
        <w:tc>
          <w:tcPr>
            <w:tcW w:w="7127" w:type="dxa"/>
          </w:tcPr>
          <w:p w14:paraId="2E0DB2ED" w14:textId="77777777" w:rsidR="00071E46" w:rsidRPr="0031092A" w:rsidRDefault="00071E46" w:rsidP="0031092A">
            <w:pPr>
              <w:rPr>
                <w:sz w:val="24"/>
                <w:szCs w:val="24"/>
              </w:rPr>
            </w:pPr>
            <w:r w:rsidRPr="0031092A">
              <w:rPr>
                <w:sz w:val="24"/>
                <w:szCs w:val="24"/>
              </w:rPr>
              <w:t>Središnji državni ured za središnju javnu nabavu</w:t>
            </w:r>
          </w:p>
        </w:tc>
      </w:tr>
    </w:tbl>
    <w:p w14:paraId="3A45D02F" w14:textId="77777777" w:rsidR="00071E46" w:rsidRPr="0031092A" w:rsidRDefault="00071E46" w:rsidP="0031092A">
      <w:pPr>
        <w:tabs>
          <w:tab w:val="left" w:pos="1843"/>
        </w:tabs>
        <w:spacing w:line="240" w:lineRule="auto"/>
        <w:ind w:left="1843" w:hanging="1843"/>
        <w:rPr>
          <w:rFonts w:ascii="Times New Roman" w:hAnsi="Times New Roman" w:cs="Times New Roman"/>
          <w:sz w:val="24"/>
          <w:szCs w:val="24"/>
        </w:rPr>
      </w:pPr>
      <w:r w:rsidRPr="0031092A">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134"/>
      </w:tblGrid>
      <w:tr w:rsidR="00071E46" w:rsidRPr="0031092A" w14:paraId="006A1BD4" w14:textId="77777777" w:rsidTr="00071E46">
        <w:tc>
          <w:tcPr>
            <w:tcW w:w="1938" w:type="dxa"/>
          </w:tcPr>
          <w:p w14:paraId="23506242" w14:textId="568A6065" w:rsidR="00071E46" w:rsidRPr="0031092A" w:rsidRDefault="00FC5B79" w:rsidP="0031092A">
            <w:pPr>
              <w:jc w:val="right"/>
              <w:rPr>
                <w:sz w:val="24"/>
                <w:szCs w:val="24"/>
              </w:rPr>
            </w:pPr>
            <w:r w:rsidRPr="0031092A">
              <w:rPr>
                <w:b/>
                <w:smallCaps/>
                <w:sz w:val="24"/>
                <w:szCs w:val="24"/>
              </w:rPr>
              <w:t xml:space="preserve">     </w:t>
            </w:r>
            <w:r w:rsidR="00071E46" w:rsidRPr="0031092A">
              <w:rPr>
                <w:b/>
                <w:smallCaps/>
                <w:sz w:val="24"/>
                <w:szCs w:val="24"/>
              </w:rPr>
              <w:t>Predmet</w:t>
            </w:r>
            <w:r w:rsidR="00071E46" w:rsidRPr="0031092A">
              <w:rPr>
                <w:b/>
                <w:sz w:val="24"/>
                <w:szCs w:val="24"/>
              </w:rPr>
              <w:t>:</w:t>
            </w:r>
          </w:p>
        </w:tc>
        <w:tc>
          <w:tcPr>
            <w:tcW w:w="7134" w:type="dxa"/>
          </w:tcPr>
          <w:p w14:paraId="5DD646E1" w14:textId="2B3D4E5E" w:rsidR="00071E46" w:rsidRPr="0031092A" w:rsidRDefault="00FF5EBA" w:rsidP="0031092A">
            <w:pPr>
              <w:jc w:val="both"/>
              <w:rPr>
                <w:sz w:val="24"/>
                <w:szCs w:val="24"/>
              </w:rPr>
            </w:pPr>
            <w:r w:rsidRPr="0031092A">
              <w:rPr>
                <w:sz w:val="24"/>
                <w:szCs w:val="24"/>
              </w:rPr>
              <w:t xml:space="preserve">Prijedlog </w:t>
            </w:r>
            <w:r w:rsidR="00A649C7" w:rsidRPr="0031092A">
              <w:rPr>
                <w:sz w:val="24"/>
                <w:szCs w:val="24"/>
              </w:rPr>
              <w:t>zaključka</w:t>
            </w:r>
            <w:r w:rsidR="00036BF3">
              <w:rPr>
                <w:sz w:val="24"/>
                <w:szCs w:val="24"/>
              </w:rPr>
              <w:t xml:space="preserve"> o davanju ovlaštenja Središnjem državnom uredu za središnju javnu nabavu za provedbu postupka središnje javne nabave </w:t>
            </w:r>
            <w:r w:rsidR="00036BF3" w:rsidRPr="00036BF3">
              <w:rPr>
                <w:sz w:val="24"/>
                <w:szCs w:val="24"/>
              </w:rPr>
              <w:t xml:space="preserve"> licenci za korištenje Microsoftovih softverskih proizvoda i usluga za tijela koja nisu obveznici središnje javne nabave </w:t>
            </w:r>
            <w:r w:rsidR="00A649C7" w:rsidRPr="0031092A">
              <w:rPr>
                <w:sz w:val="24"/>
                <w:szCs w:val="24"/>
              </w:rPr>
              <w:t xml:space="preserve"> </w:t>
            </w:r>
          </w:p>
        </w:tc>
      </w:tr>
    </w:tbl>
    <w:p w14:paraId="01BA51B0" w14:textId="77777777" w:rsidR="00071E46" w:rsidRPr="0031092A" w:rsidRDefault="00071E46" w:rsidP="0031092A">
      <w:pPr>
        <w:tabs>
          <w:tab w:val="left" w:pos="1843"/>
        </w:tabs>
        <w:spacing w:line="240" w:lineRule="auto"/>
        <w:ind w:left="1843" w:hanging="1843"/>
        <w:rPr>
          <w:rFonts w:ascii="Times New Roman" w:hAnsi="Times New Roman" w:cs="Times New Roman"/>
          <w:sz w:val="24"/>
          <w:szCs w:val="24"/>
        </w:rPr>
      </w:pPr>
      <w:r w:rsidRPr="0031092A">
        <w:rPr>
          <w:rFonts w:ascii="Times New Roman" w:hAnsi="Times New Roman" w:cs="Times New Roman"/>
          <w:sz w:val="24"/>
          <w:szCs w:val="24"/>
        </w:rPr>
        <w:t>__________________________________________________________________________</w:t>
      </w:r>
    </w:p>
    <w:p w14:paraId="63DC6CDB" w14:textId="77777777" w:rsidR="00071E46" w:rsidRPr="0031092A" w:rsidRDefault="00071E46" w:rsidP="0031092A">
      <w:pPr>
        <w:spacing w:line="240" w:lineRule="auto"/>
        <w:rPr>
          <w:rFonts w:ascii="Times New Roman" w:hAnsi="Times New Roman" w:cs="Times New Roman"/>
          <w:sz w:val="24"/>
          <w:szCs w:val="24"/>
        </w:rPr>
      </w:pPr>
    </w:p>
    <w:p w14:paraId="1A49016F" w14:textId="77777777" w:rsidR="00071E46" w:rsidRPr="0031092A" w:rsidRDefault="00071E46" w:rsidP="0031092A">
      <w:pPr>
        <w:tabs>
          <w:tab w:val="right" w:pos="1701"/>
          <w:tab w:val="left" w:pos="1843"/>
        </w:tabs>
        <w:spacing w:line="240" w:lineRule="auto"/>
        <w:ind w:left="1843" w:hanging="1843"/>
        <w:rPr>
          <w:rFonts w:ascii="Times New Roman" w:hAnsi="Times New Roman" w:cs="Times New Roman"/>
          <w:b/>
          <w:smallCaps/>
          <w:sz w:val="24"/>
          <w:szCs w:val="24"/>
        </w:rPr>
        <w:sectPr w:rsidR="00071E46" w:rsidRPr="0031092A" w:rsidSect="00A40F0A">
          <w:type w:val="continuous"/>
          <w:pgSz w:w="11907" w:h="16840" w:code="9"/>
          <w:pgMar w:top="993" w:right="1417" w:bottom="1417" w:left="1417" w:header="709" w:footer="658" w:gutter="0"/>
          <w:cols w:space="708"/>
          <w:docGrid w:linePitch="360"/>
        </w:sectPr>
      </w:pPr>
    </w:p>
    <w:p w14:paraId="4EA1189E" w14:textId="77777777" w:rsidR="008550C7" w:rsidRPr="0031092A" w:rsidRDefault="008550C7" w:rsidP="0031092A">
      <w:pPr>
        <w:pStyle w:val="tb-na18"/>
        <w:spacing w:before="200" w:beforeAutospacing="0" w:after="240" w:afterAutospacing="0"/>
        <w:jc w:val="right"/>
        <w:rPr>
          <w:b/>
        </w:rPr>
      </w:pPr>
      <w:r w:rsidRPr="0031092A">
        <w:rPr>
          <w:b/>
        </w:rPr>
        <w:lastRenderedPageBreak/>
        <w:t>PRIJEDLOG</w:t>
      </w:r>
    </w:p>
    <w:p w14:paraId="153A3F8A" w14:textId="0F4D4C84" w:rsidR="008550C7" w:rsidRPr="0031092A" w:rsidRDefault="008550C7" w:rsidP="0031092A">
      <w:pPr>
        <w:pStyle w:val="tb-na18"/>
        <w:spacing w:before="200" w:beforeAutospacing="0" w:after="240" w:afterAutospacing="0"/>
        <w:ind w:firstLine="1418"/>
        <w:jc w:val="both"/>
        <w:rPr>
          <w:color w:val="000000" w:themeColor="text1"/>
        </w:rPr>
      </w:pPr>
      <w:r w:rsidRPr="0031092A">
        <w:rPr>
          <w:color w:val="000000" w:themeColor="text1"/>
        </w:rPr>
        <w:t xml:space="preserve">Na temelju odredbe članka 31. stavka 3. Zakona o Vladi Republike Hrvatske </w:t>
      </w:r>
      <w:r w:rsidRPr="0031092A">
        <w:t>(„Narodne novine“</w:t>
      </w:r>
      <w:r w:rsidRPr="0031092A">
        <w:rPr>
          <w:color w:val="000000" w:themeColor="text1"/>
        </w:rPr>
        <w:t>, br</w:t>
      </w:r>
      <w:r w:rsidR="00036BF3">
        <w:rPr>
          <w:color w:val="000000" w:themeColor="text1"/>
        </w:rPr>
        <w:t>oj</w:t>
      </w:r>
      <w:r w:rsidRPr="0031092A">
        <w:rPr>
          <w:color w:val="000000" w:themeColor="text1"/>
        </w:rPr>
        <w:t xml:space="preserve"> 150/11., 119/14., 93/16., 116/18., 80/22. i 78/24.) </w:t>
      </w:r>
      <w:r w:rsidR="0031092A">
        <w:t>i</w:t>
      </w:r>
      <w:r w:rsidRPr="0031092A">
        <w:t xml:space="preserve"> članka 12. stavka 3. Uredbe o unutarnjem ustrojstvu Središnjeg državnog ureda za središnju javnu </w:t>
      </w:r>
      <w:r w:rsidRPr="0031092A">
        <w:rPr>
          <w:color w:val="000000" w:themeColor="text1"/>
        </w:rPr>
        <w:t xml:space="preserve">nabavu </w:t>
      </w:r>
      <w:r w:rsidRPr="0031092A">
        <w:t>(„Narodne novine“</w:t>
      </w:r>
      <w:r w:rsidRPr="0031092A">
        <w:rPr>
          <w:color w:val="000000" w:themeColor="text1"/>
        </w:rPr>
        <w:t>, br</w:t>
      </w:r>
      <w:r w:rsidR="0031092A">
        <w:rPr>
          <w:color w:val="000000" w:themeColor="text1"/>
        </w:rPr>
        <w:t>oj</w:t>
      </w:r>
      <w:r w:rsidRPr="0031092A">
        <w:rPr>
          <w:color w:val="000000" w:themeColor="text1"/>
        </w:rPr>
        <w:t xml:space="preserve"> 97/20.), Vlada Republike Hrvatske je na sjednici održanoj ___. __________ 2024., donijela </w:t>
      </w:r>
    </w:p>
    <w:p w14:paraId="76A45850" w14:textId="77777777" w:rsidR="008550C7" w:rsidRPr="0031092A" w:rsidRDefault="008550C7" w:rsidP="0031092A">
      <w:pPr>
        <w:pStyle w:val="tb-na18"/>
        <w:spacing w:before="200" w:beforeAutospacing="0" w:after="240" w:afterAutospacing="0"/>
        <w:jc w:val="both"/>
        <w:rPr>
          <w:color w:val="000000" w:themeColor="text1"/>
        </w:rPr>
      </w:pPr>
    </w:p>
    <w:p w14:paraId="19DCE455" w14:textId="2CDE5601" w:rsidR="008550C7" w:rsidRPr="0031092A" w:rsidRDefault="008550C7" w:rsidP="0031092A">
      <w:pPr>
        <w:pStyle w:val="tb-na18"/>
        <w:spacing w:before="0" w:beforeAutospacing="0" w:after="160" w:afterAutospacing="0"/>
        <w:jc w:val="center"/>
        <w:rPr>
          <w:b/>
          <w:color w:val="000000" w:themeColor="text1"/>
        </w:rPr>
      </w:pPr>
      <w:r w:rsidRPr="0031092A">
        <w:rPr>
          <w:b/>
          <w:color w:val="000000" w:themeColor="text1"/>
        </w:rPr>
        <w:t>Z</w:t>
      </w:r>
      <w:r w:rsidR="0031092A">
        <w:rPr>
          <w:b/>
          <w:color w:val="000000" w:themeColor="text1"/>
        </w:rPr>
        <w:t xml:space="preserve"> </w:t>
      </w:r>
      <w:r w:rsidRPr="0031092A">
        <w:rPr>
          <w:b/>
          <w:color w:val="000000" w:themeColor="text1"/>
        </w:rPr>
        <w:t>A</w:t>
      </w:r>
      <w:r w:rsidR="0031092A">
        <w:rPr>
          <w:b/>
          <w:color w:val="000000" w:themeColor="text1"/>
        </w:rPr>
        <w:t xml:space="preserve"> </w:t>
      </w:r>
      <w:r w:rsidRPr="0031092A">
        <w:rPr>
          <w:b/>
          <w:color w:val="000000" w:themeColor="text1"/>
        </w:rPr>
        <w:t>K</w:t>
      </w:r>
      <w:r w:rsidR="0031092A">
        <w:rPr>
          <w:b/>
          <w:color w:val="000000" w:themeColor="text1"/>
        </w:rPr>
        <w:t xml:space="preserve"> </w:t>
      </w:r>
      <w:r w:rsidRPr="0031092A">
        <w:rPr>
          <w:b/>
          <w:color w:val="000000" w:themeColor="text1"/>
        </w:rPr>
        <w:t>L</w:t>
      </w:r>
      <w:r w:rsidR="0031092A">
        <w:rPr>
          <w:b/>
          <w:color w:val="000000" w:themeColor="text1"/>
        </w:rPr>
        <w:t xml:space="preserve"> </w:t>
      </w:r>
      <w:r w:rsidRPr="0031092A">
        <w:rPr>
          <w:b/>
          <w:color w:val="000000" w:themeColor="text1"/>
        </w:rPr>
        <w:t>J</w:t>
      </w:r>
      <w:r w:rsidR="0031092A">
        <w:rPr>
          <w:b/>
          <w:color w:val="000000" w:themeColor="text1"/>
        </w:rPr>
        <w:t xml:space="preserve"> </w:t>
      </w:r>
      <w:r w:rsidRPr="0031092A">
        <w:rPr>
          <w:b/>
          <w:color w:val="000000" w:themeColor="text1"/>
        </w:rPr>
        <w:t>U</w:t>
      </w:r>
      <w:r w:rsidR="0031092A">
        <w:rPr>
          <w:b/>
          <w:color w:val="000000" w:themeColor="text1"/>
        </w:rPr>
        <w:t xml:space="preserve"> </w:t>
      </w:r>
      <w:r w:rsidRPr="0031092A">
        <w:rPr>
          <w:b/>
          <w:color w:val="000000" w:themeColor="text1"/>
        </w:rPr>
        <w:t>Č</w:t>
      </w:r>
      <w:r w:rsidR="0031092A">
        <w:rPr>
          <w:b/>
          <w:color w:val="000000" w:themeColor="text1"/>
        </w:rPr>
        <w:t xml:space="preserve"> </w:t>
      </w:r>
      <w:r w:rsidRPr="0031092A">
        <w:rPr>
          <w:b/>
          <w:color w:val="000000" w:themeColor="text1"/>
        </w:rPr>
        <w:t>A</w:t>
      </w:r>
      <w:r w:rsidR="0031092A">
        <w:rPr>
          <w:b/>
          <w:color w:val="000000" w:themeColor="text1"/>
        </w:rPr>
        <w:t xml:space="preserve"> </w:t>
      </w:r>
      <w:r w:rsidRPr="0031092A">
        <w:rPr>
          <w:b/>
          <w:color w:val="000000" w:themeColor="text1"/>
        </w:rPr>
        <w:t>K</w:t>
      </w:r>
    </w:p>
    <w:p w14:paraId="4A3060AD" w14:textId="77777777" w:rsidR="008550C7" w:rsidRPr="0031092A" w:rsidRDefault="008550C7" w:rsidP="0031092A">
      <w:pPr>
        <w:pStyle w:val="tb-na18"/>
        <w:spacing w:before="0" w:beforeAutospacing="0" w:after="20" w:afterAutospacing="0"/>
        <w:jc w:val="both"/>
        <w:rPr>
          <w:color w:val="000000" w:themeColor="text1"/>
        </w:rPr>
      </w:pPr>
    </w:p>
    <w:p w14:paraId="3CF9B7D9" w14:textId="2038D53D" w:rsidR="008550C7" w:rsidRPr="0031092A" w:rsidRDefault="00095086" w:rsidP="00095086">
      <w:pPr>
        <w:pStyle w:val="tb-na18"/>
        <w:spacing w:before="0" w:beforeAutospacing="0" w:after="240" w:afterAutospacing="0"/>
        <w:ind w:firstLine="851"/>
        <w:jc w:val="both"/>
        <w:rPr>
          <w:rFonts w:eastAsiaTheme="minorHAnsi"/>
          <w:color w:val="000000" w:themeColor="text1"/>
          <w:lang w:eastAsia="en-US"/>
        </w:rPr>
      </w:pPr>
      <w:r>
        <w:rPr>
          <w:rFonts w:eastAsiaTheme="minorHAnsi"/>
          <w:color w:val="000000" w:themeColor="text1"/>
          <w:lang w:eastAsia="en-US"/>
        </w:rPr>
        <w:t>1.</w:t>
      </w:r>
      <w:r>
        <w:rPr>
          <w:rFonts w:eastAsiaTheme="minorHAnsi"/>
          <w:color w:val="000000" w:themeColor="text1"/>
          <w:lang w:eastAsia="en-US"/>
        </w:rPr>
        <w:tab/>
      </w:r>
      <w:r w:rsidR="008550C7" w:rsidRPr="0031092A">
        <w:rPr>
          <w:rFonts w:eastAsiaTheme="minorHAnsi"/>
          <w:color w:val="000000" w:themeColor="text1"/>
          <w:lang w:eastAsia="en-US"/>
        </w:rPr>
        <w:t xml:space="preserve">Ovlašćuje se Središnji državni ured za središnju javnu nabavu (u </w:t>
      </w:r>
      <w:r>
        <w:rPr>
          <w:rFonts w:eastAsiaTheme="minorHAnsi"/>
          <w:color w:val="000000" w:themeColor="text1"/>
          <w:lang w:eastAsia="en-US"/>
        </w:rPr>
        <w:t xml:space="preserve">daljnjem </w:t>
      </w:r>
      <w:r w:rsidR="008550C7" w:rsidRPr="0031092A">
        <w:rPr>
          <w:rFonts w:eastAsiaTheme="minorHAnsi"/>
          <w:color w:val="000000" w:themeColor="text1"/>
          <w:lang w:eastAsia="en-US"/>
        </w:rPr>
        <w:t>tekst</w:t>
      </w:r>
      <w:r>
        <w:rPr>
          <w:rFonts w:eastAsiaTheme="minorHAnsi"/>
          <w:color w:val="000000" w:themeColor="text1"/>
          <w:lang w:eastAsia="en-US"/>
        </w:rPr>
        <w:t>u</w:t>
      </w:r>
      <w:r w:rsidR="008550C7" w:rsidRPr="0031092A">
        <w:rPr>
          <w:rFonts w:eastAsiaTheme="minorHAnsi"/>
          <w:color w:val="000000" w:themeColor="text1"/>
          <w:lang w:eastAsia="en-US"/>
        </w:rPr>
        <w:t>: Središnji državni ured) da u novi postupak središnje javne nabave licenci za korištenje Microsoftovih so</w:t>
      </w:r>
      <w:r>
        <w:rPr>
          <w:rFonts w:eastAsiaTheme="minorHAnsi"/>
          <w:color w:val="000000" w:themeColor="text1"/>
          <w:lang w:eastAsia="en-US"/>
        </w:rPr>
        <w:t>ftverskih proizvoda i usluga (u daljnjem</w:t>
      </w:r>
      <w:r w:rsidR="008550C7" w:rsidRPr="0031092A">
        <w:rPr>
          <w:rFonts w:eastAsiaTheme="minorHAnsi"/>
          <w:color w:val="000000" w:themeColor="text1"/>
          <w:lang w:eastAsia="en-US"/>
        </w:rPr>
        <w:t xml:space="preserve"> tekst</w:t>
      </w:r>
      <w:r>
        <w:rPr>
          <w:rFonts w:eastAsiaTheme="minorHAnsi"/>
          <w:color w:val="000000" w:themeColor="text1"/>
          <w:lang w:eastAsia="en-US"/>
        </w:rPr>
        <w:t>u</w:t>
      </w:r>
      <w:r w:rsidR="008550C7" w:rsidRPr="0031092A">
        <w:rPr>
          <w:rFonts w:eastAsiaTheme="minorHAnsi"/>
          <w:color w:val="000000" w:themeColor="text1"/>
          <w:lang w:eastAsia="en-US"/>
        </w:rPr>
        <w:t xml:space="preserve">: MS licence), a koji će provesti za obveznike središnje javne nabave iz članka 12. stavka 1. Uredbe o unutarnjem ustrojstvu Središnjeg državnog ureda za središnju javnu nabavu </w:t>
      </w:r>
      <w:r w:rsidR="008550C7" w:rsidRPr="0031092A">
        <w:t>(</w:t>
      </w:r>
      <w:r w:rsidR="008550C7" w:rsidRPr="0031092A">
        <w:rPr>
          <w:rFonts w:eastAsiaTheme="minorHAnsi"/>
          <w:color w:val="000000" w:themeColor="text1"/>
          <w:lang w:eastAsia="en-US"/>
        </w:rPr>
        <w:t xml:space="preserve">u </w:t>
      </w:r>
      <w:r>
        <w:rPr>
          <w:rFonts w:eastAsiaTheme="minorHAnsi"/>
          <w:color w:val="000000" w:themeColor="text1"/>
          <w:lang w:eastAsia="en-US"/>
        </w:rPr>
        <w:t xml:space="preserve">daljnjem </w:t>
      </w:r>
      <w:r w:rsidR="008550C7" w:rsidRPr="0031092A">
        <w:rPr>
          <w:rFonts w:eastAsiaTheme="minorHAnsi"/>
          <w:color w:val="000000" w:themeColor="text1"/>
          <w:lang w:eastAsia="en-US"/>
        </w:rPr>
        <w:t>tekst</w:t>
      </w:r>
      <w:r>
        <w:rPr>
          <w:rFonts w:eastAsiaTheme="minorHAnsi"/>
          <w:color w:val="000000" w:themeColor="text1"/>
          <w:lang w:eastAsia="en-US"/>
        </w:rPr>
        <w:t>u</w:t>
      </w:r>
      <w:r w:rsidR="008550C7" w:rsidRPr="0031092A">
        <w:rPr>
          <w:rFonts w:eastAsiaTheme="minorHAnsi"/>
          <w:color w:val="000000" w:themeColor="text1"/>
          <w:lang w:eastAsia="en-US"/>
        </w:rPr>
        <w:t xml:space="preserve">: Uredba), uključi i tijela koja nisu obveznici središnje javne nabave (u </w:t>
      </w:r>
      <w:r>
        <w:rPr>
          <w:rFonts w:eastAsiaTheme="minorHAnsi"/>
          <w:color w:val="000000" w:themeColor="text1"/>
          <w:lang w:eastAsia="en-US"/>
        </w:rPr>
        <w:t>daljnjem</w:t>
      </w:r>
      <w:r w:rsidR="008550C7" w:rsidRPr="0031092A">
        <w:rPr>
          <w:rFonts w:eastAsiaTheme="minorHAnsi"/>
          <w:color w:val="000000" w:themeColor="text1"/>
          <w:lang w:eastAsia="en-US"/>
        </w:rPr>
        <w:t xml:space="preserve"> tekst</w:t>
      </w:r>
      <w:r>
        <w:rPr>
          <w:rFonts w:eastAsiaTheme="minorHAnsi"/>
          <w:color w:val="000000" w:themeColor="text1"/>
          <w:lang w:eastAsia="en-US"/>
        </w:rPr>
        <w:t>u</w:t>
      </w:r>
      <w:r w:rsidR="008550C7" w:rsidRPr="0031092A">
        <w:rPr>
          <w:rFonts w:eastAsiaTheme="minorHAnsi"/>
          <w:color w:val="000000" w:themeColor="text1"/>
          <w:lang w:eastAsia="en-US"/>
        </w:rPr>
        <w:t xml:space="preserve">: korisnici </w:t>
      </w:r>
      <w:r w:rsidR="008550C7" w:rsidRPr="0031092A">
        <w:rPr>
          <w:rFonts w:eastAsiaTheme="minorHAnsi"/>
          <w:lang w:eastAsia="en-US"/>
        </w:rPr>
        <w:t xml:space="preserve">središnje javne nabave), </w:t>
      </w:r>
      <w:r w:rsidR="008550C7" w:rsidRPr="0031092A">
        <w:rPr>
          <w:rFonts w:eastAsiaTheme="minorHAnsi"/>
          <w:color w:val="000000" w:themeColor="text1"/>
          <w:lang w:eastAsia="en-US"/>
        </w:rPr>
        <w:t>kako slijedi:</w:t>
      </w:r>
    </w:p>
    <w:p w14:paraId="3910DAEC" w14:textId="63F4F6F9" w:rsidR="00036BF3" w:rsidRPr="00036BF3" w:rsidRDefault="00183617" w:rsidP="00183617">
      <w:pPr>
        <w:autoSpaceDE w:val="0"/>
        <w:autoSpaceDN w:val="0"/>
        <w:adjustRightInd w:val="0"/>
        <w:spacing w:before="40" w:after="40" w:line="240" w:lineRule="auto"/>
        <w:ind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36BF3" w:rsidRPr="00036BF3">
        <w:rPr>
          <w:rFonts w:ascii="Times New Roman" w:hAnsi="Times New Roman" w:cs="Times New Roman"/>
          <w:color w:val="000000" w:themeColor="text1"/>
          <w:sz w:val="24"/>
          <w:szCs w:val="24"/>
        </w:rPr>
        <w:t xml:space="preserve">-    Državna komisija za kontrolu postupaka javne nabave </w:t>
      </w:r>
    </w:p>
    <w:p w14:paraId="56AB626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Državni ured za reviziju</w:t>
      </w:r>
    </w:p>
    <w:p w14:paraId="07EA0A7E"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Državno izborno povjerenstvo Republike Hrvatske</w:t>
      </w:r>
    </w:p>
    <w:p w14:paraId="38A142CA"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Povjerenik za informiranje</w:t>
      </w:r>
    </w:p>
    <w:p w14:paraId="1D8C1002"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Pravobranitelj za djecu</w:t>
      </w:r>
    </w:p>
    <w:p w14:paraId="214EE14A"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Pravobraniteljica za ravnopravnost spolova</w:t>
      </w:r>
    </w:p>
    <w:p w14:paraId="6A258F13"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Pučka pravobraniteljica</w:t>
      </w:r>
    </w:p>
    <w:p w14:paraId="3DEEB8C6"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Agencija za reviziju sustava provedbe programa Europske unije</w:t>
      </w:r>
    </w:p>
    <w:p w14:paraId="0A335ADA"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Hrvatska matica iseljenika</w:t>
      </w:r>
    </w:p>
    <w:p w14:paraId="6F310548"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Veteranski centar </w:t>
      </w:r>
    </w:p>
    <w:p w14:paraId="46A47BD0"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Arheološki muzej u Splitu</w:t>
      </w:r>
    </w:p>
    <w:p w14:paraId="2F2EC0B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Državni arhiv u Dubrovniku</w:t>
      </w:r>
    </w:p>
    <w:p w14:paraId="2FA30FE2"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Državni arhiv u Osijeku</w:t>
      </w:r>
    </w:p>
    <w:p w14:paraId="1DA512D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Državni arhiv u Pazinu</w:t>
      </w:r>
    </w:p>
    <w:p w14:paraId="60CF9ADD"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Državni arhiv u Splitu</w:t>
      </w:r>
    </w:p>
    <w:p w14:paraId="1775004E"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Državni arhiv u Virovitici</w:t>
      </w:r>
    </w:p>
    <w:p w14:paraId="7E997903"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Državni arhiv u Vukovaru</w:t>
      </w:r>
    </w:p>
    <w:p w14:paraId="60C46FA2"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Državni arhiv za Međimurje</w:t>
      </w:r>
    </w:p>
    <w:p w14:paraId="6AFB8A5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Dvor Trakošćan</w:t>
      </w:r>
    </w:p>
    <w:p w14:paraId="4EF637EA"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Muzej antičkog stakla u Zadru</w:t>
      </w:r>
    </w:p>
    <w:p w14:paraId="56CBFAD3"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Muzej hrvatskih arheoloških spomenika </w:t>
      </w:r>
    </w:p>
    <w:p w14:paraId="6A62634A"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Muzej vučedolske kulture</w:t>
      </w:r>
    </w:p>
    <w:p w14:paraId="5B880AA3"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Muzeji Ivana Meštrovića</w:t>
      </w:r>
    </w:p>
    <w:p w14:paraId="0D0CF99E"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Muzejski dokumentacijski centar</w:t>
      </w:r>
    </w:p>
    <w:p w14:paraId="45D0D32D"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Agencija za plaćanja u poljoprivredi, ribarstvu i ruralnom razvoju</w:t>
      </w:r>
    </w:p>
    <w:p w14:paraId="774248B3"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Hrvatska agencija za poljoprivredu i hranu</w:t>
      </w:r>
    </w:p>
    <w:p w14:paraId="44EBF5AF"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Središnja agencija za financiranje i ugovaranje programa i projekata Europske unije</w:t>
      </w:r>
    </w:p>
    <w:p w14:paraId="2B3D21C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lastRenderedPageBreak/>
        <w:t xml:space="preserve">     -</w:t>
      </w:r>
      <w:r w:rsidRPr="00036BF3">
        <w:rPr>
          <w:rFonts w:ascii="Times New Roman" w:hAnsi="Times New Roman" w:cs="Times New Roman"/>
          <w:color w:val="000000" w:themeColor="text1"/>
          <w:sz w:val="24"/>
          <w:szCs w:val="24"/>
        </w:rPr>
        <w:tab/>
        <w:t>Agencija za istraživanje nesreća u zračnom, pomorskom i željezničkom prometu</w:t>
      </w:r>
    </w:p>
    <w:p w14:paraId="6344A128"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Hrvatska agencija za civilno zrakoplovstvo</w:t>
      </w:r>
    </w:p>
    <w:p w14:paraId="5AE776A3"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Hrvatska regulatorna agencija za mrežne djelatnosti</w:t>
      </w:r>
    </w:p>
    <w:p w14:paraId="7CBF35C2"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Hrvatski hidrografski institut</w:t>
      </w:r>
    </w:p>
    <w:p w14:paraId="4E7E5EEB"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Hrvatska agencija za malo gospodarstvo, inovacije i investicije</w:t>
      </w:r>
    </w:p>
    <w:p w14:paraId="610C388F"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Hrvatska energetska regulatorna agencija</w:t>
      </w:r>
    </w:p>
    <w:p w14:paraId="2CE2A1F6"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Hrvatski zavod za norme</w:t>
      </w:r>
    </w:p>
    <w:p w14:paraId="0D6C364F"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Javna ustanova „Park prirode Lastovsko otočje“</w:t>
      </w:r>
    </w:p>
    <w:p w14:paraId="0B6C234F"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Agencija za odgoj i obrazovanje</w:t>
      </w:r>
    </w:p>
    <w:p w14:paraId="4E93406D"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Hrvatska akademska i istraživačka mreža – Carnet</w:t>
      </w:r>
    </w:p>
    <w:p w14:paraId="021B6E5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Nacionalni centar za vanjsko vrednovanje obrazovanja</w:t>
      </w:r>
    </w:p>
    <w:p w14:paraId="7163CF4C"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Agencija za osiguranje radničkih tražbina</w:t>
      </w:r>
    </w:p>
    <w:p w14:paraId="1D148775"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 xml:space="preserve">Hrvatski zavod za socijalni rad   </w:t>
      </w:r>
    </w:p>
    <w:p w14:paraId="379D4CD3"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Obiteljski centar</w:t>
      </w:r>
    </w:p>
    <w:p w14:paraId="289912C5"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Središnji registar osiguranika</w:t>
      </w:r>
    </w:p>
    <w:p w14:paraId="1371DA6C"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Klinička bolnica Dubrava</w:t>
      </w:r>
    </w:p>
    <w:p w14:paraId="11D52652"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Klinička bolnica „Merkur“</w:t>
      </w:r>
    </w:p>
    <w:p w14:paraId="392BDD66"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Klinički bolnički centar Sestre milosrdnice</w:t>
      </w:r>
    </w:p>
    <w:p w14:paraId="62D96214"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Klinički bolnički centar Osijek</w:t>
      </w:r>
    </w:p>
    <w:p w14:paraId="489472CE"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Klinički bolnički centar Rijeka</w:t>
      </w:r>
    </w:p>
    <w:p w14:paraId="02052500"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Klinički bolnički centar Split</w:t>
      </w:r>
    </w:p>
    <w:p w14:paraId="1A693483"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Klinički bolnički centar Zagreb</w:t>
      </w:r>
    </w:p>
    <w:p w14:paraId="5110525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Klinika za dječje bolesti Zagreb</w:t>
      </w:r>
    </w:p>
    <w:p w14:paraId="7A32DE44"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Klinika za infektivne bolesti „Dr. Fran Mihaljević“</w:t>
      </w:r>
    </w:p>
    <w:p w14:paraId="0C85C5AD"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Nacionalna memorijalna bolnica „Dr. Juraj Njavro“ Vukovar</w:t>
      </w:r>
    </w:p>
    <w:p w14:paraId="02FD31C7"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Opća bolnica „Dr. Tomislav Bardek“ Koprivnica</w:t>
      </w:r>
    </w:p>
    <w:p w14:paraId="466B4E0C" w14:textId="3A5DD593"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 xml:space="preserve">Opća bolnica „Dr. Ivo Pedišić“ Sisak </w:t>
      </w:r>
    </w:p>
    <w:p w14:paraId="1D9E0964"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 xml:space="preserve">Opća bolnica Pula - Ospedale generale di Pola </w:t>
      </w:r>
    </w:p>
    <w:p w14:paraId="52DB027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Opća bolnica Varaždin</w:t>
      </w:r>
    </w:p>
    <w:p w14:paraId="36F97CF9"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Opća bolnica Zabok i bolnica hrvatskih veterana</w:t>
      </w:r>
    </w:p>
    <w:p w14:paraId="1C3C20B8"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Opća bolnica Zadar</w:t>
      </w:r>
    </w:p>
    <w:p w14:paraId="49BFF887"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Opća županijska bolnica Našice</w:t>
      </w:r>
    </w:p>
    <w:p w14:paraId="64AE2A08"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      Klinička bolnica „Sveti Duh“</w:t>
      </w:r>
    </w:p>
    <w:p w14:paraId="088F70B1"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Agencija za lijekove i medicinske proizvode</w:t>
      </w:r>
    </w:p>
    <w:p w14:paraId="01E2EC7A"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Hrvatska izvještajna novinska agencija - Hina</w:t>
      </w:r>
    </w:p>
    <w:p w14:paraId="7996C44E"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Hrvatska agencija za nadzor financijskih usluga</w:t>
      </w:r>
    </w:p>
    <w:p w14:paraId="27F5E930"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Hrvatski zavod za mirovinsko osiguranje</w:t>
      </w:r>
    </w:p>
    <w:p w14:paraId="1FFFA2CB" w14:textId="77777777" w:rsidR="00036BF3" w:rsidRP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Hrvatski zavod za zapošljavanje</w:t>
      </w:r>
    </w:p>
    <w:p w14:paraId="00188E63" w14:textId="2D14FCBF" w:rsidR="00906B02"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r w:rsidRPr="00036BF3">
        <w:rPr>
          <w:rFonts w:ascii="Times New Roman" w:hAnsi="Times New Roman" w:cs="Times New Roman"/>
          <w:color w:val="000000" w:themeColor="text1"/>
          <w:sz w:val="24"/>
          <w:szCs w:val="24"/>
        </w:rPr>
        <w:t xml:space="preserve">     -</w:t>
      </w:r>
      <w:r w:rsidRPr="00036BF3">
        <w:rPr>
          <w:rFonts w:ascii="Times New Roman" w:hAnsi="Times New Roman" w:cs="Times New Roman"/>
          <w:color w:val="000000" w:themeColor="text1"/>
          <w:sz w:val="24"/>
          <w:szCs w:val="24"/>
        </w:rPr>
        <w:tab/>
        <w:t>Hrvatski zavod za zdravstveno osiguranje.</w:t>
      </w:r>
    </w:p>
    <w:p w14:paraId="490BDA84" w14:textId="77777777" w:rsidR="00036BF3" w:rsidRDefault="00036BF3" w:rsidP="00036BF3">
      <w:pPr>
        <w:autoSpaceDE w:val="0"/>
        <w:autoSpaceDN w:val="0"/>
        <w:adjustRightInd w:val="0"/>
        <w:spacing w:before="40" w:after="40" w:line="240" w:lineRule="auto"/>
        <w:jc w:val="both"/>
        <w:rPr>
          <w:rFonts w:ascii="Times New Roman" w:hAnsi="Times New Roman" w:cs="Times New Roman"/>
          <w:color w:val="000000" w:themeColor="text1"/>
          <w:sz w:val="24"/>
          <w:szCs w:val="24"/>
        </w:rPr>
      </w:pPr>
    </w:p>
    <w:p w14:paraId="26E56B02" w14:textId="794D677D" w:rsidR="008550C7" w:rsidRPr="0031092A" w:rsidRDefault="00906B02" w:rsidP="00906B02">
      <w:pPr>
        <w:autoSpaceDE w:val="0"/>
        <w:autoSpaceDN w:val="0"/>
        <w:adjustRightInd w:val="0"/>
        <w:spacing w:before="40" w:after="4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008550C7" w:rsidRPr="0031092A">
        <w:rPr>
          <w:rFonts w:ascii="Times New Roman" w:hAnsi="Times New Roman" w:cs="Times New Roman"/>
          <w:color w:val="000000" w:themeColor="text1"/>
          <w:sz w:val="24"/>
          <w:szCs w:val="24"/>
        </w:rPr>
        <w:t>Ovlašćuje se Središnji državni ured da temeljem provedenog postupka javne nabave sklopi okvirni sporazum i odgovarajuće ugovore sukladno programima licenciranja vlasnika licenčnih prava.</w:t>
      </w:r>
    </w:p>
    <w:p w14:paraId="4A46E9B1" w14:textId="77777777" w:rsidR="008550C7" w:rsidRPr="0031092A" w:rsidRDefault="008550C7" w:rsidP="0031092A">
      <w:pPr>
        <w:spacing w:after="20" w:line="240" w:lineRule="auto"/>
        <w:rPr>
          <w:rFonts w:ascii="Times New Roman" w:hAnsi="Times New Roman" w:cs="Times New Roman"/>
          <w:color w:val="000000" w:themeColor="text1"/>
          <w:sz w:val="24"/>
          <w:szCs w:val="24"/>
        </w:rPr>
      </w:pPr>
    </w:p>
    <w:p w14:paraId="1D800D76" w14:textId="5EF05CAE" w:rsidR="008550C7" w:rsidRPr="0031092A" w:rsidRDefault="00906B02" w:rsidP="00906B02">
      <w:pPr>
        <w:autoSpaceDE w:val="0"/>
        <w:autoSpaceDN w:val="0"/>
        <w:adjustRightInd w:val="0"/>
        <w:spacing w:before="40" w:after="4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Pr>
          <w:rFonts w:ascii="Times New Roman" w:hAnsi="Times New Roman" w:cs="Times New Roman"/>
          <w:color w:val="000000" w:themeColor="text1"/>
          <w:sz w:val="24"/>
          <w:szCs w:val="24"/>
        </w:rPr>
        <w:tab/>
      </w:r>
      <w:r w:rsidR="008550C7" w:rsidRPr="0031092A">
        <w:rPr>
          <w:rFonts w:ascii="Times New Roman" w:hAnsi="Times New Roman" w:cs="Times New Roman"/>
          <w:color w:val="000000" w:themeColor="text1"/>
          <w:sz w:val="24"/>
          <w:szCs w:val="24"/>
        </w:rPr>
        <w:t>Korisnici središnje javne nabave obvezuju se u svrhu provođenja postupka javne nabave za nabavnu kategoriju iz točke 1. ovog</w:t>
      </w:r>
      <w:r>
        <w:rPr>
          <w:rFonts w:ascii="Times New Roman" w:hAnsi="Times New Roman" w:cs="Times New Roman"/>
          <w:color w:val="000000" w:themeColor="text1"/>
          <w:sz w:val="24"/>
          <w:szCs w:val="24"/>
        </w:rPr>
        <w:t>a</w:t>
      </w:r>
      <w:r w:rsidR="008550C7" w:rsidRPr="0031092A">
        <w:rPr>
          <w:rFonts w:ascii="Times New Roman" w:hAnsi="Times New Roman" w:cs="Times New Roman"/>
          <w:color w:val="000000" w:themeColor="text1"/>
          <w:sz w:val="24"/>
          <w:szCs w:val="24"/>
        </w:rPr>
        <w:t xml:space="preserve"> Zaključka, bez obzira na procijenjenu vrijednost njihove nabave, dostaviti Središnjem državnom uredu podatke vezane uz iskazivanje potreba u obliku i rokovima koje odredi Središnji državni ured. </w:t>
      </w:r>
    </w:p>
    <w:p w14:paraId="54911965" w14:textId="77777777" w:rsidR="008550C7" w:rsidRPr="0031092A" w:rsidRDefault="008550C7" w:rsidP="0031092A">
      <w:pPr>
        <w:spacing w:after="20" w:line="240" w:lineRule="auto"/>
        <w:rPr>
          <w:rFonts w:ascii="Times New Roman" w:hAnsi="Times New Roman" w:cs="Times New Roman"/>
          <w:color w:val="000000" w:themeColor="text1"/>
          <w:sz w:val="24"/>
          <w:szCs w:val="24"/>
        </w:rPr>
      </w:pPr>
    </w:p>
    <w:p w14:paraId="5D881400" w14:textId="178262AE" w:rsidR="008550C7" w:rsidRPr="0031092A" w:rsidRDefault="00096CD0" w:rsidP="00096CD0">
      <w:pPr>
        <w:autoSpaceDE w:val="0"/>
        <w:autoSpaceDN w:val="0"/>
        <w:adjustRightInd w:val="0"/>
        <w:spacing w:before="40" w:after="4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r>
      <w:r w:rsidR="008550C7" w:rsidRPr="0031092A">
        <w:rPr>
          <w:rFonts w:ascii="Times New Roman" w:hAnsi="Times New Roman" w:cs="Times New Roman"/>
          <w:color w:val="000000" w:themeColor="text1"/>
          <w:sz w:val="24"/>
          <w:szCs w:val="24"/>
        </w:rPr>
        <w:t>U odnosu na samostalno provođenje postupka javne nabave u nabavnoj kategoriji iz točke 1. ovog</w:t>
      </w:r>
      <w:r>
        <w:rPr>
          <w:rFonts w:ascii="Times New Roman" w:hAnsi="Times New Roman" w:cs="Times New Roman"/>
          <w:color w:val="000000" w:themeColor="text1"/>
          <w:sz w:val="24"/>
          <w:szCs w:val="24"/>
        </w:rPr>
        <w:t>a</w:t>
      </w:r>
      <w:r w:rsidR="008550C7" w:rsidRPr="0031092A">
        <w:rPr>
          <w:rFonts w:ascii="Times New Roman" w:hAnsi="Times New Roman" w:cs="Times New Roman"/>
          <w:color w:val="000000" w:themeColor="text1"/>
          <w:sz w:val="24"/>
          <w:szCs w:val="24"/>
        </w:rPr>
        <w:t xml:space="preserve"> Zaključka odgovarajuće se primjenjuju odredbe članka 17. Uredbe.</w:t>
      </w:r>
    </w:p>
    <w:p w14:paraId="48743BCF" w14:textId="77777777" w:rsidR="008550C7" w:rsidRPr="0031092A" w:rsidRDefault="008550C7" w:rsidP="0031092A">
      <w:pPr>
        <w:spacing w:after="20" w:line="240" w:lineRule="auto"/>
        <w:rPr>
          <w:rFonts w:ascii="Times New Roman" w:hAnsi="Times New Roman" w:cs="Times New Roman"/>
          <w:color w:val="000000" w:themeColor="text1"/>
          <w:sz w:val="24"/>
          <w:szCs w:val="24"/>
        </w:rPr>
      </w:pPr>
    </w:p>
    <w:p w14:paraId="2E275F0C" w14:textId="04ED0B10" w:rsidR="008550C7" w:rsidRPr="0031092A" w:rsidRDefault="00096CD0" w:rsidP="00096CD0">
      <w:pPr>
        <w:autoSpaceDE w:val="0"/>
        <w:autoSpaceDN w:val="0"/>
        <w:adjustRightInd w:val="0"/>
        <w:spacing w:before="80" w:after="8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r w:rsidR="008550C7" w:rsidRPr="0031092A">
        <w:rPr>
          <w:rFonts w:ascii="Times New Roman" w:hAnsi="Times New Roman" w:cs="Times New Roman"/>
          <w:color w:val="000000" w:themeColor="text1"/>
          <w:sz w:val="24"/>
          <w:szCs w:val="24"/>
        </w:rPr>
        <w:t>Zadužuje se Središnji državni ured da o ovome Zaključku izvijesti tijela iz točke 1. ovog</w:t>
      </w:r>
      <w:r>
        <w:rPr>
          <w:rFonts w:ascii="Times New Roman" w:hAnsi="Times New Roman" w:cs="Times New Roman"/>
          <w:color w:val="000000" w:themeColor="text1"/>
          <w:sz w:val="24"/>
          <w:szCs w:val="24"/>
        </w:rPr>
        <w:t>a</w:t>
      </w:r>
      <w:r w:rsidR="008550C7" w:rsidRPr="0031092A">
        <w:rPr>
          <w:rFonts w:ascii="Times New Roman" w:hAnsi="Times New Roman" w:cs="Times New Roman"/>
          <w:color w:val="000000" w:themeColor="text1"/>
          <w:sz w:val="24"/>
          <w:szCs w:val="24"/>
        </w:rPr>
        <w:t xml:space="preserve"> Zaključka.</w:t>
      </w:r>
    </w:p>
    <w:p w14:paraId="377629F3" w14:textId="77777777" w:rsidR="008550C7" w:rsidRPr="0031092A" w:rsidRDefault="008550C7" w:rsidP="0031092A">
      <w:pPr>
        <w:spacing w:after="0" w:line="240" w:lineRule="auto"/>
        <w:jc w:val="both"/>
        <w:rPr>
          <w:rFonts w:ascii="Times New Roman" w:hAnsi="Times New Roman" w:cs="Times New Roman"/>
          <w:bCs/>
          <w:color w:val="000000" w:themeColor="text1"/>
          <w:sz w:val="24"/>
          <w:szCs w:val="24"/>
        </w:rPr>
      </w:pPr>
    </w:p>
    <w:p w14:paraId="4B3419E8" w14:textId="77777777" w:rsidR="008550C7" w:rsidRPr="0031092A" w:rsidRDefault="008550C7" w:rsidP="0031092A">
      <w:pPr>
        <w:spacing w:after="0" w:line="240" w:lineRule="auto"/>
        <w:jc w:val="both"/>
        <w:rPr>
          <w:rFonts w:ascii="Times New Roman" w:hAnsi="Times New Roman" w:cs="Times New Roman"/>
          <w:bCs/>
          <w:color w:val="000000" w:themeColor="text1"/>
          <w:sz w:val="24"/>
          <w:szCs w:val="24"/>
        </w:rPr>
      </w:pPr>
    </w:p>
    <w:p w14:paraId="28D2AFD3" w14:textId="77777777" w:rsidR="008550C7" w:rsidRPr="0031092A" w:rsidRDefault="008550C7" w:rsidP="0031092A">
      <w:pPr>
        <w:keepNext/>
        <w:spacing w:before="40" w:after="0" w:line="240" w:lineRule="auto"/>
        <w:rPr>
          <w:rFonts w:ascii="Times New Roman" w:eastAsia="Times New Roman" w:hAnsi="Times New Roman" w:cs="Times New Roman"/>
          <w:color w:val="000000" w:themeColor="text1"/>
          <w:sz w:val="24"/>
          <w:szCs w:val="24"/>
          <w:lang w:eastAsia="hr-HR"/>
        </w:rPr>
      </w:pPr>
      <w:r w:rsidRPr="0031092A">
        <w:rPr>
          <w:rFonts w:ascii="Times New Roman" w:eastAsia="Times New Roman" w:hAnsi="Times New Roman" w:cs="Times New Roman"/>
          <w:color w:val="000000" w:themeColor="text1"/>
          <w:sz w:val="24"/>
          <w:szCs w:val="24"/>
          <w:lang w:eastAsia="hr-HR"/>
        </w:rPr>
        <w:t>KLASA:</w:t>
      </w:r>
    </w:p>
    <w:p w14:paraId="35B003A0" w14:textId="77777777" w:rsidR="008550C7" w:rsidRPr="0031092A" w:rsidRDefault="008550C7" w:rsidP="0031092A">
      <w:pPr>
        <w:keepNext/>
        <w:spacing w:before="40" w:after="0" w:line="240" w:lineRule="auto"/>
        <w:rPr>
          <w:rFonts w:ascii="Times New Roman" w:eastAsia="Times New Roman" w:hAnsi="Times New Roman" w:cs="Times New Roman"/>
          <w:color w:val="000000" w:themeColor="text1"/>
          <w:sz w:val="24"/>
          <w:szCs w:val="24"/>
          <w:lang w:eastAsia="hr-HR"/>
        </w:rPr>
      </w:pPr>
      <w:r w:rsidRPr="0031092A">
        <w:rPr>
          <w:rFonts w:ascii="Times New Roman" w:eastAsia="Times New Roman" w:hAnsi="Times New Roman" w:cs="Times New Roman"/>
          <w:color w:val="000000" w:themeColor="text1"/>
          <w:sz w:val="24"/>
          <w:szCs w:val="24"/>
          <w:lang w:eastAsia="hr-HR"/>
        </w:rPr>
        <w:t xml:space="preserve">URBROJ: </w:t>
      </w:r>
    </w:p>
    <w:p w14:paraId="3C87E006" w14:textId="03B926CC" w:rsidR="008550C7" w:rsidRPr="0031092A" w:rsidRDefault="008550C7" w:rsidP="0031092A">
      <w:pPr>
        <w:spacing w:before="240" w:after="0" w:line="240" w:lineRule="auto"/>
        <w:rPr>
          <w:rFonts w:ascii="Times New Roman" w:eastAsia="Times New Roman" w:hAnsi="Times New Roman" w:cs="Times New Roman"/>
          <w:color w:val="000000" w:themeColor="text1"/>
          <w:sz w:val="24"/>
          <w:szCs w:val="24"/>
          <w:lang w:eastAsia="hr-HR"/>
        </w:rPr>
      </w:pPr>
      <w:r w:rsidRPr="0031092A">
        <w:rPr>
          <w:rFonts w:ascii="Times New Roman" w:eastAsia="Times New Roman" w:hAnsi="Times New Roman" w:cs="Times New Roman"/>
          <w:color w:val="000000" w:themeColor="text1"/>
          <w:sz w:val="24"/>
          <w:szCs w:val="24"/>
          <w:lang w:eastAsia="hr-HR"/>
        </w:rPr>
        <w:t xml:space="preserve">Zagreb, ___. ________ 2024. </w:t>
      </w:r>
    </w:p>
    <w:p w14:paraId="43AA2A49" w14:textId="77777777" w:rsidR="008550C7" w:rsidRPr="0031092A" w:rsidRDefault="008550C7" w:rsidP="0031092A">
      <w:pPr>
        <w:spacing w:before="240" w:after="0" w:line="240" w:lineRule="auto"/>
        <w:rPr>
          <w:rFonts w:ascii="Times New Roman" w:eastAsia="Times New Roman" w:hAnsi="Times New Roman" w:cs="Times New Roman"/>
          <w:color w:val="000000" w:themeColor="text1"/>
          <w:sz w:val="24"/>
          <w:szCs w:val="24"/>
          <w:lang w:eastAsia="hr-HR"/>
        </w:rPr>
      </w:pPr>
    </w:p>
    <w:p w14:paraId="7224FFC5" w14:textId="77777777" w:rsidR="008550C7" w:rsidRPr="0031092A" w:rsidRDefault="008550C7" w:rsidP="0031092A">
      <w:pPr>
        <w:spacing w:before="200" w:after="0" w:line="240" w:lineRule="auto"/>
        <w:ind w:left="6379"/>
        <w:rPr>
          <w:rFonts w:ascii="Times New Roman" w:eastAsia="Times New Roman" w:hAnsi="Times New Roman" w:cs="Times New Roman"/>
          <w:color w:val="000000" w:themeColor="text1"/>
          <w:sz w:val="24"/>
          <w:szCs w:val="24"/>
          <w:lang w:eastAsia="hr-HR"/>
        </w:rPr>
      </w:pPr>
      <w:r w:rsidRPr="0031092A">
        <w:rPr>
          <w:rFonts w:ascii="Times New Roman" w:eastAsia="Times New Roman" w:hAnsi="Times New Roman" w:cs="Times New Roman"/>
          <w:color w:val="000000" w:themeColor="text1"/>
          <w:sz w:val="24"/>
          <w:szCs w:val="24"/>
          <w:lang w:eastAsia="hr-HR"/>
        </w:rPr>
        <w:t xml:space="preserve">        PREDSJEDNIK</w:t>
      </w:r>
    </w:p>
    <w:p w14:paraId="10750CD3" w14:textId="77777777" w:rsidR="008550C7" w:rsidRPr="0031092A" w:rsidRDefault="008550C7" w:rsidP="0031092A">
      <w:pPr>
        <w:spacing w:before="200" w:after="0" w:line="240" w:lineRule="auto"/>
        <w:ind w:left="6379"/>
        <w:rPr>
          <w:rFonts w:ascii="Times New Roman" w:eastAsia="Times New Roman" w:hAnsi="Times New Roman" w:cs="Times New Roman"/>
          <w:color w:val="000000" w:themeColor="text1"/>
          <w:sz w:val="24"/>
          <w:szCs w:val="24"/>
          <w:lang w:eastAsia="hr-HR"/>
        </w:rPr>
      </w:pPr>
      <w:r w:rsidRPr="0031092A">
        <w:rPr>
          <w:rFonts w:ascii="Times New Roman" w:eastAsia="Times New Roman" w:hAnsi="Times New Roman" w:cs="Times New Roman"/>
          <w:color w:val="000000" w:themeColor="text1"/>
          <w:sz w:val="24"/>
          <w:szCs w:val="24"/>
          <w:lang w:eastAsia="hr-HR"/>
        </w:rPr>
        <w:t xml:space="preserve">       Andrej Plenković </w:t>
      </w:r>
    </w:p>
    <w:p w14:paraId="7579AFA0"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58537713"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150BE7C0"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04C66E0C"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4B7865CD"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64E64016"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70358B4B"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512DAD63"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60619398" w14:textId="21958575" w:rsidR="008550C7" w:rsidRDefault="008550C7" w:rsidP="0031092A">
      <w:pPr>
        <w:autoSpaceDE w:val="0"/>
        <w:autoSpaceDN w:val="0"/>
        <w:adjustRightInd w:val="0"/>
        <w:spacing w:line="240" w:lineRule="auto"/>
        <w:jc w:val="center"/>
        <w:rPr>
          <w:rFonts w:ascii="Times New Roman" w:hAnsi="Times New Roman" w:cs="Times New Roman"/>
          <w:b/>
          <w:bCs/>
          <w:sz w:val="24"/>
          <w:szCs w:val="24"/>
        </w:rPr>
      </w:pPr>
    </w:p>
    <w:p w14:paraId="002DAE67" w14:textId="7388512C"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4F9F082F" w14:textId="2309DD66"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4C7F623A" w14:textId="4DE8328C"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5FE7F8C7" w14:textId="613FD4EA"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68D8010D" w14:textId="41AD4D14"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3072CDAF" w14:textId="3F498F1C"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04040B87" w14:textId="2A3AF22A"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326910F9" w14:textId="03BCE086"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7FFE33C4" w14:textId="5614E428" w:rsidR="00096CD0"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7A81B968" w14:textId="77777777" w:rsidR="00096CD0" w:rsidRPr="0031092A" w:rsidRDefault="00096CD0" w:rsidP="0031092A">
      <w:pPr>
        <w:autoSpaceDE w:val="0"/>
        <w:autoSpaceDN w:val="0"/>
        <w:adjustRightInd w:val="0"/>
        <w:spacing w:line="240" w:lineRule="auto"/>
        <w:jc w:val="center"/>
        <w:rPr>
          <w:rFonts w:ascii="Times New Roman" w:hAnsi="Times New Roman" w:cs="Times New Roman"/>
          <w:b/>
          <w:bCs/>
          <w:sz w:val="24"/>
          <w:szCs w:val="24"/>
        </w:rPr>
      </w:pPr>
    </w:p>
    <w:p w14:paraId="1A6805E3" w14:textId="77777777" w:rsidR="008550C7" w:rsidRPr="0031092A" w:rsidRDefault="008550C7" w:rsidP="0031092A">
      <w:pPr>
        <w:autoSpaceDE w:val="0"/>
        <w:autoSpaceDN w:val="0"/>
        <w:adjustRightInd w:val="0"/>
        <w:spacing w:line="240" w:lineRule="auto"/>
        <w:jc w:val="center"/>
        <w:rPr>
          <w:rFonts w:ascii="Times New Roman" w:hAnsi="Times New Roman" w:cs="Times New Roman"/>
          <w:b/>
          <w:bCs/>
          <w:sz w:val="24"/>
          <w:szCs w:val="24"/>
        </w:rPr>
      </w:pPr>
      <w:r w:rsidRPr="0031092A">
        <w:rPr>
          <w:rFonts w:ascii="Times New Roman" w:hAnsi="Times New Roman" w:cs="Times New Roman"/>
          <w:b/>
          <w:bCs/>
          <w:sz w:val="24"/>
          <w:szCs w:val="24"/>
        </w:rPr>
        <w:t>OBRAZLOŽENJE</w:t>
      </w:r>
    </w:p>
    <w:p w14:paraId="23B69CE0" w14:textId="77777777" w:rsidR="008550C7" w:rsidRPr="0031092A" w:rsidRDefault="008550C7" w:rsidP="0031092A">
      <w:pPr>
        <w:spacing w:after="240" w:line="240" w:lineRule="auto"/>
        <w:jc w:val="both"/>
        <w:rPr>
          <w:rFonts w:ascii="Times New Roman" w:hAnsi="Times New Roman" w:cs="Times New Roman"/>
          <w:sz w:val="24"/>
          <w:szCs w:val="24"/>
        </w:rPr>
      </w:pPr>
      <w:r w:rsidRPr="0031092A">
        <w:rPr>
          <w:rFonts w:ascii="Times New Roman" w:hAnsi="Times New Roman" w:cs="Times New Roman"/>
          <w:sz w:val="24"/>
          <w:szCs w:val="24"/>
        </w:rPr>
        <w:t>Središnji državni ured za središnju javnu nabavu (dalje u tekstu: Središnji državni ured) provodi postupke središnje javne nabave roba, radova i usluga za obveznike središnje javne nabave iz članka 12. stavka 1. Uredbe o unutarnjem ustrojstvu Središnjeg državnog ureda za središnju javnu nabavu („Narodne novine“</w:t>
      </w:r>
      <w:r w:rsidRPr="0031092A">
        <w:rPr>
          <w:rFonts w:ascii="Times New Roman" w:hAnsi="Times New Roman" w:cs="Times New Roman"/>
          <w:color w:val="000000" w:themeColor="text1"/>
          <w:sz w:val="24"/>
          <w:szCs w:val="24"/>
        </w:rPr>
        <w:t xml:space="preserve">, </w:t>
      </w:r>
      <w:r w:rsidRPr="0031092A">
        <w:rPr>
          <w:rFonts w:ascii="Times New Roman" w:hAnsi="Times New Roman" w:cs="Times New Roman"/>
          <w:sz w:val="24"/>
          <w:szCs w:val="24"/>
        </w:rPr>
        <w:t xml:space="preserve">br. 97/20., dalje u tekstu: Uredba), odnosno za </w:t>
      </w:r>
      <w:r w:rsidRPr="0031092A">
        <w:rPr>
          <w:rFonts w:ascii="Times New Roman" w:eastAsia="Times New Roman" w:hAnsi="Times New Roman" w:cs="Times New Roman"/>
          <w:sz w:val="24"/>
          <w:szCs w:val="24"/>
          <w:lang w:eastAsia="hr-HR"/>
        </w:rPr>
        <w:t xml:space="preserve">Ured predsjednika Republike Hrvatske, Hrvatski sabor, Vladu Republike Hrvatske, urede i stručne službe Vlade Republike Hrvatske, te tijela državne uprave (ministarstva i državne upravne organizacije). </w:t>
      </w:r>
      <w:r w:rsidRPr="0031092A">
        <w:rPr>
          <w:rFonts w:ascii="Times New Roman" w:hAnsi="Times New Roman" w:cs="Times New Roman"/>
          <w:sz w:val="24"/>
          <w:szCs w:val="24"/>
        </w:rPr>
        <w:t>Odredbom članka 12. stavka 3. Uredbe, predviđena je iznimka od stavka 1. navedenog članka te je određeno da Vlada Republike Hrvatske može ovlastiti Središnji državni ured za provođenje postupaka javne nabave za javne naručitelje koji nisu obuhvaćeni stavkom 1. članka 12. Uredbe.</w:t>
      </w:r>
    </w:p>
    <w:p w14:paraId="2FACF4D3" w14:textId="77777777"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r w:rsidRPr="0031092A">
        <w:rPr>
          <w:rFonts w:ascii="Times New Roman" w:hAnsi="Times New Roman" w:cs="Times New Roman"/>
          <w:sz w:val="24"/>
          <w:szCs w:val="24"/>
        </w:rPr>
        <w:t xml:space="preserve">Odlukom o nabavnim kategorijama (Narodne novine, broj 64/16), određene su nabavne kategorije za koje je Središnji državni ured nadležan provoditi postupke središnje javne nabave. U točki I. navedene Odluke, licence za korištenje softvera određene su kao jedna od nabavnih kategorija središnje javne nabave. </w:t>
      </w:r>
    </w:p>
    <w:p w14:paraId="19390604" w14:textId="77777777"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r w:rsidRPr="0031092A">
        <w:rPr>
          <w:rFonts w:ascii="Times New Roman" w:hAnsi="Times New Roman" w:cs="Times New Roman"/>
          <w:sz w:val="24"/>
          <w:szCs w:val="24"/>
        </w:rPr>
        <w:t>Vlada RH je Zaključkom KLASA: 022-03/-07/02, URBROJ: 50301-05/31-22-2 od 20. siječnja 2022. ovlastila Središnji državni ured da provede postupak nabave Microsoftovih proizvoda i usluga (u nastavku: MS licence) i zaključi okvirne sporazume za dodatne korisnike koji nisu obveznici središnje javne nabave. Okvirni sporazumi zaključeni temeljem provedenog postupka središnje nabave su na snazi do 30. lipnja 2025. godine, a budući da je za nabavu novih licenci i za tehničko održavanje prethodno nabavljenih licenci potrebno provesti novi postupak javne nabave, predlaže se donošenje predmetnog Zaključka.</w:t>
      </w:r>
    </w:p>
    <w:p w14:paraId="3BA8863E" w14:textId="77777777"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r w:rsidRPr="0031092A">
        <w:rPr>
          <w:rFonts w:ascii="Times New Roman" w:hAnsi="Times New Roman" w:cs="Times New Roman"/>
          <w:sz w:val="24"/>
          <w:szCs w:val="24"/>
        </w:rPr>
        <w:t>Središnji državni ured je u okviru priprema za novi postupak kontaktirao javne naručitelje koji su bili obuhvaćeni prethodno navedenim Zaključkom iz 2022. godine, te zatražio očitovanja vezano za sudjelovanje u novom postupku javne nabave. Naime, radi se o javnim naručiteljima koji nisu obveznici središnje javne nabave te je sukladno članku 12. stavku 3. Uredbe Središnjem uredu potrebno ovlaštenje Vlade RH za provođenje novog postupka za dodatne korisnike.</w:t>
      </w:r>
    </w:p>
    <w:p w14:paraId="4B32DA9B" w14:textId="77777777" w:rsidR="008550C7" w:rsidRPr="0031092A" w:rsidRDefault="008550C7" w:rsidP="0031092A">
      <w:pPr>
        <w:spacing w:after="0" w:line="240" w:lineRule="auto"/>
        <w:jc w:val="both"/>
        <w:rPr>
          <w:rFonts w:ascii="Times New Roman" w:hAnsi="Times New Roman" w:cs="Times New Roman"/>
          <w:sz w:val="24"/>
          <w:szCs w:val="24"/>
        </w:rPr>
      </w:pPr>
      <w:r w:rsidRPr="0031092A">
        <w:rPr>
          <w:rFonts w:ascii="Times New Roman" w:hAnsi="Times New Roman" w:cs="Times New Roman"/>
          <w:sz w:val="24"/>
          <w:szCs w:val="24"/>
        </w:rPr>
        <w:t>Na temelju dobivenih suglasnosti sačinjen je popis od ukupno 66 dodatnih korisnika u točki 1. Zaključka. U odnosu na popis korisnika Zaključka iz 2022. godine, dodatni interes za uključivanje u sljedeći postupak središnje javne nabave iskazali su korisnici: Središnja agencija za financiranje i ugovaranje programa i projekata Europske unije, Hrvatska akademska istraživačka mreža–Carnet, Državna komisija za kontrolu postupaka javne nabave, Pravobranitelj za djecu, Veteranski centar, Hrvatski zavod za socijalni rad, Obiteljski centar, Povjerenik za informiranje, zatim tijela iz razdjela Ministarstva zdravstva i iz razdjela Ministarstva kulture i medija, a koji su i svi taksativno navedeni u točki 1. Zaključka.</w:t>
      </w:r>
    </w:p>
    <w:p w14:paraId="78F93D3A" w14:textId="77777777" w:rsidR="008550C7" w:rsidRPr="0031092A" w:rsidRDefault="008550C7" w:rsidP="0031092A">
      <w:pPr>
        <w:spacing w:after="0" w:line="240" w:lineRule="auto"/>
        <w:jc w:val="both"/>
        <w:rPr>
          <w:rFonts w:ascii="Times New Roman" w:eastAsia="Times New Roman" w:hAnsi="Times New Roman" w:cs="Times New Roman"/>
          <w:color w:val="000000"/>
          <w:sz w:val="24"/>
          <w:szCs w:val="24"/>
          <w:lang w:eastAsia="hr-HR"/>
        </w:rPr>
      </w:pPr>
    </w:p>
    <w:p w14:paraId="0CAEE0DF" w14:textId="5AFF7043"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r w:rsidRPr="0031092A">
        <w:rPr>
          <w:rFonts w:ascii="Times New Roman" w:hAnsi="Times New Roman" w:cs="Times New Roman"/>
          <w:sz w:val="24"/>
          <w:szCs w:val="24"/>
        </w:rPr>
        <w:t xml:space="preserve">Prijedlogom </w:t>
      </w:r>
      <w:r w:rsidR="006F2B33">
        <w:rPr>
          <w:rFonts w:ascii="Times New Roman" w:hAnsi="Times New Roman" w:cs="Times New Roman"/>
          <w:sz w:val="24"/>
          <w:szCs w:val="24"/>
        </w:rPr>
        <w:t>z</w:t>
      </w:r>
      <w:r w:rsidRPr="0031092A">
        <w:rPr>
          <w:rFonts w:ascii="Times New Roman" w:hAnsi="Times New Roman" w:cs="Times New Roman"/>
          <w:sz w:val="24"/>
          <w:szCs w:val="24"/>
        </w:rPr>
        <w:t xml:space="preserve">aključka ovlašćuje se Središnji državni ured da provede postupak javne nabave MS licenci i za dodatne korisnike taksativno navedene u točki 1. Zaključka. </w:t>
      </w:r>
    </w:p>
    <w:p w14:paraId="2BF575CC" w14:textId="14829A53"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r w:rsidRPr="0031092A">
        <w:rPr>
          <w:rFonts w:ascii="Times New Roman" w:hAnsi="Times New Roman" w:cs="Times New Roman"/>
          <w:sz w:val="24"/>
          <w:szCs w:val="24"/>
        </w:rPr>
        <w:t>Točkom 2. ovog</w:t>
      </w:r>
      <w:r w:rsidR="006F2B33">
        <w:rPr>
          <w:rFonts w:ascii="Times New Roman" w:hAnsi="Times New Roman" w:cs="Times New Roman"/>
          <w:sz w:val="24"/>
          <w:szCs w:val="24"/>
        </w:rPr>
        <w:t>a</w:t>
      </w:r>
      <w:bookmarkStart w:id="0" w:name="_GoBack"/>
      <w:bookmarkEnd w:id="0"/>
      <w:r w:rsidRPr="0031092A">
        <w:rPr>
          <w:rFonts w:ascii="Times New Roman" w:hAnsi="Times New Roman" w:cs="Times New Roman"/>
          <w:sz w:val="24"/>
          <w:szCs w:val="24"/>
        </w:rPr>
        <w:t xml:space="preserve"> Zaključka ovlašćuje se Središnji državni ured da nakon provedenog postupka javne nabave zaključi okvirni sporazum i potrebne ugovore prema odgovarajućim Microsoft programima licenciranja. </w:t>
      </w:r>
    </w:p>
    <w:p w14:paraId="02B4E216" w14:textId="77777777"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p>
    <w:p w14:paraId="70522AB3" w14:textId="77777777"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r w:rsidRPr="0031092A">
        <w:rPr>
          <w:rFonts w:ascii="Times New Roman" w:hAnsi="Times New Roman" w:cs="Times New Roman"/>
          <w:sz w:val="24"/>
          <w:szCs w:val="24"/>
        </w:rPr>
        <w:lastRenderedPageBreak/>
        <w:t xml:space="preserve">Naime, nabavu licenci za Microsoftove proizvode i usluge moguće je izvršiti samo sukladno poslovnoj politici vlasnika licenčnih prava </w:t>
      </w:r>
      <w:r w:rsidRPr="0031092A">
        <w:rPr>
          <w:rFonts w:ascii="Times New Roman" w:hAnsi="Times New Roman" w:cs="Times New Roman"/>
          <w:color w:val="000000"/>
          <w:sz w:val="24"/>
          <w:szCs w:val="24"/>
        </w:rPr>
        <w:t>Microsoft Ireland Operations Limited</w:t>
      </w:r>
      <w:r w:rsidRPr="0031092A">
        <w:rPr>
          <w:rFonts w:ascii="Times New Roman" w:hAnsi="Times New Roman" w:cs="Times New Roman"/>
          <w:sz w:val="24"/>
          <w:szCs w:val="24"/>
        </w:rPr>
        <w:t xml:space="preserve">, odnosno, pod uvjetima jednog od programa licenciranja, uključujući i uvjete za tzv. Governement – licence, odnosno za licence za državna tijela. </w:t>
      </w:r>
    </w:p>
    <w:p w14:paraId="1B3D0487" w14:textId="77777777"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r w:rsidRPr="0031092A">
        <w:rPr>
          <w:rFonts w:ascii="Times New Roman" w:hAnsi="Times New Roman" w:cs="Times New Roman"/>
          <w:sz w:val="24"/>
          <w:szCs w:val="24"/>
        </w:rPr>
        <w:t xml:space="preserve">Stoga je nakon potpisivanja okvirnog sporazuma i prije sklapanja pojedinačnih ugovora o javnoj nabavi koje sklapaju korisnici središnje nabave potrebno sklopiti odgovarajuće ugovore u nekom od programa licenciranja koji omogućuju isporuku licenci.  </w:t>
      </w:r>
    </w:p>
    <w:p w14:paraId="0EE35E07" w14:textId="77777777" w:rsidR="008550C7" w:rsidRPr="0031092A" w:rsidRDefault="008550C7" w:rsidP="0031092A">
      <w:pPr>
        <w:autoSpaceDE w:val="0"/>
        <w:autoSpaceDN w:val="0"/>
        <w:adjustRightInd w:val="0"/>
        <w:spacing w:line="240" w:lineRule="auto"/>
        <w:jc w:val="both"/>
        <w:rPr>
          <w:rFonts w:ascii="Times New Roman" w:hAnsi="Times New Roman" w:cs="Times New Roman"/>
          <w:color w:val="000000" w:themeColor="text1"/>
          <w:sz w:val="24"/>
          <w:szCs w:val="24"/>
        </w:rPr>
      </w:pPr>
      <w:r w:rsidRPr="0031092A">
        <w:rPr>
          <w:rFonts w:ascii="Times New Roman" w:hAnsi="Times New Roman" w:cs="Times New Roman"/>
          <w:color w:val="000000" w:themeColor="text1"/>
          <w:sz w:val="24"/>
          <w:szCs w:val="24"/>
        </w:rPr>
        <w:t xml:space="preserve">Zbog ukupno većeg javno-nabavnog volumena moguće je očekivati i dodatno snižavanje cijena u okviru cjenovnog razreda te dodatne popuste koje mogu ponuditi gospodarski subjekti zainteresirani za sudjelovanje u postupku javne nabave. Objedinjenom nabavom postiže se i smanjenje administrativnih troškova provedbe pojedinačnih postupaka nabave kod korisnika središnje javne nabave. </w:t>
      </w:r>
    </w:p>
    <w:p w14:paraId="439AE1BF" w14:textId="77777777"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r w:rsidRPr="0031092A">
        <w:rPr>
          <w:rFonts w:ascii="Times New Roman" w:hAnsi="Times New Roman" w:cs="Times New Roman"/>
          <w:color w:val="000000" w:themeColor="text1"/>
          <w:sz w:val="24"/>
          <w:szCs w:val="24"/>
        </w:rPr>
        <w:t>Točkom 3. Zaključka korisnici središnje javne nabave obvezuju se u svrhu provođenja postupka nabave MS licenci, bez obzira na procijenjenu vrijednost njihove nabave, dostaviti Središnjem državnom uredu podatke vezane uz iskazivanje potreba u obliku i rokovima koje odredi Središnji državni ured , a što je i sukladno članku 15. Uredbe</w:t>
      </w:r>
      <w:r w:rsidRPr="0031092A">
        <w:rPr>
          <w:rFonts w:ascii="Times New Roman" w:hAnsi="Times New Roman" w:cs="Times New Roman"/>
          <w:sz w:val="24"/>
          <w:szCs w:val="24"/>
        </w:rPr>
        <w:t xml:space="preserve">. </w:t>
      </w:r>
    </w:p>
    <w:p w14:paraId="27D346DD" w14:textId="77777777" w:rsidR="008550C7" w:rsidRPr="0031092A" w:rsidRDefault="008550C7" w:rsidP="0031092A">
      <w:pPr>
        <w:autoSpaceDE w:val="0"/>
        <w:autoSpaceDN w:val="0"/>
        <w:adjustRightInd w:val="0"/>
        <w:spacing w:line="240" w:lineRule="auto"/>
        <w:jc w:val="both"/>
        <w:rPr>
          <w:rFonts w:ascii="Times New Roman" w:hAnsi="Times New Roman" w:cs="Times New Roman"/>
          <w:color w:val="000000"/>
          <w:sz w:val="24"/>
          <w:szCs w:val="24"/>
        </w:rPr>
      </w:pPr>
      <w:r w:rsidRPr="0031092A">
        <w:rPr>
          <w:rFonts w:ascii="Times New Roman" w:hAnsi="Times New Roman" w:cs="Times New Roman"/>
          <w:sz w:val="24"/>
          <w:szCs w:val="24"/>
        </w:rPr>
        <w:t>Nadalje, točkom 4. ovog Zaključka upućuje se na odgovarajuću primjenu odredbe članka 17. Uredbe kojom je propisano postupanje korisnika središnje javne nabave kada samostalno provode postupke javne za nabavne</w:t>
      </w:r>
      <w:r w:rsidRPr="0031092A">
        <w:rPr>
          <w:rFonts w:ascii="Times New Roman" w:hAnsi="Times New Roman" w:cs="Times New Roman"/>
          <w:color w:val="000000"/>
          <w:sz w:val="24"/>
          <w:szCs w:val="24"/>
        </w:rPr>
        <w:t xml:space="preserve"> kategorije iz nadležnosti Središnjeg državnog ureda. </w:t>
      </w:r>
    </w:p>
    <w:p w14:paraId="6F524407" w14:textId="77777777" w:rsidR="008550C7" w:rsidRPr="0031092A" w:rsidRDefault="008550C7" w:rsidP="0031092A">
      <w:pPr>
        <w:spacing w:after="0" w:line="240" w:lineRule="auto"/>
        <w:jc w:val="both"/>
        <w:rPr>
          <w:rFonts w:ascii="Times New Roman" w:hAnsi="Times New Roman" w:cs="Times New Roman"/>
          <w:color w:val="000000"/>
          <w:sz w:val="24"/>
          <w:szCs w:val="24"/>
        </w:rPr>
      </w:pPr>
      <w:r w:rsidRPr="0031092A">
        <w:rPr>
          <w:rFonts w:ascii="Times New Roman" w:hAnsi="Times New Roman" w:cs="Times New Roman"/>
          <w:color w:val="000000"/>
          <w:sz w:val="24"/>
          <w:szCs w:val="24"/>
        </w:rPr>
        <w:t xml:space="preserve">Također naglašavamo da za provođenje predmetnog postupka središnje javne nabave za prošireni krug korisnika nije potrebno osiguravati dodatna financijska sredstva, budući da će korisnici na temelju okvirnog sporazuma koji sklopi Središnji državni ured sklapati svoje pojedinačne ugovore o javnoj nabavi sukladno potrebama i financijskim sredstvima osiguranim u svojim proračunima. </w:t>
      </w:r>
    </w:p>
    <w:p w14:paraId="4208C624" w14:textId="77777777" w:rsidR="008550C7" w:rsidRPr="0031092A" w:rsidRDefault="008550C7" w:rsidP="0031092A">
      <w:pPr>
        <w:spacing w:after="0" w:line="240" w:lineRule="auto"/>
        <w:jc w:val="both"/>
        <w:rPr>
          <w:rFonts w:ascii="Times New Roman" w:hAnsi="Times New Roman" w:cs="Times New Roman"/>
          <w:color w:val="000000"/>
          <w:sz w:val="24"/>
          <w:szCs w:val="24"/>
        </w:rPr>
      </w:pPr>
    </w:p>
    <w:p w14:paraId="65A627D2" w14:textId="77777777" w:rsidR="008550C7" w:rsidRPr="0031092A" w:rsidRDefault="008550C7" w:rsidP="0031092A">
      <w:pPr>
        <w:spacing w:before="160" w:after="0" w:line="240" w:lineRule="auto"/>
        <w:jc w:val="both"/>
        <w:rPr>
          <w:rFonts w:ascii="Times New Roman" w:hAnsi="Times New Roman" w:cs="Times New Roman"/>
          <w:sz w:val="24"/>
          <w:szCs w:val="24"/>
        </w:rPr>
      </w:pPr>
    </w:p>
    <w:p w14:paraId="32528DD7" w14:textId="77777777" w:rsidR="008550C7" w:rsidRPr="0031092A" w:rsidRDefault="008550C7" w:rsidP="0031092A">
      <w:pPr>
        <w:autoSpaceDE w:val="0"/>
        <w:autoSpaceDN w:val="0"/>
        <w:adjustRightInd w:val="0"/>
        <w:spacing w:line="240" w:lineRule="auto"/>
        <w:jc w:val="both"/>
        <w:rPr>
          <w:rFonts w:ascii="Times New Roman" w:hAnsi="Times New Roman" w:cs="Times New Roman"/>
          <w:sz w:val="24"/>
          <w:szCs w:val="24"/>
        </w:rPr>
      </w:pPr>
    </w:p>
    <w:p w14:paraId="24182FD3" w14:textId="77777777" w:rsidR="008550C7" w:rsidRPr="0031092A" w:rsidRDefault="008550C7" w:rsidP="0031092A">
      <w:pPr>
        <w:spacing w:after="0" w:line="240" w:lineRule="auto"/>
        <w:jc w:val="both"/>
        <w:rPr>
          <w:rFonts w:ascii="Times New Roman" w:hAnsi="Times New Roman" w:cs="Times New Roman"/>
          <w:bCs/>
          <w:color w:val="000000"/>
          <w:sz w:val="24"/>
          <w:szCs w:val="24"/>
        </w:rPr>
      </w:pPr>
    </w:p>
    <w:p w14:paraId="4EEF6667" w14:textId="77777777" w:rsidR="008550C7" w:rsidRPr="0031092A" w:rsidRDefault="008550C7" w:rsidP="0031092A">
      <w:pPr>
        <w:autoSpaceDE w:val="0"/>
        <w:autoSpaceDN w:val="0"/>
        <w:adjustRightInd w:val="0"/>
        <w:spacing w:after="0" w:line="240" w:lineRule="auto"/>
        <w:ind w:right="-141"/>
        <w:jc w:val="center"/>
        <w:rPr>
          <w:rFonts w:ascii="Times New Roman" w:eastAsia="Calibri" w:hAnsi="Times New Roman" w:cs="Times New Roman"/>
          <w:color w:val="000000"/>
          <w:sz w:val="24"/>
          <w:szCs w:val="24"/>
        </w:rPr>
      </w:pPr>
      <w:r w:rsidRPr="0031092A">
        <w:rPr>
          <w:rFonts w:ascii="Times New Roman" w:eastAsia="Calibri" w:hAnsi="Times New Roman" w:cs="Times New Roman"/>
          <w:b/>
          <w:sz w:val="24"/>
          <w:szCs w:val="24"/>
        </w:rPr>
        <w:t xml:space="preserve">                                                                                                                             </w:t>
      </w:r>
    </w:p>
    <w:p w14:paraId="51385276" w14:textId="77777777" w:rsidR="008550C7" w:rsidRPr="0031092A" w:rsidRDefault="008550C7" w:rsidP="0031092A">
      <w:pPr>
        <w:spacing w:before="100" w:beforeAutospacing="1" w:after="225" w:line="240" w:lineRule="auto"/>
        <w:jc w:val="right"/>
        <w:rPr>
          <w:rFonts w:ascii="Times New Roman" w:hAnsi="Times New Roman" w:cs="Times New Roman"/>
          <w:sz w:val="24"/>
          <w:szCs w:val="24"/>
        </w:rPr>
      </w:pPr>
    </w:p>
    <w:p w14:paraId="04653BCC" w14:textId="77777777" w:rsidR="008E0497" w:rsidRPr="0031092A" w:rsidRDefault="008E0497" w:rsidP="0031092A">
      <w:pPr>
        <w:pStyle w:val="tb-na18"/>
        <w:spacing w:before="200" w:beforeAutospacing="0" w:after="240" w:afterAutospacing="0"/>
        <w:jc w:val="right"/>
      </w:pPr>
    </w:p>
    <w:sectPr w:rsidR="008E0497" w:rsidRPr="0031092A" w:rsidSect="00A54C9D">
      <w:headerReference w:type="default" r:id="rId14"/>
      <w:footerReference w:type="default" r:id="rId15"/>
      <w:pgSz w:w="11906" w:h="16838"/>
      <w:pgMar w:top="1276"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5D697" w14:textId="77777777" w:rsidR="00A451B7" w:rsidRDefault="00A451B7" w:rsidP="00071E46">
      <w:pPr>
        <w:spacing w:after="0" w:line="240" w:lineRule="auto"/>
      </w:pPr>
      <w:r>
        <w:separator/>
      </w:r>
    </w:p>
  </w:endnote>
  <w:endnote w:type="continuationSeparator" w:id="0">
    <w:p w14:paraId="03D2E7EE" w14:textId="77777777" w:rsidR="00A451B7" w:rsidRDefault="00A451B7" w:rsidP="0007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CBD9C" w14:textId="1B3C8D85" w:rsidR="00071E46" w:rsidRPr="00CE78D1" w:rsidRDefault="00071E46"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sidR="00B004DC">
      <w:rPr>
        <w:color w:val="404040" w:themeColor="text1" w:themeTint="BF"/>
        <w:spacing w:val="20"/>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24D0" w14:textId="2976D624" w:rsidR="00886849" w:rsidRPr="00886849" w:rsidRDefault="00886849" w:rsidP="0088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555F" w14:textId="77777777" w:rsidR="00A451B7" w:rsidRDefault="00A451B7" w:rsidP="00071E46">
      <w:pPr>
        <w:spacing w:after="0" w:line="240" w:lineRule="auto"/>
      </w:pPr>
      <w:r>
        <w:separator/>
      </w:r>
    </w:p>
  </w:footnote>
  <w:footnote w:type="continuationSeparator" w:id="0">
    <w:p w14:paraId="7D4C8CDF" w14:textId="77777777" w:rsidR="00A451B7" w:rsidRDefault="00A451B7" w:rsidP="00071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0518" w14:textId="77777777" w:rsidR="008550C7" w:rsidRDefault="008550C7">
    <w:pPr>
      <w:pStyle w:val="Header"/>
      <w:jc w:val="center"/>
    </w:pPr>
  </w:p>
  <w:p w14:paraId="0B3469ED" w14:textId="77777777" w:rsidR="008550C7" w:rsidRDefault="00855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2779"/>
    <w:multiLevelType w:val="hybridMultilevel"/>
    <w:tmpl w:val="E2D816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D6"/>
    <w:rsid w:val="00006AFB"/>
    <w:rsid w:val="000338E8"/>
    <w:rsid w:val="00036BF3"/>
    <w:rsid w:val="00066DB0"/>
    <w:rsid w:val="000709EE"/>
    <w:rsid w:val="00071E46"/>
    <w:rsid w:val="0007265C"/>
    <w:rsid w:val="00075828"/>
    <w:rsid w:val="00095086"/>
    <w:rsid w:val="00096CD0"/>
    <w:rsid w:val="000E094F"/>
    <w:rsid w:val="000E6FBE"/>
    <w:rsid w:val="00183617"/>
    <w:rsid w:val="001D773D"/>
    <w:rsid w:val="00252798"/>
    <w:rsid w:val="00252A19"/>
    <w:rsid w:val="002C6E69"/>
    <w:rsid w:val="0031092A"/>
    <w:rsid w:val="0031453F"/>
    <w:rsid w:val="00355B78"/>
    <w:rsid w:val="003571FB"/>
    <w:rsid w:val="003A2258"/>
    <w:rsid w:val="003A2879"/>
    <w:rsid w:val="003C5456"/>
    <w:rsid w:val="003F4C39"/>
    <w:rsid w:val="004417B2"/>
    <w:rsid w:val="00482658"/>
    <w:rsid w:val="00492FCE"/>
    <w:rsid w:val="004A5F3E"/>
    <w:rsid w:val="004B7CB2"/>
    <w:rsid w:val="004C2342"/>
    <w:rsid w:val="004E59C7"/>
    <w:rsid w:val="00505BB3"/>
    <w:rsid w:val="0058429A"/>
    <w:rsid w:val="0058594E"/>
    <w:rsid w:val="00591651"/>
    <w:rsid w:val="00595D54"/>
    <w:rsid w:val="005D73F3"/>
    <w:rsid w:val="005F62B6"/>
    <w:rsid w:val="00640206"/>
    <w:rsid w:val="006808FA"/>
    <w:rsid w:val="00692057"/>
    <w:rsid w:val="00696545"/>
    <w:rsid w:val="006C0934"/>
    <w:rsid w:val="006F2B33"/>
    <w:rsid w:val="007033AF"/>
    <w:rsid w:val="00711579"/>
    <w:rsid w:val="00711F95"/>
    <w:rsid w:val="0075184F"/>
    <w:rsid w:val="007D177D"/>
    <w:rsid w:val="007E3E02"/>
    <w:rsid w:val="008305DB"/>
    <w:rsid w:val="00834A87"/>
    <w:rsid w:val="00854CAB"/>
    <w:rsid w:val="008550C7"/>
    <w:rsid w:val="008821C4"/>
    <w:rsid w:val="00886849"/>
    <w:rsid w:val="008A4541"/>
    <w:rsid w:val="008A50C0"/>
    <w:rsid w:val="008B4621"/>
    <w:rsid w:val="008C3CC9"/>
    <w:rsid w:val="008D4D3F"/>
    <w:rsid w:val="008E0497"/>
    <w:rsid w:val="009057C4"/>
    <w:rsid w:val="00906B02"/>
    <w:rsid w:val="00913EE1"/>
    <w:rsid w:val="00922C9C"/>
    <w:rsid w:val="009371FC"/>
    <w:rsid w:val="0094091D"/>
    <w:rsid w:val="009A31C8"/>
    <w:rsid w:val="009A4584"/>
    <w:rsid w:val="009E3999"/>
    <w:rsid w:val="00A12148"/>
    <w:rsid w:val="00A40F0A"/>
    <w:rsid w:val="00A451B7"/>
    <w:rsid w:val="00A54C9D"/>
    <w:rsid w:val="00A649C7"/>
    <w:rsid w:val="00AE324B"/>
    <w:rsid w:val="00AF06EF"/>
    <w:rsid w:val="00AF421A"/>
    <w:rsid w:val="00B004DC"/>
    <w:rsid w:val="00B21E58"/>
    <w:rsid w:val="00B230C3"/>
    <w:rsid w:val="00B61AF0"/>
    <w:rsid w:val="00B61CD6"/>
    <w:rsid w:val="00BD5D94"/>
    <w:rsid w:val="00C02D03"/>
    <w:rsid w:val="00C3738F"/>
    <w:rsid w:val="00C374A3"/>
    <w:rsid w:val="00C72E58"/>
    <w:rsid w:val="00CB7222"/>
    <w:rsid w:val="00CB7441"/>
    <w:rsid w:val="00CD03DA"/>
    <w:rsid w:val="00CF4942"/>
    <w:rsid w:val="00D715BB"/>
    <w:rsid w:val="00D92F14"/>
    <w:rsid w:val="00DB49E0"/>
    <w:rsid w:val="00E06A6B"/>
    <w:rsid w:val="00E1292D"/>
    <w:rsid w:val="00E774E1"/>
    <w:rsid w:val="00E807C9"/>
    <w:rsid w:val="00F070C8"/>
    <w:rsid w:val="00FB2A14"/>
    <w:rsid w:val="00FB316B"/>
    <w:rsid w:val="00FB7F78"/>
    <w:rsid w:val="00FC45D6"/>
    <w:rsid w:val="00FC5B79"/>
    <w:rsid w:val="00FF5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9D63C"/>
  <w15:docId w15:val="{F7726C4C-33BA-436F-AAC4-70175044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579"/>
    <w:rPr>
      <w:rFonts w:ascii="Segoe UI" w:hAnsi="Segoe UI" w:cs="Segoe UI"/>
      <w:sz w:val="18"/>
      <w:szCs w:val="18"/>
      <w:lang w:val="hr-HR"/>
    </w:rPr>
  </w:style>
  <w:style w:type="character" w:styleId="CommentReference">
    <w:name w:val="annotation reference"/>
    <w:basedOn w:val="DefaultParagraphFont"/>
    <w:uiPriority w:val="99"/>
    <w:semiHidden/>
    <w:unhideWhenUsed/>
    <w:rsid w:val="00913EE1"/>
    <w:rPr>
      <w:sz w:val="16"/>
      <w:szCs w:val="16"/>
    </w:rPr>
  </w:style>
  <w:style w:type="paragraph" w:styleId="CommentText">
    <w:name w:val="annotation text"/>
    <w:basedOn w:val="Normal"/>
    <w:link w:val="CommentTextChar"/>
    <w:uiPriority w:val="99"/>
    <w:semiHidden/>
    <w:unhideWhenUsed/>
    <w:rsid w:val="00913EE1"/>
    <w:pPr>
      <w:spacing w:line="240" w:lineRule="auto"/>
    </w:pPr>
    <w:rPr>
      <w:sz w:val="20"/>
      <w:szCs w:val="20"/>
    </w:rPr>
  </w:style>
  <w:style w:type="character" w:customStyle="1" w:styleId="CommentTextChar">
    <w:name w:val="Comment Text Char"/>
    <w:basedOn w:val="DefaultParagraphFont"/>
    <w:link w:val="CommentText"/>
    <w:uiPriority w:val="99"/>
    <w:semiHidden/>
    <w:rsid w:val="00913EE1"/>
    <w:rPr>
      <w:sz w:val="20"/>
      <w:szCs w:val="20"/>
      <w:lang w:val="hr-HR"/>
    </w:rPr>
  </w:style>
  <w:style w:type="paragraph" w:styleId="CommentSubject">
    <w:name w:val="annotation subject"/>
    <w:basedOn w:val="CommentText"/>
    <w:next w:val="CommentText"/>
    <w:link w:val="CommentSubjectChar"/>
    <w:uiPriority w:val="99"/>
    <w:semiHidden/>
    <w:unhideWhenUsed/>
    <w:rsid w:val="00913EE1"/>
    <w:rPr>
      <w:b/>
      <w:bCs/>
    </w:rPr>
  </w:style>
  <w:style w:type="character" w:customStyle="1" w:styleId="CommentSubjectChar">
    <w:name w:val="Comment Subject Char"/>
    <w:basedOn w:val="CommentTextChar"/>
    <w:link w:val="CommentSubject"/>
    <w:uiPriority w:val="99"/>
    <w:semiHidden/>
    <w:rsid w:val="00913EE1"/>
    <w:rPr>
      <w:b/>
      <w:bCs/>
      <w:sz w:val="20"/>
      <w:szCs w:val="20"/>
      <w:lang w:val="hr-HR"/>
    </w:rPr>
  </w:style>
  <w:style w:type="paragraph" w:styleId="Footer">
    <w:name w:val="footer"/>
    <w:basedOn w:val="Normal"/>
    <w:link w:val="FooterChar"/>
    <w:uiPriority w:val="99"/>
    <w:rsid w:val="00071E4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071E46"/>
    <w:rPr>
      <w:rFonts w:ascii="Times New Roman" w:eastAsia="Times New Roman" w:hAnsi="Times New Roman" w:cs="Times New Roman"/>
      <w:sz w:val="24"/>
      <w:szCs w:val="24"/>
      <w:lang w:val="hr-HR" w:eastAsia="hr-HR"/>
    </w:rPr>
  </w:style>
  <w:style w:type="table" w:styleId="TableGrid">
    <w:name w:val="Table Grid"/>
    <w:basedOn w:val="TableNormal"/>
    <w:rsid w:val="00071E46"/>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E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1E46"/>
    <w:rPr>
      <w:lang w:val="hr-HR"/>
    </w:rPr>
  </w:style>
  <w:style w:type="paragraph" w:customStyle="1" w:styleId="tb-na18">
    <w:name w:val="tb-na18"/>
    <w:basedOn w:val="Normal"/>
    <w:rsid w:val="004A5F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4A5F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sion">
    <w:name w:val="Revision"/>
    <w:hidden/>
    <w:uiPriority w:val="99"/>
    <w:semiHidden/>
    <w:rsid w:val="00CF4942"/>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7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AZJMDCZ6QSYZ-1849078857-42814</_dlc_DocId>
    <_dlc_DocIdUrl xmlns="a494813a-d0d8-4dad-94cb-0d196f36ba15">
      <Url>https://ekoordinacije.vlada.hr/koordinacija-gospodarstvo/_layouts/15/DocIdRedir.aspx?ID=AZJMDCZ6QSYZ-1849078857-42814</Url>
      <Description>AZJMDCZ6QSYZ-1849078857-42814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C126-E838-45A3-8595-6C24C1AB9CD8}">
  <ds:schemaRefs>
    <ds:schemaRef ds:uri="http://schemas.microsoft.com/sharepoint/events"/>
  </ds:schemaRefs>
</ds:datastoreItem>
</file>

<file path=customXml/itemProps2.xml><?xml version="1.0" encoding="utf-8"?>
<ds:datastoreItem xmlns:ds="http://schemas.openxmlformats.org/officeDocument/2006/customXml" ds:itemID="{32319FCA-2C0D-4A58-A8B2-A9984C5D6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F3BED-7A81-45EF-AD51-691A7F677AC0}">
  <ds:schemaRef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a494813a-d0d8-4dad-94cb-0d196f36ba15"/>
    <ds:schemaRef ds:uri="http://purl.org/dc/terms/"/>
    <ds:schemaRef ds:uri="http://purl.org/dc/elements/1.1/"/>
  </ds:schemaRefs>
</ds:datastoreItem>
</file>

<file path=customXml/itemProps4.xml><?xml version="1.0" encoding="utf-8"?>
<ds:datastoreItem xmlns:ds="http://schemas.openxmlformats.org/officeDocument/2006/customXml" ds:itemID="{03F4AA24-9345-4757-93E4-B224B749CA1D}">
  <ds:schemaRefs>
    <ds:schemaRef ds:uri="http://schemas.microsoft.com/sharepoint/v3/contenttype/forms"/>
  </ds:schemaRefs>
</ds:datastoreItem>
</file>

<file path=customXml/itemProps5.xml><?xml version="1.0" encoding="utf-8"?>
<ds:datastoreItem xmlns:ds="http://schemas.openxmlformats.org/officeDocument/2006/customXml" ds:itemID="{2164A1FF-D038-48DE-9821-5F6F76D6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1647</Words>
  <Characters>9393</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Mustafagić</dc:creator>
  <cp:keywords/>
  <dc:description/>
  <cp:lastModifiedBy>Ines Uglešić</cp:lastModifiedBy>
  <cp:revision>5</cp:revision>
  <cp:lastPrinted>2024-12-10T11:09:00Z</cp:lastPrinted>
  <dcterms:created xsi:type="dcterms:W3CDTF">2024-12-09T09:51:00Z</dcterms:created>
  <dcterms:modified xsi:type="dcterms:W3CDTF">2024-12-16T11:09:00Z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34b42084-6a98-48d7-8291-6951dd72e3aa</vt:lpwstr>
  </property>
</Properties>
</file>